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FE36F9">
      <w:pPr>
        <w:pStyle w:val="44"/>
        <w:rPr>
          <w:color w:val="auto"/>
        </w:rPr>
        <w:sectPr>
          <w:headerReference r:id="rId5" w:type="first"/>
          <w:footerReference r:id="rId8" w:type="first"/>
          <w:headerReference r:id="rId3" w:type="default"/>
          <w:footerReference r:id="rId6" w:type="default"/>
          <w:headerReference r:id="rId4" w:type="even"/>
          <w:footerReference r:id="rId7" w:type="even"/>
          <w:pgSz w:w="11907" w:h="16839"/>
          <w:pgMar w:top="567" w:right="851" w:bottom="1361" w:left="1418" w:header="0" w:footer="0" w:gutter="0"/>
          <w:pgNumType w:start="1"/>
          <w:cols w:space="425" w:num="1"/>
          <w:titlePg/>
          <w:docGrid w:type="lines" w:linePitch="312" w:charSpace="0"/>
        </w:sectPr>
      </w:pPr>
      <w:r>
        <w:rPr>
          <w:color w:val="auto"/>
        </w:rPr>
        <mc:AlternateContent>
          <mc:Choice Requires="wps">
            <w:drawing>
              <wp:anchor distT="0" distB="0" distL="114300" distR="114300" simplePos="0" relativeHeight="251672576" behindDoc="0" locked="0" layoutInCell="1" allowOverlap="1">
                <wp:simplePos x="0" y="0"/>
                <wp:positionH relativeFrom="column">
                  <wp:posOffset>-16510</wp:posOffset>
                </wp:positionH>
                <wp:positionV relativeFrom="paragraph">
                  <wp:posOffset>1891665</wp:posOffset>
                </wp:positionV>
                <wp:extent cx="6200775" cy="635"/>
                <wp:effectExtent l="0" t="0" r="0" b="18415"/>
                <wp:wrapNone/>
                <wp:docPr id="14" name="Line 30"/>
                <wp:cNvGraphicFramePr/>
                <a:graphic xmlns:a="http://schemas.openxmlformats.org/drawingml/2006/main">
                  <a:graphicData uri="http://schemas.microsoft.com/office/word/2010/wordprocessingShape">
                    <wps:wsp>
                      <wps:cNvCnPr>
                        <a:cxnSpLocks noChangeShapeType="1"/>
                      </wps:cNvCnPr>
                      <wps:spPr bwMode="auto">
                        <a:xfrm flipH="1">
                          <a:off x="0" y="0"/>
                          <a:ext cx="6200775" cy="635"/>
                        </a:xfrm>
                        <a:prstGeom prst="line">
                          <a:avLst/>
                        </a:prstGeom>
                        <a:noFill/>
                        <a:ln w="9525">
                          <a:solidFill>
                            <a:srgbClr val="000000"/>
                          </a:solidFill>
                          <a:round/>
                        </a:ln>
                      </wps:spPr>
                      <wps:bodyPr/>
                    </wps:wsp>
                  </a:graphicData>
                </a:graphic>
              </wp:anchor>
            </w:drawing>
          </mc:Choice>
          <mc:Fallback>
            <w:pict>
              <v:line id="Line 30" o:spid="_x0000_s1026" o:spt="20" style="position:absolute;left:0pt;flip:x;margin-left:-1.3pt;margin-top:148.95pt;height:0.05pt;width:488.25pt;z-index:251672576;mso-width-relative:page;mso-height-relative:page;" filled="f" stroked="t" coordsize="21600,21600" o:gfxdata="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rqtTZ1wAAAAoBAAAPAAAAAAAAAAEAIAAA&#10;ACIAAABkcnMvZG93bnJldi54bWxQSwECFAAUAAAACACHTuJABhAu99QBAACtAwAADgAAAAAAAAAB&#10;ACAAAAAmAQAAZHJzL2Uyb0RvYy54bWxQSwUGAAAAAAYABgBZAQAAbAUAAAAA&#10;">
                <v:fill on="f" focussize="0,0"/>
                <v:stroke color="#000000" joinstyle="round"/>
                <v:imagedata o:title=""/>
                <o:lock v:ext="edit" aspectratio="f"/>
              </v:line>
            </w:pict>
          </mc:Fallback>
        </mc:AlternateContent>
      </w:r>
      <w:r>
        <w:rPr>
          <w:color w:val="auto"/>
        </w:rPr>
        <mc:AlternateContent>
          <mc:Choice Requires="wps">
            <w:drawing>
              <wp:anchor distT="0" distB="0" distL="114300" distR="114300" simplePos="0" relativeHeight="251671552" behindDoc="0" locked="0" layoutInCell="1" allowOverlap="1">
                <wp:simplePos x="0" y="0"/>
                <wp:positionH relativeFrom="column">
                  <wp:posOffset>-100330</wp:posOffset>
                </wp:positionH>
                <wp:positionV relativeFrom="paragraph">
                  <wp:posOffset>8915400</wp:posOffset>
                </wp:positionV>
                <wp:extent cx="6200775" cy="635"/>
                <wp:effectExtent l="0" t="0" r="0" b="18415"/>
                <wp:wrapNone/>
                <wp:docPr id="13" name="Line 29"/>
                <wp:cNvGraphicFramePr/>
                <a:graphic xmlns:a="http://schemas.openxmlformats.org/drawingml/2006/main">
                  <a:graphicData uri="http://schemas.microsoft.com/office/word/2010/wordprocessingShape">
                    <wps:wsp>
                      <wps:cNvCnPr>
                        <a:cxnSpLocks noChangeShapeType="1"/>
                      </wps:cNvCnPr>
                      <wps:spPr bwMode="auto">
                        <a:xfrm flipH="1">
                          <a:off x="0" y="0"/>
                          <a:ext cx="6200775" cy="635"/>
                        </a:xfrm>
                        <a:prstGeom prst="line">
                          <a:avLst/>
                        </a:prstGeom>
                        <a:noFill/>
                        <a:ln w="9525">
                          <a:solidFill>
                            <a:srgbClr val="000000"/>
                          </a:solidFill>
                          <a:round/>
                        </a:ln>
                      </wps:spPr>
                      <wps:bodyPr/>
                    </wps:wsp>
                  </a:graphicData>
                </a:graphic>
              </wp:anchor>
            </w:drawing>
          </mc:Choice>
          <mc:Fallback>
            <w:pict>
              <v:line id="Line 29" o:spid="_x0000_s1026" o:spt="20" style="position:absolute;left:0pt;flip:x;margin-left:-7.9pt;margin-top:702pt;height:0.05pt;width:488.25pt;z-index:251671552;mso-width-relative:page;mso-height-relative:page;" filled="f" stroked="t" coordsize="21600,21600" o:gfxdata="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ie2d/dkAAAANAQAADwAAAAAAAAABACAA&#10;AAAiAAAAZHJzL2Rvd25yZXYueG1sUEsBAhQAFAAAAAgAh07iQEuRhMbTAQAArQMAAA4AAAAAAAAA&#10;AQAgAAAAKAEAAGRycy9lMm9Eb2MueG1sUEsFBgAAAAAGAAYAWQEAAG0FAAAAAA==&#10;">
                <v:fill on="f" focussize="0,0"/>
                <v:stroke color="#000000" joinstyle="round"/>
                <v:imagedata o:title=""/>
                <o:lock v:ext="edit" aspectratio="f"/>
              </v:line>
            </w:pict>
          </mc:Fallback>
        </mc:AlternateContent>
      </w:r>
      <w:r>
        <w:rPr>
          <w:color w:val="auto"/>
        </w:rPr>
        <mc:AlternateContent>
          <mc:Choice Requires="wps">
            <w:drawing>
              <wp:anchor distT="0" distB="0" distL="114300" distR="114300" simplePos="0" relativeHeight="251670528" behindDoc="0" locked="0" layoutInCell="1" allowOverlap="1">
                <wp:simplePos x="0" y="0"/>
                <wp:positionH relativeFrom="column">
                  <wp:posOffset>-16510</wp:posOffset>
                </wp:positionH>
                <wp:positionV relativeFrom="paragraph">
                  <wp:posOffset>9041765</wp:posOffset>
                </wp:positionV>
                <wp:extent cx="6121400" cy="0"/>
                <wp:effectExtent l="0" t="0" r="0" b="0"/>
                <wp:wrapNone/>
                <wp:docPr id="12" name="Line 27"/>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FFFFFF"/>
                          </a:solidFill>
                          <a:round/>
                        </a:ln>
                      </wps:spPr>
                      <wps:bodyPr/>
                    </wps:wsp>
                  </a:graphicData>
                </a:graphic>
              </wp:anchor>
            </w:drawing>
          </mc:Choice>
          <mc:Fallback>
            <w:pict>
              <v:line id="Line 27" o:spid="_x0000_s1026" o:spt="20" style="position:absolute;left:0pt;margin-left:-1.3pt;margin-top:711.95pt;height:0pt;width:482pt;z-index:251670528;mso-width-relative:page;mso-height-relative:page;" filled="f" stroked="t" coordsize="21600,21600" o:gfxdata="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e+hEPNgAAAAMAQAADwAAAAAAAAABACAAAAAiAAAAZHJzL2Rv&#10;d25yZXYueG1sUEsBAhQAFAAAAAgAh07iQFOu1sDIAQAAogMAAA4AAAAAAAAAAQAgAAAAJwEAAGRy&#10;cy9lMm9Eb2MueG1sUEsFBgAAAAAGAAYAWQEAAGEFAAAAAA==&#10;">
                <v:fill on="f" focussize="0,0"/>
                <v:stroke weight="1pt" color="#FFFFFF" joinstyle="round"/>
                <v:imagedata o:title=""/>
                <o:lock v:ext="edit" aspectratio="f"/>
              </v:line>
            </w:pict>
          </mc:Fallback>
        </mc:AlternateContent>
      </w:r>
      <w:r>
        <w:rPr>
          <w:color w:val="auto"/>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8889365</wp:posOffset>
                </wp:positionV>
                <wp:extent cx="6121400" cy="0"/>
                <wp:effectExtent l="0" t="0" r="0" b="0"/>
                <wp:wrapNone/>
                <wp:docPr id="11" name="Line 25"/>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FFFFFF"/>
                          </a:solidFill>
                          <a:round/>
                        </a:ln>
                      </wps:spPr>
                      <wps:bodyPr/>
                    </wps:wsp>
                  </a:graphicData>
                </a:graphic>
              </wp:anchor>
            </w:drawing>
          </mc:Choice>
          <mc:Fallback>
            <w:pict>
              <v:line id="Line 25" o:spid="_x0000_s1026" o:spt="20" style="position:absolute;left:0pt;margin-left:0pt;margin-top:699.95pt;height:0pt;width:482pt;z-index:251669504;mso-width-relative:page;mso-height-relative:page;" filled="f" stroked="t" coordsize="21600,21600" o:gfxdata="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D1vx4/VAAAACgEAAA8AAAAAAAAAAQAgAAAAIgAAAGRycy9kb3du&#10;cmV2LnhtbFBLAQIUABQAAAAIAIdO4kDVal+MyQEAAKIDAAAOAAAAAAAAAAEAIAAAACQBAABkcnMv&#10;ZTJvRG9jLnhtbFBLBQYAAAAABgAGAFkBAABfBQAAAAA=&#10;">
                <v:fill on="f" focussize="0,0"/>
                <v:stroke weight="1pt" color="#FFFFFF" joinstyle="round"/>
                <v:imagedata o:title=""/>
                <o:lock v:ext="edit" aspectratio="f"/>
              </v:line>
            </w:pict>
          </mc:Fallback>
        </mc:AlternateContent>
      </w:r>
      <w:r>
        <w:rPr>
          <w:color w:val="auto"/>
        </w:rPr>
        <w:br w:type="page"/>
      </w:r>
      <w:bookmarkStart w:id="0" w:name="SectionMark0"/>
      <w:r>
        <w:rPr>
          <w:color w:val="auto"/>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2272030</wp:posOffset>
                </wp:positionV>
                <wp:extent cx="6121400" cy="0"/>
                <wp:effectExtent l="0" t="0" r="0" b="0"/>
                <wp:wrapNone/>
                <wp:docPr id="10" name="Line 10"/>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FFFFFF"/>
                          </a:solidFill>
                          <a:round/>
                        </a:ln>
                      </wps:spPr>
                      <wps:bodyPr/>
                    </wps:wsp>
                  </a:graphicData>
                </a:graphic>
              </wp:anchor>
            </w:drawing>
          </mc:Choice>
          <mc:Fallback>
            <w:pict>
              <v:line id="Line 10" o:spid="_x0000_s1026" o:spt="20" style="position:absolute;left:0pt;margin-left:0pt;margin-top:178.9pt;height:0pt;width:482pt;z-index:251667456;mso-width-relative:page;mso-height-relative:page;" filled="f" stroked="t" coordsize="21600,21600" o:gfxdata="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MTBUN1QAAAAgBAAAPAAAAAAAAAAEAIAAAACIAAABkcnMvZG93bnJl&#10;di54bWxQSwECFAAUAAAACACHTuJAgNCvjscBAACiAwAADgAAAAAAAAABACAAAAAkAQAAZHJzL2Uy&#10;b0RvYy54bWxQSwUGAAAAAAYABgBZAQAAXQUAAAAA&#10;">
                <v:fill on="f" focussize="0,0"/>
                <v:stroke weight="1pt" color="#FFFFFF" joinstyle="round"/>
                <v:imagedata o:title=""/>
                <o:lock v:ext="edit" aspectratio="f"/>
              </v:line>
            </w:pict>
          </mc:Fallback>
        </mc:AlternateContent>
      </w:r>
      <w:r>
        <w:rPr>
          <w:color w:val="auto"/>
        </w:rPr>
        <mc:AlternateContent>
          <mc:Choice Requires="wps">
            <w:drawing>
              <wp:anchor distT="0" distB="0" distL="114300" distR="114300" simplePos="0" relativeHeight="251666432" behindDoc="0" locked="1" layoutInCell="1" allowOverlap="1">
                <wp:simplePos x="0" y="0"/>
                <wp:positionH relativeFrom="margin">
                  <wp:posOffset>-200025</wp:posOffset>
                </wp:positionH>
                <wp:positionV relativeFrom="margin">
                  <wp:posOffset>9014460</wp:posOffset>
                </wp:positionV>
                <wp:extent cx="6467475" cy="639445"/>
                <wp:effectExtent l="0" t="0" r="0" b="0"/>
                <wp:wrapNone/>
                <wp:docPr id="9" name="fmFrame7"/>
                <wp:cNvGraphicFramePr/>
                <a:graphic xmlns:a="http://schemas.openxmlformats.org/drawingml/2006/main">
                  <a:graphicData uri="http://schemas.microsoft.com/office/word/2010/wordprocessingShape">
                    <wps:wsp>
                      <wps:cNvSpPr txBox="1">
                        <a:spLocks noChangeArrowheads="1"/>
                      </wps:cNvSpPr>
                      <wps:spPr bwMode="auto">
                        <a:xfrm>
                          <a:off x="0" y="0"/>
                          <a:ext cx="6467475" cy="639445"/>
                        </a:xfrm>
                        <a:prstGeom prst="rect">
                          <a:avLst/>
                        </a:prstGeom>
                        <a:solidFill>
                          <a:srgbClr val="FFFFFF"/>
                        </a:solidFill>
                        <a:ln>
                          <a:noFill/>
                        </a:ln>
                      </wps:spPr>
                      <wps:txbx>
                        <w:txbxContent>
                          <w:p w14:paraId="3422907D">
                            <w:pPr>
                              <w:pStyle w:val="35"/>
                              <w:spacing w:line="0" w:lineRule="atLeast"/>
                              <w:ind w:firstLine="433" w:firstLineChars="100"/>
                              <w:rPr>
                                <w:rStyle w:val="34"/>
                                <w:spacing w:val="0"/>
                              </w:rPr>
                            </w:pPr>
                            <w:r>
                              <w:rPr>
                                <w:rFonts w:hint="eastAsia"/>
                                <w:spacing w:val="0"/>
                                <w:sz w:val="32"/>
                              </w:rPr>
                              <w:t>国家市场监督管理总局</w:t>
                            </w:r>
                          </w:p>
                          <w:p w14:paraId="1C905BBE">
                            <w:pPr>
                              <w:jc w:val="center"/>
                            </w:pPr>
                            <w:r>
                              <w:rPr>
                                <w:rFonts w:hint="eastAsia"/>
                                <w:b/>
                                <w:spacing w:val="10"/>
                                <w:w w:val="135"/>
                                <w:sz w:val="32"/>
                              </w:rPr>
                              <w:t xml:space="preserve">       中国国家标准化管理委员会</w:t>
                            </w:r>
                            <w:r>
                              <w:rPr>
                                <w:rFonts w:hint="eastAsia"/>
                                <w:b/>
                                <w:sz w:val="32"/>
                              </w:rPr>
                              <w:t xml:space="preserve">   </w:t>
                            </w:r>
                            <w:r>
                              <w:rPr>
                                <w:rStyle w:val="34"/>
                                <w:rFonts w:hint="eastAsia"/>
                                <w:position w:val="18"/>
                                <w:sz w:val="32"/>
                              </w:rPr>
                              <w:t>发布</w:t>
                            </w:r>
                          </w:p>
                        </w:txbxContent>
                      </wps:txbx>
                      <wps:bodyPr rot="0" vert="horz" wrap="square" lIns="0" tIns="0" rIns="0" bIns="0" anchor="t" anchorCtr="0" upright="1">
                        <a:noAutofit/>
                      </wps:bodyPr>
                    </wps:wsp>
                  </a:graphicData>
                </a:graphic>
              </wp:anchor>
            </w:drawing>
          </mc:Choice>
          <mc:Fallback>
            <w:pict>
              <v:shape id="fmFrame7" o:spid="_x0000_s1026" o:spt="202" type="#_x0000_t202" style="position:absolute;left:0pt;margin-left:-15.75pt;margin-top:709.8pt;height:50.35pt;width:509.25pt;mso-position-horizontal-relative:margin;mso-position-vertical-relative:margin;z-index:251666432;mso-width-relative:page;mso-height-relative:page;" fillcolor="#FFFFFF" filled="t" stroked="f" coordsize="21600,21600" o:gfxdata="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lBcHitwAAAANAQAADwAA&#10;AAAAAAABACAAAAAiAAAAZHJzL2Rvd25yZXYueG1sUEsBAhQAFAAAAAgAh07iQP3SZWQSAgAAKwQA&#10;AA4AAAAAAAAAAQAgAAAAKwEAAGRycy9lMm9Eb2MueG1sUEsFBgAAAAAGAAYAWQEAAK8FAAAAAA==&#10;">
                <v:fill on="t" focussize="0,0"/>
                <v:stroke on="f"/>
                <v:imagedata o:title=""/>
                <o:lock v:ext="edit" aspectratio="f"/>
                <v:textbox inset="0mm,0mm,0mm,0mm">
                  <w:txbxContent>
                    <w:p w14:paraId="3422907D">
                      <w:pPr>
                        <w:pStyle w:val="35"/>
                        <w:spacing w:line="0" w:lineRule="atLeast"/>
                        <w:ind w:firstLine="433" w:firstLineChars="100"/>
                        <w:rPr>
                          <w:rStyle w:val="34"/>
                          <w:spacing w:val="0"/>
                        </w:rPr>
                      </w:pPr>
                      <w:r>
                        <w:rPr>
                          <w:rFonts w:hint="eastAsia"/>
                          <w:spacing w:val="0"/>
                          <w:sz w:val="32"/>
                        </w:rPr>
                        <w:t>国家市场监督管理总局</w:t>
                      </w:r>
                    </w:p>
                    <w:p w14:paraId="1C905BBE">
                      <w:pPr>
                        <w:jc w:val="center"/>
                      </w:pPr>
                      <w:r>
                        <w:rPr>
                          <w:rFonts w:hint="eastAsia"/>
                          <w:b/>
                          <w:spacing w:val="10"/>
                          <w:w w:val="135"/>
                          <w:sz w:val="32"/>
                        </w:rPr>
                        <w:t xml:space="preserve">       中国国家标准化管理委员会</w:t>
                      </w:r>
                      <w:r>
                        <w:rPr>
                          <w:rFonts w:hint="eastAsia"/>
                          <w:b/>
                          <w:sz w:val="32"/>
                        </w:rPr>
                        <w:t xml:space="preserve">   </w:t>
                      </w:r>
                      <w:r>
                        <w:rPr>
                          <w:rStyle w:val="34"/>
                          <w:rFonts w:hint="eastAsia"/>
                          <w:position w:val="18"/>
                          <w:sz w:val="32"/>
                        </w:rPr>
                        <w:t>发布</w:t>
                      </w:r>
                    </w:p>
                  </w:txbxContent>
                </v:textbox>
                <w10:anchorlock/>
              </v:shape>
            </w:pict>
          </mc:Fallback>
        </mc:AlternateContent>
      </w:r>
      <w:r>
        <w:rPr>
          <w:color w:val="auto"/>
        </w:rPr>
        <mc:AlternateContent>
          <mc:Choice Requires="wps">
            <w:drawing>
              <wp:anchor distT="0" distB="0" distL="114300" distR="114300" simplePos="0" relativeHeight="251665408" behindDoc="0" locked="1" layoutInCell="1" allowOverlap="1">
                <wp:simplePos x="0" y="0"/>
                <wp:positionH relativeFrom="margin">
                  <wp:posOffset>4067175</wp:posOffset>
                </wp:positionH>
                <wp:positionV relativeFrom="margin">
                  <wp:posOffset>8564245</wp:posOffset>
                </wp:positionV>
                <wp:extent cx="2019300" cy="351155"/>
                <wp:effectExtent l="0" t="0" r="0" b="0"/>
                <wp:wrapNone/>
                <wp:docPr id="8" name="fmFrame6"/>
                <wp:cNvGraphicFramePr/>
                <a:graphic xmlns:a="http://schemas.openxmlformats.org/drawingml/2006/main">
                  <a:graphicData uri="http://schemas.microsoft.com/office/word/2010/wordprocessingShape">
                    <wps:wsp>
                      <wps:cNvSpPr txBox="1">
                        <a:spLocks noChangeArrowheads="1"/>
                      </wps:cNvSpPr>
                      <wps:spPr bwMode="auto">
                        <a:xfrm>
                          <a:off x="0" y="0"/>
                          <a:ext cx="2019300" cy="351155"/>
                        </a:xfrm>
                        <a:prstGeom prst="rect">
                          <a:avLst/>
                        </a:prstGeom>
                        <a:solidFill>
                          <a:srgbClr val="FFFFFF"/>
                        </a:solidFill>
                        <a:ln>
                          <a:noFill/>
                        </a:ln>
                      </wps:spPr>
                      <wps:txbx>
                        <w:txbxContent>
                          <w:p w14:paraId="567C75FA">
                            <w:pPr>
                              <w:pStyle w:val="45"/>
                            </w:pPr>
                            <w:r>
                              <w:rPr>
                                <w:rFonts w:hint="eastAsia"/>
                              </w:rPr>
                              <w:t>20</w:t>
                            </w:r>
                            <w:r>
                              <w:t>2</w:t>
                            </w:r>
                            <w:r>
                              <w:rPr>
                                <w:rFonts w:hint="eastAsia"/>
                              </w:rPr>
                              <w:t>×-××-××实施</w:t>
                            </w:r>
                          </w:p>
                        </w:txbxContent>
                      </wps:txbx>
                      <wps:bodyPr rot="0" vert="horz" wrap="square" lIns="0" tIns="0" rIns="0" bIns="0" anchor="t" anchorCtr="0" upright="1">
                        <a:noAutofit/>
                      </wps:bodyPr>
                    </wps:wsp>
                  </a:graphicData>
                </a:graphic>
              </wp:anchor>
            </w:drawing>
          </mc:Choice>
          <mc:Fallback>
            <w:pict>
              <v:shape id="fmFrame6" o:spid="_x0000_s1026" o:spt="202" type="#_x0000_t202" style="position:absolute;left:0pt;margin-left:320.25pt;margin-top:674.35pt;height:27.65pt;width:159pt;mso-position-horizontal-relative:margin;mso-position-vertical-relative:margin;z-index:251665408;mso-width-relative:page;mso-height-relative:page;" fillcolor="#FFFFFF" filled="t" stroked="f" coordsize="21600,21600" o:gfxdata="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z6y9NoAAAANAQAADwAAAAAAAAAB&#10;ACAAAAAiAAAAZHJzL2Rvd25yZXYueG1sUEsBAhQAFAAAAAgAh07iQFOeVBEOAgAAKwQAAA4AAAAA&#10;AAAAAQAgAAAAKQEAAGRycy9lMm9Eb2MueG1sUEsFBgAAAAAGAAYAWQEAAKkFAAAAAA==&#10;">
                <v:fill on="t" focussize="0,0"/>
                <v:stroke on="f"/>
                <v:imagedata o:title=""/>
                <o:lock v:ext="edit" aspectratio="f"/>
                <v:textbox inset="0mm,0mm,0mm,0mm">
                  <w:txbxContent>
                    <w:p w14:paraId="567C75FA">
                      <w:pPr>
                        <w:pStyle w:val="45"/>
                      </w:pPr>
                      <w:r>
                        <w:rPr>
                          <w:rFonts w:hint="eastAsia"/>
                        </w:rPr>
                        <w:t>20</w:t>
                      </w:r>
                      <w:r>
                        <w:t>2</w:t>
                      </w:r>
                      <w:r>
                        <w:rPr>
                          <w:rFonts w:hint="eastAsia"/>
                        </w:rPr>
                        <w:t>×-××-××实施</w:t>
                      </w:r>
                    </w:p>
                  </w:txbxContent>
                </v:textbox>
                <w10:anchorlock/>
              </v:shape>
            </w:pict>
          </mc:Fallback>
        </mc:AlternateContent>
      </w:r>
      <w:r>
        <w:rPr>
          <w:color w:val="auto"/>
        </w:rPr>
        <mc:AlternateContent>
          <mc:Choice Requires="wps">
            <w:drawing>
              <wp:anchor distT="0" distB="0" distL="114300" distR="114300" simplePos="0" relativeHeight="251664384" behindDoc="0" locked="1" layoutInCell="1" allowOverlap="1">
                <wp:simplePos x="0" y="0"/>
                <wp:positionH relativeFrom="margin">
                  <wp:posOffset>0</wp:posOffset>
                </wp:positionH>
                <wp:positionV relativeFrom="margin">
                  <wp:posOffset>8564245</wp:posOffset>
                </wp:positionV>
                <wp:extent cx="2019300" cy="351155"/>
                <wp:effectExtent l="0" t="0" r="0" b="0"/>
                <wp:wrapNone/>
                <wp:docPr id="7" name="fmFrame5"/>
                <wp:cNvGraphicFramePr/>
                <a:graphic xmlns:a="http://schemas.openxmlformats.org/drawingml/2006/main">
                  <a:graphicData uri="http://schemas.microsoft.com/office/word/2010/wordprocessingShape">
                    <wps:wsp>
                      <wps:cNvSpPr txBox="1">
                        <a:spLocks noChangeArrowheads="1"/>
                      </wps:cNvSpPr>
                      <wps:spPr bwMode="auto">
                        <a:xfrm>
                          <a:off x="0" y="0"/>
                          <a:ext cx="2019300" cy="351155"/>
                        </a:xfrm>
                        <a:prstGeom prst="rect">
                          <a:avLst/>
                        </a:prstGeom>
                        <a:solidFill>
                          <a:srgbClr val="FFFFFF"/>
                        </a:solidFill>
                        <a:ln>
                          <a:noFill/>
                        </a:ln>
                      </wps:spPr>
                      <wps:txbx>
                        <w:txbxContent>
                          <w:p w14:paraId="148F8C45">
                            <w:pPr>
                              <w:pStyle w:val="36"/>
                            </w:pPr>
                            <w:r>
                              <w:rPr>
                                <w:rFonts w:hint="eastAsia"/>
                              </w:rPr>
                              <w:t>20</w:t>
                            </w:r>
                            <w:r>
                              <w:t>2</w:t>
                            </w:r>
                            <w:r>
                              <w:rPr>
                                <w:rFonts w:hint="eastAsia"/>
                              </w:rPr>
                              <w:t>×-××-××发布</w:t>
                            </w:r>
                          </w:p>
                        </w:txbxContent>
                      </wps:txbx>
                      <wps:bodyPr rot="0" vert="horz" wrap="square" lIns="0" tIns="0" rIns="0" bIns="0" anchor="t" anchorCtr="0" upright="1">
                        <a:noAutofit/>
                      </wps:bodyPr>
                    </wps:wsp>
                  </a:graphicData>
                </a:graphic>
              </wp:anchor>
            </w:drawing>
          </mc:Choice>
          <mc:Fallback>
            <w:pict>
              <v:shape id="fmFrame5" o:spid="_x0000_s1026" o:spt="202" type="#_x0000_t202" style="position:absolute;left:0pt;margin-left:0pt;margin-top:674.35pt;height:27.65pt;width:159pt;mso-position-horizontal-relative:margin;mso-position-vertical-relative:margin;z-index:251664384;mso-width-relative:page;mso-height-relative:page;" fillcolor="#FFFFFF" filled="t" stroked="f" coordsize="21600,21600" o:gfxdata="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ovu3zYAAAACgEAAA8AAAAAAAAAAQAg&#10;AAAAIgAAAGRycy9kb3ducmV2LnhtbFBLAQIUABQAAAAIAIdO4kARFs4iDgIAACsEAAAOAAAAAAAA&#10;AAEAIAAAACcBAABkcnMvZTJvRG9jLnhtbFBLBQYAAAAABgAGAFkBAACnBQAAAAA=&#10;">
                <v:fill on="t" focussize="0,0"/>
                <v:stroke on="f"/>
                <v:imagedata o:title=""/>
                <o:lock v:ext="edit" aspectratio="f"/>
                <v:textbox inset="0mm,0mm,0mm,0mm">
                  <w:txbxContent>
                    <w:p w14:paraId="148F8C45">
                      <w:pPr>
                        <w:pStyle w:val="36"/>
                      </w:pPr>
                      <w:r>
                        <w:rPr>
                          <w:rFonts w:hint="eastAsia"/>
                        </w:rPr>
                        <w:t>20</w:t>
                      </w:r>
                      <w:r>
                        <w:t>2</w:t>
                      </w:r>
                      <w:r>
                        <w:rPr>
                          <w:rFonts w:hint="eastAsia"/>
                        </w:rPr>
                        <w:t>×-××-××发布</w:t>
                      </w:r>
                    </w:p>
                  </w:txbxContent>
                </v:textbox>
                <w10:anchorlock/>
              </v:shape>
            </w:pict>
          </mc:Fallback>
        </mc:AlternateContent>
      </w:r>
      <w:r>
        <w:rPr>
          <w:color w:val="auto"/>
        </w:rPr>
        <mc:AlternateContent>
          <mc:Choice Requires="wps">
            <w:drawing>
              <wp:anchor distT="0" distB="0" distL="114300" distR="114300" simplePos="0" relativeHeight="251663360" behindDoc="0" locked="1" layoutInCell="1" allowOverlap="1">
                <wp:simplePos x="0" y="0"/>
                <wp:positionH relativeFrom="margin">
                  <wp:posOffset>0</wp:posOffset>
                </wp:positionH>
                <wp:positionV relativeFrom="margin">
                  <wp:posOffset>3635375</wp:posOffset>
                </wp:positionV>
                <wp:extent cx="5969000" cy="4487545"/>
                <wp:effectExtent l="0" t="0" r="0" b="0"/>
                <wp:wrapNone/>
                <wp:docPr id="6" name="fmFrame4"/>
                <wp:cNvGraphicFramePr/>
                <a:graphic xmlns:a="http://schemas.openxmlformats.org/drawingml/2006/main">
                  <a:graphicData uri="http://schemas.microsoft.com/office/word/2010/wordprocessingShape">
                    <wps:wsp>
                      <wps:cNvSpPr txBox="1">
                        <a:spLocks noChangeArrowheads="1"/>
                      </wps:cNvSpPr>
                      <wps:spPr bwMode="auto">
                        <a:xfrm>
                          <a:off x="0" y="0"/>
                          <a:ext cx="5969000" cy="4487545"/>
                        </a:xfrm>
                        <a:prstGeom prst="rect">
                          <a:avLst/>
                        </a:prstGeom>
                        <a:solidFill>
                          <a:srgbClr val="FFFFFF"/>
                        </a:solidFill>
                        <a:ln>
                          <a:noFill/>
                        </a:ln>
                      </wps:spPr>
                      <wps:txbx>
                        <w:txbxContent>
                          <w:p w14:paraId="51FFF814">
                            <w:pPr>
                              <w:pStyle w:val="40"/>
                            </w:pPr>
                            <w:r>
                              <w:rPr>
                                <w:rFonts w:hint="eastAsia"/>
                                <w:b/>
                              </w:rPr>
                              <w:t>钇 镁 合 金</w:t>
                            </w:r>
                          </w:p>
                          <w:p w14:paraId="08B45341">
                            <w:pPr>
                              <w:pStyle w:val="42"/>
                            </w:pPr>
                            <w:r>
                              <w:rPr>
                                <w:rFonts w:hint="eastAsia"/>
                                <w:b/>
                                <w:sz w:val="32"/>
                                <w:szCs w:val="32"/>
                              </w:rPr>
                              <w:t xml:space="preserve">Yttrium-Magnesium </w:t>
                            </w:r>
                            <w:r>
                              <w:rPr>
                                <w:rFonts w:hint="eastAsia"/>
                                <w:b/>
                                <w:sz w:val="32"/>
                                <w:szCs w:val="32"/>
                                <w:highlight w:val="none"/>
                                <w:lang w:val="en-US" w:eastAsia="zh-CN"/>
                              </w:rPr>
                              <w:t>A</w:t>
                            </w:r>
                            <w:r>
                              <w:rPr>
                                <w:rFonts w:hint="eastAsia"/>
                                <w:b/>
                                <w:sz w:val="32"/>
                                <w:szCs w:val="32"/>
                              </w:rPr>
                              <w:t>lloy</w:t>
                            </w:r>
                          </w:p>
                          <w:p w14:paraId="5EFB43BC">
                            <w:pPr>
                              <w:pStyle w:val="41"/>
                            </w:pPr>
                          </w:p>
                          <w:p w14:paraId="52836F52">
                            <w:pPr>
                              <w:pStyle w:val="41"/>
                            </w:pPr>
                            <w:r>
                              <w:rPr>
                                <w:rFonts w:hint="eastAsia"/>
                              </w:rPr>
                              <w:t>（</w:t>
                            </w:r>
                            <w:r>
                              <w:rPr>
                                <w:rFonts w:hint="eastAsia"/>
                                <w:lang w:val="en-US" w:eastAsia="zh-CN"/>
                              </w:rPr>
                              <w:t>送审稿</w:t>
                            </w:r>
                            <w:r>
                              <w:rPr>
                                <w:rFonts w:hint="eastAsia"/>
                              </w:rPr>
                              <w:t>）</w:t>
                            </w:r>
                            <w:r>
                              <w:rPr>
                                <w:rFonts w:hAnsi="宋体"/>
                                <w:szCs w:val="28"/>
                              </w:rPr>
                              <w:br w:type="textWrapping"/>
                            </w:r>
                          </w:p>
                        </w:txbxContent>
                      </wps:txbx>
                      <wps:bodyPr rot="0" vert="horz" wrap="square" lIns="0" tIns="0" rIns="0" bIns="0" anchor="t" anchorCtr="0" upright="1">
                        <a:noAutofit/>
                      </wps:bodyPr>
                    </wps:wsp>
                  </a:graphicData>
                </a:graphic>
              </wp:anchor>
            </w:drawing>
          </mc:Choice>
          <mc:Fallback>
            <w:pict>
              <v:shape id="fmFrame4" o:spid="_x0000_s1026" o:spt="202" type="#_x0000_t202" style="position:absolute;left:0pt;margin-left:0pt;margin-top:286.25pt;height:353.35pt;width:470pt;mso-position-horizontal-relative:margin;mso-position-vertical-relative:margin;z-index:251663360;mso-width-relative:page;mso-height-relative:page;" fillcolor="#FFFFFF" filled="t" stroked="f" coordsize="21600,21600" o:gfxdata="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Y42jHYAAAACQEAAA8AAAAAAAAA&#10;AQAgAAAAIgAAAGRycy9kb3ducmV2LnhtbFBLAQIUABQAAAAIAIdO4kCynndxEQIAACwEAAAOAAAA&#10;AAAAAAEAIAAAACcBAABkcnMvZTJvRG9jLnhtbFBLBQYAAAAABgAGAFkBAACqBQAAAAA=&#10;">
                <v:fill on="t" focussize="0,0"/>
                <v:stroke on="f"/>
                <v:imagedata o:title=""/>
                <o:lock v:ext="edit" aspectratio="f"/>
                <v:textbox inset="0mm,0mm,0mm,0mm">
                  <w:txbxContent>
                    <w:p w14:paraId="51FFF814">
                      <w:pPr>
                        <w:pStyle w:val="40"/>
                      </w:pPr>
                      <w:r>
                        <w:rPr>
                          <w:rFonts w:hint="eastAsia"/>
                          <w:b/>
                        </w:rPr>
                        <w:t>钇 镁 合 金</w:t>
                      </w:r>
                    </w:p>
                    <w:p w14:paraId="08B45341">
                      <w:pPr>
                        <w:pStyle w:val="42"/>
                      </w:pPr>
                      <w:r>
                        <w:rPr>
                          <w:rFonts w:hint="eastAsia"/>
                          <w:b/>
                          <w:sz w:val="32"/>
                          <w:szCs w:val="32"/>
                        </w:rPr>
                        <w:t xml:space="preserve">Yttrium-Magnesium </w:t>
                      </w:r>
                      <w:r>
                        <w:rPr>
                          <w:rFonts w:hint="eastAsia"/>
                          <w:b/>
                          <w:sz w:val="32"/>
                          <w:szCs w:val="32"/>
                          <w:highlight w:val="none"/>
                          <w:lang w:val="en-US" w:eastAsia="zh-CN"/>
                        </w:rPr>
                        <w:t>A</w:t>
                      </w:r>
                      <w:r>
                        <w:rPr>
                          <w:rFonts w:hint="eastAsia"/>
                          <w:b/>
                          <w:sz w:val="32"/>
                          <w:szCs w:val="32"/>
                        </w:rPr>
                        <w:t>lloy</w:t>
                      </w:r>
                    </w:p>
                    <w:p w14:paraId="5EFB43BC">
                      <w:pPr>
                        <w:pStyle w:val="41"/>
                      </w:pPr>
                    </w:p>
                    <w:p w14:paraId="52836F52">
                      <w:pPr>
                        <w:pStyle w:val="41"/>
                      </w:pPr>
                      <w:r>
                        <w:rPr>
                          <w:rFonts w:hint="eastAsia"/>
                        </w:rPr>
                        <w:t>（</w:t>
                      </w:r>
                      <w:r>
                        <w:rPr>
                          <w:rFonts w:hint="eastAsia"/>
                          <w:lang w:val="en-US" w:eastAsia="zh-CN"/>
                        </w:rPr>
                        <w:t>送审稿</w:t>
                      </w:r>
                      <w:r>
                        <w:rPr>
                          <w:rFonts w:hint="eastAsia"/>
                        </w:rPr>
                        <w:t>）</w:t>
                      </w:r>
                      <w:r>
                        <w:rPr>
                          <w:rFonts w:hAnsi="宋体"/>
                          <w:szCs w:val="28"/>
                        </w:rPr>
                        <w:br w:type="textWrapping"/>
                      </w:r>
                    </w:p>
                  </w:txbxContent>
                </v:textbox>
                <w10:anchorlock/>
              </v:shape>
            </w:pict>
          </mc:Fallback>
        </mc:AlternateContent>
      </w:r>
      <w:r>
        <w:rPr>
          <w:color w:val="auto"/>
        </w:rPr>
        <mc:AlternateContent>
          <mc:Choice Requires="wps">
            <w:drawing>
              <wp:anchor distT="0" distB="0" distL="114300" distR="114300" simplePos="0" relativeHeight="251659264" behindDoc="0" locked="1" layoutInCell="1" allowOverlap="1">
                <wp:simplePos x="0" y="0"/>
                <wp:positionH relativeFrom="margin">
                  <wp:posOffset>0</wp:posOffset>
                </wp:positionH>
                <wp:positionV relativeFrom="margin">
                  <wp:posOffset>1293495</wp:posOffset>
                </wp:positionV>
                <wp:extent cx="6134100" cy="860425"/>
                <wp:effectExtent l="0" t="0" r="0" b="0"/>
                <wp:wrapNone/>
                <wp:docPr id="5" name="fmFrame3"/>
                <wp:cNvGraphicFramePr/>
                <a:graphic xmlns:a="http://schemas.openxmlformats.org/drawingml/2006/main">
                  <a:graphicData uri="http://schemas.microsoft.com/office/word/2010/wordprocessingShape">
                    <wps:wsp>
                      <wps:cNvSpPr txBox="1">
                        <a:spLocks noChangeArrowheads="1"/>
                      </wps:cNvSpPr>
                      <wps:spPr bwMode="auto">
                        <a:xfrm>
                          <a:off x="0" y="0"/>
                          <a:ext cx="6134100" cy="860425"/>
                        </a:xfrm>
                        <a:prstGeom prst="rect">
                          <a:avLst/>
                        </a:prstGeom>
                        <a:solidFill>
                          <a:srgbClr val="FFFFFF"/>
                        </a:solidFill>
                        <a:ln>
                          <a:noFill/>
                        </a:ln>
                      </wps:spPr>
                      <wps:txbx>
                        <w:txbxContent>
                          <w:p w14:paraId="612C5909">
                            <w:pPr>
                              <w:pStyle w:val="38"/>
                            </w:pPr>
                            <w:r>
                              <w:t>GB/T ××××—</w:t>
                            </w:r>
                            <w:r>
                              <w:rPr>
                                <w:rFonts w:hint="eastAsia"/>
                              </w:rPr>
                              <w:t>20</w:t>
                            </w:r>
                            <w:r>
                              <w:t>2×</w:t>
                            </w:r>
                          </w:p>
                          <w:p w14:paraId="499E7A59">
                            <w:pPr>
                              <w:pStyle w:val="37"/>
                              <w:kinsoku w:val="0"/>
                              <w:wordWrap w:val="0"/>
                              <w:overflowPunct w:val="0"/>
                              <w:autoSpaceDE w:val="0"/>
                              <w:autoSpaceDN w:val="0"/>
                              <w:spacing w:before="0" w:line="320" w:lineRule="exact"/>
                              <w:rPr>
                                <w:rFonts w:hint="eastAsia" w:eastAsia="宋体"/>
                                <w:lang w:eastAsia="zh-CN"/>
                              </w:rPr>
                            </w:pPr>
                            <w:r>
                              <w:rPr>
                                <w:rFonts w:hint="default"/>
                                <w:sz w:val="21"/>
                                <w:szCs w:val="21"/>
                              </w:rPr>
                              <w:t xml:space="preserve">代替 GB/T </w:t>
                            </w:r>
                            <w:r>
                              <w:rPr>
                                <w:rFonts w:hint="default"/>
                                <w:sz w:val="21"/>
                                <w:szCs w:val="21"/>
                                <w:lang w:val="en-US" w:eastAsia="zh-CN"/>
                              </w:rPr>
                              <w:t>2965</w:t>
                            </w:r>
                            <w:r>
                              <w:rPr>
                                <w:rFonts w:hint="eastAsia"/>
                                <w:sz w:val="21"/>
                                <w:szCs w:val="21"/>
                                <w:lang w:val="en-US" w:eastAsia="zh-CN"/>
                              </w:rPr>
                              <w:t>7</w:t>
                            </w:r>
                            <w:r>
                              <w:rPr>
                                <w:rFonts w:hint="default"/>
                                <w:sz w:val="21"/>
                                <w:szCs w:val="21"/>
                              </w:rPr>
                              <w:t>—201</w:t>
                            </w:r>
                            <w:r>
                              <w:rPr>
                                <w:rFonts w:hint="eastAsia"/>
                                <w:sz w:val="21"/>
                                <w:szCs w:val="21"/>
                                <w:lang w:val="en-US" w:eastAsia="zh-CN"/>
                              </w:rPr>
                              <w:t>3</w:t>
                            </w:r>
                          </w:p>
                          <w:p w14:paraId="02439004">
                            <w:pPr>
                              <w:pStyle w:val="37"/>
                            </w:pPr>
                          </w:p>
                        </w:txbxContent>
                      </wps:txbx>
                      <wps:bodyPr rot="0" vert="horz" wrap="square" lIns="0" tIns="0" rIns="0" bIns="0" anchor="t" anchorCtr="0" upright="1">
                        <a:noAutofit/>
                      </wps:bodyPr>
                    </wps:wsp>
                  </a:graphicData>
                </a:graphic>
              </wp:anchor>
            </w:drawing>
          </mc:Choice>
          <mc:Fallback>
            <w:pict>
              <v:shape id="fmFrame3" o:spid="_x0000_s1026" o:spt="202" type="#_x0000_t202" style="position:absolute;left:0pt;margin-left:0pt;margin-top:101.85pt;height:67.75pt;width:483pt;mso-position-horizontal-relative:margin;mso-position-vertical-relative:margin;z-index:251659264;mso-width-relative:page;mso-height-relative:page;" fillcolor="#FFFFFF" filled="t" stroked="f" coordsize="21600,21600" o:gfxdata="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8pkYLdgAAAAIAQAADwAAAAAAAAAB&#10;ACAAAAAiAAAAZHJzL2Rvd25yZXYueG1sUEsBAhQAFAAAAAgAh07iQFmrVYkQAgAAKwQAAA4AAAAA&#10;AAAAAQAgAAAAJwEAAGRycy9lMm9Eb2MueG1sUEsFBgAAAAAGAAYAWQEAAKkFAAAAAA==&#10;">
                <v:fill on="t" focussize="0,0"/>
                <v:stroke on="f"/>
                <v:imagedata o:title=""/>
                <o:lock v:ext="edit" aspectratio="f"/>
                <v:textbox inset="0mm,0mm,0mm,0mm">
                  <w:txbxContent>
                    <w:p w14:paraId="612C5909">
                      <w:pPr>
                        <w:pStyle w:val="38"/>
                      </w:pPr>
                      <w:r>
                        <w:t>GB/T ××××—</w:t>
                      </w:r>
                      <w:r>
                        <w:rPr>
                          <w:rFonts w:hint="eastAsia"/>
                        </w:rPr>
                        <w:t>20</w:t>
                      </w:r>
                      <w:r>
                        <w:t>2×</w:t>
                      </w:r>
                    </w:p>
                    <w:p w14:paraId="499E7A59">
                      <w:pPr>
                        <w:pStyle w:val="37"/>
                        <w:kinsoku w:val="0"/>
                        <w:wordWrap w:val="0"/>
                        <w:overflowPunct w:val="0"/>
                        <w:autoSpaceDE w:val="0"/>
                        <w:autoSpaceDN w:val="0"/>
                        <w:spacing w:before="0" w:line="320" w:lineRule="exact"/>
                        <w:rPr>
                          <w:rFonts w:hint="eastAsia" w:eastAsia="宋体"/>
                          <w:lang w:eastAsia="zh-CN"/>
                        </w:rPr>
                      </w:pPr>
                      <w:r>
                        <w:rPr>
                          <w:rFonts w:hint="default"/>
                          <w:sz w:val="21"/>
                          <w:szCs w:val="21"/>
                        </w:rPr>
                        <w:t xml:space="preserve">代替 GB/T </w:t>
                      </w:r>
                      <w:r>
                        <w:rPr>
                          <w:rFonts w:hint="default"/>
                          <w:sz w:val="21"/>
                          <w:szCs w:val="21"/>
                          <w:lang w:val="en-US" w:eastAsia="zh-CN"/>
                        </w:rPr>
                        <w:t>2965</w:t>
                      </w:r>
                      <w:r>
                        <w:rPr>
                          <w:rFonts w:hint="eastAsia"/>
                          <w:sz w:val="21"/>
                          <w:szCs w:val="21"/>
                          <w:lang w:val="en-US" w:eastAsia="zh-CN"/>
                        </w:rPr>
                        <w:t>7</w:t>
                      </w:r>
                      <w:r>
                        <w:rPr>
                          <w:rFonts w:hint="default"/>
                          <w:sz w:val="21"/>
                          <w:szCs w:val="21"/>
                        </w:rPr>
                        <w:t>—201</w:t>
                      </w:r>
                      <w:r>
                        <w:rPr>
                          <w:rFonts w:hint="eastAsia"/>
                          <w:sz w:val="21"/>
                          <w:szCs w:val="21"/>
                          <w:lang w:val="en-US" w:eastAsia="zh-CN"/>
                        </w:rPr>
                        <w:t>3</w:t>
                      </w:r>
                    </w:p>
                    <w:p w14:paraId="02439004">
                      <w:pPr>
                        <w:pStyle w:val="37"/>
                      </w:pPr>
                    </w:p>
                  </w:txbxContent>
                </v:textbox>
                <w10:anchorlock/>
              </v:shape>
            </w:pict>
          </mc:Fallback>
        </mc:AlternateContent>
      </w:r>
      <w:r>
        <w:rPr>
          <w:color w:val="auto"/>
        </w:rPr>
        <w:drawing>
          <wp:anchor distT="0" distB="0" distL="114300" distR="114300" simplePos="0" relativeHeight="251662336" behindDoc="0" locked="1" layoutInCell="1" allowOverlap="1">
            <wp:simplePos x="0" y="0"/>
            <wp:positionH relativeFrom="margin">
              <wp:posOffset>4284345</wp:posOffset>
            </wp:positionH>
            <wp:positionV relativeFrom="margin">
              <wp:posOffset>107315</wp:posOffset>
            </wp:positionV>
            <wp:extent cx="1403350" cy="720090"/>
            <wp:effectExtent l="19050" t="0" r="6350" b="0"/>
            <wp:wrapNone/>
            <wp:docPr id="4" name="HBPicture" descr="GB"/>
            <wp:cNvGraphicFramePr/>
            <a:graphic xmlns:a="http://schemas.openxmlformats.org/drawingml/2006/main">
              <a:graphicData uri="http://schemas.openxmlformats.org/drawingml/2006/picture">
                <pic:pic xmlns:pic="http://schemas.openxmlformats.org/drawingml/2006/picture">
                  <pic:nvPicPr>
                    <pic:cNvPr id="4" name="HBPicture" descr="GB"/>
                    <pic:cNvPicPr>
                      <a:picLocks noChangeArrowheads="1"/>
                    </pic:cNvPicPr>
                  </pic:nvPicPr>
                  <pic:blipFill>
                    <a:blip r:embed="rId10" cstate="print"/>
                    <a:srcRect/>
                    <a:stretch>
                      <a:fillRect/>
                    </a:stretch>
                  </pic:blipFill>
                  <pic:spPr>
                    <a:xfrm>
                      <a:off x="0" y="0"/>
                      <a:ext cx="1403350" cy="720090"/>
                    </a:xfrm>
                    <a:prstGeom prst="rect">
                      <a:avLst/>
                    </a:prstGeom>
                    <a:noFill/>
                    <a:ln w="9525">
                      <a:noFill/>
                      <a:miter lim="800000"/>
                      <a:headEnd/>
                      <a:tailEnd/>
                    </a:ln>
                  </pic:spPr>
                </pic:pic>
              </a:graphicData>
            </a:graphic>
          </wp:anchor>
        </w:drawing>
      </w:r>
      <w:r>
        <w:rPr>
          <w:color w:val="auto"/>
        </w:rPr>
        <mc:AlternateContent>
          <mc:Choice Requires="wps">
            <w:drawing>
              <wp:anchor distT="0" distB="0" distL="114300" distR="114300" simplePos="0" relativeHeight="251661312" behindDoc="0" locked="1" layoutInCell="1" allowOverlap="1">
                <wp:simplePos x="0" y="0"/>
                <wp:positionH relativeFrom="margin">
                  <wp:posOffset>0</wp:posOffset>
                </wp:positionH>
                <wp:positionV relativeFrom="margin">
                  <wp:posOffset>1010920</wp:posOffset>
                </wp:positionV>
                <wp:extent cx="6120130" cy="391160"/>
                <wp:effectExtent l="0" t="0" r="0" b="0"/>
                <wp:wrapNone/>
                <wp:docPr id="3" name="fmFrame2"/>
                <wp:cNvGraphicFramePr/>
                <a:graphic xmlns:a="http://schemas.openxmlformats.org/drawingml/2006/main">
                  <a:graphicData uri="http://schemas.microsoft.com/office/word/2010/wordprocessingShape">
                    <wps:wsp>
                      <wps:cNvSpPr txBox="1">
                        <a:spLocks noChangeArrowheads="1"/>
                      </wps:cNvSpPr>
                      <wps:spPr bwMode="auto">
                        <a:xfrm>
                          <a:off x="0" y="0"/>
                          <a:ext cx="6120130" cy="391160"/>
                        </a:xfrm>
                        <a:prstGeom prst="rect">
                          <a:avLst/>
                        </a:prstGeom>
                        <a:solidFill>
                          <a:srgbClr val="FFFFFF"/>
                        </a:solidFill>
                        <a:ln>
                          <a:noFill/>
                        </a:ln>
                      </wps:spPr>
                      <wps:txbx>
                        <w:txbxContent>
                          <w:p w14:paraId="64237D6F">
                            <w:pPr>
                              <w:pStyle w:val="32"/>
                            </w:pPr>
                            <w:r>
                              <w:rPr>
                                <w:rFonts w:hint="eastAsia"/>
                              </w:rPr>
                              <w:t>中华人民共和国国家标准</w:t>
                            </w:r>
                          </w:p>
                        </w:txbxContent>
                      </wps:txbx>
                      <wps:bodyPr rot="0" vert="horz" wrap="square" lIns="0" tIns="0" rIns="0" bIns="0" anchor="t" anchorCtr="0" upright="1">
                        <a:noAutofit/>
                      </wps:bodyPr>
                    </wps:wsp>
                  </a:graphicData>
                </a:graphic>
              </wp:anchor>
            </w:drawing>
          </mc:Choice>
          <mc:Fallback>
            <w:pict>
              <v:shape id="fmFrame2" o:spid="_x0000_s1026" o:spt="202" type="#_x0000_t202" style="position:absolute;left:0pt;margin-left:0pt;margin-top:79.6pt;height:30.8pt;width:481.9pt;mso-position-horizontal-relative:margin;mso-position-vertical-relative:margin;z-index:251661312;mso-width-relative:page;mso-height-relative:page;" fillcolor="#FFFFFF" filled="t" stroked="f" coordsize="21600,21600" o:gfxdata="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Rg5HBdcAAAAIAQAADwAAAAAAAAABACAA&#10;AAAiAAAAZHJzL2Rvd25yZXYueG1sUEsBAhQAFAAAAAgAh07iQL1ajLsOAgAAKwQAAA4AAAAAAAAA&#10;AQAgAAAAJgEAAGRycy9lMm9Eb2MueG1sUEsFBgAAAAAGAAYAWQEAAKYFAAAAAA==&#10;">
                <v:fill on="t" focussize="0,0"/>
                <v:stroke on="f"/>
                <v:imagedata o:title=""/>
                <o:lock v:ext="edit" aspectratio="f"/>
                <v:textbox inset="0mm,0mm,0mm,0mm">
                  <w:txbxContent>
                    <w:p w14:paraId="64237D6F">
                      <w:pPr>
                        <w:pStyle w:val="32"/>
                      </w:pPr>
                      <w:r>
                        <w:rPr>
                          <w:rFonts w:hint="eastAsia"/>
                        </w:rPr>
                        <w:t>中华人民共和国国家标准</w:t>
                      </w:r>
                    </w:p>
                  </w:txbxContent>
                </v:textbox>
                <w10:anchorlock/>
              </v:shape>
            </w:pict>
          </mc:Fallback>
        </mc:AlternateContent>
      </w:r>
      <w:r>
        <w:rPr>
          <w:color w:val="auto"/>
        </w:rPr>
        <mc:AlternateContent>
          <mc:Choice Requires="wps">
            <w:drawing>
              <wp:anchor distT="0" distB="0" distL="114300" distR="114300" simplePos="0" relativeHeight="251660288" behindDoc="0" locked="1" layoutInCell="1" allowOverlap="1">
                <wp:simplePos x="0" y="0"/>
                <wp:positionH relativeFrom="margin">
                  <wp:posOffset>0</wp:posOffset>
                </wp:positionH>
                <wp:positionV relativeFrom="margin">
                  <wp:posOffset>0</wp:posOffset>
                </wp:positionV>
                <wp:extent cx="2540000" cy="657860"/>
                <wp:effectExtent l="0" t="0" r="0" b="0"/>
                <wp:wrapNone/>
                <wp:docPr id="2" name="fmFrame1"/>
                <wp:cNvGraphicFramePr/>
                <a:graphic xmlns:a="http://schemas.openxmlformats.org/drawingml/2006/main">
                  <a:graphicData uri="http://schemas.microsoft.com/office/word/2010/wordprocessingShape">
                    <wps:wsp>
                      <wps:cNvSpPr txBox="1">
                        <a:spLocks noChangeArrowheads="1"/>
                      </wps:cNvSpPr>
                      <wps:spPr bwMode="auto">
                        <a:xfrm>
                          <a:off x="0" y="0"/>
                          <a:ext cx="2540000" cy="657860"/>
                        </a:xfrm>
                        <a:prstGeom prst="rect">
                          <a:avLst/>
                        </a:prstGeom>
                        <a:solidFill>
                          <a:srgbClr val="FFFFFF"/>
                        </a:solidFill>
                        <a:ln>
                          <a:noFill/>
                        </a:ln>
                      </wps:spPr>
                      <wps:txbx>
                        <w:txbxContent>
                          <w:p w14:paraId="5C1D19CB">
                            <w:pPr>
                              <w:pStyle w:val="46"/>
                              <w:rPr>
                                <w:rFonts w:eastAsia="宋体"/>
                              </w:rPr>
                            </w:pPr>
                            <w:r>
                              <w:rPr>
                                <w:rFonts w:eastAsia="宋体"/>
                                <w:b/>
                              </w:rPr>
                              <w:t>ICS</w:t>
                            </w:r>
                            <w:r>
                              <w:rPr>
                                <w:rFonts w:eastAsia="宋体"/>
                              </w:rPr>
                              <w:t xml:space="preserve"> 77.120.99</w:t>
                            </w:r>
                          </w:p>
                          <w:p w14:paraId="76FAFC74">
                            <w:pPr>
                              <w:pStyle w:val="46"/>
                              <w:rPr>
                                <w:rFonts w:eastAsia="宋体"/>
                              </w:rPr>
                            </w:pPr>
                            <w:r>
                              <w:rPr>
                                <w:rFonts w:hint="default" w:eastAsia="宋体"/>
                                <w:b/>
                              </w:rPr>
                              <w:t>CCS</w:t>
                            </w:r>
                            <w:r>
                              <w:rPr>
                                <w:rFonts w:hint="eastAsia" w:eastAsia="宋体"/>
                                <w:b/>
                                <w:lang w:val="en-US" w:eastAsia="zh-CN"/>
                              </w:rPr>
                              <w:t xml:space="preserve"> </w:t>
                            </w:r>
                            <w:r>
                              <w:rPr>
                                <w:rFonts w:eastAsia="宋体"/>
                                <w:b/>
                              </w:rPr>
                              <w:t>H</w:t>
                            </w:r>
                            <w:r>
                              <w:rPr>
                                <w:rFonts w:eastAsia="宋体"/>
                              </w:rPr>
                              <w:t xml:space="preserve"> 65</w:t>
                            </w:r>
                          </w:p>
                        </w:txbxContent>
                      </wps:txbx>
                      <wps:bodyPr rot="0" vert="horz" wrap="square" lIns="0" tIns="0" rIns="0" bIns="0" anchor="t" anchorCtr="0" upright="1">
                        <a:noAutofit/>
                      </wps:bodyPr>
                    </wps:wsp>
                  </a:graphicData>
                </a:graphic>
              </wp:anchor>
            </w:drawing>
          </mc:Choice>
          <mc:Fallback>
            <w:pict>
              <v:shape id="fmFrame1" o:spid="_x0000_s1026" o:spt="202" type="#_x0000_t202" style="position:absolute;left:0pt;margin-left:0pt;margin-top:0pt;height:51.8pt;width:200pt;mso-position-horizontal-relative:margin;mso-position-vertical-relative:margin;z-index:251660288;mso-width-relative:page;mso-height-relative:page;" fillcolor="#FFFFFF" filled="t" stroked="f" coordsize="21600,21600" o:gfxdata="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xezL4NMAAAAFAQAADwAAAAAAAAABACAAAAAi&#10;AAAAZHJzL2Rvd25yZXYueG1sUEsBAhQAFAAAAAgAh07iQAnRnG8PAgAAKwQAAA4AAAAAAAAAAQAg&#10;AAAAIgEAAGRycy9lMm9Eb2MueG1sUEsFBgAAAAAGAAYAWQEAAKMFAAAAAA==&#10;">
                <v:fill on="t" focussize="0,0"/>
                <v:stroke on="f"/>
                <v:imagedata o:title=""/>
                <o:lock v:ext="edit" aspectratio="f"/>
                <v:textbox inset="0mm,0mm,0mm,0mm">
                  <w:txbxContent>
                    <w:p w14:paraId="5C1D19CB">
                      <w:pPr>
                        <w:pStyle w:val="46"/>
                        <w:rPr>
                          <w:rFonts w:eastAsia="宋体"/>
                        </w:rPr>
                      </w:pPr>
                      <w:r>
                        <w:rPr>
                          <w:rFonts w:eastAsia="宋体"/>
                          <w:b/>
                        </w:rPr>
                        <w:t>ICS</w:t>
                      </w:r>
                      <w:r>
                        <w:rPr>
                          <w:rFonts w:eastAsia="宋体"/>
                        </w:rPr>
                        <w:t xml:space="preserve"> 77.120.99</w:t>
                      </w:r>
                    </w:p>
                    <w:p w14:paraId="76FAFC74">
                      <w:pPr>
                        <w:pStyle w:val="46"/>
                        <w:rPr>
                          <w:rFonts w:eastAsia="宋体"/>
                        </w:rPr>
                      </w:pPr>
                      <w:r>
                        <w:rPr>
                          <w:rFonts w:hint="default" w:eastAsia="宋体"/>
                          <w:b/>
                        </w:rPr>
                        <w:t>CCS</w:t>
                      </w:r>
                      <w:r>
                        <w:rPr>
                          <w:rFonts w:hint="eastAsia" w:eastAsia="宋体"/>
                          <w:b/>
                          <w:lang w:val="en-US" w:eastAsia="zh-CN"/>
                        </w:rPr>
                        <w:t xml:space="preserve"> </w:t>
                      </w:r>
                      <w:r>
                        <w:rPr>
                          <w:rFonts w:eastAsia="宋体"/>
                          <w:b/>
                        </w:rPr>
                        <w:t>H</w:t>
                      </w:r>
                      <w:r>
                        <w:rPr>
                          <w:rFonts w:eastAsia="宋体"/>
                        </w:rPr>
                        <w:t xml:space="preserve"> 65</w:t>
                      </w:r>
                    </w:p>
                  </w:txbxContent>
                </v:textbox>
                <w10:anchorlock/>
              </v:shape>
            </w:pict>
          </mc:Fallback>
        </mc:AlternateContent>
      </w:r>
    </w:p>
    <w:bookmarkEnd w:id="0"/>
    <w:p w14:paraId="4182DAF1">
      <w:pPr>
        <w:pStyle w:val="47"/>
        <w:tabs>
          <w:tab w:val="clear" w:pos="720"/>
        </w:tabs>
        <w:spacing w:before="156" w:after="156"/>
        <w:ind w:left="0" w:firstLine="0"/>
        <w:rPr>
          <w:rFonts w:ascii="Times New Roman"/>
          <w:color w:val="auto"/>
        </w:rPr>
      </w:pPr>
      <w:r>
        <w:rPr>
          <w:rFonts w:ascii="Times New Roman"/>
          <w:color w:val="auto"/>
        </w:rPr>
        <w:t>前    言</w:t>
      </w:r>
    </w:p>
    <w:p w14:paraId="03FBE3AE">
      <w:pPr>
        <w:pStyle w:val="20"/>
        <w:spacing w:line="360" w:lineRule="exact"/>
        <w:rPr>
          <w:rFonts w:hint="default" w:ascii="Times New Roman" w:hAnsi="Times New Roman" w:cs="Times New Roman"/>
          <w:color w:val="auto"/>
        </w:rPr>
      </w:pPr>
      <w:r>
        <w:rPr>
          <w:rFonts w:hint="default" w:ascii="Times New Roman" w:hAnsi="Times New Roman" w:cs="Times New Roman"/>
          <w:color w:val="auto"/>
        </w:rPr>
        <w:t>本文件按照GB/T 1.1—2020《标准化工作导则</w:t>
      </w:r>
      <w:r>
        <w:rPr>
          <w:rFonts w:hint="default" w:ascii="Times New Roman" w:hAnsi="Times New Roman" w:cs="Times New Roman"/>
          <w:color w:val="auto"/>
          <w:highlight w:val="none"/>
        </w:rPr>
        <w:t xml:space="preserve"> </w:t>
      </w:r>
      <w:r>
        <w:rPr>
          <w:rFonts w:hint="default" w:ascii="Times New Roman" w:hAnsi="Times New Roman" w:cs="Times New Roman"/>
          <w:color w:val="auto"/>
        </w:rPr>
        <w:t>第1部分：标准化文件的结构和起草规则》的规定起草。</w:t>
      </w:r>
    </w:p>
    <w:p w14:paraId="0D331BFD">
      <w:pPr>
        <w:pStyle w:val="20"/>
        <w:spacing w:line="36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本文件代替GB/T 29657-2013 </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钇镁合金</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 xml:space="preserve">，除结构调整和编辑性改动外，主要技术变化如下： </w:t>
      </w:r>
    </w:p>
    <w:p w14:paraId="167DE48F">
      <w:pPr>
        <w:pStyle w:val="20"/>
        <w:spacing w:line="360" w:lineRule="exact"/>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增加了规范性引用文件</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见2</w:t>
      </w:r>
      <w:r>
        <w:rPr>
          <w:rFonts w:hint="default" w:ascii="Times New Roman" w:hAnsi="Times New Roman" w:cs="Times New Roman"/>
          <w:color w:val="auto"/>
          <w:highlight w:val="none"/>
          <w:lang w:eastAsia="zh-CN"/>
        </w:rPr>
        <w:t>）；</w:t>
      </w:r>
    </w:p>
    <w:p w14:paraId="1945A9E1">
      <w:pPr>
        <w:pStyle w:val="20"/>
        <w:spacing w:line="360" w:lineRule="exact"/>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b</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将</w:t>
      </w:r>
      <w:r>
        <w:rPr>
          <w:rFonts w:hint="default" w:ascii="Times New Roman" w:hAnsi="Times New Roman" w:cs="Times New Roman"/>
          <w:color w:val="auto"/>
          <w:highlight w:val="none"/>
        </w:rPr>
        <w:t>数字牌号修改为字母牌号</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见4，2013年版的3.1</w:t>
      </w:r>
      <w:r>
        <w:rPr>
          <w:rFonts w:hint="default" w:ascii="Times New Roman" w:hAnsi="Times New Roman" w:cs="Times New Roman"/>
          <w:color w:val="auto"/>
          <w:highlight w:val="none"/>
          <w:lang w:eastAsia="zh-CN"/>
        </w:rPr>
        <w:t>）；</w:t>
      </w:r>
    </w:p>
    <w:p w14:paraId="118F387D">
      <w:pPr>
        <w:pStyle w:val="20"/>
        <w:spacing w:line="360" w:lineRule="exac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更改了</w:t>
      </w:r>
      <w:r>
        <w:rPr>
          <w:rFonts w:hint="default" w:ascii="Times New Roman" w:hAnsi="Times New Roman" w:cs="Times New Roman"/>
          <w:color w:val="auto"/>
          <w:highlight w:val="none"/>
        </w:rPr>
        <w:t>Fe</w:t>
      </w:r>
      <w:r>
        <w:rPr>
          <w:rFonts w:hint="default" w:ascii="Times New Roman" w:hAnsi="Times New Roman" w:cs="Times New Roman"/>
          <w:color w:val="auto"/>
          <w:highlight w:val="none"/>
          <w:lang w:val="en-US" w:eastAsia="zh-CN"/>
        </w:rPr>
        <w:t>、C等元素的考核指标（见表1，2013年版的表1）；</w:t>
      </w:r>
    </w:p>
    <w:p w14:paraId="1A5AA551">
      <w:pPr>
        <w:pStyle w:val="20"/>
        <w:spacing w:line="360" w:lineRule="exact"/>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d</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增加</w:t>
      </w:r>
      <w:r>
        <w:rPr>
          <w:rFonts w:hint="default" w:ascii="Times New Roman" w:hAnsi="Times New Roman" w:cs="Times New Roman"/>
          <w:color w:val="auto"/>
          <w:highlight w:val="none"/>
          <w:lang w:val="en-US" w:eastAsia="zh-CN"/>
        </w:rPr>
        <w:t>了</w:t>
      </w:r>
      <w:r>
        <w:rPr>
          <w:rFonts w:hint="default" w:ascii="Times New Roman" w:hAnsi="Times New Roman" w:cs="Times New Roman"/>
          <w:color w:val="auto"/>
          <w:highlight w:val="none"/>
        </w:rPr>
        <w:t>Ca</w:t>
      </w:r>
      <w:r>
        <w:rPr>
          <w:rFonts w:hint="default" w:ascii="Times New Roman" w:hAnsi="Times New Roman" w:cs="Times New Roman"/>
          <w:color w:val="auto"/>
          <w:highlight w:val="none"/>
          <w:lang w:val="en-US" w:eastAsia="zh-CN"/>
        </w:rPr>
        <w:t>元素</w:t>
      </w:r>
      <w:r>
        <w:rPr>
          <w:rFonts w:hint="default" w:ascii="Times New Roman" w:hAnsi="Times New Roman" w:cs="Times New Roman"/>
          <w:color w:val="auto"/>
          <w:highlight w:val="none"/>
        </w:rPr>
        <w:t>的考核指标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见表1</w:t>
      </w:r>
      <w:r>
        <w:rPr>
          <w:rFonts w:hint="default" w:ascii="Times New Roman" w:hAnsi="Times New Roman" w:cs="Times New Roman"/>
          <w:color w:val="auto"/>
          <w:highlight w:val="none"/>
          <w:lang w:eastAsia="zh-CN"/>
        </w:rPr>
        <w:t>）；</w:t>
      </w:r>
    </w:p>
    <w:p w14:paraId="623DA1E4">
      <w:pPr>
        <w:pStyle w:val="20"/>
        <w:spacing w:line="36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e</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调整了化学成分试验方法（见6.1）</w:t>
      </w:r>
      <w:r>
        <w:rPr>
          <w:rFonts w:hint="default" w:ascii="Times New Roman" w:hAnsi="Times New Roman" w:cs="Times New Roman"/>
          <w:color w:val="auto"/>
          <w:highlight w:val="none"/>
        </w:rPr>
        <w:t>。</w:t>
      </w:r>
    </w:p>
    <w:p w14:paraId="4D29F7DE">
      <w:pPr>
        <w:pStyle w:val="20"/>
        <w:spacing w:line="360" w:lineRule="exact"/>
        <w:rPr>
          <w:rFonts w:hint="default" w:ascii="Times New Roman" w:hAnsi="Times New Roman" w:cs="Times New Roman"/>
          <w:color w:val="auto"/>
        </w:rPr>
      </w:pPr>
      <w:r>
        <w:rPr>
          <w:rFonts w:hint="default" w:ascii="Times New Roman" w:hAnsi="Times New Roman" w:cs="Times New Roman"/>
          <w:color w:val="auto"/>
        </w:rPr>
        <w:t>请注意本文件的某些内容可能涉及专利，本文件的发布机构不承担识别专利的责任。</w:t>
      </w:r>
    </w:p>
    <w:p w14:paraId="175C15A7">
      <w:pPr>
        <w:pStyle w:val="20"/>
        <w:spacing w:line="360" w:lineRule="exact"/>
        <w:rPr>
          <w:rFonts w:hint="default" w:ascii="Times New Roman" w:hAnsi="Times New Roman" w:cs="Times New Roman"/>
          <w:color w:val="auto"/>
        </w:rPr>
      </w:pPr>
      <w:r>
        <w:rPr>
          <w:rFonts w:hint="default" w:ascii="Times New Roman" w:hAnsi="Times New Roman" w:cs="Times New Roman"/>
          <w:color w:val="auto"/>
        </w:rPr>
        <w:t>本文件由全国稀土标准化技术委员会（SAC/TC 229）提出并归口。</w:t>
      </w:r>
    </w:p>
    <w:p w14:paraId="748B20EE">
      <w:pPr>
        <w:spacing w:line="400" w:lineRule="exact"/>
        <w:ind w:firstLine="42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rPr>
        <w:t>本文件起草单位：</w:t>
      </w:r>
    </w:p>
    <w:p w14:paraId="03D33E49">
      <w:pPr>
        <w:spacing w:line="400" w:lineRule="exact"/>
        <w:ind w:firstLine="420" w:firstLineChars="200"/>
        <w:rPr>
          <w:rFonts w:hint="default" w:ascii="Times New Roman" w:hAnsi="Times New Roman" w:cs="Times New Roman"/>
          <w:color w:val="auto"/>
          <w:lang w:eastAsia="zh-CN"/>
        </w:rPr>
      </w:pPr>
      <w:r>
        <w:rPr>
          <w:rFonts w:hint="default" w:ascii="Times New Roman" w:hAnsi="Times New Roman" w:cs="Times New Roman"/>
          <w:color w:val="auto"/>
        </w:rPr>
        <w:t>本文件主要起草人：</w:t>
      </w:r>
    </w:p>
    <w:p w14:paraId="1221E647">
      <w:pPr>
        <w:spacing w:line="400" w:lineRule="exact"/>
        <w:ind w:firstLine="420" w:firstLineChars="20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本文件及其所替代文件的历次版本发布情况为：</w:t>
      </w:r>
    </w:p>
    <w:p w14:paraId="1928BF17">
      <w:pPr>
        <w:pStyle w:val="20"/>
        <w:spacing w:line="400" w:lineRule="exact"/>
        <w:ind w:left="420" w:leftChars="200" w:right="895" w:rightChars="426" w:firstLine="0" w:firstLineChars="0"/>
        <w:rPr>
          <w:rFonts w:hint="default" w:ascii="Times New Roman" w:hAnsi="Times New Roman" w:cs="Times New Roman"/>
          <w:color w:val="auto"/>
          <w:kern w:val="0"/>
          <w:szCs w:val="20"/>
          <w:lang w:val="en-US" w:eastAsia="zh-CN"/>
        </w:rPr>
      </w:pPr>
      <w:r>
        <w:rPr>
          <w:rFonts w:hint="default" w:ascii="Times New Roman" w:hAnsi="Times New Roman" w:cs="Times New Roman"/>
          <w:color w:val="auto"/>
          <w:kern w:val="0"/>
          <w:szCs w:val="20"/>
          <w:lang w:val="en-US" w:eastAsia="zh-CN"/>
        </w:rPr>
        <w:t>——2013年首</w:t>
      </w:r>
      <w:r>
        <w:rPr>
          <w:rFonts w:hint="default" w:ascii="Times New Roman" w:hAnsi="Times New Roman" w:cs="Times New Roman"/>
          <w:color w:val="auto"/>
          <w:lang w:val="en-US" w:eastAsia="zh-CN"/>
        </w:rPr>
        <w:t>次发布为GB/T 29657-2013。</w:t>
      </w:r>
    </w:p>
    <w:p w14:paraId="1FB6006E">
      <w:pPr>
        <w:pStyle w:val="20"/>
        <w:spacing w:line="400" w:lineRule="exact"/>
        <w:ind w:left="420" w:leftChars="200" w:right="895" w:rightChars="426" w:firstLine="0" w:firstLineChars="0"/>
        <w:rPr>
          <w:rFonts w:ascii="Times New Roman" w:hAnsi="Times New Roman" w:cs="Times New Roman"/>
          <w:color w:val="auto"/>
          <w:kern w:val="0"/>
          <w:szCs w:val="20"/>
        </w:rPr>
      </w:pPr>
    </w:p>
    <w:p w14:paraId="4E3EAD55">
      <w:pPr>
        <w:pStyle w:val="24"/>
        <w:rPr>
          <w:rFonts w:ascii="Times New Roman"/>
          <w:color w:val="auto"/>
        </w:rPr>
      </w:pPr>
      <w:r>
        <w:rPr>
          <w:rFonts w:hint="eastAsia" w:ascii="Times New Roman"/>
          <w:color w:val="auto"/>
        </w:rPr>
        <w:t>钇镁合</w:t>
      </w:r>
      <w:r>
        <w:rPr>
          <w:rFonts w:ascii="Times New Roman"/>
          <w:color w:val="auto"/>
        </w:rPr>
        <w:t>金</w:t>
      </w:r>
    </w:p>
    <w:p w14:paraId="02FA5B05">
      <w:pPr>
        <w:pStyle w:val="22"/>
        <w:spacing w:before="312" w:after="312"/>
        <w:ind w:left="0"/>
        <w:rPr>
          <w:rFonts w:ascii="Times New Roman"/>
          <w:color w:val="auto"/>
        </w:rPr>
      </w:pPr>
      <w:r>
        <w:rPr>
          <w:rFonts w:ascii="Times New Roman"/>
          <w:color w:val="auto"/>
        </w:rPr>
        <w:t>范围</w:t>
      </w:r>
    </w:p>
    <w:p w14:paraId="0E884C81">
      <w:pPr>
        <w:pStyle w:val="20"/>
        <w:spacing w:line="400" w:lineRule="exact"/>
        <w:rPr>
          <w:rFonts w:hint="eastAsia" w:ascii="Times New Roman" w:hAnsi="Times New Roman" w:cs="Times New Roman"/>
          <w:color w:val="auto"/>
        </w:rPr>
      </w:pPr>
      <w:r>
        <w:rPr>
          <w:rFonts w:hint="eastAsia" w:ascii="Times New Roman" w:hAnsi="Times New Roman" w:cs="Times New Roman"/>
          <w:color w:val="auto"/>
        </w:rPr>
        <w:t>本文件规定了钇镁合金产品的分类和牌号、技术要求、试验方法、检验规则</w:t>
      </w:r>
      <w:r>
        <w:rPr>
          <w:rFonts w:hint="eastAsia" w:ascii="Times New Roman" w:hAnsi="Times New Roman" w:cs="Times New Roman"/>
          <w:color w:val="auto"/>
          <w:lang w:val="en-US" w:eastAsia="zh-CN"/>
        </w:rPr>
        <w:t>和</w:t>
      </w:r>
      <w:r>
        <w:rPr>
          <w:rFonts w:hint="eastAsia" w:ascii="Times New Roman" w:hAnsi="Times New Roman" w:cs="Times New Roman"/>
          <w:color w:val="auto"/>
        </w:rPr>
        <w:t>标志、包装、运输、贮存及随行文件。</w:t>
      </w:r>
    </w:p>
    <w:p w14:paraId="153111AD">
      <w:pPr>
        <w:pStyle w:val="20"/>
        <w:spacing w:line="400" w:lineRule="exact"/>
        <w:rPr>
          <w:rFonts w:ascii="Times New Roman" w:hAnsi="Times New Roman" w:cs="Times New Roman"/>
          <w:color w:val="auto"/>
          <w:highlight w:val="yellow"/>
        </w:rPr>
      </w:pPr>
      <w:r>
        <w:rPr>
          <w:rFonts w:hint="eastAsia" w:ascii="Times New Roman" w:hAnsi="Times New Roman" w:cs="Times New Roman"/>
          <w:color w:val="auto"/>
        </w:rPr>
        <w:t>本文件适用于电解法、熔配法及还原法生产的钇镁合金，主要用于航空航天、交通、电子产品、石油开采等领域的镁合金添加剂。</w:t>
      </w:r>
    </w:p>
    <w:p w14:paraId="03AF7CE9">
      <w:pPr>
        <w:pStyle w:val="22"/>
        <w:spacing w:before="312" w:after="312"/>
        <w:ind w:left="0"/>
        <w:rPr>
          <w:rFonts w:ascii="Times New Roman"/>
          <w:color w:val="auto"/>
        </w:rPr>
      </w:pPr>
      <w:r>
        <w:rPr>
          <w:rFonts w:ascii="Times New Roman"/>
          <w:color w:val="auto"/>
        </w:rPr>
        <w:t>规范性引用文件</w:t>
      </w:r>
    </w:p>
    <w:p w14:paraId="3333F40B">
      <w:pPr>
        <w:spacing w:line="400" w:lineRule="exact"/>
        <w:ind w:firstLine="420" w:firstLineChars="200"/>
        <w:jc w:val="left"/>
        <w:rPr>
          <w:bCs/>
          <w:color w:val="auto"/>
        </w:rPr>
      </w:pPr>
      <w:r>
        <w:rPr>
          <w:rFonts w:hint="eastAsia"/>
          <w:bCs/>
          <w:color w:val="auto"/>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2841C299">
      <w:pPr>
        <w:pStyle w:val="20"/>
        <w:spacing w:line="400" w:lineRule="exact"/>
        <w:rPr>
          <w:rFonts w:hint="eastAsia" w:ascii="Times New Roman" w:hAnsi="Times New Roman" w:cs="Times New Roman"/>
          <w:color w:val="auto"/>
          <w:highlight w:val="none"/>
        </w:rPr>
      </w:pPr>
      <w:r>
        <w:rPr>
          <w:rFonts w:hint="eastAsia" w:ascii="Times New Roman" w:hAnsi="Times New Roman" w:cs="Times New Roman"/>
          <w:color w:val="auto"/>
          <w:highlight w:val="none"/>
        </w:rPr>
        <w:t>GB/T 8170 数值修约规则与极限数值的表示和判定</w:t>
      </w:r>
    </w:p>
    <w:p w14:paraId="354976EC">
      <w:pPr>
        <w:pStyle w:val="20"/>
        <w:spacing w:line="400" w:lineRule="exact"/>
        <w:rPr>
          <w:rFonts w:hint="eastAsia" w:ascii="Times New Roman" w:hAnsi="Times New Roman" w:cs="Times New Roman"/>
          <w:color w:val="auto"/>
          <w:highlight w:val="none"/>
        </w:rPr>
      </w:pPr>
      <w:r>
        <w:rPr>
          <w:rFonts w:hint="eastAsia" w:ascii="Times New Roman" w:hAnsi="Times New Roman" w:cs="Times New Roman"/>
          <w:color w:val="auto"/>
          <w:highlight w:val="none"/>
        </w:rPr>
        <w:t>GB/T 17803 稀土产品牌号表示方法</w:t>
      </w:r>
    </w:p>
    <w:p w14:paraId="253022F7">
      <w:pPr>
        <w:pStyle w:val="20"/>
        <w:spacing w:line="400" w:lineRule="exact"/>
        <w:rPr>
          <w:rFonts w:hint="eastAsia" w:ascii="Times New Roman" w:hAnsi="Times New Roman" w:cs="Times New Roman"/>
          <w:strike/>
          <w:dstrike w:val="0"/>
          <w:color w:val="auto"/>
          <w:highlight w:val="none"/>
        </w:rPr>
      </w:pPr>
      <w:r>
        <w:rPr>
          <w:rFonts w:hint="eastAsia" w:ascii="Times New Roman" w:hAnsi="Times New Roman" w:cs="Times New Roman"/>
          <w:strike w:val="0"/>
          <w:dstrike w:val="0"/>
          <w:color w:val="auto"/>
          <w:highlight w:val="none"/>
        </w:rPr>
        <w:t>GB/T 29916 镧镁合金化学分析方法</w:t>
      </w:r>
    </w:p>
    <w:p w14:paraId="69381D01">
      <w:pPr>
        <w:pStyle w:val="20"/>
        <w:spacing w:line="400" w:lineRule="exact"/>
        <w:rPr>
          <w:rFonts w:ascii="Times New Roman" w:hAnsi="Times New Roman" w:cs="Times New Roman"/>
          <w:color w:val="auto"/>
          <w:highlight w:val="none"/>
        </w:rPr>
      </w:pPr>
      <w:r>
        <w:rPr>
          <w:rFonts w:hint="eastAsia" w:ascii="Times New Roman" w:hAnsi="Times New Roman" w:cs="Times New Roman"/>
          <w:color w:val="auto"/>
          <w:highlight w:val="none"/>
        </w:rPr>
        <w:t>GB 39176 稀土产品的包装、标志、运输和贮存</w:t>
      </w:r>
    </w:p>
    <w:p w14:paraId="035A97C2">
      <w:pPr>
        <w:pStyle w:val="22"/>
        <w:spacing w:before="312" w:after="312"/>
        <w:ind w:left="0"/>
        <w:rPr>
          <w:rFonts w:ascii="Times New Roman"/>
          <w:color w:val="auto"/>
        </w:rPr>
      </w:pPr>
      <w:r>
        <w:rPr>
          <w:rFonts w:hint="eastAsia" w:ascii="Times New Roman"/>
          <w:color w:val="auto"/>
        </w:rPr>
        <w:t>术语和定义</w:t>
      </w:r>
    </w:p>
    <w:p w14:paraId="5237237C">
      <w:pPr>
        <w:pStyle w:val="20"/>
        <w:rPr>
          <w:rFonts w:ascii="Times New Roman" w:hAnsi="Times New Roman" w:cs="Times New Roman"/>
          <w:color w:val="auto"/>
          <w:highlight w:val="none"/>
        </w:rPr>
      </w:pPr>
      <w:r>
        <w:rPr>
          <w:rFonts w:hint="eastAsia"/>
          <w:color w:val="auto"/>
          <w:highlight w:val="none"/>
        </w:rPr>
        <w:t>本文件没有需要界定的术语和定义。</w:t>
      </w:r>
    </w:p>
    <w:p w14:paraId="4A22E2AE">
      <w:pPr>
        <w:pStyle w:val="22"/>
        <w:spacing w:before="312" w:after="312"/>
        <w:ind w:left="0"/>
        <w:rPr>
          <w:rFonts w:ascii="Times New Roman"/>
          <w:color w:val="auto"/>
        </w:rPr>
      </w:pPr>
      <w:r>
        <w:rPr>
          <w:rFonts w:ascii="Times New Roman"/>
          <w:color w:val="auto"/>
        </w:rPr>
        <w:t>分类和牌号</w:t>
      </w:r>
    </w:p>
    <w:p w14:paraId="625FF69E">
      <w:pPr>
        <w:pStyle w:val="60"/>
        <w:bidi w:val="0"/>
        <w:rPr>
          <w:rFonts w:hint="eastAsia" w:eastAsia="宋体"/>
          <w:color w:val="auto"/>
          <w:lang w:val="en-US" w:eastAsia="zh-CN"/>
        </w:rPr>
      </w:pPr>
      <w:r>
        <w:rPr>
          <w:rFonts w:hint="eastAsia"/>
          <w:color w:val="auto"/>
        </w:rPr>
        <w:t>钇镁合金产品按化学成分分为YMg-20A、YMg-20B、YMg-25A、YMg-25B、YMg-30A、YMg-30B六个牌号。钇镁合金牌号</w:t>
      </w:r>
      <w:r>
        <w:rPr>
          <w:rFonts w:hint="eastAsia"/>
        </w:rPr>
        <w:t>表示方法</w:t>
      </w:r>
      <w:r>
        <w:rPr>
          <w:rFonts w:hint="eastAsia"/>
          <w:color w:val="auto"/>
        </w:rPr>
        <w:t>符合GB/T 17803的规定</w:t>
      </w:r>
      <w:r>
        <w:rPr>
          <w:rFonts w:hint="eastAsia"/>
          <w:color w:val="auto"/>
          <w:lang w:eastAsia="zh-CN"/>
        </w:rPr>
        <w:t>。</w:t>
      </w:r>
    </w:p>
    <w:p w14:paraId="18F279C6">
      <w:pPr>
        <w:pStyle w:val="22"/>
        <w:spacing w:before="312" w:after="312"/>
        <w:ind w:left="0"/>
        <w:rPr>
          <w:rFonts w:ascii="Times New Roman"/>
          <w:color w:val="auto"/>
        </w:rPr>
      </w:pPr>
      <w:r>
        <w:rPr>
          <w:rFonts w:hint="eastAsia" w:ascii="Times New Roman"/>
          <w:color w:val="auto"/>
        </w:rPr>
        <w:t>技术要求</w:t>
      </w:r>
    </w:p>
    <w:p w14:paraId="4E9A4DCC">
      <w:pPr>
        <w:pStyle w:val="21"/>
        <w:numPr>
          <w:ilvl w:val="1"/>
          <w:numId w:val="3"/>
        </w:numPr>
        <w:spacing w:beforeLines="0" w:afterLines="0" w:line="400" w:lineRule="exact"/>
        <w:rPr>
          <w:rFonts w:ascii="Times New Roman"/>
          <w:color w:val="auto"/>
        </w:rPr>
      </w:pPr>
      <w:r>
        <w:rPr>
          <w:rFonts w:hint="eastAsia" w:ascii="Times New Roman"/>
          <w:color w:val="auto"/>
        </w:rPr>
        <w:t>化学成分</w:t>
      </w:r>
    </w:p>
    <w:p w14:paraId="56820C5B">
      <w:pPr>
        <w:pStyle w:val="20"/>
        <w:spacing w:line="400" w:lineRule="exact"/>
        <w:rPr>
          <w:rFonts w:hint="eastAsia" w:ascii="Times New Roman" w:hAnsi="Times New Roman" w:cs="Times New Roman"/>
          <w:color w:val="auto"/>
        </w:rPr>
      </w:pPr>
      <w:bookmarkStart w:id="1" w:name="_Hlk72422888"/>
      <w:r>
        <w:rPr>
          <w:rFonts w:hint="eastAsia" w:ascii="Times New Roman" w:hAnsi="Times New Roman" w:cs="Times New Roman"/>
          <w:color w:val="auto"/>
        </w:rPr>
        <w:t>钇镁合金的化学成分应符合表1的规定。需方如有特殊要求，供需双方可另行协商。</w:t>
      </w:r>
    </w:p>
    <w:p w14:paraId="69C4AD3F">
      <w:pPr>
        <w:pStyle w:val="20"/>
        <w:spacing w:line="400" w:lineRule="exact"/>
        <w:rPr>
          <w:rFonts w:hint="eastAsia" w:ascii="Times New Roman" w:hAnsi="Times New Roman" w:cs="Times New Roman"/>
          <w:color w:val="auto"/>
        </w:rPr>
      </w:pPr>
    </w:p>
    <w:p w14:paraId="4C2711E5">
      <w:pPr>
        <w:pStyle w:val="20"/>
        <w:spacing w:line="400" w:lineRule="exact"/>
        <w:rPr>
          <w:rFonts w:hint="eastAsia" w:ascii="Times New Roman" w:hAnsi="Times New Roman" w:cs="Times New Roman"/>
          <w:color w:val="auto"/>
        </w:rPr>
      </w:pPr>
    </w:p>
    <w:p w14:paraId="4EA63AAC">
      <w:pPr>
        <w:pStyle w:val="20"/>
        <w:spacing w:line="400" w:lineRule="exact"/>
        <w:rPr>
          <w:rFonts w:hint="eastAsia" w:ascii="Times New Roman" w:hAnsi="Times New Roman" w:cs="Times New Roman"/>
          <w:color w:val="auto"/>
        </w:rPr>
      </w:pPr>
    </w:p>
    <w:p w14:paraId="015DEA31">
      <w:pPr>
        <w:pStyle w:val="20"/>
        <w:spacing w:line="400" w:lineRule="exact"/>
        <w:rPr>
          <w:rFonts w:hint="eastAsia" w:ascii="Times New Roman" w:hAnsi="Times New Roman" w:cs="Times New Roman"/>
          <w:color w:val="auto"/>
        </w:rPr>
      </w:pPr>
    </w:p>
    <w:bookmarkEnd w:id="1"/>
    <w:p w14:paraId="00528AB8">
      <w:pPr>
        <w:pStyle w:val="20"/>
        <w:spacing w:line="360" w:lineRule="auto"/>
        <w:ind w:firstLine="0" w:firstLineChars="0"/>
        <w:jc w:val="center"/>
        <w:rPr>
          <w:rFonts w:hint="eastAsia" w:ascii="Times New Roman" w:hAnsi="Times New Roman" w:eastAsia="黑体" w:cs="Times New Roman"/>
          <w:color w:val="auto"/>
          <w:lang w:val="en-US" w:eastAsia="zh-CN"/>
        </w:rPr>
      </w:pPr>
      <w:r>
        <w:rPr>
          <w:rFonts w:hint="eastAsia" w:ascii="Times New Roman" w:hAnsi="Times New Roman" w:eastAsia="黑体" w:cs="Times New Roman"/>
          <w:color w:val="auto"/>
        </w:rPr>
        <w:t>表1</w:t>
      </w:r>
      <w:r>
        <w:rPr>
          <w:rFonts w:hint="eastAsia" w:ascii="Times New Roman" w:hAnsi="Times New Roman" w:eastAsia="黑体" w:cs="Times New Roman"/>
          <w:color w:val="auto"/>
          <w:lang w:val="en-US" w:eastAsia="zh-CN"/>
        </w:rPr>
        <w:t xml:space="preserve"> 钇镁合金的化学成分</w:t>
      </w:r>
    </w:p>
    <w:tbl>
      <w:tblPr>
        <w:tblStyle w:val="12"/>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82"/>
        <w:gridCol w:w="855"/>
        <w:gridCol w:w="605"/>
        <w:gridCol w:w="676"/>
        <w:gridCol w:w="786"/>
        <w:gridCol w:w="731"/>
        <w:gridCol w:w="731"/>
        <w:gridCol w:w="731"/>
        <w:gridCol w:w="731"/>
        <w:gridCol w:w="731"/>
        <w:gridCol w:w="731"/>
        <w:gridCol w:w="776"/>
      </w:tblGrid>
      <w:tr w14:paraId="03FEE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41" w:type="pct"/>
            <w:vMerge w:val="restart"/>
            <w:tcBorders>
              <w:top w:val="single" w:color="000000" w:sz="12" w:space="0"/>
              <w:left w:val="single" w:color="000000" w:sz="12" w:space="0"/>
              <w:right w:val="single" w:color="000000" w:sz="8" w:space="0"/>
            </w:tcBorders>
            <w:shd w:val="clear" w:color="auto" w:fill="auto"/>
            <w:vAlign w:val="center"/>
          </w:tcPr>
          <w:p w14:paraId="0617942D">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产品</w:t>
            </w:r>
          </w:p>
          <w:p w14:paraId="2E78FF23">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牌号</w:t>
            </w:r>
          </w:p>
        </w:tc>
        <w:tc>
          <w:tcPr>
            <w:tcW w:w="4458" w:type="pct"/>
            <w:gridSpan w:val="11"/>
            <w:tcBorders>
              <w:top w:val="single" w:color="000000" w:sz="12" w:space="0"/>
              <w:left w:val="single" w:color="000000" w:sz="8" w:space="0"/>
              <w:bottom w:val="single" w:color="000000" w:sz="8" w:space="0"/>
              <w:right w:val="single" w:color="000000" w:sz="12" w:space="0"/>
            </w:tcBorders>
            <w:shd w:val="clear" w:color="auto" w:fill="auto"/>
            <w:vAlign w:val="center"/>
          </w:tcPr>
          <w:p w14:paraId="266A01DC">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化 学 成 分 （质 量 分 数）/%</w:t>
            </w:r>
          </w:p>
        </w:tc>
      </w:tr>
      <w:tr w14:paraId="4D134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41" w:type="pct"/>
            <w:vMerge w:val="continue"/>
            <w:tcBorders>
              <w:left w:val="single" w:color="000000" w:sz="12" w:space="0"/>
              <w:right w:val="single" w:color="000000" w:sz="8" w:space="0"/>
            </w:tcBorders>
            <w:shd w:val="clear" w:color="auto" w:fill="auto"/>
            <w:vAlign w:val="center"/>
          </w:tcPr>
          <w:p w14:paraId="47709027">
            <w:pPr>
              <w:jc w:val="center"/>
              <w:rPr>
                <w:rFonts w:hint="eastAsia" w:ascii="Times New Roman" w:hAnsi="Times New Roman" w:eastAsia="宋体" w:cs="Times New Roman"/>
                <w:color w:val="auto"/>
                <w:sz w:val="18"/>
                <w:szCs w:val="18"/>
              </w:rPr>
            </w:pPr>
          </w:p>
        </w:tc>
        <w:tc>
          <w:tcPr>
            <w:tcW w:w="471" w:type="pct"/>
            <w:vMerge w:val="restart"/>
            <w:tcBorders>
              <w:top w:val="single" w:color="000000" w:sz="8" w:space="0"/>
              <w:left w:val="single" w:color="000000" w:sz="8" w:space="0"/>
              <w:right w:val="single" w:color="000000" w:sz="8" w:space="0"/>
            </w:tcBorders>
            <w:shd w:val="clear" w:color="auto" w:fill="auto"/>
            <w:vAlign w:val="center"/>
          </w:tcPr>
          <w:p w14:paraId="4FEA05D6">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RE</w:t>
            </w:r>
          </w:p>
        </w:tc>
        <w:tc>
          <w:tcPr>
            <w:tcW w:w="333" w:type="pct"/>
            <w:vMerge w:val="restart"/>
            <w:tcBorders>
              <w:top w:val="single" w:color="000000" w:sz="8" w:space="0"/>
              <w:left w:val="single" w:color="000000" w:sz="8" w:space="0"/>
              <w:right w:val="single" w:color="000000" w:sz="8" w:space="0"/>
            </w:tcBorders>
            <w:shd w:val="clear" w:color="auto" w:fill="auto"/>
            <w:vAlign w:val="center"/>
          </w:tcPr>
          <w:p w14:paraId="032CA058">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Mg</w:t>
            </w:r>
          </w:p>
        </w:tc>
        <w:tc>
          <w:tcPr>
            <w:tcW w:w="372" w:type="pct"/>
            <w:vMerge w:val="restart"/>
            <w:tcBorders>
              <w:top w:val="single" w:color="000000" w:sz="8" w:space="0"/>
              <w:left w:val="single" w:color="000000" w:sz="8" w:space="0"/>
              <w:right w:val="single" w:color="000000" w:sz="8" w:space="0"/>
            </w:tcBorders>
            <w:shd w:val="clear" w:color="auto" w:fill="auto"/>
            <w:vAlign w:val="center"/>
          </w:tcPr>
          <w:p w14:paraId="66AC2E4C">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Y/RE</w:t>
            </w:r>
          </w:p>
          <w:p w14:paraId="38E80CAF">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不小于</w:t>
            </w:r>
          </w:p>
        </w:tc>
        <w:tc>
          <w:tcPr>
            <w:tcW w:w="3280" w:type="pct"/>
            <w:gridSpan w:val="8"/>
            <w:tcBorders>
              <w:top w:val="single" w:color="000000" w:sz="8" w:space="0"/>
              <w:left w:val="single" w:color="000000" w:sz="8" w:space="0"/>
              <w:bottom w:val="single" w:color="000000" w:sz="8" w:space="0"/>
              <w:right w:val="single" w:color="000000" w:sz="12" w:space="0"/>
            </w:tcBorders>
            <w:shd w:val="clear" w:color="auto" w:fill="auto"/>
            <w:vAlign w:val="center"/>
          </w:tcPr>
          <w:p w14:paraId="435DB2C3">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杂 质 含 量， 不大于</w:t>
            </w:r>
          </w:p>
        </w:tc>
      </w:tr>
      <w:tr w14:paraId="67CE4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541" w:type="pct"/>
            <w:vMerge w:val="continue"/>
            <w:tcBorders>
              <w:left w:val="single" w:color="000000" w:sz="12" w:space="0"/>
              <w:right w:val="single" w:color="000000" w:sz="8" w:space="0"/>
            </w:tcBorders>
            <w:shd w:val="clear" w:color="auto" w:fill="auto"/>
            <w:noWrap/>
            <w:vAlign w:val="center"/>
          </w:tcPr>
          <w:p w14:paraId="4AFF9D13">
            <w:pPr>
              <w:jc w:val="center"/>
              <w:rPr>
                <w:rFonts w:hint="eastAsia" w:ascii="Times New Roman" w:hAnsi="Times New Roman" w:eastAsia="宋体" w:cs="Times New Roman"/>
                <w:color w:val="auto"/>
                <w:sz w:val="18"/>
                <w:szCs w:val="18"/>
              </w:rPr>
            </w:pPr>
          </w:p>
        </w:tc>
        <w:tc>
          <w:tcPr>
            <w:tcW w:w="471" w:type="pct"/>
            <w:vMerge w:val="continue"/>
            <w:tcBorders>
              <w:left w:val="single" w:color="000000" w:sz="8" w:space="0"/>
              <w:right w:val="single" w:color="000000" w:sz="8" w:space="0"/>
            </w:tcBorders>
            <w:shd w:val="clear" w:color="auto" w:fill="auto"/>
            <w:vAlign w:val="center"/>
          </w:tcPr>
          <w:p w14:paraId="4F630EE4">
            <w:pPr>
              <w:jc w:val="center"/>
              <w:rPr>
                <w:rFonts w:hint="eastAsia" w:ascii="Times New Roman" w:hAnsi="Times New Roman" w:eastAsia="宋体" w:cs="Times New Roman"/>
                <w:color w:val="auto"/>
                <w:sz w:val="18"/>
                <w:szCs w:val="18"/>
              </w:rPr>
            </w:pPr>
          </w:p>
        </w:tc>
        <w:tc>
          <w:tcPr>
            <w:tcW w:w="333" w:type="pct"/>
            <w:vMerge w:val="continue"/>
            <w:tcBorders>
              <w:left w:val="single" w:color="000000" w:sz="8" w:space="0"/>
              <w:right w:val="single" w:color="000000" w:sz="8" w:space="0"/>
            </w:tcBorders>
            <w:shd w:val="clear" w:color="auto" w:fill="auto"/>
            <w:vAlign w:val="center"/>
          </w:tcPr>
          <w:p w14:paraId="1737C423">
            <w:pPr>
              <w:jc w:val="center"/>
              <w:rPr>
                <w:rFonts w:hint="eastAsia" w:ascii="Times New Roman" w:hAnsi="Times New Roman" w:eastAsia="宋体" w:cs="Times New Roman"/>
                <w:color w:val="auto"/>
                <w:sz w:val="18"/>
                <w:szCs w:val="18"/>
              </w:rPr>
            </w:pPr>
          </w:p>
        </w:tc>
        <w:tc>
          <w:tcPr>
            <w:tcW w:w="372" w:type="pct"/>
            <w:vMerge w:val="continue"/>
            <w:tcBorders>
              <w:left w:val="single" w:color="000000" w:sz="8" w:space="0"/>
              <w:right w:val="single" w:color="000000" w:sz="8" w:space="0"/>
            </w:tcBorders>
            <w:shd w:val="clear" w:color="auto" w:fill="auto"/>
            <w:vAlign w:val="center"/>
          </w:tcPr>
          <w:p w14:paraId="3CD9A47D">
            <w:pPr>
              <w:jc w:val="center"/>
              <w:rPr>
                <w:rFonts w:hint="eastAsia" w:ascii="Times New Roman" w:hAnsi="Times New Roman" w:eastAsia="宋体" w:cs="Times New Roman"/>
                <w:color w:val="auto"/>
                <w:sz w:val="18"/>
                <w:szCs w:val="18"/>
              </w:rPr>
            </w:pPr>
          </w:p>
        </w:tc>
        <w:tc>
          <w:tcPr>
            <w:tcW w:w="433"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0261D56">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稀土杂质/RE</w:t>
            </w:r>
          </w:p>
        </w:tc>
        <w:tc>
          <w:tcPr>
            <w:tcW w:w="2846" w:type="pct"/>
            <w:gridSpan w:val="7"/>
            <w:tcBorders>
              <w:top w:val="single" w:color="000000" w:sz="8" w:space="0"/>
              <w:left w:val="single" w:color="000000" w:sz="8" w:space="0"/>
              <w:bottom w:val="single" w:color="000000" w:sz="8" w:space="0"/>
              <w:right w:val="single" w:color="000000" w:sz="12" w:space="0"/>
            </w:tcBorders>
            <w:shd w:val="clear" w:color="auto" w:fill="auto"/>
            <w:vAlign w:val="top"/>
          </w:tcPr>
          <w:p w14:paraId="2BD607F6">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非 稀 土 杂 质</w:t>
            </w:r>
          </w:p>
        </w:tc>
      </w:tr>
      <w:tr w14:paraId="62CAB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 w:hRule="atLeast"/>
        </w:trPr>
        <w:tc>
          <w:tcPr>
            <w:tcW w:w="541" w:type="pct"/>
            <w:vMerge w:val="continue"/>
            <w:tcBorders>
              <w:left w:val="single" w:color="000000" w:sz="12" w:space="0"/>
              <w:bottom w:val="single" w:color="000000" w:sz="8" w:space="0"/>
              <w:right w:val="single" w:color="000000" w:sz="8" w:space="0"/>
            </w:tcBorders>
            <w:shd w:val="clear" w:color="auto" w:fill="auto"/>
            <w:noWrap/>
            <w:vAlign w:val="center"/>
          </w:tcPr>
          <w:p w14:paraId="5FF8FD0B">
            <w:pPr>
              <w:jc w:val="center"/>
              <w:rPr>
                <w:rFonts w:hint="eastAsia" w:ascii="Times New Roman" w:hAnsi="Times New Roman" w:eastAsia="宋体" w:cs="Times New Roman"/>
                <w:color w:val="auto"/>
                <w:sz w:val="18"/>
                <w:szCs w:val="18"/>
              </w:rPr>
            </w:pPr>
          </w:p>
        </w:tc>
        <w:tc>
          <w:tcPr>
            <w:tcW w:w="471" w:type="pct"/>
            <w:vMerge w:val="continue"/>
            <w:tcBorders>
              <w:left w:val="single" w:color="000000" w:sz="8" w:space="0"/>
              <w:bottom w:val="single" w:color="000000" w:sz="8" w:space="0"/>
              <w:right w:val="single" w:color="000000" w:sz="8" w:space="0"/>
            </w:tcBorders>
            <w:shd w:val="clear" w:color="auto" w:fill="auto"/>
            <w:vAlign w:val="top"/>
          </w:tcPr>
          <w:p w14:paraId="11529428">
            <w:pPr>
              <w:jc w:val="center"/>
              <w:rPr>
                <w:rFonts w:hint="eastAsia" w:ascii="Times New Roman" w:hAnsi="Times New Roman" w:eastAsia="宋体" w:cs="Times New Roman"/>
                <w:color w:val="auto"/>
                <w:sz w:val="18"/>
                <w:szCs w:val="18"/>
              </w:rPr>
            </w:pPr>
          </w:p>
        </w:tc>
        <w:tc>
          <w:tcPr>
            <w:tcW w:w="333" w:type="pct"/>
            <w:vMerge w:val="continue"/>
            <w:tcBorders>
              <w:left w:val="single" w:color="000000" w:sz="8" w:space="0"/>
              <w:bottom w:val="single" w:color="000000" w:sz="8" w:space="0"/>
              <w:right w:val="single" w:color="000000" w:sz="8" w:space="0"/>
            </w:tcBorders>
            <w:shd w:val="clear" w:color="auto" w:fill="auto"/>
            <w:noWrap/>
            <w:vAlign w:val="center"/>
          </w:tcPr>
          <w:p w14:paraId="4E361170">
            <w:pPr>
              <w:jc w:val="center"/>
              <w:rPr>
                <w:rFonts w:hint="eastAsia" w:ascii="Times New Roman" w:hAnsi="Times New Roman" w:eastAsia="宋体" w:cs="Times New Roman"/>
                <w:color w:val="auto"/>
                <w:sz w:val="18"/>
                <w:szCs w:val="18"/>
              </w:rPr>
            </w:pPr>
          </w:p>
        </w:tc>
        <w:tc>
          <w:tcPr>
            <w:tcW w:w="372" w:type="pct"/>
            <w:vMerge w:val="continue"/>
            <w:tcBorders>
              <w:left w:val="single" w:color="000000" w:sz="8" w:space="0"/>
              <w:bottom w:val="single" w:color="000000" w:sz="8" w:space="0"/>
              <w:right w:val="single" w:color="000000" w:sz="8" w:space="0"/>
            </w:tcBorders>
            <w:shd w:val="clear" w:color="auto" w:fill="auto"/>
            <w:noWrap/>
            <w:vAlign w:val="center"/>
          </w:tcPr>
          <w:p w14:paraId="2696B1C8">
            <w:pPr>
              <w:jc w:val="center"/>
              <w:rPr>
                <w:rFonts w:hint="eastAsia" w:ascii="Times New Roman" w:hAnsi="Times New Roman" w:eastAsia="宋体" w:cs="Times New Roman"/>
                <w:color w:val="auto"/>
                <w:sz w:val="18"/>
                <w:szCs w:val="18"/>
              </w:rPr>
            </w:pPr>
          </w:p>
        </w:tc>
        <w:tc>
          <w:tcPr>
            <w:tcW w:w="433"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55940C5">
            <w:pPr>
              <w:jc w:val="center"/>
              <w:rPr>
                <w:rFonts w:hint="eastAsia" w:ascii="Times New Roman" w:hAnsi="Times New Roman" w:eastAsia="宋体" w:cs="Times New Roman"/>
                <w:color w:val="auto"/>
                <w:sz w:val="18"/>
                <w:szCs w:val="18"/>
              </w:rPr>
            </w:pPr>
          </w:p>
        </w:tc>
        <w:tc>
          <w:tcPr>
            <w:tcW w:w="403" w:type="pct"/>
            <w:tcBorders>
              <w:top w:val="single" w:color="000000" w:sz="8" w:space="0"/>
              <w:left w:val="single" w:color="000000" w:sz="8" w:space="0"/>
              <w:bottom w:val="single" w:color="000000" w:sz="12" w:space="0"/>
              <w:right w:val="single" w:color="000000" w:sz="8" w:space="0"/>
            </w:tcBorders>
            <w:shd w:val="clear" w:color="auto" w:fill="auto"/>
            <w:vAlign w:val="center"/>
          </w:tcPr>
          <w:p w14:paraId="7BA7F0E6">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Si</w:t>
            </w:r>
          </w:p>
        </w:tc>
        <w:tc>
          <w:tcPr>
            <w:tcW w:w="403" w:type="pct"/>
            <w:tcBorders>
              <w:top w:val="single" w:color="000000" w:sz="8" w:space="0"/>
              <w:left w:val="single" w:color="000000" w:sz="8" w:space="0"/>
              <w:bottom w:val="single" w:color="000000" w:sz="12" w:space="0"/>
              <w:right w:val="single" w:color="000000" w:sz="8" w:space="0"/>
            </w:tcBorders>
            <w:shd w:val="clear" w:color="auto" w:fill="auto"/>
            <w:vAlign w:val="center"/>
          </w:tcPr>
          <w:p w14:paraId="580F2F8D">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Fe</w:t>
            </w:r>
          </w:p>
        </w:tc>
        <w:tc>
          <w:tcPr>
            <w:tcW w:w="403" w:type="pct"/>
            <w:tcBorders>
              <w:top w:val="single" w:color="000000" w:sz="8" w:space="0"/>
              <w:left w:val="single" w:color="000000" w:sz="8" w:space="0"/>
              <w:bottom w:val="single" w:color="000000" w:sz="12" w:space="0"/>
              <w:right w:val="single" w:color="000000" w:sz="8" w:space="0"/>
            </w:tcBorders>
            <w:shd w:val="clear" w:color="auto" w:fill="auto"/>
            <w:vAlign w:val="center"/>
          </w:tcPr>
          <w:p w14:paraId="73B5983A">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Al</w:t>
            </w:r>
          </w:p>
        </w:tc>
        <w:tc>
          <w:tcPr>
            <w:tcW w:w="403" w:type="pct"/>
            <w:tcBorders>
              <w:top w:val="single" w:color="000000" w:sz="8" w:space="0"/>
              <w:left w:val="single" w:color="000000" w:sz="8" w:space="0"/>
              <w:bottom w:val="single" w:color="000000" w:sz="12" w:space="0"/>
              <w:right w:val="single" w:color="000000" w:sz="8" w:space="0"/>
            </w:tcBorders>
            <w:shd w:val="clear" w:color="auto" w:fill="auto"/>
            <w:vAlign w:val="center"/>
          </w:tcPr>
          <w:p w14:paraId="44C99E95">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Cu</w:t>
            </w:r>
          </w:p>
        </w:tc>
        <w:tc>
          <w:tcPr>
            <w:tcW w:w="403" w:type="pct"/>
            <w:tcBorders>
              <w:top w:val="single" w:color="000000" w:sz="8" w:space="0"/>
              <w:left w:val="single" w:color="000000" w:sz="8" w:space="0"/>
              <w:bottom w:val="single" w:color="000000" w:sz="12" w:space="0"/>
              <w:right w:val="single" w:color="000000" w:sz="8" w:space="0"/>
            </w:tcBorders>
            <w:shd w:val="clear" w:color="auto" w:fill="auto"/>
            <w:vAlign w:val="center"/>
          </w:tcPr>
          <w:p w14:paraId="5C5A802B">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Ni</w:t>
            </w:r>
          </w:p>
        </w:tc>
        <w:tc>
          <w:tcPr>
            <w:tcW w:w="403" w:type="pct"/>
            <w:tcBorders>
              <w:top w:val="single" w:color="000000" w:sz="8" w:space="0"/>
              <w:left w:val="single" w:color="000000" w:sz="8" w:space="0"/>
              <w:bottom w:val="single" w:color="000000" w:sz="12" w:space="0"/>
              <w:right w:val="single" w:color="000000" w:sz="8" w:space="0"/>
            </w:tcBorders>
            <w:shd w:val="clear" w:color="auto" w:fill="auto"/>
            <w:vAlign w:val="center"/>
          </w:tcPr>
          <w:p w14:paraId="1A70E04E">
            <w:pPr>
              <w:jc w:val="center"/>
              <w:rPr>
                <w:rFonts w:hint="default" w:ascii="Times New Roman" w:hAnsi="Times New Roman" w:eastAsia="宋体" w:cs="Times New Roman"/>
                <w:color w:val="auto"/>
                <w:sz w:val="18"/>
                <w:szCs w:val="18"/>
                <w:lang w:val="en-US"/>
              </w:rPr>
            </w:pPr>
            <w:r>
              <w:rPr>
                <w:rFonts w:hint="eastAsia" w:ascii="Times New Roman" w:hAnsi="Times New Roman" w:eastAsia="宋体" w:cs="Times New Roman"/>
                <w:color w:val="auto"/>
                <w:sz w:val="18"/>
                <w:szCs w:val="18"/>
                <w:lang w:val="en-US" w:eastAsia="zh-CN"/>
              </w:rPr>
              <w:t>C</w:t>
            </w:r>
          </w:p>
        </w:tc>
        <w:tc>
          <w:tcPr>
            <w:tcW w:w="427" w:type="pct"/>
            <w:tcBorders>
              <w:top w:val="single" w:color="000000" w:sz="8" w:space="0"/>
              <w:left w:val="single" w:color="000000" w:sz="8" w:space="0"/>
              <w:bottom w:val="single" w:color="000000" w:sz="12" w:space="0"/>
              <w:right w:val="single" w:color="000000" w:sz="12" w:space="0"/>
            </w:tcBorders>
            <w:shd w:val="clear" w:color="auto" w:fill="auto"/>
            <w:vAlign w:val="center"/>
          </w:tcPr>
          <w:p w14:paraId="28E7B418">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Ca</w:t>
            </w:r>
          </w:p>
        </w:tc>
      </w:tr>
      <w:tr w14:paraId="1BCC1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541" w:type="pct"/>
            <w:tcBorders>
              <w:top w:val="single" w:color="000000" w:sz="8" w:space="0"/>
              <w:left w:val="single" w:color="000000" w:sz="12" w:space="0"/>
              <w:bottom w:val="single" w:color="000000" w:sz="8" w:space="0"/>
              <w:right w:val="single" w:color="000000" w:sz="8" w:space="0"/>
            </w:tcBorders>
            <w:shd w:val="clear" w:color="auto" w:fill="auto"/>
            <w:vAlign w:val="top"/>
          </w:tcPr>
          <w:p w14:paraId="62CDDC61">
            <w:pPr>
              <w:jc w:val="center"/>
              <w:rPr>
                <w:rFonts w:hint="eastAsia" w:ascii="Times New Roman" w:hAnsi="Times New Roman" w:eastAsia="宋体" w:cs="Times New Roman"/>
                <w:color w:val="auto"/>
                <w:sz w:val="18"/>
                <w:szCs w:val="18"/>
              </w:rPr>
            </w:pPr>
            <w:r>
              <w:rPr>
                <w:rFonts w:hint="eastAsia" w:cs="Times New Roman"/>
                <w:color w:val="auto"/>
                <w:sz w:val="18"/>
                <w:szCs w:val="18"/>
                <w:lang w:val="en-US" w:eastAsia="zh-CN"/>
              </w:rPr>
              <w:t>Y</w:t>
            </w:r>
            <w:r>
              <w:rPr>
                <w:rFonts w:hint="eastAsia" w:ascii="Times New Roman" w:hAnsi="Times New Roman" w:eastAsia="宋体" w:cs="Times New Roman"/>
                <w:color w:val="auto"/>
                <w:sz w:val="18"/>
                <w:szCs w:val="18"/>
                <w:lang w:val="en-US" w:eastAsia="zh-CN"/>
              </w:rPr>
              <w:t>Mg-20A</w:t>
            </w:r>
          </w:p>
        </w:tc>
        <w:tc>
          <w:tcPr>
            <w:tcW w:w="471" w:type="pct"/>
            <w:tcBorders>
              <w:top w:val="single" w:color="000000" w:sz="8" w:space="0"/>
              <w:left w:val="single" w:color="000000" w:sz="8" w:space="0"/>
              <w:bottom w:val="single" w:color="000000" w:sz="8" w:space="0"/>
              <w:right w:val="single" w:color="000000" w:sz="8" w:space="0"/>
            </w:tcBorders>
            <w:shd w:val="clear" w:color="auto" w:fill="auto"/>
            <w:vAlign w:val="top"/>
          </w:tcPr>
          <w:p w14:paraId="1A839D26">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20</w:t>
            </w:r>
            <w:r>
              <w:rPr>
                <w:rFonts w:hint="eastAsia" w:cs="Times New Roman"/>
                <w:color w:val="auto"/>
                <w:sz w:val="18"/>
                <w:szCs w:val="18"/>
                <w:lang w:val="en-US" w:eastAsia="zh-CN"/>
              </w:rPr>
              <w:t>.0</w:t>
            </w:r>
            <w:r>
              <w:rPr>
                <w:rFonts w:hint="eastAsia" w:ascii="Times New Roman" w:hAnsi="Times New Roman" w:eastAsia="宋体" w:cs="Times New Roman"/>
                <w:color w:val="auto"/>
                <w:sz w:val="18"/>
                <w:szCs w:val="18"/>
                <w:lang w:val="en-US" w:eastAsia="zh-CN"/>
              </w:rPr>
              <w:t>±2</w:t>
            </w:r>
          </w:p>
        </w:tc>
        <w:tc>
          <w:tcPr>
            <w:tcW w:w="333" w:type="pct"/>
            <w:tcBorders>
              <w:top w:val="single" w:color="000000" w:sz="8" w:space="0"/>
              <w:left w:val="single" w:color="000000" w:sz="8" w:space="0"/>
              <w:bottom w:val="single" w:color="000000" w:sz="8" w:space="0"/>
              <w:right w:val="single" w:color="000000" w:sz="8" w:space="0"/>
            </w:tcBorders>
            <w:shd w:val="clear" w:color="auto" w:fill="auto"/>
            <w:vAlign w:val="top"/>
          </w:tcPr>
          <w:p w14:paraId="79755EC3">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余量</w:t>
            </w:r>
          </w:p>
        </w:tc>
        <w:tc>
          <w:tcPr>
            <w:tcW w:w="372" w:type="pct"/>
            <w:tcBorders>
              <w:top w:val="single" w:color="000000" w:sz="8" w:space="0"/>
              <w:left w:val="single" w:color="000000" w:sz="8" w:space="0"/>
              <w:bottom w:val="single" w:color="000000" w:sz="8" w:space="0"/>
              <w:right w:val="single" w:color="000000" w:sz="8" w:space="0"/>
            </w:tcBorders>
            <w:shd w:val="clear" w:color="auto" w:fill="auto"/>
            <w:vAlign w:val="top"/>
          </w:tcPr>
          <w:p w14:paraId="2DC4EFCF">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99.9</w:t>
            </w:r>
          </w:p>
        </w:tc>
        <w:tc>
          <w:tcPr>
            <w:tcW w:w="433" w:type="pct"/>
            <w:tcBorders>
              <w:top w:val="single" w:color="000000" w:sz="8" w:space="0"/>
              <w:left w:val="single" w:color="000000" w:sz="8" w:space="0"/>
              <w:bottom w:val="single" w:color="000000" w:sz="8" w:space="0"/>
              <w:right w:val="single" w:color="000000" w:sz="8" w:space="0"/>
            </w:tcBorders>
            <w:shd w:val="clear" w:color="auto" w:fill="auto"/>
            <w:vAlign w:val="top"/>
          </w:tcPr>
          <w:p w14:paraId="0848CAB7">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0.1</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1B9FF36B">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0.03</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3C7BBAF7">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w:t>
            </w:r>
            <w:r>
              <w:rPr>
                <w:rFonts w:hint="eastAsia" w:cs="Times New Roman"/>
                <w:color w:val="auto"/>
                <w:sz w:val="18"/>
                <w:szCs w:val="18"/>
                <w:lang w:val="en-US" w:eastAsia="zh-CN"/>
              </w:rPr>
              <w:t>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02912096">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0.02</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5B15F4B1">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6A264FA8">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3CFBE373">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0.04</w:t>
            </w:r>
          </w:p>
        </w:tc>
        <w:tc>
          <w:tcPr>
            <w:tcW w:w="427" w:type="pct"/>
            <w:tcBorders>
              <w:top w:val="single" w:color="000000" w:sz="8" w:space="0"/>
              <w:left w:val="single" w:color="000000" w:sz="8" w:space="0"/>
              <w:bottom w:val="single" w:color="000000" w:sz="8" w:space="0"/>
              <w:right w:val="single" w:color="000000" w:sz="12" w:space="0"/>
            </w:tcBorders>
            <w:shd w:val="clear" w:color="auto" w:fill="auto"/>
            <w:vAlign w:val="top"/>
          </w:tcPr>
          <w:p w14:paraId="2560361B">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0.05</w:t>
            </w:r>
          </w:p>
        </w:tc>
      </w:tr>
      <w:tr w14:paraId="14290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541" w:type="pct"/>
            <w:tcBorders>
              <w:top w:val="single" w:color="000000" w:sz="8" w:space="0"/>
              <w:left w:val="single" w:color="000000" w:sz="12" w:space="0"/>
              <w:bottom w:val="single" w:color="000000" w:sz="8" w:space="0"/>
              <w:right w:val="single" w:color="000000" w:sz="8" w:space="0"/>
            </w:tcBorders>
            <w:shd w:val="clear" w:color="auto" w:fill="auto"/>
            <w:vAlign w:val="top"/>
          </w:tcPr>
          <w:p w14:paraId="69385490">
            <w:pPr>
              <w:jc w:val="center"/>
              <w:rPr>
                <w:rFonts w:hint="eastAsia" w:ascii="Times New Roman" w:hAnsi="Times New Roman" w:eastAsia="宋体" w:cs="Times New Roman"/>
                <w:color w:val="auto"/>
                <w:sz w:val="18"/>
                <w:szCs w:val="18"/>
              </w:rPr>
            </w:pPr>
            <w:r>
              <w:rPr>
                <w:rFonts w:hint="eastAsia" w:cs="Times New Roman"/>
                <w:color w:val="auto"/>
                <w:sz w:val="18"/>
                <w:szCs w:val="18"/>
                <w:lang w:val="en-US" w:eastAsia="zh-CN"/>
              </w:rPr>
              <w:t>Y</w:t>
            </w:r>
            <w:r>
              <w:rPr>
                <w:rFonts w:hint="eastAsia" w:ascii="Times New Roman" w:hAnsi="Times New Roman" w:eastAsia="宋体" w:cs="Times New Roman"/>
                <w:color w:val="auto"/>
                <w:sz w:val="18"/>
                <w:szCs w:val="18"/>
                <w:lang w:val="en-US" w:eastAsia="zh-CN"/>
              </w:rPr>
              <w:t>Mg-20B</w:t>
            </w:r>
          </w:p>
        </w:tc>
        <w:tc>
          <w:tcPr>
            <w:tcW w:w="471" w:type="pct"/>
            <w:tcBorders>
              <w:top w:val="single" w:color="000000" w:sz="8" w:space="0"/>
              <w:left w:val="single" w:color="000000" w:sz="8" w:space="0"/>
              <w:bottom w:val="single" w:color="000000" w:sz="8" w:space="0"/>
              <w:right w:val="single" w:color="000000" w:sz="8" w:space="0"/>
            </w:tcBorders>
            <w:shd w:val="clear" w:color="auto" w:fill="auto"/>
            <w:vAlign w:val="top"/>
          </w:tcPr>
          <w:p w14:paraId="36BD8297">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20</w:t>
            </w:r>
            <w:r>
              <w:rPr>
                <w:rFonts w:hint="eastAsia" w:cs="Times New Roman"/>
                <w:color w:val="auto"/>
                <w:sz w:val="18"/>
                <w:szCs w:val="18"/>
                <w:lang w:val="en-US" w:eastAsia="zh-CN"/>
              </w:rPr>
              <w:t>.0</w:t>
            </w:r>
            <w:r>
              <w:rPr>
                <w:rFonts w:hint="eastAsia" w:ascii="Times New Roman" w:hAnsi="Times New Roman" w:eastAsia="宋体" w:cs="Times New Roman"/>
                <w:color w:val="auto"/>
                <w:sz w:val="18"/>
                <w:szCs w:val="18"/>
                <w:lang w:val="en-US" w:eastAsia="zh-CN"/>
              </w:rPr>
              <w:t>±2</w:t>
            </w:r>
          </w:p>
        </w:tc>
        <w:tc>
          <w:tcPr>
            <w:tcW w:w="333" w:type="pct"/>
            <w:tcBorders>
              <w:top w:val="single" w:color="000000" w:sz="8" w:space="0"/>
              <w:left w:val="single" w:color="000000" w:sz="8" w:space="0"/>
              <w:bottom w:val="single" w:color="000000" w:sz="8" w:space="0"/>
              <w:right w:val="single" w:color="000000" w:sz="8" w:space="0"/>
            </w:tcBorders>
            <w:shd w:val="clear" w:color="auto" w:fill="auto"/>
            <w:vAlign w:val="top"/>
          </w:tcPr>
          <w:p w14:paraId="7613B434">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余量</w:t>
            </w:r>
          </w:p>
        </w:tc>
        <w:tc>
          <w:tcPr>
            <w:tcW w:w="372" w:type="pct"/>
            <w:tcBorders>
              <w:top w:val="single" w:color="000000" w:sz="8" w:space="0"/>
              <w:left w:val="single" w:color="000000" w:sz="8" w:space="0"/>
              <w:bottom w:val="single" w:color="000000" w:sz="8" w:space="0"/>
              <w:right w:val="single" w:color="000000" w:sz="8" w:space="0"/>
            </w:tcBorders>
            <w:shd w:val="clear" w:color="auto" w:fill="auto"/>
            <w:vAlign w:val="top"/>
          </w:tcPr>
          <w:p w14:paraId="425AA53D">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99.5</w:t>
            </w:r>
          </w:p>
        </w:tc>
        <w:tc>
          <w:tcPr>
            <w:tcW w:w="433" w:type="pct"/>
            <w:tcBorders>
              <w:top w:val="single" w:color="000000" w:sz="8" w:space="0"/>
              <w:left w:val="single" w:color="000000" w:sz="8" w:space="0"/>
              <w:bottom w:val="single" w:color="000000" w:sz="8" w:space="0"/>
              <w:right w:val="single" w:color="000000" w:sz="8" w:space="0"/>
            </w:tcBorders>
            <w:shd w:val="clear" w:color="auto" w:fill="auto"/>
            <w:vAlign w:val="top"/>
          </w:tcPr>
          <w:p w14:paraId="3554E527">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4677C08A">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6548A56E">
            <w:pPr>
              <w:jc w:val="center"/>
              <w:rPr>
                <w:rFonts w:hint="default" w:ascii="Times New Roman" w:hAnsi="Times New Roman" w:eastAsia="宋体" w:cs="Times New Roman"/>
                <w:color w:val="auto"/>
                <w:sz w:val="18"/>
                <w:szCs w:val="18"/>
                <w:lang w:val="en-US"/>
              </w:rPr>
            </w:pPr>
            <w:r>
              <w:rPr>
                <w:rFonts w:hint="eastAsia" w:ascii="Times New Roman" w:hAnsi="Times New Roman" w:eastAsia="宋体" w:cs="Times New Roman"/>
                <w:color w:val="auto"/>
                <w:sz w:val="18"/>
                <w:szCs w:val="18"/>
                <w:lang w:val="en-US" w:eastAsia="zh-CN"/>
              </w:rPr>
              <w:t>0.</w:t>
            </w:r>
            <w:r>
              <w:rPr>
                <w:rFonts w:hint="eastAsia" w:cs="Times New Roman"/>
                <w:color w:val="auto"/>
                <w:sz w:val="18"/>
                <w:szCs w:val="18"/>
                <w:lang w:val="en-US" w:eastAsia="zh-CN"/>
              </w:rPr>
              <w:t>1</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65CB8C4D">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320F6987">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1D18DF4A">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0.01</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4580898D">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0.08</w:t>
            </w:r>
          </w:p>
        </w:tc>
        <w:tc>
          <w:tcPr>
            <w:tcW w:w="427" w:type="pct"/>
            <w:tcBorders>
              <w:top w:val="single" w:color="000000" w:sz="8" w:space="0"/>
              <w:left w:val="single" w:color="000000" w:sz="8" w:space="0"/>
              <w:bottom w:val="single" w:color="000000" w:sz="8" w:space="0"/>
              <w:right w:val="single" w:color="000000" w:sz="12" w:space="0"/>
            </w:tcBorders>
            <w:shd w:val="clear" w:color="auto" w:fill="auto"/>
            <w:vAlign w:val="top"/>
          </w:tcPr>
          <w:p w14:paraId="4DDCA273">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0.1</w:t>
            </w:r>
          </w:p>
        </w:tc>
      </w:tr>
      <w:tr w14:paraId="43CFB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 w:hRule="atLeast"/>
        </w:trPr>
        <w:tc>
          <w:tcPr>
            <w:tcW w:w="541" w:type="pct"/>
            <w:tcBorders>
              <w:top w:val="single" w:color="000000" w:sz="8" w:space="0"/>
              <w:left w:val="single" w:color="000000" w:sz="12" w:space="0"/>
              <w:bottom w:val="single" w:color="000000" w:sz="8" w:space="0"/>
              <w:right w:val="single" w:color="000000" w:sz="8" w:space="0"/>
            </w:tcBorders>
            <w:shd w:val="clear" w:color="auto" w:fill="auto"/>
            <w:vAlign w:val="top"/>
          </w:tcPr>
          <w:p w14:paraId="1546926F">
            <w:pPr>
              <w:jc w:val="center"/>
              <w:rPr>
                <w:rFonts w:hint="eastAsia" w:ascii="Times New Roman" w:hAnsi="Times New Roman" w:eastAsia="宋体" w:cs="Times New Roman"/>
                <w:color w:val="auto"/>
                <w:sz w:val="18"/>
                <w:szCs w:val="18"/>
              </w:rPr>
            </w:pPr>
            <w:r>
              <w:rPr>
                <w:rFonts w:hint="eastAsia" w:cs="Times New Roman"/>
                <w:color w:val="auto"/>
                <w:sz w:val="18"/>
                <w:szCs w:val="18"/>
                <w:lang w:val="en-US" w:eastAsia="zh-CN"/>
              </w:rPr>
              <w:t>Y</w:t>
            </w:r>
            <w:r>
              <w:rPr>
                <w:rFonts w:hint="eastAsia" w:ascii="Times New Roman" w:hAnsi="Times New Roman" w:eastAsia="宋体" w:cs="Times New Roman"/>
                <w:color w:val="auto"/>
                <w:sz w:val="18"/>
                <w:szCs w:val="18"/>
                <w:lang w:val="en-US" w:eastAsia="zh-CN"/>
              </w:rPr>
              <w:t>Mg-25A</w:t>
            </w:r>
          </w:p>
        </w:tc>
        <w:tc>
          <w:tcPr>
            <w:tcW w:w="471" w:type="pct"/>
            <w:tcBorders>
              <w:top w:val="single" w:color="000000" w:sz="8" w:space="0"/>
              <w:left w:val="single" w:color="000000" w:sz="8" w:space="0"/>
              <w:bottom w:val="single" w:color="000000" w:sz="8" w:space="0"/>
              <w:right w:val="single" w:color="000000" w:sz="8" w:space="0"/>
            </w:tcBorders>
            <w:shd w:val="clear" w:color="auto" w:fill="auto"/>
            <w:vAlign w:val="top"/>
          </w:tcPr>
          <w:p w14:paraId="1523D577">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25</w:t>
            </w:r>
            <w:r>
              <w:rPr>
                <w:rFonts w:hint="eastAsia" w:cs="Times New Roman"/>
                <w:color w:val="auto"/>
                <w:sz w:val="18"/>
                <w:szCs w:val="18"/>
                <w:lang w:val="en-US" w:eastAsia="zh-CN"/>
              </w:rPr>
              <w:t>.0</w:t>
            </w:r>
            <w:r>
              <w:rPr>
                <w:rFonts w:hint="eastAsia" w:ascii="Times New Roman" w:hAnsi="Times New Roman" w:eastAsia="宋体" w:cs="Times New Roman"/>
                <w:color w:val="auto"/>
                <w:sz w:val="18"/>
                <w:szCs w:val="18"/>
                <w:lang w:val="en-US" w:eastAsia="zh-CN"/>
              </w:rPr>
              <w:t>±2</w:t>
            </w:r>
          </w:p>
        </w:tc>
        <w:tc>
          <w:tcPr>
            <w:tcW w:w="333" w:type="pct"/>
            <w:tcBorders>
              <w:top w:val="single" w:color="000000" w:sz="8" w:space="0"/>
              <w:left w:val="single" w:color="000000" w:sz="8" w:space="0"/>
              <w:bottom w:val="single" w:color="000000" w:sz="8" w:space="0"/>
              <w:right w:val="single" w:color="000000" w:sz="8" w:space="0"/>
            </w:tcBorders>
            <w:shd w:val="clear" w:color="auto" w:fill="auto"/>
            <w:vAlign w:val="top"/>
          </w:tcPr>
          <w:p w14:paraId="2D05BAEB">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余量</w:t>
            </w:r>
          </w:p>
        </w:tc>
        <w:tc>
          <w:tcPr>
            <w:tcW w:w="372" w:type="pct"/>
            <w:tcBorders>
              <w:top w:val="single" w:color="000000" w:sz="8" w:space="0"/>
              <w:left w:val="single" w:color="000000" w:sz="8" w:space="0"/>
              <w:bottom w:val="single" w:color="000000" w:sz="8" w:space="0"/>
              <w:right w:val="single" w:color="000000" w:sz="8" w:space="0"/>
            </w:tcBorders>
            <w:shd w:val="clear" w:color="auto" w:fill="auto"/>
            <w:vAlign w:val="top"/>
          </w:tcPr>
          <w:p w14:paraId="07FA887F">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99.9</w:t>
            </w:r>
          </w:p>
        </w:tc>
        <w:tc>
          <w:tcPr>
            <w:tcW w:w="433" w:type="pct"/>
            <w:tcBorders>
              <w:top w:val="single" w:color="000000" w:sz="8" w:space="0"/>
              <w:left w:val="single" w:color="000000" w:sz="8" w:space="0"/>
              <w:bottom w:val="single" w:color="000000" w:sz="8" w:space="0"/>
              <w:right w:val="single" w:color="000000" w:sz="8" w:space="0"/>
            </w:tcBorders>
            <w:shd w:val="clear" w:color="auto" w:fill="auto"/>
            <w:vAlign w:val="top"/>
          </w:tcPr>
          <w:p w14:paraId="54A3511E">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0.1</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36CAFE18">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0.03</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1CDD14B0">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w:t>
            </w:r>
            <w:r>
              <w:rPr>
                <w:rFonts w:hint="eastAsia" w:cs="Times New Roman"/>
                <w:color w:val="auto"/>
                <w:sz w:val="18"/>
                <w:szCs w:val="18"/>
                <w:lang w:val="en-US" w:eastAsia="zh-CN"/>
              </w:rPr>
              <w:t>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28CDE40D">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0.02</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36ACC645">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7A9B2BF2">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7B0CB4EA">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0.04</w:t>
            </w:r>
          </w:p>
        </w:tc>
        <w:tc>
          <w:tcPr>
            <w:tcW w:w="427" w:type="pct"/>
            <w:tcBorders>
              <w:top w:val="single" w:color="000000" w:sz="8" w:space="0"/>
              <w:left w:val="single" w:color="000000" w:sz="8" w:space="0"/>
              <w:bottom w:val="single" w:color="000000" w:sz="8" w:space="0"/>
              <w:right w:val="single" w:color="000000" w:sz="12" w:space="0"/>
            </w:tcBorders>
            <w:shd w:val="clear" w:color="auto" w:fill="auto"/>
            <w:vAlign w:val="top"/>
          </w:tcPr>
          <w:p w14:paraId="16157753">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0.05</w:t>
            </w:r>
          </w:p>
        </w:tc>
      </w:tr>
      <w:tr w14:paraId="61CD8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541" w:type="pct"/>
            <w:tcBorders>
              <w:top w:val="single" w:color="000000" w:sz="8" w:space="0"/>
              <w:left w:val="single" w:color="000000" w:sz="12" w:space="0"/>
              <w:bottom w:val="single" w:color="000000" w:sz="8" w:space="0"/>
              <w:right w:val="single" w:color="000000" w:sz="8" w:space="0"/>
            </w:tcBorders>
            <w:shd w:val="clear" w:color="auto" w:fill="auto"/>
            <w:vAlign w:val="top"/>
          </w:tcPr>
          <w:p w14:paraId="71C7516E">
            <w:pPr>
              <w:jc w:val="center"/>
              <w:rPr>
                <w:rFonts w:hint="eastAsia" w:ascii="Times New Roman" w:hAnsi="Times New Roman" w:eastAsia="宋体" w:cs="Times New Roman"/>
                <w:color w:val="auto"/>
                <w:sz w:val="18"/>
                <w:szCs w:val="18"/>
              </w:rPr>
            </w:pPr>
            <w:r>
              <w:rPr>
                <w:rFonts w:hint="eastAsia" w:cs="Times New Roman"/>
                <w:color w:val="auto"/>
                <w:sz w:val="18"/>
                <w:szCs w:val="18"/>
                <w:lang w:val="en-US" w:eastAsia="zh-CN"/>
              </w:rPr>
              <w:t>Y</w:t>
            </w:r>
            <w:r>
              <w:rPr>
                <w:rFonts w:hint="eastAsia" w:ascii="Times New Roman" w:hAnsi="Times New Roman" w:eastAsia="宋体" w:cs="Times New Roman"/>
                <w:color w:val="auto"/>
                <w:sz w:val="18"/>
                <w:szCs w:val="18"/>
                <w:lang w:val="en-US" w:eastAsia="zh-CN"/>
              </w:rPr>
              <w:t>Mg-25B</w:t>
            </w:r>
          </w:p>
        </w:tc>
        <w:tc>
          <w:tcPr>
            <w:tcW w:w="471" w:type="pct"/>
            <w:tcBorders>
              <w:top w:val="single" w:color="000000" w:sz="8" w:space="0"/>
              <w:left w:val="single" w:color="000000" w:sz="8" w:space="0"/>
              <w:bottom w:val="single" w:color="000000" w:sz="8" w:space="0"/>
              <w:right w:val="single" w:color="000000" w:sz="8" w:space="0"/>
            </w:tcBorders>
            <w:shd w:val="clear" w:color="auto" w:fill="auto"/>
            <w:vAlign w:val="top"/>
          </w:tcPr>
          <w:p w14:paraId="66E36D95">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25</w:t>
            </w:r>
            <w:r>
              <w:rPr>
                <w:rFonts w:hint="eastAsia" w:cs="Times New Roman"/>
                <w:color w:val="auto"/>
                <w:sz w:val="18"/>
                <w:szCs w:val="18"/>
                <w:lang w:val="en-US" w:eastAsia="zh-CN"/>
              </w:rPr>
              <w:t>.0</w:t>
            </w:r>
            <w:r>
              <w:rPr>
                <w:rFonts w:hint="eastAsia" w:ascii="Times New Roman" w:hAnsi="Times New Roman" w:eastAsia="宋体" w:cs="Times New Roman"/>
                <w:color w:val="auto"/>
                <w:sz w:val="18"/>
                <w:szCs w:val="18"/>
                <w:lang w:val="en-US" w:eastAsia="zh-CN"/>
              </w:rPr>
              <w:t>±2</w:t>
            </w:r>
          </w:p>
        </w:tc>
        <w:tc>
          <w:tcPr>
            <w:tcW w:w="333" w:type="pct"/>
            <w:tcBorders>
              <w:top w:val="single" w:color="000000" w:sz="8" w:space="0"/>
              <w:left w:val="single" w:color="000000" w:sz="8" w:space="0"/>
              <w:bottom w:val="single" w:color="000000" w:sz="8" w:space="0"/>
              <w:right w:val="single" w:color="000000" w:sz="8" w:space="0"/>
            </w:tcBorders>
            <w:shd w:val="clear" w:color="auto" w:fill="auto"/>
            <w:vAlign w:val="top"/>
          </w:tcPr>
          <w:p w14:paraId="620505F7">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余量</w:t>
            </w:r>
          </w:p>
        </w:tc>
        <w:tc>
          <w:tcPr>
            <w:tcW w:w="372" w:type="pct"/>
            <w:tcBorders>
              <w:top w:val="single" w:color="000000" w:sz="8" w:space="0"/>
              <w:left w:val="single" w:color="000000" w:sz="8" w:space="0"/>
              <w:bottom w:val="single" w:color="000000" w:sz="8" w:space="0"/>
              <w:right w:val="single" w:color="000000" w:sz="8" w:space="0"/>
            </w:tcBorders>
            <w:shd w:val="clear" w:color="auto" w:fill="auto"/>
            <w:vAlign w:val="top"/>
          </w:tcPr>
          <w:p w14:paraId="4E8C20D5">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99.5</w:t>
            </w:r>
          </w:p>
        </w:tc>
        <w:tc>
          <w:tcPr>
            <w:tcW w:w="433" w:type="pct"/>
            <w:tcBorders>
              <w:top w:val="single" w:color="000000" w:sz="8" w:space="0"/>
              <w:left w:val="single" w:color="000000" w:sz="8" w:space="0"/>
              <w:bottom w:val="single" w:color="000000" w:sz="8" w:space="0"/>
              <w:right w:val="single" w:color="000000" w:sz="8" w:space="0"/>
            </w:tcBorders>
            <w:shd w:val="clear" w:color="auto" w:fill="auto"/>
            <w:vAlign w:val="top"/>
          </w:tcPr>
          <w:p w14:paraId="37BE7FF5">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6C130329">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446EDC1D">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w:t>
            </w:r>
            <w:r>
              <w:rPr>
                <w:rFonts w:hint="eastAsia" w:cs="Times New Roman"/>
                <w:color w:val="auto"/>
                <w:sz w:val="18"/>
                <w:szCs w:val="18"/>
                <w:lang w:val="en-US" w:eastAsia="zh-CN"/>
              </w:rPr>
              <w:t>1</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6F3D65E9">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28FA4D85">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71710CA4">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0.01</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7FA7E995">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0.08</w:t>
            </w:r>
          </w:p>
        </w:tc>
        <w:tc>
          <w:tcPr>
            <w:tcW w:w="427" w:type="pct"/>
            <w:tcBorders>
              <w:top w:val="single" w:color="000000" w:sz="8" w:space="0"/>
              <w:left w:val="single" w:color="000000" w:sz="8" w:space="0"/>
              <w:bottom w:val="single" w:color="000000" w:sz="8" w:space="0"/>
              <w:right w:val="single" w:color="000000" w:sz="12" w:space="0"/>
            </w:tcBorders>
            <w:shd w:val="clear" w:color="auto" w:fill="auto"/>
            <w:vAlign w:val="top"/>
          </w:tcPr>
          <w:p w14:paraId="47BDD7A3">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0.1</w:t>
            </w:r>
          </w:p>
        </w:tc>
      </w:tr>
      <w:tr w14:paraId="71A7C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541" w:type="pct"/>
            <w:tcBorders>
              <w:top w:val="single" w:color="000000" w:sz="8" w:space="0"/>
              <w:left w:val="single" w:color="000000" w:sz="12" w:space="0"/>
              <w:bottom w:val="single" w:color="000000" w:sz="8" w:space="0"/>
              <w:right w:val="single" w:color="000000" w:sz="8" w:space="0"/>
            </w:tcBorders>
            <w:shd w:val="clear" w:color="auto" w:fill="auto"/>
            <w:vAlign w:val="top"/>
          </w:tcPr>
          <w:p w14:paraId="5EF83697">
            <w:pPr>
              <w:jc w:val="center"/>
              <w:rPr>
                <w:rFonts w:hint="eastAsia" w:ascii="Times New Roman" w:hAnsi="Times New Roman" w:eastAsia="宋体" w:cs="Times New Roman"/>
                <w:color w:val="auto"/>
                <w:sz w:val="18"/>
                <w:szCs w:val="18"/>
              </w:rPr>
            </w:pPr>
            <w:r>
              <w:rPr>
                <w:rFonts w:hint="eastAsia" w:cs="Times New Roman"/>
                <w:color w:val="auto"/>
                <w:sz w:val="18"/>
                <w:szCs w:val="18"/>
                <w:lang w:val="en-US" w:eastAsia="zh-CN"/>
              </w:rPr>
              <w:t>Y</w:t>
            </w:r>
            <w:r>
              <w:rPr>
                <w:rFonts w:hint="eastAsia" w:ascii="Times New Roman" w:hAnsi="Times New Roman" w:eastAsia="宋体" w:cs="Times New Roman"/>
                <w:color w:val="auto"/>
                <w:sz w:val="18"/>
                <w:szCs w:val="18"/>
                <w:lang w:val="en-US" w:eastAsia="zh-CN"/>
              </w:rPr>
              <w:t>Mg-30A</w:t>
            </w:r>
          </w:p>
        </w:tc>
        <w:tc>
          <w:tcPr>
            <w:tcW w:w="471" w:type="pct"/>
            <w:tcBorders>
              <w:top w:val="single" w:color="000000" w:sz="8" w:space="0"/>
              <w:left w:val="single" w:color="000000" w:sz="8" w:space="0"/>
              <w:bottom w:val="single" w:color="000000" w:sz="8" w:space="0"/>
              <w:right w:val="single" w:color="000000" w:sz="8" w:space="0"/>
            </w:tcBorders>
            <w:shd w:val="clear" w:color="auto" w:fill="auto"/>
            <w:vAlign w:val="top"/>
          </w:tcPr>
          <w:p w14:paraId="16907328">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30</w:t>
            </w:r>
            <w:r>
              <w:rPr>
                <w:rFonts w:hint="eastAsia" w:cs="Times New Roman"/>
                <w:color w:val="auto"/>
                <w:sz w:val="18"/>
                <w:szCs w:val="18"/>
                <w:lang w:val="en-US" w:eastAsia="zh-CN"/>
              </w:rPr>
              <w:t>.0</w:t>
            </w:r>
            <w:r>
              <w:rPr>
                <w:rFonts w:hint="eastAsia" w:ascii="Times New Roman" w:hAnsi="Times New Roman" w:eastAsia="宋体" w:cs="Times New Roman"/>
                <w:color w:val="auto"/>
                <w:sz w:val="18"/>
                <w:szCs w:val="18"/>
                <w:lang w:val="en-US" w:eastAsia="zh-CN"/>
              </w:rPr>
              <w:t>±2</w:t>
            </w:r>
          </w:p>
        </w:tc>
        <w:tc>
          <w:tcPr>
            <w:tcW w:w="333" w:type="pct"/>
            <w:tcBorders>
              <w:top w:val="single" w:color="000000" w:sz="8" w:space="0"/>
              <w:left w:val="single" w:color="000000" w:sz="8" w:space="0"/>
              <w:bottom w:val="single" w:color="000000" w:sz="8" w:space="0"/>
              <w:right w:val="single" w:color="000000" w:sz="8" w:space="0"/>
            </w:tcBorders>
            <w:shd w:val="clear" w:color="auto" w:fill="auto"/>
            <w:vAlign w:val="top"/>
          </w:tcPr>
          <w:p w14:paraId="424488B0">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余量</w:t>
            </w:r>
          </w:p>
        </w:tc>
        <w:tc>
          <w:tcPr>
            <w:tcW w:w="372" w:type="pct"/>
            <w:tcBorders>
              <w:top w:val="single" w:color="000000" w:sz="8" w:space="0"/>
              <w:left w:val="single" w:color="000000" w:sz="8" w:space="0"/>
              <w:bottom w:val="single" w:color="000000" w:sz="8" w:space="0"/>
              <w:right w:val="single" w:color="000000" w:sz="8" w:space="0"/>
            </w:tcBorders>
            <w:shd w:val="clear" w:color="auto" w:fill="auto"/>
            <w:vAlign w:val="top"/>
          </w:tcPr>
          <w:p w14:paraId="2CE02474">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99.9</w:t>
            </w:r>
          </w:p>
        </w:tc>
        <w:tc>
          <w:tcPr>
            <w:tcW w:w="433" w:type="pct"/>
            <w:tcBorders>
              <w:top w:val="single" w:color="000000" w:sz="8" w:space="0"/>
              <w:left w:val="single" w:color="000000" w:sz="8" w:space="0"/>
              <w:bottom w:val="single" w:color="000000" w:sz="8" w:space="0"/>
              <w:right w:val="single" w:color="000000" w:sz="8" w:space="0"/>
            </w:tcBorders>
            <w:shd w:val="clear" w:color="auto" w:fill="auto"/>
            <w:vAlign w:val="top"/>
          </w:tcPr>
          <w:p w14:paraId="28A133FA">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0.1</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534B3606">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0.03</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317806E9">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w:t>
            </w:r>
            <w:r>
              <w:rPr>
                <w:rFonts w:hint="eastAsia" w:cs="Times New Roman"/>
                <w:color w:val="auto"/>
                <w:sz w:val="18"/>
                <w:szCs w:val="18"/>
                <w:lang w:val="en-US" w:eastAsia="zh-CN"/>
              </w:rPr>
              <w:t>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0C9FD760">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0.02</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23647D03">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138808FE">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3CB02CE8">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0.04</w:t>
            </w:r>
          </w:p>
        </w:tc>
        <w:tc>
          <w:tcPr>
            <w:tcW w:w="427" w:type="pct"/>
            <w:tcBorders>
              <w:top w:val="single" w:color="000000" w:sz="8" w:space="0"/>
              <w:left w:val="single" w:color="000000" w:sz="8" w:space="0"/>
              <w:bottom w:val="single" w:color="000000" w:sz="8" w:space="0"/>
              <w:right w:val="single" w:color="000000" w:sz="12" w:space="0"/>
            </w:tcBorders>
            <w:shd w:val="clear" w:color="auto" w:fill="auto"/>
            <w:vAlign w:val="top"/>
          </w:tcPr>
          <w:p w14:paraId="2BA15AC7">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0.05</w:t>
            </w:r>
          </w:p>
        </w:tc>
      </w:tr>
      <w:tr w14:paraId="3F875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541" w:type="pct"/>
            <w:tcBorders>
              <w:top w:val="single" w:color="000000" w:sz="8" w:space="0"/>
              <w:left w:val="single" w:color="000000" w:sz="12" w:space="0"/>
              <w:bottom w:val="single" w:color="000000" w:sz="8" w:space="0"/>
              <w:right w:val="single" w:color="000000" w:sz="8" w:space="0"/>
            </w:tcBorders>
            <w:shd w:val="clear" w:color="auto" w:fill="auto"/>
            <w:vAlign w:val="top"/>
          </w:tcPr>
          <w:p w14:paraId="39E488A1">
            <w:pPr>
              <w:jc w:val="center"/>
              <w:rPr>
                <w:rFonts w:hint="eastAsia" w:ascii="Times New Roman" w:hAnsi="Times New Roman" w:eastAsia="宋体" w:cs="Times New Roman"/>
                <w:color w:val="auto"/>
                <w:sz w:val="18"/>
                <w:szCs w:val="18"/>
              </w:rPr>
            </w:pPr>
            <w:r>
              <w:rPr>
                <w:rFonts w:hint="eastAsia" w:cs="Times New Roman"/>
                <w:color w:val="auto"/>
                <w:sz w:val="18"/>
                <w:szCs w:val="18"/>
                <w:lang w:val="en-US" w:eastAsia="zh-CN"/>
              </w:rPr>
              <w:t>Y</w:t>
            </w:r>
            <w:r>
              <w:rPr>
                <w:rFonts w:hint="eastAsia" w:ascii="Times New Roman" w:hAnsi="Times New Roman" w:eastAsia="宋体" w:cs="Times New Roman"/>
                <w:color w:val="auto"/>
                <w:sz w:val="18"/>
                <w:szCs w:val="18"/>
                <w:lang w:val="en-US" w:eastAsia="zh-CN"/>
              </w:rPr>
              <w:t>Mg-30B</w:t>
            </w:r>
          </w:p>
        </w:tc>
        <w:tc>
          <w:tcPr>
            <w:tcW w:w="471" w:type="pct"/>
            <w:tcBorders>
              <w:top w:val="single" w:color="000000" w:sz="8" w:space="0"/>
              <w:left w:val="single" w:color="000000" w:sz="8" w:space="0"/>
              <w:bottom w:val="single" w:color="000000" w:sz="8" w:space="0"/>
              <w:right w:val="single" w:color="000000" w:sz="8" w:space="0"/>
            </w:tcBorders>
            <w:shd w:val="clear" w:color="auto" w:fill="auto"/>
            <w:vAlign w:val="top"/>
          </w:tcPr>
          <w:p w14:paraId="5B6F7DCC">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30</w:t>
            </w:r>
            <w:r>
              <w:rPr>
                <w:rFonts w:hint="eastAsia" w:cs="Times New Roman"/>
                <w:color w:val="auto"/>
                <w:sz w:val="18"/>
                <w:szCs w:val="18"/>
                <w:lang w:val="en-US" w:eastAsia="zh-CN"/>
              </w:rPr>
              <w:t>.0</w:t>
            </w:r>
            <w:r>
              <w:rPr>
                <w:rFonts w:hint="eastAsia" w:ascii="Times New Roman" w:hAnsi="Times New Roman" w:eastAsia="宋体" w:cs="Times New Roman"/>
                <w:color w:val="auto"/>
                <w:sz w:val="18"/>
                <w:szCs w:val="18"/>
                <w:lang w:val="en-US" w:eastAsia="zh-CN"/>
              </w:rPr>
              <w:t>±2</w:t>
            </w:r>
          </w:p>
        </w:tc>
        <w:tc>
          <w:tcPr>
            <w:tcW w:w="333" w:type="pct"/>
            <w:tcBorders>
              <w:top w:val="single" w:color="000000" w:sz="8" w:space="0"/>
              <w:left w:val="single" w:color="000000" w:sz="8" w:space="0"/>
              <w:bottom w:val="single" w:color="000000" w:sz="8" w:space="0"/>
              <w:right w:val="single" w:color="000000" w:sz="8" w:space="0"/>
            </w:tcBorders>
            <w:shd w:val="clear" w:color="auto" w:fill="auto"/>
            <w:vAlign w:val="top"/>
          </w:tcPr>
          <w:p w14:paraId="300FEDDA">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余量</w:t>
            </w:r>
          </w:p>
        </w:tc>
        <w:tc>
          <w:tcPr>
            <w:tcW w:w="372" w:type="pct"/>
            <w:tcBorders>
              <w:top w:val="single" w:color="000000" w:sz="8" w:space="0"/>
              <w:left w:val="single" w:color="000000" w:sz="8" w:space="0"/>
              <w:bottom w:val="single" w:color="000000" w:sz="8" w:space="0"/>
              <w:right w:val="single" w:color="000000" w:sz="8" w:space="0"/>
            </w:tcBorders>
            <w:shd w:val="clear" w:color="auto" w:fill="auto"/>
            <w:vAlign w:val="top"/>
          </w:tcPr>
          <w:p w14:paraId="0E91F886">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99.5</w:t>
            </w:r>
          </w:p>
        </w:tc>
        <w:tc>
          <w:tcPr>
            <w:tcW w:w="433" w:type="pct"/>
            <w:tcBorders>
              <w:top w:val="single" w:color="000000" w:sz="8" w:space="0"/>
              <w:left w:val="single" w:color="000000" w:sz="8" w:space="0"/>
              <w:bottom w:val="single" w:color="000000" w:sz="8" w:space="0"/>
              <w:right w:val="single" w:color="000000" w:sz="8" w:space="0"/>
            </w:tcBorders>
            <w:shd w:val="clear" w:color="auto" w:fill="auto"/>
            <w:vAlign w:val="top"/>
          </w:tcPr>
          <w:p w14:paraId="717B772F">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7FDFDCC9">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13F2FBA0">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w:t>
            </w:r>
            <w:r>
              <w:rPr>
                <w:rFonts w:hint="eastAsia" w:cs="Times New Roman"/>
                <w:color w:val="auto"/>
                <w:sz w:val="18"/>
                <w:szCs w:val="18"/>
                <w:lang w:val="en-US" w:eastAsia="zh-CN"/>
              </w:rPr>
              <w:t>1</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5ECD03CD">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47F5031A">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0.005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5B8E6D0C">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0.01</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top"/>
          </w:tcPr>
          <w:p w14:paraId="7AFC22DD">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0.08</w:t>
            </w:r>
          </w:p>
        </w:tc>
        <w:tc>
          <w:tcPr>
            <w:tcW w:w="427" w:type="pct"/>
            <w:tcBorders>
              <w:top w:val="single" w:color="000000" w:sz="8" w:space="0"/>
              <w:left w:val="single" w:color="000000" w:sz="8" w:space="0"/>
              <w:bottom w:val="single" w:color="000000" w:sz="8" w:space="0"/>
              <w:right w:val="single" w:color="000000" w:sz="12" w:space="0"/>
            </w:tcBorders>
            <w:shd w:val="clear" w:color="auto" w:fill="auto"/>
            <w:vAlign w:val="top"/>
          </w:tcPr>
          <w:p w14:paraId="5C3C150F">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0.1</w:t>
            </w:r>
          </w:p>
        </w:tc>
      </w:tr>
      <w:tr w14:paraId="37ABE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000" w:type="pct"/>
            <w:gridSpan w:val="12"/>
            <w:tcBorders>
              <w:top w:val="single" w:color="000000" w:sz="8" w:space="0"/>
              <w:left w:val="single" w:color="000000" w:sz="12" w:space="0"/>
              <w:bottom w:val="single" w:color="000000" w:sz="8" w:space="0"/>
              <w:right w:val="single" w:color="000000" w:sz="12" w:space="0"/>
            </w:tcBorders>
            <w:shd w:val="clear" w:color="auto" w:fill="auto"/>
            <w:vAlign w:val="center"/>
          </w:tcPr>
          <w:p w14:paraId="3D669A04">
            <w:pPr>
              <w:jc w:val="both"/>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注：稀土杂质是指除主元素和钷、钪以外的稀土元素。</w:t>
            </w:r>
          </w:p>
        </w:tc>
      </w:tr>
    </w:tbl>
    <w:p w14:paraId="67B58974">
      <w:pPr>
        <w:pStyle w:val="21"/>
        <w:numPr>
          <w:ilvl w:val="1"/>
          <w:numId w:val="3"/>
        </w:numPr>
        <w:spacing w:beforeLines="0" w:afterLines="0" w:line="400" w:lineRule="exact"/>
        <w:rPr>
          <w:rFonts w:ascii="Times New Roman"/>
          <w:color w:val="auto"/>
        </w:rPr>
      </w:pPr>
      <w:r>
        <w:rPr>
          <w:rFonts w:hint="eastAsia" w:ascii="Times New Roman"/>
          <w:color w:val="auto"/>
        </w:rPr>
        <w:t>外观质量</w:t>
      </w:r>
    </w:p>
    <w:p w14:paraId="62C9C72E">
      <w:pPr>
        <w:pStyle w:val="23"/>
        <w:spacing w:beforeLines="0" w:afterLines="0" w:line="400" w:lineRule="exact"/>
        <w:ind w:left="0"/>
        <w:rPr>
          <w:rFonts w:hint="eastAsia" w:ascii="Times New Roman" w:eastAsia="宋体"/>
          <w:color w:val="auto"/>
        </w:rPr>
      </w:pPr>
      <w:r>
        <w:rPr>
          <w:rFonts w:hint="eastAsia" w:ascii="Times New Roman" w:eastAsia="宋体"/>
          <w:color w:val="auto"/>
        </w:rPr>
        <w:t>产品为铸态合金。</w:t>
      </w:r>
    </w:p>
    <w:p w14:paraId="2A9AF9E5">
      <w:pPr>
        <w:pStyle w:val="23"/>
        <w:spacing w:beforeLines="0" w:afterLines="0" w:line="400" w:lineRule="exact"/>
        <w:ind w:left="0"/>
        <w:rPr>
          <w:rFonts w:hint="eastAsia" w:ascii="Times New Roman" w:eastAsia="宋体"/>
          <w:color w:val="auto"/>
        </w:rPr>
      </w:pPr>
      <w:r>
        <w:rPr>
          <w:rFonts w:hint="eastAsia" w:ascii="Times New Roman" w:eastAsia="宋体"/>
          <w:color w:val="auto"/>
        </w:rPr>
        <w:t>产品表面及其断口均呈银灰色，应洁净，无可见的夹杂物</w:t>
      </w:r>
      <w:bookmarkStart w:id="6" w:name="_GoBack"/>
      <w:bookmarkEnd w:id="6"/>
      <w:r>
        <w:rPr>
          <w:rFonts w:hint="eastAsia" w:ascii="Times New Roman" w:eastAsia="宋体"/>
          <w:color w:val="auto"/>
        </w:rPr>
        <w:t>和氧化脱落粉末。</w:t>
      </w:r>
    </w:p>
    <w:p w14:paraId="3ADC47B1">
      <w:pPr>
        <w:pStyle w:val="22"/>
        <w:spacing w:before="312" w:after="312"/>
        <w:ind w:left="0"/>
        <w:rPr>
          <w:rFonts w:ascii="Times New Roman"/>
          <w:color w:val="auto"/>
        </w:rPr>
      </w:pPr>
      <w:r>
        <w:rPr>
          <w:rFonts w:ascii="Times New Roman"/>
          <w:color w:val="auto"/>
        </w:rPr>
        <w:t>试验方法</w:t>
      </w:r>
    </w:p>
    <w:p w14:paraId="0B23C981">
      <w:pPr>
        <w:pStyle w:val="21"/>
        <w:numPr>
          <w:ilvl w:val="1"/>
          <w:numId w:val="3"/>
        </w:numPr>
        <w:spacing w:beforeLines="0" w:afterLines="0" w:line="400" w:lineRule="exact"/>
        <w:rPr>
          <w:rFonts w:ascii="Times New Roman"/>
          <w:color w:val="auto"/>
        </w:rPr>
      </w:pPr>
      <w:r>
        <w:rPr>
          <w:rFonts w:ascii="Times New Roman"/>
          <w:color w:val="auto"/>
        </w:rPr>
        <w:t>化学成分</w:t>
      </w:r>
    </w:p>
    <w:p w14:paraId="1823B7D7">
      <w:pPr>
        <w:pStyle w:val="23"/>
        <w:spacing w:beforeLines="0" w:afterLines="0" w:line="400" w:lineRule="exact"/>
        <w:ind w:left="0"/>
        <w:rPr>
          <w:rFonts w:ascii="Times New Roman" w:eastAsia="宋体"/>
          <w:color w:val="auto"/>
        </w:rPr>
      </w:pPr>
      <w:r>
        <w:rPr>
          <w:rFonts w:hint="eastAsia" w:ascii="Times New Roman" w:eastAsia="宋体"/>
          <w:strike w:val="0"/>
          <w:dstrike w:val="0"/>
          <w:color w:val="auto"/>
        </w:rPr>
        <w:t>产品中</w:t>
      </w:r>
      <w:r>
        <w:rPr>
          <w:rFonts w:hint="eastAsia" w:ascii="Times New Roman" w:eastAsia="宋体"/>
          <w:color w:val="auto"/>
        </w:rPr>
        <w:t>稀土总量的测定按照GB/T 29916的规定进行</w:t>
      </w:r>
      <w:r>
        <w:rPr>
          <w:rFonts w:ascii="Times New Roman" w:eastAsia="宋体"/>
          <w:color w:val="auto"/>
        </w:rPr>
        <w:t>。</w:t>
      </w:r>
    </w:p>
    <w:p w14:paraId="2B690AEA">
      <w:pPr>
        <w:pStyle w:val="23"/>
        <w:spacing w:beforeLines="0" w:afterLines="0" w:line="400" w:lineRule="exact"/>
        <w:ind w:left="0"/>
        <w:rPr>
          <w:rFonts w:ascii="Times New Roman" w:eastAsia="宋体"/>
          <w:color w:val="auto"/>
        </w:rPr>
      </w:pPr>
      <w:r>
        <w:rPr>
          <w:rFonts w:hint="eastAsia" w:ascii="Times New Roman" w:eastAsia="宋体"/>
          <w:strike w:val="0"/>
          <w:dstrike w:val="0"/>
          <w:color w:val="auto"/>
        </w:rPr>
        <w:t>产品中</w:t>
      </w:r>
      <w:r>
        <w:rPr>
          <w:rFonts w:hint="eastAsia" w:ascii="Times New Roman" w:eastAsia="宋体"/>
          <w:color w:val="auto"/>
        </w:rPr>
        <w:t>碳的测定按照GB/T 29916的规定进行</w:t>
      </w:r>
      <w:r>
        <w:rPr>
          <w:rFonts w:ascii="Times New Roman" w:eastAsia="宋体"/>
          <w:color w:val="auto"/>
        </w:rPr>
        <w:t>。</w:t>
      </w:r>
    </w:p>
    <w:p w14:paraId="6DDB218C">
      <w:pPr>
        <w:pStyle w:val="23"/>
        <w:numPr>
          <w:ilvl w:val="2"/>
          <w:numId w:val="4"/>
        </w:numPr>
        <w:spacing w:beforeLines="0" w:afterLines="0" w:line="400" w:lineRule="exact"/>
        <w:ind w:left="0"/>
        <w:rPr>
          <w:rFonts w:ascii="Times New Roman" w:eastAsia="宋体"/>
          <w:strike w:val="0"/>
          <w:dstrike w:val="0"/>
          <w:color w:val="auto"/>
        </w:rPr>
      </w:pPr>
      <w:r>
        <w:rPr>
          <w:rFonts w:hint="eastAsia" w:ascii="Times New Roman" w:eastAsia="宋体"/>
          <w:strike w:val="0"/>
          <w:dstrike w:val="0"/>
          <w:color w:val="auto"/>
        </w:rPr>
        <w:t>产品中稀土杂质的测定</w:t>
      </w:r>
      <w:r>
        <w:rPr>
          <w:rFonts w:hint="eastAsia" w:ascii="Times New Roman" w:eastAsia="宋体"/>
          <w:strike w:val="0"/>
          <w:dstrike w:val="0"/>
          <w:color w:val="auto"/>
          <w:lang w:val="en-US" w:eastAsia="zh-CN"/>
        </w:rPr>
        <w:t>参考</w:t>
      </w:r>
      <w:r>
        <w:rPr>
          <w:rFonts w:hint="eastAsia" w:ascii="Times New Roman" w:eastAsia="宋体"/>
          <w:strike w:val="0"/>
          <w:dstrike w:val="0"/>
          <w:color w:val="auto"/>
        </w:rPr>
        <w:t>附录A</w:t>
      </w:r>
      <w:r>
        <w:rPr>
          <w:rFonts w:hint="eastAsia" w:ascii="Times New Roman" w:eastAsia="宋体"/>
          <w:color w:val="auto"/>
        </w:rPr>
        <w:t>的规定进行</w:t>
      </w:r>
      <w:r>
        <w:rPr>
          <w:rFonts w:ascii="Times New Roman" w:eastAsia="宋体"/>
          <w:strike w:val="0"/>
          <w:dstrike w:val="0"/>
          <w:color w:val="auto"/>
        </w:rPr>
        <w:t>。</w:t>
      </w:r>
    </w:p>
    <w:p w14:paraId="455E9088">
      <w:pPr>
        <w:pStyle w:val="23"/>
        <w:spacing w:beforeLines="0" w:afterLines="0" w:line="400" w:lineRule="exact"/>
        <w:ind w:left="0"/>
        <w:rPr>
          <w:rFonts w:hint="eastAsia"/>
          <w:color w:val="auto"/>
        </w:rPr>
      </w:pPr>
      <w:r>
        <w:rPr>
          <w:rFonts w:hint="eastAsia" w:ascii="Times New Roman" w:eastAsia="宋体"/>
          <w:strike w:val="0"/>
          <w:dstrike w:val="0"/>
          <w:color w:val="auto"/>
        </w:rPr>
        <w:t>产品中非稀土杂质的测定</w:t>
      </w:r>
      <w:r>
        <w:rPr>
          <w:rFonts w:hint="eastAsia" w:ascii="Times New Roman" w:eastAsia="宋体"/>
          <w:strike w:val="0"/>
          <w:dstrike w:val="0"/>
          <w:color w:val="auto"/>
          <w:lang w:val="en-US" w:eastAsia="zh-CN"/>
        </w:rPr>
        <w:t>参考</w:t>
      </w:r>
      <w:r>
        <w:rPr>
          <w:rFonts w:hint="eastAsia" w:ascii="Times New Roman" w:eastAsia="宋体"/>
          <w:strike w:val="0"/>
          <w:dstrike w:val="0"/>
          <w:color w:val="auto"/>
        </w:rPr>
        <w:t>附录</w:t>
      </w:r>
      <w:r>
        <w:rPr>
          <w:rFonts w:hint="eastAsia" w:ascii="Times New Roman" w:eastAsia="宋体"/>
          <w:strike w:val="0"/>
          <w:dstrike w:val="0"/>
          <w:color w:val="auto"/>
          <w:lang w:val="en-US" w:eastAsia="zh-CN"/>
        </w:rPr>
        <w:t>B</w:t>
      </w:r>
      <w:r>
        <w:rPr>
          <w:rFonts w:hint="eastAsia" w:ascii="Times New Roman" w:eastAsia="宋体"/>
          <w:color w:val="auto"/>
        </w:rPr>
        <w:t>的规定进行</w:t>
      </w:r>
      <w:r>
        <w:rPr>
          <w:rFonts w:ascii="Times New Roman" w:eastAsia="宋体"/>
          <w:strike w:val="0"/>
          <w:dstrike w:val="0"/>
          <w:color w:val="auto"/>
        </w:rPr>
        <w:t>。</w:t>
      </w:r>
    </w:p>
    <w:p w14:paraId="0CF6C128">
      <w:pPr>
        <w:pStyle w:val="23"/>
        <w:spacing w:beforeLines="0" w:afterLines="0" w:line="400" w:lineRule="exact"/>
        <w:ind w:left="0"/>
        <w:rPr>
          <w:color w:val="auto"/>
        </w:rPr>
      </w:pPr>
      <w:r>
        <w:rPr>
          <w:rFonts w:hint="eastAsia" w:ascii="Times New Roman" w:eastAsia="宋体"/>
          <w:strike w:val="0"/>
          <w:dstrike w:val="0"/>
          <w:color w:val="auto"/>
        </w:rPr>
        <w:t>钇含量由计算得出，即稀土总量</w:t>
      </w:r>
      <w:r>
        <w:rPr>
          <w:rFonts w:hint="eastAsia" w:ascii="Times New Roman" w:eastAsia="宋体"/>
          <w:strike w:val="0"/>
          <w:dstrike w:val="0"/>
          <w:color w:val="auto"/>
          <w:lang w:val="en-US" w:eastAsia="zh-CN"/>
        </w:rPr>
        <w:t>减去</w:t>
      </w:r>
      <w:r>
        <w:rPr>
          <w:rFonts w:hint="eastAsia" w:ascii="Times New Roman" w:eastAsia="宋体"/>
          <w:strike w:val="0"/>
          <w:dstrike w:val="0"/>
          <w:color w:val="auto"/>
        </w:rPr>
        <w:t>稀土杂质合量</w:t>
      </w:r>
      <w:r>
        <w:rPr>
          <w:rFonts w:hint="eastAsia" w:ascii="Times New Roman" w:eastAsia="宋体"/>
          <w:strike w:val="0"/>
          <w:dstrike w:val="0"/>
          <w:color w:val="auto"/>
          <w:lang w:eastAsia="zh-CN"/>
        </w:rPr>
        <w:t>。</w:t>
      </w:r>
    </w:p>
    <w:p w14:paraId="7435CD1E">
      <w:pPr>
        <w:pStyle w:val="21"/>
        <w:numPr>
          <w:ilvl w:val="1"/>
          <w:numId w:val="3"/>
        </w:numPr>
        <w:spacing w:beforeLines="0" w:afterLines="0" w:line="400" w:lineRule="exact"/>
        <w:rPr>
          <w:rFonts w:ascii="Times New Roman"/>
          <w:color w:val="auto"/>
        </w:rPr>
      </w:pPr>
      <w:r>
        <w:rPr>
          <w:rFonts w:ascii="Times New Roman"/>
          <w:color w:val="auto"/>
        </w:rPr>
        <w:t>外观</w:t>
      </w:r>
      <w:r>
        <w:rPr>
          <w:rFonts w:hint="eastAsia" w:ascii="Times New Roman"/>
          <w:color w:val="auto"/>
          <w:lang w:val="en-US" w:eastAsia="zh-CN"/>
        </w:rPr>
        <w:t>质量</w:t>
      </w:r>
    </w:p>
    <w:p w14:paraId="210622E3">
      <w:pPr>
        <w:pStyle w:val="20"/>
        <w:spacing w:line="400" w:lineRule="exact"/>
        <w:rPr>
          <w:rFonts w:ascii="Times New Roman" w:hAnsi="Times New Roman" w:cs="Times New Roman"/>
          <w:color w:val="auto"/>
        </w:rPr>
      </w:pPr>
      <w:r>
        <w:rPr>
          <w:rFonts w:hint="eastAsia" w:ascii="Times New Roman" w:hAnsi="Times New Roman" w:cs="Times New Roman"/>
          <w:color w:val="auto"/>
        </w:rPr>
        <w:t>产品的外观质量</w:t>
      </w:r>
      <w:r>
        <w:rPr>
          <w:rFonts w:hint="eastAsia" w:ascii="Times New Roman" w:hAnsi="Times New Roman" w:cs="Times New Roman"/>
          <w:color w:val="auto"/>
          <w:lang w:val="en-US" w:eastAsia="zh-CN"/>
        </w:rPr>
        <w:t>在自然散射光下</w:t>
      </w:r>
      <w:r>
        <w:rPr>
          <w:rFonts w:hint="eastAsia" w:ascii="Times New Roman" w:hAnsi="Times New Roman" w:cs="Times New Roman"/>
          <w:color w:val="auto"/>
        </w:rPr>
        <w:t>用目视检查</w:t>
      </w:r>
      <w:r>
        <w:rPr>
          <w:rFonts w:ascii="Times New Roman" w:hAnsi="Times New Roman" w:cs="Times New Roman"/>
          <w:color w:val="auto"/>
        </w:rPr>
        <w:t>。</w:t>
      </w:r>
    </w:p>
    <w:p w14:paraId="222AEFEB">
      <w:pPr>
        <w:pStyle w:val="22"/>
        <w:numPr>
          <w:ilvl w:val="0"/>
          <w:numId w:val="4"/>
        </w:numPr>
        <w:spacing w:before="312" w:after="312"/>
        <w:ind w:left="0"/>
        <w:rPr>
          <w:rFonts w:ascii="Times New Roman"/>
          <w:color w:val="auto"/>
        </w:rPr>
      </w:pPr>
      <w:r>
        <w:rPr>
          <w:rFonts w:ascii="Times New Roman"/>
          <w:color w:val="auto"/>
        </w:rPr>
        <w:t>检验规则</w:t>
      </w:r>
    </w:p>
    <w:p w14:paraId="0B1F6B5A">
      <w:pPr>
        <w:pStyle w:val="21"/>
        <w:numPr>
          <w:ilvl w:val="1"/>
          <w:numId w:val="3"/>
        </w:numPr>
        <w:spacing w:beforeLines="0" w:afterLines="0" w:line="400" w:lineRule="exact"/>
        <w:rPr>
          <w:rFonts w:ascii="Times New Roman"/>
          <w:color w:val="auto"/>
        </w:rPr>
      </w:pPr>
      <w:r>
        <w:rPr>
          <w:rFonts w:ascii="Times New Roman"/>
          <w:color w:val="auto"/>
        </w:rPr>
        <w:t>检查与验收</w:t>
      </w:r>
    </w:p>
    <w:p w14:paraId="5703FB4E">
      <w:pPr>
        <w:pStyle w:val="23"/>
        <w:numPr>
          <w:ilvl w:val="2"/>
          <w:numId w:val="4"/>
        </w:numPr>
        <w:spacing w:beforeLines="0" w:afterLines="0" w:line="400" w:lineRule="exact"/>
        <w:ind w:left="0"/>
        <w:rPr>
          <w:rFonts w:ascii="Times New Roman" w:eastAsia="宋体"/>
          <w:color w:val="auto"/>
        </w:rPr>
      </w:pPr>
      <w:r>
        <w:rPr>
          <w:rFonts w:ascii="Times New Roman" w:eastAsia="宋体"/>
          <w:color w:val="auto"/>
        </w:rPr>
        <w:t>产品由供方质量检验部门</w:t>
      </w:r>
      <w:r>
        <w:rPr>
          <w:rFonts w:ascii="Times New Roman" w:eastAsia="宋体"/>
          <w:color w:val="auto"/>
          <w:lang w:val="en-US" w:eastAsia="zh-CN"/>
        </w:rPr>
        <w:t>或第三</w:t>
      </w:r>
      <w:r>
        <w:rPr>
          <w:rFonts w:hint="eastAsia" w:ascii="Times New Roman" w:eastAsia="宋体"/>
          <w:color w:val="auto"/>
          <w:lang w:val="en-US" w:eastAsia="zh-CN"/>
        </w:rPr>
        <w:t>方</w:t>
      </w:r>
      <w:r>
        <w:rPr>
          <w:rFonts w:ascii="Times New Roman" w:eastAsia="宋体"/>
          <w:color w:val="auto"/>
          <w:lang w:val="en-US" w:eastAsia="zh-CN"/>
        </w:rPr>
        <w:t>检测机构</w:t>
      </w:r>
      <w:r>
        <w:rPr>
          <w:rFonts w:ascii="Times New Roman" w:eastAsia="宋体"/>
          <w:color w:val="auto"/>
        </w:rPr>
        <w:t>进行检验，保证产品质量符合本</w:t>
      </w:r>
      <w:r>
        <w:rPr>
          <w:rFonts w:hint="eastAsia" w:ascii="Times New Roman" w:eastAsia="宋体"/>
          <w:color w:val="auto"/>
          <w:lang w:val="en-US" w:eastAsia="zh-CN"/>
        </w:rPr>
        <w:t>文件</w:t>
      </w:r>
      <w:r>
        <w:rPr>
          <w:rFonts w:ascii="Times New Roman" w:eastAsia="宋体"/>
          <w:color w:val="auto"/>
        </w:rPr>
        <w:t>的规定，并填写质量证明书。</w:t>
      </w:r>
    </w:p>
    <w:p w14:paraId="0AC13D75">
      <w:pPr>
        <w:pStyle w:val="23"/>
        <w:numPr>
          <w:ilvl w:val="2"/>
          <w:numId w:val="4"/>
        </w:numPr>
        <w:spacing w:beforeLines="0" w:afterLines="0" w:line="400" w:lineRule="exact"/>
        <w:ind w:left="0"/>
        <w:rPr>
          <w:rFonts w:ascii="Times New Roman" w:eastAsia="宋体"/>
          <w:color w:val="auto"/>
        </w:rPr>
      </w:pPr>
      <w:r>
        <w:rPr>
          <w:rFonts w:ascii="Times New Roman" w:eastAsia="宋体"/>
          <w:color w:val="auto"/>
        </w:rPr>
        <w:t>需方应对收到的产品按本</w:t>
      </w:r>
      <w:r>
        <w:rPr>
          <w:rFonts w:hint="eastAsia" w:ascii="Times New Roman" w:eastAsia="宋体"/>
          <w:color w:val="auto"/>
          <w:lang w:val="en-US" w:eastAsia="zh-CN"/>
        </w:rPr>
        <w:t>文件</w:t>
      </w:r>
      <w:r>
        <w:rPr>
          <w:rFonts w:ascii="Times New Roman" w:eastAsia="宋体"/>
          <w:color w:val="auto"/>
        </w:rPr>
        <w:t>的规定进行检验，如检验结果与本</w:t>
      </w:r>
      <w:r>
        <w:rPr>
          <w:rFonts w:hint="eastAsia" w:ascii="Times New Roman" w:eastAsia="宋体"/>
          <w:color w:val="auto"/>
          <w:lang w:val="en-US" w:eastAsia="zh-CN"/>
        </w:rPr>
        <w:t>文件</w:t>
      </w:r>
      <w:r>
        <w:rPr>
          <w:rFonts w:ascii="Times New Roman" w:eastAsia="宋体"/>
          <w:color w:val="auto"/>
        </w:rPr>
        <w:t>规定不符，应在收到产品之日起</w:t>
      </w:r>
      <w:r>
        <w:rPr>
          <w:rFonts w:hint="eastAsia" w:ascii="Times New Roman" w:eastAsia="宋体"/>
          <w:strike w:val="0"/>
          <w:dstrike w:val="0"/>
          <w:color w:val="auto"/>
          <w:lang w:val="en-US" w:eastAsia="zh-CN"/>
        </w:rPr>
        <w:t>1</w:t>
      </w:r>
      <w:r>
        <w:rPr>
          <w:rFonts w:ascii="Times New Roman" w:eastAsia="宋体"/>
          <w:color w:val="auto"/>
        </w:rPr>
        <w:t>个月内向供方提出，由供需双方协商解决。如需仲裁，可委托双方认可的单位进行，并在需方共同取样。</w:t>
      </w:r>
    </w:p>
    <w:p w14:paraId="35474E27">
      <w:pPr>
        <w:pStyle w:val="21"/>
        <w:numPr>
          <w:ilvl w:val="1"/>
          <w:numId w:val="3"/>
        </w:numPr>
        <w:spacing w:beforeLines="0" w:afterLines="0" w:line="400" w:lineRule="exact"/>
        <w:rPr>
          <w:rFonts w:ascii="Times New Roman"/>
          <w:color w:val="auto"/>
        </w:rPr>
      </w:pPr>
      <w:r>
        <w:rPr>
          <w:rFonts w:ascii="Times New Roman"/>
          <w:color w:val="auto"/>
        </w:rPr>
        <w:t>组批</w:t>
      </w:r>
    </w:p>
    <w:p w14:paraId="093CB8C8">
      <w:pPr>
        <w:pStyle w:val="20"/>
        <w:spacing w:line="400" w:lineRule="exact"/>
        <w:rPr>
          <w:rFonts w:ascii="Times New Roman" w:hAnsi="Times New Roman" w:cs="Times New Roman"/>
          <w:color w:val="auto"/>
        </w:rPr>
      </w:pPr>
      <w:r>
        <w:rPr>
          <w:rFonts w:hint="eastAsia" w:ascii="Times New Roman" w:hAnsi="Times New Roman" w:cs="Times New Roman"/>
          <w:color w:val="auto"/>
        </w:rPr>
        <w:t>产品应成批提交检验，每批应由</w:t>
      </w:r>
      <w:r>
        <w:rPr>
          <w:rFonts w:hint="eastAsia" w:ascii="Times New Roman" w:hAnsi="Times New Roman" w:cs="Times New Roman"/>
          <w:color w:val="auto"/>
          <w:lang w:val="en-US" w:eastAsia="zh-CN"/>
        </w:rPr>
        <w:t>同一生产工艺、</w:t>
      </w:r>
      <w:r>
        <w:rPr>
          <w:rFonts w:hint="eastAsia" w:ascii="Times New Roman" w:hAnsi="Times New Roman" w:cs="Times New Roman"/>
          <w:color w:val="auto"/>
        </w:rPr>
        <w:t>同一牌号的产品组成。</w:t>
      </w:r>
    </w:p>
    <w:p w14:paraId="62ED43F3">
      <w:pPr>
        <w:pStyle w:val="21"/>
        <w:numPr>
          <w:ilvl w:val="1"/>
          <w:numId w:val="3"/>
        </w:numPr>
        <w:spacing w:beforeLines="0" w:afterLines="0" w:line="400" w:lineRule="exact"/>
        <w:rPr>
          <w:rFonts w:ascii="Times New Roman"/>
          <w:color w:val="auto"/>
        </w:rPr>
      </w:pPr>
      <w:r>
        <w:rPr>
          <w:rFonts w:ascii="Times New Roman"/>
          <w:color w:val="auto"/>
        </w:rPr>
        <w:t>检验项目</w:t>
      </w:r>
    </w:p>
    <w:p w14:paraId="6D671445">
      <w:pPr>
        <w:pStyle w:val="20"/>
        <w:spacing w:line="400" w:lineRule="exact"/>
        <w:rPr>
          <w:rFonts w:ascii="Times New Roman" w:hAnsi="Times New Roman" w:cs="Times New Roman"/>
          <w:color w:val="auto"/>
        </w:rPr>
      </w:pPr>
      <w:r>
        <w:rPr>
          <w:rFonts w:hint="eastAsia" w:ascii="Times New Roman" w:hAnsi="Times New Roman" w:cs="Times New Roman"/>
          <w:color w:val="auto"/>
        </w:rPr>
        <w:t>每批产品应进行化学成分和外观的检验</w:t>
      </w:r>
      <w:r>
        <w:rPr>
          <w:rFonts w:ascii="Times New Roman" w:hAnsi="Times New Roman" w:cs="Times New Roman"/>
          <w:color w:val="auto"/>
        </w:rPr>
        <w:t>。</w:t>
      </w:r>
    </w:p>
    <w:p w14:paraId="73D9FF6C">
      <w:pPr>
        <w:pStyle w:val="21"/>
        <w:numPr>
          <w:ilvl w:val="1"/>
          <w:numId w:val="3"/>
        </w:numPr>
        <w:spacing w:beforeLines="0" w:afterLines="0" w:line="400" w:lineRule="exact"/>
        <w:rPr>
          <w:rFonts w:ascii="Times New Roman"/>
          <w:color w:val="auto"/>
        </w:rPr>
      </w:pPr>
      <w:r>
        <w:rPr>
          <w:rFonts w:ascii="Times New Roman"/>
          <w:color w:val="auto"/>
        </w:rPr>
        <w:t>取样与制样</w:t>
      </w:r>
    </w:p>
    <w:p w14:paraId="1590C007">
      <w:pPr>
        <w:pStyle w:val="23"/>
        <w:numPr>
          <w:ilvl w:val="2"/>
          <w:numId w:val="4"/>
        </w:numPr>
        <w:spacing w:beforeLines="0" w:afterLines="0" w:line="400" w:lineRule="exact"/>
        <w:ind w:left="0"/>
        <w:rPr>
          <w:rFonts w:ascii="Times New Roman" w:eastAsia="宋体"/>
          <w:color w:val="auto"/>
        </w:rPr>
      </w:pPr>
      <w:r>
        <w:rPr>
          <w:rFonts w:ascii="Times New Roman" w:eastAsia="宋体"/>
          <w:color w:val="auto"/>
        </w:rPr>
        <w:t>化学成分分析取样件数按表</w:t>
      </w:r>
      <w:r>
        <w:rPr>
          <w:rFonts w:hint="eastAsia" w:ascii="Times New Roman" w:eastAsia="宋体"/>
          <w:color w:val="auto"/>
          <w:lang w:val="en-US" w:eastAsia="zh-CN"/>
        </w:rPr>
        <w:t>2</w:t>
      </w:r>
      <w:r>
        <w:rPr>
          <w:rFonts w:hint="eastAsia" w:ascii="Times New Roman" w:eastAsia="宋体"/>
          <w:color w:val="auto"/>
          <w:highlight w:val="none"/>
          <w:lang w:val="en-US" w:eastAsia="zh-CN"/>
        </w:rPr>
        <w:t>中</w:t>
      </w:r>
      <w:r>
        <w:rPr>
          <w:rFonts w:ascii="Times New Roman" w:eastAsia="宋体"/>
          <w:color w:val="auto"/>
        </w:rPr>
        <w:t>的规定进行。</w:t>
      </w:r>
    </w:p>
    <w:p w14:paraId="4197C2CB">
      <w:pPr>
        <w:pStyle w:val="20"/>
        <w:spacing w:line="360" w:lineRule="auto"/>
        <w:ind w:firstLine="0" w:firstLineChars="0"/>
        <w:jc w:val="center"/>
        <w:rPr>
          <w:rFonts w:hint="eastAsia" w:ascii="Times New Roman" w:hAnsi="Times New Roman" w:eastAsia="黑体" w:cs="Times New Roman"/>
          <w:color w:val="auto"/>
          <w:lang w:val="en-US" w:eastAsia="zh-CN"/>
        </w:rPr>
      </w:pPr>
      <w:r>
        <w:rPr>
          <w:rFonts w:ascii="Times New Roman" w:hAnsi="Times New Roman" w:eastAsia="黑体" w:cs="Times New Roman"/>
          <w:color w:val="auto"/>
        </w:rPr>
        <w:t>表</w:t>
      </w:r>
      <w:r>
        <w:rPr>
          <w:rFonts w:hint="eastAsia" w:ascii="Times New Roman" w:hAnsi="Times New Roman" w:eastAsia="黑体" w:cs="Times New Roman"/>
          <w:color w:val="auto"/>
        </w:rPr>
        <w:t xml:space="preserve"> </w:t>
      </w:r>
      <w:r>
        <w:rPr>
          <w:rFonts w:hint="eastAsia" w:ascii="Times New Roman" w:hAnsi="Times New Roman" w:eastAsia="黑体" w:cs="Times New Roman"/>
          <w:color w:val="auto"/>
          <w:lang w:val="en-US" w:eastAsia="zh-CN"/>
        </w:rPr>
        <w:t>2</w:t>
      </w:r>
      <w:r>
        <w:rPr>
          <w:rFonts w:ascii="Times New Roman" w:hAnsi="Times New Roman" w:eastAsia="黑体" w:cs="Times New Roman"/>
          <w:color w:val="auto"/>
        </w:rPr>
        <w:t xml:space="preserve"> </w:t>
      </w:r>
      <w:r>
        <w:rPr>
          <w:rFonts w:hint="eastAsia" w:ascii="Times New Roman" w:hAnsi="Times New Roman" w:eastAsia="黑体" w:cs="Times New Roman"/>
          <w:color w:val="auto"/>
        </w:rPr>
        <w:t>产品的取样</w:t>
      </w:r>
      <w:r>
        <w:rPr>
          <w:rFonts w:hint="eastAsia" w:ascii="Times New Roman" w:hAnsi="Times New Roman" w:eastAsia="黑体" w:cs="Times New Roman"/>
          <w:color w:val="auto"/>
          <w:lang w:val="en-US" w:eastAsia="zh-CN"/>
        </w:rPr>
        <w:t>数量</w:t>
      </w:r>
    </w:p>
    <w:tbl>
      <w:tblPr>
        <w:tblStyle w:val="12"/>
        <w:tblW w:w="8504" w:type="dxa"/>
        <w:tblInd w:w="534"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419"/>
        <w:gridCol w:w="1181"/>
        <w:gridCol w:w="1181"/>
        <w:gridCol w:w="1181"/>
        <w:gridCol w:w="1181"/>
        <w:gridCol w:w="1181"/>
        <w:gridCol w:w="1180"/>
      </w:tblGrid>
      <w:tr w14:paraId="620CD3D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3" w:hRule="atLeast"/>
        </w:trPr>
        <w:tc>
          <w:tcPr>
            <w:tcW w:w="1419" w:type="dxa"/>
            <w:vAlign w:val="center"/>
          </w:tcPr>
          <w:p w14:paraId="7A2E8C90">
            <w:pPr>
              <w:pStyle w:val="20"/>
              <w:ind w:firstLine="0" w:firstLineChars="0"/>
              <w:jc w:val="center"/>
              <w:rPr>
                <w:rFonts w:ascii="Times New Roman" w:hAnsi="Times New Roman" w:cs="Times New Roman" w:eastAsiaTheme="minorEastAsia"/>
                <w:color w:val="auto"/>
                <w:kern w:val="0"/>
                <w:szCs w:val="18"/>
              </w:rPr>
            </w:pPr>
            <w:r>
              <w:rPr>
                <w:rFonts w:ascii="Times New Roman" w:hAnsi="Times New Roman" w:cs="Times New Roman" w:eastAsiaTheme="minorEastAsia"/>
                <w:color w:val="auto"/>
                <w:szCs w:val="18"/>
              </w:rPr>
              <w:t>每批重量/kg</w:t>
            </w:r>
          </w:p>
        </w:tc>
        <w:tc>
          <w:tcPr>
            <w:tcW w:w="1181" w:type="dxa"/>
            <w:vAlign w:val="center"/>
          </w:tcPr>
          <w:p w14:paraId="6286B46A">
            <w:pPr>
              <w:pStyle w:val="20"/>
              <w:ind w:firstLine="0" w:firstLineChars="0"/>
              <w:jc w:val="center"/>
              <w:rPr>
                <w:rFonts w:ascii="Times New Roman" w:hAnsi="Times New Roman" w:cs="Times New Roman" w:eastAsiaTheme="minorEastAsia"/>
                <w:color w:val="auto"/>
                <w:kern w:val="0"/>
                <w:szCs w:val="18"/>
              </w:rPr>
            </w:pPr>
            <w:r>
              <w:rPr>
                <w:rFonts w:ascii="Times New Roman" w:hAnsi="Times New Roman" w:cs="Times New Roman"/>
                <w:color w:val="auto"/>
                <w:szCs w:val="18"/>
              </w:rPr>
              <w:t>≤</w:t>
            </w:r>
            <w:r>
              <w:rPr>
                <w:rFonts w:ascii="Times New Roman" w:hAnsi="Times New Roman" w:cs="Times New Roman" w:eastAsiaTheme="minorEastAsia"/>
                <w:color w:val="auto"/>
                <w:szCs w:val="18"/>
              </w:rPr>
              <w:t>10</w:t>
            </w:r>
          </w:p>
        </w:tc>
        <w:tc>
          <w:tcPr>
            <w:tcW w:w="1181" w:type="dxa"/>
            <w:vAlign w:val="center"/>
          </w:tcPr>
          <w:p w14:paraId="308E096F">
            <w:pPr>
              <w:pStyle w:val="20"/>
              <w:ind w:firstLine="0" w:firstLineChars="0"/>
              <w:jc w:val="center"/>
              <w:rPr>
                <w:rFonts w:ascii="Times New Roman" w:hAnsi="Times New Roman" w:cs="Times New Roman" w:eastAsiaTheme="minorEastAsia"/>
                <w:color w:val="auto"/>
                <w:szCs w:val="18"/>
              </w:rPr>
            </w:pPr>
            <w:r>
              <w:rPr>
                <w:rFonts w:ascii="Times New Roman" w:hAnsi="Times New Roman" w:cs="Times New Roman" w:eastAsiaTheme="minorEastAsia"/>
                <w:color w:val="auto"/>
                <w:szCs w:val="18"/>
              </w:rPr>
              <w:t>＞10~50</w:t>
            </w:r>
          </w:p>
        </w:tc>
        <w:tc>
          <w:tcPr>
            <w:tcW w:w="1181" w:type="dxa"/>
            <w:vAlign w:val="center"/>
          </w:tcPr>
          <w:p w14:paraId="46C8DB91">
            <w:pPr>
              <w:pStyle w:val="20"/>
              <w:ind w:firstLine="0" w:firstLineChars="0"/>
              <w:jc w:val="center"/>
              <w:rPr>
                <w:rFonts w:ascii="Times New Roman" w:hAnsi="Times New Roman" w:cs="Times New Roman" w:eastAsiaTheme="minorEastAsia"/>
                <w:color w:val="auto"/>
                <w:kern w:val="0"/>
                <w:szCs w:val="18"/>
              </w:rPr>
            </w:pPr>
            <w:r>
              <w:rPr>
                <w:rFonts w:ascii="Times New Roman" w:hAnsi="Times New Roman" w:cs="Times New Roman" w:eastAsiaTheme="minorEastAsia"/>
                <w:color w:val="auto"/>
                <w:szCs w:val="18"/>
              </w:rPr>
              <w:t>＞50~100</w:t>
            </w:r>
          </w:p>
        </w:tc>
        <w:tc>
          <w:tcPr>
            <w:tcW w:w="1181" w:type="dxa"/>
            <w:vAlign w:val="center"/>
          </w:tcPr>
          <w:p w14:paraId="2322601F">
            <w:pPr>
              <w:pStyle w:val="20"/>
              <w:ind w:firstLine="0" w:firstLineChars="0"/>
              <w:jc w:val="center"/>
              <w:rPr>
                <w:rFonts w:ascii="Times New Roman" w:hAnsi="Times New Roman" w:cs="Times New Roman" w:eastAsiaTheme="minorEastAsia"/>
                <w:color w:val="auto"/>
                <w:szCs w:val="18"/>
              </w:rPr>
            </w:pPr>
            <w:r>
              <w:rPr>
                <w:rFonts w:ascii="Times New Roman" w:hAnsi="Times New Roman" w:cs="Times New Roman" w:eastAsiaTheme="minorEastAsia"/>
                <w:color w:val="auto"/>
                <w:szCs w:val="18"/>
              </w:rPr>
              <w:t>＞100~200</w:t>
            </w:r>
          </w:p>
        </w:tc>
        <w:tc>
          <w:tcPr>
            <w:tcW w:w="1181" w:type="dxa"/>
            <w:vAlign w:val="center"/>
          </w:tcPr>
          <w:p w14:paraId="3725E635">
            <w:pPr>
              <w:pStyle w:val="20"/>
              <w:ind w:firstLine="0" w:firstLineChars="0"/>
              <w:jc w:val="center"/>
              <w:rPr>
                <w:rFonts w:ascii="Times New Roman" w:hAnsi="Times New Roman" w:cs="Times New Roman" w:eastAsiaTheme="minorEastAsia"/>
                <w:color w:val="auto"/>
                <w:kern w:val="0"/>
                <w:szCs w:val="18"/>
              </w:rPr>
            </w:pPr>
            <w:r>
              <w:rPr>
                <w:rFonts w:ascii="Times New Roman" w:hAnsi="Times New Roman" w:cs="Times New Roman" w:eastAsiaTheme="minorEastAsia"/>
                <w:color w:val="auto"/>
                <w:szCs w:val="18"/>
              </w:rPr>
              <w:t>＞200~500</w:t>
            </w:r>
          </w:p>
        </w:tc>
        <w:tc>
          <w:tcPr>
            <w:tcW w:w="1180" w:type="dxa"/>
            <w:vAlign w:val="center"/>
          </w:tcPr>
          <w:p w14:paraId="7F95973A">
            <w:pPr>
              <w:pStyle w:val="20"/>
              <w:ind w:firstLine="0" w:firstLineChars="0"/>
              <w:jc w:val="center"/>
              <w:rPr>
                <w:rFonts w:ascii="Times New Roman" w:hAnsi="Times New Roman" w:cs="Times New Roman" w:eastAsiaTheme="minorEastAsia"/>
                <w:color w:val="auto"/>
                <w:kern w:val="0"/>
                <w:szCs w:val="18"/>
              </w:rPr>
            </w:pPr>
            <w:r>
              <w:rPr>
                <w:rFonts w:ascii="Times New Roman" w:hAnsi="Times New Roman" w:cs="Times New Roman" w:eastAsiaTheme="minorEastAsia"/>
                <w:color w:val="auto"/>
                <w:szCs w:val="18"/>
              </w:rPr>
              <w:t>＞500</w:t>
            </w:r>
          </w:p>
        </w:tc>
      </w:tr>
      <w:tr w14:paraId="174BA28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419" w:type="dxa"/>
            <w:vAlign w:val="center"/>
          </w:tcPr>
          <w:p w14:paraId="5212A43A">
            <w:pPr>
              <w:pStyle w:val="20"/>
              <w:ind w:firstLine="0" w:firstLineChars="0"/>
              <w:jc w:val="center"/>
              <w:rPr>
                <w:rFonts w:ascii="Times New Roman" w:hAnsi="Times New Roman" w:cs="Times New Roman" w:eastAsiaTheme="minorEastAsia"/>
                <w:color w:val="auto"/>
                <w:kern w:val="0"/>
                <w:szCs w:val="18"/>
              </w:rPr>
            </w:pPr>
            <w:r>
              <w:rPr>
                <w:rFonts w:hint="eastAsia" w:ascii="Times New Roman" w:hAnsi="Times New Roman" w:cs="Times New Roman" w:eastAsiaTheme="minorEastAsia"/>
                <w:color w:val="auto"/>
                <w:szCs w:val="18"/>
              </w:rPr>
              <w:t>取样件数/块</w:t>
            </w:r>
          </w:p>
        </w:tc>
        <w:tc>
          <w:tcPr>
            <w:tcW w:w="1181" w:type="dxa"/>
            <w:vAlign w:val="center"/>
          </w:tcPr>
          <w:p w14:paraId="45DFCE56">
            <w:pPr>
              <w:pStyle w:val="20"/>
              <w:ind w:firstLine="0" w:firstLineChars="0"/>
              <w:jc w:val="center"/>
              <w:rPr>
                <w:rFonts w:hint="eastAsia" w:ascii="Times New Roman" w:hAnsi="Times New Roman" w:cs="Times New Roman" w:eastAsiaTheme="minorEastAsia"/>
                <w:color w:val="auto"/>
                <w:kern w:val="0"/>
                <w:szCs w:val="18"/>
                <w:lang w:val="en-US" w:eastAsia="zh-CN"/>
              </w:rPr>
            </w:pPr>
            <w:r>
              <w:rPr>
                <w:rFonts w:hint="eastAsia" w:ascii="Times New Roman" w:hAnsi="Times New Roman" w:cs="Times New Roman" w:eastAsiaTheme="minorEastAsia"/>
                <w:color w:val="auto"/>
                <w:kern w:val="0"/>
                <w:szCs w:val="18"/>
                <w:lang w:val="en-US" w:eastAsia="zh-CN"/>
              </w:rPr>
              <w:t>1</w:t>
            </w:r>
          </w:p>
        </w:tc>
        <w:tc>
          <w:tcPr>
            <w:tcW w:w="1181" w:type="dxa"/>
            <w:vAlign w:val="center"/>
          </w:tcPr>
          <w:p w14:paraId="3AD78C51">
            <w:pPr>
              <w:pStyle w:val="20"/>
              <w:ind w:firstLine="0" w:firstLineChars="0"/>
              <w:jc w:val="center"/>
              <w:rPr>
                <w:rFonts w:ascii="Times New Roman" w:hAnsi="Times New Roman" w:cs="Times New Roman" w:eastAsiaTheme="minorEastAsia"/>
                <w:color w:val="auto"/>
                <w:kern w:val="0"/>
                <w:szCs w:val="18"/>
              </w:rPr>
            </w:pPr>
            <w:r>
              <w:rPr>
                <w:rFonts w:ascii="Times New Roman" w:hAnsi="Times New Roman" w:cs="Times New Roman" w:eastAsiaTheme="minorEastAsia"/>
                <w:color w:val="auto"/>
                <w:kern w:val="0"/>
                <w:szCs w:val="18"/>
              </w:rPr>
              <w:t>3</w:t>
            </w:r>
          </w:p>
        </w:tc>
        <w:tc>
          <w:tcPr>
            <w:tcW w:w="1181" w:type="dxa"/>
            <w:vAlign w:val="center"/>
          </w:tcPr>
          <w:p w14:paraId="0199E599">
            <w:pPr>
              <w:pStyle w:val="20"/>
              <w:ind w:firstLine="0" w:firstLineChars="0"/>
              <w:jc w:val="center"/>
              <w:rPr>
                <w:rFonts w:ascii="Times New Roman" w:hAnsi="Times New Roman" w:cs="Times New Roman" w:eastAsiaTheme="minorEastAsia"/>
                <w:color w:val="auto"/>
                <w:kern w:val="0"/>
                <w:szCs w:val="18"/>
              </w:rPr>
            </w:pPr>
            <w:r>
              <w:rPr>
                <w:rFonts w:ascii="Times New Roman" w:hAnsi="Times New Roman" w:cs="Times New Roman" w:eastAsiaTheme="minorEastAsia"/>
                <w:color w:val="auto"/>
                <w:kern w:val="0"/>
                <w:szCs w:val="18"/>
              </w:rPr>
              <w:t>4</w:t>
            </w:r>
          </w:p>
        </w:tc>
        <w:tc>
          <w:tcPr>
            <w:tcW w:w="1181" w:type="dxa"/>
            <w:vAlign w:val="center"/>
          </w:tcPr>
          <w:p w14:paraId="6A7A764C">
            <w:pPr>
              <w:pStyle w:val="20"/>
              <w:ind w:firstLine="0" w:firstLineChars="0"/>
              <w:jc w:val="center"/>
              <w:rPr>
                <w:rFonts w:ascii="Times New Roman" w:hAnsi="Times New Roman" w:cs="Times New Roman" w:eastAsiaTheme="minorEastAsia"/>
                <w:color w:val="auto"/>
                <w:kern w:val="0"/>
                <w:szCs w:val="18"/>
              </w:rPr>
            </w:pPr>
            <w:r>
              <w:rPr>
                <w:rFonts w:ascii="Times New Roman" w:hAnsi="Times New Roman" w:cs="Times New Roman" w:eastAsiaTheme="minorEastAsia"/>
                <w:color w:val="auto"/>
                <w:kern w:val="0"/>
                <w:szCs w:val="18"/>
              </w:rPr>
              <w:t>5</w:t>
            </w:r>
          </w:p>
        </w:tc>
        <w:tc>
          <w:tcPr>
            <w:tcW w:w="1181" w:type="dxa"/>
            <w:vAlign w:val="center"/>
          </w:tcPr>
          <w:p w14:paraId="2C200182">
            <w:pPr>
              <w:pStyle w:val="20"/>
              <w:ind w:firstLine="0" w:firstLineChars="0"/>
              <w:jc w:val="center"/>
              <w:rPr>
                <w:rFonts w:ascii="Times New Roman" w:hAnsi="Times New Roman" w:cs="Times New Roman" w:eastAsiaTheme="minorEastAsia"/>
                <w:color w:val="auto"/>
                <w:kern w:val="0"/>
                <w:szCs w:val="18"/>
              </w:rPr>
            </w:pPr>
            <w:r>
              <w:rPr>
                <w:rFonts w:ascii="Times New Roman" w:hAnsi="Times New Roman" w:cs="Times New Roman" w:eastAsiaTheme="minorEastAsia"/>
                <w:color w:val="auto"/>
                <w:kern w:val="0"/>
                <w:szCs w:val="18"/>
              </w:rPr>
              <w:t>8</w:t>
            </w:r>
          </w:p>
        </w:tc>
        <w:tc>
          <w:tcPr>
            <w:tcW w:w="1180" w:type="dxa"/>
            <w:vAlign w:val="center"/>
          </w:tcPr>
          <w:p w14:paraId="30C619A3">
            <w:pPr>
              <w:pStyle w:val="20"/>
              <w:ind w:firstLine="0" w:firstLineChars="0"/>
              <w:jc w:val="center"/>
              <w:rPr>
                <w:rFonts w:ascii="Times New Roman" w:hAnsi="Times New Roman" w:cs="Times New Roman" w:eastAsiaTheme="minorEastAsia"/>
                <w:color w:val="auto"/>
                <w:kern w:val="0"/>
                <w:szCs w:val="18"/>
              </w:rPr>
            </w:pPr>
            <w:r>
              <w:rPr>
                <w:rFonts w:ascii="Times New Roman" w:hAnsi="Times New Roman" w:cs="Times New Roman" w:eastAsiaTheme="minorEastAsia"/>
                <w:color w:val="auto"/>
                <w:kern w:val="0"/>
                <w:szCs w:val="18"/>
              </w:rPr>
              <w:t>10</w:t>
            </w:r>
          </w:p>
        </w:tc>
      </w:tr>
    </w:tbl>
    <w:p w14:paraId="69E94585">
      <w:pPr>
        <w:pStyle w:val="23"/>
        <w:keepNext w:val="0"/>
        <w:keepLines w:val="0"/>
        <w:pageBreakBefore w:val="0"/>
        <w:widowControl/>
        <w:numPr>
          <w:ilvl w:val="2"/>
          <w:numId w:val="4"/>
        </w:numPr>
        <w:kinsoku/>
        <w:wordWrap/>
        <w:overflowPunct/>
        <w:topLinePunct w:val="0"/>
        <w:bidi w:val="0"/>
        <w:adjustRightInd/>
        <w:snapToGrid/>
        <w:spacing w:beforeLines="0" w:afterLines="0" w:line="400" w:lineRule="exact"/>
        <w:ind w:left="0"/>
        <w:textAlignment w:val="auto"/>
        <w:rPr>
          <w:rFonts w:ascii="Times New Roman" w:eastAsia="宋体"/>
          <w:color w:val="auto"/>
        </w:rPr>
      </w:pPr>
      <w:bookmarkStart w:id="2" w:name="_Hlk491265955"/>
      <w:r>
        <w:rPr>
          <w:rFonts w:hint="eastAsia" w:ascii="黑体" w:hAnsi="黑体" w:eastAsia="黑体" w:cs="黑体"/>
          <w:color w:val="auto"/>
        </w:rPr>
        <w:t>化学成分分析</w:t>
      </w:r>
      <w:bookmarkEnd w:id="2"/>
      <w:r>
        <w:rPr>
          <w:rFonts w:hint="eastAsia" w:ascii="黑体" w:hAnsi="黑体" w:eastAsia="黑体" w:cs="黑体"/>
          <w:color w:val="auto"/>
        </w:rPr>
        <w:t>的取样方法按下述规定进行</w:t>
      </w:r>
      <w:r>
        <w:rPr>
          <w:rFonts w:hint="eastAsia" w:ascii="Times New Roman" w:eastAsia="宋体"/>
          <w:color w:val="auto"/>
          <w:lang w:eastAsia="zh-CN"/>
        </w:rPr>
        <w:t>：</w:t>
      </w:r>
    </w:p>
    <w:p w14:paraId="4D3741F3">
      <w:pPr>
        <w:pStyle w:val="20"/>
        <w:keepNext w:val="0"/>
        <w:keepLines w:val="0"/>
        <w:pageBreakBefore w:val="0"/>
        <w:widowControl/>
        <w:kinsoku/>
        <w:wordWrap/>
        <w:overflowPunct/>
        <w:topLinePunct w:val="0"/>
        <w:bidi w:val="0"/>
        <w:adjustRightInd/>
        <w:snapToGrid/>
        <w:spacing w:line="400" w:lineRule="exact"/>
        <w:textAlignment w:val="auto"/>
        <w:rPr>
          <w:rFonts w:hint="eastAsia"/>
          <w:color w:val="auto"/>
        </w:rPr>
      </w:pPr>
      <w:r>
        <w:rPr>
          <w:rFonts w:hint="eastAsia" w:ascii="Times New Roman" w:hAnsi="Times New Roman" w:eastAsia="宋体" w:cs="Times New Roman"/>
          <w:color w:val="auto"/>
          <w:kern w:val="0"/>
          <w:sz w:val="21"/>
          <w:szCs w:val="21"/>
          <w:lang w:val="en-US" w:eastAsia="zh-CN" w:bidi="ar-SA"/>
        </w:rPr>
        <w:t>取样时，首先将试样打磨干净，然后用直径5mm～10mm的钻头在合金锭上、下两面等距离处各钻取3点以上，弃去距锭块表面0.5 mm～1.0 mm的钻屑，然后钻取试样，每点钻取质量相差小于1g</w:t>
      </w:r>
      <w:r>
        <w:rPr>
          <w:rFonts w:hint="eastAsia" w:ascii="Times New Roman" w:hAnsi="Times New Roman" w:cs="Times New Roman"/>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取样量不少于10g，将所得试样迅速混匀缩分至所需数量，并放入带盖的磨口瓶或自封袋中密封保存</w:t>
      </w:r>
      <w:r>
        <w:rPr>
          <w:rFonts w:hint="eastAsia"/>
          <w:color w:val="auto"/>
        </w:rPr>
        <w:t>。</w:t>
      </w:r>
    </w:p>
    <w:p w14:paraId="7EE6EECB">
      <w:pPr>
        <w:pStyle w:val="23"/>
        <w:keepNext w:val="0"/>
        <w:keepLines w:val="0"/>
        <w:pageBreakBefore w:val="0"/>
        <w:widowControl/>
        <w:numPr>
          <w:ilvl w:val="2"/>
          <w:numId w:val="4"/>
        </w:numPr>
        <w:kinsoku/>
        <w:wordWrap/>
        <w:overflowPunct/>
        <w:topLinePunct w:val="0"/>
        <w:bidi w:val="0"/>
        <w:adjustRightInd/>
        <w:snapToGrid/>
        <w:spacing w:beforeLines="0" w:afterLines="0" w:line="400" w:lineRule="exact"/>
        <w:ind w:left="0"/>
        <w:textAlignment w:val="auto"/>
        <w:rPr>
          <w:rFonts w:hint="eastAsia" w:ascii="Times New Roman" w:eastAsia="宋体"/>
          <w:color w:val="auto"/>
        </w:rPr>
      </w:pPr>
      <w:r>
        <w:rPr>
          <w:rFonts w:hint="eastAsia" w:ascii="Times New Roman" w:eastAsia="宋体"/>
          <w:color w:val="auto"/>
          <w:lang w:val="en-US" w:eastAsia="zh-CN"/>
        </w:rPr>
        <w:t>外观表面</w:t>
      </w:r>
      <w:r>
        <w:rPr>
          <w:rFonts w:hint="eastAsia" w:ascii="Times New Roman" w:eastAsia="宋体"/>
          <w:color w:val="auto"/>
        </w:rPr>
        <w:t>质量应</w:t>
      </w:r>
      <w:r>
        <w:rPr>
          <w:rFonts w:hint="eastAsia" w:ascii="Times New Roman" w:eastAsia="宋体"/>
          <w:color w:val="auto"/>
          <w:lang w:val="en-US" w:eastAsia="zh-CN"/>
        </w:rPr>
        <w:t>逐块</w:t>
      </w:r>
      <w:r>
        <w:rPr>
          <w:rFonts w:hint="eastAsia" w:ascii="Times New Roman" w:eastAsia="宋体"/>
          <w:color w:val="auto"/>
        </w:rPr>
        <w:t>检查，断口每批不少于</w:t>
      </w:r>
      <w:r>
        <w:rPr>
          <w:rFonts w:hint="eastAsia" w:ascii="Times New Roman" w:eastAsia="宋体"/>
          <w:color w:val="auto"/>
          <w:lang w:val="en-US" w:eastAsia="zh-CN"/>
        </w:rPr>
        <w:t>1块</w:t>
      </w:r>
      <w:r>
        <w:rPr>
          <w:rFonts w:hint="eastAsia" w:ascii="Times New Roman" w:eastAsia="宋体"/>
          <w:color w:val="auto"/>
          <w:lang w:eastAsia="zh-CN"/>
        </w:rPr>
        <w:t>，</w:t>
      </w:r>
      <w:r>
        <w:rPr>
          <w:rFonts w:hint="eastAsia" w:ascii="Times New Roman" w:eastAsia="宋体"/>
          <w:color w:val="auto"/>
        </w:rPr>
        <w:t>经物理破碎后检查。</w:t>
      </w:r>
    </w:p>
    <w:p w14:paraId="2183AB3A">
      <w:pPr>
        <w:pStyle w:val="21"/>
        <w:numPr>
          <w:ilvl w:val="1"/>
          <w:numId w:val="3"/>
        </w:numPr>
        <w:spacing w:beforeLines="0" w:afterLines="0" w:line="400" w:lineRule="exact"/>
        <w:rPr>
          <w:rFonts w:ascii="Times New Roman"/>
          <w:color w:val="auto"/>
        </w:rPr>
      </w:pPr>
      <w:r>
        <w:rPr>
          <w:rFonts w:ascii="Times New Roman"/>
          <w:color w:val="auto"/>
        </w:rPr>
        <w:t>检验结果判定</w:t>
      </w:r>
    </w:p>
    <w:p w14:paraId="1D3D2539">
      <w:pPr>
        <w:pStyle w:val="23"/>
        <w:numPr>
          <w:ilvl w:val="2"/>
          <w:numId w:val="4"/>
        </w:numPr>
        <w:spacing w:beforeLines="0" w:afterLines="0" w:line="400" w:lineRule="exact"/>
        <w:ind w:left="0"/>
        <w:rPr>
          <w:rFonts w:ascii="Times New Roman" w:eastAsia="宋体"/>
          <w:color w:val="auto"/>
        </w:rPr>
      </w:pPr>
      <w:r>
        <w:rPr>
          <w:rFonts w:hint="eastAsia" w:ascii="Times New Roman" w:eastAsia="宋体"/>
          <w:color w:val="auto"/>
        </w:rPr>
        <w:t>检验结果的数值按GB/T 8170的规定进行修约</w:t>
      </w:r>
      <w:r>
        <w:rPr>
          <w:rFonts w:hint="eastAsia" w:ascii="Times New Roman" w:eastAsia="宋体"/>
          <w:color w:val="auto"/>
          <w:lang w:eastAsia="zh-CN"/>
        </w:rPr>
        <w:t>。</w:t>
      </w:r>
    </w:p>
    <w:p w14:paraId="0DE98CB1">
      <w:pPr>
        <w:pStyle w:val="23"/>
        <w:numPr>
          <w:ilvl w:val="2"/>
          <w:numId w:val="4"/>
        </w:numPr>
        <w:spacing w:beforeLines="0" w:afterLines="0" w:line="400" w:lineRule="exact"/>
        <w:ind w:left="0"/>
        <w:rPr>
          <w:rFonts w:ascii="Times New Roman" w:eastAsia="宋体"/>
          <w:color w:val="auto"/>
        </w:rPr>
      </w:pPr>
      <w:r>
        <w:rPr>
          <w:rFonts w:hint="eastAsia" w:ascii="Times New Roman" w:eastAsia="宋体"/>
          <w:color w:val="auto"/>
        </w:rPr>
        <w:t>化学成分分析结果与本文件规定不符时，则</w:t>
      </w:r>
      <w:r>
        <w:rPr>
          <w:rFonts w:hint="eastAsia" w:ascii="Times New Roman" w:eastAsia="宋体"/>
          <w:color w:val="auto"/>
          <w:lang w:eastAsia="zh-CN"/>
        </w:rPr>
        <w:t>判定</w:t>
      </w:r>
      <w:r>
        <w:rPr>
          <w:rFonts w:hint="eastAsia" w:ascii="Times New Roman" w:eastAsia="宋体"/>
          <w:color w:val="auto"/>
        </w:rPr>
        <w:t>该批产品为不合格</w:t>
      </w:r>
      <w:r>
        <w:rPr>
          <w:rFonts w:ascii="Times New Roman" w:eastAsia="宋体"/>
          <w:color w:val="auto"/>
        </w:rPr>
        <w:t>。</w:t>
      </w:r>
    </w:p>
    <w:p w14:paraId="017282FC">
      <w:pPr>
        <w:pStyle w:val="23"/>
        <w:numPr>
          <w:ilvl w:val="2"/>
          <w:numId w:val="4"/>
        </w:numPr>
        <w:spacing w:beforeLines="0" w:afterLines="0" w:line="400" w:lineRule="exact"/>
        <w:ind w:left="0"/>
        <w:rPr>
          <w:rFonts w:ascii="Times New Roman" w:eastAsia="宋体"/>
          <w:color w:val="auto"/>
        </w:rPr>
      </w:pPr>
      <w:r>
        <w:rPr>
          <w:rFonts w:hint="eastAsia" w:ascii="Times New Roman" w:eastAsia="宋体"/>
          <w:color w:val="auto"/>
        </w:rPr>
        <w:t>产品外观不合格</w:t>
      </w:r>
      <w:r>
        <w:rPr>
          <w:rFonts w:hint="eastAsia" w:ascii="Times New Roman" w:eastAsia="宋体"/>
          <w:color w:val="auto"/>
          <w:lang w:eastAsia="zh-CN"/>
        </w:rPr>
        <w:t>，</w:t>
      </w:r>
      <w:r>
        <w:rPr>
          <w:rFonts w:hint="eastAsia" w:ascii="Times New Roman" w:eastAsia="宋体"/>
          <w:color w:val="auto"/>
        </w:rPr>
        <w:t>则直接判</w:t>
      </w:r>
      <w:r>
        <w:rPr>
          <w:rFonts w:hint="eastAsia" w:ascii="Times New Roman" w:eastAsia="宋体"/>
          <w:color w:val="auto"/>
          <w:lang w:eastAsia="zh-CN"/>
        </w:rPr>
        <w:t>定</w:t>
      </w:r>
      <w:r>
        <w:rPr>
          <w:rFonts w:hint="eastAsia" w:ascii="Times New Roman" w:eastAsia="宋体"/>
          <w:color w:val="auto"/>
        </w:rPr>
        <w:t>该</w:t>
      </w:r>
      <w:r>
        <w:rPr>
          <w:rFonts w:hint="eastAsia" w:ascii="Times New Roman" w:eastAsia="宋体"/>
          <w:color w:val="auto"/>
          <w:lang w:val="en-US" w:eastAsia="zh-CN"/>
        </w:rPr>
        <w:t>件</w:t>
      </w:r>
      <w:r>
        <w:rPr>
          <w:rFonts w:hint="eastAsia" w:ascii="Times New Roman" w:eastAsia="宋体"/>
          <w:color w:val="auto"/>
          <w:highlight w:val="none"/>
        </w:rPr>
        <w:t>产品</w:t>
      </w:r>
      <w:r>
        <w:rPr>
          <w:rFonts w:hint="eastAsia" w:ascii="Times New Roman" w:eastAsia="宋体"/>
          <w:color w:val="auto"/>
        </w:rPr>
        <w:t>为不合格</w:t>
      </w:r>
      <w:r>
        <w:rPr>
          <w:rFonts w:ascii="Times New Roman" w:eastAsia="宋体"/>
          <w:color w:val="auto"/>
        </w:rPr>
        <w:t>。</w:t>
      </w:r>
      <w:r>
        <w:rPr>
          <w:rFonts w:ascii="Times New Roman" w:eastAsia="宋体"/>
          <w:color w:val="auto"/>
          <w:lang w:val="en-US" w:eastAsia="zh-CN"/>
        </w:rPr>
        <w:t>断口不合格时，判定该批产品不合格。</w:t>
      </w:r>
    </w:p>
    <w:p w14:paraId="109E19D8">
      <w:pPr>
        <w:pStyle w:val="22"/>
        <w:numPr>
          <w:ilvl w:val="0"/>
          <w:numId w:val="4"/>
        </w:numPr>
        <w:spacing w:before="312" w:after="312"/>
        <w:ind w:left="0"/>
        <w:rPr>
          <w:rFonts w:ascii="Times New Roman"/>
          <w:color w:val="auto"/>
        </w:rPr>
      </w:pPr>
      <w:r>
        <w:rPr>
          <w:rFonts w:ascii="Times New Roman"/>
          <w:color w:val="auto"/>
        </w:rPr>
        <w:t>标志、包装、运输、贮存及</w:t>
      </w:r>
      <w:r>
        <w:rPr>
          <w:rFonts w:hint="eastAsia" w:ascii="Times New Roman"/>
          <w:color w:val="auto"/>
        </w:rPr>
        <w:t>随行文件</w:t>
      </w:r>
    </w:p>
    <w:p w14:paraId="0F40B71A">
      <w:pPr>
        <w:pStyle w:val="21"/>
        <w:numPr>
          <w:ilvl w:val="1"/>
          <w:numId w:val="3"/>
        </w:numPr>
        <w:spacing w:beforeLines="0" w:afterLines="0" w:line="400" w:lineRule="exact"/>
        <w:rPr>
          <w:rFonts w:ascii="Times New Roman"/>
          <w:color w:val="auto"/>
        </w:rPr>
      </w:pPr>
      <w:bookmarkStart w:id="3" w:name="_Hlk149747863"/>
      <w:r>
        <w:rPr>
          <w:rFonts w:ascii="Times New Roman"/>
          <w:color w:val="auto"/>
        </w:rPr>
        <w:t>标志、包装、运输、贮存</w:t>
      </w:r>
      <w:r>
        <w:rPr>
          <w:rFonts w:hint="eastAsia" w:ascii="Times New Roman"/>
          <w:color w:val="auto"/>
          <w:lang w:val="en-US" w:eastAsia="zh-CN"/>
        </w:rPr>
        <w:t xml:space="preserve">  </w:t>
      </w:r>
    </w:p>
    <w:bookmarkEnd w:id="3"/>
    <w:p w14:paraId="52458325">
      <w:pPr>
        <w:pStyle w:val="20"/>
        <w:keepNext w:val="0"/>
        <w:keepLines w:val="0"/>
        <w:pageBreakBefore w:val="0"/>
        <w:widowControl/>
        <w:kinsoku/>
        <w:wordWrap/>
        <w:overflowPunct/>
        <w:topLinePunct w:val="0"/>
        <w:bidi w:val="0"/>
        <w:adjustRightInd/>
        <w:snapToGrid/>
        <w:spacing w:line="400" w:lineRule="exact"/>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钇镁合金的产品标志、包装、运输和贮存应符合</w:t>
      </w:r>
      <w:bookmarkStart w:id="4" w:name="_Hlk167353702"/>
      <w:r>
        <w:rPr>
          <w:rFonts w:hint="eastAsia" w:ascii="Times New Roman" w:hAnsi="Times New Roman" w:eastAsia="宋体" w:cs="Times New Roman"/>
          <w:color w:val="auto"/>
          <w:kern w:val="0"/>
          <w:sz w:val="21"/>
          <w:szCs w:val="21"/>
          <w:lang w:val="en-US" w:eastAsia="zh-CN" w:bidi="ar-SA"/>
        </w:rPr>
        <w:t>GB 39176的规定</w:t>
      </w:r>
      <w:bookmarkEnd w:id="4"/>
      <w:r>
        <w:rPr>
          <w:rFonts w:hint="eastAsia" w:ascii="Times New Roman" w:hAnsi="Times New Roman" w:eastAsia="宋体" w:cs="Times New Roman"/>
          <w:color w:val="auto"/>
          <w:kern w:val="0"/>
          <w:sz w:val="21"/>
          <w:szCs w:val="21"/>
          <w:lang w:val="en-US" w:eastAsia="zh-CN" w:bidi="ar-SA"/>
        </w:rPr>
        <w:t>。产品应采取防氧化措施密封装入铁桶中，如需方对包装有特殊要求，由供需双方协商确定。运输及贮存时，产品需存放干燥处，不得露天放置。</w:t>
      </w:r>
    </w:p>
    <w:p w14:paraId="094607EF">
      <w:pPr>
        <w:pStyle w:val="21"/>
        <w:numPr>
          <w:ilvl w:val="1"/>
          <w:numId w:val="3"/>
        </w:numPr>
        <w:spacing w:beforeLines="0" w:afterLines="0" w:line="400" w:lineRule="exact"/>
        <w:rPr>
          <w:rFonts w:hint="eastAsia" w:ascii="Times New Roman"/>
          <w:color w:val="auto"/>
        </w:rPr>
      </w:pPr>
      <w:r>
        <w:rPr>
          <w:rFonts w:hint="eastAsia" w:ascii="Times New Roman"/>
          <w:color w:val="auto"/>
        </w:rPr>
        <w:t>随行文件</w:t>
      </w:r>
    </w:p>
    <w:p w14:paraId="5551D7DE">
      <w:pPr>
        <w:pStyle w:val="20"/>
        <w:spacing w:line="400" w:lineRule="exact"/>
        <w:rPr>
          <w:rFonts w:hint="eastAsia" w:ascii="Times New Roman"/>
          <w:color w:val="auto"/>
        </w:rPr>
      </w:pPr>
      <w:r>
        <w:rPr>
          <w:rFonts w:hint="eastAsia" w:ascii="Times New Roman"/>
          <w:color w:val="auto"/>
        </w:rPr>
        <w:t>每批产品应附有随行文件，其中应包括质量证明书，质量证明书应符合GB 39176的规定。此外还宜包括：</w:t>
      </w:r>
    </w:p>
    <w:p w14:paraId="2DB88732">
      <w:pPr>
        <w:pStyle w:val="20"/>
        <w:spacing w:line="400" w:lineRule="exact"/>
        <w:rPr>
          <w:rFonts w:hint="eastAsia" w:ascii="Times New Roman"/>
          <w:color w:val="auto"/>
        </w:rPr>
      </w:pPr>
      <w:r>
        <w:rPr>
          <w:rFonts w:hint="eastAsia" w:ascii="Times New Roman"/>
          <w:color w:val="auto"/>
          <w:lang w:val="en-US" w:eastAsia="zh-CN"/>
        </w:rPr>
        <w:t>a</w:t>
      </w:r>
      <w:r>
        <w:rPr>
          <w:rFonts w:hint="eastAsia" w:ascii="Times New Roman"/>
          <w:color w:val="auto"/>
          <w:lang w:eastAsia="zh-CN"/>
        </w:rPr>
        <w:t>）</w:t>
      </w:r>
      <w:r>
        <w:rPr>
          <w:rFonts w:hint="eastAsia" w:ascii="Times New Roman"/>
          <w:color w:val="auto"/>
        </w:rPr>
        <w:t>产品合格证；</w:t>
      </w:r>
    </w:p>
    <w:p w14:paraId="002A607B">
      <w:pPr>
        <w:pStyle w:val="20"/>
        <w:spacing w:line="400" w:lineRule="exact"/>
        <w:rPr>
          <w:rFonts w:hint="eastAsia" w:ascii="Times New Roman"/>
          <w:color w:val="auto"/>
        </w:rPr>
      </w:pPr>
      <w:r>
        <w:rPr>
          <w:rFonts w:hint="eastAsia" w:ascii="Times New Roman"/>
          <w:color w:val="auto"/>
        </w:rPr>
        <w:t>b</w:t>
      </w:r>
      <w:r>
        <w:rPr>
          <w:rFonts w:hint="eastAsia" w:ascii="Times New Roman"/>
          <w:color w:val="auto"/>
          <w:lang w:eastAsia="zh-CN"/>
        </w:rPr>
        <w:t>）</w:t>
      </w:r>
      <w:r>
        <w:rPr>
          <w:rFonts w:hint="eastAsia" w:ascii="Times New Roman"/>
          <w:color w:val="auto"/>
        </w:rPr>
        <w:t>产品质量控制过程中的检验报告及成品检验报告；</w:t>
      </w:r>
    </w:p>
    <w:p w14:paraId="6A653486">
      <w:pPr>
        <w:pStyle w:val="20"/>
        <w:spacing w:line="400" w:lineRule="exact"/>
        <w:rPr>
          <w:rFonts w:hint="eastAsia" w:ascii="Times New Roman"/>
          <w:color w:val="auto"/>
        </w:rPr>
      </w:pPr>
      <w:r>
        <w:rPr>
          <w:rFonts w:hint="eastAsia" w:ascii="Times New Roman"/>
          <w:color w:val="auto"/>
        </w:rPr>
        <w:t>c</w:t>
      </w:r>
      <w:r>
        <w:rPr>
          <w:rFonts w:hint="eastAsia" w:ascii="Times New Roman"/>
          <w:color w:val="auto"/>
          <w:lang w:eastAsia="zh-CN"/>
        </w:rPr>
        <w:t>）</w:t>
      </w:r>
      <w:r>
        <w:rPr>
          <w:rFonts w:hint="eastAsia" w:ascii="Times New Roman"/>
          <w:color w:val="auto"/>
        </w:rPr>
        <w:t>产品使用说明书；</w:t>
      </w:r>
    </w:p>
    <w:p w14:paraId="5BFC08BC">
      <w:pPr>
        <w:pStyle w:val="20"/>
        <w:spacing w:line="400" w:lineRule="exact"/>
        <w:rPr>
          <w:rFonts w:ascii="Times New Roman" w:hAnsi="Times New Roman" w:cs="Times New Roman"/>
          <w:color w:val="auto"/>
        </w:rPr>
      </w:pPr>
      <w:r>
        <w:rPr>
          <w:rFonts w:hint="eastAsia" w:ascii="Times New Roman"/>
          <w:color w:val="auto"/>
        </w:rPr>
        <w:t>d</w:t>
      </w:r>
      <w:r>
        <w:rPr>
          <w:rFonts w:hint="eastAsia" w:ascii="Times New Roman"/>
          <w:color w:val="auto"/>
          <w:lang w:eastAsia="zh-CN"/>
        </w:rPr>
        <w:t>）</w:t>
      </w:r>
      <w:r>
        <w:rPr>
          <w:rFonts w:hint="eastAsia" w:ascii="Times New Roman"/>
          <w:color w:val="auto"/>
        </w:rPr>
        <w:t>其他。</w:t>
      </w:r>
    </w:p>
    <w:p w14:paraId="6EDD4F34">
      <w:pPr>
        <w:rPr>
          <w:color w:val="auto"/>
        </w:rPr>
      </w:pPr>
    </w:p>
    <w:p w14:paraId="561AD022">
      <w:pPr>
        <w:rPr>
          <w:color w:val="auto"/>
        </w:rPr>
      </w:pPr>
    </w:p>
    <w:p w14:paraId="744C7ACB">
      <w:pPr>
        <w:rPr>
          <w:color w:val="auto"/>
        </w:rPr>
        <w:sectPr>
          <w:pgSz w:w="11906" w:h="16838"/>
          <w:pgMar w:top="1440" w:right="1418" w:bottom="1440" w:left="1418" w:header="851" w:footer="992" w:gutter="0"/>
          <w:cols w:space="425" w:num="1"/>
          <w:docGrid w:type="lines" w:linePitch="312" w:charSpace="0"/>
        </w:sectPr>
      </w:pPr>
    </w:p>
    <w:p w14:paraId="14290C92">
      <w:pPr>
        <w:spacing w:line="240" w:lineRule="auto"/>
        <w:jc w:val="center"/>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附录A</w:t>
      </w:r>
      <w:r>
        <w:rPr>
          <w:rFonts w:hint="eastAsia" w:ascii="黑体" w:hAnsi="黑体" w:eastAsia="黑体"/>
          <w:color w:val="auto"/>
          <w:sz w:val="21"/>
          <w:szCs w:val="21"/>
          <w:lang w:val="en-US" w:eastAsia="zh-CN"/>
        </w:rPr>
        <w:br w:type="textWrapping"/>
      </w:r>
      <w:r>
        <w:rPr>
          <w:rFonts w:hint="eastAsia" w:ascii="黑体" w:hAnsi="黑体" w:eastAsia="黑体"/>
          <w:color w:val="auto"/>
          <w:sz w:val="21"/>
          <w:szCs w:val="21"/>
          <w:lang w:val="en-US" w:eastAsia="zh-CN"/>
        </w:rPr>
        <w:t>（资料性）</w:t>
      </w:r>
    </w:p>
    <w:p w14:paraId="4C0A24A6">
      <w:pPr>
        <w:spacing w:line="240" w:lineRule="auto"/>
        <w:jc w:val="center"/>
        <w:rPr>
          <w:rFonts w:hint="eastAsia" w:ascii="黑体" w:hAnsi="黑体" w:eastAsia="黑体"/>
          <w:color w:val="auto"/>
          <w:sz w:val="21"/>
          <w:szCs w:val="21"/>
          <w:lang w:val="en-US" w:eastAsia="zh-CN"/>
        </w:rPr>
      </w:pPr>
      <w:r>
        <w:rPr>
          <w:rFonts w:hint="eastAsia" w:ascii="黑体" w:hAnsi="黑体" w:eastAsia="黑体"/>
          <w:color w:val="auto"/>
          <w:sz w:val="21"/>
          <w:szCs w:val="21"/>
        </w:rPr>
        <mc:AlternateContent>
          <mc:Choice Requires="wps">
            <w:drawing>
              <wp:anchor distT="0" distB="0" distL="114300" distR="114300" simplePos="0" relativeHeight="251673600" behindDoc="0" locked="0" layoutInCell="1" allowOverlap="1">
                <wp:simplePos x="0" y="0"/>
                <wp:positionH relativeFrom="column">
                  <wp:posOffset>0</wp:posOffset>
                </wp:positionH>
                <wp:positionV relativeFrom="paragraph">
                  <wp:posOffset>8888730</wp:posOffset>
                </wp:positionV>
                <wp:extent cx="6121400" cy="0"/>
                <wp:effectExtent l="0" t="6350" r="0" b="6350"/>
                <wp:wrapNone/>
                <wp:docPr id="15" name="直接连接符 15"/>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FFFFFF"/>
                          </a:solidFill>
                          <a:round/>
                        </a:ln>
                        <a:effectLst/>
                      </wps:spPr>
                      <wps:bodyPr/>
                    </wps:wsp>
                  </a:graphicData>
                </a:graphic>
              </wp:anchor>
            </w:drawing>
          </mc:Choice>
          <mc:Fallback>
            <w:pict>
              <v:line id="_x0000_s1026" o:spid="_x0000_s1026" o:spt="20" style="position:absolute;left:0pt;margin-left:0pt;margin-top:699.9pt;height:0pt;width:482pt;z-index:251673600;mso-width-relative:page;mso-height-relative:page;" filled="f" stroked="t" coordsize="21600,21600" o:gfxdata="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cSrdXVAAAA&#10;CgEAAA8AAAAAAAAAAQAgAAAAIgAAAGRycy9kb3ducmV2LnhtbFBLAQIUABQAAAAIAIdO4kDqedRF&#10;5wEAALsDAAAOAAAAAAAAAAEAIAAAACQBAABkcnMvZTJvRG9jLnhtbFBLBQYAAAAABgAGAFkBAAB9&#10;BQAAAAA=&#10;">
                <v:fill on="f" focussize="0,0"/>
                <v:stroke weight="1pt" color="#FFFFFF" joinstyle="round"/>
                <v:imagedata o:title=""/>
                <o:lock v:ext="edit" aspectratio="f"/>
              </v:line>
            </w:pict>
          </mc:Fallback>
        </mc:AlternateContent>
      </w:r>
      <w:r>
        <w:rPr>
          <w:rFonts w:hint="eastAsia" w:ascii="黑体" w:hAnsi="黑体" w:eastAsia="黑体"/>
          <w:color w:val="auto"/>
          <w:sz w:val="21"/>
          <w:szCs w:val="21"/>
          <w:lang w:val="en-US" w:eastAsia="zh-CN"/>
        </w:rPr>
        <w:t>钇镁合金化</w:t>
      </w:r>
      <w:r>
        <w:rPr>
          <w:rFonts w:hint="eastAsia" w:ascii="黑体" w:hAnsi="黑体" w:eastAsia="黑体"/>
          <w:color w:val="auto"/>
          <w:sz w:val="21"/>
          <w:szCs w:val="21"/>
        </w:rPr>
        <w:t>学分析方法</w:t>
      </w:r>
    </w:p>
    <w:p w14:paraId="3DAB7E0E">
      <w:pPr>
        <w:spacing w:line="240" w:lineRule="auto"/>
        <w:jc w:val="center"/>
        <w:rPr>
          <w:rFonts w:hint="eastAsia" w:ascii="黑体" w:hAnsi="黑体" w:eastAsia="黑体"/>
          <w:color w:val="auto"/>
          <w:sz w:val="21"/>
          <w:szCs w:val="21"/>
        </w:rPr>
      </w:pPr>
      <w:r>
        <w:rPr>
          <w:rFonts w:hint="eastAsia" w:ascii="黑体" w:hAnsi="黑体" w:eastAsia="黑体"/>
          <w:color w:val="auto"/>
          <w:sz w:val="21"/>
          <w:szCs w:val="21"/>
        </w:rPr>
        <w:t>稀土杂质含量的测定</w:t>
      </w:r>
    </w:p>
    <w:p w14:paraId="2A3381E7">
      <w:pPr>
        <w:rPr>
          <w:color w:val="auto"/>
        </w:rPr>
      </w:pPr>
    </w:p>
    <w:p w14:paraId="1FCDC6BE">
      <w:pPr>
        <w:ind w:firstLine="420" w:firstLineChars="200"/>
        <w:rPr>
          <w:rFonts w:hint="eastAsia"/>
          <w:color w:val="auto"/>
          <w:szCs w:val="21"/>
        </w:rPr>
      </w:pPr>
      <w:bookmarkStart w:id="5" w:name="_Hlk209339307"/>
      <w:r>
        <w:rPr>
          <w:rFonts w:hint="eastAsia"/>
          <w:color w:val="auto"/>
          <w:szCs w:val="21"/>
        </w:rPr>
        <w:t>本附录规定了钇镁合金中镧、铈、镨、钕、钐、铕、钆、铽、镝、钬、铒、铥、镱和镥含量的测定方法。</w:t>
      </w:r>
    </w:p>
    <w:p w14:paraId="4F02691F">
      <w:pPr>
        <w:ind w:firstLine="420" w:firstLineChars="200"/>
        <w:rPr>
          <w:rFonts w:hint="eastAsia"/>
          <w:color w:val="auto"/>
          <w:szCs w:val="21"/>
        </w:rPr>
      </w:pPr>
      <w:r>
        <w:rPr>
          <w:rFonts w:hint="eastAsia"/>
          <w:color w:val="auto"/>
          <w:szCs w:val="21"/>
        </w:rPr>
        <w:t>本附录规定了两种测定方法：方法1为电感耦合等离子体质谱法，方法2为电感耦合等离子体原子发射光谱法。两种方法测定范围重叠部分（0.010%～0.10%），以方法1为仲裁分析方法。</w:t>
      </w:r>
    </w:p>
    <w:bookmarkEnd w:id="5"/>
    <w:p w14:paraId="2CAB2CAC">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A.1　方法1　电感耦合等离子体质谱法</w:t>
      </w:r>
    </w:p>
    <w:p w14:paraId="3441EA3E">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A.1.1　范围</w:t>
      </w:r>
    </w:p>
    <w:p w14:paraId="0F6FAAAD">
      <w:pPr>
        <w:ind w:firstLine="420" w:firstLineChars="200"/>
        <w:rPr>
          <w:rFonts w:hint="eastAsia"/>
          <w:color w:val="auto"/>
          <w:szCs w:val="21"/>
        </w:rPr>
      </w:pPr>
      <w:r>
        <w:rPr>
          <w:rFonts w:hint="eastAsia"/>
          <w:color w:val="auto"/>
          <w:szCs w:val="21"/>
        </w:rPr>
        <w:t>镧、铈、镨、钕、钐、铕、钆、铽、镝、钬、铒、铥、镱和镥14种元素量的测定范围均为 0.0010%～0.10%。</w:t>
      </w:r>
    </w:p>
    <w:p w14:paraId="3BF1C7FB">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A.1.2　方法原理</w:t>
      </w:r>
    </w:p>
    <w:p w14:paraId="70BEA5D1">
      <w:pPr>
        <w:ind w:firstLine="420" w:firstLineChars="200"/>
        <w:rPr>
          <w:rFonts w:hint="eastAsia"/>
          <w:color w:val="auto"/>
          <w:szCs w:val="21"/>
        </w:rPr>
      </w:pPr>
      <w:r>
        <w:rPr>
          <w:rFonts w:hint="eastAsia"/>
          <w:color w:val="auto"/>
          <w:szCs w:val="21"/>
        </w:rPr>
        <w:t>试料以硝酸溶解，过氧化氢助溶，以内标法校正基体效应及仪器漂移，在等离子体质谱仪上测定。</w:t>
      </w:r>
    </w:p>
    <w:p w14:paraId="43494EF7">
      <w:pPr>
        <w:spacing w:before="156" w:beforeLines="50" w:after="156" w:afterLines="50" w:line="240" w:lineRule="auto"/>
        <w:rPr>
          <w:rFonts w:hint="eastAsia"/>
          <w:color w:val="auto"/>
          <w:szCs w:val="21"/>
          <w:lang w:val="en-US" w:eastAsia="zh-CN"/>
        </w:rPr>
      </w:pPr>
      <w:r>
        <w:rPr>
          <w:rFonts w:hint="eastAsia" w:ascii="黑体" w:hAnsi="黑体" w:eastAsia="黑体"/>
          <w:color w:val="auto"/>
          <w:sz w:val="21"/>
          <w:szCs w:val="21"/>
          <w:lang w:val="en-US" w:eastAsia="zh-CN"/>
        </w:rPr>
        <w:t>A.1.3　试剂和材料</w:t>
      </w:r>
    </w:p>
    <w:p w14:paraId="7408B30D">
      <w:pPr>
        <w:ind w:firstLine="420" w:firstLineChars="200"/>
        <w:rPr>
          <w:rFonts w:hint="eastAsia"/>
          <w:color w:val="auto"/>
          <w:szCs w:val="21"/>
        </w:rPr>
      </w:pPr>
      <w:r>
        <w:rPr>
          <w:rFonts w:hint="eastAsia"/>
          <w:color w:val="auto"/>
          <w:szCs w:val="21"/>
        </w:rPr>
        <w:t>除非另有说明，在分析中仅使用确认为优级纯的试剂和相当纯度的水。</w:t>
      </w:r>
    </w:p>
    <w:p w14:paraId="746FCE9D">
      <w:pPr>
        <w:rPr>
          <w:rFonts w:hint="eastAsia"/>
          <w:color w:val="auto"/>
          <w:szCs w:val="21"/>
        </w:rPr>
      </w:pPr>
      <w:r>
        <w:rPr>
          <w:rFonts w:hint="eastAsia" w:ascii="黑体" w:hAnsi="黑体" w:eastAsia="黑体"/>
          <w:color w:val="auto"/>
          <w:sz w:val="21"/>
          <w:szCs w:val="21"/>
          <w:lang w:val="en-US" w:eastAsia="zh-CN"/>
        </w:rPr>
        <w:t>A.1.3.1</w:t>
      </w:r>
      <w:r>
        <w:rPr>
          <w:rFonts w:hint="eastAsia"/>
          <w:color w:val="auto"/>
          <w:szCs w:val="21"/>
        </w:rPr>
        <w:t>　硝酸（ρ=1.42 g/mL，优级纯）。</w:t>
      </w:r>
    </w:p>
    <w:p w14:paraId="65613528">
      <w:pPr>
        <w:rPr>
          <w:rFonts w:hint="eastAsia"/>
          <w:color w:val="auto"/>
          <w:szCs w:val="21"/>
        </w:rPr>
      </w:pPr>
      <w:r>
        <w:rPr>
          <w:rFonts w:hint="eastAsia" w:ascii="黑体" w:hAnsi="黑体" w:eastAsia="黑体"/>
          <w:color w:val="auto"/>
          <w:sz w:val="21"/>
          <w:szCs w:val="21"/>
          <w:lang w:val="en-US" w:eastAsia="zh-CN"/>
        </w:rPr>
        <w:t>A.1.3.2</w:t>
      </w:r>
      <w:r>
        <w:rPr>
          <w:rFonts w:hint="eastAsia"/>
          <w:color w:val="auto"/>
          <w:szCs w:val="21"/>
        </w:rPr>
        <w:t>　过氧化氢（30%，优级纯）。</w:t>
      </w:r>
    </w:p>
    <w:p w14:paraId="0999E60B">
      <w:pPr>
        <w:rPr>
          <w:rFonts w:hint="eastAsia"/>
          <w:color w:val="auto"/>
          <w:szCs w:val="21"/>
        </w:rPr>
      </w:pPr>
      <w:r>
        <w:rPr>
          <w:rFonts w:hint="eastAsia" w:ascii="黑体" w:hAnsi="黑体" w:eastAsia="黑体"/>
          <w:color w:val="auto"/>
          <w:sz w:val="21"/>
          <w:szCs w:val="21"/>
          <w:lang w:val="en-US" w:eastAsia="zh-CN"/>
        </w:rPr>
        <w:t>A.1.3.3</w:t>
      </w:r>
      <w:r>
        <w:rPr>
          <w:rFonts w:hint="eastAsia"/>
          <w:color w:val="auto"/>
          <w:szCs w:val="21"/>
        </w:rPr>
        <w:t>　盐酸（ρ=1.19 g/mL，优级纯）。</w:t>
      </w:r>
    </w:p>
    <w:p w14:paraId="15103A5A">
      <w:pPr>
        <w:rPr>
          <w:rFonts w:hint="eastAsia"/>
          <w:color w:val="auto"/>
          <w:szCs w:val="21"/>
        </w:rPr>
      </w:pPr>
      <w:r>
        <w:rPr>
          <w:rFonts w:hint="eastAsia" w:ascii="黑体" w:hAnsi="黑体" w:eastAsia="黑体"/>
          <w:color w:val="auto"/>
          <w:sz w:val="21"/>
          <w:szCs w:val="21"/>
          <w:lang w:val="en-US" w:eastAsia="zh-CN"/>
        </w:rPr>
        <w:t>A.1.3.4　</w:t>
      </w:r>
      <w:r>
        <w:rPr>
          <w:rFonts w:hint="eastAsia"/>
          <w:color w:val="auto"/>
          <w:szCs w:val="21"/>
        </w:rPr>
        <w:t>单一稀土标准贮存溶液（1 mg/mL）：由国家标准物质中心提供，或按表A.1规定制备。</w:t>
      </w:r>
    </w:p>
    <w:p w14:paraId="51B38ECD">
      <w:pPr>
        <w:spacing w:before="120" w:after="40"/>
        <w:jc w:val="center"/>
        <w:rPr>
          <w:color w:val="auto"/>
        </w:rPr>
      </w:pPr>
      <w:r>
        <w:rPr>
          <w:rFonts w:ascii="Times New Roman" w:hAnsi="Times New Roman" w:eastAsia="宋体"/>
          <w:b/>
          <w:color w:val="auto"/>
          <w:sz w:val="21"/>
        </w:rPr>
        <w:t>表A.1　单一稀土标准贮存溶液的制备（1 mg/mL，方法1）</w:t>
      </w:r>
    </w:p>
    <w:tbl>
      <w:tblPr>
        <w:tblStyle w:val="13"/>
        <w:tblW w:w="96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7"/>
        <w:gridCol w:w="2690"/>
        <w:gridCol w:w="1768"/>
        <w:gridCol w:w="3521"/>
      </w:tblGrid>
      <w:tr w14:paraId="136B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7" w:type="dxa"/>
          </w:tcPr>
          <w:p w14:paraId="4823E8F9">
            <w:pPr>
              <w:spacing w:after="0" w:line="240" w:lineRule="auto"/>
              <w:jc w:val="center"/>
              <w:rPr>
                <w:color w:val="auto"/>
              </w:rPr>
            </w:pPr>
            <w:r>
              <w:rPr>
                <w:rFonts w:ascii="Times New Roman" w:hAnsi="Times New Roman" w:eastAsia="宋体"/>
                <w:b/>
                <w:color w:val="auto"/>
                <w:sz w:val="18"/>
              </w:rPr>
              <w:t>元素</w:t>
            </w:r>
          </w:p>
        </w:tc>
        <w:tc>
          <w:tcPr>
            <w:tcW w:w="2690" w:type="dxa"/>
          </w:tcPr>
          <w:p w14:paraId="007C5B13">
            <w:pPr>
              <w:spacing w:after="0" w:line="240" w:lineRule="auto"/>
              <w:jc w:val="center"/>
              <w:rPr>
                <w:color w:val="auto"/>
              </w:rPr>
            </w:pPr>
            <w:r>
              <w:rPr>
                <w:rFonts w:ascii="Times New Roman" w:hAnsi="Times New Roman" w:eastAsia="宋体"/>
                <w:b/>
                <w:color w:val="auto"/>
                <w:sz w:val="18"/>
              </w:rPr>
              <w:t>称取化合物</w:t>
            </w:r>
          </w:p>
        </w:tc>
        <w:tc>
          <w:tcPr>
            <w:tcW w:w="1768" w:type="dxa"/>
          </w:tcPr>
          <w:p w14:paraId="73B1F83B">
            <w:pPr>
              <w:spacing w:after="0" w:line="240" w:lineRule="auto"/>
              <w:jc w:val="center"/>
              <w:rPr>
                <w:color w:val="auto"/>
              </w:rPr>
            </w:pPr>
            <w:r>
              <w:rPr>
                <w:rFonts w:ascii="Times New Roman" w:hAnsi="Times New Roman" w:eastAsia="宋体"/>
                <w:b/>
                <w:color w:val="auto"/>
                <w:sz w:val="18"/>
              </w:rPr>
              <w:t>称取量/g</w:t>
            </w:r>
          </w:p>
        </w:tc>
        <w:tc>
          <w:tcPr>
            <w:tcW w:w="3521" w:type="dxa"/>
          </w:tcPr>
          <w:p w14:paraId="2AD4BD05">
            <w:pPr>
              <w:spacing w:after="0" w:line="240" w:lineRule="auto"/>
              <w:jc w:val="center"/>
              <w:rPr>
                <w:color w:val="auto"/>
              </w:rPr>
            </w:pPr>
            <w:r>
              <w:rPr>
                <w:rFonts w:ascii="Times New Roman" w:hAnsi="Times New Roman" w:eastAsia="宋体"/>
                <w:b/>
                <w:color w:val="auto"/>
                <w:sz w:val="18"/>
              </w:rPr>
              <w:t>溶解介质</w:t>
            </w:r>
          </w:p>
        </w:tc>
      </w:tr>
      <w:tr w14:paraId="0A5B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7" w:type="dxa"/>
          </w:tcPr>
          <w:p w14:paraId="3151D860">
            <w:pPr>
              <w:spacing w:after="0" w:line="240" w:lineRule="auto"/>
              <w:jc w:val="center"/>
              <w:rPr>
                <w:color w:val="auto"/>
              </w:rPr>
            </w:pPr>
            <w:r>
              <w:rPr>
                <w:rFonts w:ascii="Times New Roman" w:hAnsi="Times New Roman" w:eastAsia="宋体"/>
                <w:b w:val="0"/>
                <w:color w:val="auto"/>
                <w:sz w:val="18"/>
              </w:rPr>
              <w:t>镧</w:t>
            </w:r>
          </w:p>
        </w:tc>
        <w:tc>
          <w:tcPr>
            <w:tcW w:w="2690" w:type="dxa"/>
          </w:tcPr>
          <w:p w14:paraId="40460DF4">
            <w:pPr>
              <w:spacing w:after="0" w:line="240" w:lineRule="auto"/>
              <w:jc w:val="center"/>
              <w:rPr>
                <w:color w:val="auto"/>
              </w:rPr>
            </w:pPr>
            <w:r>
              <w:rPr>
                <w:rFonts w:ascii="Times New Roman" w:hAnsi="Times New Roman" w:eastAsia="宋体"/>
                <w:b w:val="0"/>
                <w:color w:val="auto"/>
                <w:sz w:val="18"/>
              </w:rPr>
              <w:t>氧化镧</w:t>
            </w:r>
          </w:p>
        </w:tc>
        <w:tc>
          <w:tcPr>
            <w:tcW w:w="1768" w:type="dxa"/>
          </w:tcPr>
          <w:p w14:paraId="18D2263F">
            <w:pPr>
              <w:spacing w:after="0" w:line="240" w:lineRule="auto"/>
              <w:jc w:val="center"/>
              <w:rPr>
                <w:color w:val="auto"/>
              </w:rPr>
            </w:pPr>
            <w:r>
              <w:rPr>
                <w:rFonts w:ascii="Times New Roman" w:hAnsi="Times New Roman" w:eastAsia="宋体"/>
                <w:b w:val="0"/>
                <w:color w:val="auto"/>
                <w:sz w:val="18"/>
              </w:rPr>
              <w:t>0.1173</w:t>
            </w:r>
          </w:p>
        </w:tc>
        <w:tc>
          <w:tcPr>
            <w:tcW w:w="3521" w:type="dxa"/>
          </w:tcPr>
          <w:p w14:paraId="48B80A2A">
            <w:pPr>
              <w:spacing w:after="0" w:line="240" w:lineRule="auto"/>
              <w:jc w:val="center"/>
              <w:rPr>
                <w:color w:val="auto"/>
              </w:rPr>
            </w:pPr>
            <w:r>
              <w:rPr>
                <w:rFonts w:ascii="Times New Roman" w:hAnsi="Times New Roman" w:eastAsia="宋体"/>
                <w:b w:val="0"/>
                <w:color w:val="auto"/>
                <w:sz w:val="18"/>
              </w:rPr>
              <w:t>10 mL硝酸（1+1）</w:t>
            </w:r>
          </w:p>
        </w:tc>
      </w:tr>
      <w:tr w14:paraId="5CF2E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7" w:type="dxa"/>
          </w:tcPr>
          <w:p w14:paraId="3E2CE650">
            <w:pPr>
              <w:spacing w:after="0" w:line="240" w:lineRule="auto"/>
              <w:jc w:val="center"/>
              <w:rPr>
                <w:color w:val="auto"/>
              </w:rPr>
            </w:pPr>
            <w:r>
              <w:rPr>
                <w:rFonts w:ascii="Times New Roman" w:hAnsi="Times New Roman" w:eastAsia="宋体"/>
                <w:b w:val="0"/>
                <w:color w:val="auto"/>
                <w:sz w:val="18"/>
              </w:rPr>
              <w:t>铈</w:t>
            </w:r>
          </w:p>
        </w:tc>
        <w:tc>
          <w:tcPr>
            <w:tcW w:w="2690" w:type="dxa"/>
          </w:tcPr>
          <w:p w14:paraId="79212BE1">
            <w:pPr>
              <w:spacing w:after="0" w:line="240" w:lineRule="auto"/>
              <w:jc w:val="center"/>
              <w:rPr>
                <w:color w:val="auto"/>
              </w:rPr>
            </w:pPr>
            <w:r>
              <w:rPr>
                <w:rFonts w:ascii="Times New Roman" w:hAnsi="Times New Roman" w:eastAsia="宋体"/>
                <w:b w:val="0"/>
                <w:color w:val="auto"/>
                <w:sz w:val="18"/>
              </w:rPr>
              <w:t>氧化铈（CeO</w:t>
            </w:r>
            <w:r>
              <w:rPr>
                <w:rFonts w:ascii="Times New Roman" w:hAnsi="Times New Roman" w:eastAsia="宋体"/>
                <w:b w:val="0"/>
                <w:color w:val="auto"/>
                <w:sz w:val="18"/>
                <w:vertAlign w:val="subscript"/>
              </w:rPr>
              <w:t>2</w:t>
            </w:r>
            <w:r>
              <w:rPr>
                <w:rFonts w:ascii="Times New Roman" w:hAnsi="Times New Roman" w:eastAsia="宋体"/>
                <w:b w:val="0"/>
                <w:color w:val="auto"/>
                <w:sz w:val="18"/>
              </w:rPr>
              <w:t>）</w:t>
            </w:r>
          </w:p>
        </w:tc>
        <w:tc>
          <w:tcPr>
            <w:tcW w:w="1768" w:type="dxa"/>
          </w:tcPr>
          <w:p w14:paraId="57F3609B">
            <w:pPr>
              <w:spacing w:after="0" w:line="240" w:lineRule="auto"/>
              <w:jc w:val="center"/>
              <w:rPr>
                <w:color w:val="auto"/>
              </w:rPr>
            </w:pPr>
            <w:r>
              <w:rPr>
                <w:rFonts w:ascii="Times New Roman" w:hAnsi="Times New Roman" w:eastAsia="宋体"/>
                <w:b w:val="0"/>
                <w:color w:val="auto"/>
                <w:sz w:val="18"/>
              </w:rPr>
              <w:t>0.1228</w:t>
            </w:r>
          </w:p>
        </w:tc>
        <w:tc>
          <w:tcPr>
            <w:tcW w:w="3521" w:type="dxa"/>
          </w:tcPr>
          <w:p w14:paraId="59A31F71">
            <w:pPr>
              <w:spacing w:after="0" w:line="240" w:lineRule="auto"/>
              <w:jc w:val="center"/>
              <w:rPr>
                <w:color w:val="auto"/>
              </w:rPr>
            </w:pPr>
            <w:r>
              <w:rPr>
                <w:rFonts w:ascii="Times New Roman" w:hAnsi="Times New Roman" w:eastAsia="宋体"/>
                <w:b w:val="0"/>
                <w:color w:val="auto"/>
                <w:sz w:val="18"/>
              </w:rPr>
              <w:t>10 mL硝酸（1+1）＋2 mL过氧化氢</w:t>
            </w:r>
          </w:p>
        </w:tc>
      </w:tr>
      <w:tr w14:paraId="0DA23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7" w:type="dxa"/>
          </w:tcPr>
          <w:p w14:paraId="2124D901">
            <w:pPr>
              <w:spacing w:after="0" w:line="240" w:lineRule="auto"/>
              <w:jc w:val="center"/>
              <w:rPr>
                <w:color w:val="auto"/>
              </w:rPr>
            </w:pPr>
            <w:r>
              <w:rPr>
                <w:rFonts w:ascii="Times New Roman" w:hAnsi="Times New Roman" w:eastAsia="宋体"/>
                <w:b w:val="0"/>
                <w:color w:val="auto"/>
                <w:sz w:val="18"/>
              </w:rPr>
              <w:t>镨</w:t>
            </w:r>
          </w:p>
        </w:tc>
        <w:tc>
          <w:tcPr>
            <w:tcW w:w="2690" w:type="dxa"/>
          </w:tcPr>
          <w:p w14:paraId="62FD3DE9">
            <w:pPr>
              <w:spacing w:after="0" w:line="240" w:lineRule="auto"/>
              <w:jc w:val="center"/>
              <w:rPr>
                <w:color w:val="auto"/>
              </w:rPr>
            </w:pPr>
            <w:r>
              <w:rPr>
                <w:rFonts w:ascii="Times New Roman" w:hAnsi="Times New Roman" w:eastAsia="宋体"/>
                <w:b w:val="0"/>
                <w:color w:val="auto"/>
                <w:sz w:val="18"/>
              </w:rPr>
              <w:t>氧化镨（Pr</w:t>
            </w:r>
            <w:r>
              <w:rPr>
                <w:rFonts w:ascii="Times New Roman" w:hAnsi="Times New Roman" w:eastAsia="宋体"/>
                <w:b w:val="0"/>
                <w:color w:val="auto"/>
                <w:sz w:val="18"/>
                <w:vertAlign w:val="subscript"/>
              </w:rPr>
              <w:t>6</w:t>
            </w:r>
            <w:r>
              <w:rPr>
                <w:rFonts w:ascii="Times New Roman" w:hAnsi="Times New Roman" w:eastAsia="宋体"/>
                <w:b w:val="0"/>
                <w:color w:val="auto"/>
                <w:sz w:val="18"/>
              </w:rPr>
              <w:t>O</w:t>
            </w:r>
            <w:r>
              <w:rPr>
                <w:rFonts w:ascii="Times New Roman" w:hAnsi="Times New Roman" w:eastAsia="宋体"/>
                <w:b w:val="0"/>
                <w:color w:val="auto"/>
                <w:sz w:val="18"/>
                <w:vertAlign w:val="subscript"/>
              </w:rPr>
              <w:t>11</w:t>
            </w:r>
            <w:r>
              <w:rPr>
                <w:rFonts w:ascii="Times New Roman" w:hAnsi="Times New Roman" w:eastAsia="宋体"/>
                <w:b w:val="0"/>
                <w:color w:val="auto"/>
                <w:sz w:val="18"/>
              </w:rPr>
              <w:t>）</w:t>
            </w:r>
          </w:p>
        </w:tc>
        <w:tc>
          <w:tcPr>
            <w:tcW w:w="1768" w:type="dxa"/>
          </w:tcPr>
          <w:p w14:paraId="66467797">
            <w:pPr>
              <w:spacing w:after="0" w:line="240" w:lineRule="auto"/>
              <w:jc w:val="center"/>
              <w:rPr>
                <w:color w:val="auto"/>
              </w:rPr>
            </w:pPr>
            <w:r>
              <w:rPr>
                <w:rFonts w:ascii="Times New Roman" w:hAnsi="Times New Roman" w:eastAsia="宋体"/>
                <w:b w:val="0"/>
                <w:color w:val="auto"/>
                <w:sz w:val="18"/>
              </w:rPr>
              <w:t>0.1208</w:t>
            </w:r>
          </w:p>
        </w:tc>
        <w:tc>
          <w:tcPr>
            <w:tcW w:w="3521" w:type="dxa"/>
          </w:tcPr>
          <w:p w14:paraId="75EEDBE8">
            <w:pPr>
              <w:spacing w:after="0" w:line="240" w:lineRule="auto"/>
              <w:jc w:val="center"/>
              <w:rPr>
                <w:color w:val="auto"/>
              </w:rPr>
            </w:pPr>
            <w:r>
              <w:rPr>
                <w:rFonts w:ascii="Times New Roman" w:hAnsi="Times New Roman" w:eastAsia="宋体"/>
                <w:b w:val="0"/>
                <w:color w:val="auto"/>
                <w:sz w:val="18"/>
              </w:rPr>
              <w:t>10 mL硝酸（1+1）</w:t>
            </w:r>
          </w:p>
        </w:tc>
      </w:tr>
      <w:tr w14:paraId="3C841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7" w:type="dxa"/>
          </w:tcPr>
          <w:p w14:paraId="5AD9AA42">
            <w:pPr>
              <w:spacing w:after="0" w:line="240" w:lineRule="auto"/>
              <w:jc w:val="center"/>
              <w:rPr>
                <w:color w:val="auto"/>
              </w:rPr>
            </w:pPr>
            <w:r>
              <w:rPr>
                <w:rFonts w:ascii="Times New Roman" w:hAnsi="Times New Roman" w:eastAsia="宋体"/>
                <w:b w:val="0"/>
                <w:color w:val="auto"/>
                <w:sz w:val="18"/>
              </w:rPr>
              <w:t>钕</w:t>
            </w:r>
          </w:p>
        </w:tc>
        <w:tc>
          <w:tcPr>
            <w:tcW w:w="2690" w:type="dxa"/>
          </w:tcPr>
          <w:p w14:paraId="54BA9858">
            <w:pPr>
              <w:spacing w:after="0" w:line="240" w:lineRule="auto"/>
              <w:jc w:val="center"/>
              <w:rPr>
                <w:color w:val="auto"/>
              </w:rPr>
            </w:pPr>
            <w:r>
              <w:rPr>
                <w:rFonts w:ascii="Times New Roman" w:hAnsi="Times New Roman" w:eastAsia="宋体"/>
                <w:b w:val="0"/>
                <w:color w:val="auto"/>
                <w:sz w:val="18"/>
              </w:rPr>
              <w:t>氧化钕</w:t>
            </w:r>
          </w:p>
        </w:tc>
        <w:tc>
          <w:tcPr>
            <w:tcW w:w="1768" w:type="dxa"/>
          </w:tcPr>
          <w:p w14:paraId="06B3C760">
            <w:pPr>
              <w:spacing w:after="0" w:line="240" w:lineRule="auto"/>
              <w:jc w:val="center"/>
              <w:rPr>
                <w:color w:val="auto"/>
              </w:rPr>
            </w:pPr>
            <w:r>
              <w:rPr>
                <w:rFonts w:ascii="Times New Roman" w:hAnsi="Times New Roman" w:eastAsia="宋体"/>
                <w:b w:val="0"/>
                <w:color w:val="auto"/>
                <w:sz w:val="18"/>
              </w:rPr>
              <w:t>0.1166</w:t>
            </w:r>
          </w:p>
        </w:tc>
        <w:tc>
          <w:tcPr>
            <w:tcW w:w="3521" w:type="dxa"/>
          </w:tcPr>
          <w:p w14:paraId="730413F3">
            <w:pPr>
              <w:spacing w:after="0" w:line="240" w:lineRule="auto"/>
              <w:jc w:val="center"/>
              <w:rPr>
                <w:color w:val="auto"/>
              </w:rPr>
            </w:pPr>
            <w:r>
              <w:rPr>
                <w:rFonts w:ascii="Times New Roman" w:hAnsi="Times New Roman" w:eastAsia="宋体"/>
                <w:b w:val="0"/>
                <w:color w:val="auto"/>
                <w:sz w:val="18"/>
              </w:rPr>
              <w:t>10 mL硝酸（1+1）</w:t>
            </w:r>
          </w:p>
        </w:tc>
      </w:tr>
      <w:tr w14:paraId="0268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7" w:type="dxa"/>
          </w:tcPr>
          <w:p w14:paraId="0DD7E789">
            <w:pPr>
              <w:spacing w:after="0" w:line="240" w:lineRule="auto"/>
              <w:jc w:val="center"/>
              <w:rPr>
                <w:color w:val="auto"/>
              </w:rPr>
            </w:pPr>
            <w:r>
              <w:rPr>
                <w:rFonts w:ascii="Times New Roman" w:hAnsi="Times New Roman" w:eastAsia="宋体"/>
                <w:b w:val="0"/>
                <w:color w:val="auto"/>
                <w:sz w:val="18"/>
              </w:rPr>
              <w:t>钐</w:t>
            </w:r>
          </w:p>
        </w:tc>
        <w:tc>
          <w:tcPr>
            <w:tcW w:w="2690" w:type="dxa"/>
          </w:tcPr>
          <w:p w14:paraId="72E4D2C6">
            <w:pPr>
              <w:spacing w:after="0" w:line="240" w:lineRule="auto"/>
              <w:jc w:val="center"/>
              <w:rPr>
                <w:color w:val="auto"/>
              </w:rPr>
            </w:pPr>
            <w:r>
              <w:rPr>
                <w:rFonts w:ascii="Times New Roman" w:hAnsi="Times New Roman" w:eastAsia="宋体"/>
                <w:b w:val="0"/>
                <w:color w:val="auto"/>
                <w:sz w:val="18"/>
              </w:rPr>
              <w:t>氧化钐</w:t>
            </w:r>
          </w:p>
        </w:tc>
        <w:tc>
          <w:tcPr>
            <w:tcW w:w="1768" w:type="dxa"/>
          </w:tcPr>
          <w:p w14:paraId="05E3A3E1">
            <w:pPr>
              <w:spacing w:after="0" w:line="240" w:lineRule="auto"/>
              <w:jc w:val="center"/>
              <w:rPr>
                <w:color w:val="auto"/>
              </w:rPr>
            </w:pPr>
            <w:r>
              <w:rPr>
                <w:rFonts w:ascii="Times New Roman" w:hAnsi="Times New Roman" w:eastAsia="宋体"/>
                <w:b w:val="0"/>
                <w:color w:val="auto"/>
                <w:sz w:val="18"/>
              </w:rPr>
              <w:t>0.1160</w:t>
            </w:r>
          </w:p>
        </w:tc>
        <w:tc>
          <w:tcPr>
            <w:tcW w:w="3521" w:type="dxa"/>
          </w:tcPr>
          <w:p w14:paraId="6764E618">
            <w:pPr>
              <w:spacing w:after="0" w:line="240" w:lineRule="auto"/>
              <w:jc w:val="center"/>
              <w:rPr>
                <w:color w:val="auto"/>
              </w:rPr>
            </w:pPr>
            <w:r>
              <w:rPr>
                <w:rFonts w:ascii="Times New Roman" w:hAnsi="Times New Roman" w:eastAsia="宋体"/>
                <w:b w:val="0"/>
                <w:color w:val="auto"/>
                <w:sz w:val="18"/>
              </w:rPr>
              <w:t>10 mL硝酸（1+1）</w:t>
            </w:r>
          </w:p>
        </w:tc>
      </w:tr>
      <w:tr w14:paraId="544D1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7" w:type="dxa"/>
          </w:tcPr>
          <w:p w14:paraId="35BD2817">
            <w:pPr>
              <w:spacing w:after="0" w:line="240" w:lineRule="auto"/>
              <w:jc w:val="center"/>
              <w:rPr>
                <w:color w:val="auto"/>
              </w:rPr>
            </w:pPr>
            <w:r>
              <w:rPr>
                <w:rFonts w:ascii="Times New Roman" w:hAnsi="Times New Roman" w:eastAsia="宋体"/>
                <w:b w:val="0"/>
                <w:color w:val="auto"/>
                <w:sz w:val="18"/>
              </w:rPr>
              <w:t>铕</w:t>
            </w:r>
          </w:p>
        </w:tc>
        <w:tc>
          <w:tcPr>
            <w:tcW w:w="2690" w:type="dxa"/>
          </w:tcPr>
          <w:p w14:paraId="47ACFFAA">
            <w:pPr>
              <w:spacing w:after="0" w:line="240" w:lineRule="auto"/>
              <w:jc w:val="center"/>
              <w:rPr>
                <w:color w:val="auto"/>
              </w:rPr>
            </w:pPr>
            <w:r>
              <w:rPr>
                <w:rFonts w:ascii="Times New Roman" w:hAnsi="Times New Roman" w:eastAsia="宋体"/>
                <w:b w:val="0"/>
                <w:color w:val="auto"/>
                <w:sz w:val="18"/>
              </w:rPr>
              <w:t>氧化铕</w:t>
            </w:r>
          </w:p>
        </w:tc>
        <w:tc>
          <w:tcPr>
            <w:tcW w:w="1768" w:type="dxa"/>
          </w:tcPr>
          <w:p w14:paraId="3CEB9BBC">
            <w:pPr>
              <w:spacing w:after="0" w:line="240" w:lineRule="auto"/>
              <w:jc w:val="center"/>
              <w:rPr>
                <w:color w:val="auto"/>
              </w:rPr>
            </w:pPr>
            <w:r>
              <w:rPr>
                <w:rFonts w:ascii="Times New Roman" w:hAnsi="Times New Roman" w:eastAsia="宋体"/>
                <w:b w:val="0"/>
                <w:color w:val="auto"/>
                <w:sz w:val="18"/>
              </w:rPr>
              <w:t>0.1158</w:t>
            </w:r>
          </w:p>
        </w:tc>
        <w:tc>
          <w:tcPr>
            <w:tcW w:w="3521" w:type="dxa"/>
          </w:tcPr>
          <w:p w14:paraId="3122BF30">
            <w:pPr>
              <w:spacing w:after="0" w:line="240" w:lineRule="auto"/>
              <w:jc w:val="center"/>
              <w:rPr>
                <w:color w:val="auto"/>
              </w:rPr>
            </w:pPr>
            <w:r>
              <w:rPr>
                <w:rFonts w:ascii="Times New Roman" w:hAnsi="Times New Roman" w:eastAsia="宋体"/>
                <w:b w:val="0"/>
                <w:color w:val="auto"/>
                <w:sz w:val="18"/>
              </w:rPr>
              <w:t>10 mL硝酸（1+1）</w:t>
            </w:r>
          </w:p>
        </w:tc>
      </w:tr>
      <w:tr w14:paraId="4A1C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7" w:type="dxa"/>
          </w:tcPr>
          <w:p w14:paraId="353A4FA4">
            <w:pPr>
              <w:spacing w:after="0" w:line="240" w:lineRule="auto"/>
              <w:jc w:val="center"/>
              <w:rPr>
                <w:color w:val="auto"/>
              </w:rPr>
            </w:pPr>
            <w:r>
              <w:rPr>
                <w:rFonts w:ascii="Times New Roman" w:hAnsi="Times New Roman" w:eastAsia="宋体"/>
                <w:b w:val="0"/>
                <w:color w:val="auto"/>
                <w:sz w:val="18"/>
              </w:rPr>
              <w:t>钆</w:t>
            </w:r>
          </w:p>
        </w:tc>
        <w:tc>
          <w:tcPr>
            <w:tcW w:w="2690" w:type="dxa"/>
          </w:tcPr>
          <w:p w14:paraId="25508BE1">
            <w:pPr>
              <w:spacing w:after="0" w:line="240" w:lineRule="auto"/>
              <w:jc w:val="center"/>
              <w:rPr>
                <w:color w:val="auto"/>
              </w:rPr>
            </w:pPr>
            <w:r>
              <w:rPr>
                <w:rFonts w:ascii="Times New Roman" w:hAnsi="Times New Roman" w:eastAsia="宋体"/>
                <w:b w:val="0"/>
                <w:color w:val="auto"/>
                <w:sz w:val="18"/>
              </w:rPr>
              <w:t>氧化钆</w:t>
            </w:r>
          </w:p>
        </w:tc>
        <w:tc>
          <w:tcPr>
            <w:tcW w:w="1768" w:type="dxa"/>
          </w:tcPr>
          <w:p w14:paraId="4BD31EF7">
            <w:pPr>
              <w:spacing w:after="0" w:line="240" w:lineRule="auto"/>
              <w:jc w:val="center"/>
              <w:rPr>
                <w:color w:val="auto"/>
              </w:rPr>
            </w:pPr>
            <w:r>
              <w:rPr>
                <w:rFonts w:ascii="Times New Roman" w:hAnsi="Times New Roman" w:eastAsia="宋体"/>
                <w:b w:val="0"/>
                <w:color w:val="auto"/>
                <w:sz w:val="18"/>
              </w:rPr>
              <w:t>0.1153</w:t>
            </w:r>
          </w:p>
        </w:tc>
        <w:tc>
          <w:tcPr>
            <w:tcW w:w="3521" w:type="dxa"/>
          </w:tcPr>
          <w:p w14:paraId="573E940C">
            <w:pPr>
              <w:spacing w:after="0" w:line="240" w:lineRule="auto"/>
              <w:jc w:val="center"/>
              <w:rPr>
                <w:color w:val="auto"/>
              </w:rPr>
            </w:pPr>
            <w:r>
              <w:rPr>
                <w:rFonts w:ascii="Times New Roman" w:hAnsi="Times New Roman" w:eastAsia="宋体"/>
                <w:b w:val="0"/>
                <w:color w:val="auto"/>
                <w:sz w:val="18"/>
              </w:rPr>
              <w:t>10 mL硝酸（1+1）</w:t>
            </w:r>
          </w:p>
        </w:tc>
      </w:tr>
      <w:tr w14:paraId="5B76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7" w:type="dxa"/>
          </w:tcPr>
          <w:p w14:paraId="49161A13">
            <w:pPr>
              <w:spacing w:after="0" w:line="240" w:lineRule="auto"/>
              <w:jc w:val="center"/>
              <w:rPr>
                <w:color w:val="auto"/>
              </w:rPr>
            </w:pPr>
            <w:r>
              <w:rPr>
                <w:rFonts w:ascii="Times New Roman" w:hAnsi="Times New Roman" w:eastAsia="宋体"/>
                <w:b w:val="0"/>
                <w:color w:val="auto"/>
                <w:sz w:val="18"/>
              </w:rPr>
              <w:t>铽</w:t>
            </w:r>
          </w:p>
        </w:tc>
        <w:tc>
          <w:tcPr>
            <w:tcW w:w="2690" w:type="dxa"/>
          </w:tcPr>
          <w:p w14:paraId="2EF9468E">
            <w:pPr>
              <w:spacing w:after="0" w:line="240" w:lineRule="auto"/>
              <w:jc w:val="center"/>
              <w:rPr>
                <w:color w:val="auto"/>
              </w:rPr>
            </w:pPr>
            <w:r>
              <w:rPr>
                <w:rFonts w:ascii="Times New Roman" w:hAnsi="Times New Roman" w:eastAsia="宋体"/>
                <w:b w:val="0"/>
                <w:color w:val="auto"/>
                <w:sz w:val="18"/>
              </w:rPr>
              <w:t>氧化铽（Tb</w:t>
            </w:r>
            <w:r>
              <w:rPr>
                <w:rFonts w:ascii="Times New Roman" w:hAnsi="Times New Roman" w:eastAsia="宋体"/>
                <w:b w:val="0"/>
                <w:color w:val="auto"/>
                <w:sz w:val="18"/>
                <w:vertAlign w:val="subscript"/>
              </w:rPr>
              <w:t>4</w:t>
            </w:r>
            <w:r>
              <w:rPr>
                <w:rFonts w:ascii="Times New Roman" w:hAnsi="Times New Roman" w:eastAsia="宋体"/>
                <w:b w:val="0"/>
                <w:color w:val="auto"/>
                <w:sz w:val="18"/>
              </w:rPr>
              <w:t>O</w:t>
            </w:r>
            <w:r>
              <w:rPr>
                <w:rFonts w:ascii="Times New Roman" w:hAnsi="Times New Roman" w:eastAsia="宋体"/>
                <w:b w:val="0"/>
                <w:color w:val="auto"/>
                <w:sz w:val="18"/>
                <w:vertAlign w:val="subscript"/>
              </w:rPr>
              <w:t>7</w:t>
            </w:r>
            <w:r>
              <w:rPr>
                <w:rFonts w:ascii="Times New Roman" w:hAnsi="Times New Roman" w:eastAsia="宋体"/>
                <w:b w:val="0"/>
                <w:color w:val="auto"/>
                <w:sz w:val="18"/>
              </w:rPr>
              <w:t>）</w:t>
            </w:r>
          </w:p>
        </w:tc>
        <w:tc>
          <w:tcPr>
            <w:tcW w:w="1768" w:type="dxa"/>
          </w:tcPr>
          <w:p w14:paraId="6C4904A8">
            <w:pPr>
              <w:spacing w:after="0" w:line="240" w:lineRule="auto"/>
              <w:jc w:val="center"/>
              <w:rPr>
                <w:color w:val="auto"/>
              </w:rPr>
            </w:pPr>
            <w:r>
              <w:rPr>
                <w:rFonts w:ascii="Times New Roman" w:hAnsi="Times New Roman" w:eastAsia="宋体"/>
                <w:b w:val="0"/>
                <w:color w:val="auto"/>
                <w:sz w:val="18"/>
              </w:rPr>
              <w:t>0.1176</w:t>
            </w:r>
          </w:p>
        </w:tc>
        <w:tc>
          <w:tcPr>
            <w:tcW w:w="3521" w:type="dxa"/>
          </w:tcPr>
          <w:p w14:paraId="1620ABAE">
            <w:pPr>
              <w:spacing w:after="0" w:line="240" w:lineRule="auto"/>
              <w:jc w:val="center"/>
              <w:rPr>
                <w:color w:val="auto"/>
              </w:rPr>
            </w:pPr>
            <w:r>
              <w:rPr>
                <w:rFonts w:ascii="Times New Roman" w:hAnsi="Times New Roman" w:eastAsia="宋体"/>
                <w:b w:val="0"/>
                <w:color w:val="auto"/>
                <w:sz w:val="18"/>
              </w:rPr>
              <w:t>10 mL硝酸（1+1）＋2 mL过氧化氢</w:t>
            </w:r>
          </w:p>
        </w:tc>
      </w:tr>
      <w:tr w14:paraId="50847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7" w:type="dxa"/>
          </w:tcPr>
          <w:p w14:paraId="46C70198">
            <w:pPr>
              <w:spacing w:after="0" w:line="240" w:lineRule="auto"/>
              <w:jc w:val="center"/>
              <w:rPr>
                <w:color w:val="auto"/>
              </w:rPr>
            </w:pPr>
            <w:r>
              <w:rPr>
                <w:rFonts w:ascii="Times New Roman" w:hAnsi="Times New Roman" w:eastAsia="宋体"/>
                <w:b w:val="0"/>
                <w:color w:val="auto"/>
                <w:sz w:val="18"/>
              </w:rPr>
              <w:t>镝</w:t>
            </w:r>
          </w:p>
        </w:tc>
        <w:tc>
          <w:tcPr>
            <w:tcW w:w="2690" w:type="dxa"/>
          </w:tcPr>
          <w:p w14:paraId="27D9ECB2">
            <w:pPr>
              <w:spacing w:after="0" w:line="240" w:lineRule="auto"/>
              <w:jc w:val="center"/>
              <w:rPr>
                <w:color w:val="auto"/>
              </w:rPr>
            </w:pPr>
            <w:r>
              <w:rPr>
                <w:rFonts w:ascii="Times New Roman" w:hAnsi="Times New Roman" w:eastAsia="宋体"/>
                <w:b w:val="0"/>
                <w:color w:val="auto"/>
                <w:sz w:val="18"/>
              </w:rPr>
              <w:t>氧化镝</w:t>
            </w:r>
          </w:p>
        </w:tc>
        <w:tc>
          <w:tcPr>
            <w:tcW w:w="1768" w:type="dxa"/>
          </w:tcPr>
          <w:p w14:paraId="42E30097">
            <w:pPr>
              <w:spacing w:after="0" w:line="240" w:lineRule="auto"/>
              <w:jc w:val="center"/>
              <w:rPr>
                <w:color w:val="auto"/>
              </w:rPr>
            </w:pPr>
            <w:r>
              <w:rPr>
                <w:rFonts w:ascii="Times New Roman" w:hAnsi="Times New Roman" w:eastAsia="宋体"/>
                <w:b w:val="0"/>
                <w:color w:val="auto"/>
                <w:sz w:val="18"/>
              </w:rPr>
              <w:t>0.1148</w:t>
            </w:r>
          </w:p>
        </w:tc>
        <w:tc>
          <w:tcPr>
            <w:tcW w:w="3521" w:type="dxa"/>
          </w:tcPr>
          <w:p w14:paraId="77242875">
            <w:pPr>
              <w:spacing w:after="0" w:line="240" w:lineRule="auto"/>
              <w:jc w:val="center"/>
              <w:rPr>
                <w:color w:val="auto"/>
              </w:rPr>
            </w:pPr>
            <w:r>
              <w:rPr>
                <w:rFonts w:ascii="Times New Roman" w:hAnsi="Times New Roman" w:eastAsia="宋体"/>
                <w:b w:val="0"/>
                <w:color w:val="auto"/>
                <w:sz w:val="18"/>
              </w:rPr>
              <w:t>10 mL硝酸（1+1）</w:t>
            </w:r>
          </w:p>
        </w:tc>
      </w:tr>
      <w:tr w14:paraId="04D2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7" w:type="dxa"/>
          </w:tcPr>
          <w:p w14:paraId="576C53AA">
            <w:pPr>
              <w:spacing w:after="0" w:line="240" w:lineRule="auto"/>
              <w:jc w:val="center"/>
              <w:rPr>
                <w:color w:val="auto"/>
              </w:rPr>
            </w:pPr>
            <w:r>
              <w:rPr>
                <w:rFonts w:ascii="Times New Roman" w:hAnsi="Times New Roman" w:eastAsia="宋体"/>
                <w:b w:val="0"/>
                <w:color w:val="auto"/>
                <w:sz w:val="18"/>
              </w:rPr>
              <w:t>钬</w:t>
            </w:r>
          </w:p>
        </w:tc>
        <w:tc>
          <w:tcPr>
            <w:tcW w:w="2690" w:type="dxa"/>
          </w:tcPr>
          <w:p w14:paraId="077A0B5D">
            <w:pPr>
              <w:spacing w:after="0" w:line="240" w:lineRule="auto"/>
              <w:jc w:val="center"/>
              <w:rPr>
                <w:color w:val="auto"/>
              </w:rPr>
            </w:pPr>
            <w:r>
              <w:rPr>
                <w:rFonts w:ascii="Times New Roman" w:hAnsi="Times New Roman" w:eastAsia="宋体"/>
                <w:b w:val="0"/>
                <w:color w:val="auto"/>
                <w:sz w:val="18"/>
              </w:rPr>
              <w:t>氧化钬</w:t>
            </w:r>
          </w:p>
        </w:tc>
        <w:tc>
          <w:tcPr>
            <w:tcW w:w="1768" w:type="dxa"/>
          </w:tcPr>
          <w:p w14:paraId="296E876A">
            <w:pPr>
              <w:spacing w:after="0" w:line="240" w:lineRule="auto"/>
              <w:jc w:val="center"/>
              <w:rPr>
                <w:color w:val="auto"/>
              </w:rPr>
            </w:pPr>
            <w:r>
              <w:rPr>
                <w:rFonts w:ascii="Times New Roman" w:hAnsi="Times New Roman" w:eastAsia="宋体"/>
                <w:b w:val="0"/>
                <w:color w:val="auto"/>
                <w:sz w:val="18"/>
              </w:rPr>
              <w:t>0.1145</w:t>
            </w:r>
          </w:p>
        </w:tc>
        <w:tc>
          <w:tcPr>
            <w:tcW w:w="3521" w:type="dxa"/>
          </w:tcPr>
          <w:p w14:paraId="1BE2D293">
            <w:pPr>
              <w:spacing w:after="0" w:line="240" w:lineRule="auto"/>
              <w:jc w:val="center"/>
              <w:rPr>
                <w:color w:val="auto"/>
              </w:rPr>
            </w:pPr>
            <w:r>
              <w:rPr>
                <w:rFonts w:ascii="Times New Roman" w:hAnsi="Times New Roman" w:eastAsia="宋体"/>
                <w:b w:val="0"/>
                <w:color w:val="auto"/>
                <w:sz w:val="18"/>
              </w:rPr>
              <w:t>10 mL硝酸（1+1）</w:t>
            </w:r>
          </w:p>
        </w:tc>
      </w:tr>
      <w:tr w14:paraId="38FCD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7" w:type="dxa"/>
          </w:tcPr>
          <w:p w14:paraId="761F9905">
            <w:pPr>
              <w:spacing w:after="0" w:line="240" w:lineRule="auto"/>
              <w:jc w:val="center"/>
              <w:rPr>
                <w:color w:val="auto"/>
              </w:rPr>
            </w:pPr>
            <w:r>
              <w:rPr>
                <w:rFonts w:ascii="Times New Roman" w:hAnsi="Times New Roman" w:eastAsia="宋体"/>
                <w:b w:val="0"/>
                <w:color w:val="auto"/>
                <w:sz w:val="18"/>
              </w:rPr>
              <w:t>铒</w:t>
            </w:r>
          </w:p>
        </w:tc>
        <w:tc>
          <w:tcPr>
            <w:tcW w:w="2690" w:type="dxa"/>
          </w:tcPr>
          <w:p w14:paraId="0DB087A2">
            <w:pPr>
              <w:spacing w:after="0" w:line="240" w:lineRule="auto"/>
              <w:jc w:val="center"/>
              <w:rPr>
                <w:color w:val="auto"/>
              </w:rPr>
            </w:pPr>
            <w:r>
              <w:rPr>
                <w:rFonts w:ascii="Times New Roman" w:hAnsi="Times New Roman" w:eastAsia="宋体"/>
                <w:b w:val="0"/>
                <w:color w:val="auto"/>
                <w:sz w:val="18"/>
              </w:rPr>
              <w:t>氧化铒</w:t>
            </w:r>
          </w:p>
        </w:tc>
        <w:tc>
          <w:tcPr>
            <w:tcW w:w="1768" w:type="dxa"/>
          </w:tcPr>
          <w:p w14:paraId="1DBEDA4B">
            <w:pPr>
              <w:spacing w:after="0" w:line="240" w:lineRule="auto"/>
              <w:jc w:val="center"/>
              <w:rPr>
                <w:color w:val="auto"/>
              </w:rPr>
            </w:pPr>
            <w:r>
              <w:rPr>
                <w:rFonts w:ascii="Times New Roman" w:hAnsi="Times New Roman" w:eastAsia="宋体"/>
                <w:b w:val="0"/>
                <w:color w:val="auto"/>
                <w:sz w:val="18"/>
              </w:rPr>
              <w:t>0.1144</w:t>
            </w:r>
          </w:p>
        </w:tc>
        <w:tc>
          <w:tcPr>
            <w:tcW w:w="3521" w:type="dxa"/>
          </w:tcPr>
          <w:p w14:paraId="03AE6755">
            <w:pPr>
              <w:spacing w:after="0" w:line="240" w:lineRule="auto"/>
              <w:jc w:val="center"/>
              <w:rPr>
                <w:color w:val="auto"/>
              </w:rPr>
            </w:pPr>
            <w:r>
              <w:rPr>
                <w:rFonts w:ascii="Times New Roman" w:hAnsi="Times New Roman" w:eastAsia="宋体"/>
                <w:b w:val="0"/>
                <w:color w:val="auto"/>
                <w:sz w:val="18"/>
              </w:rPr>
              <w:t>10 mL硝酸（1+1）</w:t>
            </w:r>
          </w:p>
        </w:tc>
      </w:tr>
      <w:tr w14:paraId="02A27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7" w:type="dxa"/>
          </w:tcPr>
          <w:p w14:paraId="1426BB04">
            <w:pPr>
              <w:spacing w:after="0" w:line="240" w:lineRule="auto"/>
              <w:jc w:val="center"/>
              <w:rPr>
                <w:color w:val="auto"/>
              </w:rPr>
            </w:pPr>
            <w:r>
              <w:rPr>
                <w:rFonts w:ascii="Times New Roman" w:hAnsi="Times New Roman" w:eastAsia="宋体"/>
                <w:b w:val="0"/>
                <w:color w:val="auto"/>
                <w:sz w:val="18"/>
              </w:rPr>
              <w:t>铥</w:t>
            </w:r>
          </w:p>
        </w:tc>
        <w:tc>
          <w:tcPr>
            <w:tcW w:w="2690" w:type="dxa"/>
          </w:tcPr>
          <w:p w14:paraId="5DF0635E">
            <w:pPr>
              <w:spacing w:after="0" w:line="240" w:lineRule="auto"/>
              <w:jc w:val="center"/>
              <w:rPr>
                <w:color w:val="auto"/>
              </w:rPr>
            </w:pPr>
            <w:r>
              <w:rPr>
                <w:rFonts w:ascii="Times New Roman" w:hAnsi="Times New Roman" w:eastAsia="宋体"/>
                <w:b w:val="0"/>
                <w:color w:val="auto"/>
                <w:sz w:val="18"/>
              </w:rPr>
              <w:t>氧化铥</w:t>
            </w:r>
          </w:p>
        </w:tc>
        <w:tc>
          <w:tcPr>
            <w:tcW w:w="1768" w:type="dxa"/>
          </w:tcPr>
          <w:p w14:paraId="5F3F8DDD">
            <w:pPr>
              <w:spacing w:after="0" w:line="240" w:lineRule="auto"/>
              <w:jc w:val="center"/>
              <w:rPr>
                <w:color w:val="auto"/>
              </w:rPr>
            </w:pPr>
            <w:r>
              <w:rPr>
                <w:rFonts w:ascii="Times New Roman" w:hAnsi="Times New Roman" w:eastAsia="宋体"/>
                <w:b w:val="0"/>
                <w:color w:val="auto"/>
                <w:sz w:val="18"/>
              </w:rPr>
              <w:t>0.1142</w:t>
            </w:r>
          </w:p>
        </w:tc>
        <w:tc>
          <w:tcPr>
            <w:tcW w:w="3521" w:type="dxa"/>
          </w:tcPr>
          <w:p w14:paraId="2D475E8D">
            <w:pPr>
              <w:spacing w:after="0" w:line="240" w:lineRule="auto"/>
              <w:jc w:val="center"/>
              <w:rPr>
                <w:color w:val="auto"/>
              </w:rPr>
            </w:pPr>
            <w:r>
              <w:rPr>
                <w:rFonts w:ascii="Times New Roman" w:hAnsi="Times New Roman" w:eastAsia="宋体"/>
                <w:b w:val="0"/>
                <w:color w:val="auto"/>
                <w:sz w:val="18"/>
              </w:rPr>
              <w:t>10 mL硝酸（1+1）</w:t>
            </w:r>
          </w:p>
        </w:tc>
      </w:tr>
      <w:tr w14:paraId="6057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7" w:type="dxa"/>
          </w:tcPr>
          <w:p w14:paraId="0A2C788B">
            <w:pPr>
              <w:spacing w:after="0" w:line="240" w:lineRule="auto"/>
              <w:jc w:val="center"/>
              <w:rPr>
                <w:color w:val="auto"/>
              </w:rPr>
            </w:pPr>
            <w:r>
              <w:rPr>
                <w:rFonts w:ascii="Times New Roman" w:hAnsi="Times New Roman" w:eastAsia="宋体"/>
                <w:b w:val="0"/>
                <w:color w:val="auto"/>
                <w:sz w:val="18"/>
              </w:rPr>
              <w:t>镱</w:t>
            </w:r>
          </w:p>
        </w:tc>
        <w:tc>
          <w:tcPr>
            <w:tcW w:w="2690" w:type="dxa"/>
          </w:tcPr>
          <w:p w14:paraId="24EC8521">
            <w:pPr>
              <w:spacing w:after="0" w:line="240" w:lineRule="auto"/>
              <w:jc w:val="center"/>
              <w:rPr>
                <w:color w:val="auto"/>
              </w:rPr>
            </w:pPr>
            <w:r>
              <w:rPr>
                <w:rFonts w:ascii="Times New Roman" w:hAnsi="Times New Roman" w:eastAsia="宋体"/>
                <w:b w:val="0"/>
                <w:color w:val="auto"/>
                <w:sz w:val="18"/>
              </w:rPr>
              <w:t>氧化镱</w:t>
            </w:r>
          </w:p>
        </w:tc>
        <w:tc>
          <w:tcPr>
            <w:tcW w:w="1768" w:type="dxa"/>
          </w:tcPr>
          <w:p w14:paraId="3B52F6BC">
            <w:pPr>
              <w:spacing w:after="0" w:line="240" w:lineRule="auto"/>
              <w:jc w:val="center"/>
              <w:rPr>
                <w:color w:val="auto"/>
              </w:rPr>
            </w:pPr>
            <w:r>
              <w:rPr>
                <w:rFonts w:ascii="Times New Roman" w:hAnsi="Times New Roman" w:eastAsia="宋体"/>
                <w:b w:val="0"/>
                <w:color w:val="auto"/>
                <w:sz w:val="18"/>
              </w:rPr>
              <w:t>0.1139</w:t>
            </w:r>
          </w:p>
        </w:tc>
        <w:tc>
          <w:tcPr>
            <w:tcW w:w="3521" w:type="dxa"/>
          </w:tcPr>
          <w:p w14:paraId="6978865D">
            <w:pPr>
              <w:spacing w:after="0" w:line="240" w:lineRule="auto"/>
              <w:jc w:val="center"/>
              <w:rPr>
                <w:color w:val="auto"/>
              </w:rPr>
            </w:pPr>
            <w:r>
              <w:rPr>
                <w:rFonts w:ascii="Times New Roman" w:hAnsi="Times New Roman" w:eastAsia="宋体"/>
                <w:b w:val="0"/>
                <w:color w:val="auto"/>
                <w:sz w:val="18"/>
              </w:rPr>
              <w:t>10 mL硝酸（1+1）＋2 mL过氧化氢</w:t>
            </w:r>
          </w:p>
        </w:tc>
      </w:tr>
      <w:tr w14:paraId="4C11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7" w:type="dxa"/>
          </w:tcPr>
          <w:p w14:paraId="1587AA10">
            <w:pPr>
              <w:spacing w:after="0" w:line="240" w:lineRule="auto"/>
              <w:jc w:val="center"/>
              <w:rPr>
                <w:color w:val="auto"/>
              </w:rPr>
            </w:pPr>
            <w:r>
              <w:rPr>
                <w:rFonts w:ascii="Times New Roman" w:hAnsi="Times New Roman" w:eastAsia="宋体"/>
                <w:b w:val="0"/>
                <w:color w:val="auto"/>
                <w:sz w:val="18"/>
              </w:rPr>
              <w:t>镥</w:t>
            </w:r>
          </w:p>
        </w:tc>
        <w:tc>
          <w:tcPr>
            <w:tcW w:w="2690" w:type="dxa"/>
          </w:tcPr>
          <w:p w14:paraId="347E171F">
            <w:pPr>
              <w:spacing w:after="0" w:line="240" w:lineRule="auto"/>
              <w:jc w:val="center"/>
              <w:rPr>
                <w:color w:val="auto"/>
              </w:rPr>
            </w:pPr>
            <w:r>
              <w:rPr>
                <w:rFonts w:ascii="Times New Roman" w:hAnsi="Times New Roman" w:eastAsia="宋体"/>
                <w:b w:val="0"/>
                <w:color w:val="auto"/>
                <w:sz w:val="18"/>
              </w:rPr>
              <w:t>氧化镥</w:t>
            </w:r>
          </w:p>
        </w:tc>
        <w:tc>
          <w:tcPr>
            <w:tcW w:w="1768" w:type="dxa"/>
          </w:tcPr>
          <w:p w14:paraId="1BFF3AF5">
            <w:pPr>
              <w:spacing w:after="0" w:line="240" w:lineRule="auto"/>
              <w:jc w:val="center"/>
              <w:rPr>
                <w:color w:val="auto"/>
              </w:rPr>
            </w:pPr>
            <w:r>
              <w:rPr>
                <w:rFonts w:ascii="Times New Roman" w:hAnsi="Times New Roman" w:eastAsia="宋体"/>
                <w:b w:val="0"/>
                <w:color w:val="auto"/>
                <w:sz w:val="18"/>
              </w:rPr>
              <w:t>0.1137</w:t>
            </w:r>
          </w:p>
        </w:tc>
        <w:tc>
          <w:tcPr>
            <w:tcW w:w="3521" w:type="dxa"/>
          </w:tcPr>
          <w:p w14:paraId="2FC06F6E">
            <w:pPr>
              <w:spacing w:after="0" w:line="240" w:lineRule="auto"/>
              <w:jc w:val="center"/>
              <w:rPr>
                <w:color w:val="auto"/>
              </w:rPr>
            </w:pPr>
            <w:r>
              <w:rPr>
                <w:rFonts w:ascii="Times New Roman" w:hAnsi="Times New Roman" w:eastAsia="宋体"/>
                <w:b w:val="0"/>
                <w:color w:val="auto"/>
                <w:sz w:val="18"/>
              </w:rPr>
              <w:t>10 mL硝酸（1+1）</w:t>
            </w:r>
          </w:p>
        </w:tc>
      </w:tr>
    </w:tbl>
    <w:p w14:paraId="4E1C5BB0">
      <w:pPr>
        <w:ind w:firstLine="420" w:firstLineChars="200"/>
        <w:rPr>
          <w:rFonts w:hint="eastAsia"/>
          <w:color w:val="auto"/>
          <w:szCs w:val="21"/>
        </w:rPr>
      </w:pPr>
      <w:r>
        <w:rPr>
          <w:rFonts w:hint="eastAsia"/>
          <w:color w:val="auto"/>
          <w:szCs w:val="21"/>
        </w:rPr>
        <w:t>注：所用氧化物均为经950 ℃灼烧1 h的氧化物，w(REO)≥99.5%，w(单一氧化物/REO)≥99.99%；其中铈、镨、铽为变价元素，按灼烧后稳定形态CeO</w:t>
      </w:r>
      <w:r>
        <w:rPr>
          <w:rFonts w:hint="eastAsia" w:ascii="Times New Roman" w:hAnsi="Times New Roman" w:eastAsia="宋体"/>
          <w:b w:val="0"/>
          <w:color w:val="auto"/>
          <w:sz w:val="18"/>
          <w:vertAlign w:val="subscript"/>
        </w:rPr>
        <w:t>2</w:t>
      </w:r>
      <w:r>
        <w:rPr>
          <w:rFonts w:hint="eastAsia"/>
          <w:color w:val="auto"/>
          <w:szCs w:val="21"/>
        </w:rPr>
        <w:t>、Pr</w:t>
      </w:r>
      <w:r>
        <w:rPr>
          <w:rFonts w:hint="eastAsia" w:ascii="Times New Roman" w:hAnsi="Times New Roman" w:eastAsia="宋体"/>
          <w:b w:val="0"/>
          <w:color w:val="auto"/>
          <w:sz w:val="18"/>
          <w:vertAlign w:val="subscript"/>
        </w:rPr>
        <w:t>6</w:t>
      </w:r>
      <w:r>
        <w:rPr>
          <w:rFonts w:hint="eastAsia"/>
          <w:color w:val="auto"/>
          <w:szCs w:val="21"/>
        </w:rPr>
        <w:t>O</w:t>
      </w:r>
      <w:r>
        <w:rPr>
          <w:rFonts w:hint="eastAsia" w:ascii="Times New Roman" w:hAnsi="Times New Roman" w:eastAsia="宋体"/>
          <w:b w:val="0"/>
          <w:color w:val="auto"/>
          <w:sz w:val="18"/>
          <w:vertAlign w:val="subscript"/>
        </w:rPr>
        <w:t>11</w:t>
      </w:r>
      <w:r>
        <w:rPr>
          <w:rFonts w:hint="eastAsia"/>
          <w:color w:val="auto"/>
          <w:szCs w:val="21"/>
        </w:rPr>
        <w:t>、Tb</w:t>
      </w:r>
      <w:r>
        <w:rPr>
          <w:rFonts w:hint="eastAsia" w:ascii="Times New Roman" w:hAnsi="Times New Roman" w:eastAsia="宋体"/>
          <w:b w:val="0"/>
          <w:color w:val="auto"/>
          <w:sz w:val="18"/>
          <w:vertAlign w:val="subscript"/>
        </w:rPr>
        <w:t>4</w:t>
      </w:r>
      <w:r>
        <w:rPr>
          <w:rFonts w:hint="eastAsia"/>
          <w:color w:val="auto"/>
          <w:szCs w:val="21"/>
        </w:rPr>
        <w:t>O</w:t>
      </w:r>
      <w:r>
        <w:rPr>
          <w:rFonts w:hint="eastAsia" w:ascii="Times New Roman" w:hAnsi="Times New Roman" w:eastAsia="宋体"/>
          <w:b w:val="0"/>
          <w:color w:val="auto"/>
          <w:sz w:val="18"/>
          <w:vertAlign w:val="subscript"/>
        </w:rPr>
        <w:t>7</w:t>
      </w:r>
      <w:r>
        <w:rPr>
          <w:rFonts w:hint="eastAsia"/>
          <w:color w:val="auto"/>
          <w:szCs w:val="21"/>
        </w:rPr>
        <w:t>计量。各氧化物加10 mL硝酸（1+1）后低温加热至溶解完全（加过氧化氢者，溶解不清时滴加），冷却至室温，移入100 mL容量瓶中，以水稀释至刻度，混匀。此溶液1 mL含1 mg该元素。</w:t>
      </w:r>
    </w:p>
    <w:p w14:paraId="182D5E84">
      <w:pPr>
        <w:ind w:firstLine="420" w:firstLineChars="200"/>
        <w:rPr>
          <w:rFonts w:hint="eastAsia"/>
          <w:color w:val="auto"/>
          <w:szCs w:val="21"/>
        </w:rPr>
      </w:pPr>
    </w:p>
    <w:p w14:paraId="1FEAC722">
      <w:pPr>
        <w:rPr>
          <w:rFonts w:hint="eastAsia"/>
          <w:color w:val="auto"/>
          <w:szCs w:val="21"/>
        </w:rPr>
      </w:pPr>
      <w:r>
        <w:rPr>
          <w:rFonts w:hint="eastAsia" w:ascii="黑体" w:hAnsi="黑体" w:eastAsia="黑体"/>
          <w:color w:val="auto"/>
          <w:sz w:val="21"/>
          <w:szCs w:val="21"/>
          <w:lang w:val="en-US" w:eastAsia="zh-CN"/>
        </w:rPr>
        <w:t>A.1.3.5　</w:t>
      </w:r>
      <w:r>
        <w:rPr>
          <w:rFonts w:hint="eastAsia"/>
          <w:color w:val="auto"/>
          <w:szCs w:val="21"/>
        </w:rPr>
        <w:t>混合稀土标准溶液：分别移取2.00 mL单一稀土标准贮存溶液（</w:t>
      </w:r>
      <w:r>
        <w:rPr>
          <w:rFonts w:hint="eastAsia"/>
          <w:color w:val="auto"/>
          <w:szCs w:val="21"/>
          <w:lang w:eastAsia="zh-CN"/>
        </w:rPr>
        <w:t>A.1</w:t>
      </w:r>
      <w:r>
        <w:rPr>
          <w:rFonts w:hint="eastAsia"/>
          <w:color w:val="auto"/>
          <w:szCs w:val="21"/>
        </w:rPr>
        <w:t>.3.4）于100 mL容量瓶中，加入1 mL硝酸（</w:t>
      </w:r>
      <w:r>
        <w:rPr>
          <w:rFonts w:hint="eastAsia"/>
          <w:color w:val="auto"/>
          <w:szCs w:val="21"/>
          <w:lang w:eastAsia="zh-CN"/>
        </w:rPr>
        <w:t>A.1</w:t>
      </w:r>
      <w:r>
        <w:rPr>
          <w:rFonts w:hint="eastAsia"/>
          <w:color w:val="auto"/>
          <w:szCs w:val="21"/>
        </w:rPr>
        <w:t>.3.1），以水稀释至刻度，混匀。此溶液各单一稀土浓度为20 μg/mL；再将此溶液稀释成各单一稀土浓度为1 μg/mL的混合标准溶液。</w:t>
      </w:r>
    </w:p>
    <w:p w14:paraId="1139D47A">
      <w:pPr>
        <w:rPr>
          <w:rFonts w:hint="eastAsia"/>
          <w:color w:val="auto"/>
          <w:szCs w:val="21"/>
        </w:rPr>
      </w:pPr>
      <w:r>
        <w:rPr>
          <w:rFonts w:hint="eastAsia" w:ascii="黑体" w:hAnsi="黑体" w:eastAsia="黑体"/>
          <w:color w:val="auto"/>
          <w:sz w:val="21"/>
          <w:szCs w:val="21"/>
          <w:lang w:val="en-US" w:eastAsia="zh-CN"/>
        </w:rPr>
        <w:t>A.1.3.6　</w:t>
      </w:r>
      <w:r>
        <w:rPr>
          <w:rFonts w:hint="eastAsia"/>
          <w:color w:val="auto"/>
          <w:szCs w:val="21"/>
        </w:rPr>
        <w:t>铯、铑、铊、铟内标贮存溶液（1 mg/mL）：由国家标准物质中心提供，或参照GB/T 29916中6.2.3.21～6.2.3.24的规定制备。</w:t>
      </w:r>
    </w:p>
    <w:p w14:paraId="2813343B">
      <w:pPr>
        <w:rPr>
          <w:rFonts w:hint="eastAsia"/>
          <w:color w:val="auto"/>
          <w:szCs w:val="21"/>
        </w:rPr>
      </w:pPr>
      <w:r>
        <w:rPr>
          <w:rFonts w:hint="eastAsia" w:ascii="黑体" w:hAnsi="黑体" w:eastAsia="黑体"/>
          <w:color w:val="auto"/>
          <w:sz w:val="21"/>
          <w:szCs w:val="21"/>
          <w:lang w:val="en-US" w:eastAsia="zh-CN"/>
        </w:rPr>
        <w:t>A.1.3.7　</w:t>
      </w:r>
      <w:r>
        <w:rPr>
          <w:rFonts w:hint="eastAsia"/>
          <w:color w:val="auto"/>
          <w:szCs w:val="21"/>
        </w:rPr>
        <w:t>混合内标溶液：分别移取铯、铑、铊、铟内标贮存溶液（</w:t>
      </w:r>
      <w:r>
        <w:rPr>
          <w:rFonts w:hint="eastAsia"/>
          <w:color w:val="auto"/>
          <w:szCs w:val="21"/>
          <w:lang w:eastAsia="zh-CN"/>
        </w:rPr>
        <w:t>A.1</w:t>
      </w:r>
      <w:r>
        <w:rPr>
          <w:rFonts w:hint="eastAsia"/>
          <w:color w:val="auto"/>
          <w:szCs w:val="21"/>
        </w:rPr>
        <w:t>.3.6）各1.00 mL于同一1 000 mL容量瓶中，加入10 mL硝酸（</w:t>
      </w:r>
      <w:r>
        <w:rPr>
          <w:rFonts w:hint="eastAsia"/>
          <w:color w:val="auto"/>
          <w:szCs w:val="21"/>
          <w:lang w:eastAsia="zh-CN"/>
        </w:rPr>
        <w:t>A.1</w:t>
      </w:r>
      <w:r>
        <w:rPr>
          <w:rFonts w:hint="eastAsia"/>
          <w:color w:val="auto"/>
          <w:szCs w:val="21"/>
        </w:rPr>
        <w:t>.3.1），以水稀释至刻度，混匀。此溶液1 mL含铯、铑、铊、铟各1 μg。</w:t>
      </w:r>
    </w:p>
    <w:p w14:paraId="40F7AFFC">
      <w:pPr>
        <w:rPr>
          <w:rFonts w:hint="eastAsia"/>
          <w:color w:val="auto"/>
          <w:szCs w:val="21"/>
        </w:rPr>
      </w:pPr>
      <w:r>
        <w:rPr>
          <w:rFonts w:hint="eastAsia" w:ascii="黑体" w:hAnsi="黑体" w:eastAsia="黑体"/>
          <w:color w:val="auto"/>
          <w:sz w:val="21"/>
          <w:szCs w:val="21"/>
          <w:lang w:val="en-US" w:eastAsia="zh-CN"/>
        </w:rPr>
        <w:t>A.1.3.8　</w:t>
      </w:r>
      <w:r>
        <w:rPr>
          <w:rFonts w:hint="eastAsia"/>
          <w:color w:val="auto"/>
          <w:szCs w:val="21"/>
        </w:rPr>
        <w:t>氩气（纯度≥99.99%）。</w:t>
      </w:r>
    </w:p>
    <w:p w14:paraId="3CC5132B">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A.1.4　仪器</w:t>
      </w:r>
    </w:p>
    <w:p w14:paraId="696242AC">
      <w:pPr>
        <w:rPr>
          <w:rFonts w:hint="eastAsia"/>
          <w:color w:val="auto"/>
          <w:szCs w:val="21"/>
        </w:rPr>
      </w:pPr>
      <w:r>
        <w:rPr>
          <w:rFonts w:hint="eastAsia" w:ascii="黑体" w:hAnsi="黑体" w:eastAsia="黑体"/>
          <w:color w:val="auto"/>
          <w:sz w:val="21"/>
          <w:szCs w:val="21"/>
          <w:lang w:val="en-US" w:eastAsia="zh-CN"/>
        </w:rPr>
        <w:t>A.1.4.1　</w:t>
      </w:r>
      <w:r>
        <w:rPr>
          <w:rFonts w:hint="eastAsia"/>
          <w:color w:val="auto"/>
          <w:szCs w:val="21"/>
        </w:rPr>
        <w:t>等离子体质谱仪，质量分辨率优于0.8±0.1 amu。</w:t>
      </w:r>
    </w:p>
    <w:p w14:paraId="25DC1AFC">
      <w:pPr>
        <w:rPr>
          <w:rFonts w:hint="eastAsia"/>
          <w:color w:val="auto"/>
          <w:szCs w:val="21"/>
        </w:rPr>
      </w:pPr>
      <w:r>
        <w:rPr>
          <w:rFonts w:hint="eastAsia" w:ascii="黑体" w:hAnsi="黑体" w:eastAsia="黑体"/>
          <w:color w:val="auto"/>
          <w:sz w:val="21"/>
          <w:szCs w:val="21"/>
          <w:lang w:val="en-US" w:eastAsia="zh-CN"/>
        </w:rPr>
        <w:t>A.1.4.2　</w:t>
      </w:r>
      <w:r>
        <w:rPr>
          <w:rFonts w:hint="eastAsia"/>
          <w:color w:val="auto"/>
          <w:szCs w:val="21"/>
        </w:rPr>
        <w:t>天平，感量0.1 mg。</w:t>
      </w:r>
    </w:p>
    <w:p w14:paraId="34AC83FC">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A.1.5　试样</w:t>
      </w:r>
    </w:p>
    <w:p w14:paraId="34762042">
      <w:pPr>
        <w:ind w:firstLine="420" w:firstLineChars="200"/>
        <w:rPr>
          <w:rFonts w:hint="eastAsia"/>
          <w:color w:val="auto"/>
          <w:szCs w:val="21"/>
        </w:rPr>
      </w:pPr>
      <w:r>
        <w:rPr>
          <w:rFonts w:hint="eastAsia"/>
          <w:color w:val="auto"/>
          <w:szCs w:val="21"/>
        </w:rPr>
        <w:t>将块状试样去掉表面氧化层，处理成屑状，取样后立即称量。</w:t>
      </w:r>
    </w:p>
    <w:p w14:paraId="18E915E4">
      <w:pPr>
        <w:ind w:firstLine="420" w:firstLineChars="200"/>
        <w:rPr>
          <w:rFonts w:hint="eastAsia"/>
          <w:color w:val="auto"/>
          <w:szCs w:val="21"/>
        </w:rPr>
      </w:pPr>
      <w:r>
        <w:rPr>
          <w:rFonts w:hint="eastAsia"/>
          <w:color w:val="auto"/>
          <w:szCs w:val="21"/>
        </w:rPr>
        <w:t>注：加工、处理试样时，确保试样清洁，防止污染。</w:t>
      </w:r>
    </w:p>
    <w:p w14:paraId="301FF722">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A.1.6　分析步骤</w:t>
      </w:r>
    </w:p>
    <w:p w14:paraId="55AF3D5C">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A.1.6.1　试料</w:t>
      </w:r>
    </w:p>
    <w:p w14:paraId="61B6AD22">
      <w:pPr>
        <w:ind w:firstLine="420" w:firstLineChars="200"/>
        <w:rPr>
          <w:rFonts w:hint="eastAsia"/>
          <w:color w:val="auto"/>
          <w:szCs w:val="21"/>
        </w:rPr>
      </w:pPr>
      <w:r>
        <w:rPr>
          <w:rFonts w:hint="eastAsia"/>
          <w:color w:val="auto"/>
          <w:szCs w:val="21"/>
        </w:rPr>
        <w:t>按表</w:t>
      </w:r>
      <w:r>
        <w:rPr>
          <w:rFonts w:hint="eastAsia"/>
          <w:color w:val="auto"/>
          <w:szCs w:val="21"/>
          <w:lang w:eastAsia="zh-CN"/>
        </w:rPr>
        <w:t>A.1</w:t>
      </w:r>
      <w:r>
        <w:rPr>
          <w:rFonts w:hint="eastAsia"/>
          <w:color w:val="auto"/>
          <w:szCs w:val="21"/>
        </w:rPr>
        <w:t>称取试样（</w:t>
      </w:r>
      <w:r>
        <w:rPr>
          <w:rFonts w:hint="eastAsia"/>
          <w:color w:val="auto"/>
          <w:szCs w:val="21"/>
          <w:lang w:eastAsia="zh-CN"/>
        </w:rPr>
        <w:t>A.1</w:t>
      </w:r>
      <w:r>
        <w:rPr>
          <w:rFonts w:hint="eastAsia"/>
          <w:color w:val="auto"/>
          <w:szCs w:val="21"/>
        </w:rPr>
        <w:t>.5），精确至0.0001 g。</w:t>
      </w:r>
    </w:p>
    <w:p w14:paraId="4F537450">
      <w:pPr>
        <w:spacing w:before="120" w:after="40"/>
        <w:jc w:val="center"/>
        <w:rPr>
          <w:color w:val="auto"/>
        </w:rPr>
      </w:pPr>
      <w:r>
        <w:rPr>
          <w:rFonts w:ascii="Times New Roman" w:hAnsi="Times New Roman" w:eastAsia="宋体"/>
          <w:b/>
          <w:color w:val="auto"/>
          <w:sz w:val="21"/>
        </w:rPr>
        <w:t>表</w:t>
      </w:r>
      <w:r>
        <w:rPr>
          <w:rFonts w:hint="eastAsia"/>
          <w:b/>
          <w:color w:val="auto"/>
          <w:sz w:val="21"/>
          <w:lang w:eastAsia="zh-CN"/>
        </w:rPr>
        <w:t>A.1</w:t>
      </w:r>
      <w:r>
        <w:rPr>
          <w:rFonts w:ascii="Times New Roman" w:hAnsi="Times New Roman" w:eastAsia="宋体"/>
          <w:b/>
          <w:color w:val="auto"/>
          <w:sz w:val="21"/>
        </w:rPr>
        <w:t>　称样量及分取体积</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1928"/>
        <w:gridCol w:w="1928"/>
        <w:gridCol w:w="1928"/>
        <w:gridCol w:w="1928"/>
      </w:tblGrid>
      <w:tr w14:paraId="0A8AA8D2">
        <w:tblPrEx>
          <w:tblCellMar>
            <w:top w:w="0" w:type="dxa"/>
            <w:left w:w="108" w:type="dxa"/>
            <w:bottom w:w="0" w:type="dxa"/>
            <w:right w:w="108" w:type="dxa"/>
          </w:tblCellMar>
        </w:tblPrEx>
        <w:trPr>
          <w:jc w:val="center"/>
        </w:trPr>
        <w:tc>
          <w:tcPr>
            <w:tcW w:w="2494" w:type="dxa"/>
          </w:tcPr>
          <w:p w14:paraId="438610CE">
            <w:pPr>
              <w:spacing w:after="0" w:line="240" w:lineRule="auto"/>
              <w:jc w:val="center"/>
              <w:rPr>
                <w:color w:val="auto"/>
              </w:rPr>
            </w:pPr>
            <w:r>
              <w:rPr>
                <w:rFonts w:ascii="Times New Roman" w:hAnsi="Times New Roman" w:eastAsia="宋体"/>
                <w:b/>
                <w:color w:val="auto"/>
                <w:sz w:val="18"/>
              </w:rPr>
              <w:t>稀土杂质含量范围/%</w:t>
            </w:r>
          </w:p>
        </w:tc>
        <w:tc>
          <w:tcPr>
            <w:tcW w:w="1644" w:type="dxa"/>
          </w:tcPr>
          <w:p w14:paraId="47CCB700">
            <w:pPr>
              <w:spacing w:after="0" w:line="240" w:lineRule="auto"/>
              <w:jc w:val="center"/>
              <w:rPr>
                <w:color w:val="auto"/>
              </w:rPr>
            </w:pPr>
            <w:r>
              <w:rPr>
                <w:rFonts w:ascii="Times New Roman" w:hAnsi="Times New Roman" w:eastAsia="宋体"/>
                <w:b/>
                <w:color w:val="auto"/>
                <w:sz w:val="18"/>
              </w:rPr>
              <w:t>称样量/g</w:t>
            </w:r>
          </w:p>
        </w:tc>
        <w:tc>
          <w:tcPr>
            <w:tcW w:w="1644" w:type="dxa"/>
          </w:tcPr>
          <w:p w14:paraId="11270580">
            <w:pPr>
              <w:spacing w:after="0" w:line="240" w:lineRule="auto"/>
              <w:jc w:val="center"/>
              <w:rPr>
                <w:color w:val="auto"/>
              </w:rPr>
            </w:pPr>
            <w:r>
              <w:rPr>
                <w:rFonts w:ascii="Times New Roman" w:hAnsi="Times New Roman" w:eastAsia="宋体"/>
                <w:b/>
                <w:color w:val="auto"/>
                <w:sz w:val="18"/>
              </w:rPr>
              <w:t>定容体积/mL</w:t>
            </w:r>
          </w:p>
        </w:tc>
        <w:tc>
          <w:tcPr>
            <w:tcW w:w="1644" w:type="dxa"/>
          </w:tcPr>
          <w:p w14:paraId="05F5F396">
            <w:pPr>
              <w:spacing w:after="0" w:line="240" w:lineRule="auto"/>
              <w:jc w:val="center"/>
              <w:rPr>
                <w:color w:val="auto"/>
              </w:rPr>
            </w:pPr>
            <w:r>
              <w:rPr>
                <w:rFonts w:ascii="Times New Roman" w:hAnsi="Times New Roman" w:eastAsia="宋体"/>
                <w:b/>
                <w:color w:val="auto"/>
                <w:sz w:val="18"/>
              </w:rPr>
              <w:t>分取体积/mL</w:t>
            </w:r>
          </w:p>
        </w:tc>
        <w:tc>
          <w:tcPr>
            <w:tcW w:w="1644" w:type="dxa"/>
          </w:tcPr>
          <w:p w14:paraId="54102825">
            <w:pPr>
              <w:spacing w:after="0" w:line="240" w:lineRule="auto"/>
              <w:jc w:val="center"/>
              <w:rPr>
                <w:color w:val="auto"/>
              </w:rPr>
            </w:pPr>
            <w:r>
              <w:rPr>
                <w:rFonts w:ascii="Times New Roman" w:hAnsi="Times New Roman" w:eastAsia="宋体"/>
                <w:b/>
                <w:color w:val="auto"/>
                <w:sz w:val="18"/>
              </w:rPr>
              <w:t>再定容体积/mL</w:t>
            </w:r>
          </w:p>
        </w:tc>
      </w:tr>
      <w:tr w14:paraId="178B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4" w:type="dxa"/>
          </w:tcPr>
          <w:p w14:paraId="6CC50846">
            <w:pPr>
              <w:spacing w:after="0" w:line="240" w:lineRule="auto"/>
              <w:jc w:val="center"/>
              <w:rPr>
                <w:color w:val="auto"/>
              </w:rPr>
            </w:pPr>
            <w:r>
              <w:rPr>
                <w:rFonts w:ascii="Times New Roman" w:hAnsi="Times New Roman" w:eastAsia="宋体"/>
                <w:b w:val="0"/>
                <w:color w:val="auto"/>
                <w:sz w:val="18"/>
              </w:rPr>
              <w:t>0.0010～0.020</w:t>
            </w:r>
          </w:p>
        </w:tc>
        <w:tc>
          <w:tcPr>
            <w:tcW w:w="1644" w:type="dxa"/>
          </w:tcPr>
          <w:p w14:paraId="3D8E667A">
            <w:pPr>
              <w:spacing w:after="0" w:line="240" w:lineRule="auto"/>
              <w:jc w:val="center"/>
              <w:rPr>
                <w:color w:val="auto"/>
              </w:rPr>
            </w:pPr>
            <w:r>
              <w:rPr>
                <w:rFonts w:ascii="Times New Roman" w:hAnsi="Times New Roman" w:eastAsia="宋体"/>
                <w:b w:val="0"/>
                <w:color w:val="auto"/>
                <w:sz w:val="18"/>
              </w:rPr>
              <w:t>0.2</w:t>
            </w:r>
          </w:p>
        </w:tc>
        <w:tc>
          <w:tcPr>
            <w:tcW w:w="1644" w:type="dxa"/>
          </w:tcPr>
          <w:p w14:paraId="2DA199F6">
            <w:pPr>
              <w:spacing w:after="0" w:line="240" w:lineRule="auto"/>
              <w:jc w:val="center"/>
              <w:rPr>
                <w:color w:val="auto"/>
              </w:rPr>
            </w:pPr>
            <w:r>
              <w:rPr>
                <w:rFonts w:ascii="Times New Roman" w:hAnsi="Times New Roman" w:eastAsia="宋体"/>
                <w:b w:val="0"/>
                <w:color w:val="auto"/>
                <w:sz w:val="18"/>
              </w:rPr>
              <w:t>100</w:t>
            </w:r>
          </w:p>
        </w:tc>
        <w:tc>
          <w:tcPr>
            <w:tcW w:w="1644" w:type="dxa"/>
          </w:tcPr>
          <w:p w14:paraId="225A30DE">
            <w:pPr>
              <w:spacing w:after="0" w:line="240" w:lineRule="auto"/>
              <w:jc w:val="center"/>
              <w:rPr>
                <w:color w:val="auto"/>
              </w:rPr>
            </w:pPr>
            <w:r>
              <w:rPr>
                <w:rFonts w:ascii="Times New Roman" w:hAnsi="Times New Roman" w:eastAsia="宋体"/>
                <w:b w:val="0"/>
                <w:color w:val="auto"/>
                <w:sz w:val="18"/>
              </w:rPr>
              <w:t>5</w:t>
            </w:r>
          </w:p>
        </w:tc>
        <w:tc>
          <w:tcPr>
            <w:tcW w:w="1644" w:type="dxa"/>
          </w:tcPr>
          <w:p w14:paraId="3DF87522">
            <w:pPr>
              <w:spacing w:after="0" w:line="240" w:lineRule="auto"/>
              <w:jc w:val="center"/>
              <w:rPr>
                <w:color w:val="auto"/>
              </w:rPr>
            </w:pPr>
            <w:r>
              <w:rPr>
                <w:rFonts w:ascii="Times New Roman" w:hAnsi="Times New Roman" w:eastAsia="宋体"/>
                <w:b w:val="0"/>
                <w:color w:val="auto"/>
                <w:sz w:val="18"/>
              </w:rPr>
              <w:t>100</w:t>
            </w:r>
          </w:p>
        </w:tc>
      </w:tr>
      <w:tr w14:paraId="7B4B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4" w:type="dxa"/>
          </w:tcPr>
          <w:p w14:paraId="14D4822B">
            <w:pPr>
              <w:spacing w:after="0" w:line="240" w:lineRule="auto"/>
              <w:jc w:val="center"/>
              <w:rPr>
                <w:color w:val="auto"/>
              </w:rPr>
            </w:pPr>
            <w:r>
              <w:rPr>
                <w:rFonts w:ascii="Times New Roman" w:hAnsi="Times New Roman" w:eastAsia="宋体"/>
                <w:b w:val="0"/>
                <w:color w:val="auto"/>
                <w:sz w:val="18"/>
              </w:rPr>
              <w:t>&gt;0.020～0.10</w:t>
            </w:r>
          </w:p>
        </w:tc>
        <w:tc>
          <w:tcPr>
            <w:tcW w:w="1644" w:type="dxa"/>
          </w:tcPr>
          <w:p w14:paraId="7510BC98">
            <w:pPr>
              <w:spacing w:after="0" w:line="240" w:lineRule="auto"/>
              <w:jc w:val="center"/>
              <w:rPr>
                <w:color w:val="auto"/>
              </w:rPr>
            </w:pPr>
            <w:r>
              <w:rPr>
                <w:rFonts w:ascii="Times New Roman" w:hAnsi="Times New Roman" w:eastAsia="宋体"/>
                <w:b w:val="0"/>
                <w:color w:val="auto"/>
                <w:sz w:val="18"/>
              </w:rPr>
              <w:t>0.2</w:t>
            </w:r>
          </w:p>
        </w:tc>
        <w:tc>
          <w:tcPr>
            <w:tcW w:w="1644" w:type="dxa"/>
          </w:tcPr>
          <w:p w14:paraId="395DAF43">
            <w:pPr>
              <w:spacing w:after="0" w:line="240" w:lineRule="auto"/>
              <w:jc w:val="center"/>
              <w:rPr>
                <w:color w:val="auto"/>
              </w:rPr>
            </w:pPr>
            <w:r>
              <w:rPr>
                <w:rFonts w:ascii="Times New Roman" w:hAnsi="Times New Roman" w:eastAsia="宋体"/>
                <w:b w:val="0"/>
                <w:color w:val="auto"/>
                <w:sz w:val="18"/>
              </w:rPr>
              <w:t>100</w:t>
            </w:r>
          </w:p>
        </w:tc>
        <w:tc>
          <w:tcPr>
            <w:tcW w:w="1644" w:type="dxa"/>
          </w:tcPr>
          <w:p w14:paraId="2914E206">
            <w:pPr>
              <w:spacing w:after="0" w:line="240" w:lineRule="auto"/>
              <w:jc w:val="center"/>
              <w:rPr>
                <w:color w:val="auto"/>
              </w:rPr>
            </w:pPr>
            <w:r>
              <w:rPr>
                <w:rFonts w:ascii="Times New Roman" w:hAnsi="Times New Roman" w:eastAsia="宋体"/>
                <w:b w:val="0"/>
                <w:color w:val="auto"/>
                <w:sz w:val="18"/>
              </w:rPr>
              <w:t>2</w:t>
            </w:r>
          </w:p>
        </w:tc>
        <w:tc>
          <w:tcPr>
            <w:tcW w:w="1644" w:type="dxa"/>
          </w:tcPr>
          <w:p w14:paraId="4B6E9DA3">
            <w:pPr>
              <w:spacing w:after="0" w:line="240" w:lineRule="auto"/>
              <w:jc w:val="center"/>
              <w:rPr>
                <w:color w:val="auto"/>
              </w:rPr>
            </w:pPr>
            <w:r>
              <w:rPr>
                <w:rFonts w:ascii="Times New Roman" w:hAnsi="Times New Roman" w:eastAsia="宋体"/>
                <w:b w:val="0"/>
                <w:color w:val="auto"/>
                <w:sz w:val="18"/>
              </w:rPr>
              <w:t>100</w:t>
            </w:r>
          </w:p>
        </w:tc>
      </w:tr>
    </w:tbl>
    <w:p w14:paraId="632086EC">
      <w:pPr>
        <w:ind w:firstLine="420" w:firstLineChars="200"/>
        <w:rPr>
          <w:rFonts w:hint="eastAsia"/>
          <w:color w:val="auto"/>
          <w:szCs w:val="21"/>
        </w:rPr>
      </w:pPr>
      <w:r>
        <w:rPr>
          <w:rFonts w:hint="eastAsia"/>
          <w:color w:val="auto"/>
          <w:szCs w:val="21"/>
        </w:rPr>
        <w:t>注：试样不均匀时，可称取2.5 g（精确至0.0001 g）试样，溶解后转移至250 mL容量瓶中，按表</w:t>
      </w:r>
      <w:r>
        <w:rPr>
          <w:rFonts w:hint="eastAsia"/>
          <w:color w:val="auto"/>
          <w:szCs w:val="21"/>
          <w:lang w:eastAsia="zh-CN"/>
        </w:rPr>
        <w:t>A.1</w:t>
      </w:r>
      <w:r>
        <w:rPr>
          <w:rFonts w:hint="eastAsia"/>
          <w:color w:val="auto"/>
          <w:szCs w:val="21"/>
        </w:rPr>
        <w:t>相应比例分取测定。</w:t>
      </w:r>
    </w:p>
    <w:p w14:paraId="2C01519B">
      <w:pPr>
        <w:rPr>
          <w:rFonts w:hint="eastAsia"/>
          <w:color w:val="auto"/>
          <w:szCs w:val="21"/>
        </w:rPr>
      </w:pPr>
      <w:r>
        <w:rPr>
          <w:rFonts w:hint="eastAsia" w:ascii="黑体" w:hAnsi="黑体" w:eastAsia="黑体"/>
          <w:color w:val="auto"/>
          <w:sz w:val="21"/>
          <w:szCs w:val="21"/>
          <w:lang w:val="en-US" w:eastAsia="zh-CN"/>
        </w:rPr>
        <w:t>A.1.6.2　</w:t>
      </w:r>
      <w:r>
        <w:rPr>
          <w:rFonts w:hint="eastAsia"/>
          <w:color w:val="auto"/>
          <w:szCs w:val="21"/>
        </w:rPr>
        <w:t>测定数量　称取两份试料（</w:t>
      </w:r>
      <w:r>
        <w:rPr>
          <w:rFonts w:hint="eastAsia"/>
          <w:color w:val="auto"/>
          <w:szCs w:val="21"/>
          <w:lang w:eastAsia="zh-CN"/>
        </w:rPr>
        <w:t>A.1</w:t>
      </w:r>
      <w:r>
        <w:rPr>
          <w:rFonts w:hint="eastAsia"/>
          <w:color w:val="auto"/>
          <w:szCs w:val="21"/>
        </w:rPr>
        <w:t>.6.1）进行平行测定，取其平均值。</w:t>
      </w:r>
    </w:p>
    <w:p w14:paraId="00736F87">
      <w:pPr>
        <w:rPr>
          <w:rFonts w:hint="eastAsia"/>
          <w:color w:val="auto"/>
          <w:szCs w:val="21"/>
        </w:rPr>
      </w:pPr>
      <w:r>
        <w:rPr>
          <w:rFonts w:hint="eastAsia" w:ascii="黑体" w:hAnsi="黑体" w:eastAsia="黑体"/>
          <w:color w:val="auto"/>
          <w:sz w:val="21"/>
          <w:szCs w:val="21"/>
          <w:lang w:val="en-US" w:eastAsia="zh-CN"/>
        </w:rPr>
        <w:t>A.1.6.3　</w:t>
      </w:r>
      <w:r>
        <w:rPr>
          <w:rFonts w:hint="eastAsia"/>
          <w:color w:val="auto"/>
          <w:szCs w:val="21"/>
        </w:rPr>
        <w:t>空白试验　随同试料（</w:t>
      </w:r>
      <w:r>
        <w:rPr>
          <w:rFonts w:hint="eastAsia"/>
          <w:color w:val="auto"/>
          <w:szCs w:val="21"/>
          <w:lang w:eastAsia="zh-CN"/>
        </w:rPr>
        <w:t>A.1</w:t>
      </w:r>
      <w:r>
        <w:rPr>
          <w:rFonts w:hint="eastAsia"/>
          <w:color w:val="auto"/>
          <w:szCs w:val="21"/>
        </w:rPr>
        <w:t>.6.1）做空白试验。</w:t>
      </w:r>
    </w:p>
    <w:p w14:paraId="7C2FD20A">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A.1.6.4　分析试液的制备</w:t>
      </w:r>
    </w:p>
    <w:p w14:paraId="196DF478">
      <w:pPr>
        <w:rPr>
          <w:rFonts w:hint="eastAsia"/>
          <w:color w:val="auto"/>
          <w:szCs w:val="21"/>
        </w:rPr>
      </w:pPr>
      <w:r>
        <w:rPr>
          <w:rFonts w:hint="eastAsia" w:ascii="黑体" w:hAnsi="黑体" w:eastAsia="黑体"/>
          <w:color w:val="auto"/>
          <w:sz w:val="21"/>
          <w:szCs w:val="21"/>
          <w:lang w:val="en-US" w:eastAsia="zh-CN"/>
        </w:rPr>
        <w:t>A.1.6.4.1　</w:t>
      </w:r>
      <w:r>
        <w:rPr>
          <w:rFonts w:hint="eastAsia"/>
          <w:color w:val="auto"/>
          <w:szCs w:val="21"/>
        </w:rPr>
        <w:t>将试料（</w:t>
      </w:r>
      <w:r>
        <w:rPr>
          <w:rFonts w:hint="eastAsia"/>
          <w:color w:val="auto"/>
          <w:szCs w:val="21"/>
          <w:lang w:eastAsia="zh-CN"/>
        </w:rPr>
        <w:t>A.1</w:t>
      </w:r>
      <w:r>
        <w:rPr>
          <w:rFonts w:hint="eastAsia"/>
          <w:color w:val="auto"/>
          <w:szCs w:val="21"/>
        </w:rPr>
        <w:t>.6.1）置于50 mL烧杯中，加入4 mL硝酸（</w:t>
      </w:r>
      <w:r>
        <w:rPr>
          <w:rFonts w:hint="eastAsia"/>
          <w:color w:val="auto"/>
          <w:szCs w:val="21"/>
          <w:lang w:eastAsia="zh-CN"/>
        </w:rPr>
        <w:t>A.1</w:t>
      </w:r>
      <w:r>
        <w:rPr>
          <w:rFonts w:hint="eastAsia"/>
          <w:color w:val="auto"/>
          <w:szCs w:val="21"/>
        </w:rPr>
        <w:t>.3.1），加热至溶解完全（不清时，可加入1滴过氧化氢（</w:t>
      </w:r>
      <w:r>
        <w:rPr>
          <w:rFonts w:hint="eastAsia"/>
          <w:color w:val="auto"/>
          <w:szCs w:val="21"/>
          <w:lang w:eastAsia="zh-CN"/>
        </w:rPr>
        <w:t>A.1</w:t>
      </w:r>
      <w:r>
        <w:rPr>
          <w:rFonts w:hint="eastAsia"/>
          <w:color w:val="auto"/>
          <w:szCs w:val="21"/>
        </w:rPr>
        <w:t>.3.2）），冷却至室温后移入100 mL容量瓶中，以水稀释至刻度，混匀。</w:t>
      </w:r>
    </w:p>
    <w:p w14:paraId="4C3FC502">
      <w:pPr>
        <w:rPr>
          <w:rFonts w:hint="eastAsia"/>
          <w:color w:val="auto"/>
          <w:szCs w:val="21"/>
        </w:rPr>
      </w:pPr>
      <w:r>
        <w:rPr>
          <w:rFonts w:hint="eastAsia" w:ascii="黑体" w:hAnsi="黑体" w:eastAsia="黑体"/>
          <w:color w:val="auto"/>
          <w:sz w:val="21"/>
          <w:szCs w:val="21"/>
          <w:lang w:val="en-US" w:eastAsia="zh-CN"/>
        </w:rPr>
        <w:t>A.1.6.4.2　</w:t>
      </w:r>
      <w:r>
        <w:rPr>
          <w:rFonts w:hint="eastAsia"/>
          <w:color w:val="auto"/>
          <w:szCs w:val="21"/>
        </w:rPr>
        <w:t>按表</w:t>
      </w:r>
      <w:r>
        <w:rPr>
          <w:rFonts w:hint="eastAsia"/>
          <w:color w:val="auto"/>
          <w:szCs w:val="21"/>
          <w:lang w:eastAsia="zh-CN"/>
        </w:rPr>
        <w:t>A.1</w:t>
      </w:r>
      <w:r>
        <w:rPr>
          <w:rFonts w:hint="eastAsia"/>
          <w:color w:val="auto"/>
          <w:szCs w:val="21"/>
        </w:rPr>
        <w:t>移取试液（</w:t>
      </w:r>
      <w:r>
        <w:rPr>
          <w:rFonts w:hint="eastAsia"/>
          <w:color w:val="auto"/>
          <w:szCs w:val="21"/>
          <w:lang w:eastAsia="zh-CN"/>
        </w:rPr>
        <w:t>A.1</w:t>
      </w:r>
      <w:r>
        <w:rPr>
          <w:rFonts w:hint="eastAsia"/>
          <w:color w:val="auto"/>
          <w:szCs w:val="21"/>
        </w:rPr>
        <w:t>.6.4.1）于100 mL容量瓶中，加入1.0 mL混合内标溶液（</w:t>
      </w:r>
      <w:r>
        <w:rPr>
          <w:rFonts w:hint="eastAsia"/>
          <w:color w:val="auto"/>
          <w:szCs w:val="21"/>
          <w:lang w:eastAsia="zh-CN"/>
        </w:rPr>
        <w:t>A.1</w:t>
      </w:r>
      <w:r>
        <w:rPr>
          <w:rFonts w:hint="eastAsia"/>
          <w:color w:val="auto"/>
          <w:szCs w:val="21"/>
        </w:rPr>
        <w:t>.3.7），补加2 mL硝酸（</w:t>
      </w:r>
      <w:r>
        <w:rPr>
          <w:rFonts w:hint="eastAsia"/>
          <w:color w:val="auto"/>
          <w:szCs w:val="21"/>
          <w:lang w:eastAsia="zh-CN"/>
        </w:rPr>
        <w:t>A.1</w:t>
      </w:r>
      <w:r>
        <w:rPr>
          <w:rFonts w:hint="eastAsia"/>
          <w:color w:val="auto"/>
          <w:szCs w:val="21"/>
        </w:rPr>
        <w:t>.3.1），以水稀释至刻度，混匀。</w:t>
      </w:r>
    </w:p>
    <w:p w14:paraId="161F4412">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A.1.6.5　标准系列溶液的配制</w:t>
      </w:r>
    </w:p>
    <w:p w14:paraId="79FF83DC">
      <w:pPr>
        <w:ind w:firstLine="420" w:firstLineChars="200"/>
        <w:rPr>
          <w:rFonts w:hint="eastAsia"/>
          <w:color w:val="auto"/>
          <w:szCs w:val="21"/>
        </w:rPr>
      </w:pPr>
      <w:r>
        <w:rPr>
          <w:rFonts w:hint="eastAsia"/>
          <w:color w:val="auto"/>
          <w:szCs w:val="21"/>
        </w:rPr>
        <w:t>按表</w:t>
      </w:r>
      <w:r>
        <w:rPr>
          <w:rFonts w:hint="eastAsia"/>
          <w:color w:val="auto"/>
          <w:szCs w:val="21"/>
          <w:lang w:eastAsia="zh-CN"/>
        </w:rPr>
        <w:t>A.2</w:t>
      </w:r>
      <w:r>
        <w:rPr>
          <w:rFonts w:hint="eastAsia"/>
          <w:color w:val="auto"/>
          <w:szCs w:val="21"/>
        </w:rPr>
        <w:t>移取适量混合稀土标准溶液（</w:t>
      </w:r>
      <w:r>
        <w:rPr>
          <w:rFonts w:hint="eastAsia"/>
          <w:color w:val="auto"/>
          <w:szCs w:val="21"/>
          <w:lang w:eastAsia="zh-CN"/>
        </w:rPr>
        <w:t>A.1</w:t>
      </w:r>
      <w:r>
        <w:rPr>
          <w:rFonts w:hint="eastAsia"/>
          <w:color w:val="auto"/>
          <w:szCs w:val="21"/>
        </w:rPr>
        <w:t>.3.5）和混合内标溶液（</w:t>
      </w:r>
      <w:r>
        <w:rPr>
          <w:rFonts w:hint="eastAsia"/>
          <w:color w:val="auto"/>
          <w:szCs w:val="21"/>
          <w:lang w:eastAsia="zh-CN"/>
        </w:rPr>
        <w:t>A.1</w:t>
      </w:r>
      <w:r>
        <w:rPr>
          <w:rFonts w:hint="eastAsia"/>
          <w:color w:val="auto"/>
          <w:szCs w:val="21"/>
        </w:rPr>
        <w:t>.3.7），配制成工作曲线系列，加入适量硝酸（</w:t>
      </w:r>
      <w:r>
        <w:rPr>
          <w:rFonts w:hint="eastAsia"/>
          <w:color w:val="auto"/>
          <w:szCs w:val="21"/>
          <w:lang w:eastAsia="zh-CN"/>
        </w:rPr>
        <w:t>A.1</w:t>
      </w:r>
      <w:r>
        <w:rPr>
          <w:rFonts w:hint="eastAsia"/>
          <w:color w:val="auto"/>
          <w:szCs w:val="21"/>
        </w:rPr>
        <w:t>.3.1）使溶液酸度保持在1%。</w:t>
      </w:r>
    </w:p>
    <w:p w14:paraId="0137FEC0">
      <w:pPr>
        <w:spacing w:before="120" w:after="40"/>
        <w:jc w:val="center"/>
        <w:rPr>
          <w:color w:val="auto"/>
        </w:rPr>
      </w:pPr>
      <w:r>
        <w:rPr>
          <w:rFonts w:ascii="Times New Roman" w:hAnsi="Times New Roman" w:eastAsia="宋体"/>
          <w:b/>
          <w:color w:val="auto"/>
          <w:sz w:val="21"/>
        </w:rPr>
        <w:t>表</w:t>
      </w:r>
      <w:r>
        <w:rPr>
          <w:rFonts w:hint="eastAsia"/>
          <w:b/>
          <w:color w:val="auto"/>
          <w:sz w:val="21"/>
          <w:lang w:eastAsia="zh-CN"/>
        </w:rPr>
        <w:t>A.2</w:t>
      </w:r>
      <w:r>
        <w:rPr>
          <w:rFonts w:ascii="Times New Roman" w:hAnsi="Times New Roman" w:eastAsia="宋体"/>
          <w:b/>
          <w:color w:val="auto"/>
          <w:sz w:val="21"/>
        </w:rPr>
        <w:t>　标准系列溶液（方法1）</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3"/>
        <w:gridCol w:w="3213"/>
        <w:gridCol w:w="3213"/>
      </w:tblGrid>
      <w:tr w14:paraId="0E8BB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tcPr>
          <w:p w14:paraId="0931C2EA">
            <w:pPr>
              <w:spacing w:after="0" w:line="240" w:lineRule="auto"/>
              <w:jc w:val="center"/>
              <w:rPr>
                <w:color w:val="auto"/>
              </w:rPr>
            </w:pPr>
            <w:r>
              <w:rPr>
                <w:rFonts w:ascii="Times New Roman" w:hAnsi="Times New Roman" w:eastAsia="宋体"/>
                <w:b/>
                <w:color w:val="auto"/>
                <w:sz w:val="18"/>
              </w:rPr>
              <w:t>标准系列名称</w:t>
            </w:r>
          </w:p>
        </w:tc>
        <w:tc>
          <w:tcPr>
            <w:tcW w:w="3118" w:type="dxa"/>
          </w:tcPr>
          <w:p w14:paraId="2EE38480">
            <w:pPr>
              <w:spacing w:after="0" w:line="240" w:lineRule="auto"/>
              <w:jc w:val="center"/>
              <w:rPr>
                <w:color w:val="auto"/>
              </w:rPr>
            </w:pPr>
            <w:r>
              <w:rPr>
                <w:rFonts w:ascii="Times New Roman" w:hAnsi="Times New Roman" w:eastAsia="宋体"/>
                <w:b/>
                <w:color w:val="auto"/>
                <w:sz w:val="18"/>
              </w:rPr>
              <w:t>混合稀土浓度/(ng/mL)</w:t>
            </w:r>
          </w:p>
        </w:tc>
        <w:tc>
          <w:tcPr>
            <w:tcW w:w="3118" w:type="dxa"/>
          </w:tcPr>
          <w:p w14:paraId="201CCE29">
            <w:pPr>
              <w:spacing w:after="0" w:line="240" w:lineRule="auto"/>
              <w:jc w:val="center"/>
              <w:rPr>
                <w:color w:val="auto"/>
              </w:rPr>
            </w:pPr>
            <w:r>
              <w:rPr>
                <w:rFonts w:ascii="Times New Roman" w:hAnsi="Times New Roman" w:eastAsia="宋体"/>
                <w:b/>
                <w:color w:val="auto"/>
                <w:sz w:val="18"/>
              </w:rPr>
              <w:t>混合内标浓度/(ng/mL)</w:t>
            </w:r>
          </w:p>
        </w:tc>
      </w:tr>
      <w:tr w14:paraId="62B9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tcPr>
          <w:p w14:paraId="36B2743B">
            <w:pPr>
              <w:spacing w:after="0" w:line="240" w:lineRule="auto"/>
              <w:jc w:val="center"/>
              <w:rPr>
                <w:color w:val="auto"/>
              </w:rPr>
            </w:pPr>
            <w:r>
              <w:rPr>
                <w:rFonts w:ascii="Times New Roman" w:hAnsi="Times New Roman" w:eastAsia="宋体"/>
                <w:b w:val="0"/>
                <w:color w:val="auto"/>
                <w:sz w:val="18"/>
              </w:rPr>
              <w:t>标一</w:t>
            </w:r>
          </w:p>
        </w:tc>
        <w:tc>
          <w:tcPr>
            <w:tcW w:w="3118" w:type="dxa"/>
          </w:tcPr>
          <w:p w14:paraId="0A17D73A">
            <w:pPr>
              <w:spacing w:after="0" w:line="240" w:lineRule="auto"/>
              <w:jc w:val="center"/>
              <w:rPr>
                <w:color w:val="auto"/>
              </w:rPr>
            </w:pPr>
            <w:r>
              <w:rPr>
                <w:rFonts w:ascii="Times New Roman" w:hAnsi="Times New Roman" w:eastAsia="宋体"/>
                <w:b w:val="0"/>
                <w:color w:val="auto"/>
                <w:sz w:val="18"/>
              </w:rPr>
              <w:t>0.0</w:t>
            </w:r>
          </w:p>
        </w:tc>
        <w:tc>
          <w:tcPr>
            <w:tcW w:w="3118" w:type="dxa"/>
          </w:tcPr>
          <w:p w14:paraId="4798D8B5">
            <w:pPr>
              <w:spacing w:after="0" w:line="240" w:lineRule="auto"/>
              <w:jc w:val="center"/>
              <w:rPr>
                <w:color w:val="auto"/>
              </w:rPr>
            </w:pPr>
            <w:r>
              <w:rPr>
                <w:rFonts w:ascii="Times New Roman" w:hAnsi="Times New Roman" w:eastAsia="宋体"/>
                <w:b w:val="0"/>
                <w:color w:val="auto"/>
                <w:sz w:val="18"/>
              </w:rPr>
              <w:t>10.0</w:t>
            </w:r>
          </w:p>
        </w:tc>
      </w:tr>
      <w:tr w14:paraId="0794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tcPr>
          <w:p w14:paraId="10F05EB2">
            <w:pPr>
              <w:spacing w:after="0" w:line="240" w:lineRule="auto"/>
              <w:jc w:val="center"/>
              <w:rPr>
                <w:color w:val="auto"/>
              </w:rPr>
            </w:pPr>
            <w:r>
              <w:rPr>
                <w:rFonts w:ascii="Times New Roman" w:hAnsi="Times New Roman" w:eastAsia="宋体"/>
                <w:b w:val="0"/>
                <w:color w:val="auto"/>
                <w:sz w:val="18"/>
              </w:rPr>
              <w:t>标二</w:t>
            </w:r>
          </w:p>
        </w:tc>
        <w:tc>
          <w:tcPr>
            <w:tcW w:w="3118" w:type="dxa"/>
          </w:tcPr>
          <w:p w14:paraId="485DB02C">
            <w:pPr>
              <w:spacing w:after="0" w:line="240" w:lineRule="auto"/>
              <w:jc w:val="center"/>
              <w:rPr>
                <w:color w:val="auto"/>
              </w:rPr>
            </w:pPr>
            <w:r>
              <w:rPr>
                <w:rFonts w:ascii="Times New Roman" w:hAnsi="Times New Roman" w:eastAsia="宋体"/>
                <w:b w:val="0"/>
                <w:color w:val="auto"/>
                <w:sz w:val="18"/>
              </w:rPr>
              <w:t>5.0</w:t>
            </w:r>
          </w:p>
        </w:tc>
        <w:tc>
          <w:tcPr>
            <w:tcW w:w="3118" w:type="dxa"/>
          </w:tcPr>
          <w:p w14:paraId="421E801A">
            <w:pPr>
              <w:spacing w:after="0" w:line="240" w:lineRule="auto"/>
              <w:jc w:val="center"/>
              <w:rPr>
                <w:color w:val="auto"/>
              </w:rPr>
            </w:pPr>
            <w:r>
              <w:rPr>
                <w:rFonts w:ascii="Times New Roman" w:hAnsi="Times New Roman" w:eastAsia="宋体"/>
                <w:b w:val="0"/>
                <w:color w:val="auto"/>
                <w:sz w:val="18"/>
              </w:rPr>
              <w:t>10.0</w:t>
            </w:r>
          </w:p>
        </w:tc>
      </w:tr>
      <w:tr w14:paraId="3B5A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tcPr>
          <w:p w14:paraId="3D446D7C">
            <w:pPr>
              <w:spacing w:after="0" w:line="240" w:lineRule="auto"/>
              <w:jc w:val="center"/>
              <w:rPr>
                <w:color w:val="auto"/>
              </w:rPr>
            </w:pPr>
            <w:r>
              <w:rPr>
                <w:rFonts w:ascii="Times New Roman" w:hAnsi="Times New Roman" w:eastAsia="宋体"/>
                <w:b w:val="0"/>
                <w:color w:val="auto"/>
                <w:sz w:val="18"/>
              </w:rPr>
              <w:t>标三</w:t>
            </w:r>
          </w:p>
        </w:tc>
        <w:tc>
          <w:tcPr>
            <w:tcW w:w="3118" w:type="dxa"/>
          </w:tcPr>
          <w:p w14:paraId="2CC1F1F6">
            <w:pPr>
              <w:spacing w:after="0" w:line="240" w:lineRule="auto"/>
              <w:jc w:val="center"/>
              <w:rPr>
                <w:color w:val="auto"/>
              </w:rPr>
            </w:pPr>
            <w:r>
              <w:rPr>
                <w:rFonts w:ascii="Times New Roman" w:hAnsi="Times New Roman" w:eastAsia="宋体"/>
                <w:b w:val="0"/>
                <w:color w:val="auto"/>
                <w:sz w:val="18"/>
              </w:rPr>
              <w:t>10.0</w:t>
            </w:r>
          </w:p>
        </w:tc>
        <w:tc>
          <w:tcPr>
            <w:tcW w:w="3118" w:type="dxa"/>
          </w:tcPr>
          <w:p w14:paraId="49A5FF1E">
            <w:pPr>
              <w:spacing w:after="0" w:line="240" w:lineRule="auto"/>
              <w:jc w:val="center"/>
              <w:rPr>
                <w:color w:val="auto"/>
              </w:rPr>
            </w:pPr>
            <w:r>
              <w:rPr>
                <w:rFonts w:ascii="Times New Roman" w:hAnsi="Times New Roman" w:eastAsia="宋体"/>
                <w:b w:val="0"/>
                <w:color w:val="auto"/>
                <w:sz w:val="18"/>
              </w:rPr>
              <w:t>10.0</w:t>
            </w:r>
          </w:p>
        </w:tc>
      </w:tr>
      <w:tr w14:paraId="222C9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tcPr>
          <w:p w14:paraId="5091C604">
            <w:pPr>
              <w:spacing w:after="0" w:line="240" w:lineRule="auto"/>
              <w:jc w:val="center"/>
              <w:rPr>
                <w:color w:val="auto"/>
              </w:rPr>
            </w:pPr>
            <w:r>
              <w:rPr>
                <w:rFonts w:ascii="Times New Roman" w:hAnsi="Times New Roman" w:eastAsia="宋体"/>
                <w:b w:val="0"/>
                <w:color w:val="auto"/>
                <w:sz w:val="18"/>
              </w:rPr>
              <w:t>标四</w:t>
            </w:r>
          </w:p>
        </w:tc>
        <w:tc>
          <w:tcPr>
            <w:tcW w:w="3118" w:type="dxa"/>
          </w:tcPr>
          <w:p w14:paraId="64ADDA51">
            <w:pPr>
              <w:spacing w:after="0" w:line="240" w:lineRule="auto"/>
              <w:jc w:val="center"/>
              <w:rPr>
                <w:color w:val="auto"/>
              </w:rPr>
            </w:pPr>
            <w:r>
              <w:rPr>
                <w:rFonts w:ascii="Times New Roman" w:hAnsi="Times New Roman" w:eastAsia="宋体"/>
                <w:b w:val="0"/>
                <w:color w:val="auto"/>
                <w:sz w:val="18"/>
              </w:rPr>
              <w:t>20.0</w:t>
            </w:r>
          </w:p>
        </w:tc>
        <w:tc>
          <w:tcPr>
            <w:tcW w:w="3118" w:type="dxa"/>
          </w:tcPr>
          <w:p w14:paraId="23F713A5">
            <w:pPr>
              <w:spacing w:after="0" w:line="240" w:lineRule="auto"/>
              <w:jc w:val="center"/>
              <w:rPr>
                <w:color w:val="auto"/>
              </w:rPr>
            </w:pPr>
            <w:r>
              <w:rPr>
                <w:rFonts w:ascii="Times New Roman" w:hAnsi="Times New Roman" w:eastAsia="宋体"/>
                <w:b w:val="0"/>
                <w:color w:val="auto"/>
                <w:sz w:val="18"/>
              </w:rPr>
              <w:t>10.0</w:t>
            </w:r>
          </w:p>
        </w:tc>
      </w:tr>
      <w:tr w14:paraId="4CCA9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tcPr>
          <w:p w14:paraId="45CF1762">
            <w:pPr>
              <w:spacing w:after="0" w:line="240" w:lineRule="auto"/>
              <w:jc w:val="center"/>
              <w:rPr>
                <w:color w:val="auto"/>
              </w:rPr>
            </w:pPr>
            <w:r>
              <w:rPr>
                <w:rFonts w:ascii="Times New Roman" w:hAnsi="Times New Roman" w:eastAsia="宋体"/>
                <w:b w:val="0"/>
                <w:color w:val="auto"/>
                <w:sz w:val="18"/>
              </w:rPr>
              <w:t>标五</w:t>
            </w:r>
          </w:p>
        </w:tc>
        <w:tc>
          <w:tcPr>
            <w:tcW w:w="3118" w:type="dxa"/>
          </w:tcPr>
          <w:p w14:paraId="618AF0AE">
            <w:pPr>
              <w:spacing w:after="0" w:line="240" w:lineRule="auto"/>
              <w:jc w:val="center"/>
              <w:rPr>
                <w:color w:val="auto"/>
              </w:rPr>
            </w:pPr>
            <w:r>
              <w:rPr>
                <w:rFonts w:ascii="Times New Roman" w:hAnsi="Times New Roman" w:eastAsia="宋体"/>
                <w:b w:val="0"/>
                <w:color w:val="auto"/>
                <w:sz w:val="18"/>
              </w:rPr>
              <w:t>50.0</w:t>
            </w:r>
          </w:p>
        </w:tc>
        <w:tc>
          <w:tcPr>
            <w:tcW w:w="3118" w:type="dxa"/>
          </w:tcPr>
          <w:p w14:paraId="772CF1F2">
            <w:pPr>
              <w:spacing w:after="0" w:line="240" w:lineRule="auto"/>
              <w:jc w:val="center"/>
              <w:rPr>
                <w:color w:val="auto"/>
              </w:rPr>
            </w:pPr>
            <w:r>
              <w:rPr>
                <w:rFonts w:ascii="Times New Roman" w:hAnsi="Times New Roman" w:eastAsia="宋体"/>
                <w:b w:val="0"/>
                <w:color w:val="auto"/>
                <w:sz w:val="18"/>
              </w:rPr>
              <w:t>10.0</w:t>
            </w:r>
          </w:p>
        </w:tc>
      </w:tr>
    </w:tbl>
    <w:p w14:paraId="32BFCB9A">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A.1.6.6　测定</w:t>
      </w:r>
    </w:p>
    <w:p w14:paraId="160D552A">
      <w:pPr>
        <w:rPr>
          <w:rFonts w:hint="eastAsia"/>
          <w:color w:val="auto"/>
          <w:szCs w:val="21"/>
        </w:rPr>
      </w:pPr>
      <w:r>
        <w:rPr>
          <w:rFonts w:hint="eastAsia" w:ascii="黑体" w:hAnsi="黑体" w:eastAsia="黑体"/>
          <w:color w:val="auto"/>
          <w:sz w:val="21"/>
          <w:szCs w:val="21"/>
          <w:lang w:val="en-US" w:eastAsia="zh-CN"/>
        </w:rPr>
        <w:t>A.1.6.6.1　</w:t>
      </w:r>
      <w:r>
        <w:rPr>
          <w:rFonts w:hint="eastAsia"/>
          <w:color w:val="auto"/>
          <w:szCs w:val="21"/>
        </w:rPr>
        <w:t>测定元素同位素质量数见表A.4。</w:t>
      </w:r>
    </w:p>
    <w:p w14:paraId="63DC2B61">
      <w:pPr>
        <w:spacing w:before="120" w:after="40"/>
        <w:jc w:val="center"/>
        <w:rPr>
          <w:color w:val="auto"/>
        </w:rPr>
      </w:pPr>
      <w:r>
        <w:rPr>
          <w:rFonts w:ascii="Times New Roman" w:hAnsi="Times New Roman" w:eastAsia="宋体"/>
          <w:b/>
          <w:color w:val="auto"/>
          <w:sz w:val="21"/>
        </w:rPr>
        <w:t>表A.4　测定元素同位素质量数</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9"/>
        <w:gridCol w:w="2409"/>
        <w:gridCol w:w="2409"/>
        <w:gridCol w:w="2409"/>
      </w:tblGrid>
      <w:tr w14:paraId="7204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7C5CDA5">
            <w:pPr>
              <w:spacing w:after="0" w:line="240" w:lineRule="auto"/>
              <w:jc w:val="center"/>
              <w:rPr>
                <w:color w:val="auto"/>
              </w:rPr>
            </w:pPr>
            <w:r>
              <w:rPr>
                <w:rFonts w:ascii="Times New Roman" w:hAnsi="Times New Roman" w:eastAsia="宋体"/>
                <w:b/>
                <w:color w:val="auto"/>
                <w:sz w:val="18"/>
              </w:rPr>
              <w:t>元素</w:t>
            </w:r>
          </w:p>
        </w:tc>
        <w:tc>
          <w:tcPr>
            <w:tcW w:w="2268" w:type="dxa"/>
          </w:tcPr>
          <w:p w14:paraId="435878D0">
            <w:pPr>
              <w:spacing w:after="0" w:line="240" w:lineRule="auto"/>
              <w:jc w:val="center"/>
              <w:rPr>
                <w:color w:val="auto"/>
              </w:rPr>
            </w:pPr>
            <w:r>
              <w:rPr>
                <w:rFonts w:ascii="Times New Roman" w:hAnsi="Times New Roman" w:eastAsia="宋体"/>
                <w:b/>
                <w:color w:val="auto"/>
                <w:sz w:val="18"/>
              </w:rPr>
              <w:t>同位素质量数</w:t>
            </w:r>
          </w:p>
        </w:tc>
        <w:tc>
          <w:tcPr>
            <w:tcW w:w="2268" w:type="dxa"/>
          </w:tcPr>
          <w:p w14:paraId="1BB6477F">
            <w:pPr>
              <w:spacing w:after="0" w:line="240" w:lineRule="auto"/>
              <w:jc w:val="center"/>
              <w:rPr>
                <w:color w:val="auto"/>
              </w:rPr>
            </w:pPr>
            <w:r>
              <w:rPr>
                <w:rFonts w:ascii="Times New Roman" w:hAnsi="Times New Roman" w:eastAsia="宋体"/>
                <w:b/>
                <w:color w:val="auto"/>
                <w:sz w:val="18"/>
              </w:rPr>
              <w:t>元素</w:t>
            </w:r>
          </w:p>
        </w:tc>
        <w:tc>
          <w:tcPr>
            <w:tcW w:w="2268" w:type="dxa"/>
          </w:tcPr>
          <w:p w14:paraId="2E00351C">
            <w:pPr>
              <w:spacing w:after="0" w:line="240" w:lineRule="auto"/>
              <w:jc w:val="center"/>
              <w:rPr>
                <w:color w:val="auto"/>
              </w:rPr>
            </w:pPr>
            <w:r>
              <w:rPr>
                <w:rFonts w:ascii="Times New Roman" w:hAnsi="Times New Roman" w:eastAsia="宋体"/>
                <w:b/>
                <w:color w:val="auto"/>
                <w:sz w:val="18"/>
              </w:rPr>
              <w:t>同位素质量数</w:t>
            </w:r>
          </w:p>
        </w:tc>
      </w:tr>
      <w:tr w14:paraId="48C4C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99B6E33">
            <w:pPr>
              <w:spacing w:after="0" w:line="240" w:lineRule="auto"/>
              <w:jc w:val="center"/>
              <w:rPr>
                <w:color w:val="auto"/>
              </w:rPr>
            </w:pPr>
            <w:r>
              <w:rPr>
                <w:rFonts w:ascii="Times New Roman" w:hAnsi="Times New Roman" w:eastAsia="宋体"/>
                <w:b w:val="0"/>
                <w:color w:val="auto"/>
                <w:sz w:val="18"/>
              </w:rPr>
              <w:t>镧</w:t>
            </w:r>
          </w:p>
        </w:tc>
        <w:tc>
          <w:tcPr>
            <w:tcW w:w="2268" w:type="dxa"/>
          </w:tcPr>
          <w:p w14:paraId="1634D98A">
            <w:pPr>
              <w:spacing w:after="0" w:line="240" w:lineRule="auto"/>
              <w:jc w:val="center"/>
              <w:rPr>
                <w:color w:val="auto"/>
              </w:rPr>
            </w:pPr>
            <w:r>
              <w:rPr>
                <w:rFonts w:ascii="Times New Roman" w:hAnsi="Times New Roman" w:eastAsia="宋体"/>
                <w:b w:val="0"/>
                <w:color w:val="auto"/>
                <w:sz w:val="18"/>
              </w:rPr>
              <w:t>139</w:t>
            </w:r>
          </w:p>
        </w:tc>
        <w:tc>
          <w:tcPr>
            <w:tcW w:w="2268" w:type="dxa"/>
          </w:tcPr>
          <w:p w14:paraId="566F29B2">
            <w:pPr>
              <w:spacing w:after="0" w:line="240" w:lineRule="auto"/>
              <w:jc w:val="center"/>
              <w:rPr>
                <w:color w:val="auto"/>
              </w:rPr>
            </w:pPr>
            <w:r>
              <w:rPr>
                <w:rFonts w:ascii="Times New Roman" w:hAnsi="Times New Roman" w:eastAsia="宋体"/>
                <w:b w:val="0"/>
                <w:color w:val="auto"/>
                <w:sz w:val="18"/>
              </w:rPr>
              <w:t>铽</w:t>
            </w:r>
          </w:p>
        </w:tc>
        <w:tc>
          <w:tcPr>
            <w:tcW w:w="2268" w:type="dxa"/>
          </w:tcPr>
          <w:p w14:paraId="36FBD126">
            <w:pPr>
              <w:spacing w:after="0" w:line="240" w:lineRule="auto"/>
              <w:jc w:val="center"/>
              <w:rPr>
                <w:color w:val="auto"/>
              </w:rPr>
            </w:pPr>
            <w:r>
              <w:rPr>
                <w:rFonts w:ascii="Times New Roman" w:hAnsi="Times New Roman" w:eastAsia="宋体"/>
                <w:b w:val="0"/>
                <w:color w:val="auto"/>
                <w:sz w:val="18"/>
              </w:rPr>
              <w:t>159</w:t>
            </w:r>
          </w:p>
        </w:tc>
      </w:tr>
      <w:tr w14:paraId="5B937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21AB521">
            <w:pPr>
              <w:spacing w:after="0" w:line="240" w:lineRule="auto"/>
              <w:jc w:val="center"/>
              <w:rPr>
                <w:color w:val="auto"/>
              </w:rPr>
            </w:pPr>
            <w:r>
              <w:rPr>
                <w:rFonts w:ascii="Times New Roman" w:hAnsi="Times New Roman" w:eastAsia="宋体"/>
                <w:b w:val="0"/>
                <w:color w:val="auto"/>
                <w:sz w:val="18"/>
              </w:rPr>
              <w:t>铈</w:t>
            </w:r>
          </w:p>
        </w:tc>
        <w:tc>
          <w:tcPr>
            <w:tcW w:w="2268" w:type="dxa"/>
          </w:tcPr>
          <w:p w14:paraId="5F6B9F29">
            <w:pPr>
              <w:spacing w:after="0" w:line="240" w:lineRule="auto"/>
              <w:jc w:val="center"/>
              <w:rPr>
                <w:color w:val="auto"/>
              </w:rPr>
            </w:pPr>
            <w:r>
              <w:rPr>
                <w:rFonts w:ascii="Times New Roman" w:hAnsi="Times New Roman" w:eastAsia="宋体"/>
                <w:b w:val="0"/>
                <w:color w:val="auto"/>
                <w:sz w:val="18"/>
              </w:rPr>
              <w:t>140、142</w:t>
            </w:r>
          </w:p>
        </w:tc>
        <w:tc>
          <w:tcPr>
            <w:tcW w:w="2268" w:type="dxa"/>
          </w:tcPr>
          <w:p w14:paraId="02C942B6">
            <w:pPr>
              <w:spacing w:after="0" w:line="240" w:lineRule="auto"/>
              <w:jc w:val="center"/>
              <w:rPr>
                <w:color w:val="auto"/>
              </w:rPr>
            </w:pPr>
            <w:r>
              <w:rPr>
                <w:rFonts w:ascii="Times New Roman" w:hAnsi="Times New Roman" w:eastAsia="宋体"/>
                <w:b w:val="0"/>
                <w:color w:val="auto"/>
                <w:sz w:val="18"/>
              </w:rPr>
              <w:t>镝</w:t>
            </w:r>
          </w:p>
        </w:tc>
        <w:tc>
          <w:tcPr>
            <w:tcW w:w="2268" w:type="dxa"/>
          </w:tcPr>
          <w:p w14:paraId="1ADB5D25">
            <w:pPr>
              <w:spacing w:after="0" w:line="240" w:lineRule="auto"/>
              <w:jc w:val="center"/>
              <w:rPr>
                <w:color w:val="auto"/>
              </w:rPr>
            </w:pPr>
            <w:r>
              <w:rPr>
                <w:rFonts w:ascii="Times New Roman" w:hAnsi="Times New Roman" w:eastAsia="宋体"/>
                <w:b w:val="0"/>
                <w:color w:val="auto"/>
                <w:sz w:val="18"/>
              </w:rPr>
              <w:t>161</w:t>
            </w:r>
          </w:p>
        </w:tc>
      </w:tr>
      <w:tr w14:paraId="0B51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B4FDBA0">
            <w:pPr>
              <w:spacing w:after="0" w:line="240" w:lineRule="auto"/>
              <w:jc w:val="center"/>
              <w:rPr>
                <w:color w:val="auto"/>
              </w:rPr>
            </w:pPr>
            <w:r>
              <w:rPr>
                <w:rFonts w:ascii="Times New Roman" w:hAnsi="Times New Roman" w:eastAsia="宋体"/>
                <w:b w:val="0"/>
                <w:color w:val="auto"/>
                <w:sz w:val="18"/>
              </w:rPr>
              <w:t>镨</w:t>
            </w:r>
          </w:p>
        </w:tc>
        <w:tc>
          <w:tcPr>
            <w:tcW w:w="2268" w:type="dxa"/>
          </w:tcPr>
          <w:p w14:paraId="06B75529">
            <w:pPr>
              <w:spacing w:after="0" w:line="240" w:lineRule="auto"/>
              <w:jc w:val="center"/>
              <w:rPr>
                <w:color w:val="auto"/>
              </w:rPr>
            </w:pPr>
            <w:r>
              <w:rPr>
                <w:rFonts w:ascii="Times New Roman" w:hAnsi="Times New Roman" w:eastAsia="宋体"/>
                <w:b w:val="0"/>
                <w:color w:val="auto"/>
                <w:sz w:val="18"/>
              </w:rPr>
              <w:t>141</w:t>
            </w:r>
          </w:p>
        </w:tc>
        <w:tc>
          <w:tcPr>
            <w:tcW w:w="2268" w:type="dxa"/>
          </w:tcPr>
          <w:p w14:paraId="19E9B166">
            <w:pPr>
              <w:spacing w:after="0" w:line="240" w:lineRule="auto"/>
              <w:jc w:val="center"/>
              <w:rPr>
                <w:color w:val="auto"/>
              </w:rPr>
            </w:pPr>
            <w:r>
              <w:rPr>
                <w:rFonts w:ascii="Times New Roman" w:hAnsi="Times New Roman" w:eastAsia="宋体"/>
                <w:b w:val="0"/>
                <w:color w:val="auto"/>
                <w:sz w:val="18"/>
              </w:rPr>
              <w:t>钬</w:t>
            </w:r>
          </w:p>
        </w:tc>
        <w:tc>
          <w:tcPr>
            <w:tcW w:w="2268" w:type="dxa"/>
          </w:tcPr>
          <w:p w14:paraId="18696E4D">
            <w:pPr>
              <w:spacing w:after="0" w:line="240" w:lineRule="auto"/>
              <w:jc w:val="center"/>
              <w:rPr>
                <w:color w:val="auto"/>
              </w:rPr>
            </w:pPr>
            <w:r>
              <w:rPr>
                <w:rFonts w:ascii="Times New Roman" w:hAnsi="Times New Roman" w:eastAsia="宋体"/>
                <w:b w:val="0"/>
                <w:color w:val="auto"/>
                <w:sz w:val="18"/>
              </w:rPr>
              <w:t>165</w:t>
            </w:r>
          </w:p>
        </w:tc>
      </w:tr>
      <w:tr w14:paraId="401AD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A9E4D8D">
            <w:pPr>
              <w:spacing w:after="0" w:line="240" w:lineRule="auto"/>
              <w:jc w:val="center"/>
              <w:rPr>
                <w:color w:val="auto"/>
              </w:rPr>
            </w:pPr>
            <w:r>
              <w:rPr>
                <w:rFonts w:ascii="Times New Roman" w:hAnsi="Times New Roman" w:eastAsia="宋体"/>
                <w:b w:val="0"/>
                <w:color w:val="auto"/>
                <w:sz w:val="18"/>
              </w:rPr>
              <w:t>钕</w:t>
            </w:r>
          </w:p>
        </w:tc>
        <w:tc>
          <w:tcPr>
            <w:tcW w:w="2268" w:type="dxa"/>
          </w:tcPr>
          <w:p w14:paraId="637E9A0C">
            <w:pPr>
              <w:spacing w:after="0" w:line="240" w:lineRule="auto"/>
              <w:jc w:val="center"/>
              <w:rPr>
                <w:color w:val="auto"/>
              </w:rPr>
            </w:pPr>
            <w:r>
              <w:rPr>
                <w:rFonts w:ascii="Times New Roman" w:hAnsi="Times New Roman" w:eastAsia="宋体"/>
                <w:b w:val="0"/>
                <w:color w:val="auto"/>
                <w:sz w:val="18"/>
              </w:rPr>
              <w:t>146</w:t>
            </w:r>
          </w:p>
        </w:tc>
        <w:tc>
          <w:tcPr>
            <w:tcW w:w="2268" w:type="dxa"/>
          </w:tcPr>
          <w:p w14:paraId="3FE96904">
            <w:pPr>
              <w:spacing w:after="0" w:line="240" w:lineRule="auto"/>
              <w:jc w:val="center"/>
              <w:rPr>
                <w:color w:val="auto"/>
              </w:rPr>
            </w:pPr>
            <w:r>
              <w:rPr>
                <w:rFonts w:ascii="Times New Roman" w:hAnsi="Times New Roman" w:eastAsia="宋体"/>
                <w:b w:val="0"/>
                <w:color w:val="auto"/>
                <w:sz w:val="18"/>
              </w:rPr>
              <w:t>铒</w:t>
            </w:r>
          </w:p>
        </w:tc>
        <w:tc>
          <w:tcPr>
            <w:tcW w:w="2268" w:type="dxa"/>
          </w:tcPr>
          <w:p w14:paraId="69093602">
            <w:pPr>
              <w:spacing w:after="0" w:line="240" w:lineRule="auto"/>
              <w:jc w:val="center"/>
              <w:rPr>
                <w:color w:val="auto"/>
              </w:rPr>
            </w:pPr>
            <w:r>
              <w:rPr>
                <w:rFonts w:ascii="Times New Roman" w:hAnsi="Times New Roman" w:eastAsia="宋体"/>
                <w:b w:val="0"/>
                <w:color w:val="auto"/>
                <w:sz w:val="18"/>
              </w:rPr>
              <w:t>166</w:t>
            </w:r>
          </w:p>
        </w:tc>
      </w:tr>
      <w:tr w14:paraId="68DD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0350CE8">
            <w:pPr>
              <w:spacing w:after="0" w:line="240" w:lineRule="auto"/>
              <w:jc w:val="center"/>
              <w:rPr>
                <w:color w:val="auto"/>
              </w:rPr>
            </w:pPr>
            <w:r>
              <w:rPr>
                <w:rFonts w:ascii="Times New Roman" w:hAnsi="Times New Roman" w:eastAsia="宋体"/>
                <w:b w:val="0"/>
                <w:color w:val="auto"/>
                <w:sz w:val="18"/>
              </w:rPr>
              <w:t>钐</w:t>
            </w:r>
          </w:p>
        </w:tc>
        <w:tc>
          <w:tcPr>
            <w:tcW w:w="2268" w:type="dxa"/>
          </w:tcPr>
          <w:p w14:paraId="0D66B405">
            <w:pPr>
              <w:spacing w:after="0" w:line="240" w:lineRule="auto"/>
              <w:jc w:val="center"/>
              <w:rPr>
                <w:color w:val="auto"/>
              </w:rPr>
            </w:pPr>
            <w:r>
              <w:rPr>
                <w:rFonts w:ascii="Times New Roman" w:hAnsi="Times New Roman" w:eastAsia="宋体"/>
                <w:b w:val="0"/>
                <w:color w:val="auto"/>
                <w:sz w:val="18"/>
              </w:rPr>
              <w:t>147</w:t>
            </w:r>
          </w:p>
        </w:tc>
        <w:tc>
          <w:tcPr>
            <w:tcW w:w="2268" w:type="dxa"/>
          </w:tcPr>
          <w:p w14:paraId="74C35243">
            <w:pPr>
              <w:spacing w:after="0" w:line="240" w:lineRule="auto"/>
              <w:jc w:val="center"/>
              <w:rPr>
                <w:color w:val="auto"/>
              </w:rPr>
            </w:pPr>
            <w:r>
              <w:rPr>
                <w:rFonts w:ascii="Times New Roman" w:hAnsi="Times New Roman" w:eastAsia="宋体"/>
                <w:b w:val="0"/>
                <w:color w:val="auto"/>
                <w:sz w:val="18"/>
              </w:rPr>
              <w:t>铥</w:t>
            </w:r>
          </w:p>
        </w:tc>
        <w:tc>
          <w:tcPr>
            <w:tcW w:w="2268" w:type="dxa"/>
          </w:tcPr>
          <w:p w14:paraId="19FEA0BD">
            <w:pPr>
              <w:spacing w:after="0" w:line="240" w:lineRule="auto"/>
              <w:jc w:val="center"/>
              <w:rPr>
                <w:color w:val="auto"/>
              </w:rPr>
            </w:pPr>
            <w:r>
              <w:rPr>
                <w:rFonts w:ascii="Times New Roman" w:hAnsi="Times New Roman" w:eastAsia="宋体"/>
                <w:b w:val="0"/>
                <w:color w:val="auto"/>
                <w:sz w:val="18"/>
              </w:rPr>
              <w:t>169</w:t>
            </w:r>
          </w:p>
        </w:tc>
      </w:tr>
      <w:tr w14:paraId="52ADE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411B53E">
            <w:pPr>
              <w:spacing w:after="0" w:line="240" w:lineRule="auto"/>
              <w:jc w:val="center"/>
              <w:rPr>
                <w:color w:val="auto"/>
              </w:rPr>
            </w:pPr>
            <w:r>
              <w:rPr>
                <w:rFonts w:ascii="Times New Roman" w:hAnsi="Times New Roman" w:eastAsia="宋体"/>
                <w:b w:val="0"/>
                <w:color w:val="auto"/>
                <w:sz w:val="18"/>
              </w:rPr>
              <w:t>铕</w:t>
            </w:r>
          </w:p>
        </w:tc>
        <w:tc>
          <w:tcPr>
            <w:tcW w:w="2268" w:type="dxa"/>
          </w:tcPr>
          <w:p w14:paraId="0A22C23E">
            <w:pPr>
              <w:spacing w:after="0" w:line="240" w:lineRule="auto"/>
              <w:jc w:val="center"/>
              <w:rPr>
                <w:color w:val="auto"/>
              </w:rPr>
            </w:pPr>
            <w:r>
              <w:rPr>
                <w:rFonts w:ascii="Times New Roman" w:hAnsi="Times New Roman" w:eastAsia="宋体"/>
                <w:b w:val="0"/>
                <w:color w:val="auto"/>
                <w:sz w:val="18"/>
              </w:rPr>
              <w:t>151</w:t>
            </w:r>
          </w:p>
        </w:tc>
        <w:tc>
          <w:tcPr>
            <w:tcW w:w="2268" w:type="dxa"/>
          </w:tcPr>
          <w:p w14:paraId="6D6052D1">
            <w:pPr>
              <w:spacing w:after="0" w:line="240" w:lineRule="auto"/>
              <w:jc w:val="center"/>
              <w:rPr>
                <w:color w:val="auto"/>
              </w:rPr>
            </w:pPr>
            <w:r>
              <w:rPr>
                <w:rFonts w:ascii="Times New Roman" w:hAnsi="Times New Roman" w:eastAsia="宋体"/>
                <w:b w:val="0"/>
                <w:color w:val="auto"/>
                <w:sz w:val="18"/>
              </w:rPr>
              <w:t>镱</w:t>
            </w:r>
          </w:p>
        </w:tc>
        <w:tc>
          <w:tcPr>
            <w:tcW w:w="2268" w:type="dxa"/>
          </w:tcPr>
          <w:p w14:paraId="7BFF2F3A">
            <w:pPr>
              <w:spacing w:after="0" w:line="240" w:lineRule="auto"/>
              <w:jc w:val="center"/>
              <w:rPr>
                <w:color w:val="auto"/>
              </w:rPr>
            </w:pPr>
            <w:r>
              <w:rPr>
                <w:rFonts w:ascii="Times New Roman" w:hAnsi="Times New Roman" w:eastAsia="宋体"/>
                <w:b w:val="0"/>
                <w:color w:val="auto"/>
                <w:sz w:val="18"/>
              </w:rPr>
              <w:t>174</w:t>
            </w:r>
          </w:p>
        </w:tc>
      </w:tr>
      <w:tr w14:paraId="26F5C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1145E94">
            <w:pPr>
              <w:spacing w:after="0" w:line="240" w:lineRule="auto"/>
              <w:jc w:val="center"/>
              <w:rPr>
                <w:color w:val="auto"/>
              </w:rPr>
            </w:pPr>
            <w:r>
              <w:rPr>
                <w:rFonts w:ascii="Times New Roman" w:hAnsi="Times New Roman" w:eastAsia="宋体"/>
                <w:b w:val="0"/>
                <w:color w:val="auto"/>
                <w:sz w:val="18"/>
              </w:rPr>
              <w:t>钆</w:t>
            </w:r>
          </w:p>
        </w:tc>
        <w:tc>
          <w:tcPr>
            <w:tcW w:w="2268" w:type="dxa"/>
          </w:tcPr>
          <w:p w14:paraId="00DFDED3">
            <w:pPr>
              <w:spacing w:after="0" w:line="240" w:lineRule="auto"/>
              <w:jc w:val="center"/>
              <w:rPr>
                <w:color w:val="auto"/>
              </w:rPr>
            </w:pPr>
            <w:r>
              <w:rPr>
                <w:rFonts w:ascii="Times New Roman" w:hAnsi="Times New Roman" w:eastAsia="宋体"/>
                <w:b w:val="0"/>
                <w:color w:val="auto"/>
                <w:sz w:val="18"/>
              </w:rPr>
              <w:t>160</w:t>
            </w:r>
          </w:p>
        </w:tc>
        <w:tc>
          <w:tcPr>
            <w:tcW w:w="2268" w:type="dxa"/>
          </w:tcPr>
          <w:p w14:paraId="47C0B777">
            <w:pPr>
              <w:spacing w:after="0" w:line="240" w:lineRule="auto"/>
              <w:jc w:val="center"/>
              <w:rPr>
                <w:color w:val="auto"/>
              </w:rPr>
            </w:pPr>
            <w:r>
              <w:rPr>
                <w:rFonts w:ascii="Times New Roman" w:hAnsi="Times New Roman" w:eastAsia="宋体"/>
                <w:b w:val="0"/>
                <w:color w:val="auto"/>
                <w:sz w:val="18"/>
              </w:rPr>
              <w:t>镥</w:t>
            </w:r>
          </w:p>
        </w:tc>
        <w:tc>
          <w:tcPr>
            <w:tcW w:w="2268" w:type="dxa"/>
          </w:tcPr>
          <w:p w14:paraId="299D4D3B">
            <w:pPr>
              <w:spacing w:after="0" w:line="240" w:lineRule="auto"/>
              <w:jc w:val="center"/>
              <w:rPr>
                <w:color w:val="auto"/>
              </w:rPr>
            </w:pPr>
            <w:r>
              <w:rPr>
                <w:rFonts w:ascii="Times New Roman" w:hAnsi="Times New Roman" w:eastAsia="宋体"/>
                <w:b w:val="0"/>
                <w:color w:val="auto"/>
                <w:sz w:val="18"/>
              </w:rPr>
              <w:t>176</w:t>
            </w:r>
          </w:p>
        </w:tc>
      </w:tr>
    </w:tbl>
    <w:p w14:paraId="225ACE54">
      <w:pPr>
        <w:rPr>
          <w:rFonts w:hint="eastAsia" w:ascii="黑体" w:hAnsi="黑体" w:eastAsia="黑体"/>
          <w:color w:val="auto"/>
          <w:sz w:val="21"/>
          <w:szCs w:val="21"/>
          <w:lang w:val="en-US" w:eastAsia="zh-CN"/>
        </w:rPr>
      </w:pPr>
    </w:p>
    <w:p w14:paraId="2898DF1D">
      <w:pPr>
        <w:rPr>
          <w:rFonts w:hint="eastAsia"/>
          <w:color w:val="auto"/>
          <w:szCs w:val="21"/>
        </w:rPr>
      </w:pPr>
      <w:r>
        <w:rPr>
          <w:rFonts w:hint="eastAsia" w:ascii="黑体" w:hAnsi="黑体" w:eastAsia="黑体"/>
          <w:color w:val="auto"/>
          <w:sz w:val="21"/>
          <w:szCs w:val="21"/>
          <w:lang w:val="en-US" w:eastAsia="zh-CN"/>
        </w:rPr>
        <w:t>A.1.6.6.2　</w:t>
      </w:r>
      <w:r>
        <w:rPr>
          <w:rFonts w:hint="eastAsia"/>
          <w:color w:val="auto"/>
          <w:szCs w:val="21"/>
        </w:rPr>
        <w:t>测定铽时，钆对铽有峰前和峰后干扰，应用钆标准溶液配制成与测定试样中钆相同的浓度，在质量数159处测定钆引起的干扰量，予以扣除。</w:t>
      </w:r>
    </w:p>
    <w:p w14:paraId="568C9566">
      <w:pPr>
        <w:rPr>
          <w:rFonts w:hint="eastAsia"/>
          <w:color w:val="auto"/>
          <w:szCs w:val="21"/>
        </w:rPr>
      </w:pPr>
      <w:r>
        <w:rPr>
          <w:rFonts w:hint="eastAsia" w:ascii="黑体" w:hAnsi="黑体" w:eastAsia="黑体"/>
          <w:color w:val="auto"/>
          <w:sz w:val="21"/>
          <w:szCs w:val="21"/>
          <w:lang w:val="en-US" w:eastAsia="zh-CN"/>
        </w:rPr>
        <w:t>A.1.6.6.3　</w:t>
      </w:r>
      <w:r>
        <w:rPr>
          <w:rFonts w:hint="eastAsia"/>
          <w:color w:val="auto"/>
          <w:szCs w:val="21"/>
        </w:rPr>
        <w:t>将空白溶液（</w:t>
      </w:r>
      <w:r>
        <w:rPr>
          <w:rFonts w:hint="eastAsia"/>
          <w:color w:val="auto"/>
          <w:szCs w:val="21"/>
          <w:lang w:eastAsia="zh-CN"/>
        </w:rPr>
        <w:t>A.1</w:t>
      </w:r>
      <w:r>
        <w:rPr>
          <w:rFonts w:hint="eastAsia"/>
          <w:color w:val="auto"/>
          <w:szCs w:val="21"/>
        </w:rPr>
        <w:t>.6.3）、分析试液（</w:t>
      </w:r>
      <w:r>
        <w:rPr>
          <w:rFonts w:hint="eastAsia"/>
          <w:color w:val="auto"/>
          <w:szCs w:val="21"/>
          <w:lang w:eastAsia="zh-CN"/>
        </w:rPr>
        <w:t>A.1</w:t>
      </w:r>
      <w:r>
        <w:rPr>
          <w:rFonts w:hint="eastAsia"/>
          <w:color w:val="auto"/>
          <w:szCs w:val="21"/>
        </w:rPr>
        <w:t>.6.4）与标准系列溶液（</w:t>
      </w:r>
      <w:r>
        <w:rPr>
          <w:rFonts w:hint="eastAsia"/>
          <w:color w:val="auto"/>
          <w:szCs w:val="21"/>
          <w:lang w:eastAsia="zh-CN"/>
        </w:rPr>
        <w:t>A.1</w:t>
      </w:r>
      <w:r>
        <w:rPr>
          <w:rFonts w:hint="eastAsia"/>
          <w:color w:val="auto"/>
          <w:szCs w:val="21"/>
        </w:rPr>
        <w:t>.6.5）同时引入等离子体质谱仪测定，以内标法校准。</w:t>
      </w:r>
    </w:p>
    <w:p w14:paraId="2B3F1703">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A.1.7　分析结果的计算与表述</w:t>
      </w:r>
    </w:p>
    <w:p w14:paraId="13BAB9D6">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按式（A.1）计算待测稀土杂质元素的质量分数w(%)：</w:t>
      </w:r>
    </w:p>
    <w:p w14:paraId="66DF4928">
      <w:pPr>
        <w:jc w:val="center"/>
        <w:rPr>
          <w:rFonts w:hint="default" w:ascii="Times New Roman" w:hAnsi="Times New Roman" w:cs="Times New Roman"/>
          <w:color w:val="auto"/>
          <w:szCs w:val="21"/>
        </w:rPr>
      </w:pPr>
      <w:r>
        <w:rPr>
          <w:rFonts w:hint="default" w:ascii="Times New Roman" w:hAnsi="Times New Roman" w:cs="Times New Roman"/>
          <w:color w:val="auto"/>
          <w:szCs w:val="21"/>
        </w:rPr>
        <w:t>w＝(ρ</w:t>
      </w:r>
      <w:r>
        <w:rPr>
          <w:rFonts w:hint="default" w:ascii="Times New Roman" w:hAnsi="Times New Roman" w:cs="Times New Roman"/>
          <w:color w:val="auto"/>
          <w:szCs w:val="21"/>
          <w:vertAlign w:val="subscript"/>
        </w:rPr>
        <w:t>1</w:t>
      </w:r>
      <w:r>
        <w:rPr>
          <w:rFonts w:hint="default" w:ascii="Times New Roman" w:hAnsi="Times New Roman" w:cs="Times New Roman"/>
          <w:color w:val="auto"/>
          <w:szCs w:val="21"/>
        </w:rPr>
        <w:t>－ρ</w:t>
      </w:r>
      <w:r>
        <w:rPr>
          <w:rFonts w:hint="default" w:ascii="Times New Roman" w:hAnsi="Times New Roman" w:cs="Times New Roman"/>
          <w:color w:val="auto"/>
          <w:szCs w:val="21"/>
          <w:vertAlign w:val="subscript"/>
        </w:rPr>
        <w:t>0</w:t>
      </w:r>
      <w:r>
        <w:rPr>
          <w:rFonts w:hint="default" w:ascii="Times New Roman" w:hAnsi="Times New Roman" w:cs="Times New Roman"/>
          <w:color w:val="auto"/>
          <w:szCs w:val="21"/>
        </w:rPr>
        <w:t>)×V×V</w:t>
      </w:r>
      <w:r>
        <w:rPr>
          <w:rFonts w:hint="default" w:ascii="Times New Roman" w:hAnsi="Times New Roman" w:cs="Times New Roman"/>
          <w:color w:val="auto"/>
          <w:szCs w:val="21"/>
          <w:vertAlign w:val="subscript"/>
        </w:rPr>
        <w:t>2</w:t>
      </w:r>
      <w:r>
        <w:rPr>
          <w:rFonts w:hint="default" w:ascii="Times New Roman" w:hAnsi="Times New Roman" w:cs="Times New Roman"/>
          <w:color w:val="auto"/>
          <w:szCs w:val="21"/>
        </w:rPr>
        <w:t>/(V</w:t>
      </w:r>
      <w:r>
        <w:rPr>
          <w:rFonts w:hint="default" w:ascii="Times New Roman" w:hAnsi="Times New Roman" w:cs="Times New Roman"/>
          <w:color w:val="auto"/>
          <w:szCs w:val="21"/>
          <w:vertAlign w:val="subscript"/>
        </w:rPr>
        <w:t>1</w:t>
      </w:r>
      <w:r>
        <w:rPr>
          <w:rFonts w:hint="default" w:ascii="Times New Roman" w:hAnsi="Times New Roman" w:cs="Times New Roman"/>
          <w:color w:val="auto"/>
          <w:szCs w:val="21"/>
        </w:rPr>
        <w:t>×m</w:t>
      </w:r>
      <w:r>
        <w:rPr>
          <w:rFonts w:hint="default" w:ascii="Times New Roman" w:hAnsi="Times New Roman" w:cs="Times New Roman"/>
          <w:color w:val="auto"/>
          <w:szCs w:val="21"/>
          <w:vertAlign w:val="subscript"/>
        </w:rPr>
        <w:t>0</w:t>
      </w:r>
      <w:r>
        <w:rPr>
          <w:rFonts w:hint="default" w:ascii="Times New Roman" w:hAnsi="Times New Roman" w:cs="Times New Roman"/>
          <w:color w:val="auto"/>
          <w:szCs w:val="21"/>
        </w:rPr>
        <w:t>)×10⁻⁷</w:t>
      </w:r>
      <w:r>
        <w:rPr>
          <w:rFonts w:hint="default" w:ascii="Times New Roman" w:hAnsi="Times New Roman" w:cs="Times New Roman"/>
          <w:color w:val="auto"/>
          <w:szCs w:val="21"/>
        </w:rPr>
        <w:tab/>
      </w:r>
      <w:r>
        <w:rPr>
          <w:rFonts w:hint="default" w:ascii="Times New Roman" w:hAnsi="Times New Roman" w:cs="Times New Roman"/>
          <w:color w:val="auto"/>
          <w:szCs w:val="21"/>
        </w:rPr>
        <w:t>………………（A.1）</w:t>
      </w:r>
    </w:p>
    <w:p w14:paraId="71720B98">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式中：</w:t>
      </w:r>
    </w:p>
    <w:p w14:paraId="3B909E56">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ρ</w:t>
      </w:r>
      <w:r>
        <w:rPr>
          <w:rFonts w:hint="default" w:ascii="Times New Roman" w:hAnsi="Times New Roman" w:cs="Times New Roman"/>
          <w:color w:val="auto"/>
          <w:szCs w:val="21"/>
          <w:vertAlign w:val="subscript"/>
        </w:rPr>
        <w:t>1</w:t>
      </w:r>
      <w:r>
        <w:rPr>
          <w:rFonts w:hint="default" w:ascii="Times New Roman" w:hAnsi="Times New Roman" w:cs="Times New Roman"/>
          <w:color w:val="auto"/>
          <w:szCs w:val="21"/>
        </w:rPr>
        <w:t>——分析试液中待测稀土杂质元素的浓度（ng/mL）；</w:t>
      </w:r>
    </w:p>
    <w:p w14:paraId="0970CF8A">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ρ</w:t>
      </w:r>
      <w:r>
        <w:rPr>
          <w:rFonts w:hint="default" w:ascii="Times New Roman" w:hAnsi="Times New Roman" w:cs="Times New Roman"/>
          <w:color w:val="auto"/>
          <w:szCs w:val="21"/>
          <w:vertAlign w:val="subscript"/>
        </w:rPr>
        <w:t>0</w:t>
      </w:r>
      <w:r>
        <w:rPr>
          <w:rFonts w:hint="default" w:ascii="Times New Roman" w:hAnsi="Times New Roman" w:cs="Times New Roman"/>
          <w:color w:val="auto"/>
          <w:szCs w:val="21"/>
        </w:rPr>
        <w:t>——空白溶液中待测稀土杂质元素的浓度（ng/mL）；</w:t>
      </w:r>
    </w:p>
    <w:p w14:paraId="3DDE47D3">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V——试液定容总体积（mL）；</w:t>
      </w:r>
    </w:p>
    <w:p w14:paraId="7FAC1A76">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V</w:t>
      </w:r>
      <w:r>
        <w:rPr>
          <w:rFonts w:hint="default" w:ascii="Times New Roman" w:hAnsi="Times New Roman" w:cs="Times New Roman"/>
          <w:color w:val="auto"/>
          <w:szCs w:val="21"/>
          <w:vertAlign w:val="subscript"/>
        </w:rPr>
        <w:t>1</w:t>
      </w:r>
      <w:r>
        <w:rPr>
          <w:rFonts w:hint="default" w:ascii="Times New Roman" w:hAnsi="Times New Roman" w:cs="Times New Roman"/>
          <w:color w:val="auto"/>
          <w:szCs w:val="21"/>
        </w:rPr>
        <w:t>——分取试液体积（mL）；</w:t>
      </w:r>
    </w:p>
    <w:p w14:paraId="2B53A255">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V</w:t>
      </w:r>
      <w:r>
        <w:rPr>
          <w:rFonts w:hint="default" w:ascii="Times New Roman" w:hAnsi="Times New Roman" w:cs="Times New Roman"/>
          <w:color w:val="auto"/>
          <w:szCs w:val="21"/>
          <w:vertAlign w:val="subscript"/>
        </w:rPr>
        <w:t>2</w:t>
      </w:r>
      <w:r>
        <w:rPr>
          <w:rFonts w:hint="default" w:ascii="Times New Roman" w:hAnsi="Times New Roman" w:cs="Times New Roman"/>
          <w:color w:val="auto"/>
          <w:szCs w:val="21"/>
        </w:rPr>
        <w:t>——再定容体积（mL）；</w:t>
      </w:r>
    </w:p>
    <w:p w14:paraId="3825D0B2">
      <w:pPr>
        <w:ind w:firstLine="420" w:firstLineChars="200"/>
        <w:rPr>
          <w:rFonts w:hint="eastAsia"/>
          <w:color w:val="auto"/>
          <w:szCs w:val="21"/>
        </w:rPr>
      </w:pPr>
      <w:r>
        <w:rPr>
          <w:rFonts w:hint="default" w:ascii="Times New Roman" w:hAnsi="Times New Roman" w:cs="Times New Roman"/>
          <w:color w:val="auto"/>
          <w:szCs w:val="21"/>
        </w:rPr>
        <w:t>m</w:t>
      </w:r>
      <w:r>
        <w:rPr>
          <w:rFonts w:hint="default" w:ascii="Times New Roman" w:hAnsi="Times New Roman" w:cs="Times New Roman"/>
          <w:color w:val="auto"/>
          <w:szCs w:val="21"/>
          <w:vertAlign w:val="subscript"/>
        </w:rPr>
        <w:t>0</w:t>
      </w:r>
      <w:r>
        <w:rPr>
          <w:rFonts w:hint="default" w:ascii="Times New Roman" w:hAnsi="Times New Roman" w:cs="Times New Roman"/>
          <w:color w:val="auto"/>
          <w:szCs w:val="21"/>
        </w:rPr>
        <w:t>——试料质量（g）。</w:t>
      </w:r>
    </w:p>
    <w:p w14:paraId="74A2DF88">
      <w:pPr>
        <w:rPr>
          <w:color w:val="auto"/>
        </w:rPr>
      </w:pPr>
    </w:p>
    <w:p w14:paraId="0A1166F6">
      <w:pPr>
        <w:rPr>
          <w:color w:val="auto"/>
        </w:rPr>
      </w:pPr>
    </w:p>
    <w:p w14:paraId="6AD904B4">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A.2　方法2　电感耦合等离子体原子发射光谱法</w:t>
      </w:r>
    </w:p>
    <w:p w14:paraId="5B8D87AF">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A.2.1　范围</w:t>
      </w:r>
    </w:p>
    <w:p w14:paraId="1AE4C4ED">
      <w:pPr>
        <w:ind w:firstLine="420" w:firstLineChars="200"/>
        <w:rPr>
          <w:rFonts w:hint="eastAsia"/>
          <w:color w:val="auto"/>
          <w:szCs w:val="21"/>
        </w:rPr>
      </w:pPr>
      <w:r>
        <w:rPr>
          <w:rFonts w:hint="eastAsia"/>
          <w:color w:val="auto"/>
          <w:szCs w:val="21"/>
        </w:rPr>
        <w:t>镧、铈、镨、钕、钐、铕、钆、铽、镝、钬、铒、铥、镱和镥14种元素量的测定范围均为 0.010%～0.50%。</w:t>
      </w:r>
    </w:p>
    <w:p w14:paraId="154628FD">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A.2.2　方法原理</w:t>
      </w:r>
    </w:p>
    <w:p w14:paraId="3D3A2DDB">
      <w:pPr>
        <w:ind w:firstLine="420" w:firstLineChars="200"/>
        <w:rPr>
          <w:rFonts w:hint="eastAsia"/>
          <w:color w:val="auto"/>
          <w:szCs w:val="21"/>
        </w:rPr>
      </w:pPr>
      <w:r>
        <w:rPr>
          <w:rFonts w:hint="eastAsia"/>
          <w:color w:val="auto"/>
          <w:szCs w:val="21"/>
        </w:rPr>
        <w:t>试料以盐酸溶解，在稀盐酸介质中，以基体匹配法校正基体对测定的影响，直接以氩等离子体光源激发进行光谱测定。</w:t>
      </w:r>
    </w:p>
    <w:p w14:paraId="41E1E1E6">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A.2.3　试剂和材料</w:t>
      </w:r>
    </w:p>
    <w:p w14:paraId="0194F409">
      <w:pPr>
        <w:ind w:firstLine="420" w:firstLineChars="200"/>
        <w:rPr>
          <w:rFonts w:hint="eastAsia"/>
          <w:color w:val="auto"/>
          <w:szCs w:val="21"/>
        </w:rPr>
      </w:pPr>
      <w:r>
        <w:rPr>
          <w:rFonts w:hint="eastAsia"/>
          <w:color w:val="auto"/>
          <w:szCs w:val="21"/>
        </w:rPr>
        <w:t>除非另有说明，在分析中仅使用确认为优级纯的试剂和相当纯度的水。</w:t>
      </w:r>
    </w:p>
    <w:p w14:paraId="2E884497">
      <w:pPr>
        <w:rPr>
          <w:rFonts w:hint="eastAsia"/>
          <w:color w:val="auto"/>
          <w:szCs w:val="21"/>
        </w:rPr>
      </w:pPr>
      <w:r>
        <w:rPr>
          <w:rFonts w:hint="eastAsia" w:ascii="黑体" w:hAnsi="黑体" w:eastAsia="黑体"/>
          <w:color w:val="auto"/>
          <w:sz w:val="21"/>
          <w:szCs w:val="21"/>
          <w:lang w:val="en-US" w:eastAsia="zh-CN"/>
        </w:rPr>
        <w:t>A.2.3.1　</w:t>
      </w:r>
      <w:r>
        <w:rPr>
          <w:rFonts w:hint="eastAsia"/>
          <w:color w:val="auto"/>
          <w:szCs w:val="21"/>
        </w:rPr>
        <w:t>盐酸（1+1）。</w:t>
      </w:r>
    </w:p>
    <w:p w14:paraId="5A053723">
      <w:pPr>
        <w:rPr>
          <w:rFonts w:hint="eastAsia"/>
          <w:color w:val="auto"/>
          <w:szCs w:val="21"/>
        </w:rPr>
      </w:pPr>
      <w:r>
        <w:rPr>
          <w:rFonts w:hint="eastAsia" w:ascii="黑体" w:hAnsi="黑体" w:eastAsia="黑体"/>
          <w:color w:val="auto"/>
          <w:sz w:val="21"/>
          <w:szCs w:val="21"/>
          <w:lang w:val="en-US" w:eastAsia="zh-CN"/>
        </w:rPr>
        <w:t>A.2.3.2　</w:t>
      </w:r>
      <w:r>
        <w:rPr>
          <w:rFonts w:hint="eastAsia"/>
          <w:color w:val="auto"/>
          <w:szCs w:val="21"/>
        </w:rPr>
        <w:t>盐酸（1+19）。</w:t>
      </w:r>
    </w:p>
    <w:p w14:paraId="1170B9F3">
      <w:pPr>
        <w:rPr>
          <w:rFonts w:hint="eastAsia"/>
          <w:color w:val="auto"/>
          <w:szCs w:val="21"/>
        </w:rPr>
      </w:pPr>
      <w:r>
        <w:rPr>
          <w:rFonts w:hint="eastAsia" w:ascii="黑体" w:hAnsi="黑体" w:eastAsia="黑体"/>
          <w:color w:val="auto"/>
          <w:sz w:val="21"/>
          <w:szCs w:val="21"/>
          <w:lang w:val="en-US" w:eastAsia="zh-CN"/>
        </w:rPr>
        <w:t>A.2.3.3　</w:t>
      </w:r>
      <w:r>
        <w:rPr>
          <w:rFonts w:hint="eastAsia"/>
          <w:color w:val="auto"/>
          <w:szCs w:val="21"/>
        </w:rPr>
        <w:t>硝酸（1+1）。</w:t>
      </w:r>
    </w:p>
    <w:p w14:paraId="164684C3">
      <w:pPr>
        <w:rPr>
          <w:rFonts w:hint="eastAsia"/>
          <w:color w:val="auto"/>
          <w:szCs w:val="21"/>
        </w:rPr>
      </w:pPr>
      <w:r>
        <w:rPr>
          <w:rFonts w:hint="eastAsia" w:ascii="黑体" w:hAnsi="黑体" w:eastAsia="黑体"/>
          <w:color w:val="auto"/>
          <w:sz w:val="21"/>
          <w:szCs w:val="21"/>
          <w:lang w:val="en-US" w:eastAsia="zh-CN"/>
        </w:rPr>
        <w:t>A.2.3.4　</w:t>
      </w:r>
      <w:r>
        <w:rPr>
          <w:rFonts w:hint="eastAsia"/>
          <w:color w:val="auto"/>
          <w:szCs w:val="21"/>
        </w:rPr>
        <w:t>过氧化氢（30%）。</w:t>
      </w:r>
    </w:p>
    <w:p w14:paraId="2F3B8D9C">
      <w:pPr>
        <w:rPr>
          <w:rFonts w:hint="eastAsia"/>
          <w:color w:val="auto"/>
          <w:szCs w:val="21"/>
        </w:rPr>
      </w:pPr>
      <w:r>
        <w:rPr>
          <w:rFonts w:hint="eastAsia" w:ascii="黑体" w:hAnsi="黑体" w:eastAsia="黑体"/>
          <w:color w:val="auto"/>
          <w:sz w:val="21"/>
          <w:szCs w:val="21"/>
          <w:lang w:val="en-US" w:eastAsia="zh-CN"/>
        </w:rPr>
        <w:t>A.2.3.5　</w:t>
      </w:r>
      <w:r>
        <w:rPr>
          <w:rFonts w:hint="eastAsia"/>
          <w:color w:val="auto"/>
          <w:szCs w:val="21"/>
        </w:rPr>
        <w:t>单一稀土标准贮存溶液（1 mg/mL）：由国家标准物质中心提供，或按表A.6规定制备，并进一步用盐酸（</w:t>
      </w:r>
      <w:r>
        <w:rPr>
          <w:rFonts w:hint="eastAsia"/>
          <w:color w:val="auto"/>
          <w:szCs w:val="21"/>
          <w:lang w:eastAsia="zh-CN"/>
        </w:rPr>
        <w:t>A.2</w:t>
      </w:r>
      <w:r>
        <w:rPr>
          <w:rFonts w:hint="eastAsia"/>
          <w:color w:val="auto"/>
          <w:szCs w:val="21"/>
        </w:rPr>
        <w:t>.3.2）稀</w:t>
      </w:r>
      <w:r>
        <w:rPr>
          <w:rFonts w:hint="default" w:ascii="Times New Roman" w:hAnsi="Times New Roman" w:cs="Times New Roman"/>
          <w:color w:val="auto"/>
          <w:szCs w:val="21"/>
        </w:rPr>
        <w:t>释成1 mL含100 μg</w:t>
      </w:r>
      <w:r>
        <w:rPr>
          <w:rFonts w:hint="eastAsia"/>
          <w:color w:val="auto"/>
          <w:szCs w:val="21"/>
        </w:rPr>
        <w:t>的标准溶液。</w:t>
      </w:r>
    </w:p>
    <w:p w14:paraId="19BB4794">
      <w:pPr>
        <w:spacing w:before="120" w:after="40"/>
        <w:jc w:val="center"/>
        <w:rPr>
          <w:color w:val="auto"/>
        </w:rPr>
      </w:pPr>
      <w:r>
        <w:rPr>
          <w:rFonts w:ascii="Times New Roman" w:hAnsi="Times New Roman" w:eastAsia="宋体"/>
          <w:b/>
          <w:color w:val="auto"/>
          <w:sz w:val="21"/>
        </w:rPr>
        <w:t>表A.6　单一稀土标准贮存溶液的制备（1 mg/mL，方法2）</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9"/>
        <w:gridCol w:w="2409"/>
        <w:gridCol w:w="2409"/>
        <w:gridCol w:w="2409"/>
      </w:tblGrid>
      <w:tr w14:paraId="58BB3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759A9318">
            <w:pPr>
              <w:spacing w:after="0" w:line="240" w:lineRule="auto"/>
              <w:jc w:val="center"/>
              <w:rPr>
                <w:color w:val="auto"/>
              </w:rPr>
            </w:pPr>
            <w:r>
              <w:rPr>
                <w:rFonts w:ascii="Times New Roman" w:hAnsi="Times New Roman" w:eastAsia="宋体"/>
                <w:b/>
                <w:color w:val="auto"/>
                <w:sz w:val="18"/>
              </w:rPr>
              <w:t>元素</w:t>
            </w:r>
          </w:p>
        </w:tc>
        <w:tc>
          <w:tcPr>
            <w:tcW w:w="2381" w:type="dxa"/>
          </w:tcPr>
          <w:p w14:paraId="2C3D27B9">
            <w:pPr>
              <w:spacing w:after="0" w:line="240" w:lineRule="auto"/>
              <w:jc w:val="center"/>
              <w:rPr>
                <w:color w:val="auto"/>
              </w:rPr>
            </w:pPr>
            <w:r>
              <w:rPr>
                <w:rFonts w:ascii="Times New Roman" w:hAnsi="Times New Roman" w:eastAsia="宋体"/>
                <w:b/>
                <w:color w:val="auto"/>
                <w:sz w:val="18"/>
              </w:rPr>
              <w:t>称取化合物</w:t>
            </w:r>
          </w:p>
        </w:tc>
        <w:tc>
          <w:tcPr>
            <w:tcW w:w="1361" w:type="dxa"/>
          </w:tcPr>
          <w:p w14:paraId="4C022B6A">
            <w:pPr>
              <w:spacing w:after="0" w:line="240" w:lineRule="auto"/>
              <w:jc w:val="center"/>
              <w:rPr>
                <w:color w:val="auto"/>
              </w:rPr>
            </w:pPr>
            <w:r>
              <w:rPr>
                <w:rFonts w:ascii="Times New Roman" w:hAnsi="Times New Roman" w:eastAsia="宋体"/>
                <w:b/>
                <w:color w:val="auto"/>
                <w:sz w:val="18"/>
              </w:rPr>
              <w:t>称取量/g</w:t>
            </w:r>
          </w:p>
        </w:tc>
        <w:tc>
          <w:tcPr>
            <w:tcW w:w="4195" w:type="dxa"/>
          </w:tcPr>
          <w:p w14:paraId="07D33CC9">
            <w:pPr>
              <w:spacing w:after="0" w:line="240" w:lineRule="auto"/>
              <w:jc w:val="center"/>
              <w:rPr>
                <w:color w:val="auto"/>
              </w:rPr>
            </w:pPr>
            <w:r>
              <w:rPr>
                <w:rFonts w:ascii="Times New Roman" w:hAnsi="Times New Roman" w:eastAsia="宋体"/>
                <w:b/>
                <w:color w:val="auto"/>
                <w:sz w:val="18"/>
              </w:rPr>
              <w:t>溶解介质</w:t>
            </w:r>
          </w:p>
        </w:tc>
      </w:tr>
      <w:tr w14:paraId="13B9F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3BDCA720">
            <w:pPr>
              <w:spacing w:after="0" w:line="240" w:lineRule="auto"/>
              <w:jc w:val="center"/>
              <w:rPr>
                <w:color w:val="auto"/>
              </w:rPr>
            </w:pPr>
            <w:r>
              <w:rPr>
                <w:rFonts w:ascii="Times New Roman" w:hAnsi="Times New Roman" w:eastAsia="宋体"/>
                <w:b w:val="0"/>
                <w:color w:val="auto"/>
                <w:sz w:val="18"/>
              </w:rPr>
              <w:t>镧</w:t>
            </w:r>
          </w:p>
        </w:tc>
        <w:tc>
          <w:tcPr>
            <w:tcW w:w="2381" w:type="dxa"/>
          </w:tcPr>
          <w:p w14:paraId="6E8C3AD8">
            <w:pPr>
              <w:spacing w:after="0" w:line="240" w:lineRule="auto"/>
              <w:jc w:val="center"/>
              <w:rPr>
                <w:color w:val="auto"/>
              </w:rPr>
            </w:pPr>
            <w:r>
              <w:rPr>
                <w:rFonts w:ascii="Times New Roman" w:hAnsi="Times New Roman" w:eastAsia="宋体"/>
                <w:b w:val="0"/>
                <w:color w:val="auto"/>
                <w:sz w:val="18"/>
              </w:rPr>
              <w:t>氧化镧</w:t>
            </w:r>
          </w:p>
        </w:tc>
        <w:tc>
          <w:tcPr>
            <w:tcW w:w="1361" w:type="dxa"/>
          </w:tcPr>
          <w:p w14:paraId="16716C35">
            <w:pPr>
              <w:spacing w:after="0" w:line="240" w:lineRule="auto"/>
              <w:jc w:val="center"/>
              <w:rPr>
                <w:color w:val="auto"/>
              </w:rPr>
            </w:pPr>
            <w:r>
              <w:rPr>
                <w:rFonts w:ascii="Times New Roman" w:hAnsi="Times New Roman" w:eastAsia="宋体"/>
                <w:b w:val="0"/>
                <w:color w:val="auto"/>
                <w:sz w:val="18"/>
              </w:rPr>
              <w:t>0.1173</w:t>
            </w:r>
          </w:p>
        </w:tc>
        <w:tc>
          <w:tcPr>
            <w:tcW w:w="4195" w:type="dxa"/>
          </w:tcPr>
          <w:p w14:paraId="20D4EF4B">
            <w:pPr>
              <w:spacing w:after="0" w:line="240" w:lineRule="auto"/>
              <w:jc w:val="center"/>
              <w:rPr>
                <w:color w:val="auto"/>
              </w:rPr>
            </w:pPr>
            <w:r>
              <w:rPr>
                <w:rFonts w:ascii="Times New Roman" w:hAnsi="Times New Roman" w:eastAsia="宋体"/>
                <w:b w:val="0"/>
                <w:color w:val="auto"/>
                <w:sz w:val="18"/>
              </w:rPr>
              <w:t>10 mL盐酸（1+1）</w:t>
            </w:r>
          </w:p>
        </w:tc>
      </w:tr>
      <w:tr w14:paraId="5C97B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5344158C">
            <w:pPr>
              <w:spacing w:after="0" w:line="240" w:lineRule="auto"/>
              <w:jc w:val="center"/>
              <w:rPr>
                <w:color w:val="auto"/>
              </w:rPr>
            </w:pPr>
            <w:r>
              <w:rPr>
                <w:rFonts w:ascii="Times New Roman" w:hAnsi="Times New Roman" w:eastAsia="宋体"/>
                <w:b w:val="0"/>
                <w:color w:val="auto"/>
                <w:sz w:val="18"/>
              </w:rPr>
              <w:t>铈</w:t>
            </w:r>
          </w:p>
        </w:tc>
        <w:tc>
          <w:tcPr>
            <w:tcW w:w="2381" w:type="dxa"/>
          </w:tcPr>
          <w:p w14:paraId="162BB66E">
            <w:pPr>
              <w:spacing w:after="0" w:line="240" w:lineRule="auto"/>
              <w:jc w:val="center"/>
              <w:rPr>
                <w:color w:val="auto"/>
              </w:rPr>
            </w:pPr>
            <w:r>
              <w:rPr>
                <w:rFonts w:ascii="Times New Roman" w:hAnsi="Times New Roman" w:eastAsia="宋体"/>
                <w:b w:val="0"/>
                <w:color w:val="auto"/>
                <w:sz w:val="18"/>
              </w:rPr>
              <w:t>氧化铈（CeO</w:t>
            </w:r>
            <w:r>
              <w:rPr>
                <w:rFonts w:ascii="Times New Roman" w:hAnsi="Times New Roman" w:eastAsia="宋体"/>
                <w:b w:val="0"/>
                <w:color w:val="auto"/>
                <w:sz w:val="18"/>
                <w:vertAlign w:val="subscript"/>
              </w:rPr>
              <w:t>2</w:t>
            </w:r>
            <w:r>
              <w:rPr>
                <w:rFonts w:ascii="Times New Roman" w:hAnsi="Times New Roman" w:eastAsia="宋体"/>
                <w:b w:val="0"/>
                <w:color w:val="auto"/>
                <w:sz w:val="18"/>
              </w:rPr>
              <w:t>）</w:t>
            </w:r>
          </w:p>
        </w:tc>
        <w:tc>
          <w:tcPr>
            <w:tcW w:w="1361" w:type="dxa"/>
          </w:tcPr>
          <w:p w14:paraId="202F0319">
            <w:pPr>
              <w:spacing w:after="0" w:line="240" w:lineRule="auto"/>
              <w:jc w:val="center"/>
              <w:rPr>
                <w:color w:val="auto"/>
              </w:rPr>
            </w:pPr>
            <w:r>
              <w:rPr>
                <w:rFonts w:ascii="Times New Roman" w:hAnsi="Times New Roman" w:eastAsia="宋体"/>
                <w:b w:val="0"/>
                <w:color w:val="auto"/>
                <w:sz w:val="18"/>
              </w:rPr>
              <w:t>0.1228</w:t>
            </w:r>
          </w:p>
        </w:tc>
        <w:tc>
          <w:tcPr>
            <w:tcW w:w="4195" w:type="dxa"/>
          </w:tcPr>
          <w:p w14:paraId="78C16B35">
            <w:pPr>
              <w:spacing w:after="0" w:line="240" w:lineRule="auto"/>
              <w:jc w:val="center"/>
              <w:rPr>
                <w:color w:val="auto"/>
              </w:rPr>
            </w:pPr>
            <w:r>
              <w:rPr>
                <w:rFonts w:ascii="Times New Roman" w:hAnsi="Times New Roman" w:eastAsia="宋体"/>
                <w:b w:val="0"/>
                <w:color w:val="auto"/>
                <w:sz w:val="18"/>
              </w:rPr>
              <w:t>10 mL硝酸（1+1）＋2 mL过氧化氢</w:t>
            </w:r>
          </w:p>
        </w:tc>
      </w:tr>
      <w:tr w14:paraId="672A6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6F9691EC">
            <w:pPr>
              <w:spacing w:after="0" w:line="240" w:lineRule="auto"/>
              <w:jc w:val="center"/>
              <w:rPr>
                <w:color w:val="auto"/>
              </w:rPr>
            </w:pPr>
            <w:r>
              <w:rPr>
                <w:rFonts w:ascii="Times New Roman" w:hAnsi="Times New Roman" w:eastAsia="宋体"/>
                <w:b w:val="0"/>
                <w:color w:val="auto"/>
                <w:sz w:val="18"/>
              </w:rPr>
              <w:t>镨</w:t>
            </w:r>
          </w:p>
        </w:tc>
        <w:tc>
          <w:tcPr>
            <w:tcW w:w="2381" w:type="dxa"/>
          </w:tcPr>
          <w:p w14:paraId="4ECC06D0">
            <w:pPr>
              <w:spacing w:after="0" w:line="240" w:lineRule="auto"/>
              <w:jc w:val="center"/>
              <w:rPr>
                <w:color w:val="auto"/>
              </w:rPr>
            </w:pPr>
            <w:r>
              <w:rPr>
                <w:rFonts w:ascii="Times New Roman" w:hAnsi="Times New Roman" w:eastAsia="宋体"/>
                <w:b w:val="0"/>
                <w:color w:val="auto"/>
                <w:sz w:val="18"/>
              </w:rPr>
              <w:t>氧化镨（Pr</w:t>
            </w:r>
            <w:r>
              <w:rPr>
                <w:rFonts w:ascii="Times New Roman" w:hAnsi="Times New Roman" w:eastAsia="宋体"/>
                <w:b w:val="0"/>
                <w:color w:val="auto"/>
                <w:sz w:val="18"/>
                <w:vertAlign w:val="subscript"/>
              </w:rPr>
              <w:t>6</w:t>
            </w:r>
            <w:r>
              <w:rPr>
                <w:rFonts w:ascii="Times New Roman" w:hAnsi="Times New Roman" w:eastAsia="宋体"/>
                <w:b w:val="0"/>
                <w:color w:val="auto"/>
                <w:sz w:val="18"/>
              </w:rPr>
              <w:t>O</w:t>
            </w:r>
            <w:r>
              <w:rPr>
                <w:rFonts w:ascii="Times New Roman" w:hAnsi="Times New Roman" w:eastAsia="宋体"/>
                <w:b w:val="0"/>
                <w:color w:val="auto"/>
                <w:sz w:val="18"/>
                <w:vertAlign w:val="subscript"/>
              </w:rPr>
              <w:t>11</w:t>
            </w:r>
            <w:r>
              <w:rPr>
                <w:rFonts w:ascii="Times New Roman" w:hAnsi="Times New Roman" w:eastAsia="宋体"/>
                <w:b w:val="0"/>
                <w:color w:val="auto"/>
                <w:sz w:val="18"/>
              </w:rPr>
              <w:t>）</w:t>
            </w:r>
          </w:p>
        </w:tc>
        <w:tc>
          <w:tcPr>
            <w:tcW w:w="1361" w:type="dxa"/>
          </w:tcPr>
          <w:p w14:paraId="6B0E8E27">
            <w:pPr>
              <w:spacing w:after="0" w:line="240" w:lineRule="auto"/>
              <w:jc w:val="center"/>
              <w:rPr>
                <w:color w:val="auto"/>
              </w:rPr>
            </w:pPr>
            <w:r>
              <w:rPr>
                <w:rFonts w:ascii="Times New Roman" w:hAnsi="Times New Roman" w:eastAsia="宋体"/>
                <w:b w:val="0"/>
                <w:color w:val="auto"/>
                <w:sz w:val="18"/>
              </w:rPr>
              <w:t>0.1208</w:t>
            </w:r>
          </w:p>
        </w:tc>
        <w:tc>
          <w:tcPr>
            <w:tcW w:w="4195" w:type="dxa"/>
          </w:tcPr>
          <w:p w14:paraId="1F2E0D58">
            <w:pPr>
              <w:spacing w:after="0" w:line="240" w:lineRule="auto"/>
              <w:jc w:val="center"/>
              <w:rPr>
                <w:color w:val="auto"/>
              </w:rPr>
            </w:pPr>
            <w:r>
              <w:rPr>
                <w:rFonts w:ascii="Times New Roman" w:hAnsi="Times New Roman" w:eastAsia="宋体"/>
                <w:b w:val="0"/>
                <w:color w:val="auto"/>
                <w:sz w:val="18"/>
              </w:rPr>
              <w:t>10 mL盐酸（1+1）</w:t>
            </w:r>
          </w:p>
        </w:tc>
      </w:tr>
      <w:tr w14:paraId="4F76E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3FE95F54">
            <w:pPr>
              <w:spacing w:after="0" w:line="240" w:lineRule="auto"/>
              <w:jc w:val="center"/>
              <w:rPr>
                <w:color w:val="auto"/>
              </w:rPr>
            </w:pPr>
            <w:r>
              <w:rPr>
                <w:rFonts w:ascii="Times New Roman" w:hAnsi="Times New Roman" w:eastAsia="宋体"/>
                <w:b w:val="0"/>
                <w:color w:val="auto"/>
                <w:sz w:val="18"/>
              </w:rPr>
              <w:t>钕</w:t>
            </w:r>
          </w:p>
        </w:tc>
        <w:tc>
          <w:tcPr>
            <w:tcW w:w="2381" w:type="dxa"/>
          </w:tcPr>
          <w:p w14:paraId="17991BF4">
            <w:pPr>
              <w:spacing w:after="0" w:line="240" w:lineRule="auto"/>
              <w:jc w:val="center"/>
              <w:rPr>
                <w:color w:val="auto"/>
              </w:rPr>
            </w:pPr>
            <w:r>
              <w:rPr>
                <w:rFonts w:ascii="Times New Roman" w:hAnsi="Times New Roman" w:eastAsia="宋体"/>
                <w:b w:val="0"/>
                <w:color w:val="auto"/>
                <w:sz w:val="18"/>
              </w:rPr>
              <w:t>氧化钕</w:t>
            </w:r>
          </w:p>
        </w:tc>
        <w:tc>
          <w:tcPr>
            <w:tcW w:w="1361" w:type="dxa"/>
          </w:tcPr>
          <w:p w14:paraId="01056C56">
            <w:pPr>
              <w:spacing w:after="0" w:line="240" w:lineRule="auto"/>
              <w:jc w:val="center"/>
              <w:rPr>
                <w:color w:val="auto"/>
              </w:rPr>
            </w:pPr>
            <w:r>
              <w:rPr>
                <w:rFonts w:ascii="Times New Roman" w:hAnsi="Times New Roman" w:eastAsia="宋体"/>
                <w:b w:val="0"/>
                <w:color w:val="auto"/>
                <w:sz w:val="18"/>
              </w:rPr>
              <w:t>0.1166</w:t>
            </w:r>
          </w:p>
        </w:tc>
        <w:tc>
          <w:tcPr>
            <w:tcW w:w="4195" w:type="dxa"/>
          </w:tcPr>
          <w:p w14:paraId="1C75E0FE">
            <w:pPr>
              <w:spacing w:after="0" w:line="240" w:lineRule="auto"/>
              <w:jc w:val="center"/>
              <w:rPr>
                <w:color w:val="auto"/>
              </w:rPr>
            </w:pPr>
            <w:r>
              <w:rPr>
                <w:rFonts w:ascii="Times New Roman" w:hAnsi="Times New Roman" w:eastAsia="宋体"/>
                <w:b w:val="0"/>
                <w:color w:val="auto"/>
                <w:sz w:val="18"/>
              </w:rPr>
              <w:t>10 mL盐酸（1+1）</w:t>
            </w:r>
          </w:p>
        </w:tc>
      </w:tr>
      <w:tr w14:paraId="390AE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5B6031B8">
            <w:pPr>
              <w:spacing w:after="0" w:line="240" w:lineRule="auto"/>
              <w:jc w:val="center"/>
              <w:rPr>
                <w:color w:val="auto"/>
              </w:rPr>
            </w:pPr>
            <w:r>
              <w:rPr>
                <w:rFonts w:ascii="Times New Roman" w:hAnsi="Times New Roman" w:eastAsia="宋体"/>
                <w:b w:val="0"/>
                <w:color w:val="auto"/>
                <w:sz w:val="18"/>
              </w:rPr>
              <w:t>钐</w:t>
            </w:r>
          </w:p>
        </w:tc>
        <w:tc>
          <w:tcPr>
            <w:tcW w:w="2381" w:type="dxa"/>
          </w:tcPr>
          <w:p w14:paraId="588A6DA3">
            <w:pPr>
              <w:spacing w:after="0" w:line="240" w:lineRule="auto"/>
              <w:jc w:val="center"/>
              <w:rPr>
                <w:color w:val="auto"/>
              </w:rPr>
            </w:pPr>
            <w:r>
              <w:rPr>
                <w:rFonts w:ascii="Times New Roman" w:hAnsi="Times New Roman" w:eastAsia="宋体"/>
                <w:b w:val="0"/>
                <w:color w:val="auto"/>
                <w:sz w:val="18"/>
              </w:rPr>
              <w:t>氧化钐</w:t>
            </w:r>
          </w:p>
        </w:tc>
        <w:tc>
          <w:tcPr>
            <w:tcW w:w="1361" w:type="dxa"/>
          </w:tcPr>
          <w:p w14:paraId="4A3B981D">
            <w:pPr>
              <w:spacing w:after="0" w:line="240" w:lineRule="auto"/>
              <w:jc w:val="center"/>
              <w:rPr>
                <w:color w:val="auto"/>
              </w:rPr>
            </w:pPr>
            <w:r>
              <w:rPr>
                <w:rFonts w:ascii="Times New Roman" w:hAnsi="Times New Roman" w:eastAsia="宋体"/>
                <w:b w:val="0"/>
                <w:color w:val="auto"/>
                <w:sz w:val="18"/>
              </w:rPr>
              <w:t>0.1160</w:t>
            </w:r>
          </w:p>
        </w:tc>
        <w:tc>
          <w:tcPr>
            <w:tcW w:w="4195" w:type="dxa"/>
          </w:tcPr>
          <w:p w14:paraId="1BC0C092">
            <w:pPr>
              <w:spacing w:after="0" w:line="240" w:lineRule="auto"/>
              <w:jc w:val="center"/>
              <w:rPr>
                <w:color w:val="auto"/>
              </w:rPr>
            </w:pPr>
            <w:r>
              <w:rPr>
                <w:rFonts w:ascii="Times New Roman" w:hAnsi="Times New Roman" w:eastAsia="宋体"/>
                <w:b w:val="0"/>
                <w:color w:val="auto"/>
                <w:sz w:val="18"/>
              </w:rPr>
              <w:t>10 mL盐酸（1+1）</w:t>
            </w:r>
          </w:p>
        </w:tc>
      </w:tr>
      <w:tr w14:paraId="0173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2F847532">
            <w:pPr>
              <w:spacing w:after="0" w:line="240" w:lineRule="auto"/>
              <w:jc w:val="center"/>
              <w:rPr>
                <w:color w:val="auto"/>
              </w:rPr>
            </w:pPr>
            <w:r>
              <w:rPr>
                <w:rFonts w:ascii="Times New Roman" w:hAnsi="Times New Roman" w:eastAsia="宋体"/>
                <w:b w:val="0"/>
                <w:color w:val="auto"/>
                <w:sz w:val="18"/>
              </w:rPr>
              <w:t>铕</w:t>
            </w:r>
          </w:p>
        </w:tc>
        <w:tc>
          <w:tcPr>
            <w:tcW w:w="2381" w:type="dxa"/>
          </w:tcPr>
          <w:p w14:paraId="303BCFA7">
            <w:pPr>
              <w:spacing w:after="0" w:line="240" w:lineRule="auto"/>
              <w:jc w:val="center"/>
              <w:rPr>
                <w:color w:val="auto"/>
              </w:rPr>
            </w:pPr>
            <w:r>
              <w:rPr>
                <w:rFonts w:ascii="Times New Roman" w:hAnsi="Times New Roman" w:eastAsia="宋体"/>
                <w:b w:val="0"/>
                <w:color w:val="auto"/>
                <w:sz w:val="18"/>
              </w:rPr>
              <w:t>氧化铕</w:t>
            </w:r>
          </w:p>
        </w:tc>
        <w:tc>
          <w:tcPr>
            <w:tcW w:w="1361" w:type="dxa"/>
          </w:tcPr>
          <w:p w14:paraId="4A0FEC43">
            <w:pPr>
              <w:spacing w:after="0" w:line="240" w:lineRule="auto"/>
              <w:jc w:val="center"/>
              <w:rPr>
                <w:color w:val="auto"/>
              </w:rPr>
            </w:pPr>
            <w:r>
              <w:rPr>
                <w:rFonts w:ascii="Times New Roman" w:hAnsi="Times New Roman" w:eastAsia="宋体"/>
                <w:b w:val="0"/>
                <w:color w:val="auto"/>
                <w:sz w:val="18"/>
              </w:rPr>
              <w:t>0.1158</w:t>
            </w:r>
          </w:p>
        </w:tc>
        <w:tc>
          <w:tcPr>
            <w:tcW w:w="4195" w:type="dxa"/>
          </w:tcPr>
          <w:p w14:paraId="04648EC1">
            <w:pPr>
              <w:spacing w:after="0" w:line="240" w:lineRule="auto"/>
              <w:jc w:val="center"/>
              <w:rPr>
                <w:color w:val="auto"/>
              </w:rPr>
            </w:pPr>
            <w:r>
              <w:rPr>
                <w:rFonts w:ascii="Times New Roman" w:hAnsi="Times New Roman" w:eastAsia="宋体"/>
                <w:b w:val="0"/>
                <w:color w:val="auto"/>
                <w:sz w:val="18"/>
              </w:rPr>
              <w:t>10 mL盐酸（1+1）</w:t>
            </w:r>
          </w:p>
        </w:tc>
      </w:tr>
      <w:tr w14:paraId="45F96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60841743">
            <w:pPr>
              <w:spacing w:after="0" w:line="240" w:lineRule="auto"/>
              <w:jc w:val="center"/>
              <w:rPr>
                <w:color w:val="auto"/>
              </w:rPr>
            </w:pPr>
            <w:r>
              <w:rPr>
                <w:rFonts w:ascii="Times New Roman" w:hAnsi="Times New Roman" w:eastAsia="宋体"/>
                <w:b w:val="0"/>
                <w:color w:val="auto"/>
                <w:sz w:val="18"/>
              </w:rPr>
              <w:t>钆</w:t>
            </w:r>
          </w:p>
        </w:tc>
        <w:tc>
          <w:tcPr>
            <w:tcW w:w="2381" w:type="dxa"/>
          </w:tcPr>
          <w:p w14:paraId="59AEBED3">
            <w:pPr>
              <w:spacing w:after="0" w:line="240" w:lineRule="auto"/>
              <w:jc w:val="center"/>
              <w:rPr>
                <w:color w:val="auto"/>
              </w:rPr>
            </w:pPr>
            <w:r>
              <w:rPr>
                <w:rFonts w:ascii="Times New Roman" w:hAnsi="Times New Roman" w:eastAsia="宋体"/>
                <w:b w:val="0"/>
                <w:color w:val="auto"/>
                <w:sz w:val="18"/>
              </w:rPr>
              <w:t>氧化钆</w:t>
            </w:r>
          </w:p>
        </w:tc>
        <w:tc>
          <w:tcPr>
            <w:tcW w:w="1361" w:type="dxa"/>
          </w:tcPr>
          <w:p w14:paraId="671323A4">
            <w:pPr>
              <w:spacing w:after="0" w:line="240" w:lineRule="auto"/>
              <w:jc w:val="center"/>
              <w:rPr>
                <w:color w:val="auto"/>
              </w:rPr>
            </w:pPr>
            <w:r>
              <w:rPr>
                <w:rFonts w:ascii="Times New Roman" w:hAnsi="Times New Roman" w:eastAsia="宋体"/>
                <w:b w:val="0"/>
                <w:color w:val="auto"/>
                <w:sz w:val="18"/>
              </w:rPr>
              <w:t>0.1153</w:t>
            </w:r>
          </w:p>
        </w:tc>
        <w:tc>
          <w:tcPr>
            <w:tcW w:w="4195" w:type="dxa"/>
          </w:tcPr>
          <w:p w14:paraId="2C027959">
            <w:pPr>
              <w:spacing w:after="0" w:line="240" w:lineRule="auto"/>
              <w:jc w:val="center"/>
              <w:rPr>
                <w:color w:val="auto"/>
              </w:rPr>
            </w:pPr>
            <w:r>
              <w:rPr>
                <w:rFonts w:ascii="Times New Roman" w:hAnsi="Times New Roman" w:eastAsia="宋体"/>
                <w:b w:val="0"/>
                <w:color w:val="auto"/>
                <w:sz w:val="18"/>
              </w:rPr>
              <w:t>10 mL盐酸（1+1）</w:t>
            </w:r>
          </w:p>
        </w:tc>
      </w:tr>
      <w:tr w14:paraId="1FD19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7C5CF8A3">
            <w:pPr>
              <w:spacing w:after="0" w:line="240" w:lineRule="auto"/>
              <w:jc w:val="center"/>
              <w:rPr>
                <w:color w:val="auto"/>
              </w:rPr>
            </w:pPr>
            <w:r>
              <w:rPr>
                <w:rFonts w:ascii="Times New Roman" w:hAnsi="Times New Roman" w:eastAsia="宋体"/>
                <w:b w:val="0"/>
                <w:color w:val="auto"/>
                <w:sz w:val="18"/>
              </w:rPr>
              <w:t>铽</w:t>
            </w:r>
          </w:p>
        </w:tc>
        <w:tc>
          <w:tcPr>
            <w:tcW w:w="2381" w:type="dxa"/>
          </w:tcPr>
          <w:p w14:paraId="69F9608A">
            <w:pPr>
              <w:spacing w:after="0" w:line="240" w:lineRule="auto"/>
              <w:jc w:val="center"/>
              <w:rPr>
                <w:color w:val="auto"/>
              </w:rPr>
            </w:pPr>
            <w:r>
              <w:rPr>
                <w:rFonts w:ascii="Times New Roman" w:hAnsi="Times New Roman" w:eastAsia="宋体"/>
                <w:b w:val="0"/>
                <w:color w:val="auto"/>
                <w:sz w:val="18"/>
              </w:rPr>
              <w:t>氧化铽（Tb</w:t>
            </w:r>
            <w:r>
              <w:rPr>
                <w:rFonts w:ascii="Times New Roman" w:hAnsi="Times New Roman" w:eastAsia="宋体"/>
                <w:b w:val="0"/>
                <w:color w:val="auto"/>
                <w:sz w:val="18"/>
                <w:vertAlign w:val="subscript"/>
              </w:rPr>
              <w:t>4</w:t>
            </w:r>
            <w:r>
              <w:rPr>
                <w:rFonts w:ascii="Times New Roman" w:hAnsi="Times New Roman" w:eastAsia="宋体"/>
                <w:b w:val="0"/>
                <w:color w:val="auto"/>
                <w:sz w:val="18"/>
              </w:rPr>
              <w:t>O</w:t>
            </w:r>
            <w:r>
              <w:rPr>
                <w:rFonts w:ascii="Times New Roman" w:hAnsi="Times New Roman" w:eastAsia="宋体"/>
                <w:b w:val="0"/>
                <w:color w:val="auto"/>
                <w:sz w:val="18"/>
                <w:vertAlign w:val="subscript"/>
              </w:rPr>
              <w:t>7</w:t>
            </w:r>
            <w:r>
              <w:rPr>
                <w:rFonts w:ascii="Times New Roman" w:hAnsi="Times New Roman" w:eastAsia="宋体"/>
                <w:b w:val="0"/>
                <w:color w:val="auto"/>
                <w:sz w:val="18"/>
              </w:rPr>
              <w:t>）</w:t>
            </w:r>
          </w:p>
        </w:tc>
        <w:tc>
          <w:tcPr>
            <w:tcW w:w="1361" w:type="dxa"/>
          </w:tcPr>
          <w:p w14:paraId="55E0BFB0">
            <w:pPr>
              <w:spacing w:after="0" w:line="240" w:lineRule="auto"/>
              <w:jc w:val="center"/>
              <w:rPr>
                <w:color w:val="auto"/>
              </w:rPr>
            </w:pPr>
            <w:r>
              <w:rPr>
                <w:rFonts w:ascii="Times New Roman" w:hAnsi="Times New Roman" w:eastAsia="宋体"/>
                <w:b w:val="0"/>
                <w:color w:val="auto"/>
                <w:sz w:val="18"/>
              </w:rPr>
              <w:t>0.1176</w:t>
            </w:r>
          </w:p>
        </w:tc>
        <w:tc>
          <w:tcPr>
            <w:tcW w:w="4195" w:type="dxa"/>
          </w:tcPr>
          <w:p w14:paraId="1D86C7C9">
            <w:pPr>
              <w:spacing w:after="0" w:line="240" w:lineRule="auto"/>
              <w:jc w:val="center"/>
              <w:rPr>
                <w:color w:val="auto"/>
              </w:rPr>
            </w:pPr>
            <w:r>
              <w:rPr>
                <w:rFonts w:ascii="Times New Roman" w:hAnsi="Times New Roman" w:eastAsia="宋体"/>
                <w:b w:val="0"/>
                <w:color w:val="auto"/>
                <w:sz w:val="18"/>
              </w:rPr>
              <w:t>10 mL盐酸（1+1）＋2 mL过氧化氢</w:t>
            </w:r>
          </w:p>
        </w:tc>
      </w:tr>
      <w:tr w14:paraId="6B671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292C75B5">
            <w:pPr>
              <w:spacing w:after="0" w:line="240" w:lineRule="auto"/>
              <w:jc w:val="center"/>
              <w:rPr>
                <w:color w:val="auto"/>
              </w:rPr>
            </w:pPr>
            <w:r>
              <w:rPr>
                <w:rFonts w:ascii="Times New Roman" w:hAnsi="Times New Roman" w:eastAsia="宋体"/>
                <w:b w:val="0"/>
                <w:color w:val="auto"/>
                <w:sz w:val="18"/>
              </w:rPr>
              <w:t>镝</w:t>
            </w:r>
          </w:p>
        </w:tc>
        <w:tc>
          <w:tcPr>
            <w:tcW w:w="2381" w:type="dxa"/>
          </w:tcPr>
          <w:p w14:paraId="728C3678">
            <w:pPr>
              <w:spacing w:after="0" w:line="240" w:lineRule="auto"/>
              <w:jc w:val="center"/>
              <w:rPr>
                <w:color w:val="auto"/>
              </w:rPr>
            </w:pPr>
            <w:r>
              <w:rPr>
                <w:rFonts w:ascii="Times New Roman" w:hAnsi="Times New Roman" w:eastAsia="宋体"/>
                <w:b w:val="0"/>
                <w:color w:val="auto"/>
                <w:sz w:val="18"/>
              </w:rPr>
              <w:t>氧化镝</w:t>
            </w:r>
          </w:p>
        </w:tc>
        <w:tc>
          <w:tcPr>
            <w:tcW w:w="1361" w:type="dxa"/>
          </w:tcPr>
          <w:p w14:paraId="45A3E2DA">
            <w:pPr>
              <w:spacing w:after="0" w:line="240" w:lineRule="auto"/>
              <w:jc w:val="center"/>
              <w:rPr>
                <w:color w:val="auto"/>
              </w:rPr>
            </w:pPr>
            <w:r>
              <w:rPr>
                <w:rFonts w:ascii="Times New Roman" w:hAnsi="Times New Roman" w:eastAsia="宋体"/>
                <w:b w:val="0"/>
                <w:color w:val="auto"/>
                <w:sz w:val="18"/>
              </w:rPr>
              <w:t>0.1148</w:t>
            </w:r>
          </w:p>
        </w:tc>
        <w:tc>
          <w:tcPr>
            <w:tcW w:w="4195" w:type="dxa"/>
          </w:tcPr>
          <w:p w14:paraId="4D2CFB36">
            <w:pPr>
              <w:spacing w:after="0" w:line="240" w:lineRule="auto"/>
              <w:jc w:val="center"/>
              <w:rPr>
                <w:color w:val="auto"/>
              </w:rPr>
            </w:pPr>
            <w:r>
              <w:rPr>
                <w:rFonts w:ascii="Times New Roman" w:hAnsi="Times New Roman" w:eastAsia="宋体"/>
                <w:b w:val="0"/>
                <w:color w:val="auto"/>
                <w:sz w:val="18"/>
              </w:rPr>
              <w:t>10 mL盐酸（1+1）</w:t>
            </w:r>
          </w:p>
        </w:tc>
      </w:tr>
      <w:tr w14:paraId="6EE1A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6A51E6F5">
            <w:pPr>
              <w:spacing w:after="0" w:line="240" w:lineRule="auto"/>
              <w:jc w:val="center"/>
              <w:rPr>
                <w:color w:val="auto"/>
              </w:rPr>
            </w:pPr>
            <w:r>
              <w:rPr>
                <w:rFonts w:ascii="Times New Roman" w:hAnsi="Times New Roman" w:eastAsia="宋体"/>
                <w:b w:val="0"/>
                <w:color w:val="auto"/>
                <w:sz w:val="18"/>
              </w:rPr>
              <w:t>钬</w:t>
            </w:r>
          </w:p>
        </w:tc>
        <w:tc>
          <w:tcPr>
            <w:tcW w:w="2381" w:type="dxa"/>
          </w:tcPr>
          <w:p w14:paraId="564B5D16">
            <w:pPr>
              <w:spacing w:after="0" w:line="240" w:lineRule="auto"/>
              <w:jc w:val="center"/>
              <w:rPr>
                <w:color w:val="auto"/>
              </w:rPr>
            </w:pPr>
            <w:r>
              <w:rPr>
                <w:rFonts w:ascii="Times New Roman" w:hAnsi="Times New Roman" w:eastAsia="宋体"/>
                <w:b w:val="0"/>
                <w:color w:val="auto"/>
                <w:sz w:val="18"/>
              </w:rPr>
              <w:t>氧化钬</w:t>
            </w:r>
          </w:p>
        </w:tc>
        <w:tc>
          <w:tcPr>
            <w:tcW w:w="1361" w:type="dxa"/>
          </w:tcPr>
          <w:p w14:paraId="53706CEB">
            <w:pPr>
              <w:spacing w:after="0" w:line="240" w:lineRule="auto"/>
              <w:jc w:val="center"/>
              <w:rPr>
                <w:color w:val="auto"/>
              </w:rPr>
            </w:pPr>
            <w:r>
              <w:rPr>
                <w:rFonts w:ascii="Times New Roman" w:hAnsi="Times New Roman" w:eastAsia="宋体"/>
                <w:b w:val="0"/>
                <w:color w:val="auto"/>
                <w:sz w:val="18"/>
              </w:rPr>
              <w:t>0.1145</w:t>
            </w:r>
          </w:p>
        </w:tc>
        <w:tc>
          <w:tcPr>
            <w:tcW w:w="4195" w:type="dxa"/>
          </w:tcPr>
          <w:p w14:paraId="6B59093E">
            <w:pPr>
              <w:spacing w:after="0" w:line="240" w:lineRule="auto"/>
              <w:jc w:val="center"/>
              <w:rPr>
                <w:color w:val="auto"/>
              </w:rPr>
            </w:pPr>
            <w:r>
              <w:rPr>
                <w:rFonts w:ascii="Times New Roman" w:hAnsi="Times New Roman" w:eastAsia="宋体"/>
                <w:b w:val="0"/>
                <w:color w:val="auto"/>
                <w:sz w:val="18"/>
              </w:rPr>
              <w:t>10 mL盐酸（1+1）</w:t>
            </w:r>
          </w:p>
        </w:tc>
      </w:tr>
      <w:tr w14:paraId="0FC3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1D810FFC">
            <w:pPr>
              <w:spacing w:after="0" w:line="240" w:lineRule="auto"/>
              <w:jc w:val="center"/>
              <w:rPr>
                <w:color w:val="auto"/>
              </w:rPr>
            </w:pPr>
            <w:r>
              <w:rPr>
                <w:rFonts w:ascii="Times New Roman" w:hAnsi="Times New Roman" w:eastAsia="宋体"/>
                <w:b w:val="0"/>
                <w:color w:val="auto"/>
                <w:sz w:val="18"/>
              </w:rPr>
              <w:t>铒</w:t>
            </w:r>
          </w:p>
        </w:tc>
        <w:tc>
          <w:tcPr>
            <w:tcW w:w="2381" w:type="dxa"/>
          </w:tcPr>
          <w:p w14:paraId="0F405796">
            <w:pPr>
              <w:spacing w:after="0" w:line="240" w:lineRule="auto"/>
              <w:jc w:val="center"/>
              <w:rPr>
                <w:color w:val="auto"/>
              </w:rPr>
            </w:pPr>
            <w:r>
              <w:rPr>
                <w:rFonts w:ascii="Times New Roman" w:hAnsi="Times New Roman" w:eastAsia="宋体"/>
                <w:b w:val="0"/>
                <w:color w:val="auto"/>
                <w:sz w:val="18"/>
              </w:rPr>
              <w:t>氧化铒</w:t>
            </w:r>
          </w:p>
        </w:tc>
        <w:tc>
          <w:tcPr>
            <w:tcW w:w="1361" w:type="dxa"/>
          </w:tcPr>
          <w:p w14:paraId="2A5CFF27">
            <w:pPr>
              <w:spacing w:after="0" w:line="240" w:lineRule="auto"/>
              <w:jc w:val="center"/>
              <w:rPr>
                <w:color w:val="auto"/>
              </w:rPr>
            </w:pPr>
            <w:r>
              <w:rPr>
                <w:rFonts w:ascii="Times New Roman" w:hAnsi="Times New Roman" w:eastAsia="宋体"/>
                <w:b w:val="0"/>
                <w:color w:val="auto"/>
                <w:sz w:val="18"/>
              </w:rPr>
              <w:t>0.1144</w:t>
            </w:r>
          </w:p>
        </w:tc>
        <w:tc>
          <w:tcPr>
            <w:tcW w:w="4195" w:type="dxa"/>
          </w:tcPr>
          <w:p w14:paraId="192ABA85">
            <w:pPr>
              <w:spacing w:after="0" w:line="240" w:lineRule="auto"/>
              <w:jc w:val="center"/>
              <w:rPr>
                <w:color w:val="auto"/>
              </w:rPr>
            </w:pPr>
            <w:r>
              <w:rPr>
                <w:rFonts w:ascii="Times New Roman" w:hAnsi="Times New Roman" w:eastAsia="宋体"/>
                <w:b w:val="0"/>
                <w:color w:val="auto"/>
                <w:sz w:val="18"/>
              </w:rPr>
              <w:t>10 mL盐酸（1+1）</w:t>
            </w:r>
          </w:p>
        </w:tc>
      </w:tr>
      <w:tr w14:paraId="26EB6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7BE5FE48">
            <w:pPr>
              <w:spacing w:after="0" w:line="240" w:lineRule="auto"/>
              <w:jc w:val="center"/>
              <w:rPr>
                <w:color w:val="auto"/>
              </w:rPr>
            </w:pPr>
            <w:r>
              <w:rPr>
                <w:rFonts w:ascii="Times New Roman" w:hAnsi="Times New Roman" w:eastAsia="宋体"/>
                <w:b w:val="0"/>
                <w:color w:val="auto"/>
                <w:sz w:val="18"/>
              </w:rPr>
              <w:t>铥</w:t>
            </w:r>
          </w:p>
        </w:tc>
        <w:tc>
          <w:tcPr>
            <w:tcW w:w="2381" w:type="dxa"/>
          </w:tcPr>
          <w:p w14:paraId="2DD88F0B">
            <w:pPr>
              <w:spacing w:after="0" w:line="240" w:lineRule="auto"/>
              <w:jc w:val="center"/>
              <w:rPr>
                <w:color w:val="auto"/>
              </w:rPr>
            </w:pPr>
            <w:r>
              <w:rPr>
                <w:rFonts w:ascii="Times New Roman" w:hAnsi="Times New Roman" w:eastAsia="宋体"/>
                <w:b w:val="0"/>
                <w:color w:val="auto"/>
                <w:sz w:val="18"/>
              </w:rPr>
              <w:t>氧化铥</w:t>
            </w:r>
          </w:p>
        </w:tc>
        <w:tc>
          <w:tcPr>
            <w:tcW w:w="1361" w:type="dxa"/>
          </w:tcPr>
          <w:p w14:paraId="0FA06BD7">
            <w:pPr>
              <w:spacing w:after="0" w:line="240" w:lineRule="auto"/>
              <w:jc w:val="center"/>
              <w:rPr>
                <w:color w:val="auto"/>
              </w:rPr>
            </w:pPr>
            <w:r>
              <w:rPr>
                <w:rFonts w:ascii="Times New Roman" w:hAnsi="Times New Roman" w:eastAsia="宋体"/>
                <w:b w:val="0"/>
                <w:color w:val="auto"/>
                <w:sz w:val="18"/>
              </w:rPr>
              <w:t>0.1142</w:t>
            </w:r>
          </w:p>
        </w:tc>
        <w:tc>
          <w:tcPr>
            <w:tcW w:w="4195" w:type="dxa"/>
          </w:tcPr>
          <w:p w14:paraId="31AE73CE">
            <w:pPr>
              <w:spacing w:after="0" w:line="240" w:lineRule="auto"/>
              <w:jc w:val="center"/>
              <w:rPr>
                <w:color w:val="auto"/>
              </w:rPr>
            </w:pPr>
            <w:r>
              <w:rPr>
                <w:rFonts w:ascii="Times New Roman" w:hAnsi="Times New Roman" w:eastAsia="宋体"/>
                <w:b w:val="0"/>
                <w:color w:val="auto"/>
                <w:sz w:val="18"/>
              </w:rPr>
              <w:t>10 mL盐酸（1+1）</w:t>
            </w:r>
          </w:p>
        </w:tc>
      </w:tr>
      <w:tr w14:paraId="6B89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702F6A1F">
            <w:pPr>
              <w:spacing w:after="0" w:line="240" w:lineRule="auto"/>
              <w:jc w:val="center"/>
              <w:rPr>
                <w:color w:val="auto"/>
              </w:rPr>
            </w:pPr>
            <w:r>
              <w:rPr>
                <w:rFonts w:ascii="Times New Roman" w:hAnsi="Times New Roman" w:eastAsia="宋体"/>
                <w:b w:val="0"/>
                <w:color w:val="auto"/>
                <w:sz w:val="18"/>
              </w:rPr>
              <w:t>镱</w:t>
            </w:r>
          </w:p>
        </w:tc>
        <w:tc>
          <w:tcPr>
            <w:tcW w:w="2381" w:type="dxa"/>
          </w:tcPr>
          <w:p w14:paraId="6A418A85">
            <w:pPr>
              <w:spacing w:after="0" w:line="240" w:lineRule="auto"/>
              <w:jc w:val="center"/>
              <w:rPr>
                <w:color w:val="auto"/>
              </w:rPr>
            </w:pPr>
            <w:r>
              <w:rPr>
                <w:rFonts w:ascii="Times New Roman" w:hAnsi="Times New Roman" w:eastAsia="宋体"/>
                <w:b w:val="0"/>
                <w:color w:val="auto"/>
                <w:sz w:val="18"/>
              </w:rPr>
              <w:t>氧化镱</w:t>
            </w:r>
          </w:p>
        </w:tc>
        <w:tc>
          <w:tcPr>
            <w:tcW w:w="1361" w:type="dxa"/>
          </w:tcPr>
          <w:p w14:paraId="1D01711B">
            <w:pPr>
              <w:spacing w:after="0" w:line="240" w:lineRule="auto"/>
              <w:jc w:val="center"/>
              <w:rPr>
                <w:color w:val="auto"/>
              </w:rPr>
            </w:pPr>
            <w:r>
              <w:rPr>
                <w:rFonts w:ascii="Times New Roman" w:hAnsi="Times New Roman" w:eastAsia="宋体"/>
                <w:b w:val="0"/>
                <w:color w:val="auto"/>
                <w:sz w:val="18"/>
              </w:rPr>
              <w:t>0.1139</w:t>
            </w:r>
          </w:p>
        </w:tc>
        <w:tc>
          <w:tcPr>
            <w:tcW w:w="4195" w:type="dxa"/>
          </w:tcPr>
          <w:p w14:paraId="7B8005BF">
            <w:pPr>
              <w:spacing w:after="0" w:line="240" w:lineRule="auto"/>
              <w:jc w:val="center"/>
              <w:rPr>
                <w:color w:val="auto"/>
              </w:rPr>
            </w:pPr>
            <w:r>
              <w:rPr>
                <w:rFonts w:ascii="Times New Roman" w:hAnsi="Times New Roman" w:eastAsia="宋体"/>
                <w:b w:val="0"/>
                <w:color w:val="auto"/>
                <w:sz w:val="18"/>
              </w:rPr>
              <w:t>10 mL盐酸（1+1）</w:t>
            </w:r>
          </w:p>
        </w:tc>
      </w:tr>
      <w:tr w14:paraId="2CEFF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4B362288">
            <w:pPr>
              <w:spacing w:after="0" w:line="240" w:lineRule="auto"/>
              <w:jc w:val="center"/>
              <w:rPr>
                <w:color w:val="auto"/>
              </w:rPr>
            </w:pPr>
            <w:r>
              <w:rPr>
                <w:rFonts w:ascii="Times New Roman" w:hAnsi="Times New Roman" w:eastAsia="宋体"/>
                <w:b w:val="0"/>
                <w:color w:val="auto"/>
                <w:sz w:val="18"/>
              </w:rPr>
              <w:t>镥</w:t>
            </w:r>
          </w:p>
        </w:tc>
        <w:tc>
          <w:tcPr>
            <w:tcW w:w="2381" w:type="dxa"/>
          </w:tcPr>
          <w:p w14:paraId="055AEFD5">
            <w:pPr>
              <w:spacing w:after="0" w:line="240" w:lineRule="auto"/>
              <w:jc w:val="center"/>
              <w:rPr>
                <w:color w:val="auto"/>
              </w:rPr>
            </w:pPr>
            <w:r>
              <w:rPr>
                <w:rFonts w:ascii="Times New Roman" w:hAnsi="Times New Roman" w:eastAsia="宋体"/>
                <w:b w:val="0"/>
                <w:color w:val="auto"/>
                <w:sz w:val="18"/>
              </w:rPr>
              <w:t>氧化镥</w:t>
            </w:r>
          </w:p>
        </w:tc>
        <w:tc>
          <w:tcPr>
            <w:tcW w:w="1361" w:type="dxa"/>
          </w:tcPr>
          <w:p w14:paraId="147AA43A">
            <w:pPr>
              <w:spacing w:after="0" w:line="240" w:lineRule="auto"/>
              <w:jc w:val="center"/>
              <w:rPr>
                <w:color w:val="auto"/>
              </w:rPr>
            </w:pPr>
            <w:r>
              <w:rPr>
                <w:rFonts w:ascii="Times New Roman" w:hAnsi="Times New Roman" w:eastAsia="宋体"/>
                <w:b w:val="0"/>
                <w:color w:val="auto"/>
                <w:sz w:val="18"/>
              </w:rPr>
              <w:t>0.1137</w:t>
            </w:r>
          </w:p>
        </w:tc>
        <w:tc>
          <w:tcPr>
            <w:tcW w:w="4195" w:type="dxa"/>
          </w:tcPr>
          <w:p w14:paraId="35C53572">
            <w:pPr>
              <w:spacing w:after="0" w:line="240" w:lineRule="auto"/>
              <w:jc w:val="center"/>
              <w:rPr>
                <w:color w:val="auto"/>
              </w:rPr>
            </w:pPr>
            <w:r>
              <w:rPr>
                <w:rFonts w:ascii="Times New Roman" w:hAnsi="Times New Roman" w:eastAsia="宋体"/>
                <w:b w:val="0"/>
                <w:color w:val="auto"/>
                <w:sz w:val="18"/>
              </w:rPr>
              <w:t>10 mL盐酸（1+1）</w:t>
            </w:r>
          </w:p>
        </w:tc>
      </w:tr>
    </w:tbl>
    <w:p w14:paraId="7C3309FB">
      <w:pPr>
        <w:ind w:firstLine="420" w:firstLineChars="200"/>
        <w:rPr>
          <w:rFonts w:hint="eastAsia"/>
          <w:color w:val="auto"/>
          <w:szCs w:val="21"/>
        </w:rPr>
      </w:pPr>
      <w:r>
        <w:rPr>
          <w:rFonts w:hint="eastAsia"/>
          <w:color w:val="auto"/>
          <w:szCs w:val="21"/>
        </w:rPr>
        <w:t>注：所用氧化物均为经950 ℃灼烧1 h的氧化物，w(REO)≥99.5%，w(单一氧化物/REO)≥99.99%；其中铈、镨、铽为变价元素，按灼烧后稳定形态CeO</w:t>
      </w:r>
      <w:r>
        <w:rPr>
          <w:rFonts w:hint="eastAsia" w:ascii="Times New Roman" w:hAnsi="Times New Roman" w:eastAsia="宋体"/>
          <w:b w:val="0"/>
          <w:color w:val="auto"/>
          <w:sz w:val="18"/>
          <w:vertAlign w:val="subscript"/>
        </w:rPr>
        <w:t>2</w:t>
      </w:r>
      <w:r>
        <w:rPr>
          <w:rFonts w:hint="eastAsia"/>
          <w:color w:val="auto"/>
          <w:szCs w:val="21"/>
        </w:rPr>
        <w:t>、Pr</w:t>
      </w:r>
      <w:r>
        <w:rPr>
          <w:rFonts w:hint="eastAsia" w:ascii="Times New Roman" w:hAnsi="Times New Roman" w:eastAsia="宋体"/>
          <w:b w:val="0"/>
          <w:color w:val="auto"/>
          <w:sz w:val="18"/>
          <w:vertAlign w:val="subscript"/>
        </w:rPr>
        <w:t>6</w:t>
      </w:r>
      <w:r>
        <w:rPr>
          <w:rFonts w:hint="eastAsia"/>
          <w:color w:val="auto"/>
          <w:szCs w:val="21"/>
        </w:rPr>
        <w:t>O</w:t>
      </w:r>
      <w:r>
        <w:rPr>
          <w:rFonts w:hint="eastAsia" w:ascii="Times New Roman" w:hAnsi="Times New Roman" w:eastAsia="宋体"/>
          <w:b w:val="0"/>
          <w:color w:val="auto"/>
          <w:sz w:val="18"/>
          <w:vertAlign w:val="subscript"/>
        </w:rPr>
        <w:t>11</w:t>
      </w:r>
      <w:r>
        <w:rPr>
          <w:rFonts w:hint="eastAsia"/>
          <w:color w:val="auto"/>
          <w:szCs w:val="21"/>
        </w:rPr>
        <w:t>、Tb</w:t>
      </w:r>
      <w:r>
        <w:rPr>
          <w:rFonts w:hint="eastAsia" w:ascii="Times New Roman" w:hAnsi="Times New Roman" w:eastAsia="宋体"/>
          <w:b w:val="0"/>
          <w:color w:val="auto"/>
          <w:sz w:val="18"/>
          <w:vertAlign w:val="subscript"/>
        </w:rPr>
        <w:t>4</w:t>
      </w:r>
      <w:r>
        <w:rPr>
          <w:rFonts w:hint="eastAsia"/>
          <w:color w:val="auto"/>
          <w:szCs w:val="21"/>
        </w:rPr>
        <w:t>O</w:t>
      </w:r>
      <w:r>
        <w:rPr>
          <w:rFonts w:hint="eastAsia" w:ascii="Times New Roman" w:hAnsi="Times New Roman" w:eastAsia="宋体"/>
          <w:b w:val="0"/>
          <w:color w:val="auto"/>
          <w:sz w:val="18"/>
          <w:vertAlign w:val="subscript"/>
        </w:rPr>
        <w:t>7</w:t>
      </w:r>
      <w:r>
        <w:rPr>
          <w:rFonts w:hint="eastAsia"/>
          <w:color w:val="auto"/>
          <w:szCs w:val="21"/>
        </w:rPr>
        <w:t>计量。各氧化物加10 mL酸后低温加热至溶解完全（加过氧化氢者，溶解不清时滴加），冷却至室温，移入100 mL容量瓶中，以水稀释至刻度，混匀。此溶液1 mL含1 mg该元素；进一步以盐酸（</w:t>
      </w:r>
      <w:r>
        <w:rPr>
          <w:rFonts w:hint="eastAsia"/>
          <w:color w:val="auto"/>
          <w:szCs w:val="21"/>
          <w:lang w:eastAsia="zh-CN"/>
        </w:rPr>
        <w:t>A.2</w:t>
      </w:r>
      <w:r>
        <w:rPr>
          <w:rFonts w:hint="eastAsia"/>
          <w:color w:val="auto"/>
          <w:szCs w:val="21"/>
        </w:rPr>
        <w:t>.3.2）稀释成1 mL含100 μg的标准溶液。</w:t>
      </w:r>
    </w:p>
    <w:p w14:paraId="4D88E955">
      <w:pPr>
        <w:rPr>
          <w:rFonts w:hint="eastAsia"/>
          <w:color w:val="auto"/>
          <w:szCs w:val="21"/>
        </w:rPr>
      </w:pPr>
      <w:r>
        <w:rPr>
          <w:rFonts w:hint="eastAsia" w:ascii="黑体" w:hAnsi="黑体" w:eastAsia="黑体"/>
          <w:color w:val="auto"/>
          <w:sz w:val="21"/>
          <w:szCs w:val="21"/>
          <w:lang w:val="en-US" w:eastAsia="zh-CN"/>
        </w:rPr>
        <w:t>A.2.3.6　</w:t>
      </w:r>
      <w:r>
        <w:rPr>
          <w:rFonts w:hint="eastAsia"/>
          <w:color w:val="auto"/>
          <w:szCs w:val="21"/>
        </w:rPr>
        <w:t>混合标准溶液：分别移取单一稀土标准贮存溶液（</w:t>
      </w:r>
      <w:r>
        <w:rPr>
          <w:rFonts w:hint="eastAsia"/>
          <w:color w:val="auto"/>
          <w:szCs w:val="21"/>
          <w:lang w:eastAsia="zh-CN"/>
        </w:rPr>
        <w:t>A.2</w:t>
      </w:r>
      <w:r>
        <w:rPr>
          <w:rFonts w:hint="eastAsia"/>
          <w:color w:val="auto"/>
          <w:szCs w:val="21"/>
        </w:rPr>
        <w:t>.3.5）各</w:t>
      </w:r>
      <w:r>
        <w:rPr>
          <w:rFonts w:hint="eastAsia"/>
          <w:color w:val="auto"/>
          <w:szCs w:val="21"/>
          <w:lang w:val="en-US" w:eastAsia="zh-CN"/>
        </w:rPr>
        <w:t>5</w:t>
      </w:r>
      <w:r>
        <w:rPr>
          <w:rFonts w:hint="eastAsia"/>
          <w:color w:val="auto"/>
          <w:szCs w:val="21"/>
        </w:rPr>
        <w:t>.00 mL于100 mL容量瓶中，以盐酸（</w:t>
      </w:r>
      <w:r>
        <w:rPr>
          <w:rFonts w:hint="eastAsia"/>
          <w:color w:val="auto"/>
          <w:szCs w:val="21"/>
          <w:lang w:eastAsia="zh-CN"/>
        </w:rPr>
        <w:t>A.2</w:t>
      </w:r>
      <w:r>
        <w:rPr>
          <w:rFonts w:hint="eastAsia"/>
          <w:color w:val="auto"/>
          <w:szCs w:val="21"/>
        </w:rPr>
        <w:t>.3.2）稀释至刻度，混匀。此溶液1 mL含各稀土元素</w:t>
      </w:r>
      <w:r>
        <w:rPr>
          <w:rFonts w:hint="eastAsia"/>
          <w:color w:val="auto"/>
          <w:szCs w:val="21"/>
          <w:lang w:val="en-US" w:eastAsia="zh-CN"/>
        </w:rPr>
        <w:t>5</w:t>
      </w:r>
      <w:r>
        <w:rPr>
          <w:rFonts w:hint="eastAsia"/>
          <w:color w:val="auto"/>
          <w:szCs w:val="21"/>
        </w:rPr>
        <w:t>0 μg。</w:t>
      </w:r>
    </w:p>
    <w:p w14:paraId="6DE02799">
      <w:pPr>
        <w:rPr>
          <w:rFonts w:hint="eastAsia"/>
          <w:color w:val="auto"/>
          <w:szCs w:val="21"/>
        </w:rPr>
      </w:pPr>
      <w:r>
        <w:rPr>
          <w:rFonts w:hint="eastAsia" w:ascii="黑体" w:hAnsi="黑体" w:eastAsia="黑体"/>
          <w:color w:val="auto"/>
          <w:sz w:val="21"/>
          <w:szCs w:val="21"/>
          <w:lang w:val="en-US" w:eastAsia="zh-CN"/>
        </w:rPr>
        <w:t>A.2.3.7　</w:t>
      </w:r>
      <w:r>
        <w:rPr>
          <w:rFonts w:hint="eastAsia"/>
          <w:color w:val="auto"/>
          <w:szCs w:val="21"/>
        </w:rPr>
        <w:t>钇基体贮存溶液：称取7.937 8 g经950 ℃灼烧1 h的氧化钇[w(REO)≥99.5%，w(Y</w:t>
      </w:r>
      <w:r>
        <w:rPr>
          <w:rFonts w:hint="eastAsia" w:ascii="Times New Roman" w:hAnsi="Times New Roman" w:cs="Times New Roman"/>
          <w:color w:val="auto"/>
          <w:szCs w:val="21"/>
          <w:vertAlign w:val="subscript"/>
        </w:rPr>
        <w:t>2</w:t>
      </w:r>
      <w:r>
        <w:rPr>
          <w:rFonts w:hint="eastAsia"/>
          <w:color w:val="auto"/>
          <w:szCs w:val="21"/>
        </w:rPr>
        <w:t>O</w:t>
      </w:r>
      <w:r>
        <w:rPr>
          <w:rFonts w:hint="eastAsia" w:ascii="Times New Roman" w:hAnsi="Times New Roman" w:cs="Times New Roman"/>
          <w:color w:val="auto"/>
          <w:szCs w:val="21"/>
          <w:vertAlign w:val="subscript"/>
        </w:rPr>
        <w:t>3</w:t>
      </w:r>
      <w:r>
        <w:rPr>
          <w:rFonts w:hint="eastAsia"/>
          <w:color w:val="auto"/>
          <w:szCs w:val="21"/>
        </w:rPr>
        <w:t>/REO)≥99.99%]于300 mL烧杯中，加入50 mL盐酸（</w:t>
      </w:r>
      <w:r>
        <w:rPr>
          <w:rFonts w:hint="eastAsia"/>
          <w:color w:val="auto"/>
          <w:szCs w:val="21"/>
          <w:lang w:eastAsia="zh-CN"/>
        </w:rPr>
        <w:t>A.2</w:t>
      </w:r>
      <w:r>
        <w:rPr>
          <w:rFonts w:hint="eastAsia"/>
          <w:color w:val="auto"/>
          <w:szCs w:val="21"/>
        </w:rPr>
        <w:t>.3.1），低温加热溶解至清亮，冷却至室温，移入250 mL容量瓶中，以水稀释至刻度，混匀。此溶液1 mL含25 mg钇。</w:t>
      </w:r>
    </w:p>
    <w:p w14:paraId="1101F739">
      <w:pPr>
        <w:rPr>
          <w:rFonts w:hint="eastAsia"/>
          <w:color w:val="auto"/>
          <w:szCs w:val="21"/>
        </w:rPr>
      </w:pPr>
      <w:r>
        <w:rPr>
          <w:rFonts w:hint="eastAsia" w:ascii="黑体" w:hAnsi="黑体" w:eastAsia="黑体"/>
          <w:color w:val="auto"/>
          <w:sz w:val="21"/>
          <w:szCs w:val="21"/>
          <w:lang w:val="en-US" w:eastAsia="zh-CN"/>
        </w:rPr>
        <w:t>A.2.3.8　</w:t>
      </w:r>
      <w:r>
        <w:rPr>
          <w:rFonts w:hint="eastAsia"/>
          <w:color w:val="auto"/>
          <w:szCs w:val="21"/>
        </w:rPr>
        <w:t>镁基体贮存溶液：称取4.145 5 g经950 ℃灼烧1 h的氧化镁[w(MgO)≥99.99%]于100 mL烧杯中，加入20 mL盐酸（</w:t>
      </w:r>
      <w:r>
        <w:rPr>
          <w:rFonts w:hint="eastAsia"/>
          <w:color w:val="auto"/>
          <w:szCs w:val="21"/>
          <w:lang w:eastAsia="zh-CN"/>
        </w:rPr>
        <w:t>A.2</w:t>
      </w:r>
      <w:r>
        <w:rPr>
          <w:rFonts w:hint="eastAsia"/>
          <w:color w:val="auto"/>
          <w:szCs w:val="21"/>
        </w:rPr>
        <w:t>.3.1），低温加热溶解至清亮，冷却至室温，移入100 mL容量瓶中，以水稀释至刻度，混匀。此溶液1 mL含25 mg镁。</w:t>
      </w:r>
    </w:p>
    <w:p w14:paraId="6267EBC4">
      <w:pPr>
        <w:rPr>
          <w:rFonts w:hint="eastAsia"/>
          <w:color w:val="auto"/>
          <w:szCs w:val="21"/>
        </w:rPr>
      </w:pPr>
      <w:r>
        <w:rPr>
          <w:rFonts w:hint="eastAsia" w:ascii="黑体" w:hAnsi="黑体" w:eastAsia="黑体"/>
          <w:color w:val="auto"/>
          <w:sz w:val="21"/>
          <w:szCs w:val="21"/>
          <w:lang w:val="en-US" w:eastAsia="zh-CN"/>
        </w:rPr>
        <w:t>A.2.3.9　</w:t>
      </w:r>
      <w:r>
        <w:rPr>
          <w:rFonts w:hint="eastAsia"/>
          <w:color w:val="auto"/>
          <w:szCs w:val="21"/>
        </w:rPr>
        <w:t>氩气（纯度≥99.99%）。</w:t>
      </w:r>
    </w:p>
    <w:p w14:paraId="69828042">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A.2.4　仪器</w:t>
      </w:r>
    </w:p>
    <w:p w14:paraId="5FF390EE">
      <w:pPr>
        <w:rPr>
          <w:rFonts w:hint="eastAsia"/>
          <w:color w:val="auto"/>
          <w:szCs w:val="21"/>
        </w:rPr>
      </w:pPr>
      <w:r>
        <w:rPr>
          <w:rFonts w:hint="eastAsia" w:ascii="黑体" w:hAnsi="黑体" w:eastAsia="黑体"/>
          <w:color w:val="auto"/>
          <w:sz w:val="21"/>
          <w:szCs w:val="21"/>
          <w:lang w:val="en-US" w:eastAsia="zh-CN"/>
        </w:rPr>
        <w:t>A.2.4.1　</w:t>
      </w:r>
      <w:r>
        <w:rPr>
          <w:rFonts w:hint="eastAsia"/>
          <w:color w:val="auto"/>
          <w:szCs w:val="21"/>
        </w:rPr>
        <w:t>电感耦合等离子体原子发射光谱仪：分辨率&lt;0.006 nm（200 nm处）。</w:t>
      </w:r>
    </w:p>
    <w:p w14:paraId="1FFE8FA7">
      <w:pPr>
        <w:rPr>
          <w:rFonts w:hint="eastAsia"/>
          <w:color w:val="auto"/>
          <w:szCs w:val="21"/>
        </w:rPr>
      </w:pPr>
      <w:r>
        <w:rPr>
          <w:rFonts w:hint="eastAsia" w:ascii="黑体" w:hAnsi="黑体" w:eastAsia="黑体"/>
          <w:color w:val="auto"/>
          <w:sz w:val="21"/>
          <w:szCs w:val="21"/>
          <w:lang w:val="en-US" w:eastAsia="zh-CN"/>
        </w:rPr>
        <w:t>A.2.4.2　</w:t>
      </w:r>
      <w:r>
        <w:rPr>
          <w:rFonts w:hint="eastAsia"/>
          <w:color w:val="auto"/>
          <w:szCs w:val="21"/>
        </w:rPr>
        <w:t>天平，感量0.1 mg。</w:t>
      </w:r>
    </w:p>
    <w:p w14:paraId="5A4424F7">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A.2.5　试样</w:t>
      </w:r>
    </w:p>
    <w:p w14:paraId="196FC81B">
      <w:pPr>
        <w:spacing w:before="0" w:after="80"/>
        <w:rPr>
          <w:color w:val="auto"/>
          <w:sz w:val="21"/>
          <w:szCs w:val="21"/>
        </w:rPr>
      </w:pPr>
      <w:r>
        <w:rPr>
          <w:rFonts w:ascii="Times New Roman" w:hAnsi="Times New Roman" w:eastAsia="宋体"/>
          <w:b w:val="0"/>
          <w:color w:val="auto"/>
          <w:sz w:val="21"/>
          <w:szCs w:val="21"/>
        </w:rPr>
        <w:t>　　同</w:t>
      </w:r>
      <w:r>
        <w:rPr>
          <w:rFonts w:hint="eastAsia"/>
          <w:b w:val="0"/>
          <w:color w:val="auto"/>
          <w:sz w:val="21"/>
          <w:szCs w:val="21"/>
          <w:lang w:eastAsia="zh-CN"/>
        </w:rPr>
        <w:t>A.1</w:t>
      </w:r>
      <w:r>
        <w:rPr>
          <w:rFonts w:ascii="Times New Roman" w:hAnsi="Times New Roman" w:eastAsia="宋体"/>
          <w:b w:val="0"/>
          <w:color w:val="auto"/>
          <w:sz w:val="21"/>
          <w:szCs w:val="21"/>
        </w:rPr>
        <w:t>.5。</w:t>
      </w:r>
    </w:p>
    <w:p w14:paraId="7C96A020">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A.2.6　分析步骤</w:t>
      </w:r>
    </w:p>
    <w:p w14:paraId="6C86CF2D">
      <w:pPr>
        <w:rPr>
          <w:rFonts w:hint="eastAsia"/>
          <w:color w:val="auto"/>
          <w:szCs w:val="21"/>
        </w:rPr>
      </w:pPr>
      <w:r>
        <w:rPr>
          <w:rFonts w:hint="eastAsia" w:ascii="黑体" w:hAnsi="黑体" w:eastAsia="黑体"/>
          <w:color w:val="auto"/>
          <w:sz w:val="21"/>
          <w:szCs w:val="21"/>
          <w:lang w:val="en-US" w:eastAsia="zh-CN"/>
        </w:rPr>
        <w:t>A.2.6.1　</w:t>
      </w:r>
      <w:r>
        <w:rPr>
          <w:rFonts w:hint="eastAsia"/>
          <w:color w:val="auto"/>
          <w:szCs w:val="21"/>
        </w:rPr>
        <w:t>试料　称取2.5 g试样（</w:t>
      </w:r>
      <w:r>
        <w:rPr>
          <w:rFonts w:hint="eastAsia"/>
          <w:color w:val="auto"/>
          <w:szCs w:val="21"/>
          <w:lang w:eastAsia="zh-CN"/>
        </w:rPr>
        <w:t>A.2</w:t>
      </w:r>
      <w:r>
        <w:rPr>
          <w:rFonts w:hint="eastAsia"/>
          <w:color w:val="auto"/>
          <w:szCs w:val="21"/>
        </w:rPr>
        <w:t>.5），精确至0.0001 g。</w:t>
      </w:r>
    </w:p>
    <w:p w14:paraId="3C551AA8">
      <w:pPr>
        <w:rPr>
          <w:rFonts w:hint="eastAsia"/>
          <w:color w:val="auto"/>
          <w:szCs w:val="21"/>
        </w:rPr>
      </w:pPr>
      <w:r>
        <w:rPr>
          <w:rFonts w:hint="eastAsia" w:ascii="黑体" w:hAnsi="黑体" w:eastAsia="黑体"/>
          <w:color w:val="auto"/>
          <w:sz w:val="21"/>
          <w:szCs w:val="21"/>
          <w:lang w:val="en-US" w:eastAsia="zh-CN"/>
        </w:rPr>
        <w:t>A.2.6.2　</w:t>
      </w:r>
      <w:r>
        <w:rPr>
          <w:rFonts w:hint="eastAsia"/>
          <w:color w:val="auto"/>
          <w:szCs w:val="21"/>
        </w:rPr>
        <w:t>测定数量　称取两份试料（</w:t>
      </w:r>
      <w:r>
        <w:rPr>
          <w:rFonts w:hint="eastAsia"/>
          <w:color w:val="auto"/>
          <w:szCs w:val="21"/>
          <w:lang w:eastAsia="zh-CN"/>
        </w:rPr>
        <w:t>A.2</w:t>
      </w:r>
      <w:r>
        <w:rPr>
          <w:rFonts w:hint="eastAsia"/>
          <w:color w:val="auto"/>
          <w:szCs w:val="21"/>
        </w:rPr>
        <w:t>.6.1）进行平行测定，取其平均值。</w:t>
      </w:r>
    </w:p>
    <w:p w14:paraId="089F055E">
      <w:pPr>
        <w:rPr>
          <w:rFonts w:hint="eastAsia"/>
          <w:color w:val="auto"/>
          <w:szCs w:val="21"/>
        </w:rPr>
      </w:pPr>
      <w:r>
        <w:rPr>
          <w:rFonts w:hint="eastAsia" w:ascii="黑体" w:hAnsi="黑体" w:eastAsia="黑体"/>
          <w:color w:val="auto"/>
          <w:sz w:val="21"/>
          <w:szCs w:val="21"/>
          <w:lang w:val="en-US" w:eastAsia="zh-CN"/>
        </w:rPr>
        <w:t>A.2.6.3　</w:t>
      </w:r>
      <w:r>
        <w:rPr>
          <w:rFonts w:hint="eastAsia"/>
          <w:color w:val="auto"/>
          <w:szCs w:val="21"/>
        </w:rPr>
        <w:t>空白试验　随同试料（</w:t>
      </w:r>
      <w:r>
        <w:rPr>
          <w:rFonts w:hint="eastAsia"/>
          <w:color w:val="auto"/>
          <w:szCs w:val="21"/>
          <w:lang w:eastAsia="zh-CN"/>
        </w:rPr>
        <w:t>A.2</w:t>
      </w:r>
      <w:r>
        <w:rPr>
          <w:rFonts w:hint="eastAsia"/>
          <w:color w:val="auto"/>
          <w:szCs w:val="21"/>
        </w:rPr>
        <w:t>.6.1）做空白试验。</w:t>
      </w:r>
    </w:p>
    <w:p w14:paraId="6A5569EB">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A.2.6.4　分析试液的制备</w:t>
      </w:r>
    </w:p>
    <w:p w14:paraId="09E8F64E">
      <w:pPr>
        <w:ind w:firstLine="420" w:firstLineChars="200"/>
        <w:rPr>
          <w:rFonts w:hint="eastAsia"/>
          <w:color w:val="auto"/>
          <w:szCs w:val="21"/>
        </w:rPr>
      </w:pPr>
      <w:r>
        <w:rPr>
          <w:rFonts w:hint="eastAsia"/>
          <w:color w:val="auto"/>
          <w:szCs w:val="21"/>
        </w:rPr>
        <w:t>将试料（</w:t>
      </w:r>
      <w:r>
        <w:rPr>
          <w:rFonts w:hint="eastAsia"/>
          <w:color w:val="auto"/>
          <w:szCs w:val="21"/>
          <w:lang w:eastAsia="zh-CN"/>
        </w:rPr>
        <w:t>A.2</w:t>
      </w:r>
      <w:r>
        <w:rPr>
          <w:rFonts w:hint="eastAsia"/>
          <w:color w:val="auto"/>
          <w:szCs w:val="21"/>
        </w:rPr>
        <w:t>.6.1）置于200 mL烧杯中，加入50 mL水，分次加入40 mL盐酸（</w:t>
      </w:r>
      <w:r>
        <w:rPr>
          <w:rFonts w:hint="eastAsia"/>
          <w:color w:val="auto"/>
          <w:szCs w:val="21"/>
          <w:lang w:eastAsia="zh-CN"/>
        </w:rPr>
        <w:t>A.2</w:t>
      </w:r>
      <w:r>
        <w:rPr>
          <w:rFonts w:hint="eastAsia"/>
          <w:color w:val="auto"/>
          <w:szCs w:val="21"/>
        </w:rPr>
        <w:t>.3.1），加热至溶解完全，冷却至室温，移入100 mL容量瓶中，以水稀释至刻度，混匀。移取10.00 mL于100 mL容量瓶中，以盐酸（</w:t>
      </w:r>
      <w:r>
        <w:rPr>
          <w:rFonts w:hint="eastAsia"/>
          <w:color w:val="auto"/>
          <w:szCs w:val="21"/>
          <w:lang w:eastAsia="zh-CN"/>
        </w:rPr>
        <w:t>A.2</w:t>
      </w:r>
      <w:r>
        <w:rPr>
          <w:rFonts w:hint="eastAsia"/>
          <w:color w:val="auto"/>
          <w:szCs w:val="21"/>
        </w:rPr>
        <w:t>.3.2）稀释至刻度，混匀。</w:t>
      </w:r>
    </w:p>
    <w:p w14:paraId="5A2659BF">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A.2.6.5　标准系列溶液的配制</w:t>
      </w:r>
    </w:p>
    <w:p w14:paraId="7E366356">
      <w:pPr>
        <w:ind w:firstLine="420" w:firstLineChars="200"/>
        <w:rPr>
          <w:rFonts w:hint="eastAsia"/>
          <w:color w:val="auto"/>
          <w:szCs w:val="21"/>
        </w:rPr>
      </w:pPr>
      <w:r>
        <w:rPr>
          <w:rFonts w:hint="eastAsia"/>
          <w:color w:val="auto"/>
          <w:szCs w:val="21"/>
        </w:rPr>
        <w:t>根据不同牌号钇镁合金中钇和镁的含量，配制不同基体量的标准系列溶液，见表A.7。</w:t>
      </w:r>
    </w:p>
    <w:p w14:paraId="2FAEE4C5">
      <w:pPr>
        <w:spacing w:before="120" w:after="40"/>
        <w:jc w:val="center"/>
        <w:rPr>
          <w:color w:val="auto"/>
        </w:rPr>
      </w:pPr>
      <w:r>
        <w:rPr>
          <w:rFonts w:ascii="Times New Roman" w:hAnsi="Times New Roman" w:eastAsia="宋体"/>
          <w:b/>
          <w:color w:val="auto"/>
          <w:sz w:val="21"/>
        </w:rPr>
        <w:t>表A.7　不同牌号钇镁合金的标准系列基体量</w:t>
      </w:r>
    </w:p>
    <w:tbl>
      <w:tblPr>
        <w:tblStyle w:val="13"/>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9"/>
        <w:gridCol w:w="1125"/>
        <w:gridCol w:w="1093"/>
        <w:gridCol w:w="2004"/>
        <w:gridCol w:w="1157"/>
        <w:gridCol w:w="1824"/>
        <w:gridCol w:w="1377"/>
      </w:tblGrid>
      <w:tr w14:paraId="70B1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9" w:type="dxa"/>
          </w:tcPr>
          <w:p w14:paraId="1AD20E90">
            <w:pPr>
              <w:spacing w:after="0" w:line="240" w:lineRule="auto"/>
              <w:jc w:val="center"/>
              <w:rPr>
                <w:color w:val="auto"/>
              </w:rPr>
            </w:pPr>
            <w:r>
              <w:rPr>
                <w:rFonts w:ascii="Times New Roman" w:hAnsi="Times New Roman" w:eastAsia="宋体"/>
                <w:b/>
                <w:color w:val="auto"/>
                <w:sz w:val="18"/>
              </w:rPr>
              <w:t>产品牌号</w:t>
            </w:r>
          </w:p>
        </w:tc>
        <w:tc>
          <w:tcPr>
            <w:tcW w:w="1125" w:type="dxa"/>
          </w:tcPr>
          <w:p w14:paraId="191686E0">
            <w:pPr>
              <w:spacing w:after="0" w:line="240" w:lineRule="auto"/>
              <w:jc w:val="center"/>
              <w:rPr>
                <w:color w:val="auto"/>
              </w:rPr>
            </w:pPr>
            <w:r>
              <w:rPr>
                <w:rFonts w:ascii="Times New Roman" w:hAnsi="Times New Roman" w:eastAsia="宋体"/>
                <w:b/>
                <w:color w:val="auto"/>
                <w:sz w:val="18"/>
              </w:rPr>
              <w:t>钇含量/%</w:t>
            </w:r>
          </w:p>
        </w:tc>
        <w:tc>
          <w:tcPr>
            <w:tcW w:w="1093" w:type="dxa"/>
          </w:tcPr>
          <w:p w14:paraId="60EACF9C">
            <w:pPr>
              <w:spacing w:after="0" w:line="240" w:lineRule="auto"/>
              <w:jc w:val="center"/>
              <w:rPr>
                <w:color w:val="auto"/>
              </w:rPr>
            </w:pPr>
            <w:r>
              <w:rPr>
                <w:rFonts w:ascii="Times New Roman" w:hAnsi="Times New Roman" w:eastAsia="宋体"/>
                <w:b/>
                <w:color w:val="auto"/>
                <w:sz w:val="18"/>
              </w:rPr>
              <w:t>镁含量/%</w:t>
            </w:r>
          </w:p>
        </w:tc>
        <w:tc>
          <w:tcPr>
            <w:tcW w:w="2004" w:type="dxa"/>
          </w:tcPr>
          <w:p w14:paraId="0966E87A">
            <w:pPr>
              <w:spacing w:after="0" w:line="240" w:lineRule="auto"/>
              <w:jc w:val="center"/>
              <w:rPr>
                <w:color w:val="auto"/>
              </w:rPr>
            </w:pPr>
            <w:r>
              <w:rPr>
                <w:rFonts w:ascii="Times New Roman" w:hAnsi="Times New Roman" w:eastAsia="宋体"/>
                <w:b/>
                <w:color w:val="auto"/>
                <w:sz w:val="18"/>
              </w:rPr>
              <w:t>加入钇基体贮存溶液（</w:t>
            </w:r>
            <w:r>
              <w:rPr>
                <w:rFonts w:hint="eastAsia"/>
                <w:b/>
                <w:color w:val="auto"/>
                <w:sz w:val="18"/>
                <w:lang w:eastAsia="zh-CN"/>
              </w:rPr>
              <w:t>A.2</w:t>
            </w:r>
            <w:r>
              <w:rPr>
                <w:rFonts w:ascii="Times New Roman" w:hAnsi="Times New Roman" w:eastAsia="宋体"/>
                <w:b/>
                <w:color w:val="auto"/>
                <w:sz w:val="18"/>
              </w:rPr>
              <w:t>.3.7）量/mL</w:t>
            </w:r>
          </w:p>
        </w:tc>
        <w:tc>
          <w:tcPr>
            <w:tcW w:w="1157" w:type="dxa"/>
          </w:tcPr>
          <w:p w14:paraId="2B6CD9B3">
            <w:pPr>
              <w:spacing w:after="0" w:line="240" w:lineRule="auto"/>
              <w:jc w:val="center"/>
              <w:rPr>
                <w:color w:val="auto"/>
              </w:rPr>
            </w:pPr>
            <w:r>
              <w:rPr>
                <w:rFonts w:ascii="Times New Roman" w:hAnsi="Times New Roman" w:eastAsia="宋体"/>
                <w:b/>
                <w:color w:val="auto"/>
                <w:sz w:val="18"/>
              </w:rPr>
              <w:t>钇基体浓度/(mg/mL)</w:t>
            </w:r>
          </w:p>
        </w:tc>
        <w:tc>
          <w:tcPr>
            <w:tcW w:w="1824" w:type="dxa"/>
          </w:tcPr>
          <w:p w14:paraId="58AD1E12">
            <w:pPr>
              <w:spacing w:after="0" w:line="240" w:lineRule="auto"/>
              <w:jc w:val="center"/>
              <w:rPr>
                <w:color w:val="auto"/>
              </w:rPr>
            </w:pPr>
            <w:r>
              <w:rPr>
                <w:rFonts w:ascii="Times New Roman" w:hAnsi="Times New Roman" w:eastAsia="宋体"/>
                <w:b/>
                <w:color w:val="auto"/>
                <w:sz w:val="18"/>
              </w:rPr>
              <w:t>加入镁基体贮存溶液（</w:t>
            </w:r>
            <w:r>
              <w:rPr>
                <w:rFonts w:hint="eastAsia"/>
                <w:b/>
                <w:color w:val="auto"/>
                <w:sz w:val="18"/>
                <w:lang w:eastAsia="zh-CN"/>
              </w:rPr>
              <w:t>A.2</w:t>
            </w:r>
            <w:r>
              <w:rPr>
                <w:rFonts w:ascii="Times New Roman" w:hAnsi="Times New Roman" w:eastAsia="宋体"/>
                <w:b/>
                <w:color w:val="auto"/>
                <w:sz w:val="18"/>
              </w:rPr>
              <w:t>.3.8）量/mL</w:t>
            </w:r>
          </w:p>
        </w:tc>
        <w:tc>
          <w:tcPr>
            <w:tcW w:w="1377" w:type="dxa"/>
          </w:tcPr>
          <w:p w14:paraId="3D249849">
            <w:pPr>
              <w:spacing w:after="0" w:line="240" w:lineRule="auto"/>
              <w:jc w:val="center"/>
              <w:rPr>
                <w:color w:val="auto"/>
              </w:rPr>
            </w:pPr>
            <w:r>
              <w:rPr>
                <w:rFonts w:ascii="Times New Roman" w:hAnsi="Times New Roman" w:eastAsia="宋体"/>
                <w:b/>
                <w:color w:val="auto"/>
                <w:sz w:val="18"/>
              </w:rPr>
              <w:t>镁基体浓度/(mg/mL)</w:t>
            </w:r>
          </w:p>
        </w:tc>
      </w:tr>
      <w:tr w14:paraId="0488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9" w:type="dxa"/>
          </w:tcPr>
          <w:p w14:paraId="5765A093">
            <w:pPr>
              <w:spacing w:after="0" w:line="240" w:lineRule="auto"/>
              <w:jc w:val="center"/>
              <w:rPr>
                <w:color w:val="auto"/>
              </w:rPr>
            </w:pPr>
            <w:r>
              <w:rPr>
                <w:rFonts w:ascii="Times New Roman" w:hAnsi="Times New Roman" w:eastAsia="宋体"/>
                <w:b w:val="0"/>
                <w:color w:val="auto"/>
                <w:sz w:val="18"/>
              </w:rPr>
              <w:t>YMg-20</w:t>
            </w:r>
          </w:p>
        </w:tc>
        <w:tc>
          <w:tcPr>
            <w:tcW w:w="1125" w:type="dxa"/>
          </w:tcPr>
          <w:p w14:paraId="31AA5618">
            <w:pPr>
              <w:spacing w:after="0" w:line="240" w:lineRule="auto"/>
              <w:jc w:val="center"/>
              <w:rPr>
                <w:color w:val="auto"/>
              </w:rPr>
            </w:pPr>
            <w:r>
              <w:rPr>
                <w:rFonts w:ascii="Times New Roman" w:hAnsi="Times New Roman" w:eastAsia="宋体"/>
                <w:b w:val="0"/>
                <w:color w:val="auto"/>
                <w:sz w:val="18"/>
              </w:rPr>
              <w:t>20±2</w:t>
            </w:r>
          </w:p>
        </w:tc>
        <w:tc>
          <w:tcPr>
            <w:tcW w:w="1093" w:type="dxa"/>
          </w:tcPr>
          <w:p w14:paraId="1258E799">
            <w:pPr>
              <w:spacing w:after="0" w:line="240" w:lineRule="auto"/>
              <w:jc w:val="center"/>
              <w:rPr>
                <w:color w:val="auto"/>
              </w:rPr>
            </w:pPr>
            <w:r>
              <w:rPr>
                <w:rFonts w:ascii="Times New Roman" w:hAnsi="Times New Roman" w:eastAsia="宋体"/>
                <w:b w:val="0"/>
                <w:color w:val="auto"/>
                <w:sz w:val="18"/>
              </w:rPr>
              <w:t>余量</w:t>
            </w:r>
          </w:p>
        </w:tc>
        <w:tc>
          <w:tcPr>
            <w:tcW w:w="2004" w:type="dxa"/>
          </w:tcPr>
          <w:p w14:paraId="07643634">
            <w:pPr>
              <w:spacing w:after="0" w:line="240" w:lineRule="auto"/>
              <w:jc w:val="center"/>
              <w:rPr>
                <w:color w:val="auto"/>
              </w:rPr>
            </w:pPr>
            <w:r>
              <w:rPr>
                <w:rFonts w:ascii="Times New Roman" w:hAnsi="Times New Roman" w:eastAsia="宋体"/>
                <w:b w:val="0"/>
                <w:color w:val="auto"/>
                <w:sz w:val="18"/>
              </w:rPr>
              <w:t>2.00</w:t>
            </w:r>
          </w:p>
        </w:tc>
        <w:tc>
          <w:tcPr>
            <w:tcW w:w="1157" w:type="dxa"/>
          </w:tcPr>
          <w:p w14:paraId="15634DD8">
            <w:pPr>
              <w:spacing w:after="0" w:line="240" w:lineRule="auto"/>
              <w:jc w:val="center"/>
              <w:rPr>
                <w:color w:val="auto"/>
              </w:rPr>
            </w:pPr>
            <w:r>
              <w:rPr>
                <w:rFonts w:ascii="Times New Roman" w:hAnsi="Times New Roman" w:eastAsia="宋体"/>
                <w:b w:val="0"/>
                <w:color w:val="auto"/>
                <w:sz w:val="18"/>
              </w:rPr>
              <w:t>0.50</w:t>
            </w:r>
          </w:p>
        </w:tc>
        <w:tc>
          <w:tcPr>
            <w:tcW w:w="1824" w:type="dxa"/>
          </w:tcPr>
          <w:p w14:paraId="6122004E">
            <w:pPr>
              <w:spacing w:after="0" w:line="240" w:lineRule="auto"/>
              <w:jc w:val="center"/>
              <w:rPr>
                <w:color w:val="auto"/>
              </w:rPr>
            </w:pPr>
            <w:r>
              <w:rPr>
                <w:rFonts w:ascii="Times New Roman" w:hAnsi="Times New Roman" w:eastAsia="宋体"/>
                <w:b w:val="0"/>
                <w:color w:val="auto"/>
                <w:sz w:val="18"/>
              </w:rPr>
              <w:t>8.00</w:t>
            </w:r>
          </w:p>
        </w:tc>
        <w:tc>
          <w:tcPr>
            <w:tcW w:w="1377" w:type="dxa"/>
          </w:tcPr>
          <w:p w14:paraId="55CBCB93">
            <w:pPr>
              <w:spacing w:after="0" w:line="240" w:lineRule="auto"/>
              <w:jc w:val="center"/>
              <w:rPr>
                <w:color w:val="auto"/>
              </w:rPr>
            </w:pPr>
            <w:r>
              <w:rPr>
                <w:rFonts w:ascii="Times New Roman" w:hAnsi="Times New Roman" w:eastAsia="宋体"/>
                <w:b w:val="0"/>
                <w:color w:val="auto"/>
                <w:sz w:val="18"/>
              </w:rPr>
              <w:t>2.00</w:t>
            </w:r>
          </w:p>
        </w:tc>
      </w:tr>
      <w:tr w14:paraId="35A4E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9" w:type="dxa"/>
          </w:tcPr>
          <w:p w14:paraId="53A78A12">
            <w:pPr>
              <w:spacing w:after="0" w:line="240" w:lineRule="auto"/>
              <w:jc w:val="center"/>
              <w:rPr>
                <w:color w:val="auto"/>
              </w:rPr>
            </w:pPr>
            <w:r>
              <w:rPr>
                <w:rFonts w:ascii="Times New Roman" w:hAnsi="Times New Roman" w:eastAsia="宋体"/>
                <w:b w:val="0"/>
                <w:color w:val="auto"/>
                <w:sz w:val="18"/>
              </w:rPr>
              <w:t>YMg-25</w:t>
            </w:r>
          </w:p>
        </w:tc>
        <w:tc>
          <w:tcPr>
            <w:tcW w:w="1125" w:type="dxa"/>
          </w:tcPr>
          <w:p w14:paraId="4DB4C0A4">
            <w:pPr>
              <w:spacing w:after="0" w:line="240" w:lineRule="auto"/>
              <w:jc w:val="center"/>
              <w:rPr>
                <w:color w:val="auto"/>
              </w:rPr>
            </w:pPr>
            <w:r>
              <w:rPr>
                <w:rFonts w:ascii="Times New Roman" w:hAnsi="Times New Roman" w:eastAsia="宋体"/>
                <w:b w:val="0"/>
                <w:color w:val="auto"/>
                <w:sz w:val="18"/>
              </w:rPr>
              <w:t>25±2</w:t>
            </w:r>
          </w:p>
        </w:tc>
        <w:tc>
          <w:tcPr>
            <w:tcW w:w="1093" w:type="dxa"/>
          </w:tcPr>
          <w:p w14:paraId="6DC08B8B">
            <w:pPr>
              <w:spacing w:after="0" w:line="240" w:lineRule="auto"/>
              <w:jc w:val="center"/>
              <w:rPr>
                <w:color w:val="auto"/>
              </w:rPr>
            </w:pPr>
            <w:r>
              <w:rPr>
                <w:rFonts w:ascii="Times New Roman" w:hAnsi="Times New Roman" w:eastAsia="宋体"/>
                <w:b w:val="0"/>
                <w:color w:val="auto"/>
                <w:sz w:val="18"/>
              </w:rPr>
              <w:t>余量</w:t>
            </w:r>
          </w:p>
        </w:tc>
        <w:tc>
          <w:tcPr>
            <w:tcW w:w="2004" w:type="dxa"/>
          </w:tcPr>
          <w:p w14:paraId="69A2A6FF">
            <w:pPr>
              <w:spacing w:after="0" w:line="240" w:lineRule="auto"/>
              <w:jc w:val="center"/>
              <w:rPr>
                <w:color w:val="auto"/>
              </w:rPr>
            </w:pPr>
            <w:r>
              <w:rPr>
                <w:rFonts w:ascii="Times New Roman" w:hAnsi="Times New Roman" w:eastAsia="宋体"/>
                <w:b w:val="0"/>
                <w:color w:val="auto"/>
                <w:sz w:val="18"/>
              </w:rPr>
              <w:t>2.50</w:t>
            </w:r>
          </w:p>
        </w:tc>
        <w:tc>
          <w:tcPr>
            <w:tcW w:w="1157" w:type="dxa"/>
          </w:tcPr>
          <w:p w14:paraId="0FBBFD41">
            <w:pPr>
              <w:spacing w:after="0" w:line="240" w:lineRule="auto"/>
              <w:jc w:val="center"/>
              <w:rPr>
                <w:color w:val="auto"/>
              </w:rPr>
            </w:pPr>
            <w:r>
              <w:rPr>
                <w:rFonts w:ascii="Times New Roman" w:hAnsi="Times New Roman" w:eastAsia="宋体"/>
                <w:b w:val="0"/>
                <w:color w:val="auto"/>
                <w:sz w:val="18"/>
              </w:rPr>
              <w:t>0.625</w:t>
            </w:r>
          </w:p>
        </w:tc>
        <w:tc>
          <w:tcPr>
            <w:tcW w:w="1824" w:type="dxa"/>
          </w:tcPr>
          <w:p w14:paraId="59DB60C8">
            <w:pPr>
              <w:spacing w:after="0" w:line="240" w:lineRule="auto"/>
              <w:jc w:val="center"/>
              <w:rPr>
                <w:color w:val="auto"/>
              </w:rPr>
            </w:pPr>
            <w:r>
              <w:rPr>
                <w:rFonts w:ascii="Times New Roman" w:hAnsi="Times New Roman" w:eastAsia="宋体"/>
                <w:b w:val="0"/>
                <w:color w:val="auto"/>
                <w:sz w:val="18"/>
              </w:rPr>
              <w:t>7.50</w:t>
            </w:r>
          </w:p>
        </w:tc>
        <w:tc>
          <w:tcPr>
            <w:tcW w:w="1377" w:type="dxa"/>
          </w:tcPr>
          <w:p w14:paraId="1CF106CD">
            <w:pPr>
              <w:spacing w:after="0" w:line="240" w:lineRule="auto"/>
              <w:jc w:val="center"/>
              <w:rPr>
                <w:color w:val="auto"/>
              </w:rPr>
            </w:pPr>
            <w:r>
              <w:rPr>
                <w:rFonts w:ascii="Times New Roman" w:hAnsi="Times New Roman" w:eastAsia="宋体"/>
                <w:b w:val="0"/>
                <w:color w:val="auto"/>
                <w:sz w:val="18"/>
              </w:rPr>
              <w:t>1.875</w:t>
            </w:r>
          </w:p>
        </w:tc>
      </w:tr>
      <w:tr w14:paraId="6C220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9" w:type="dxa"/>
          </w:tcPr>
          <w:p w14:paraId="3187692A">
            <w:pPr>
              <w:spacing w:after="0" w:line="240" w:lineRule="auto"/>
              <w:jc w:val="center"/>
              <w:rPr>
                <w:color w:val="auto"/>
              </w:rPr>
            </w:pPr>
            <w:r>
              <w:rPr>
                <w:rFonts w:ascii="Times New Roman" w:hAnsi="Times New Roman" w:eastAsia="宋体"/>
                <w:b w:val="0"/>
                <w:color w:val="auto"/>
                <w:sz w:val="18"/>
              </w:rPr>
              <w:t>YMg-30</w:t>
            </w:r>
          </w:p>
        </w:tc>
        <w:tc>
          <w:tcPr>
            <w:tcW w:w="1125" w:type="dxa"/>
          </w:tcPr>
          <w:p w14:paraId="1AAD6D11">
            <w:pPr>
              <w:spacing w:after="0" w:line="240" w:lineRule="auto"/>
              <w:jc w:val="center"/>
              <w:rPr>
                <w:color w:val="auto"/>
              </w:rPr>
            </w:pPr>
            <w:r>
              <w:rPr>
                <w:rFonts w:ascii="Times New Roman" w:hAnsi="Times New Roman" w:eastAsia="宋体"/>
                <w:b w:val="0"/>
                <w:color w:val="auto"/>
                <w:sz w:val="18"/>
              </w:rPr>
              <w:t>30±2</w:t>
            </w:r>
          </w:p>
        </w:tc>
        <w:tc>
          <w:tcPr>
            <w:tcW w:w="1093" w:type="dxa"/>
          </w:tcPr>
          <w:p w14:paraId="733815C9">
            <w:pPr>
              <w:spacing w:after="0" w:line="240" w:lineRule="auto"/>
              <w:jc w:val="center"/>
              <w:rPr>
                <w:color w:val="auto"/>
              </w:rPr>
            </w:pPr>
            <w:r>
              <w:rPr>
                <w:rFonts w:ascii="Times New Roman" w:hAnsi="Times New Roman" w:eastAsia="宋体"/>
                <w:b w:val="0"/>
                <w:color w:val="auto"/>
                <w:sz w:val="18"/>
              </w:rPr>
              <w:t>余量</w:t>
            </w:r>
          </w:p>
        </w:tc>
        <w:tc>
          <w:tcPr>
            <w:tcW w:w="2004" w:type="dxa"/>
          </w:tcPr>
          <w:p w14:paraId="3B87BB2A">
            <w:pPr>
              <w:spacing w:after="0" w:line="240" w:lineRule="auto"/>
              <w:jc w:val="center"/>
              <w:rPr>
                <w:color w:val="auto"/>
              </w:rPr>
            </w:pPr>
            <w:r>
              <w:rPr>
                <w:rFonts w:ascii="Times New Roman" w:hAnsi="Times New Roman" w:eastAsia="宋体"/>
                <w:b w:val="0"/>
                <w:color w:val="auto"/>
                <w:sz w:val="18"/>
              </w:rPr>
              <w:t>3.00</w:t>
            </w:r>
          </w:p>
        </w:tc>
        <w:tc>
          <w:tcPr>
            <w:tcW w:w="1157" w:type="dxa"/>
          </w:tcPr>
          <w:p w14:paraId="3CF10BB3">
            <w:pPr>
              <w:spacing w:after="0" w:line="240" w:lineRule="auto"/>
              <w:jc w:val="center"/>
              <w:rPr>
                <w:color w:val="auto"/>
              </w:rPr>
            </w:pPr>
            <w:r>
              <w:rPr>
                <w:rFonts w:ascii="Times New Roman" w:hAnsi="Times New Roman" w:eastAsia="宋体"/>
                <w:b w:val="0"/>
                <w:color w:val="auto"/>
                <w:sz w:val="18"/>
              </w:rPr>
              <w:t>0.75</w:t>
            </w:r>
          </w:p>
        </w:tc>
        <w:tc>
          <w:tcPr>
            <w:tcW w:w="1824" w:type="dxa"/>
          </w:tcPr>
          <w:p w14:paraId="155D8A86">
            <w:pPr>
              <w:spacing w:after="0" w:line="240" w:lineRule="auto"/>
              <w:jc w:val="center"/>
              <w:rPr>
                <w:color w:val="auto"/>
              </w:rPr>
            </w:pPr>
            <w:r>
              <w:rPr>
                <w:rFonts w:ascii="Times New Roman" w:hAnsi="Times New Roman" w:eastAsia="宋体"/>
                <w:b w:val="0"/>
                <w:color w:val="auto"/>
                <w:sz w:val="18"/>
              </w:rPr>
              <w:t>7.00</w:t>
            </w:r>
          </w:p>
        </w:tc>
        <w:tc>
          <w:tcPr>
            <w:tcW w:w="1377" w:type="dxa"/>
          </w:tcPr>
          <w:p w14:paraId="174DBDCB">
            <w:pPr>
              <w:spacing w:after="0" w:line="240" w:lineRule="auto"/>
              <w:jc w:val="center"/>
              <w:rPr>
                <w:color w:val="auto"/>
              </w:rPr>
            </w:pPr>
            <w:r>
              <w:rPr>
                <w:rFonts w:ascii="Times New Roman" w:hAnsi="Times New Roman" w:eastAsia="宋体"/>
                <w:b w:val="0"/>
                <w:color w:val="auto"/>
                <w:sz w:val="18"/>
              </w:rPr>
              <w:t>1.75</w:t>
            </w:r>
          </w:p>
        </w:tc>
      </w:tr>
    </w:tbl>
    <w:p w14:paraId="13E43CC8">
      <w:pPr>
        <w:ind w:firstLine="420" w:firstLineChars="200"/>
        <w:rPr>
          <w:rFonts w:hint="default" w:ascii="Times New Roman" w:hAnsi="Times New Roman" w:cs="Times New Roman"/>
          <w:color w:val="auto"/>
          <w:szCs w:val="21"/>
        </w:rPr>
      </w:pPr>
      <w:r>
        <w:rPr>
          <w:rFonts w:hint="eastAsia"/>
          <w:color w:val="auto"/>
          <w:szCs w:val="21"/>
        </w:rPr>
        <w:t>分别移取0 mL、</w:t>
      </w:r>
      <w:r>
        <w:rPr>
          <w:rFonts w:hint="eastAsia"/>
          <w:color w:val="auto"/>
          <w:szCs w:val="21"/>
          <w:lang w:val="en-US" w:eastAsia="zh-CN"/>
        </w:rPr>
        <w:t>1</w:t>
      </w:r>
      <w:r>
        <w:rPr>
          <w:rFonts w:hint="eastAsia"/>
          <w:color w:val="auto"/>
          <w:szCs w:val="21"/>
        </w:rPr>
        <w:t>.</w:t>
      </w:r>
      <w:r>
        <w:rPr>
          <w:rFonts w:hint="eastAsia"/>
          <w:color w:val="auto"/>
          <w:szCs w:val="21"/>
          <w:lang w:val="en-US" w:eastAsia="zh-CN"/>
        </w:rPr>
        <w:t>0</w:t>
      </w:r>
      <w:r>
        <w:rPr>
          <w:rFonts w:hint="eastAsia"/>
          <w:color w:val="auto"/>
          <w:szCs w:val="21"/>
        </w:rPr>
        <w:t>0 mL、</w:t>
      </w:r>
      <w:r>
        <w:rPr>
          <w:rFonts w:hint="eastAsia"/>
          <w:color w:val="auto"/>
          <w:szCs w:val="21"/>
          <w:lang w:val="en-US" w:eastAsia="zh-CN"/>
        </w:rPr>
        <w:t>2</w:t>
      </w:r>
      <w:r>
        <w:rPr>
          <w:rFonts w:hint="eastAsia"/>
          <w:color w:val="auto"/>
          <w:szCs w:val="21"/>
        </w:rPr>
        <w:t>.00 mL、</w:t>
      </w:r>
      <w:r>
        <w:rPr>
          <w:rFonts w:hint="eastAsia"/>
          <w:color w:val="auto"/>
          <w:szCs w:val="21"/>
          <w:lang w:val="en-US" w:eastAsia="zh-CN"/>
        </w:rPr>
        <w:t>6</w:t>
      </w:r>
      <w:r>
        <w:rPr>
          <w:rFonts w:hint="eastAsia"/>
          <w:color w:val="auto"/>
          <w:szCs w:val="21"/>
        </w:rPr>
        <w:t>.00 mL、</w:t>
      </w:r>
      <w:r>
        <w:rPr>
          <w:rFonts w:hint="eastAsia"/>
          <w:color w:val="auto"/>
          <w:szCs w:val="21"/>
          <w:lang w:val="en-US" w:eastAsia="zh-CN"/>
        </w:rPr>
        <w:t>10</w:t>
      </w:r>
      <w:r>
        <w:rPr>
          <w:rFonts w:hint="eastAsia"/>
          <w:color w:val="auto"/>
          <w:szCs w:val="21"/>
        </w:rPr>
        <w:t>.00 mL、</w:t>
      </w:r>
      <w:r>
        <w:rPr>
          <w:rFonts w:hint="eastAsia"/>
          <w:color w:val="auto"/>
          <w:szCs w:val="21"/>
          <w:lang w:val="en-US" w:eastAsia="zh-CN"/>
        </w:rPr>
        <w:t>2</w:t>
      </w:r>
      <w:r>
        <w:rPr>
          <w:rFonts w:hint="eastAsia"/>
          <w:color w:val="auto"/>
          <w:szCs w:val="21"/>
        </w:rPr>
        <w:t>0.00 mL、</w:t>
      </w:r>
      <w:r>
        <w:rPr>
          <w:rFonts w:hint="eastAsia"/>
          <w:color w:val="auto"/>
          <w:szCs w:val="21"/>
          <w:lang w:val="en-US" w:eastAsia="zh-CN"/>
        </w:rPr>
        <w:t>25</w:t>
      </w:r>
      <w:r>
        <w:rPr>
          <w:rFonts w:hint="eastAsia"/>
          <w:color w:val="auto"/>
          <w:szCs w:val="21"/>
        </w:rPr>
        <w:t>.00 mL混合标准溶液（</w:t>
      </w:r>
      <w:r>
        <w:rPr>
          <w:rFonts w:hint="eastAsia"/>
          <w:color w:val="auto"/>
          <w:szCs w:val="21"/>
          <w:lang w:eastAsia="zh-CN"/>
        </w:rPr>
        <w:t>A.2</w:t>
      </w:r>
      <w:r>
        <w:rPr>
          <w:rFonts w:hint="eastAsia"/>
          <w:color w:val="auto"/>
          <w:szCs w:val="21"/>
        </w:rPr>
        <w:t>.3.6）于</w:t>
      </w:r>
      <w:r>
        <w:rPr>
          <w:rFonts w:hint="eastAsia"/>
          <w:color w:val="auto"/>
          <w:szCs w:val="21"/>
          <w:lang w:val="en-US" w:eastAsia="zh-CN"/>
        </w:rPr>
        <w:t>7</w:t>
      </w:r>
      <w:r>
        <w:rPr>
          <w:rFonts w:hint="eastAsia"/>
          <w:color w:val="auto"/>
          <w:szCs w:val="21"/>
        </w:rPr>
        <w:t>个100 mL容量瓶中，再根据样品牌号按表A.7加入相应</w:t>
      </w:r>
      <w:r>
        <w:rPr>
          <w:rFonts w:hint="default" w:ascii="Times New Roman" w:hAnsi="Times New Roman" w:cs="Times New Roman"/>
          <w:color w:val="auto"/>
          <w:szCs w:val="21"/>
        </w:rPr>
        <w:t>的基体量，以盐酸（</w:t>
      </w:r>
      <w:r>
        <w:rPr>
          <w:rFonts w:hint="default" w:ascii="Times New Roman" w:hAnsi="Times New Roman" w:cs="Times New Roman"/>
          <w:color w:val="auto"/>
          <w:szCs w:val="21"/>
          <w:lang w:eastAsia="zh-CN"/>
        </w:rPr>
        <w:t>A.2</w:t>
      </w:r>
      <w:r>
        <w:rPr>
          <w:rFonts w:hint="default" w:ascii="Times New Roman" w:hAnsi="Times New Roman" w:cs="Times New Roman"/>
          <w:color w:val="auto"/>
          <w:szCs w:val="21"/>
        </w:rPr>
        <w:t>.3.2）稀释至刻度，混匀。此标准系列溶液中被测元素浓度分别为0、0.50、1.00、3.00、5.00、10.00</w:t>
      </w:r>
      <w:r>
        <w:rPr>
          <w:rFonts w:hint="default" w:ascii="Times New Roman" w:hAnsi="Times New Roman" w:cs="Times New Roman"/>
          <w:color w:val="auto"/>
          <w:szCs w:val="21"/>
          <w:lang w:eastAsia="zh-CN"/>
        </w:rPr>
        <w:t>、</w:t>
      </w:r>
      <w:r>
        <w:rPr>
          <w:rFonts w:hint="default" w:ascii="Times New Roman" w:hAnsi="Times New Roman" w:cs="Times New Roman"/>
          <w:color w:val="auto"/>
          <w:szCs w:val="21"/>
        </w:rPr>
        <w:t>12.50 μg/mL，总基体浓度均为2.5 mg/mL。</w:t>
      </w:r>
    </w:p>
    <w:p w14:paraId="3E843207">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A.2.6.6　测定</w:t>
      </w:r>
    </w:p>
    <w:p w14:paraId="30F215CD">
      <w:pPr>
        <w:rPr>
          <w:rFonts w:hint="eastAsia"/>
          <w:color w:val="auto"/>
          <w:szCs w:val="21"/>
        </w:rPr>
      </w:pPr>
      <w:r>
        <w:rPr>
          <w:rFonts w:hint="eastAsia" w:ascii="黑体" w:hAnsi="黑体" w:eastAsia="黑体"/>
          <w:color w:val="auto"/>
          <w:sz w:val="21"/>
          <w:szCs w:val="21"/>
          <w:lang w:val="en-US" w:eastAsia="zh-CN"/>
        </w:rPr>
        <w:t>A.2.6.6.1　</w:t>
      </w:r>
      <w:r>
        <w:rPr>
          <w:rFonts w:hint="eastAsia"/>
          <w:color w:val="auto"/>
          <w:szCs w:val="21"/>
        </w:rPr>
        <w:t>推荐分析线见表A.8。</w:t>
      </w:r>
    </w:p>
    <w:p w14:paraId="3C3E27B4">
      <w:pPr>
        <w:spacing w:before="120" w:after="40"/>
        <w:jc w:val="center"/>
        <w:rPr>
          <w:color w:val="auto"/>
        </w:rPr>
      </w:pPr>
      <w:r>
        <w:rPr>
          <w:rFonts w:ascii="Times New Roman" w:hAnsi="Times New Roman" w:eastAsia="宋体"/>
          <w:b/>
          <w:color w:val="auto"/>
          <w:sz w:val="21"/>
        </w:rPr>
        <w:t>表A.8　推荐分析线（方法2）</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9"/>
        <w:gridCol w:w="2409"/>
        <w:gridCol w:w="2409"/>
        <w:gridCol w:w="2409"/>
      </w:tblGrid>
      <w:tr w14:paraId="76558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79E1F280">
            <w:pPr>
              <w:spacing w:after="0" w:line="240" w:lineRule="auto"/>
              <w:jc w:val="center"/>
              <w:rPr>
                <w:color w:val="auto"/>
              </w:rPr>
            </w:pPr>
            <w:r>
              <w:rPr>
                <w:rFonts w:ascii="Times New Roman" w:hAnsi="Times New Roman" w:eastAsia="宋体"/>
                <w:b/>
                <w:color w:val="auto"/>
                <w:sz w:val="18"/>
              </w:rPr>
              <w:t>元素</w:t>
            </w:r>
          </w:p>
        </w:tc>
        <w:tc>
          <w:tcPr>
            <w:tcW w:w="3402" w:type="dxa"/>
          </w:tcPr>
          <w:p w14:paraId="2917724E">
            <w:pPr>
              <w:spacing w:after="0" w:line="240" w:lineRule="auto"/>
              <w:jc w:val="center"/>
              <w:rPr>
                <w:color w:val="auto"/>
              </w:rPr>
            </w:pPr>
            <w:r>
              <w:rPr>
                <w:rFonts w:ascii="Times New Roman" w:hAnsi="Times New Roman" w:eastAsia="宋体"/>
                <w:b/>
                <w:color w:val="auto"/>
                <w:sz w:val="18"/>
              </w:rPr>
              <w:t>分析线/nm</w:t>
            </w:r>
          </w:p>
        </w:tc>
        <w:tc>
          <w:tcPr>
            <w:tcW w:w="1134" w:type="dxa"/>
          </w:tcPr>
          <w:p w14:paraId="73E06E6B">
            <w:pPr>
              <w:spacing w:after="0" w:line="240" w:lineRule="auto"/>
              <w:jc w:val="center"/>
              <w:rPr>
                <w:color w:val="auto"/>
              </w:rPr>
            </w:pPr>
            <w:r>
              <w:rPr>
                <w:rFonts w:ascii="Times New Roman" w:hAnsi="Times New Roman" w:eastAsia="宋体"/>
                <w:b/>
                <w:color w:val="auto"/>
                <w:sz w:val="18"/>
              </w:rPr>
              <w:t>元素</w:t>
            </w:r>
          </w:p>
        </w:tc>
        <w:tc>
          <w:tcPr>
            <w:tcW w:w="3402" w:type="dxa"/>
          </w:tcPr>
          <w:p w14:paraId="6DC1C7BB">
            <w:pPr>
              <w:spacing w:after="0" w:line="240" w:lineRule="auto"/>
              <w:jc w:val="center"/>
              <w:rPr>
                <w:color w:val="auto"/>
              </w:rPr>
            </w:pPr>
            <w:r>
              <w:rPr>
                <w:rFonts w:ascii="Times New Roman" w:hAnsi="Times New Roman" w:eastAsia="宋体"/>
                <w:b/>
                <w:color w:val="auto"/>
                <w:sz w:val="18"/>
              </w:rPr>
              <w:t>分析线/nm</w:t>
            </w:r>
          </w:p>
        </w:tc>
      </w:tr>
      <w:tr w14:paraId="258A8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1C6631CF">
            <w:pPr>
              <w:spacing w:after="0" w:line="240" w:lineRule="auto"/>
              <w:jc w:val="center"/>
              <w:rPr>
                <w:color w:val="auto"/>
              </w:rPr>
            </w:pPr>
            <w:r>
              <w:rPr>
                <w:rFonts w:ascii="Times New Roman" w:hAnsi="Times New Roman" w:eastAsia="宋体"/>
                <w:b w:val="0"/>
                <w:color w:val="auto"/>
                <w:sz w:val="18"/>
              </w:rPr>
              <w:t>镧</w:t>
            </w:r>
          </w:p>
        </w:tc>
        <w:tc>
          <w:tcPr>
            <w:tcW w:w="3402" w:type="dxa"/>
          </w:tcPr>
          <w:p w14:paraId="0B65FA29">
            <w:pPr>
              <w:spacing w:after="0" w:line="240" w:lineRule="auto"/>
              <w:jc w:val="center"/>
              <w:rPr>
                <w:color w:val="auto"/>
              </w:rPr>
            </w:pPr>
            <w:r>
              <w:rPr>
                <w:rFonts w:ascii="Times New Roman" w:hAnsi="Times New Roman" w:eastAsia="宋体"/>
                <w:b w:val="0"/>
                <w:color w:val="auto"/>
                <w:sz w:val="18"/>
              </w:rPr>
              <w:t>333.749、408.671</w:t>
            </w:r>
          </w:p>
        </w:tc>
        <w:tc>
          <w:tcPr>
            <w:tcW w:w="1134" w:type="dxa"/>
          </w:tcPr>
          <w:p w14:paraId="581CC961">
            <w:pPr>
              <w:spacing w:after="0" w:line="240" w:lineRule="auto"/>
              <w:jc w:val="center"/>
              <w:rPr>
                <w:color w:val="auto"/>
              </w:rPr>
            </w:pPr>
            <w:r>
              <w:rPr>
                <w:rFonts w:ascii="Times New Roman" w:hAnsi="Times New Roman" w:eastAsia="宋体"/>
                <w:b w:val="0"/>
                <w:color w:val="auto"/>
                <w:sz w:val="18"/>
              </w:rPr>
              <w:t>铽</w:t>
            </w:r>
          </w:p>
        </w:tc>
        <w:tc>
          <w:tcPr>
            <w:tcW w:w="3402" w:type="dxa"/>
          </w:tcPr>
          <w:p w14:paraId="40BAFE98">
            <w:pPr>
              <w:spacing w:after="0" w:line="240" w:lineRule="auto"/>
              <w:jc w:val="center"/>
              <w:rPr>
                <w:color w:val="auto"/>
              </w:rPr>
            </w:pPr>
            <w:r>
              <w:rPr>
                <w:rFonts w:ascii="Times New Roman" w:hAnsi="Times New Roman" w:eastAsia="宋体"/>
                <w:b w:val="0"/>
                <w:color w:val="auto"/>
                <w:sz w:val="18"/>
              </w:rPr>
              <w:t>350.917</w:t>
            </w:r>
          </w:p>
        </w:tc>
      </w:tr>
      <w:tr w14:paraId="7F39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6ECEF859">
            <w:pPr>
              <w:spacing w:after="0" w:line="240" w:lineRule="auto"/>
              <w:jc w:val="center"/>
              <w:rPr>
                <w:color w:val="auto"/>
              </w:rPr>
            </w:pPr>
            <w:r>
              <w:rPr>
                <w:rFonts w:ascii="Times New Roman" w:hAnsi="Times New Roman" w:eastAsia="宋体"/>
                <w:b w:val="0"/>
                <w:color w:val="auto"/>
                <w:sz w:val="18"/>
              </w:rPr>
              <w:t>铈</w:t>
            </w:r>
          </w:p>
        </w:tc>
        <w:tc>
          <w:tcPr>
            <w:tcW w:w="3402" w:type="dxa"/>
          </w:tcPr>
          <w:p w14:paraId="7117192B">
            <w:pPr>
              <w:spacing w:after="0" w:line="240" w:lineRule="auto"/>
              <w:jc w:val="center"/>
              <w:rPr>
                <w:color w:val="auto"/>
              </w:rPr>
            </w:pPr>
            <w:r>
              <w:rPr>
                <w:rFonts w:ascii="Times New Roman" w:hAnsi="Times New Roman" w:eastAsia="宋体"/>
                <w:b w:val="0"/>
                <w:color w:val="auto"/>
                <w:sz w:val="18"/>
              </w:rPr>
              <w:t>413.380、413.764</w:t>
            </w:r>
          </w:p>
        </w:tc>
        <w:tc>
          <w:tcPr>
            <w:tcW w:w="1134" w:type="dxa"/>
          </w:tcPr>
          <w:p w14:paraId="70B2EF1A">
            <w:pPr>
              <w:spacing w:after="0" w:line="240" w:lineRule="auto"/>
              <w:jc w:val="center"/>
              <w:rPr>
                <w:color w:val="auto"/>
              </w:rPr>
            </w:pPr>
            <w:r>
              <w:rPr>
                <w:rFonts w:ascii="Times New Roman" w:hAnsi="Times New Roman" w:eastAsia="宋体"/>
                <w:b w:val="0"/>
                <w:color w:val="auto"/>
                <w:sz w:val="18"/>
              </w:rPr>
              <w:t>镝</w:t>
            </w:r>
          </w:p>
        </w:tc>
        <w:tc>
          <w:tcPr>
            <w:tcW w:w="3402" w:type="dxa"/>
          </w:tcPr>
          <w:p w14:paraId="7FE462FC">
            <w:pPr>
              <w:spacing w:after="0" w:line="240" w:lineRule="auto"/>
              <w:jc w:val="center"/>
              <w:rPr>
                <w:color w:val="auto"/>
              </w:rPr>
            </w:pPr>
            <w:r>
              <w:rPr>
                <w:rFonts w:ascii="Times New Roman" w:hAnsi="Times New Roman" w:eastAsia="宋体"/>
                <w:b w:val="0"/>
                <w:color w:val="auto"/>
                <w:sz w:val="18"/>
              </w:rPr>
              <w:t>353.170</w:t>
            </w:r>
          </w:p>
        </w:tc>
      </w:tr>
      <w:tr w14:paraId="596B3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74C3F1A4">
            <w:pPr>
              <w:spacing w:after="0" w:line="240" w:lineRule="auto"/>
              <w:jc w:val="center"/>
              <w:rPr>
                <w:color w:val="auto"/>
              </w:rPr>
            </w:pPr>
            <w:r>
              <w:rPr>
                <w:rFonts w:ascii="Times New Roman" w:hAnsi="Times New Roman" w:eastAsia="宋体"/>
                <w:b w:val="0"/>
                <w:color w:val="auto"/>
                <w:sz w:val="18"/>
              </w:rPr>
              <w:t>镨</w:t>
            </w:r>
          </w:p>
        </w:tc>
        <w:tc>
          <w:tcPr>
            <w:tcW w:w="3402" w:type="dxa"/>
          </w:tcPr>
          <w:p w14:paraId="2EA4E09D">
            <w:pPr>
              <w:spacing w:after="0" w:line="240" w:lineRule="auto"/>
              <w:jc w:val="center"/>
              <w:rPr>
                <w:color w:val="auto"/>
              </w:rPr>
            </w:pPr>
            <w:r>
              <w:rPr>
                <w:rFonts w:ascii="Times New Roman" w:hAnsi="Times New Roman" w:eastAsia="宋体"/>
                <w:b w:val="0"/>
                <w:color w:val="auto"/>
                <w:sz w:val="18"/>
              </w:rPr>
              <w:t>417.942、390.844</w:t>
            </w:r>
          </w:p>
        </w:tc>
        <w:tc>
          <w:tcPr>
            <w:tcW w:w="1134" w:type="dxa"/>
          </w:tcPr>
          <w:p w14:paraId="2B66C956">
            <w:pPr>
              <w:spacing w:after="0" w:line="240" w:lineRule="auto"/>
              <w:jc w:val="center"/>
              <w:rPr>
                <w:color w:val="auto"/>
              </w:rPr>
            </w:pPr>
            <w:r>
              <w:rPr>
                <w:rFonts w:ascii="Times New Roman" w:hAnsi="Times New Roman" w:eastAsia="宋体"/>
                <w:b w:val="0"/>
                <w:color w:val="auto"/>
                <w:sz w:val="18"/>
              </w:rPr>
              <w:t>钬</w:t>
            </w:r>
          </w:p>
        </w:tc>
        <w:tc>
          <w:tcPr>
            <w:tcW w:w="3402" w:type="dxa"/>
          </w:tcPr>
          <w:p w14:paraId="27C6DE39">
            <w:pPr>
              <w:spacing w:after="0" w:line="240" w:lineRule="auto"/>
              <w:jc w:val="center"/>
              <w:rPr>
                <w:color w:val="auto"/>
              </w:rPr>
            </w:pPr>
            <w:r>
              <w:rPr>
                <w:rFonts w:ascii="Times New Roman" w:hAnsi="Times New Roman" w:eastAsia="宋体"/>
                <w:b w:val="0"/>
                <w:color w:val="auto"/>
                <w:sz w:val="18"/>
              </w:rPr>
              <w:t>345.600</w:t>
            </w:r>
          </w:p>
        </w:tc>
      </w:tr>
      <w:tr w14:paraId="127F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75B342DD">
            <w:pPr>
              <w:spacing w:after="0" w:line="240" w:lineRule="auto"/>
              <w:jc w:val="center"/>
              <w:rPr>
                <w:color w:val="auto"/>
              </w:rPr>
            </w:pPr>
            <w:r>
              <w:rPr>
                <w:rFonts w:ascii="Times New Roman" w:hAnsi="Times New Roman" w:eastAsia="宋体"/>
                <w:b w:val="0"/>
                <w:color w:val="auto"/>
                <w:sz w:val="18"/>
              </w:rPr>
              <w:t>钕</w:t>
            </w:r>
          </w:p>
        </w:tc>
        <w:tc>
          <w:tcPr>
            <w:tcW w:w="3402" w:type="dxa"/>
          </w:tcPr>
          <w:p w14:paraId="52F63BC3">
            <w:pPr>
              <w:spacing w:after="0" w:line="240" w:lineRule="auto"/>
              <w:jc w:val="center"/>
              <w:rPr>
                <w:color w:val="auto"/>
              </w:rPr>
            </w:pPr>
            <w:r>
              <w:rPr>
                <w:rFonts w:ascii="Times New Roman" w:hAnsi="Times New Roman" w:eastAsia="宋体"/>
                <w:b w:val="0"/>
                <w:color w:val="auto"/>
                <w:sz w:val="18"/>
              </w:rPr>
              <w:t>401.225、430.358</w:t>
            </w:r>
          </w:p>
        </w:tc>
        <w:tc>
          <w:tcPr>
            <w:tcW w:w="1134" w:type="dxa"/>
          </w:tcPr>
          <w:p w14:paraId="5CCEAD02">
            <w:pPr>
              <w:spacing w:after="0" w:line="240" w:lineRule="auto"/>
              <w:jc w:val="center"/>
              <w:rPr>
                <w:color w:val="auto"/>
              </w:rPr>
            </w:pPr>
            <w:r>
              <w:rPr>
                <w:rFonts w:ascii="Times New Roman" w:hAnsi="Times New Roman" w:eastAsia="宋体"/>
                <w:b w:val="0"/>
                <w:color w:val="auto"/>
                <w:sz w:val="18"/>
              </w:rPr>
              <w:t>铒</w:t>
            </w:r>
          </w:p>
        </w:tc>
        <w:tc>
          <w:tcPr>
            <w:tcW w:w="3402" w:type="dxa"/>
          </w:tcPr>
          <w:p w14:paraId="79D73EEF">
            <w:pPr>
              <w:spacing w:after="0" w:line="240" w:lineRule="auto"/>
              <w:jc w:val="center"/>
              <w:rPr>
                <w:color w:val="auto"/>
              </w:rPr>
            </w:pPr>
            <w:r>
              <w:rPr>
                <w:rFonts w:ascii="Times New Roman" w:hAnsi="Times New Roman" w:eastAsia="宋体"/>
                <w:b w:val="0"/>
                <w:color w:val="auto"/>
                <w:sz w:val="18"/>
              </w:rPr>
              <w:t>337.271</w:t>
            </w:r>
          </w:p>
        </w:tc>
      </w:tr>
      <w:tr w14:paraId="7766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255FE8BE">
            <w:pPr>
              <w:spacing w:after="0" w:line="240" w:lineRule="auto"/>
              <w:jc w:val="center"/>
              <w:rPr>
                <w:color w:val="auto"/>
              </w:rPr>
            </w:pPr>
            <w:r>
              <w:rPr>
                <w:rFonts w:ascii="Times New Roman" w:hAnsi="Times New Roman" w:eastAsia="宋体"/>
                <w:b w:val="0"/>
                <w:color w:val="auto"/>
                <w:sz w:val="18"/>
              </w:rPr>
              <w:t>钐</w:t>
            </w:r>
          </w:p>
        </w:tc>
        <w:tc>
          <w:tcPr>
            <w:tcW w:w="3402" w:type="dxa"/>
          </w:tcPr>
          <w:p w14:paraId="577B93D1">
            <w:pPr>
              <w:spacing w:after="0" w:line="240" w:lineRule="auto"/>
              <w:jc w:val="center"/>
              <w:rPr>
                <w:color w:val="auto"/>
              </w:rPr>
            </w:pPr>
            <w:r>
              <w:rPr>
                <w:rFonts w:ascii="Times New Roman" w:hAnsi="Times New Roman" w:eastAsia="宋体"/>
                <w:b w:val="0"/>
                <w:color w:val="auto"/>
                <w:sz w:val="18"/>
              </w:rPr>
              <w:t>446.734、359.260</w:t>
            </w:r>
          </w:p>
        </w:tc>
        <w:tc>
          <w:tcPr>
            <w:tcW w:w="1134" w:type="dxa"/>
          </w:tcPr>
          <w:p w14:paraId="0850DB03">
            <w:pPr>
              <w:spacing w:after="0" w:line="240" w:lineRule="auto"/>
              <w:jc w:val="center"/>
              <w:rPr>
                <w:color w:val="auto"/>
              </w:rPr>
            </w:pPr>
            <w:r>
              <w:rPr>
                <w:rFonts w:ascii="Times New Roman" w:hAnsi="Times New Roman" w:eastAsia="宋体"/>
                <w:b w:val="0"/>
                <w:color w:val="auto"/>
                <w:sz w:val="18"/>
              </w:rPr>
              <w:t>铥</w:t>
            </w:r>
          </w:p>
        </w:tc>
        <w:tc>
          <w:tcPr>
            <w:tcW w:w="3402" w:type="dxa"/>
          </w:tcPr>
          <w:p w14:paraId="0F1EC02B">
            <w:pPr>
              <w:spacing w:after="0" w:line="240" w:lineRule="auto"/>
              <w:jc w:val="center"/>
              <w:rPr>
                <w:color w:val="auto"/>
              </w:rPr>
            </w:pPr>
            <w:r>
              <w:rPr>
                <w:rFonts w:ascii="Times New Roman" w:hAnsi="Times New Roman" w:eastAsia="宋体"/>
                <w:b w:val="0"/>
                <w:color w:val="auto"/>
                <w:sz w:val="18"/>
              </w:rPr>
              <w:t>313.126</w:t>
            </w:r>
          </w:p>
        </w:tc>
      </w:tr>
      <w:tr w14:paraId="60684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7C69068B">
            <w:pPr>
              <w:spacing w:after="0" w:line="240" w:lineRule="auto"/>
              <w:jc w:val="center"/>
              <w:rPr>
                <w:color w:val="auto"/>
              </w:rPr>
            </w:pPr>
            <w:r>
              <w:rPr>
                <w:rFonts w:ascii="Times New Roman" w:hAnsi="Times New Roman" w:eastAsia="宋体"/>
                <w:b w:val="0"/>
                <w:color w:val="auto"/>
                <w:sz w:val="18"/>
              </w:rPr>
              <w:t>铕</w:t>
            </w:r>
          </w:p>
        </w:tc>
        <w:tc>
          <w:tcPr>
            <w:tcW w:w="3402" w:type="dxa"/>
          </w:tcPr>
          <w:p w14:paraId="7C057D81">
            <w:pPr>
              <w:spacing w:after="0" w:line="240" w:lineRule="auto"/>
              <w:jc w:val="center"/>
              <w:rPr>
                <w:color w:val="auto"/>
              </w:rPr>
            </w:pPr>
            <w:r>
              <w:rPr>
                <w:rFonts w:ascii="Times New Roman" w:hAnsi="Times New Roman" w:eastAsia="宋体"/>
                <w:b w:val="0"/>
                <w:color w:val="auto"/>
                <w:sz w:val="18"/>
              </w:rPr>
              <w:t>381.965</w:t>
            </w:r>
          </w:p>
        </w:tc>
        <w:tc>
          <w:tcPr>
            <w:tcW w:w="1134" w:type="dxa"/>
          </w:tcPr>
          <w:p w14:paraId="62B24720">
            <w:pPr>
              <w:spacing w:after="0" w:line="240" w:lineRule="auto"/>
              <w:jc w:val="center"/>
              <w:rPr>
                <w:color w:val="auto"/>
              </w:rPr>
            </w:pPr>
            <w:r>
              <w:rPr>
                <w:rFonts w:ascii="Times New Roman" w:hAnsi="Times New Roman" w:eastAsia="宋体"/>
                <w:b w:val="0"/>
                <w:color w:val="auto"/>
                <w:sz w:val="18"/>
              </w:rPr>
              <w:t>镱</w:t>
            </w:r>
          </w:p>
        </w:tc>
        <w:tc>
          <w:tcPr>
            <w:tcW w:w="3402" w:type="dxa"/>
          </w:tcPr>
          <w:p w14:paraId="040BA2F6">
            <w:pPr>
              <w:spacing w:after="0" w:line="240" w:lineRule="auto"/>
              <w:jc w:val="center"/>
              <w:rPr>
                <w:color w:val="auto"/>
              </w:rPr>
            </w:pPr>
            <w:r>
              <w:rPr>
                <w:rFonts w:ascii="Times New Roman" w:hAnsi="Times New Roman" w:eastAsia="宋体"/>
                <w:b w:val="0"/>
                <w:color w:val="auto"/>
                <w:sz w:val="18"/>
              </w:rPr>
              <w:t>328.937</w:t>
            </w:r>
          </w:p>
        </w:tc>
      </w:tr>
      <w:tr w14:paraId="006C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7E2AC366">
            <w:pPr>
              <w:spacing w:after="0" w:line="240" w:lineRule="auto"/>
              <w:jc w:val="center"/>
              <w:rPr>
                <w:color w:val="auto"/>
              </w:rPr>
            </w:pPr>
            <w:r>
              <w:rPr>
                <w:rFonts w:ascii="Times New Roman" w:hAnsi="Times New Roman" w:eastAsia="宋体"/>
                <w:b w:val="0"/>
                <w:color w:val="auto"/>
                <w:sz w:val="18"/>
              </w:rPr>
              <w:t>钆</w:t>
            </w:r>
          </w:p>
        </w:tc>
        <w:tc>
          <w:tcPr>
            <w:tcW w:w="3402" w:type="dxa"/>
          </w:tcPr>
          <w:p w14:paraId="5CD4ECD9">
            <w:pPr>
              <w:spacing w:after="0" w:line="240" w:lineRule="auto"/>
              <w:jc w:val="center"/>
              <w:rPr>
                <w:color w:val="auto"/>
              </w:rPr>
            </w:pPr>
            <w:r>
              <w:rPr>
                <w:rFonts w:ascii="Times New Roman" w:hAnsi="Times New Roman" w:eastAsia="宋体"/>
                <w:b w:val="0"/>
                <w:color w:val="auto"/>
                <w:sz w:val="18"/>
              </w:rPr>
              <w:t>354.936、342.247</w:t>
            </w:r>
          </w:p>
        </w:tc>
        <w:tc>
          <w:tcPr>
            <w:tcW w:w="1134" w:type="dxa"/>
          </w:tcPr>
          <w:p w14:paraId="49D47300">
            <w:pPr>
              <w:spacing w:after="0" w:line="240" w:lineRule="auto"/>
              <w:jc w:val="center"/>
              <w:rPr>
                <w:color w:val="auto"/>
              </w:rPr>
            </w:pPr>
            <w:r>
              <w:rPr>
                <w:rFonts w:ascii="Times New Roman" w:hAnsi="Times New Roman" w:eastAsia="宋体"/>
                <w:b w:val="0"/>
                <w:color w:val="auto"/>
                <w:sz w:val="18"/>
              </w:rPr>
              <w:t>镥</w:t>
            </w:r>
          </w:p>
        </w:tc>
        <w:tc>
          <w:tcPr>
            <w:tcW w:w="3402" w:type="dxa"/>
          </w:tcPr>
          <w:p w14:paraId="379B771A">
            <w:pPr>
              <w:spacing w:after="0" w:line="240" w:lineRule="auto"/>
              <w:jc w:val="center"/>
              <w:rPr>
                <w:color w:val="auto"/>
              </w:rPr>
            </w:pPr>
            <w:r>
              <w:rPr>
                <w:rFonts w:ascii="Times New Roman" w:hAnsi="Times New Roman" w:eastAsia="宋体"/>
                <w:b w:val="0"/>
                <w:color w:val="auto"/>
                <w:sz w:val="18"/>
              </w:rPr>
              <w:t>261.542</w:t>
            </w:r>
          </w:p>
        </w:tc>
      </w:tr>
    </w:tbl>
    <w:p w14:paraId="6490600A">
      <w:pPr>
        <w:ind w:firstLine="420" w:firstLineChars="200"/>
        <w:rPr>
          <w:rFonts w:hint="eastAsia"/>
          <w:color w:val="auto"/>
          <w:szCs w:val="21"/>
        </w:rPr>
      </w:pPr>
    </w:p>
    <w:p w14:paraId="628256C1">
      <w:pPr>
        <w:rPr>
          <w:rFonts w:hint="eastAsia"/>
          <w:color w:val="auto"/>
          <w:szCs w:val="21"/>
        </w:rPr>
      </w:pPr>
      <w:r>
        <w:rPr>
          <w:rFonts w:hint="eastAsia" w:ascii="黑体" w:hAnsi="黑体" w:eastAsia="黑体"/>
          <w:color w:val="auto"/>
          <w:sz w:val="21"/>
          <w:szCs w:val="21"/>
          <w:lang w:val="en-US" w:eastAsia="zh-CN"/>
        </w:rPr>
        <w:t>A.2.6.6.2　</w:t>
      </w:r>
      <w:r>
        <w:rPr>
          <w:rFonts w:hint="eastAsia"/>
          <w:color w:val="auto"/>
          <w:szCs w:val="21"/>
        </w:rPr>
        <w:t>将空白溶液（</w:t>
      </w:r>
      <w:r>
        <w:rPr>
          <w:rFonts w:hint="eastAsia"/>
          <w:color w:val="auto"/>
          <w:szCs w:val="21"/>
          <w:lang w:eastAsia="zh-CN"/>
        </w:rPr>
        <w:t>A.2</w:t>
      </w:r>
      <w:r>
        <w:rPr>
          <w:rFonts w:hint="eastAsia"/>
          <w:color w:val="auto"/>
          <w:szCs w:val="21"/>
        </w:rPr>
        <w:t>.6.3）、分析试液（</w:t>
      </w:r>
      <w:r>
        <w:rPr>
          <w:rFonts w:hint="eastAsia"/>
          <w:color w:val="auto"/>
          <w:szCs w:val="21"/>
          <w:lang w:eastAsia="zh-CN"/>
        </w:rPr>
        <w:t>A.2</w:t>
      </w:r>
      <w:r>
        <w:rPr>
          <w:rFonts w:hint="eastAsia"/>
          <w:color w:val="auto"/>
          <w:szCs w:val="21"/>
        </w:rPr>
        <w:t>.6.4）与标准系列溶液（</w:t>
      </w:r>
      <w:r>
        <w:rPr>
          <w:rFonts w:hint="eastAsia"/>
          <w:color w:val="auto"/>
          <w:szCs w:val="21"/>
          <w:lang w:eastAsia="zh-CN"/>
        </w:rPr>
        <w:t>A.2</w:t>
      </w:r>
      <w:r>
        <w:rPr>
          <w:rFonts w:hint="eastAsia"/>
          <w:color w:val="auto"/>
          <w:szCs w:val="21"/>
        </w:rPr>
        <w:t>.6.5）同时进行氩等离子体光谱测定。</w:t>
      </w:r>
    </w:p>
    <w:p w14:paraId="110464E2">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A.2.7　分析结果的计算与表述</w:t>
      </w:r>
    </w:p>
    <w:p w14:paraId="75078F8B">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按式（</w:t>
      </w:r>
      <w:r>
        <w:rPr>
          <w:rFonts w:hint="eastAsia" w:cs="Times New Roman"/>
          <w:color w:val="auto"/>
          <w:szCs w:val="21"/>
          <w:lang w:eastAsia="zh-CN"/>
        </w:rPr>
        <w:t>A.1</w:t>
      </w:r>
      <w:r>
        <w:rPr>
          <w:rFonts w:hint="default" w:ascii="Times New Roman" w:hAnsi="Times New Roman" w:cs="Times New Roman"/>
          <w:color w:val="auto"/>
          <w:szCs w:val="21"/>
        </w:rPr>
        <w:t>）计算待测稀土杂质元素的质量分数w(%)：</w:t>
      </w:r>
    </w:p>
    <w:p w14:paraId="66F25B83">
      <w:pPr>
        <w:jc w:val="center"/>
        <w:rPr>
          <w:rFonts w:hint="default" w:ascii="Times New Roman" w:hAnsi="Times New Roman" w:cs="Times New Roman"/>
          <w:color w:val="auto"/>
          <w:szCs w:val="21"/>
        </w:rPr>
      </w:pPr>
      <w:r>
        <w:rPr>
          <w:rFonts w:hint="default" w:ascii="Times New Roman" w:hAnsi="Times New Roman" w:cs="Times New Roman"/>
          <w:color w:val="auto"/>
          <w:szCs w:val="21"/>
        </w:rPr>
        <w:t>w＝(ρ−ρ</w:t>
      </w:r>
      <w:r>
        <w:rPr>
          <w:rFonts w:hint="default" w:ascii="Times New Roman" w:hAnsi="Times New Roman" w:cs="Times New Roman"/>
          <w:color w:val="auto"/>
          <w:szCs w:val="21"/>
          <w:vertAlign w:val="subscript"/>
        </w:rPr>
        <w:t>0</w:t>
      </w:r>
      <w:r>
        <w:rPr>
          <w:rFonts w:hint="default" w:ascii="Times New Roman" w:hAnsi="Times New Roman" w:cs="Times New Roman"/>
          <w:color w:val="auto"/>
          <w:szCs w:val="21"/>
        </w:rPr>
        <w:t>)×V</w:t>
      </w:r>
      <w:r>
        <w:rPr>
          <w:rFonts w:hint="default" w:ascii="Times New Roman" w:hAnsi="Times New Roman" w:cs="Times New Roman"/>
          <w:color w:val="auto"/>
          <w:szCs w:val="21"/>
          <w:vertAlign w:val="subscript"/>
        </w:rPr>
        <w:t>1</w:t>
      </w:r>
      <w:r>
        <w:rPr>
          <w:rFonts w:hint="default" w:ascii="Times New Roman" w:hAnsi="Times New Roman" w:cs="Times New Roman"/>
          <w:color w:val="auto"/>
          <w:szCs w:val="21"/>
        </w:rPr>
        <w:t>×V</w:t>
      </w:r>
      <w:r>
        <w:rPr>
          <w:rFonts w:hint="default" w:ascii="Times New Roman" w:hAnsi="Times New Roman" w:cs="Times New Roman"/>
          <w:color w:val="auto"/>
          <w:szCs w:val="21"/>
          <w:vertAlign w:val="subscript"/>
        </w:rPr>
        <w:t>2</w:t>
      </w:r>
      <w:r>
        <w:rPr>
          <w:rFonts w:hint="default" w:ascii="Times New Roman" w:hAnsi="Times New Roman" w:cs="Times New Roman"/>
          <w:color w:val="auto"/>
          <w:szCs w:val="21"/>
        </w:rPr>
        <w:t>/(V</w:t>
      </w:r>
      <w:r>
        <w:rPr>
          <w:rFonts w:hint="default" w:ascii="Times New Roman" w:hAnsi="Times New Roman" w:cs="Times New Roman"/>
          <w:color w:val="auto"/>
          <w:szCs w:val="21"/>
          <w:vertAlign w:val="subscript"/>
        </w:rPr>
        <w:t>0</w:t>
      </w:r>
      <w:r>
        <w:rPr>
          <w:rFonts w:hint="default" w:ascii="Times New Roman" w:hAnsi="Times New Roman" w:cs="Times New Roman"/>
          <w:color w:val="auto"/>
          <w:szCs w:val="21"/>
        </w:rPr>
        <w:t>×m</w:t>
      </w:r>
      <w:r>
        <w:rPr>
          <w:rFonts w:hint="default" w:ascii="Times New Roman" w:hAnsi="Times New Roman" w:cs="Times New Roman"/>
          <w:color w:val="auto"/>
          <w:szCs w:val="21"/>
          <w:vertAlign w:val="subscript"/>
        </w:rPr>
        <w:t>0</w:t>
      </w:r>
      <w:r>
        <w:rPr>
          <w:rFonts w:hint="default" w:ascii="Times New Roman" w:hAnsi="Times New Roman" w:cs="Times New Roman"/>
          <w:color w:val="auto"/>
          <w:szCs w:val="21"/>
        </w:rPr>
        <w:t>)×10⁻⁶×100</w:t>
      </w:r>
      <w:r>
        <w:rPr>
          <w:rFonts w:hint="default" w:ascii="Times New Roman" w:hAnsi="Times New Roman" w:cs="Times New Roman"/>
          <w:color w:val="auto"/>
          <w:szCs w:val="21"/>
        </w:rPr>
        <w:tab/>
      </w:r>
      <w:r>
        <w:rPr>
          <w:rFonts w:hint="default" w:ascii="Times New Roman" w:hAnsi="Times New Roman" w:cs="Times New Roman"/>
          <w:color w:val="auto"/>
          <w:szCs w:val="21"/>
        </w:rPr>
        <w:t>………………（</w:t>
      </w:r>
      <w:r>
        <w:rPr>
          <w:rFonts w:hint="eastAsia" w:cs="Times New Roman"/>
          <w:color w:val="auto"/>
          <w:szCs w:val="21"/>
          <w:lang w:eastAsia="zh-CN"/>
        </w:rPr>
        <w:t>A.1</w:t>
      </w:r>
      <w:r>
        <w:rPr>
          <w:rFonts w:hint="default" w:ascii="Times New Roman" w:hAnsi="Times New Roman" w:cs="Times New Roman"/>
          <w:color w:val="auto"/>
          <w:szCs w:val="21"/>
        </w:rPr>
        <w:t>）</w:t>
      </w:r>
    </w:p>
    <w:p w14:paraId="2AB9FAEB">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式中：</w:t>
      </w:r>
    </w:p>
    <w:p w14:paraId="2081A678">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ρ——自工作曲线上查得分析试液中待测稀土杂质元素的浓度（μg/mL）；</w:t>
      </w:r>
    </w:p>
    <w:p w14:paraId="24FE380F">
      <w:pPr>
        <w:widowControl w:val="0"/>
        <w:ind w:firstLine="420" w:firstLineChars="20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ρ</w:t>
      </w:r>
      <w:r>
        <w:rPr>
          <w:rFonts w:hint="default" w:ascii="Times New Roman" w:hAnsi="Times New Roman" w:eastAsia="宋体" w:cs="Times New Roman"/>
          <w:color w:val="auto"/>
          <w:kern w:val="2"/>
          <w:sz w:val="21"/>
          <w:szCs w:val="21"/>
          <w:vertAlign w:val="subscript"/>
          <w:lang w:val="en-US" w:eastAsia="zh-CN" w:bidi="ar-SA"/>
        </w:rPr>
        <w:t>0</w:t>
      </w:r>
      <w:r>
        <w:rPr>
          <w:rFonts w:hint="default" w:ascii="Times New Roman" w:hAnsi="Times New Roman" w:eastAsia="宋体" w:cs="Times New Roman"/>
          <w:color w:val="auto"/>
          <w:kern w:val="2"/>
          <w:sz w:val="21"/>
          <w:szCs w:val="21"/>
          <w:lang w:val="en-US" w:eastAsia="zh-CN" w:bidi="ar-SA"/>
        </w:rPr>
        <w:t>——空白溶液中待测元素的浓度（μg/mL）</w:t>
      </w:r>
      <w:r>
        <w:rPr>
          <w:rFonts w:hint="eastAsia" w:ascii="Times New Roman" w:hAnsi="Times New Roman" w:eastAsia="宋体" w:cs="Times New Roman"/>
          <w:color w:val="auto"/>
          <w:kern w:val="2"/>
          <w:sz w:val="21"/>
          <w:szCs w:val="21"/>
          <w:lang w:val="en-US" w:eastAsia="zh-CN" w:bidi="ar-SA"/>
        </w:rPr>
        <w:t>；</w:t>
      </w:r>
    </w:p>
    <w:p w14:paraId="61ACC295">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V</w:t>
      </w:r>
      <w:r>
        <w:rPr>
          <w:rFonts w:hint="default" w:ascii="Times New Roman" w:hAnsi="Times New Roman" w:cs="Times New Roman"/>
          <w:color w:val="auto"/>
          <w:szCs w:val="21"/>
          <w:vertAlign w:val="subscript"/>
        </w:rPr>
        <w:t>1</w:t>
      </w:r>
      <w:r>
        <w:rPr>
          <w:rFonts w:hint="default" w:ascii="Times New Roman" w:hAnsi="Times New Roman" w:cs="Times New Roman"/>
          <w:color w:val="auto"/>
          <w:szCs w:val="21"/>
        </w:rPr>
        <w:t>——试液定容总体积（mL）；</w:t>
      </w:r>
    </w:p>
    <w:p w14:paraId="4D0B75E4">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V</w:t>
      </w:r>
      <w:r>
        <w:rPr>
          <w:rFonts w:hint="default" w:ascii="Times New Roman" w:hAnsi="Times New Roman" w:cs="Times New Roman"/>
          <w:color w:val="auto"/>
          <w:szCs w:val="21"/>
          <w:vertAlign w:val="subscript"/>
        </w:rPr>
        <w:t>2</w:t>
      </w:r>
      <w:r>
        <w:rPr>
          <w:rFonts w:hint="default" w:ascii="Times New Roman" w:hAnsi="Times New Roman" w:cs="Times New Roman"/>
          <w:color w:val="auto"/>
          <w:szCs w:val="21"/>
        </w:rPr>
        <w:t>——再定容体积（mL）；</w:t>
      </w:r>
    </w:p>
    <w:p w14:paraId="01277852">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V</w:t>
      </w:r>
      <w:r>
        <w:rPr>
          <w:rFonts w:hint="default" w:ascii="Times New Roman" w:hAnsi="Times New Roman" w:cs="Times New Roman"/>
          <w:color w:val="auto"/>
          <w:szCs w:val="21"/>
          <w:vertAlign w:val="subscript"/>
        </w:rPr>
        <w:t>0</w:t>
      </w:r>
      <w:r>
        <w:rPr>
          <w:rFonts w:hint="default" w:ascii="Times New Roman" w:hAnsi="Times New Roman" w:cs="Times New Roman"/>
          <w:color w:val="auto"/>
          <w:szCs w:val="21"/>
        </w:rPr>
        <w:t>——分取试液体积（mL）；</w:t>
      </w:r>
    </w:p>
    <w:p w14:paraId="2A447F5D">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m</w:t>
      </w:r>
      <w:r>
        <w:rPr>
          <w:rFonts w:hint="default" w:ascii="Times New Roman" w:hAnsi="Times New Roman" w:cs="Times New Roman"/>
          <w:color w:val="auto"/>
          <w:szCs w:val="21"/>
          <w:vertAlign w:val="subscript"/>
        </w:rPr>
        <w:t>0</w:t>
      </w:r>
      <w:r>
        <w:rPr>
          <w:rFonts w:hint="default" w:ascii="Times New Roman" w:hAnsi="Times New Roman" w:cs="Times New Roman"/>
          <w:color w:val="auto"/>
          <w:szCs w:val="21"/>
        </w:rPr>
        <w:t>——试料质量（g）。</w:t>
      </w:r>
    </w:p>
    <w:p w14:paraId="646D495C">
      <w:pPr>
        <w:rPr>
          <w:color w:val="auto"/>
        </w:rPr>
        <w:sectPr>
          <w:pgSz w:w="11906" w:h="16838"/>
          <w:pgMar w:top="1440" w:right="1418" w:bottom="1440" w:left="1418" w:header="851" w:footer="992" w:gutter="0"/>
          <w:cols w:space="425" w:num="1"/>
          <w:docGrid w:type="lines" w:linePitch="312" w:charSpace="0"/>
        </w:sectPr>
      </w:pPr>
    </w:p>
    <w:p w14:paraId="168A1491">
      <w:pPr>
        <w:spacing w:line="240" w:lineRule="auto"/>
        <w:jc w:val="center"/>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附录B</w:t>
      </w:r>
      <w:r>
        <w:rPr>
          <w:rFonts w:hint="eastAsia" w:ascii="黑体" w:hAnsi="黑体" w:eastAsia="黑体"/>
          <w:color w:val="auto"/>
          <w:sz w:val="21"/>
          <w:szCs w:val="21"/>
          <w:lang w:val="en-US" w:eastAsia="zh-CN"/>
        </w:rPr>
        <w:br w:type="textWrapping"/>
      </w:r>
      <w:r>
        <w:rPr>
          <w:rFonts w:hint="eastAsia" w:ascii="黑体" w:hAnsi="黑体" w:eastAsia="黑体"/>
          <w:color w:val="auto"/>
          <w:sz w:val="21"/>
          <w:szCs w:val="21"/>
          <w:lang w:val="en-US" w:eastAsia="zh-CN"/>
        </w:rPr>
        <w:t>（资料性）</w:t>
      </w:r>
    </w:p>
    <w:p w14:paraId="391D270C">
      <w:pPr>
        <w:spacing w:line="240" w:lineRule="auto"/>
        <w:jc w:val="center"/>
        <w:rPr>
          <w:rFonts w:hint="eastAsia" w:ascii="黑体" w:hAnsi="黑体" w:eastAsia="黑体"/>
          <w:color w:val="auto"/>
          <w:sz w:val="21"/>
          <w:szCs w:val="21"/>
          <w:lang w:val="en-US" w:eastAsia="zh-CN"/>
        </w:rPr>
      </w:pPr>
      <w:r>
        <w:rPr>
          <w:rFonts w:hint="eastAsia" w:ascii="黑体" w:hAnsi="黑体" w:eastAsia="黑体"/>
          <w:color w:val="auto"/>
          <w:sz w:val="21"/>
          <w:szCs w:val="21"/>
        </w:rPr>
        <mc:AlternateContent>
          <mc:Choice Requires="wps">
            <w:drawing>
              <wp:anchor distT="0" distB="0" distL="114300" distR="114300" simplePos="0" relativeHeight="251674624" behindDoc="0" locked="0" layoutInCell="1" allowOverlap="1">
                <wp:simplePos x="0" y="0"/>
                <wp:positionH relativeFrom="column">
                  <wp:posOffset>0</wp:posOffset>
                </wp:positionH>
                <wp:positionV relativeFrom="paragraph">
                  <wp:posOffset>8888730</wp:posOffset>
                </wp:positionV>
                <wp:extent cx="6121400" cy="0"/>
                <wp:effectExtent l="0" t="6350" r="0" b="6350"/>
                <wp:wrapNone/>
                <wp:docPr id="16" name="直接连接符 16"/>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FFFFFF"/>
                          </a:solidFill>
                          <a:round/>
                        </a:ln>
                        <a:effectLst/>
                      </wps:spPr>
                      <wps:bodyPr/>
                    </wps:wsp>
                  </a:graphicData>
                </a:graphic>
              </wp:anchor>
            </w:drawing>
          </mc:Choice>
          <mc:Fallback>
            <w:pict>
              <v:line id="_x0000_s1026" o:spid="_x0000_s1026" o:spt="20" style="position:absolute;left:0pt;margin-left:0pt;margin-top:699.9pt;height:0pt;width:482pt;z-index:251674624;mso-width-relative:page;mso-height-relative:page;" filled="f" stroked="t" coordsize="21600,21600" o:gfxdata="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cSrdXVAAAA&#10;CgEAAA8AAAAAAAAAAQAgAAAAIgAAAGRycy9kb3ducmV2LnhtbFBLAQIUABQAAAAIAIdO4kBvyuxr&#10;5wEAALsDAAAOAAAAAAAAAAEAIAAAACQBAABkcnMvZTJvRG9jLnhtbFBLBQYAAAAABgAGAFkBAAB9&#10;BQAAAAA=&#10;">
                <v:fill on="f" focussize="0,0"/>
                <v:stroke weight="1pt" color="#FFFFFF" joinstyle="round"/>
                <v:imagedata o:title=""/>
                <o:lock v:ext="edit" aspectratio="f"/>
              </v:line>
            </w:pict>
          </mc:Fallback>
        </mc:AlternateContent>
      </w:r>
      <w:r>
        <w:rPr>
          <w:rFonts w:hint="eastAsia" w:ascii="黑体" w:hAnsi="黑体" w:eastAsia="黑体"/>
          <w:color w:val="auto"/>
          <w:sz w:val="21"/>
          <w:szCs w:val="21"/>
          <w:lang w:val="en-US" w:eastAsia="zh-CN"/>
        </w:rPr>
        <w:t>钇镁合金化</w:t>
      </w:r>
      <w:r>
        <w:rPr>
          <w:rFonts w:hint="eastAsia" w:ascii="黑体" w:hAnsi="黑体" w:eastAsia="黑体"/>
          <w:color w:val="auto"/>
          <w:sz w:val="21"/>
          <w:szCs w:val="21"/>
        </w:rPr>
        <w:t>学分析方法</w:t>
      </w:r>
    </w:p>
    <w:p w14:paraId="1C603D4B">
      <w:pPr>
        <w:spacing w:line="240" w:lineRule="auto"/>
        <w:jc w:val="center"/>
        <w:rPr>
          <w:rFonts w:hint="eastAsia" w:ascii="黑体" w:hAnsi="黑体" w:eastAsia="黑体"/>
          <w:color w:val="auto"/>
          <w:sz w:val="21"/>
          <w:szCs w:val="21"/>
        </w:rPr>
      </w:pPr>
      <w:r>
        <w:rPr>
          <w:rFonts w:hint="eastAsia" w:ascii="黑体" w:hAnsi="黑体" w:eastAsia="黑体"/>
          <w:color w:val="auto"/>
          <w:sz w:val="21"/>
          <w:szCs w:val="21"/>
        </w:rPr>
        <w:t>铝、钙、铜、铁、镍和硅量的测定　电感耦合等离子体原子发射光谱法测定</w:t>
      </w:r>
    </w:p>
    <w:p w14:paraId="644B8F95">
      <w:pPr>
        <w:rPr>
          <w:color w:val="auto"/>
        </w:rPr>
      </w:pPr>
    </w:p>
    <w:p w14:paraId="3DB7A1E2">
      <w:pPr>
        <w:ind w:firstLine="420" w:firstLineChars="200"/>
        <w:rPr>
          <w:rFonts w:hint="eastAsia"/>
          <w:color w:val="auto"/>
          <w:szCs w:val="21"/>
        </w:rPr>
      </w:pPr>
      <w:r>
        <w:rPr>
          <w:rFonts w:hint="eastAsia"/>
          <w:color w:val="auto"/>
          <w:szCs w:val="21"/>
        </w:rPr>
        <w:t>本附录规定了钇镁合金中铝、钙、铜、铁、镍和硅含量的测定方法。</w:t>
      </w:r>
    </w:p>
    <w:p w14:paraId="7A51F682">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B.1　范围</w:t>
      </w:r>
    </w:p>
    <w:p w14:paraId="47F67EDA">
      <w:pPr>
        <w:ind w:firstLine="420" w:firstLineChars="200"/>
        <w:rPr>
          <w:rFonts w:hint="eastAsia"/>
          <w:color w:val="auto"/>
          <w:szCs w:val="21"/>
        </w:rPr>
      </w:pPr>
      <w:r>
        <w:rPr>
          <w:rFonts w:hint="eastAsia"/>
          <w:color w:val="auto"/>
          <w:szCs w:val="21"/>
        </w:rPr>
        <w:t>钇镁合金中铝、钙、铜、铁、镍和硅含量的测定范围见表B.1。</w:t>
      </w:r>
    </w:p>
    <w:p w14:paraId="5F13AB00">
      <w:pPr>
        <w:spacing w:before="120" w:after="40"/>
        <w:jc w:val="center"/>
      </w:pPr>
      <w:r>
        <w:rPr>
          <w:rFonts w:ascii="Times New Roman" w:hAnsi="Times New Roman" w:eastAsia="宋体"/>
          <w:b/>
          <w:sz w:val="21"/>
        </w:rPr>
        <w:t>表B.1　测定范围</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9"/>
        <w:gridCol w:w="2409"/>
        <w:gridCol w:w="2409"/>
        <w:gridCol w:w="2409"/>
      </w:tblGrid>
      <w:tr w14:paraId="3749A8C6">
        <w:tblPrEx>
          <w:tblCellMar>
            <w:top w:w="0" w:type="dxa"/>
            <w:left w:w="108" w:type="dxa"/>
            <w:bottom w:w="0" w:type="dxa"/>
            <w:right w:w="108" w:type="dxa"/>
          </w:tblCellMar>
        </w:tblPrEx>
        <w:trPr>
          <w:jc w:val="center"/>
        </w:trPr>
        <w:tc>
          <w:tcPr>
            <w:tcW w:w="1814" w:type="dxa"/>
          </w:tcPr>
          <w:p w14:paraId="2BBB3FB0">
            <w:pPr>
              <w:spacing w:after="0" w:line="240" w:lineRule="auto"/>
              <w:jc w:val="center"/>
            </w:pPr>
            <w:r>
              <w:rPr>
                <w:rFonts w:ascii="Times New Roman" w:hAnsi="Times New Roman" w:eastAsia="宋体"/>
                <w:b/>
                <w:sz w:val="18"/>
              </w:rPr>
              <w:t>元素</w:t>
            </w:r>
          </w:p>
        </w:tc>
        <w:tc>
          <w:tcPr>
            <w:tcW w:w="2268" w:type="dxa"/>
          </w:tcPr>
          <w:p w14:paraId="7BCC2783">
            <w:pPr>
              <w:spacing w:after="0" w:line="240" w:lineRule="auto"/>
              <w:jc w:val="center"/>
            </w:pPr>
            <w:r>
              <w:rPr>
                <w:rFonts w:ascii="Times New Roman" w:hAnsi="Times New Roman" w:eastAsia="宋体"/>
                <w:b/>
                <w:sz w:val="18"/>
              </w:rPr>
              <w:t>测定范围/%</w:t>
            </w:r>
          </w:p>
        </w:tc>
        <w:tc>
          <w:tcPr>
            <w:tcW w:w="1814" w:type="dxa"/>
          </w:tcPr>
          <w:p w14:paraId="405483B7">
            <w:pPr>
              <w:spacing w:after="0" w:line="240" w:lineRule="auto"/>
              <w:jc w:val="center"/>
            </w:pPr>
            <w:r>
              <w:rPr>
                <w:rFonts w:ascii="Times New Roman" w:hAnsi="Times New Roman" w:eastAsia="宋体"/>
                <w:b/>
                <w:sz w:val="18"/>
              </w:rPr>
              <w:t>元素</w:t>
            </w:r>
          </w:p>
        </w:tc>
        <w:tc>
          <w:tcPr>
            <w:tcW w:w="2268" w:type="dxa"/>
          </w:tcPr>
          <w:p w14:paraId="1DBD2A5A">
            <w:pPr>
              <w:spacing w:after="0" w:line="240" w:lineRule="auto"/>
              <w:jc w:val="center"/>
            </w:pPr>
            <w:r>
              <w:rPr>
                <w:rFonts w:ascii="Times New Roman" w:hAnsi="Times New Roman" w:eastAsia="宋体"/>
                <w:b/>
                <w:sz w:val="18"/>
              </w:rPr>
              <w:t>测定范围/%</w:t>
            </w:r>
          </w:p>
        </w:tc>
      </w:tr>
      <w:tr w14:paraId="38004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4A9EB7BC">
            <w:pPr>
              <w:spacing w:after="0" w:line="240" w:lineRule="auto"/>
              <w:jc w:val="center"/>
            </w:pPr>
            <w:r>
              <w:rPr>
                <w:rFonts w:ascii="Times New Roman" w:hAnsi="Times New Roman" w:eastAsia="宋体"/>
                <w:b w:val="0"/>
                <w:sz w:val="18"/>
              </w:rPr>
              <w:t>铝</w:t>
            </w:r>
          </w:p>
        </w:tc>
        <w:tc>
          <w:tcPr>
            <w:tcW w:w="2268" w:type="dxa"/>
          </w:tcPr>
          <w:p w14:paraId="31A432E9">
            <w:pPr>
              <w:spacing w:after="0" w:line="240" w:lineRule="auto"/>
              <w:jc w:val="center"/>
            </w:pPr>
            <w:r>
              <w:rPr>
                <w:rFonts w:ascii="Times New Roman" w:hAnsi="Times New Roman" w:eastAsia="宋体"/>
                <w:b w:val="0"/>
                <w:sz w:val="18"/>
              </w:rPr>
              <w:t>0.0050～0.50</w:t>
            </w:r>
          </w:p>
        </w:tc>
        <w:tc>
          <w:tcPr>
            <w:tcW w:w="1814" w:type="dxa"/>
          </w:tcPr>
          <w:p w14:paraId="01F92AE9">
            <w:pPr>
              <w:spacing w:after="0" w:line="240" w:lineRule="auto"/>
              <w:jc w:val="center"/>
            </w:pPr>
            <w:r>
              <w:rPr>
                <w:rFonts w:ascii="Times New Roman" w:hAnsi="Times New Roman" w:eastAsia="宋体"/>
                <w:b w:val="0"/>
                <w:sz w:val="18"/>
              </w:rPr>
              <w:t>铁</w:t>
            </w:r>
          </w:p>
        </w:tc>
        <w:tc>
          <w:tcPr>
            <w:tcW w:w="2268" w:type="dxa"/>
          </w:tcPr>
          <w:p w14:paraId="4C0203E5">
            <w:pPr>
              <w:spacing w:after="0" w:line="240" w:lineRule="auto"/>
              <w:jc w:val="center"/>
            </w:pPr>
            <w:r>
              <w:rPr>
                <w:rFonts w:ascii="Times New Roman" w:hAnsi="Times New Roman" w:eastAsia="宋体"/>
                <w:b w:val="0"/>
                <w:sz w:val="18"/>
              </w:rPr>
              <w:t>0.0050～0.50</w:t>
            </w:r>
          </w:p>
        </w:tc>
      </w:tr>
      <w:tr w14:paraId="75DDC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345BBDFF">
            <w:pPr>
              <w:spacing w:after="0" w:line="240" w:lineRule="auto"/>
              <w:jc w:val="center"/>
            </w:pPr>
            <w:r>
              <w:rPr>
                <w:rFonts w:ascii="Times New Roman" w:hAnsi="Times New Roman" w:eastAsia="宋体"/>
                <w:b w:val="0"/>
                <w:sz w:val="18"/>
              </w:rPr>
              <w:t>钙</w:t>
            </w:r>
          </w:p>
        </w:tc>
        <w:tc>
          <w:tcPr>
            <w:tcW w:w="2268" w:type="dxa"/>
          </w:tcPr>
          <w:p w14:paraId="54786200">
            <w:pPr>
              <w:spacing w:after="0" w:line="240" w:lineRule="auto"/>
              <w:jc w:val="center"/>
            </w:pPr>
            <w:r>
              <w:rPr>
                <w:rFonts w:ascii="Times New Roman" w:hAnsi="Times New Roman" w:eastAsia="宋体"/>
                <w:b w:val="0"/>
                <w:sz w:val="18"/>
              </w:rPr>
              <w:t>0.0050～0.50</w:t>
            </w:r>
          </w:p>
        </w:tc>
        <w:tc>
          <w:tcPr>
            <w:tcW w:w="1814" w:type="dxa"/>
          </w:tcPr>
          <w:p w14:paraId="50EDD907">
            <w:pPr>
              <w:spacing w:after="0" w:line="240" w:lineRule="auto"/>
              <w:jc w:val="center"/>
            </w:pPr>
            <w:r>
              <w:rPr>
                <w:rFonts w:ascii="Times New Roman" w:hAnsi="Times New Roman" w:eastAsia="宋体"/>
                <w:b w:val="0"/>
                <w:sz w:val="18"/>
              </w:rPr>
              <w:t>镍</w:t>
            </w:r>
          </w:p>
        </w:tc>
        <w:tc>
          <w:tcPr>
            <w:tcW w:w="2268" w:type="dxa"/>
          </w:tcPr>
          <w:p w14:paraId="127AEBD2">
            <w:pPr>
              <w:spacing w:after="0" w:line="240" w:lineRule="auto"/>
              <w:jc w:val="center"/>
            </w:pPr>
            <w:r>
              <w:rPr>
                <w:rFonts w:ascii="Times New Roman" w:hAnsi="Times New Roman" w:eastAsia="宋体"/>
                <w:b w:val="0"/>
                <w:sz w:val="18"/>
              </w:rPr>
              <w:t>0.0010～0.50</w:t>
            </w:r>
          </w:p>
        </w:tc>
      </w:tr>
      <w:tr w14:paraId="3D8E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14:paraId="03FEFAA1">
            <w:pPr>
              <w:spacing w:after="0" w:line="240" w:lineRule="auto"/>
              <w:jc w:val="center"/>
            </w:pPr>
            <w:r>
              <w:rPr>
                <w:rFonts w:ascii="Times New Roman" w:hAnsi="Times New Roman" w:eastAsia="宋体"/>
                <w:b w:val="0"/>
                <w:sz w:val="18"/>
              </w:rPr>
              <w:t>铜</w:t>
            </w:r>
          </w:p>
        </w:tc>
        <w:tc>
          <w:tcPr>
            <w:tcW w:w="2268" w:type="dxa"/>
          </w:tcPr>
          <w:p w14:paraId="6ED04C04">
            <w:pPr>
              <w:spacing w:after="0" w:line="240" w:lineRule="auto"/>
              <w:jc w:val="center"/>
            </w:pPr>
            <w:r>
              <w:rPr>
                <w:rFonts w:ascii="Times New Roman" w:hAnsi="Times New Roman" w:eastAsia="宋体"/>
                <w:b w:val="0"/>
                <w:sz w:val="18"/>
              </w:rPr>
              <w:t>0.0010～0.50</w:t>
            </w:r>
          </w:p>
        </w:tc>
        <w:tc>
          <w:tcPr>
            <w:tcW w:w="1814" w:type="dxa"/>
          </w:tcPr>
          <w:p w14:paraId="1FD87784">
            <w:pPr>
              <w:spacing w:after="0" w:line="240" w:lineRule="auto"/>
              <w:jc w:val="center"/>
            </w:pPr>
            <w:r>
              <w:rPr>
                <w:rFonts w:ascii="Times New Roman" w:hAnsi="Times New Roman" w:eastAsia="宋体"/>
                <w:b w:val="0"/>
                <w:sz w:val="18"/>
              </w:rPr>
              <w:t>硅</w:t>
            </w:r>
          </w:p>
        </w:tc>
        <w:tc>
          <w:tcPr>
            <w:tcW w:w="2268" w:type="dxa"/>
          </w:tcPr>
          <w:p w14:paraId="54B96867">
            <w:pPr>
              <w:spacing w:after="0" w:line="240" w:lineRule="auto"/>
              <w:jc w:val="center"/>
            </w:pPr>
            <w:r>
              <w:rPr>
                <w:rFonts w:ascii="Times New Roman" w:hAnsi="Times New Roman" w:eastAsia="宋体"/>
                <w:b w:val="0"/>
                <w:sz w:val="18"/>
              </w:rPr>
              <w:t>0.0050～0.50</w:t>
            </w:r>
          </w:p>
        </w:tc>
      </w:tr>
    </w:tbl>
    <w:p w14:paraId="3B76B492">
      <w:pPr>
        <w:ind w:firstLine="420" w:firstLineChars="200"/>
        <w:rPr>
          <w:rFonts w:hint="eastAsia"/>
          <w:color w:val="auto"/>
          <w:szCs w:val="21"/>
        </w:rPr>
      </w:pPr>
    </w:p>
    <w:p w14:paraId="6F853627">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B.2　方法原理</w:t>
      </w:r>
    </w:p>
    <w:p w14:paraId="68DA2C8D">
      <w:pPr>
        <w:ind w:firstLine="420" w:firstLineChars="200"/>
        <w:rPr>
          <w:rFonts w:hint="eastAsia"/>
          <w:color w:val="auto"/>
          <w:szCs w:val="21"/>
        </w:rPr>
      </w:pPr>
      <w:r>
        <w:rPr>
          <w:rFonts w:hint="eastAsia"/>
          <w:color w:val="auto"/>
          <w:szCs w:val="21"/>
        </w:rPr>
        <w:t>试料用硝酸溶解后，以准基体匹配法校正基体影响，进行氩等离子体光谱法测定。</w:t>
      </w:r>
    </w:p>
    <w:p w14:paraId="6C45334B">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B.3　试剂和材料</w:t>
      </w:r>
    </w:p>
    <w:p w14:paraId="526CEA2F">
      <w:pPr>
        <w:ind w:firstLine="420" w:firstLineChars="200"/>
        <w:rPr>
          <w:rFonts w:hint="eastAsia"/>
          <w:color w:val="auto"/>
          <w:szCs w:val="21"/>
        </w:rPr>
      </w:pPr>
      <w:r>
        <w:rPr>
          <w:rFonts w:hint="eastAsia"/>
          <w:color w:val="auto"/>
          <w:szCs w:val="21"/>
        </w:rPr>
        <w:t>除非另有说明，在分析中仅使用确认为优级纯的试剂和相当纯度的水。</w:t>
      </w:r>
    </w:p>
    <w:p w14:paraId="09DC2C2C">
      <w:pPr>
        <w:rPr>
          <w:rFonts w:hint="eastAsia"/>
          <w:color w:val="auto"/>
          <w:szCs w:val="21"/>
        </w:rPr>
      </w:pPr>
      <w:r>
        <w:rPr>
          <w:rFonts w:hint="eastAsia" w:ascii="黑体" w:hAnsi="黑体" w:eastAsia="黑体"/>
          <w:color w:val="auto"/>
          <w:sz w:val="21"/>
          <w:szCs w:val="21"/>
          <w:lang w:val="en-US" w:eastAsia="zh-CN"/>
        </w:rPr>
        <w:t>B.3.1　</w:t>
      </w:r>
      <w:r>
        <w:rPr>
          <w:rFonts w:hint="eastAsia"/>
          <w:color w:val="auto"/>
          <w:szCs w:val="21"/>
        </w:rPr>
        <w:t>硝酸（1+1）。</w:t>
      </w:r>
    </w:p>
    <w:p w14:paraId="6EA5C0A7">
      <w:pPr>
        <w:rPr>
          <w:rFonts w:hint="eastAsia"/>
          <w:color w:val="auto"/>
          <w:szCs w:val="21"/>
        </w:rPr>
      </w:pPr>
      <w:r>
        <w:rPr>
          <w:rFonts w:hint="eastAsia" w:ascii="黑体" w:hAnsi="黑体" w:eastAsia="黑体"/>
          <w:color w:val="auto"/>
          <w:sz w:val="21"/>
          <w:szCs w:val="21"/>
          <w:lang w:val="en-US" w:eastAsia="zh-CN"/>
        </w:rPr>
        <w:t>B.3.2　</w:t>
      </w:r>
      <w:r>
        <w:rPr>
          <w:rFonts w:hint="eastAsia"/>
          <w:color w:val="auto"/>
          <w:szCs w:val="21"/>
        </w:rPr>
        <w:t>单一元素标准贮存溶液（1 mg/mL）：由国家标准物质中心提供，或按表B.1规定制备。</w:t>
      </w:r>
    </w:p>
    <w:p w14:paraId="7E66A6AA">
      <w:pPr>
        <w:spacing w:before="120" w:after="40"/>
        <w:jc w:val="center"/>
        <w:rPr>
          <w:color w:val="auto"/>
        </w:rPr>
      </w:pPr>
      <w:r>
        <w:rPr>
          <w:rFonts w:ascii="Times New Roman" w:hAnsi="Times New Roman" w:eastAsia="宋体"/>
          <w:b/>
          <w:color w:val="auto"/>
          <w:sz w:val="21"/>
        </w:rPr>
        <w:t>表B.</w:t>
      </w:r>
      <w:r>
        <w:rPr>
          <w:rFonts w:hint="eastAsia"/>
          <w:b/>
          <w:color w:val="auto"/>
          <w:sz w:val="21"/>
          <w:lang w:val="en-US" w:eastAsia="zh-CN"/>
        </w:rPr>
        <w:t>2</w:t>
      </w:r>
      <w:r>
        <w:rPr>
          <w:rFonts w:ascii="Times New Roman" w:hAnsi="Times New Roman" w:eastAsia="宋体"/>
          <w:b/>
          <w:color w:val="auto"/>
          <w:sz w:val="21"/>
        </w:rPr>
        <w:t>　单一元素标准贮存溶液的制备（1 mg/mL）</w:t>
      </w:r>
    </w:p>
    <w:tbl>
      <w:tblPr>
        <w:tblStyle w:val="13"/>
        <w:tblW w:w="96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2507"/>
        <w:gridCol w:w="1415"/>
        <w:gridCol w:w="4164"/>
      </w:tblGrid>
      <w:tr w14:paraId="741C7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0" w:type="dxa"/>
          </w:tcPr>
          <w:p w14:paraId="48636C73">
            <w:pPr>
              <w:spacing w:after="0" w:line="240" w:lineRule="auto"/>
              <w:jc w:val="center"/>
              <w:rPr>
                <w:color w:val="auto"/>
              </w:rPr>
            </w:pPr>
            <w:r>
              <w:rPr>
                <w:rFonts w:ascii="Times New Roman" w:hAnsi="Times New Roman" w:eastAsia="宋体"/>
                <w:b/>
                <w:color w:val="auto"/>
                <w:sz w:val="18"/>
              </w:rPr>
              <w:t>元素</w:t>
            </w:r>
          </w:p>
        </w:tc>
        <w:tc>
          <w:tcPr>
            <w:tcW w:w="2507" w:type="dxa"/>
          </w:tcPr>
          <w:p w14:paraId="31D6354A">
            <w:pPr>
              <w:spacing w:after="0" w:line="240" w:lineRule="auto"/>
              <w:jc w:val="center"/>
              <w:rPr>
                <w:color w:val="auto"/>
              </w:rPr>
            </w:pPr>
            <w:r>
              <w:rPr>
                <w:rFonts w:ascii="Times New Roman" w:hAnsi="Times New Roman" w:eastAsia="宋体"/>
                <w:b/>
                <w:color w:val="auto"/>
                <w:sz w:val="18"/>
              </w:rPr>
              <w:t>称取化合物</w:t>
            </w:r>
          </w:p>
        </w:tc>
        <w:tc>
          <w:tcPr>
            <w:tcW w:w="1415" w:type="dxa"/>
          </w:tcPr>
          <w:p w14:paraId="40CCCB9F">
            <w:pPr>
              <w:spacing w:after="0" w:line="240" w:lineRule="auto"/>
              <w:jc w:val="center"/>
              <w:rPr>
                <w:color w:val="auto"/>
              </w:rPr>
            </w:pPr>
            <w:r>
              <w:rPr>
                <w:rFonts w:ascii="Times New Roman" w:hAnsi="Times New Roman" w:eastAsia="宋体"/>
                <w:b/>
                <w:color w:val="auto"/>
                <w:sz w:val="18"/>
              </w:rPr>
              <w:t>称取量/g</w:t>
            </w:r>
          </w:p>
        </w:tc>
        <w:tc>
          <w:tcPr>
            <w:tcW w:w="4164" w:type="dxa"/>
          </w:tcPr>
          <w:p w14:paraId="5B3020E5">
            <w:pPr>
              <w:spacing w:after="0" w:line="240" w:lineRule="auto"/>
              <w:jc w:val="center"/>
              <w:rPr>
                <w:color w:val="auto"/>
              </w:rPr>
            </w:pPr>
            <w:r>
              <w:rPr>
                <w:rFonts w:ascii="Times New Roman" w:hAnsi="Times New Roman" w:eastAsia="宋体"/>
                <w:b/>
                <w:color w:val="auto"/>
                <w:sz w:val="18"/>
              </w:rPr>
              <w:t>溶解/熔融介质</w:t>
            </w:r>
          </w:p>
        </w:tc>
      </w:tr>
      <w:tr w14:paraId="373B7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0" w:type="dxa"/>
          </w:tcPr>
          <w:p w14:paraId="61A0D9FD">
            <w:pPr>
              <w:spacing w:after="0" w:line="240" w:lineRule="auto"/>
              <w:jc w:val="center"/>
              <w:rPr>
                <w:color w:val="auto"/>
              </w:rPr>
            </w:pPr>
            <w:r>
              <w:rPr>
                <w:rFonts w:ascii="Times New Roman" w:hAnsi="Times New Roman" w:eastAsia="宋体"/>
                <w:b w:val="0"/>
                <w:color w:val="auto"/>
                <w:sz w:val="18"/>
              </w:rPr>
              <w:t>铝</w:t>
            </w:r>
          </w:p>
        </w:tc>
        <w:tc>
          <w:tcPr>
            <w:tcW w:w="2507" w:type="dxa"/>
          </w:tcPr>
          <w:p w14:paraId="11DA24C1">
            <w:pPr>
              <w:spacing w:after="0" w:line="240" w:lineRule="auto"/>
              <w:jc w:val="center"/>
              <w:rPr>
                <w:color w:val="auto"/>
              </w:rPr>
            </w:pPr>
            <w:r>
              <w:rPr>
                <w:rFonts w:ascii="Times New Roman" w:hAnsi="Times New Roman" w:eastAsia="宋体"/>
                <w:b w:val="0"/>
                <w:color w:val="auto"/>
                <w:sz w:val="18"/>
              </w:rPr>
              <w:t>金属铝</w:t>
            </w:r>
          </w:p>
        </w:tc>
        <w:tc>
          <w:tcPr>
            <w:tcW w:w="1415" w:type="dxa"/>
          </w:tcPr>
          <w:p w14:paraId="05506BDC">
            <w:pPr>
              <w:spacing w:after="0" w:line="240" w:lineRule="auto"/>
              <w:jc w:val="center"/>
              <w:rPr>
                <w:color w:val="auto"/>
              </w:rPr>
            </w:pPr>
            <w:r>
              <w:rPr>
                <w:rFonts w:ascii="Times New Roman" w:hAnsi="Times New Roman" w:eastAsia="宋体"/>
                <w:b w:val="0"/>
                <w:color w:val="auto"/>
                <w:sz w:val="18"/>
              </w:rPr>
              <w:t>1.0000</w:t>
            </w:r>
          </w:p>
        </w:tc>
        <w:tc>
          <w:tcPr>
            <w:tcW w:w="4164" w:type="dxa"/>
          </w:tcPr>
          <w:p w14:paraId="223D8507">
            <w:pPr>
              <w:spacing w:after="0" w:line="240" w:lineRule="auto"/>
              <w:jc w:val="center"/>
              <w:rPr>
                <w:color w:val="auto"/>
              </w:rPr>
            </w:pPr>
            <w:r>
              <w:rPr>
                <w:rFonts w:ascii="Times New Roman" w:hAnsi="Times New Roman" w:eastAsia="宋体"/>
                <w:b w:val="0"/>
                <w:color w:val="auto"/>
                <w:sz w:val="18"/>
              </w:rPr>
              <w:t>盐酸溶解、蒸至盐类析出后硝酸转盐</w:t>
            </w:r>
          </w:p>
        </w:tc>
      </w:tr>
      <w:tr w14:paraId="5CB6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0" w:type="dxa"/>
          </w:tcPr>
          <w:p w14:paraId="42DD8E8A">
            <w:pPr>
              <w:spacing w:after="0" w:line="240" w:lineRule="auto"/>
              <w:jc w:val="center"/>
              <w:rPr>
                <w:color w:val="auto"/>
              </w:rPr>
            </w:pPr>
            <w:r>
              <w:rPr>
                <w:rFonts w:ascii="Times New Roman" w:hAnsi="Times New Roman" w:eastAsia="宋体"/>
                <w:b w:val="0"/>
                <w:color w:val="auto"/>
                <w:sz w:val="18"/>
              </w:rPr>
              <w:t>钙</w:t>
            </w:r>
          </w:p>
        </w:tc>
        <w:tc>
          <w:tcPr>
            <w:tcW w:w="2507" w:type="dxa"/>
          </w:tcPr>
          <w:p w14:paraId="4E8695A5">
            <w:pPr>
              <w:spacing w:after="0" w:line="240" w:lineRule="auto"/>
              <w:jc w:val="center"/>
              <w:rPr>
                <w:color w:val="auto"/>
              </w:rPr>
            </w:pPr>
            <w:r>
              <w:rPr>
                <w:rFonts w:ascii="Times New Roman" w:hAnsi="Times New Roman" w:eastAsia="宋体"/>
                <w:b w:val="0"/>
                <w:color w:val="auto"/>
                <w:sz w:val="18"/>
              </w:rPr>
              <w:t>无水碳酸钙（110 ℃烘干）</w:t>
            </w:r>
          </w:p>
        </w:tc>
        <w:tc>
          <w:tcPr>
            <w:tcW w:w="1415" w:type="dxa"/>
          </w:tcPr>
          <w:p w14:paraId="09C4143E">
            <w:pPr>
              <w:spacing w:after="0" w:line="240" w:lineRule="auto"/>
              <w:jc w:val="center"/>
              <w:rPr>
                <w:color w:val="auto"/>
              </w:rPr>
            </w:pPr>
            <w:r>
              <w:rPr>
                <w:rFonts w:ascii="Times New Roman" w:hAnsi="Times New Roman" w:eastAsia="宋体"/>
                <w:b w:val="0"/>
                <w:color w:val="auto"/>
                <w:sz w:val="18"/>
              </w:rPr>
              <w:t>2.4971</w:t>
            </w:r>
          </w:p>
        </w:tc>
        <w:tc>
          <w:tcPr>
            <w:tcW w:w="4164" w:type="dxa"/>
          </w:tcPr>
          <w:p w14:paraId="581DBFC6">
            <w:pPr>
              <w:spacing w:after="0" w:line="240" w:lineRule="auto"/>
              <w:jc w:val="center"/>
              <w:rPr>
                <w:color w:val="auto"/>
              </w:rPr>
            </w:pPr>
            <w:r>
              <w:rPr>
                <w:rFonts w:ascii="Times New Roman" w:hAnsi="Times New Roman" w:eastAsia="宋体"/>
                <w:b w:val="0"/>
                <w:color w:val="auto"/>
                <w:sz w:val="18"/>
              </w:rPr>
              <w:t>硝酸溶解，煮沸除尽二氧化碳</w:t>
            </w:r>
          </w:p>
        </w:tc>
      </w:tr>
      <w:tr w14:paraId="6D314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0" w:type="dxa"/>
          </w:tcPr>
          <w:p w14:paraId="22C48500">
            <w:pPr>
              <w:spacing w:after="0" w:line="240" w:lineRule="auto"/>
              <w:jc w:val="center"/>
              <w:rPr>
                <w:color w:val="auto"/>
              </w:rPr>
            </w:pPr>
            <w:r>
              <w:rPr>
                <w:rFonts w:ascii="Times New Roman" w:hAnsi="Times New Roman" w:eastAsia="宋体"/>
                <w:b w:val="0"/>
                <w:color w:val="auto"/>
                <w:sz w:val="18"/>
              </w:rPr>
              <w:t>铜</w:t>
            </w:r>
          </w:p>
        </w:tc>
        <w:tc>
          <w:tcPr>
            <w:tcW w:w="2507" w:type="dxa"/>
          </w:tcPr>
          <w:p w14:paraId="6ACCE818">
            <w:pPr>
              <w:spacing w:after="0" w:line="240" w:lineRule="auto"/>
              <w:jc w:val="center"/>
              <w:rPr>
                <w:color w:val="auto"/>
              </w:rPr>
            </w:pPr>
            <w:r>
              <w:rPr>
                <w:rFonts w:ascii="Times New Roman" w:hAnsi="Times New Roman" w:eastAsia="宋体"/>
                <w:b w:val="0"/>
                <w:color w:val="auto"/>
                <w:sz w:val="18"/>
              </w:rPr>
              <w:t>金属铜</w:t>
            </w:r>
          </w:p>
        </w:tc>
        <w:tc>
          <w:tcPr>
            <w:tcW w:w="1415" w:type="dxa"/>
          </w:tcPr>
          <w:p w14:paraId="1EBD9282">
            <w:pPr>
              <w:spacing w:after="0" w:line="240" w:lineRule="auto"/>
              <w:jc w:val="center"/>
              <w:rPr>
                <w:color w:val="auto"/>
              </w:rPr>
            </w:pPr>
            <w:r>
              <w:rPr>
                <w:rFonts w:ascii="Times New Roman" w:hAnsi="Times New Roman" w:eastAsia="宋体"/>
                <w:b w:val="0"/>
                <w:color w:val="auto"/>
                <w:sz w:val="18"/>
              </w:rPr>
              <w:t>1.0000</w:t>
            </w:r>
          </w:p>
        </w:tc>
        <w:tc>
          <w:tcPr>
            <w:tcW w:w="4164" w:type="dxa"/>
          </w:tcPr>
          <w:p w14:paraId="6F66A27E">
            <w:pPr>
              <w:spacing w:after="0" w:line="240" w:lineRule="auto"/>
              <w:jc w:val="center"/>
              <w:rPr>
                <w:color w:val="auto"/>
              </w:rPr>
            </w:pPr>
            <w:r>
              <w:rPr>
                <w:rFonts w:ascii="Times New Roman" w:hAnsi="Times New Roman" w:eastAsia="宋体"/>
                <w:b w:val="0"/>
                <w:color w:val="auto"/>
                <w:sz w:val="18"/>
              </w:rPr>
              <w:t>硝酸溶解，煮沸除尽氮氧化物</w:t>
            </w:r>
          </w:p>
        </w:tc>
      </w:tr>
      <w:tr w14:paraId="4C030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0" w:type="dxa"/>
          </w:tcPr>
          <w:p w14:paraId="6EE383BC">
            <w:pPr>
              <w:spacing w:after="0" w:line="240" w:lineRule="auto"/>
              <w:jc w:val="center"/>
              <w:rPr>
                <w:color w:val="auto"/>
              </w:rPr>
            </w:pPr>
            <w:r>
              <w:rPr>
                <w:rFonts w:ascii="Times New Roman" w:hAnsi="Times New Roman" w:eastAsia="宋体"/>
                <w:b w:val="0"/>
                <w:color w:val="auto"/>
                <w:sz w:val="18"/>
              </w:rPr>
              <w:t>铁</w:t>
            </w:r>
          </w:p>
        </w:tc>
        <w:tc>
          <w:tcPr>
            <w:tcW w:w="2507" w:type="dxa"/>
          </w:tcPr>
          <w:p w14:paraId="344C9BE1">
            <w:pPr>
              <w:spacing w:after="0" w:line="240" w:lineRule="auto"/>
              <w:jc w:val="center"/>
              <w:rPr>
                <w:color w:val="auto"/>
              </w:rPr>
            </w:pPr>
            <w:r>
              <w:rPr>
                <w:rFonts w:ascii="Times New Roman" w:hAnsi="Times New Roman" w:eastAsia="宋体"/>
                <w:b w:val="0"/>
                <w:color w:val="auto"/>
                <w:sz w:val="18"/>
              </w:rPr>
              <w:t>金属铁</w:t>
            </w:r>
          </w:p>
        </w:tc>
        <w:tc>
          <w:tcPr>
            <w:tcW w:w="1415" w:type="dxa"/>
          </w:tcPr>
          <w:p w14:paraId="71054B62">
            <w:pPr>
              <w:spacing w:after="0" w:line="240" w:lineRule="auto"/>
              <w:jc w:val="center"/>
              <w:rPr>
                <w:color w:val="auto"/>
              </w:rPr>
            </w:pPr>
            <w:r>
              <w:rPr>
                <w:rFonts w:ascii="Times New Roman" w:hAnsi="Times New Roman" w:eastAsia="宋体"/>
                <w:b w:val="0"/>
                <w:color w:val="auto"/>
                <w:sz w:val="18"/>
              </w:rPr>
              <w:t>1.0000</w:t>
            </w:r>
          </w:p>
        </w:tc>
        <w:tc>
          <w:tcPr>
            <w:tcW w:w="4164" w:type="dxa"/>
          </w:tcPr>
          <w:p w14:paraId="0FBA299A">
            <w:pPr>
              <w:spacing w:after="0" w:line="240" w:lineRule="auto"/>
              <w:jc w:val="center"/>
              <w:rPr>
                <w:color w:val="auto"/>
              </w:rPr>
            </w:pPr>
            <w:r>
              <w:rPr>
                <w:rFonts w:ascii="Times New Roman" w:hAnsi="Times New Roman" w:eastAsia="宋体"/>
                <w:b w:val="0"/>
                <w:color w:val="auto"/>
                <w:sz w:val="18"/>
              </w:rPr>
              <w:t>盐酸溶解、蒸至盐类析出后硝酸转盐</w:t>
            </w:r>
          </w:p>
        </w:tc>
      </w:tr>
      <w:tr w14:paraId="6DB8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0" w:type="dxa"/>
          </w:tcPr>
          <w:p w14:paraId="01219384">
            <w:pPr>
              <w:spacing w:after="0" w:line="240" w:lineRule="auto"/>
              <w:jc w:val="center"/>
              <w:rPr>
                <w:color w:val="auto"/>
              </w:rPr>
            </w:pPr>
            <w:r>
              <w:rPr>
                <w:rFonts w:ascii="Times New Roman" w:hAnsi="Times New Roman" w:eastAsia="宋体"/>
                <w:b w:val="0"/>
                <w:color w:val="auto"/>
                <w:sz w:val="18"/>
              </w:rPr>
              <w:t>镍</w:t>
            </w:r>
          </w:p>
        </w:tc>
        <w:tc>
          <w:tcPr>
            <w:tcW w:w="2507" w:type="dxa"/>
          </w:tcPr>
          <w:p w14:paraId="3AC02431">
            <w:pPr>
              <w:spacing w:after="0" w:line="240" w:lineRule="auto"/>
              <w:jc w:val="center"/>
              <w:rPr>
                <w:color w:val="auto"/>
              </w:rPr>
            </w:pPr>
            <w:r>
              <w:rPr>
                <w:rFonts w:ascii="Times New Roman" w:hAnsi="Times New Roman" w:eastAsia="宋体"/>
                <w:b w:val="0"/>
                <w:color w:val="auto"/>
                <w:sz w:val="18"/>
              </w:rPr>
              <w:t>金属镍</w:t>
            </w:r>
          </w:p>
        </w:tc>
        <w:tc>
          <w:tcPr>
            <w:tcW w:w="1415" w:type="dxa"/>
          </w:tcPr>
          <w:p w14:paraId="5337A257">
            <w:pPr>
              <w:spacing w:after="0" w:line="240" w:lineRule="auto"/>
              <w:jc w:val="center"/>
              <w:rPr>
                <w:color w:val="auto"/>
              </w:rPr>
            </w:pPr>
            <w:r>
              <w:rPr>
                <w:rFonts w:ascii="Times New Roman" w:hAnsi="Times New Roman" w:eastAsia="宋体"/>
                <w:b w:val="0"/>
                <w:color w:val="auto"/>
                <w:sz w:val="18"/>
              </w:rPr>
              <w:t>1.0000</w:t>
            </w:r>
          </w:p>
        </w:tc>
        <w:tc>
          <w:tcPr>
            <w:tcW w:w="4164" w:type="dxa"/>
          </w:tcPr>
          <w:p w14:paraId="141118CF">
            <w:pPr>
              <w:spacing w:after="0" w:line="240" w:lineRule="auto"/>
              <w:jc w:val="center"/>
              <w:rPr>
                <w:color w:val="auto"/>
              </w:rPr>
            </w:pPr>
            <w:r>
              <w:rPr>
                <w:rFonts w:ascii="Times New Roman" w:hAnsi="Times New Roman" w:eastAsia="宋体"/>
                <w:b w:val="0"/>
                <w:color w:val="auto"/>
                <w:sz w:val="18"/>
              </w:rPr>
              <w:t>硝酸溶解，煮沸除尽氮氧化物</w:t>
            </w:r>
          </w:p>
        </w:tc>
      </w:tr>
      <w:tr w14:paraId="71EDC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0" w:type="dxa"/>
          </w:tcPr>
          <w:p w14:paraId="3902AB4A">
            <w:pPr>
              <w:spacing w:after="0" w:line="240" w:lineRule="auto"/>
              <w:jc w:val="center"/>
              <w:rPr>
                <w:color w:val="auto"/>
              </w:rPr>
            </w:pPr>
            <w:r>
              <w:rPr>
                <w:rFonts w:ascii="Times New Roman" w:hAnsi="Times New Roman" w:eastAsia="宋体"/>
                <w:b w:val="0"/>
                <w:color w:val="auto"/>
                <w:sz w:val="18"/>
              </w:rPr>
              <w:t>硅</w:t>
            </w:r>
          </w:p>
        </w:tc>
        <w:tc>
          <w:tcPr>
            <w:tcW w:w="2507" w:type="dxa"/>
          </w:tcPr>
          <w:p w14:paraId="69D9F736">
            <w:pPr>
              <w:spacing w:after="0" w:line="240" w:lineRule="auto"/>
              <w:jc w:val="center"/>
              <w:rPr>
                <w:color w:val="auto"/>
              </w:rPr>
            </w:pPr>
            <w:r>
              <w:rPr>
                <w:rFonts w:ascii="Times New Roman" w:hAnsi="Times New Roman" w:eastAsia="宋体"/>
                <w:b w:val="0"/>
                <w:color w:val="auto"/>
                <w:sz w:val="18"/>
              </w:rPr>
              <w:t>二氧化硅（120 ℃烘干）</w:t>
            </w:r>
          </w:p>
        </w:tc>
        <w:tc>
          <w:tcPr>
            <w:tcW w:w="1415" w:type="dxa"/>
          </w:tcPr>
          <w:p w14:paraId="5C9328B1">
            <w:pPr>
              <w:spacing w:after="0" w:line="240" w:lineRule="auto"/>
              <w:jc w:val="center"/>
              <w:rPr>
                <w:color w:val="auto"/>
              </w:rPr>
            </w:pPr>
            <w:r>
              <w:rPr>
                <w:rFonts w:ascii="Times New Roman" w:hAnsi="Times New Roman" w:eastAsia="宋体"/>
                <w:b w:val="0"/>
                <w:color w:val="auto"/>
                <w:sz w:val="18"/>
              </w:rPr>
              <w:t>2.1394</w:t>
            </w:r>
          </w:p>
        </w:tc>
        <w:tc>
          <w:tcPr>
            <w:tcW w:w="4164" w:type="dxa"/>
          </w:tcPr>
          <w:p w14:paraId="42F28695">
            <w:pPr>
              <w:spacing w:after="0" w:line="240" w:lineRule="auto"/>
              <w:jc w:val="center"/>
              <w:rPr>
                <w:color w:val="auto"/>
              </w:rPr>
            </w:pPr>
            <w:r>
              <w:rPr>
                <w:rFonts w:ascii="Times New Roman" w:hAnsi="Times New Roman" w:eastAsia="宋体"/>
                <w:b w:val="0"/>
                <w:color w:val="auto"/>
                <w:sz w:val="18"/>
              </w:rPr>
              <w:t>碳酸钠-碳酸钾熔融，热水浸取</w:t>
            </w:r>
          </w:p>
        </w:tc>
      </w:tr>
    </w:tbl>
    <w:p w14:paraId="6F723442">
      <w:pPr>
        <w:ind w:firstLine="420" w:firstLineChars="200"/>
        <w:rPr>
          <w:rFonts w:hint="eastAsia"/>
          <w:color w:val="auto"/>
          <w:szCs w:val="21"/>
        </w:rPr>
      </w:pPr>
      <w:r>
        <w:rPr>
          <w:rFonts w:hint="eastAsia"/>
          <w:color w:val="auto"/>
          <w:szCs w:val="21"/>
        </w:rPr>
        <w:t>注：金属纯度w(Me)≥99.99%、二氧化硅w(SiO2)≥99.99%；各元素定容至1 000 mL容量瓶，此溶液1 mL含1 mg该元素。</w:t>
      </w:r>
    </w:p>
    <w:p w14:paraId="0B1F0516">
      <w:pPr>
        <w:rPr>
          <w:rFonts w:hint="eastAsia"/>
          <w:color w:val="auto"/>
          <w:szCs w:val="21"/>
        </w:rPr>
      </w:pPr>
      <w:r>
        <w:rPr>
          <w:rFonts w:hint="eastAsia" w:ascii="黑体" w:hAnsi="黑体" w:eastAsia="黑体"/>
          <w:color w:val="auto"/>
          <w:sz w:val="21"/>
          <w:szCs w:val="21"/>
          <w:lang w:val="en-US" w:eastAsia="zh-CN"/>
        </w:rPr>
        <w:t>B.3.3　</w:t>
      </w:r>
      <w:r>
        <w:rPr>
          <w:rFonts w:hint="eastAsia"/>
          <w:color w:val="auto"/>
          <w:szCs w:val="21"/>
        </w:rPr>
        <w:t>混合标准贮存溶液：分别移取铝、钙、铜、铁、镍和硅标准贮存溶液（B.3.2）各10.00 mL于100 mL容量瓶中，加入10 mL硝酸（B.3.1），以水稀释至刻度，混匀。此溶液1 mL分别含铝、钙、铜、铁、镍和硅各100 μg。</w:t>
      </w:r>
    </w:p>
    <w:p w14:paraId="0CB087EC">
      <w:pPr>
        <w:rPr>
          <w:rFonts w:hint="eastAsia"/>
          <w:color w:val="auto"/>
          <w:szCs w:val="21"/>
        </w:rPr>
      </w:pPr>
      <w:r>
        <w:rPr>
          <w:rFonts w:hint="eastAsia" w:ascii="黑体" w:hAnsi="黑体" w:eastAsia="黑体"/>
          <w:color w:val="auto"/>
          <w:sz w:val="21"/>
          <w:szCs w:val="21"/>
          <w:lang w:val="en-US" w:eastAsia="zh-CN"/>
        </w:rPr>
        <w:t>B.3.4　</w:t>
      </w:r>
      <w:r>
        <w:rPr>
          <w:rFonts w:hint="eastAsia"/>
          <w:color w:val="auto"/>
          <w:szCs w:val="21"/>
        </w:rPr>
        <w:t>低浓度混合标准溶液：移取5.00 mL混合标准贮存溶液（B.3.3）于100 mL容量瓶中，加入10 mL硝酸（B.3.1），以水稀释至刻度，混匀。此溶液1 mL分别含铝、钙、铜、铁、镍和硅各5 μg。</w:t>
      </w:r>
    </w:p>
    <w:p w14:paraId="6777B7D2">
      <w:pPr>
        <w:rPr>
          <w:rFonts w:hint="eastAsia"/>
          <w:color w:val="auto"/>
          <w:szCs w:val="21"/>
        </w:rPr>
      </w:pPr>
      <w:r>
        <w:rPr>
          <w:rFonts w:hint="eastAsia" w:ascii="黑体" w:hAnsi="黑体" w:eastAsia="黑体"/>
          <w:color w:val="auto"/>
          <w:sz w:val="21"/>
          <w:szCs w:val="21"/>
          <w:lang w:val="en-US" w:eastAsia="zh-CN"/>
        </w:rPr>
        <w:t>B.3.5　</w:t>
      </w:r>
      <w:r>
        <w:rPr>
          <w:rFonts w:hint="eastAsia"/>
          <w:color w:val="auto"/>
          <w:szCs w:val="21"/>
        </w:rPr>
        <w:t>钇基体贮存溶液：称取7.937 8 g经950 ℃灼烧1 h的氧化钇[w(REO)≥99.5%，w(Y2O3/REO)≥99.99%]于300 mL烧杯中，加入50 mL硝酸（B.3.1），加热溶解至清亮，冷却后移入250 mL容量瓶中，以水稀释至刻度，混匀。此溶液1 mL含25 mg钇。</w:t>
      </w:r>
    </w:p>
    <w:p w14:paraId="7BACC09F">
      <w:pPr>
        <w:rPr>
          <w:rFonts w:hint="eastAsia"/>
          <w:color w:val="auto"/>
          <w:szCs w:val="21"/>
        </w:rPr>
      </w:pPr>
      <w:r>
        <w:rPr>
          <w:rFonts w:hint="eastAsia" w:ascii="黑体" w:hAnsi="黑体" w:eastAsia="黑体"/>
          <w:color w:val="auto"/>
          <w:sz w:val="21"/>
          <w:szCs w:val="21"/>
          <w:lang w:val="en-US" w:eastAsia="zh-CN"/>
        </w:rPr>
        <w:t>B.3.6　</w:t>
      </w:r>
      <w:r>
        <w:rPr>
          <w:rFonts w:hint="eastAsia"/>
          <w:color w:val="auto"/>
          <w:szCs w:val="21"/>
        </w:rPr>
        <w:t>镁基体贮存溶液：称取6.250 0 g金属镁[w(Mg)≥99.99%]于300 mL烧杯中，加入50 mL水，分次加入60 mL硝酸（B.3.1），加热溶解至清，冷却后移入250 mL容量瓶中，以水稀释至刻度，混匀。此溶液1 mL含25 mg镁。</w:t>
      </w:r>
    </w:p>
    <w:p w14:paraId="2CF94B95">
      <w:pPr>
        <w:rPr>
          <w:rFonts w:hint="eastAsia"/>
          <w:color w:val="auto"/>
          <w:szCs w:val="21"/>
        </w:rPr>
      </w:pPr>
      <w:r>
        <w:rPr>
          <w:rFonts w:hint="eastAsia" w:ascii="黑体" w:hAnsi="黑体" w:eastAsia="黑体"/>
          <w:color w:val="auto"/>
          <w:sz w:val="21"/>
          <w:szCs w:val="21"/>
          <w:lang w:val="en-US" w:eastAsia="zh-CN"/>
        </w:rPr>
        <w:t>B.3.7　</w:t>
      </w:r>
      <w:r>
        <w:rPr>
          <w:rFonts w:hint="eastAsia"/>
          <w:color w:val="auto"/>
          <w:szCs w:val="21"/>
        </w:rPr>
        <w:t>氩气（纯度≥99.99%）。</w:t>
      </w:r>
    </w:p>
    <w:p w14:paraId="4FAFDF95">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B.4　仪器</w:t>
      </w:r>
    </w:p>
    <w:p w14:paraId="387359B7">
      <w:pPr>
        <w:rPr>
          <w:rFonts w:hint="eastAsia"/>
          <w:color w:val="auto"/>
          <w:szCs w:val="21"/>
        </w:rPr>
      </w:pPr>
      <w:r>
        <w:rPr>
          <w:rFonts w:hint="eastAsia" w:ascii="黑体" w:hAnsi="黑体" w:eastAsia="黑体"/>
          <w:color w:val="auto"/>
          <w:sz w:val="21"/>
          <w:szCs w:val="21"/>
          <w:lang w:val="en-US" w:eastAsia="zh-CN"/>
        </w:rPr>
        <w:t>B.4.1　</w:t>
      </w:r>
      <w:r>
        <w:rPr>
          <w:rFonts w:hint="eastAsia"/>
          <w:color w:val="auto"/>
          <w:szCs w:val="21"/>
        </w:rPr>
        <w:t>电感耦合等离子体原子发射光谱仪，分辨率&lt;0.006 nm（200 nm处）。</w:t>
      </w:r>
    </w:p>
    <w:p w14:paraId="364DF884">
      <w:pPr>
        <w:rPr>
          <w:rFonts w:hint="eastAsia"/>
          <w:color w:val="auto"/>
          <w:szCs w:val="21"/>
        </w:rPr>
      </w:pPr>
      <w:r>
        <w:rPr>
          <w:rFonts w:hint="eastAsia" w:ascii="黑体" w:hAnsi="黑体" w:eastAsia="黑体"/>
          <w:color w:val="auto"/>
          <w:sz w:val="21"/>
          <w:szCs w:val="21"/>
          <w:lang w:val="en-US" w:eastAsia="zh-CN"/>
        </w:rPr>
        <w:t>B.4.2　</w:t>
      </w:r>
      <w:r>
        <w:rPr>
          <w:rFonts w:hint="eastAsia"/>
          <w:color w:val="auto"/>
          <w:szCs w:val="21"/>
        </w:rPr>
        <w:t>天平，感量0.1 mg。</w:t>
      </w:r>
    </w:p>
    <w:p w14:paraId="56CB522F">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B.5　试样</w:t>
      </w:r>
    </w:p>
    <w:p w14:paraId="5C213B4F">
      <w:pPr>
        <w:ind w:firstLine="420" w:firstLineChars="200"/>
        <w:rPr>
          <w:rFonts w:hint="eastAsia"/>
          <w:color w:val="auto"/>
          <w:szCs w:val="21"/>
        </w:rPr>
      </w:pPr>
      <w:r>
        <w:rPr>
          <w:rFonts w:hint="eastAsia"/>
          <w:color w:val="auto"/>
          <w:szCs w:val="21"/>
        </w:rPr>
        <w:t>同</w:t>
      </w:r>
      <w:r>
        <w:rPr>
          <w:rFonts w:hint="eastAsia"/>
          <w:color w:val="auto"/>
          <w:szCs w:val="21"/>
          <w:lang w:eastAsia="zh-CN"/>
        </w:rPr>
        <w:t>A.1</w:t>
      </w:r>
      <w:r>
        <w:rPr>
          <w:rFonts w:hint="eastAsia"/>
          <w:color w:val="auto"/>
          <w:szCs w:val="21"/>
        </w:rPr>
        <w:t>.5。</w:t>
      </w:r>
    </w:p>
    <w:p w14:paraId="2E38E9AA">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B.6　分析步骤</w:t>
      </w:r>
    </w:p>
    <w:p w14:paraId="740EEC48">
      <w:pPr>
        <w:rPr>
          <w:rFonts w:hint="eastAsia"/>
          <w:color w:val="auto"/>
          <w:szCs w:val="21"/>
        </w:rPr>
      </w:pPr>
      <w:r>
        <w:rPr>
          <w:rFonts w:hint="eastAsia" w:ascii="黑体" w:hAnsi="黑体" w:eastAsia="黑体"/>
          <w:color w:val="auto"/>
          <w:sz w:val="21"/>
          <w:szCs w:val="21"/>
          <w:lang w:val="en-US" w:eastAsia="zh-CN"/>
        </w:rPr>
        <w:t>B.6.1　</w:t>
      </w:r>
      <w:r>
        <w:rPr>
          <w:rFonts w:hint="eastAsia"/>
          <w:color w:val="auto"/>
          <w:szCs w:val="21"/>
        </w:rPr>
        <w:t>试料　称取2.50 g试样（B.5），精确至0.0001 g。</w:t>
      </w:r>
    </w:p>
    <w:p w14:paraId="17BCCFD6">
      <w:pPr>
        <w:rPr>
          <w:rFonts w:hint="eastAsia"/>
          <w:color w:val="auto"/>
          <w:szCs w:val="21"/>
        </w:rPr>
      </w:pPr>
      <w:r>
        <w:rPr>
          <w:rFonts w:hint="eastAsia" w:ascii="黑体" w:hAnsi="黑体" w:eastAsia="黑体"/>
          <w:color w:val="auto"/>
          <w:sz w:val="21"/>
          <w:szCs w:val="21"/>
          <w:lang w:val="en-US" w:eastAsia="zh-CN"/>
        </w:rPr>
        <w:t>B.6.2　</w:t>
      </w:r>
      <w:r>
        <w:rPr>
          <w:rFonts w:hint="eastAsia"/>
          <w:color w:val="auto"/>
          <w:szCs w:val="21"/>
        </w:rPr>
        <w:t>测定数量　称取两份试料（B.6.1）进行平行测定，取其平均值。</w:t>
      </w:r>
    </w:p>
    <w:p w14:paraId="4D94A7FB">
      <w:pPr>
        <w:rPr>
          <w:rFonts w:hint="eastAsia"/>
          <w:color w:val="auto"/>
          <w:szCs w:val="21"/>
        </w:rPr>
      </w:pPr>
      <w:r>
        <w:rPr>
          <w:rFonts w:hint="eastAsia" w:ascii="黑体" w:hAnsi="黑体" w:eastAsia="黑体"/>
          <w:color w:val="auto"/>
          <w:sz w:val="21"/>
          <w:szCs w:val="21"/>
          <w:lang w:val="en-US" w:eastAsia="zh-CN"/>
        </w:rPr>
        <w:t>B.6.3　</w:t>
      </w:r>
      <w:r>
        <w:rPr>
          <w:rFonts w:hint="eastAsia"/>
          <w:color w:val="auto"/>
          <w:szCs w:val="21"/>
        </w:rPr>
        <w:t>空白试验　随同试料（B.6.1）做空白试验。</w:t>
      </w:r>
    </w:p>
    <w:p w14:paraId="51EA82EC">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B.6.4　分析试液的制备</w:t>
      </w:r>
    </w:p>
    <w:p w14:paraId="329DD5ED">
      <w:pPr>
        <w:ind w:firstLine="420" w:firstLineChars="200"/>
        <w:rPr>
          <w:rFonts w:hint="eastAsia"/>
          <w:color w:val="auto"/>
          <w:szCs w:val="21"/>
        </w:rPr>
      </w:pPr>
      <w:r>
        <w:rPr>
          <w:rFonts w:hint="eastAsia"/>
          <w:color w:val="auto"/>
          <w:szCs w:val="21"/>
        </w:rPr>
        <w:t>将试料（B.6.1）置于200 mL烧杯中，加入50 mL水，分次加入30 mL硝酸（B.3.1），待剧烈反应后，加热溶解至清，煮沸以除尽氮氧化物。冷却至室温，将溶液移入100 mL容量瓶中，以水稀释至刻度，混匀。分取10.00 mL溶液于50 mL容量瓶中，加入5 mL硝酸（B.3.1），以水稀释至刻度，混匀。</w:t>
      </w:r>
    </w:p>
    <w:p w14:paraId="0030E471">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B.6.5　标准系列溶液的配制</w:t>
      </w:r>
    </w:p>
    <w:p w14:paraId="04F05BF6">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B.6.5.1　样品标准系列溶液的配制</w:t>
      </w:r>
    </w:p>
    <w:p w14:paraId="394F8C25">
      <w:pPr>
        <w:ind w:firstLine="420" w:firstLineChars="200"/>
        <w:rPr>
          <w:rFonts w:hint="eastAsia"/>
          <w:color w:val="auto"/>
          <w:szCs w:val="21"/>
        </w:rPr>
      </w:pPr>
      <w:r>
        <w:rPr>
          <w:rFonts w:hint="eastAsia"/>
          <w:color w:val="auto"/>
          <w:szCs w:val="21"/>
        </w:rPr>
        <w:t>根据不同牌号钇镁合金中钇和镁的含量，配制不同基体量的标准系列溶液，见表B.</w:t>
      </w:r>
      <w:r>
        <w:rPr>
          <w:rFonts w:hint="eastAsia"/>
          <w:color w:val="auto"/>
          <w:szCs w:val="21"/>
          <w:lang w:val="en-US" w:eastAsia="zh-CN"/>
        </w:rPr>
        <w:t>3</w:t>
      </w:r>
      <w:r>
        <w:rPr>
          <w:rFonts w:hint="eastAsia"/>
          <w:color w:val="auto"/>
          <w:szCs w:val="21"/>
        </w:rPr>
        <w:t>。</w:t>
      </w:r>
    </w:p>
    <w:p w14:paraId="7FAECEFF">
      <w:pPr>
        <w:spacing w:before="120" w:after="40"/>
        <w:jc w:val="center"/>
        <w:rPr>
          <w:color w:val="auto"/>
        </w:rPr>
      </w:pPr>
      <w:r>
        <w:rPr>
          <w:rFonts w:ascii="Times New Roman" w:hAnsi="Times New Roman" w:eastAsia="宋体"/>
          <w:b/>
          <w:color w:val="auto"/>
          <w:sz w:val="21"/>
        </w:rPr>
        <w:t>表B.</w:t>
      </w:r>
      <w:r>
        <w:rPr>
          <w:rFonts w:hint="eastAsia"/>
          <w:b/>
          <w:color w:val="auto"/>
          <w:sz w:val="21"/>
          <w:lang w:val="en-US" w:eastAsia="zh-CN"/>
        </w:rPr>
        <w:t>3</w:t>
      </w:r>
      <w:r>
        <w:rPr>
          <w:rFonts w:ascii="Times New Roman" w:hAnsi="Times New Roman" w:eastAsia="宋体"/>
          <w:b/>
          <w:color w:val="auto"/>
          <w:sz w:val="21"/>
        </w:rPr>
        <w:t>　不同牌号钇镁合金的标准系列基体量</w:t>
      </w:r>
    </w:p>
    <w:tbl>
      <w:tblPr>
        <w:tblStyle w:val="13"/>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975"/>
        <w:gridCol w:w="868"/>
        <w:gridCol w:w="1982"/>
        <w:gridCol w:w="1629"/>
        <w:gridCol w:w="1738"/>
        <w:gridCol w:w="1377"/>
      </w:tblGrid>
      <w:tr w14:paraId="634F4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tcPr>
          <w:p w14:paraId="2F713359">
            <w:pPr>
              <w:spacing w:after="0" w:line="240" w:lineRule="auto"/>
              <w:jc w:val="center"/>
              <w:rPr>
                <w:color w:val="auto"/>
              </w:rPr>
            </w:pPr>
            <w:r>
              <w:rPr>
                <w:rFonts w:ascii="Times New Roman" w:hAnsi="Times New Roman" w:eastAsia="宋体"/>
                <w:b/>
                <w:color w:val="auto"/>
                <w:sz w:val="18"/>
              </w:rPr>
              <w:t>产品牌号</w:t>
            </w:r>
          </w:p>
        </w:tc>
        <w:tc>
          <w:tcPr>
            <w:tcW w:w="975" w:type="dxa"/>
          </w:tcPr>
          <w:p w14:paraId="20FDAAEB">
            <w:pPr>
              <w:spacing w:after="0" w:line="240" w:lineRule="auto"/>
              <w:jc w:val="center"/>
              <w:rPr>
                <w:color w:val="auto"/>
              </w:rPr>
            </w:pPr>
            <w:r>
              <w:rPr>
                <w:rFonts w:ascii="Times New Roman" w:hAnsi="Times New Roman" w:eastAsia="宋体"/>
                <w:b/>
                <w:color w:val="auto"/>
                <w:sz w:val="18"/>
              </w:rPr>
              <w:t>钇含量/%</w:t>
            </w:r>
          </w:p>
        </w:tc>
        <w:tc>
          <w:tcPr>
            <w:tcW w:w="868" w:type="dxa"/>
          </w:tcPr>
          <w:p w14:paraId="353D22E8">
            <w:pPr>
              <w:spacing w:after="0" w:line="240" w:lineRule="auto"/>
              <w:jc w:val="center"/>
              <w:rPr>
                <w:color w:val="auto"/>
              </w:rPr>
            </w:pPr>
            <w:r>
              <w:rPr>
                <w:rFonts w:ascii="Times New Roman" w:hAnsi="Times New Roman" w:eastAsia="宋体"/>
                <w:b/>
                <w:color w:val="auto"/>
                <w:sz w:val="18"/>
              </w:rPr>
              <w:t>镁含量/%</w:t>
            </w:r>
          </w:p>
        </w:tc>
        <w:tc>
          <w:tcPr>
            <w:tcW w:w="1982" w:type="dxa"/>
          </w:tcPr>
          <w:p w14:paraId="7D6F02DF">
            <w:pPr>
              <w:spacing w:after="0" w:line="240" w:lineRule="auto"/>
              <w:jc w:val="center"/>
              <w:rPr>
                <w:color w:val="auto"/>
              </w:rPr>
            </w:pPr>
            <w:r>
              <w:rPr>
                <w:rFonts w:ascii="Times New Roman" w:hAnsi="Times New Roman" w:eastAsia="宋体"/>
                <w:b/>
                <w:color w:val="auto"/>
                <w:sz w:val="18"/>
              </w:rPr>
              <w:t>加入钇基体贮存溶液（B.3.</w:t>
            </w:r>
            <w:r>
              <w:rPr>
                <w:rFonts w:hint="eastAsia"/>
                <w:b/>
                <w:color w:val="auto"/>
                <w:sz w:val="18"/>
                <w:lang w:val="en-US" w:eastAsia="zh-CN"/>
              </w:rPr>
              <w:t>5</w:t>
            </w:r>
            <w:r>
              <w:rPr>
                <w:rFonts w:ascii="Times New Roman" w:hAnsi="Times New Roman" w:eastAsia="宋体"/>
                <w:b/>
                <w:color w:val="auto"/>
                <w:sz w:val="18"/>
              </w:rPr>
              <w:t>）量/mL</w:t>
            </w:r>
          </w:p>
        </w:tc>
        <w:tc>
          <w:tcPr>
            <w:tcW w:w="1629" w:type="dxa"/>
          </w:tcPr>
          <w:p w14:paraId="3E900329">
            <w:pPr>
              <w:spacing w:after="0" w:line="240" w:lineRule="auto"/>
              <w:jc w:val="center"/>
              <w:rPr>
                <w:color w:val="auto"/>
              </w:rPr>
            </w:pPr>
            <w:r>
              <w:rPr>
                <w:rFonts w:ascii="Times New Roman" w:hAnsi="Times New Roman" w:eastAsia="宋体"/>
                <w:b/>
                <w:color w:val="auto"/>
                <w:sz w:val="18"/>
              </w:rPr>
              <w:t>钇基体浓度/(mg/mL)</w:t>
            </w:r>
          </w:p>
        </w:tc>
        <w:tc>
          <w:tcPr>
            <w:tcW w:w="1738" w:type="dxa"/>
          </w:tcPr>
          <w:p w14:paraId="10984594">
            <w:pPr>
              <w:spacing w:after="0" w:line="240" w:lineRule="auto"/>
              <w:jc w:val="center"/>
              <w:rPr>
                <w:color w:val="auto"/>
              </w:rPr>
            </w:pPr>
            <w:r>
              <w:rPr>
                <w:rFonts w:ascii="Times New Roman" w:hAnsi="Times New Roman" w:eastAsia="宋体"/>
                <w:b/>
                <w:color w:val="auto"/>
                <w:sz w:val="18"/>
              </w:rPr>
              <w:t>加入镁基体贮存溶液（B.3.</w:t>
            </w:r>
            <w:r>
              <w:rPr>
                <w:rFonts w:hint="eastAsia"/>
                <w:b/>
                <w:color w:val="auto"/>
                <w:sz w:val="18"/>
                <w:lang w:val="en-US" w:eastAsia="zh-CN"/>
              </w:rPr>
              <w:t>6</w:t>
            </w:r>
            <w:r>
              <w:rPr>
                <w:rFonts w:ascii="Times New Roman" w:hAnsi="Times New Roman" w:eastAsia="宋体"/>
                <w:b/>
                <w:color w:val="auto"/>
                <w:sz w:val="18"/>
              </w:rPr>
              <w:t>）量/mL</w:t>
            </w:r>
          </w:p>
        </w:tc>
        <w:tc>
          <w:tcPr>
            <w:tcW w:w="1377" w:type="dxa"/>
          </w:tcPr>
          <w:p w14:paraId="0C3503E3">
            <w:pPr>
              <w:spacing w:after="0" w:line="240" w:lineRule="auto"/>
              <w:jc w:val="center"/>
              <w:rPr>
                <w:color w:val="auto"/>
              </w:rPr>
            </w:pPr>
            <w:r>
              <w:rPr>
                <w:rFonts w:ascii="Times New Roman" w:hAnsi="Times New Roman" w:eastAsia="宋体"/>
                <w:b/>
                <w:color w:val="auto"/>
                <w:sz w:val="18"/>
              </w:rPr>
              <w:t>镁基体浓度/(mg/mL)</w:t>
            </w:r>
          </w:p>
        </w:tc>
      </w:tr>
      <w:tr w14:paraId="4144E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tcPr>
          <w:p w14:paraId="31487BE3">
            <w:pPr>
              <w:spacing w:after="0" w:line="240" w:lineRule="auto"/>
              <w:jc w:val="center"/>
              <w:rPr>
                <w:color w:val="auto"/>
              </w:rPr>
            </w:pPr>
            <w:r>
              <w:rPr>
                <w:rFonts w:ascii="Times New Roman" w:hAnsi="Times New Roman" w:eastAsia="宋体"/>
                <w:b w:val="0"/>
                <w:color w:val="auto"/>
                <w:sz w:val="18"/>
              </w:rPr>
              <w:t>YMg-20</w:t>
            </w:r>
          </w:p>
        </w:tc>
        <w:tc>
          <w:tcPr>
            <w:tcW w:w="975" w:type="dxa"/>
          </w:tcPr>
          <w:p w14:paraId="4EF2C773">
            <w:pPr>
              <w:spacing w:after="0" w:line="240" w:lineRule="auto"/>
              <w:jc w:val="center"/>
              <w:rPr>
                <w:color w:val="auto"/>
              </w:rPr>
            </w:pPr>
            <w:r>
              <w:rPr>
                <w:rFonts w:ascii="Times New Roman" w:hAnsi="Times New Roman" w:eastAsia="宋体"/>
                <w:b w:val="0"/>
                <w:color w:val="auto"/>
                <w:sz w:val="18"/>
              </w:rPr>
              <w:t>20±2</w:t>
            </w:r>
          </w:p>
        </w:tc>
        <w:tc>
          <w:tcPr>
            <w:tcW w:w="868" w:type="dxa"/>
          </w:tcPr>
          <w:p w14:paraId="298B5C43">
            <w:pPr>
              <w:spacing w:after="0" w:line="240" w:lineRule="auto"/>
              <w:jc w:val="center"/>
              <w:rPr>
                <w:color w:val="auto"/>
              </w:rPr>
            </w:pPr>
            <w:r>
              <w:rPr>
                <w:rFonts w:ascii="Times New Roman" w:hAnsi="Times New Roman" w:eastAsia="宋体"/>
                <w:b w:val="0"/>
                <w:color w:val="auto"/>
                <w:sz w:val="18"/>
              </w:rPr>
              <w:t>余量</w:t>
            </w:r>
          </w:p>
        </w:tc>
        <w:tc>
          <w:tcPr>
            <w:tcW w:w="1982" w:type="dxa"/>
          </w:tcPr>
          <w:p w14:paraId="02D258EA">
            <w:pPr>
              <w:spacing w:after="0" w:line="240" w:lineRule="auto"/>
              <w:jc w:val="center"/>
              <w:rPr>
                <w:color w:val="auto"/>
              </w:rPr>
            </w:pPr>
            <w:r>
              <w:rPr>
                <w:rFonts w:ascii="Times New Roman" w:hAnsi="Times New Roman" w:eastAsia="宋体"/>
                <w:b w:val="0"/>
                <w:color w:val="auto"/>
                <w:sz w:val="18"/>
              </w:rPr>
              <w:t>4.00</w:t>
            </w:r>
          </w:p>
        </w:tc>
        <w:tc>
          <w:tcPr>
            <w:tcW w:w="1629" w:type="dxa"/>
          </w:tcPr>
          <w:p w14:paraId="2626EC1C">
            <w:pPr>
              <w:spacing w:after="0" w:line="240" w:lineRule="auto"/>
              <w:jc w:val="center"/>
              <w:rPr>
                <w:color w:val="auto"/>
              </w:rPr>
            </w:pPr>
            <w:r>
              <w:rPr>
                <w:rFonts w:ascii="Times New Roman" w:hAnsi="Times New Roman" w:eastAsia="宋体"/>
                <w:b w:val="0"/>
                <w:color w:val="auto"/>
                <w:sz w:val="18"/>
              </w:rPr>
              <w:t>1.00</w:t>
            </w:r>
          </w:p>
        </w:tc>
        <w:tc>
          <w:tcPr>
            <w:tcW w:w="1738" w:type="dxa"/>
          </w:tcPr>
          <w:p w14:paraId="0E6DA6E3">
            <w:pPr>
              <w:spacing w:after="0" w:line="240" w:lineRule="auto"/>
              <w:jc w:val="center"/>
              <w:rPr>
                <w:color w:val="auto"/>
              </w:rPr>
            </w:pPr>
            <w:r>
              <w:rPr>
                <w:rFonts w:ascii="Times New Roman" w:hAnsi="Times New Roman" w:eastAsia="宋体"/>
                <w:b w:val="0"/>
                <w:color w:val="auto"/>
                <w:sz w:val="18"/>
              </w:rPr>
              <w:t>16.00</w:t>
            </w:r>
          </w:p>
        </w:tc>
        <w:tc>
          <w:tcPr>
            <w:tcW w:w="1377" w:type="dxa"/>
          </w:tcPr>
          <w:p w14:paraId="76EC4E4D">
            <w:pPr>
              <w:spacing w:after="0" w:line="240" w:lineRule="auto"/>
              <w:jc w:val="center"/>
              <w:rPr>
                <w:color w:val="auto"/>
              </w:rPr>
            </w:pPr>
            <w:r>
              <w:rPr>
                <w:rFonts w:ascii="Times New Roman" w:hAnsi="Times New Roman" w:eastAsia="宋体"/>
                <w:b w:val="0"/>
                <w:color w:val="auto"/>
                <w:sz w:val="18"/>
              </w:rPr>
              <w:t>4.00</w:t>
            </w:r>
          </w:p>
        </w:tc>
      </w:tr>
      <w:tr w14:paraId="6C36C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tcPr>
          <w:p w14:paraId="36BB4C57">
            <w:pPr>
              <w:spacing w:after="0" w:line="240" w:lineRule="auto"/>
              <w:jc w:val="center"/>
              <w:rPr>
                <w:color w:val="auto"/>
              </w:rPr>
            </w:pPr>
            <w:r>
              <w:rPr>
                <w:rFonts w:ascii="Times New Roman" w:hAnsi="Times New Roman" w:eastAsia="宋体"/>
                <w:b w:val="0"/>
                <w:color w:val="auto"/>
                <w:sz w:val="18"/>
              </w:rPr>
              <w:t>YMg-25</w:t>
            </w:r>
          </w:p>
        </w:tc>
        <w:tc>
          <w:tcPr>
            <w:tcW w:w="975" w:type="dxa"/>
          </w:tcPr>
          <w:p w14:paraId="73A7A662">
            <w:pPr>
              <w:spacing w:after="0" w:line="240" w:lineRule="auto"/>
              <w:jc w:val="center"/>
              <w:rPr>
                <w:color w:val="auto"/>
              </w:rPr>
            </w:pPr>
            <w:r>
              <w:rPr>
                <w:rFonts w:ascii="Times New Roman" w:hAnsi="Times New Roman" w:eastAsia="宋体"/>
                <w:b w:val="0"/>
                <w:color w:val="auto"/>
                <w:sz w:val="18"/>
              </w:rPr>
              <w:t>25±2</w:t>
            </w:r>
          </w:p>
        </w:tc>
        <w:tc>
          <w:tcPr>
            <w:tcW w:w="868" w:type="dxa"/>
          </w:tcPr>
          <w:p w14:paraId="78F63823">
            <w:pPr>
              <w:spacing w:after="0" w:line="240" w:lineRule="auto"/>
              <w:jc w:val="center"/>
              <w:rPr>
                <w:color w:val="auto"/>
              </w:rPr>
            </w:pPr>
            <w:r>
              <w:rPr>
                <w:rFonts w:ascii="Times New Roman" w:hAnsi="Times New Roman" w:eastAsia="宋体"/>
                <w:b w:val="0"/>
                <w:color w:val="auto"/>
                <w:sz w:val="18"/>
              </w:rPr>
              <w:t>余量</w:t>
            </w:r>
          </w:p>
        </w:tc>
        <w:tc>
          <w:tcPr>
            <w:tcW w:w="1982" w:type="dxa"/>
          </w:tcPr>
          <w:p w14:paraId="763767B2">
            <w:pPr>
              <w:spacing w:after="0" w:line="240" w:lineRule="auto"/>
              <w:jc w:val="center"/>
              <w:rPr>
                <w:color w:val="auto"/>
              </w:rPr>
            </w:pPr>
            <w:r>
              <w:rPr>
                <w:rFonts w:ascii="Times New Roman" w:hAnsi="Times New Roman" w:eastAsia="宋体"/>
                <w:b w:val="0"/>
                <w:color w:val="auto"/>
                <w:sz w:val="18"/>
              </w:rPr>
              <w:t>5.00</w:t>
            </w:r>
          </w:p>
        </w:tc>
        <w:tc>
          <w:tcPr>
            <w:tcW w:w="1629" w:type="dxa"/>
          </w:tcPr>
          <w:p w14:paraId="3FDA47C3">
            <w:pPr>
              <w:spacing w:after="0" w:line="240" w:lineRule="auto"/>
              <w:jc w:val="center"/>
              <w:rPr>
                <w:color w:val="auto"/>
              </w:rPr>
            </w:pPr>
            <w:r>
              <w:rPr>
                <w:rFonts w:ascii="Times New Roman" w:hAnsi="Times New Roman" w:eastAsia="宋体"/>
                <w:b w:val="0"/>
                <w:color w:val="auto"/>
                <w:sz w:val="18"/>
              </w:rPr>
              <w:t>1.25</w:t>
            </w:r>
          </w:p>
        </w:tc>
        <w:tc>
          <w:tcPr>
            <w:tcW w:w="1738" w:type="dxa"/>
          </w:tcPr>
          <w:p w14:paraId="46238B8B">
            <w:pPr>
              <w:spacing w:after="0" w:line="240" w:lineRule="auto"/>
              <w:jc w:val="center"/>
              <w:rPr>
                <w:color w:val="auto"/>
              </w:rPr>
            </w:pPr>
            <w:r>
              <w:rPr>
                <w:rFonts w:ascii="Times New Roman" w:hAnsi="Times New Roman" w:eastAsia="宋体"/>
                <w:b w:val="0"/>
                <w:color w:val="auto"/>
                <w:sz w:val="18"/>
              </w:rPr>
              <w:t>15.00</w:t>
            </w:r>
          </w:p>
        </w:tc>
        <w:tc>
          <w:tcPr>
            <w:tcW w:w="1377" w:type="dxa"/>
          </w:tcPr>
          <w:p w14:paraId="293B0175">
            <w:pPr>
              <w:spacing w:after="0" w:line="240" w:lineRule="auto"/>
              <w:jc w:val="center"/>
              <w:rPr>
                <w:color w:val="auto"/>
              </w:rPr>
            </w:pPr>
            <w:r>
              <w:rPr>
                <w:rFonts w:ascii="Times New Roman" w:hAnsi="Times New Roman" w:eastAsia="宋体"/>
                <w:b w:val="0"/>
                <w:color w:val="auto"/>
                <w:sz w:val="18"/>
              </w:rPr>
              <w:t>3.75</w:t>
            </w:r>
          </w:p>
        </w:tc>
      </w:tr>
      <w:tr w14:paraId="61B81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tcPr>
          <w:p w14:paraId="434393E7">
            <w:pPr>
              <w:spacing w:after="0" w:line="240" w:lineRule="auto"/>
              <w:jc w:val="center"/>
              <w:rPr>
                <w:color w:val="auto"/>
              </w:rPr>
            </w:pPr>
            <w:r>
              <w:rPr>
                <w:rFonts w:ascii="Times New Roman" w:hAnsi="Times New Roman" w:eastAsia="宋体"/>
                <w:b w:val="0"/>
                <w:color w:val="auto"/>
                <w:sz w:val="18"/>
              </w:rPr>
              <w:t>YMg-30</w:t>
            </w:r>
          </w:p>
        </w:tc>
        <w:tc>
          <w:tcPr>
            <w:tcW w:w="975" w:type="dxa"/>
          </w:tcPr>
          <w:p w14:paraId="2AE7CAD5">
            <w:pPr>
              <w:spacing w:after="0" w:line="240" w:lineRule="auto"/>
              <w:jc w:val="center"/>
              <w:rPr>
                <w:color w:val="auto"/>
              </w:rPr>
            </w:pPr>
            <w:r>
              <w:rPr>
                <w:rFonts w:ascii="Times New Roman" w:hAnsi="Times New Roman" w:eastAsia="宋体"/>
                <w:b w:val="0"/>
                <w:color w:val="auto"/>
                <w:sz w:val="18"/>
              </w:rPr>
              <w:t>30±2</w:t>
            </w:r>
          </w:p>
        </w:tc>
        <w:tc>
          <w:tcPr>
            <w:tcW w:w="868" w:type="dxa"/>
          </w:tcPr>
          <w:p w14:paraId="4E805298">
            <w:pPr>
              <w:spacing w:after="0" w:line="240" w:lineRule="auto"/>
              <w:jc w:val="center"/>
              <w:rPr>
                <w:color w:val="auto"/>
              </w:rPr>
            </w:pPr>
            <w:r>
              <w:rPr>
                <w:rFonts w:ascii="Times New Roman" w:hAnsi="Times New Roman" w:eastAsia="宋体"/>
                <w:b w:val="0"/>
                <w:color w:val="auto"/>
                <w:sz w:val="18"/>
              </w:rPr>
              <w:t>余量</w:t>
            </w:r>
          </w:p>
        </w:tc>
        <w:tc>
          <w:tcPr>
            <w:tcW w:w="1982" w:type="dxa"/>
          </w:tcPr>
          <w:p w14:paraId="2FBF70EA">
            <w:pPr>
              <w:spacing w:after="0" w:line="240" w:lineRule="auto"/>
              <w:jc w:val="center"/>
              <w:rPr>
                <w:color w:val="auto"/>
              </w:rPr>
            </w:pPr>
            <w:r>
              <w:rPr>
                <w:rFonts w:ascii="Times New Roman" w:hAnsi="Times New Roman" w:eastAsia="宋体"/>
                <w:b w:val="0"/>
                <w:color w:val="auto"/>
                <w:sz w:val="18"/>
              </w:rPr>
              <w:t>6.00</w:t>
            </w:r>
          </w:p>
        </w:tc>
        <w:tc>
          <w:tcPr>
            <w:tcW w:w="1629" w:type="dxa"/>
          </w:tcPr>
          <w:p w14:paraId="65418367">
            <w:pPr>
              <w:spacing w:after="0" w:line="240" w:lineRule="auto"/>
              <w:jc w:val="center"/>
              <w:rPr>
                <w:color w:val="auto"/>
              </w:rPr>
            </w:pPr>
            <w:r>
              <w:rPr>
                <w:rFonts w:ascii="Times New Roman" w:hAnsi="Times New Roman" w:eastAsia="宋体"/>
                <w:b w:val="0"/>
                <w:color w:val="auto"/>
                <w:sz w:val="18"/>
              </w:rPr>
              <w:t>1.50</w:t>
            </w:r>
          </w:p>
        </w:tc>
        <w:tc>
          <w:tcPr>
            <w:tcW w:w="1738" w:type="dxa"/>
          </w:tcPr>
          <w:p w14:paraId="0CD05119">
            <w:pPr>
              <w:spacing w:after="0" w:line="240" w:lineRule="auto"/>
              <w:jc w:val="center"/>
              <w:rPr>
                <w:color w:val="auto"/>
              </w:rPr>
            </w:pPr>
            <w:r>
              <w:rPr>
                <w:rFonts w:ascii="Times New Roman" w:hAnsi="Times New Roman" w:eastAsia="宋体"/>
                <w:b w:val="0"/>
                <w:color w:val="auto"/>
                <w:sz w:val="18"/>
              </w:rPr>
              <w:t>14.00</w:t>
            </w:r>
          </w:p>
        </w:tc>
        <w:tc>
          <w:tcPr>
            <w:tcW w:w="1377" w:type="dxa"/>
          </w:tcPr>
          <w:p w14:paraId="4DB46C5F">
            <w:pPr>
              <w:spacing w:after="0" w:line="240" w:lineRule="auto"/>
              <w:jc w:val="center"/>
              <w:rPr>
                <w:color w:val="auto"/>
              </w:rPr>
            </w:pPr>
            <w:r>
              <w:rPr>
                <w:rFonts w:ascii="Times New Roman" w:hAnsi="Times New Roman" w:eastAsia="宋体"/>
                <w:b w:val="0"/>
                <w:color w:val="auto"/>
                <w:sz w:val="18"/>
              </w:rPr>
              <w:t>3.50</w:t>
            </w:r>
          </w:p>
        </w:tc>
      </w:tr>
    </w:tbl>
    <w:p w14:paraId="156898C5">
      <w:pPr>
        <w:ind w:firstLine="420" w:firstLineChars="200"/>
        <w:rPr>
          <w:rFonts w:hint="eastAsia"/>
          <w:color w:val="auto"/>
          <w:szCs w:val="21"/>
        </w:rPr>
      </w:pPr>
      <w:r>
        <w:rPr>
          <w:rFonts w:hint="eastAsia"/>
          <w:color w:val="auto"/>
          <w:szCs w:val="21"/>
        </w:rPr>
        <w:t>分别移取低浓度混合标准溶液（B.3.4）0 mL、1.00 mL、2.00 mL、10.00 mL和混合标准贮存溶液（B.3.3）1.00 mL、3.00 mL、10.00 mL、25.00 mL于8个100 mL容量瓶中，再根据样品牌号按表B.3加入相应的基体量，加入10 mL硝酸（B.3.1），以水稀释至刻度，混匀。此标准系列溶液中被测元素浓度分别为0、0.05、0.10、0.50、1.00、3.00、10.00、25.00 μg/mL，总基体浓度均为5 mg/mL。</w:t>
      </w:r>
    </w:p>
    <w:p w14:paraId="3B829D41">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B.6.5.2　空白标准系列溶液的配制</w:t>
      </w:r>
    </w:p>
    <w:p w14:paraId="322677C7">
      <w:pPr>
        <w:ind w:firstLine="420" w:firstLineChars="200"/>
        <w:rPr>
          <w:rFonts w:hint="eastAsia"/>
          <w:color w:val="auto"/>
          <w:szCs w:val="21"/>
        </w:rPr>
      </w:pPr>
      <w:r>
        <w:rPr>
          <w:rFonts w:hint="eastAsia"/>
          <w:color w:val="auto"/>
          <w:szCs w:val="21"/>
        </w:rPr>
        <w:t>分别移取低浓度混合标准溶液（B.3.4）0 mL、1.00 mL、2.00 mL于3个100 mL容量瓶中，加入15 mL硝酸（B.3.1），以水稀释至刻度，混匀。此标准系列溶液中被测元素浓度分别为0、0.05、0.10 μg/mL。</w:t>
      </w:r>
    </w:p>
    <w:p w14:paraId="4C38F6C6">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B.6.6　测定</w:t>
      </w:r>
    </w:p>
    <w:p w14:paraId="61BCDA45">
      <w:pPr>
        <w:rPr>
          <w:rFonts w:hint="eastAsia"/>
          <w:color w:val="auto"/>
          <w:szCs w:val="21"/>
        </w:rPr>
      </w:pPr>
      <w:r>
        <w:rPr>
          <w:rFonts w:hint="eastAsia" w:ascii="黑体" w:hAnsi="黑体" w:eastAsia="黑体"/>
          <w:color w:val="auto"/>
          <w:sz w:val="21"/>
          <w:szCs w:val="21"/>
          <w:lang w:val="en-US" w:eastAsia="zh-CN"/>
        </w:rPr>
        <w:t>B.6.6.1　</w:t>
      </w:r>
      <w:r>
        <w:rPr>
          <w:rFonts w:hint="eastAsia"/>
          <w:color w:val="auto"/>
          <w:szCs w:val="21"/>
        </w:rPr>
        <w:t>推荐分析线见表B.</w:t>
      </w:r>
      <w:r>
        <w:rPr>
          <w:rFonts w:hint="eastAsia"/>
          <w:color w:val="auto"/>
          <w:szCs w:val="21"/>
          <w:lang w:val="en-US" w:eastAsia="zh-CN"/>
        </w:rPr>
        <w:t>4</w:t>
      </w:r>
      <w:r>
        <w:rPr>
          <w:rFonts w:hint="eastAsia"/>
          <w:color w:val="auto"/>
          <w:szCs w:val="21"/>
        </w:rPr>
        <w:t>。</w:t>
      </w:r>
    </w:p>
    <w:p w14:paraId="004C019F">
      <w:pPr>
        <w:spacing w:before="120" w:after="40"/>
        <w:jc w:val="center"/>
        <w:rPr>
          <w:color w:val="auto"/>
        </w:rPr>
      </w:pPr>
      <w:r>
        <w:rPr>
          <w:rFonts w:ascii="Times New Roman" w:hAnsi="Times New Roman" w:eastAsia="宋体"/>
          <w:b/>
          <w:color w:val="auto"/>
          <w:sz w:val="21"/>
        </w:rPr>
        <w:t>表B.</w:t>
      </w:r>
      <w:r>
        <w:rPr>
          <w:rFonts w:hint="eastAsia"/>
          <w:b/>
          <w:color w:val="auto"/>
          <w:sz w:val="21"/>
          <w:lang w:val="en-US" w:eastAsia="zh-CN"/>
        </w:rPr>
        <w:t>4</w:t>
      </w:r>
      <w:r>
        <w:rPr>
          <w:rFonts w:ascii="Times New Roman" w:hAnsi="Times New Roman" w:eastAsia="宋体"/>
          <w:b/>
          <w:color w:val="auto"/>
          <w:sz w:val="21"/>
        </w:rPr>
        <w:t>　推荐分析线（附录B）</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9"/>
        <w:gridCol w:w="2409"/>
        <w:gridCol w:w="2409"/>
        <w:gridCol w:w="2409"/>
      </w:tblGrid>
      <w:tr w14:paraId="014A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32C482A6">
            <w:pPr>
              <w:spacing w:after="0" w:line="240" w:lineRule="auto"/>
              <w:jc w:val="center"/>
              <w:rPr>
                <w:color w:val="auto"/>
              </w:rPr>
            </w:pPr>
            <w:r>
              <w:rPr>
                <w:rFonts w:ascii="Times New Roman" w:hAnsi="Times New Roman" w:eastAsia="宋体"/>
                <w:b/>
                <w:color w:val="auto"/>
                <w:sz w:val="18"/>
              </w:rPr>
              <w:t>元素</w:t>
            </w:r>
          </w:p>
        </w:tc>
        <w:tc>
          <w:tcPr>
            <w:tcW w:w="3402" w:type="dxa"/>
          </w:tcPr>
          <w:p w14:paraId="3F369D93">
            <w:pPr>
              <w:spacing w:after="0" w:line="240" w:lineRule="auto"/>
              <w:jc w:val="center"/>
              <w:rPr>
                <w:color w:val="auto"/>
              </w:rPr>
            </w:pPr>
            <w:r>
              <w:rPr>
                <w:rFonts w:ascii="Times New Roman" w:hAnsi="Times New Roman" w:eastAsia="宋体"/>
                <w:b/>
                <w:color w:val="auto"/>
                <w:sz w:val="18"/>
              </w:rPr>
              <w:t>谱线/nm</w:t>
            </w:r>
          </w:p>
        </w:tc>
        <w:tc>
          <w:tcPr>
            <w:tcW w:w="1134" w:type="dxa"/>
          </w:tcPr>
          <w:p w14:paraId="615078D6">
            <w:pPr>
              <w:spacing w:after="0" w:line="240" w:lineRule="auto"/>
              <w:jc w:val="center"/>
              <w:rPr>
                <w:color w:val="auto"/>
              </w:rPr>
            </w:pPr>
            <w:r>
              <w:rPr>
                <w:rFonts w:ascii="Times New Roman" w:hAnsi="Times New Roman" w:eastAsia="宋体"/>
                <w:b/>
                <w:color w:val="auto"/>
                <w:sz w:val="18"/>
              </w:rPr>
              <w:t>元素</w:t>
            </w:r>
          </w:p>
        </w:tc>
        <w:tc>
          <w:tcPr>
            <w:tcW w:w="3402" w:type="dxa"/>
          </w:tcPr>
          <w:p w14:paraId="27AB949A">
            <w:pPr>
              <w:spacing w:after="0" w:line="240" w:lineRule="auto"/>
              <w:jc w:val="center"/>
              <w:rPr>
                <w:color w:val="auto"/>
              </w:rPr>
            </w:pPr>
            <w:r>
              <w:rPr>
                <w:rFonts w:ascii="Times New Roman" w:hAnsi="Times New Roman" w:eastAsia="宋体"/>
                <w:b/>
                <w:color w:val="auto"/>
                <w:sz w:val="18"/>
              </w:rPr>
              <w:t>谱线/nm</w:t>
            </w:r>
          </w:p>
        </w:tc>
      </w:tr>
      <w:tr w14:paraId="1DAB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365AC98E">
            <w:pPr>
              <w:spacing w:after="0" w:line="240" w:lineRule="auto"/>
              <w:jc w:val="center"/>
              <w:rPr>
                <w:color w:val="auto"/>
              </w:rPr>
            </w:pPr>
            <w:r>
              <w:rPr>
                <w:rFonts w:ascii="Times New Roman" w:hAnsi="Times New Roman" w:eastAsia="宋体"/>
                <w:b w:val="0"/>
                <w:color w:val="auto"/>
                <w:sz w:val="18"/>
              </w:rPr>
              <w:t>铝</w:t>
            </w:r>
          </w:p>
        </w:tc>
        <w:tc>
          <w:tcPr>
            <w:tcW w:w="3402" w:type="dxa"/>
          </w:tcPr>
          <w:p w14:paraId="4EF4B960">
            <w:pPr>
              <w:spacing w:after="0" w:line="240" w:lineRule="auto"/>
              <w:jc w:val="center"/>
              <w:rPr>
                <w:color w:val="auto"/>
              </w:rPr>
            </w:pPr>
            <w:r>
              <w:rPr>
                <w:rFonts w:ascii="Times New Roman" w:hAnsi="Times New Roman" w:eastAsia="宋体"/>
                <w:b w:val="0"/>
                <w:color w:val="auto"/>
                <w:sz w:val="18"/>
              </w:rPr>
              <w:t>237.312、167.019</w:t>
            </w:r>
          </w:p>
        </w:tc>
        <w:tc>
          <w:tcPr>
            <w:tcW w:w="1134" w:type="dxa"/>
          </w:tcPr>
          <w:p w14:paraId="61A76059">
            <w:pPr>
              <w:spacing w:after="0" w:line="240" w:lineRule="auto"/>
              <w:jc w:val="center"/>
              <w:rPr>
                <w:color w:val="auto"/>
              </w:rPr>
            </w:pPr>
            <w:r>
              <w:rPr>
                <w:rFonts w:ascii="Times New Roman" w:hAnsi="Times New Roman" w:eastAsia="宋体"/>
                <w:b w:val="0"/>
                <w:color w:val="auto"/>
                <w:sz w:val="18"/>
              </w:rPr>
              <w:t>铁</w:t>
            </w:r>
          </w:p>
        </w:tc>
        <w:tc>
          <w:tcPr>
            <w:tcW w:w="3402" w:type="dxa"/>
          </w:tcPr>
          <w:p w14:paraId="2F57C589">
            <w:pPr>
              <w:spacing w:after="0" w:line="240" w:lineRule="auto"/>
              <w:jc w:val="center"/>
              <w:rPr>
                <w:color w:val="auto"/>
              </w:rPr>
            </w:pPr>
            <w:r>
              <w:rPr>
                <w:rFonts w:ascii="Times New Roman" w:hAnsi="Times New Roman" w:eastAsia="宋体"/>
                <w:b w:val="0"/>
                <w:color w:val="auto"/>
                <w:sz w:val="18"/>
              </w:rPr>
              <w:t>238.204、234.350</w:t>
            </w:r>
          </w:p>
        </w:tc>
      </w:tr>
      <w:tr w14:paraId="40E06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4AF2BFF5">
            <w:pPr>
              <w:spacing w:after="0" w:line="240" w:lineRule="auto"/>
              <w:jc w:val="center"/>
              <w:rPr>
                <w:color w:val="auto"/>
              </w:rPr>
            </w:pPr>
            <w:r>
              <w:rPr>
                <w:rFonts w:ascii="Times New Roman" w:hAnsi="Times New Roman" w:eastAsia="宋体"/>
                <w:b w:val="0"/>
                <w:color w:val="auto"/>
                <w:sz w:val="18"/>
              </w:rPr>
              <w:t>钙</w:t>
            </w:r>
          </w:p>
        </w:tc>
        <w:tc>
          <w:tcPr>
            <w:tcW w:w="3402" w:type="dxa"/>
          </w:tcPr>
          <w:p w14:paraId="12E198C9">
            <w:pPr>
              <w:spacing w:after="0" w:line="240" w:lineRule="auto"/>
              <w:jc w:val="center"/>
              <w:rPr>
                <w:color w:val="auto"/>
              </w:rPr>
            </w:pPr>
            <w:r>
              <w:rPr>
                <w:rFonts w:ascii="Times New Roman" w:hAnsi="Times New Roman" w:eastAsia="宋体"/>
                <w:b w:val="0"/>
                <w:color w:val="auto"/>
                <w:sz w:val="18"/>
              </w:rPr>
              <w:t>396.847、393.366</w:t>
            </w:r>
          </w:p>
        </w:tc>
        <w:tc>
          <w:tcPr>
            <w:tcW w:w="1134" w:type="dxa"/>
          </w:tcPr>
          <w:p w14:paraId="5CD69116">
            <w:pPr>
              <w:spacing w:after="0" w:line="240" w:lineRule="auto"/>
              <w:jc w:val="center"/>
              <w:rPr>
                <w:color w:val="auto"/>
              </w:rPr>
            </w:pPr>
            <w:r>
              <w:rPr>
                <w:rFonts w:ascii="Times New Roman" w:hAnsi="Times New Roman" w:eastAsia="宋体"/>
                <w:b w:val="0"/>
                <w:color w:val="auto"/>
                <w:sz w:val="18"/>
              </w:rPr>
              <w:t>镍</w:t>
            </w:r>
          </w:p>
        </w:tc>
        <w:tc>
          <w:tcPr>
            <w:tcW w:w="3402" w:type="dxa"/>
          </w:tcPr>
          <w:p w14:paraId="4749D1BE">
            <w:pPr>
              <w:spacing w:after="0" w:line="240" w:lineRule="auto"/>
              <w:jc w:val="center"/>
              <w:rPr>
                <w:color w:val="auto"/>
              </w:rPr>
            </w:pPr>
            <w:r>
              <w:rPr>
                <w:rFonts w:ascii="Times New Roman" w:hAnsi="Times New Roman" w:eastAsia="宋体"/>
                <w:b w:val="0"/>
                <w:color w:val="auto"/>
                <w:sz w:val="18"/>
              </w:rPr>
              <w:t>216.555、231.604</w:t>
            </w:r>
          </w:p>
        </w:tc>
      </w:tr>
      <w:tr w14:paraId="691B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32867E0F">
            <w:pPr>
              <w:spacing w:after="0" w:line="240" w:lineRule="auto"/>
              <w:jc w:val="center"/>
              <w:rPr>
                <w:color w:val="auto"/>
              </w:rPr>
            </w:pPr>
            <w:r>
              <w:rPr>
                <w:rFonts w:ascii="Times New Roman" w:hAnsi="Times New Roman" w:eastAsia="宋体"/>
                <w:b w:val="0"/>
                <w:color w:val="auto"/>
                <w:sz w:val="18"/>
              </w:rPr>
              <w:t>铜</w:t>
            </w:r>
          </w:p>
        </w:tc>
        <w:tc>
          <w:tcPr>
            <w:tcW w:w="3402" w:type="dxa"/>
          </w:tcPr>
          <w:p w14:paraId="58B22C39">
            <w:pPr>
              <w:spacing w:after="0" w:line="240" w:lineRule="auto"/>
              <w:jc w:val="center"/>
              <w:rPr>
                <w:color w:val="auto"/>
              </w:rPr>
            </w:pPr>
            <w:r>
              <w:rPr>
                <w:rFonts w:ascii="Times New Roman" w:hAnsi="Times New Roman" w:eastAsia="宋体"/>
                <w:b w:val="0"/>
                <w:color w:val="auto"/>
                <w:sz w:val="18"/>
              </w:rPr>
              <w:t>327.395、324.754</w:t>
            </w:r>
          </w:p>
        </w:tc>
        <w:tc>
          <w:tcPr>
            <w:tcW w:w="1134" w:type="dxa"/>
          </w:tcPr>
          <w:p w14:paraId="2DA32780">
            <w:pPr>
              <w:spacing w:after="0" w:line="240" w:lineRule="auto"/>
              <w:jc w:val="center"/>
              <w:rPr>
                <w:color w:val="auto"/>
              </w:rPr>
            </w:pPr>
            <w:r>
              <w:rPr>
                <w:rFonts w:ascii="Times New Roman" w:hAnsi="Times New Roman" w:eastAsia="宋体"/>
                <w:b w:val="0"/>
                <w:color w:val="auto"/>
                <w:sz w:val="18"/>
              </w:rPr>
              <w:t>硅</w:t>
            </w:r>
          </w:p>
        </w:tc>
        <w:tc>
          <w:tcPr>
            <w:tcW w:w="3402" w:type="dxa"/>
          </w:tcPr>
          <w:p w14:paraId="7B3E1345">
            <w:pPr>
              <w:spacing w:after="0" w:line="240" w:lineRule="auto"/>
              <w:jc w:val="center"/>
              <w:rPr>
                <w:color w:val="auto"/>
              </w:rPr>
            </w:pPr>
            <w:r>
              <w:rPr>
                <w:rFonts w:ascii="Times New Roman" w:hAnsi="Times New Roman" w:eastAsia="宋体"/>
                <w:b w:val="0"/>
                <w:color w:val="auto"/>
                <w:sz w:val="18"/>
              </w:rPr>
              <w:t>251.432、212.412</w:t>
            </w:r>
          </w:p>
        </w:tc>
      </w:tr>
    </w:tbl>
    <w:p w14:paraId="0F124D08">
      <w:pPr>
        <w:rPr>
          <w:rFonts w:hint="eastAsia" w:ascii="黑体" w:hAnsi="黑体" w:eastAsia="黑体"/>
          <w:color w:val="auto"/>
          <w:sz w:val="21"/>
          <w:szCs w:val="21"/>
          <w:lang w:val="en-US" w:eastAsia="zh-CN"/>
        </w:rPr>
      </w:pPr>
    </w:p>
    <w:p w14:paraId="283D51A3">
      <w:pPr>
        <w:rPr>
          <w:rFonts w:hint="eastAsia"/>
          <w:color w:val="auto"/>
          <w:szCs w:val="21"/>
        </w:rPr>
      </w:pPr>
      <w:r>
        <w:rPr>
          <w:rFonts w:hint="eastAsia" w:ascii="黑体" w:hAnsi="黑体" w:eastAsia="黑体"/>
          <w:color w:val="auto"/>
          <w:sz w:val="21"/>
          <w:szCs w:val="21"/>
          <w:lang w:val="en-US" w:eastAsia="zh-CN"/>
        </w:rPr>
        <w:t>B.6.6.2　</w:t>
      </w:r>
      <w:r>
        <w:rPr>
          <w:rFonts w:hint="eastAsia"/>
          <w:color w:val="auto"/>
          <w:szCs w:val="21"/>
        </w:rPr>
        <w:t>将空白溶液（B.6.3）、分析试液（B.6.4）与标准系列溶液（B.6.5）同时进行氩等离子体光谱测定。</w:t>
      </w:r>
    </w:p>
    <w:p w14:paraId="167D592F">
      <w:pPr>
        <w:spacing w:before="156" w:beforeLines="50" w:after="156" w:afterLines="50" w:line="240" w:lineRule="auto"/>
        <w:rPr>
          <w:rFonts w:hint="eastAsia" w:ascii="黑体" w:hAnsi="黑体" w:eastAsia="黑体"/>
          <w:color w:val="auto"/>
          <w:sz w:val="21"/>
          <w:szCs w:val="21"/>
          <w:lang w:val="en-US" w:eastAsia="zh-CN"/>
        </w:rPr>
      </w:pPr>
      <w:r>
        <w:rPr>
          <w:rFonts w:hint="eastAsia" w:ascii="黑体" w:hAnsi="黑体" w:eastAsia="黑体"/>
          <w:color w:val="auto"/>
          <w:sz w:val="21"/>
          <w:szCs w:val="21"/>
          <w:lang w:val="en-US" w:eastAsia="zh-CN"/>
        </w:rPr>
        <w:t>B.7　分析结果的计算与表述</w:t>
      </w:r>
    </w:p>
    <w:p w14:paraId="4C3658F2">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按式（B.1）计算被测元素的质量分数w(%)：</w:t>
      </w:r>
    </w:p>
    <w:p w14:paraId="63B12B40">
      <w:pPr>
        <w:jc w:val="center"/>
        <w:rPr>
          <w:rFonts w:hint="default" w:ascii="Times New Roman" w:hAnsi="Times New Roman" w:cs="Times New Roman"/>
          <w:color w:val="auto"/>
          <w:szCs w:val="21"/>
        </w:rPr>
      </w:pPr>
      <w:r>
        <w:rPr>
          <w:rFonts w:hint="default" w:ascii="Times New Roman" w:hAnsi="Times New Roman" w:cs="Times New Roman"/>
          <w:color w:val="auto"/>
          <w:szCs w:val="21"/>
        </w:rPr>
        <w:t>w＝(ρ－ρ</w:t>
      </w:r>
      <w:r>
        <w:rPr>
          <w:rFonts w:hint="default" w:ascii="Times New Roman" w:hAnsi="Times New Roman" w:cs="Times New Roman"/>
          <w:color w:val="auto"/>
          <w:szCs w:val="21"/>
          <w:vertAlign w:val="subscript"/>
        </w:rPr>
        <w:t>0</w:t>
      </w:r>
      <w:r>
        <w:rPr>
          <w:rFonts w:hint="default" w:ascii="Times New Roman" w:hAnsi="Times New Roman" w:cs="Times New Roman"/>
          <w:color w:val="auto"/>
          <w:szCs w:val="21"/>
        </w:rPr>
        <w:t>)×V</w:t>
      </w:r>
      <w:r>
        <w:rPr>
          <w:rFonts w:hint="default" w:ascii="Times New Roman" w:hAnsi="Times New Roman" w:cs="Times New Roman"/>
          <w:color w:val="auto"/>
          <w:szCs w:val="21"/>
          <w:vertAlign w:val="subscript"/>
        </w:rPr>
        <w:t>1</w:t>
      </w:r>
      <w:r>
        <w:rPr>
          <w:rFonts w:hint="default" w:ascii="Times New Roman" w:hAnsi="Times New Roman" w:cs="Times New Roman"/>
          <w:color w:val="auto"/>
          <w:szCs w:val="21"/>
        </w:rPr>
        <w:t>×V</w:t>
      </w:r>
      <w:r>
        <w:rPr>
          <w:rFonts w:hint="default" w:ascii="Times New Roman" w:hAnsi="Times New Roman" w:cs="Times New Roman"/>
          <w:color w:val="auto"/>
          <w:szCs w:val="21"/>
          <w:vertAlign w:val="subscript"/>
        </w:rPr>
        <w:t>2</w:t>
      </w:r>
      <w:r>
        <w:rPr>
          <w:rFonts w:hint="default" w:ascii="Times New Roman" w:hAnsi="Times New Roman" w:cs="Times New Roman"/>
          <w:color w:val="auto"/>
          <w:szCs w:val="21"/>
        </w:rPr>
        <w:t>/(V</w:t>
      </w:r>
      <w:r>
        <w:rPr>
          <w:rFonts w:hint="default" w:ascii="Times New Roman" w:hAnsi="Times New Roman" w:cs="Times New Roman"/>
          <w:color w:val="auto"/>
          <w:szCs w:val="21"/>
          <w:vertAlign w:val="subscript"/>
        </w:rPr>
        <w:t>0</w:t>
      </w:r>
      <w:r>
        <w:rPr>
          <w:rFonts w:hint="default" w:ascii="Times New Roman" w:hAnsi="Times New Roman" w:cs="Times New Roman"/>
          <w:color w:val="auto"/>
          <w:szCs w:val="21"/>
        </w:rPr>
        <w:t>×m</w:t>
      </w:r>
      <w:r>
        <w:rPr>
          <w:rFonts w:hint="default" w:ascii="Times New Roman" w:hAnsi="Times New Roman" w:cs="Times New Roman"/>
          <w:color w:val="auto"/>
          <w:szCs w:val="21"/>
          <w:vertAlign w:val="subscript"/>
        </w:rPr>
        <w:t>0</w:t>
      </w:r>
      <w:r>
        <w:rPr>
          <w:rFonts w:hint="default" w:ascii="Times New Roman" w:hAnsi="Times New Roman" w:cs="Times New Roman"/>
          <w:color w:val="auto"/>
          <w:szCs w:val="21"/>
        </w:rPr>
        <w:t>)×10⁻⁶×100</w:t>
      </w:r>
      <w:r>
        <w:rPr>
          <w:rFonts w:hint="default" w:ascii="Times New Roman" w:hAnsi="Times New Roman" w:cs="Times New Roman"/>
          <w:color w:val="auto"/>
          <w:szCs w:val="21"/>
        </w:rPr>
        <w:tab/>
      </w:r>
      <w:r>
        <w:rPr>
          <w:rFonts w:hint="default" w:ascii="Times New Roman" w:hAnsi="Times New Roman" w:cs="Times New Roman"/>
          <w:color w:val="auto"/>
          <w:szCs w:val="21"/>
        </w:rPr>
        <w:t>………………（B.1）</w:t>
      </w:r>
    </w:p>
    <w:p w14:paraId="185BD155">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式中：</w:t>
      </w:r>
    </w:p>
    <w:p w14:paraId="2DC77519">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ρ——自工作曲线上查得分析试液中待测元素的浓度（μg/mL）；</w:t>
      </w:r>
    </w:p>
    <w:p w14:paraId="10D767D2">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ρ</w:t>
      </w:r>
      <w:r>
        <w:rPr>
          <w:rFonts w:hint="default" w:ascii="Times New Roman" w:hAnsi="Times New Roman" w:cs="Times New Roman"/>
          <w:color w:val="auto"/>
          <w:szCs w:val="21"/>
          <w:vertAlign w:val="subscript"/>
        </w:rPr>
        <w:t>0</w:t>
      </w:r>
      <w:r>
        <w:rPr>
          <w:rFonts w:hint="default" w:ascii="Times New Roman" w:hAnsi="Times New Roman" w:cs="Times New Roman"/>
          <w:color w:val="auto"/>
          <w:szCs w:val="21"/>
        </w:rPr>
        <w:t>——空白溶液中待测元素的浓度（μg/mL）；</w:t>
      </w:r>
    </w:p>
    <w:p w14:paraId="58E096EF">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V</w:t>
      </w:r>
      <w:r>
        <w:rPr>
          <w:rFonts w:hint="default" w:ascii="Times New Roman" w:hAnsi="Times New Roman" w:cs="Times New Roman"/>
          <w:color w:val="auto"/>
          <w:szCs w:val="21"/>
          <w:vertAlign w:val="subscript"/>
        </w:rPr>
        <w:t>1</w:t>
      </w:r>
      <w:r>
        <w:rPr>
          <w:rFonts w:hint="default" w:ascii="Times New Roman" w:hAnsi="Times New Roman" w:cs="Times New Roman"/>
          <w:color w:val="auto"/>
          <w:szCs w:val="21"/>
        </w:rPr>
        <w:t>——试液定容总体积（mL）；</w:t>
      </w:r>
    </w:p>
    <w:p w14:paraId="417FE018">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V</w:t>
      </w:r>
      <w:r>
        <w:rPr>
          <w:rFonts w:hint="default" w:ascii="Times New Roman" w:hAnsi="Times New Roman" w:cs="Times New Roman"/>
          <w:color w:val="auto"/>
          <w:szCs w:val="21"/>
          <w:vertAlign w:val="subscript"/>
        </w:rPr>
        <w:t>2</w:t>
      </w:r>
      <w:r>
        <w:rPr>
          <w:rFonts w:hint="default" w:ascii="Times New Roman" w:hAnsi="Times New Roman" w:cs="Times New Roman"/>
          <w:color w:val="auto"/>
          <w:szCs w:val="21"/>
        </w:rPr>
        <w:t>——再定容体积（mL）；</w:t>
      </w:r>
    </w:p>
    <w:p w14:paraId="427A499F">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V</w:t>
      </w:r>
      <w:r>
        <w:rPr>
          <w:rFonts w:hint="default" w:ascii="Times New Roman" w:hAnsi="Times New Roman" w:cs="Times New Roman"/>
          <w:color w:val="auto"/>
          <w:szCs w:val="21"/>
          <w:vertAlign w:val="subscript"/>
        </w:rPr>
        <w:t>0</w:t>
      </w:r>
      <w:r>
        <w:rPr>
          <w:rFonts w:hint="default" w:ascii="Times New Roman" w:hAnsi="Times New Roman" w:cs="Times New Roman"/>
          <w:color w:val="auto"/>
          <w:szCs w:val="21"/>
        </w:rPr>
        <w:t>——分取试液体积（mL）；</w:t>
      </w:r>
    </w:p>
    <w:p w14:paraId="6F168E10">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m</w:t>
      </w:r>
      <w:r>
        <w:rPr>
          <w:rFonts w:hint="default" w:ascii="Times New Roman" w:hAnsi="Times New Roman" w:cs="Times New Roman"/>
          <w:color w:val="auto"/>
          <w:szCs w:val="21"/>
          <w:vertAlign w:val="subscript"/>
        </w:rPr>
        <w:t>0</w:t>
      </w:r>
      <w:r>
        <w:rPr>
          <w:rFonts w:hint="default" w:ascii="Times New Roman" w:hAnsi="Times New Roman" w:cs="Times New Roman"/>
          <w:color w:val="auto"/>
          <w:szCs w:val="21"/>
        </w:rPr>
        <w:t>——试料质量（g）。</w:t>
      </w:r>
    </w:p>
    <w:p w14:paraId="5ED607F4">
      <w:pPr>
        <w:rPr>
          <w:color w:val="auto"/>
        </w:rPr>
      </w:pPr>
    </w:p>
    <w:p w14:paraId="5B6B18AB">
      <w:pPr>
        <w:rPr>
          <w:color w:val="auto"/>
        </w:rPr>
      </w:pPr>
    </w:p>
    <w:p w14:paraId="4A0CD433">
      <w:pPr>
        <w:rPr>
          <w:color w:val="auto"/>
        </w:rPr>
      </w:pPr>
      <w:r>
        <w:rPr>
          <w:bCs/>
          <w:color w:val="auto"/>
        </w:rPr>
        <mc:AlternateContent>
          <mc:Choice Requires="wps">
            <w:drawing>
              <wp:anchor distT="0" distB="0" distL="114300" distR="114300" simplePos="0" relativeHeight="251668480" behindDoc="0" locked="0" layoutInCell="1" allowOverlap="1">
                <wp:simplePos x="0" y="0"/>
                <wp:positionH relativeFrom="column">
                  <wp:posOffset>2239645</wp:posOffset>
                </wp:positionH>
                <wp:positionV relativeFrom="paragraph">
                  <wp:posOffset>621665</wp:posOffset>
                </wp:positionV>
                <wp:extent cx="1762125" cy="0"/>
                <wp:effectExtent l="0" t="0" r="0" b="0"/>
                <wp:wrapNone/>
                <wp:docPr id="1" name="AutoShape 23"/>
                <wp:cNvGraphicFramePr/>
                <a:graphic xmlns:a="http://schemas.openxmlformats.org/drawingml/2006/main">
                  <a:graphicData uri="http://schemas.microsoft.com/office/word/2010/wordprocessingShape">
                    <wps:wsp>
                      <wps:cNvCnPr>
                        <a:cxnSpLocks noChangeShapeType="1"/>
                      </wps:cNvCnPr>
                      <wps:spPr bwMode="auto">
                        <a:xfrm>
                          <a:off x="0" y="0"/>
                          <a:ext cx="1762125" cy="0"/>
                        </a:xfrm>
                        <a:prstGeom prst="straightConnector1">
                          <a:avLst/>
                        </a:prstGeom>
                        <a:noFill/>
                        <a:ln w="19050">
                          <a:solidFill>
                            <a:srgbClr val="000000"/>
                          </a:solidFill>
                          <a:round/>
                        </a:ln>
                      </wps:spPr>
                      <wps:bodyPr/>
                    </wps:wsp>
                  </a:graphicData>
                </a:graphic>
              </wp:anchor>
            </w:drawing>
          </mc:Choice>
          <mc:Fallback>
            <w:pict>
              <v:shape id="AutoShape 23" o:spid="_x0000_s1026" o:spt="32" type="#_x0000_t32" style="position:absolute;left:0pt;margin-left:176.35pt;margin-top:48.95pt;height:0pt;width:138.75pt;z-index:251668480;mso-width-relative:page;mso-height-relative:page;" filled="f" stroked="t" coordsize="21600,21600" o:gfxdata="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Kn1ea1QAAAAkBAAAPAAAAAAAAAAEAIAAA&#10;ACIAAABkcnMvZG93bnJldi54bWxQSwECFAAUAAAACACHTuJAgvumX9YBAAC0AwAADgAAAAAAAAAB&#10;ACAAAAAkAQAAZHJzL2Uyb0RvYy54bWxQSwUGAAAAAAYABgBZAQAAbAUAAAAA&#10;">
                <v:fill on="f" focussize="0,0"/>
                <v:stroke weight="1.5pt" color="#000000" joinstyle="round"/>
                <v:imagedata o:title=""/>
                <o:lock v:ext="edit" aspectratio="f"/>
              </v:shape>
            </w:pict>
          </mc:Fallback>
        </mc:AlternateContent>
      </w:r>
    </w:p>
    <w:sectPr>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E771D">
    <w:pPr>
      <w:pStyle w:val="29"/>
      <w:rPr>
        <w:rStyle w:val="15"/>
      </w:rPr>
    </w:pPr>
    <w:r>
      <w:rPr>
        <w:rStyle w:val="15"/>
      </w:rPr>
      <w:fldChar w:fldCharType="begin"/>
    </w:r>
    <w:r>
      <w:rPr>
        <w:rStyle w:val="15"/>
      </w:rPr>
      <w:instrText xml:space="preserve">PAGE  </w:instrText>
    </w:r>
    <w:r>
      <w:rPr>
        <w:rStyle w:val="15"/>
      </w:rPr>
      <w:fldChar w:fldCharType="separate"/>
    </w:r>
    <w:r>
      <w:rPr>
        <w:rStyle w:val="15"/>
      </w:rPr>
      <w:t>6</w:t>
    </w:r>
    <w:r>
      <w:rPr>
        <w:rStyle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CA546">
    <w:pPr>
      <w:pStyle w:val="28"/>
      <w:rPr>
        <w:rStyle w:val="15"/>
      </w:rPr>
    </w:pPr>
    <w:r>
      <w:rPr>
        <w:rStyle w:val="15"/>
      </w:rPr>
      <w:fldChar w:fldCharType="begin"/>
    </w:r>
    <w:r>
      <w:rPr>
        <w:rStyle w:val="15"/>
      </w:rPr>
      <w:instrText xml:space="preserve">PAGE  </w:instrText>
    </w:r>
    <w:r>
      <w:rPr>
        <w:rStyle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500C9">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9FF67">
    <w:pPr>
      <w:pStyle w:val="30"/>
    </w:pPr>
    <w:r>
      <w:t>GB/T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FC5D4">
    <w:pPr>
      <w:pStyle w:val="31"/>
    </w:pPr>
    <w:r>
      <w:t>GB/T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311BE">
    <w:pPr>
      <w:pStyle w:val="33"/>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22"/>
      <w:suff w:val="nothing"/>
      <w:lvlText w:val="%1　"/>
      <w:lvlJc w:val="left"/>
      <w:pPr>
        <w:ind w:left="2268" w:firstLine="0"/>
      </w:pPr>
      <w:rPr>
        <w:rFonts w:hint="eastAsia" w:ascii="黑体" w:hAnsi="Times New Roman" w:eastAsia="黑体"/>
        <w:b w:val="0"/>
        <w:i w:val="0"/>
        <w:sz w:val="21"/>
        <w:szCs w:val="21"/>
      </w:rPr>
    </w:lvl>
    <w:lvl w:ilvl="1" w:tentative="0">
      <w:start w:val="1"/>
      <w:numFmt w:val="decimal"/>
      <w:pStyle w:val="21"/>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23"/>
      <w:suff w:val="nothing"/>
      <w:lvlText w:val="%1.%2.%3　"/>
      <w:lvlJc w:val="left"/>
      <w:pPr>
        <w:ind w:left="4961" w:firstLine="0"/>
      </w:pPr>
      <w:rPr>
        <w:rFonts w:hint="eastAsia" w:ascii="黑体" w:hAnsi="Times New Roman" w:eastAsia="黑体"/>
        <w:b w:val="0"/>
        <w:i w:val="0"/>
        <w:sz w:val="21"/>
      </w:rPr>
    </w:lvl>
    <w:lvl w:ilvl="3" w:tentative="0">
      <w:start w:val="1"/>
      <w:numFmt w:val="decimal"/>
      <w:pStyle w:val="25"/>
      <w:suff w:val="nothing"/>
      <w:lvlText w:val="%1.%2.%3.%4　"/>
      <w:lvlJc w:val="left"/>
      <w:pPr>
        <w:ind w:left="0" w:firstLine="0"/>
      </w:pPr>
      <w:rPr>
        <w:rFonts w:hint="eastAsia" w:ascii="黑体" w:hAnsi="Times New Roman" w:eastAsia="黑体"/>
        <w:b w:val="0"/>
        <w:i w:val="0"/>
        <w:sz w:val="21"/>
      </w:rPr>
    </w:lvl>
    <w:lvl w:ilvl="4" w:tentative="0">
      <w:start w:val="1"/>
      <w:numFmt w:val="decimal"/>
      <w:pStyle w:val="26"/>
      <w:suff w:val="nothing"/>
      <w:lvlText w:val="%1.%2.%3.%4.%5　"/>
      <w:lvlJc w:val="left"/>
      <w:pPr>
        <w:ind w:left="0" w:firstLine="0"/>
      </w:pPr>
      <w:rPr>
        <w:rFonts w:hint="eastAsia" w:ascii="黑体" w:hAnsi="Times New Roman" w:eastAsia="黑体"/>
        <w:b w:val="0"/>
        <w:i w:val="0"/>
        <w:sz w:val="21"/>
      </w:rPr>
    </w:lvl>
    <w:lvl w:ilvl="5" w:tentative="0">
      <w:start w:val="1"/>
      <w:numFmt w:val="decimal"/>
      <w:pStyle w:val="27"/>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lvl>
    <w:lvl w:ilvl="8" w:tentative="0">
      <w:start w:val="1"/>
      <w:numFmt w:val="decimal"/>
      <w:lvlText w:val="%1.%2.%3.%4.%5.%6.%7.%8.%9"/>
      <w:lvlJc w:val="left"/>
      <w:pPr>
        <w:tabs>
          <w:tab w:val="left" w:pos="4777"/>
        </w:tabs>
        <w:ind w:left="4677" w:hanging="1700"/>
      </w:pPr>
    </w:lvl>
  </w:abstractNum>
  <w:abstractNum w:abstractNumId="1">
    <w:nsid w:val="646260FA"/>
    <w:multiLevelType w:val="multilevel"/>
    <w:tmpl w:val="646260FA"/>
    <w:lvl w:ilvl="0" w:tentative="0">
      <w:start w:val="1"/>
      <w:numFmt w:val="decimal"/>
      <w:pStyle w:val="51"/>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iZmY2MDQ3Yjc2YWUyM2Q2NWFiNDVmM2E4YmJhYmUifQ=="/>
  </w:docVars>
  <w:rsids>
    <w:rsidRoot w:val="0055397C"/>
    <w:rsid w:val="00005F93"/>
    <w:rsid w:val="00011053"/>
    <w:rsid w:val="00017C97"/>
    <w:rsid w:val="00041700"/>
    <w:rsid w:val="00041948"/>
    <w:rsid w:val="00042789"/>
    <w:rsid w:val="00044B9B"/>
    <w:rsid w:val="00045658"/>
    <w:rsid w:val="00046338"/>
    <w:rsid w:val="000502C1"/>
    <w:rsid w:val="000533F5"/>
    <w:rsid w:val="000534EA"/>
    <w:rsid w:val="00056A86"/>
    <w:rsid w:val="00075838"/>
    <w:rsid w:val="000902D4"/>
    <w:rsid w:val="000A134E"/>
    <w:rsid w:val="000A426E"/>
    <w:rsid w:val="000A5877"/>
    <w:rsid w:val="000A62BB"/>
    <w:rsid w:val="000A7BED"/>
    <w:rsid w:val="000B6865"/>
    <w:rsid w:val="000C2435"/>
    <w:rsid w:val="000D0B8A"/>
    <w:rsid w:val="000D2A66"/>
    <w:rsid w:val="000E1C83"/>
    <w:rsid w:val="000E3D5A"/>
    <w:rsid w:val="000E5FB3"/>
    <w:rsid w:val="000F150D"/>
    <w:rsid w:val="000F4FCC"/>
    <w:rsid w:val="00101088"/>
    <w:rsid w:val="001046C4"/>
    <w:rsid w:val="00104D25"/>
    <w:rsid w:val="0011302D"/>
    <w:rsid w:val="00115996"/>
    <w:rsid w:val="00122B54"/>
    <w:rsid w:val="00125F32"/>
    <w:rsid w:val="00130731"/>
    <w:rsid w:val="00133DB8"/>
    <w:rsid w:val="00151C4A"/>
    <w:rsid w:val="001544C0"/>
    <w:rsid w:val="001742F9"/>
    <w:rsid w:val="001833E9"/>
    <w:rsid w:val="00185161"/>
    <w:rsid w:val="00185496"/>
    <w:rsid w:val="00190BD9"/>
    <w:rsid w:val="00195C8D"/>
    <w:rsid w:val="00195F13"/>
    <w:rsid w:val="00197627"/>
    <w:rsid w:val="001A0A34"/>
    <w:rsid w:val="001A41A3"/>
    <w:rsid w:val="001B4598"/>
    <w:rsid w:val="001B607D"/>
    <w:rsid w:val="001C1358"/>
    <w:rsid w:val="001C59F8"/>
    <w:rsid w:val="001D489E"/>
    <w:rsid w:val="001E7D6E"/>
    <w:rsid w:val="001F259F"/>
    <w:rsid w:val="001F77CE"/>
    <w:rsid w:val="00205522"/>
    <w:rsid w:val="00216484"/>
    <w:rsid w:val="002166EA"/>
    <w:rsid w:val="00227107"/>
    <w:rsid w:val="002306B6"/>
    <w:rsid w:val="00235AF6"/>
    <w:rsid w:val="00237389"/>
    <w:rsid w:val="00246E4E"/>
    <w:rsid w:val="0026351E"/>
    <w:rsid w:val="002640C0"/>
    <w:rsid w:val="00267A27"/>
    <w:rsid w:val="00273F2D"/>
    <w:rsid w:val="00274381"/>
    <w:rsid w:val="002A35A8"/>
    <w:rsid w:val="002B3571"/>
    <w:rsid w:val="002D6A94"/>
    <w:rsid w:val="002E0CA4"/>
    <w:rsid w:val="002E7FEF"/>
    <w:rsid w:val="00301D56"/>
    <w:rsid w:val="003025C0"/>
    <w:rsid w:val="00307CC8"/>
    <w:rsid w:val="003100AD"/>
    <w:rsid w:val="00321B80"/>
    <w:rsid w:val="00356208"/>
    <w:rsid w:val="003563F2"/>
    <w:rsid w:val="00357496"/>
    <w:rsid w:val="00377D93"/>
    <w:rsid w:val="00380B65"/>
    <w:rsid w:val="003833D6"/>
    <w:rsid w:val="00385876"/>
    <w:rsid w:val="003919B6"/>
    <w:rsid w:val="003A3642"/>
    <w:rsid w:val="003A6022"/>
    <w:rsid w:val="003C4A2E"/>
    <w:rsid w:val="003D6106"/>
    <w:rsid w:val="003D6489"/>
    <w:rsid w:val="003D64FB"/>
    <w:rsid w:val="003E6EEC"/>
    <w:rsid w:val="003F7744"/>
    <w:rsid w:val="00417D14"/>
    <w:rsid w:val="00420A9B"/>
    <w:rsid w:val="00432B8C"/>
    <w:rsid w:val="00433546"/>
    <w:rsid w:val="004347F6"/>
    <w:rsid w:val="00434C42"/>
    <w:rsid w:val="004452C5"/>
    <w:rsid w:val="0045288F"/>
    <w:rsid w:val="0045302D"/>
    <w:rsid w:val="0046377B"/>
    <w:rsid w:val="004733A8"/>
    <w:rsid w:val="00474738"/>
    <w:rsid w:val="00475B23"/>
    <w:rsid w:val="00483ABD"/>
    <w:rsid w:val="004874E1"/>
    <w:rsid w:val="004B1DC6"/>
    <w:rsid w:val="004B4D33"/>
    <w:rsid w:val="004B593F"/>
    <w:rsid w:val="004C0672"/>
    <w:rsid w:val="004C268C"/>
    <w:rsid w:val="004D028E"/>
    <w:rsid w:val="004D28DE"/>
    <w:rsid w:val="004D4BCD"/>
    <w:rsid w:val="004D560A"/>
    <w:rsid w:val="004E0208"/>
    <w:rsid w:val="004E6200"/>
    <w:rsid w:val="004E6D3A"/>
    <w:rsid w:val="00510BCD"/>
    <w:rsid w:val="00512A48"/>
    <w:rsid w:val="0051379D"/>
    <w:rsid w:val="00514943"/>
    <w:rsid w:val="00514DBA"/>
    <w:rsid w:val="0051542D"/>
    <w:rsid w:val="0054598B"/>
    <w:rsid w:val="00545C51"/>
    <w:rsid w:val="00551174"/>
    <w:rsid w:val="0055397C"/>
    <w:rsid w:val="005750AD"/>
    <w:rsid w:val="00576447"/>
    <w:rsid w:val="00580752"/>
    <w:rsid w:val="005901C2"/>
    <w:rsid w:val="00592F58"/>
    <w:rsid w:val="005A56FA"/>
    <w:rsid w:val="005A598E"/>
    <w:rsid w:val="005B0D47"/>
    <w:rsid w:val="005B22BC"/>
    <w:rsid w:val="005B5E84"/>
    <w:rsid w:val="005D0242"/>
    <w:rsid w:val="005E2B58"/>
    <w:rsid w:val="005E427B"/>
    <w:rsid w:val="005F24D6"/>
    <w:rsid w:val="005F558F"/>
    <w:rsid w:val="005F569C"/>
    <w:rsid w:val="005F6A3C"/>
    <w:rsid w:val="00601B77"/>
    <w:rsid w:val="006020FD"/>
    <w:rsid w:val="00602ABA"/>
    <w:rsid w:val="00607BE5"/>
    <w:rsid w:val="006202C5"/>
    <w:rsid w:val="00621DA4"/>
    <w:rsid w:val="006221B8"/>
    <w:rsid w:val="006645E4"/>
    <w:rsid w:val="00672926"/>
    <w:rsid w:val="00682F77"/>
    <w:rsid w:val="006A630F"/>
    <w:rsid w:val="006B17B6"/>
    <w:rsid w:val="006B20AF"/>
    <w:rsid w:val="006C261B"/>
    <w:rsid w:val="006C286D"/>
    <w:rsid w:val="006C575E"/>
    <w:rsid w:val="006D13CA"/>
    <w:rsid w:val="006D1791"/>
    <w:rsid w:val="006D1E02"/>
    <w:rsid w:val="006E01DB"/>
    <w:rsid w:val="006E104A"/>
    <w:rsid w:val="006E21E0"/>
    <w:rsid w:val="006E603F"/>
    <w:rsid w:val="006E6101"/>
    <w:rsid w:val="006E7F1A"/>
    <w:rsid w:val="006F049A"/>
    <w:rsid w:val="006F07C7"/>
    <w:rsid w:val="006F20B5"/>
    <w:rsid w:val="006F3391"/>
    <w:rsid w:val="006F513F"/>
    <w:rsid w:val="00705D3A"/>
    <w:rsid w:val="00715448"/>
    <w:rsid w:val="00720FDB"/>
    <w:rsid w:val="00725DA6"/>
    <w:rsid w:val="007345FA"/>
    <w:rsid w:val="00736E16"/>
    <w:rsid w:val="00764D29"/>
    <w:rsid w:val="00774E7A"/>
    <w:rsid w:val="007776E1"/>
    <w:rsid w:val="0078273C"/>
    <w:rsid w:val="00784D1F"/>
    <w:rsid w:val="00785B5B"/>
    <w:rsid w:val="007932CB"/>
    <w:rsid w:val="007A3D04"/>
    <w:rsid w:val="007B641B"/>
    <w:rsid w:val="007C0C35"/>
    <w:rsid w:val="007C0F1C"/>
    <w:rsid w:val="00802871"/>
    <w:rsid w:val="00804059"/>
    <w:rsid w:val="008126AF"/>
    <w:rsid w:val="00815750"/>
    <w:rsid w:val="00822D6E"/>
    <w:rsid w:val="008350BD"/>
    <w:rsid w:val="008377D1"/>
    <w:rsid w:val="00843032"/>
    <w:rsid w:val="00854203"/>
    <w:rsid w:val="00854215"/>
    <w:rsid w:val="0086321C"/>
    <w:rsid w:val="00880992"/>
    <w:rsid w:val="00887D0D"/>
    <w:rsid w:val="0089246F"/>
    <w:rsid w:val="008A0883"/>
    <w:rsid w:val="008B67FF"/>
    <w:rsid w:val="008C06FC"/>
    <w:rsid w:val="008D02A1"/>
    <w:rsid w:val="008D2AA5"/>
    <w:rsid w:val="008E19A4"/>
    <w:rsid w:val="008E48BF"/>
    <w:rsid w:val="00910D48"/>
    <w:rsid w:val="009245A6"/>
    <w:rsid w:val="009248DA"/>
    <w:rsid w:val="0092529D"/>
    <w:rsid w:val="009332A7"/>
    <w:rsid w:val="00933395"/>
    <w:rsid w:val="00935D42"/>
    <w:rsid w:val="0095411A"/>
    <w:rsid w:val="00955269"/>
    <w:rsid w:val="00957A2D"/>
    <w:rsid w:val="00974C6D"/>
    <w:rsid w:val="0098453A"/>
    <w:rsid w:val="0098483F"/>
    <w:rsid w:val="009B03A2"/>
    <w:rsid w:val="009B08FB"/>
    <w:rsid w:val="009B1E5C"/>
    <w:rsid w:val="009B31C6"/>
    <w:rsid w:val="009B6FD7"/>
    <w:rsid w:val="009C71FB"/>
    <w:rsid w:val="009D37CD"/>
    <w:rsid w:val="009D5E7D"/>
    <w:rsid w:val="009E4BAC"/>
    <w:rsid w:val="00A04B4F"/>
    <w:rsid w:val="00A06B72"/>
    <w:rsid w:val="00A10345"/>
    <w:rsid w:val="00A10959"/>
    <w:rsid w:val="00A12E0F"/>
    <w:rsid w:val="00A1734B"/>
    <w:rsid w:val="00A320E8"/>
    <w:rsid w:val="00A37070"/>
    <w:rsid w:val="00A37EE5"/>
    <w:rsid w:val="00A4472F"/>
    <w:rsid w:val="00A50771"/>
    <w:rsid w:val="00A531B4"/>
    <w:rsid w:val="00A57D1F"/>
    <w:rsid w:val="00A65220"/>
    <w:rsid w:val="00A7296C"/>
    <w:rsid w:val="00A74E1B"/>
    <w:rsid w:val="00AB4BED"/>
    <w:rsid w:val="00AC066B"/>
    <w:rsid w:val="00AC4FFD"/>
    <w:rsid w:val="00AC6FC6"/>
    <w:rsid w:val="00AD3679"/>
    <w:rsid w:val="00AE4FB5"/>
    <w:rsid w:val="00B01B1D"/>
    <w:rsid w:val="00B01CE4"/>
    <w:rsid w:val="00B10F7C"/>
    <w:rsid w:val="00B15C62"/>
    <w:rsid w:val="00B24A1D"/>
    <w:rsid w:val="00B32161"/>
    <w:rsid w:val="00B64519"/>
    <w:rsid w:val="00B809C9"/>
    <w:rsid w:val="00B81D2A"/>
    <w:rsid w:val="00BA35F8"/>
    <w:rsid w:val="00BA566A"/>
    <w:rsid w:val="00BB0CB5"/>
    <w:rsid w:val="00BB555D"/>
    <w:rsid w:val="00BC17CB"/>
    <w:rsid w:val="00BD4B0A"/>
    <w:rsid w:val="00BF387A"/>
    <w:rsid w:val="00C22DA6"/>
    <w:rsid w:val="00C36C41"/>
    <w:rsid w:val="00C45B6A"/>
    <w:rsid w:val="00C515E3"/>
    <w:rsid w:val="00C5283A"/>
    <w:rsid w:val="00C564A9"/>
    <w:rsid w:val="00C762DA"/>
    <w:rsid w:val="00C7784D"/>
    <w:rsid w:val="00C81C60"/>
    <w:rsid w:val="00C81E54"/>
    <w:rsid w:val="00C977B5"/>
    <w:rsid w:val="00CC238E"/>
    <w:rsid w:val="00CC355C"/>
    <w:rsid w:val="00CC76E3"/>
    <w:rsid w:val="00CD0DFA"/>
    <w:rsid w:val="00CD1173"/>
    <w:rsid w:val="00CE1402"/>
    <w:rsid w:val="00CE60F3"/>
    <w:rsid w:val="00D0497E"/>
    <w:rsid w:val="00D06701"/>
    <w:rsid w:val="00D14853"/>
    <w:rsid w:val="00D25D8C"/>
    <w:rsid w:val="00D346EE"/>
    <w:rsid w:val="00D42EA7"/>
    <w:rsid w:val="00D62563"/>
    <w:rsid w:val="00D62830"/>
    <w:rsid w:val="00D651F3"/>
    <w:rsid w:val="00D65A04"/>
    <w:rsid w:val="00D7023D"/>
    <w:rsid w:val="00D826C4"/>
    <w:rsid w:val="00D85FDD"/>
    <w:rsid w:val="00D939EE"/>
    <w:rsid w:val="00DB2505"/>
    <w:rsid w:val="00DB4A4D"/>
    <w:rsid w:val="00DC13F9"/>
    <w:rsid w:val="00DD02A3"/>
    <w:rsid w:val="00DD3735"/>
    <w:rsid w:val="00DD4241"/>
    <w:rsid w:val="00DD756B"/>
    <w:rsid w:val="00E04CC0"/>
    <w:rsid w:val="00E22087"/>
    <w:rsid w:val="00E3678F"/>
    <w:rsid w:val="00E64513"/>
    <w:rsid w:val="00EB1D86"/>
    <w:rsid w:val="00EB6D38"/>
    <w:rsid w:val="00EC5514"/>
    <w:rsid w:val="00EC5C60"/>
    <w:rsid w:val="00EE039D"/>
    <w:rsid w:val="00EE5BE0"/>
    <w:rsid w:val="00EF16B3"/>
    <w:rsid w:val="00EF5E9C"/>
    <w:rsid w:val="00EF7542"/>
    <w:rsid w:val="00F00051"/>
    <w:rsid w:val="00F01710"/>
    <w:rsid w:val="00F04D99"/>
    <w:rsid w:val="00F1710F"/>
    <w:rsid w:val="00F2101A"/>
    <w:rsid w:val="00F217B2"/>
    <w:rsid w:val="00F279DB"/>
    <w:rsid w:val="00F33574"/>
    <w:rsid w:val="00F37BD0"/>
    <w:rsid w:val="00F5524D"/>
    <w:rsid w:val="00F64FB8"/>
    <w:rsid w:val="00F651C1"/>
    <w:rsid w:val="00F72D28"/>
    <w:rsid w:val="00F74155"/>
    <w:rsid w:val="00F978DD"/>
    <w:rsid w:val="00F979B5"/>
    <w:rsid w:val="00F97E73"/>
    <w:rsid w:val="00FA527E"/>
    <w:rsid w:val="00FC3037"/>
    <w:rsid w:val="00FD7370"/>
    <w:rsid w:val="00FE14BA"/>
    <w:rsid w:val="00FE38D8"/>
    <w:rsid w:val="00FF10ED"/>
    <w:rsid w:val="00FF574E"/>
    <w:rsid w:val="00FF77DD"/>
    <w:rsid w:val="01010EC1"/>
    <w:rsid w:val="012B6E69"/>
    <w:rsid w:val="01D871B5"/>
    <w:rsid w:val="0288421F"/>
    <w:rsid w:val="06C72ADD"/>
    <w:rsid w:val="094C4108"/>
    <w:rsid w:val="0C2F779B"/>
    <w:rsid w:val="0D0359D7"/>
    <w:rsid w:val="0D877230"/>
    <w:rsid w:val="108B0D18"/>
    <w:rsid w:val="136A4AF5"/>
    <w:rsid w:val="13AE7DBF"/>
    <w:rsid w:val="147E306D"/>
    <w:rsid w:val="14DB60FF"/>
    <w:rsid w:val="155D0C34"/>
    <w:rsid w:val="168E06C2"/>
    <w:rsid w:val="19C9198C"/>
    <w:rsid w:val="1D1F0A71"/>
    <w:rsid w:val="1E1A6F96"/>
    <w:rsid w:val="1E2D3BD0"/>
    <w:rsid w:val="1E454BFC"/>
    <w:rsid w:val="2010087A"/>
    <w:rsid w:val="26DB0C40"/>
    <w:rsid w:val="26EE2C3C"/>
    <w:rsid w:val="28006C18"/>
    <w:rsid w:val="2826784C"/>
    <w:rsid w:val="2891235B"/>
    <w:rsid w:val="28B14B7B"/>
    <w:rsid w:val="29053F71"/>
    <w:rsid w:val="295335C6"/>
    <w:rsid w:val="2B3221C2"/>
    <w:rsid w:val="2CFA4893"/>
    <w:rsid w:val="2EC15BD9"/>
    <w:rsid w:val="30BC01A9"/>
    <w:rsid w:val="34A371D5"/>
    <w:rsid w:val="35AB75E3"/>
    <w:rsid w:val="35E6061B"/>
    <w:rsid w:val="3C3E459E"/>
    <w:rsid w:val="3C5619B7"/>
    <w:rsid w:val="3EC62D97"/>
    <w:rsid w:val="4068523E"/>
    <w:rsid w:val="417D3585"/>
    <w:rsid w:val="42825DC7"/>
    <w:rsid w:val="445327D1"/>
    <w:rsid w:val="452445AD"/>
    <w:rsid w:val="45373813"/>
    <w:rsid w:val="48A05BE9"/>
    <w:rsid w:val="4B6A216F"/>
    <w:rsid w:val="4BCB5CEA"/>
    <w:rsid w:val="4C4C0D1E"/>
    <w:rsid w:val="4D286028"/>
    <w:rsid w:val="4E0D6BEE"/>
    <w:rsid w:val="4EAC2C29"/>
    <w:rsid w:val="518141FC"/>
    <w:rsid w:val="5292239B"/>
    <w:rsid w:val="53190BBD"/>
    <w:rsid w:val="53744169"/>
    <w:rsid w:val="54BC4221"/>
    <w:rsid w:val="57145F29"/>
    <w:rsid w:val="58EC6408"/>
    <w:rsid w:val="5B7C23D4"/>
    <w:rsid w:val="5D1275A1"/>
    <w:rsid w:val="5FE96175"/>
    <w:rsid w:val="62FA5661"/>
    <w:rsid w:val="63956F57"/>
    <w:rsid w:val="63D911AE"/>
    <w:rsid w:val="68365915"/>
    <w:rsid w:val="687A60D9"/>
    <w:rsid w:val="68F76393"/>
    <w:rsid w:val="69BA6FAD"/>
    <w:rsid w:val="6A6B0B13"/>
    <w:rsid w:val="6B450E9F"/>
    <w:rsid w:val="6C2B055A"/>
    <w:rsid w:val="6DC20EC4"/>
    <w:rsid w:val="6FBB5095"/>
    <w:rsid w:val="70BF0C9D"/>
    <w:rsid w:val="73F05BE5"/>
    <w:rsid w:val="747A2B0E"/>
    <w:rsid w:val="74D90C3D"/>
    <w:rsid w:val="757F053F"/>
    <w:rsid w:val="75877F73"/>
    <w:rsid w:val="76813786"/>
    <w:rsid w:val="78AE1462"/>
    <w:rsid w:val="7AC0767D"/>
    <w:rsid w:val="7B6533B6"/>
    <w:rsid w:val="7BC10560"/>
    <w:rsid w:val="7C2B75A4"/>
    <w:rsid w:val="7C46481F"/>
    <w:rsid w:val="7E54439E"/>
    <w:rsid w:val="7EF7251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53"/>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48"/>
    <w:unhideWhenUsed/>
    <w:qFormat/>
    <w:uiPriority w:val="99"/>
    <w:pPr>
      <w:jc w:val="left"/>
    </w:pPr>
    <w:rPr>
      <w:rFonts w:asciiTheme="minorHAnsi" w:hAnsiTheme="minorHAnsi" w:eastAsiaTheme="minorEastAsia" w:cstheme="minorBidi"/>
      <w:szCs w:val="22"/>
    </w:rPr>
  </w:style>
  <w:style w:type="paragraph" w:styleId="4">
    <w:name w:val="Body Text Indent"/>
    <w:basedOn w:val="1"/>
    <w:qFormat/>
    <w:uiPriority w:val="0"/>
    <w:pPr>
      <w:spacing w:line="440" w:lineRule="exact"/>
      <w:ind w:firstLine="560" w:firstLineChars="200"/>
    </w:pPr>
    <w:rPr>
      <w:sz w:val="28"/>
    </w:rPr>
  </w:style>
  <w:style w:type="paragraph" w:styleId="5">
    <w:name w:val="Plain Text"/>
    <w:basedOn w:val="1"/>
    <w:qFormat/>
    <w:uiPriority w:val="0"/>
    <w:rPr>
      <w:rFonts w:ascii="宋体" w:hAnsi="Courier New"/>
      <w:szCs w:val="20"/>
    </w:rPr>
  </w:style>
  <w:style w:type="paragraph" w:styleId="6">
    <w:name w:val="Body Text Indent 2"/>
    <w:basedOn w:val="1"/>
    <w:qFormat/>
    <w:uiPriority w:val="0"/>
    <w:pPr>
      <w:spacing w:line="440" w:lineRule="exact"/>
      <w:ind w:firstLine="420" w:firstLineChars="200"/>
    </w:pPr>
  </w:style>
  <w:style w:type="paragraph" w:styleId="7">
    <w:name w:val="endnote text"/>
    <w:basedOn w:val="1"/>
    <w:unhideWhenUsed/>
    <w:qFormat/>
    <w:uiPriority w:val="99"/>
    <w:pPr>
      <w:snapToGrid w:val="0"/>
    </w:pPr>
    <w:rPr>
      <w:rFonts w:ascii="Calibri" w:hAnsi="Calibri" w:eastAsia="宋体" w:cs="Times New Roman"/>
      <w:szCs w:val="24"/>
    </w:rPr>
  </w:style>
  <w:style w:type="paragraph" w:styleId="8">
    <w:name w:val="Balloon Text"/>
    <w:basedOn w:val="1"/>
    <w:link w:val="50"/>
    <w:semiHidden/>
    <w:unhideWhenUsed/>
    <w:qFormat/>
    <w:uiPriority w:val="99"/>
    <w:rPr>
      <w:sz w:val="18"/>
      <w:szCs w:val="18"/>
    </w:rPr>
  </w:style>
  <w:style w:type="paragraph" w:styleId="9">
    <w:name w:val="footer"/>
    <w:basedOn w:val="1"/>
    <w:link w:val="18"/>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17"/>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annotation subject"/>
    <w:basedOn w:val="3"/>
    <w:next w:val="3"/>
    <w:link w:val="49"/>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5">
    <w:name w:val="page number"/>
    <w:basedOn w:val="14"/>
    <w:qFormat/>
    <w:uiPriority w:val="0"/>
    <w:rPr>
      <w:rFonts w:ascii="Times New Roman" w:hAnsi="Times New Roman" w:eastAsia="宋体"/>
      <w:sz w:val="18"/>
    </w:rPr>
  </w:style>
  <w:style w:type="character" w:styleId="16">
    <w:name w:val="annotation reference"/>
    <w:basedOn w:val="14"/>
    <w:semiHidden/>
    <w:unhideWhenUsed/>
    <w:qFormat/>
    <w:uiPriority w:val="99"/>
    <w:rPr>
      <w:sz w:val="21"/>
      <w:szCs w:val="21"/>
    </w:rPr>
  </w:style>
  <w:style w:type="character" w:customStyle="1" w:styleId="17">
    <w:name w:val="页眉 字符"/>
    <w:basedOn w:val="14"/>
    <w:link w:val="10"/>
    <w:semiHidden/>
    <w:qFormat/>
    <w:uiPriority w:val="99"/>
    <w:rPr>
      <w:sz w:val="18"/>
      <w:szCs w:val="18"/>
    </w:rPr>
  </w:style>
  <w:style w:type="character" w:customStyle="1" w:styleId="18">
    <w:name w:val="页脚 字符"/>
    <w:basedOn w:val="14"/>
    <w:link w:val="9"/>
    <w:semiHidden/>
    <w:qFormat/>
    <w:uiPriority w:val="99"/>
    <w:rPr>
      <w:sz w:val="18"/>
      <w:szCs w:val="18"/>
    </w:rPr>
  </w:style>
  <w:style w:type="character" w:customStyle="1" w:styleId="19">
    <w:name w:val="段 Char"/>
    <w:basedOn w:val="14"/>
    <w:link w:val="20"/>
    <w:qFormat/>
    <w:locked/>
    <w:uiPriority w:val="0"/>
    <w:rPr>
      <w:rFonts w:ascii="宋体" w:hAnsi="宋体" w:eastAsia="宋体"/>
    </w:rPr>
  </w:style>
  <w:style w:type="paragraph" w:customStyle="1" w:styleId="20">
    <w:name w:val="段"/>
    <w:link w:val="19"/>
    <w:qFormat/>
    <w:uiPriority w:val="0"/>
    <w:pPr>
      <w:tabs>
        <w:tab w:val="center" w:pos="4201"/>
        <w:tab w:val="right" w:leader="dot" w:pos="9298"/>
      </w:tabs>
      <w:autoSpaceDE w:val="0"/>
      <w:autoSpaceDN w:val="0"/>
      <w:ind w:firstLine="420" w:firstLineChars="200"/>
      <w:jc w:val="both"/>
    </w:pPr>
    <w:rPr>
      <w:rFonts w:ascii="宋体" w:hAnsi="宋体" w:eastAsia="宋体" w:cstheme="minorBidi"/>
      <w:kern w:val="2"/>
      <w:sz w:val="21"/>
      <w:szCs w:val="22"/>
      <w:lang w:val="en-US" w:eastAsia="zh-CN" w:bidi="ar-SA"/>
    </w:rPr>
  </w:style>
  <w:style w:type="paragraph" w:customStyle="1" w:styleId="21">
    <w:name w:val="一级条标题"/>
    <w:next w:val="20"/>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22">
    <w:name w:val="章标题"/>
    <w:next w:val="20"/>
    <w:qFormat/>
    <w:uiPriority w:val="0"/>
    <w:pPr>
      <w:numPr>
        <w:ilvl w:val="0"/>
        <w:numId w:val="1"/>
      </w:numPr>
      <w:spacing w:beforeLines="100" w:afterLines="100"/>
      <w:jc w:val="both"/>
      <w:outlineLvl w:val="1"/>
    </w:pPr>
    <w:rPr>
      <w:rFonts w:ascii="黑体" w:hAnsi="Times New Roman" w:eastAsia="黑体" w:cs="Times New Roman"/>
      <w:sz w:val="21"/>
      <w:lang w:val="en-US" w:eastAsia="zh-CN" w:bidi="ar-SA"/>
    </w:rPr>
  </w:style>
  <w:style w:type="paragraph" w:customStyle="1" w:styleId="23">
    <w:name w:val="二级条标题"/>
    <w:basedOn w:val="21"/>
    <w:next w:val="20"/>
    <w:qFormat/>
    <w:uiPriority w:val="0"/>
    <w:pPr>
      <w:numPr>
        <w:ilvl w:val="2"/>
      </w:numPr>
      <w:ind w:left="992"/>
      <w:outlineLvl w:val="3"/>
    </w:pPr>
  </w:style>
  <w:style w:type="paragraph" w:customStyle="1" w:styleId="24">
    <w:name w:val="目次、标准名称标题"/>
    <w:basedOn w:val="1"/>
    <w:next w:val="20"/>
    <w:qFormat/>
    <w:uiPriority w:val="0"/>
    <w:pPr>
      <w:keepNext/>
      <w:pageBreakBefore/>
      <w:widowControl/>
      <w:shd w:val="clear" w:color="auto" w:fill="FFFFFF"/>
      <w:spacing w:before="640" w:after="560" w:line="460" w:lineRule="exact"/>
      <w:jc w:val="center"/>
      <w:outlineLvl w:val="0"/>
    </w:pPr>
    <w:rPr>
      <w:rFonts w:ascii="黑体" w:eastAsia="黑体"/>
      <w:kern w:val="0"/>
      <w:sz w:val="32"/>
    </w:rPr>
  </w:style>
  <w:style w:type="paragraph" w:customStyle="1" w:styleId="25">
    <w:name w:val="三级条标题"/>
    <w:basedOn w:val="23"/>
    <w:next w:val="20"/>
    <w:qFormat/>
    <w:uiPriority w:val="0"/>
    <w:pPr>
      <w:numPr>
        <w:ilvl w:val="3"/>
      </w:numPr>
      <w:outlineLvl w:val="4"/>
    </w:pPr>
  </w:style>
  <w:style w:type="paragraph" w:customStyle="1" w:styleId="26">
    <w:name w:val="四级条标题"/>
    <w:basedOn w:val="25"/>
    <w:next w:val="20"/>
    <w:qFormat/>
    <w:uiPriority w:val="0"/>
    <w:pPr>
      <w:numPr>
        <w:ilvl w:val="4"/>
      </w:numPr>
      <w:outlineLvl w:val="5"/>
    </w:pPr>
  </w:style>
  <w:style w:type="paragraph" w:customStyle="1" w:styleId="27">
    <w:name w:val="五级条标题"/>
    <w:basedOn w:val="26"/>
    <w:next w:val="20"/>
    <w:qFormat/>
    <w:uiPriority w:val="0"/>
    <w:pPr>
      <w:numPr>
        <w:ilvl w:val="5"/>
      </w:numPr>
      <w:outlineLvl w:val="6"/>
    </w:pPr>
  </w:style>
  <w:style w:type="paragraph" w:customStyle="1" w:styleId="28">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29">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30">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31">
    <w:name w:val="标准书眉_偶数页"/>
    <w:basedOn w:val="30"/>
    <w:next w:val="1"/>
    <w:qFormat/>
    <w:uiPriority w:val="0"/>
    <w:pPr>
      <w:jc w:val="left"/>
    </w:pPr>
  </w:style>
  <w:style w:type="paragraph" w:customStyle="1" w:styleId="32">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33">
    <w:name w:val="标准书眉一"/>
    <w:qFormat/>
    <w:uiPriority w:val="0"/>
    <w:pPr>
      <w:jc w:val="both"/>
    </w:pPr>
    <w:rPr>
      <w:rFonts w:ascii="Times New Roman" w:hAnsi="Times New Roman" w:eastAsia="宋体" w:cs="Times New Roman"/>
      <w:lang w:val="en-US" w:eastAsia="zh-CN" w:bidi="ar-SA"/>
    </w:rPr>
  </w:style>
  <w:style w:type="character" w:customStyle="1" w:styleId="34">
    <w:name w:val="发布"/>
    <w:basedOn w:val="14"/>
    <w:qFormat/>
    <w:uiPriority w:val="0"/>
    <w:rPr>
      <w:rFonts w:ascii="黑体" w:eastAsia="黑体"/>
      <w:spacing w:val="22"/>
      <w:w w:val="100"/>
      <w:position w:val="3"/>
      <w:sz w:val="28"/>
    </w:rPr>
  </w:style>
  <w:style w:type="paragraph" w:customStyle="1" w:styleId="35">
    <w:name w:val="发布部门"/>
    <w:next w:val="20"/>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36">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37">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38">
    <w:name w:val="封面标准号2"/>
    <w:basedOn w:val="37"/>
    <w:qFormat/>
    <w:uiPriority w:val="0"/>
    <w:pPr>
      <w:framePr w:w="9138" w:h="1244" w:hRule="exact" w:wrap="around" w:vAnchor="page" w:hAnchor="margin" w:y="2908"/>
      <w:adjustRightInd w:val="0"/>
      <w:spacing w:before="357" w:line="280" w:lineRule="exact"/>
    </w:pPr>
  </w:style>
  <w:style w:type="paragraph" w:customStyle="1" w:styleId="39">
    <w:name w:val="封面标准代替信息"/>
    <w:basedOn w:val="38"/>
    <w:qFormat/>
    <w:uiPriority w:val="0"/>
    <w:pPr>
      <w:framePr w:wrap="around"/>
      <w:spacing w:before="57"/>
    </w:pPr>
    <w:rPr>
      <w:rFonts w:ascii="宋体"/>
      <w:sz w:val="21"/>
    </w:rPr>
  </w:style>
  <w:style w:type="paragraph" w:customStyle="1" w:styleId="40">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41">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42">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43">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44">
    <w:name w:val="封面正文"/>
    <w:qFormat/>
    <w:uiPriority w:val="0"/>
    <w:pPr>
      <w:jc w:val="both"/>
    </w:pPr>
    <w:rPr>
      <w:rFonts w:ascii="Times New Roman" w:hAnsi="Times New Roman" w:eastAsia="宋体" w:cs="Times New Roman"/>
      <w:lang w:val="en-US" w:eastAsia="zh-CN" w:bidi="ar-SA"/>
    </w:rPr>
  </w:style>
  <w:style w:type="paragraph" w:customStyle="1" w:styleId="45">
    <w:name w:val="实施日期"/>
    <w:basedOn w:val="36"/>
    <w:qFormat/>
    <w:uiPriority w:val="0"/>
    <w:pPr>
      <w:framePr w:hSpace="0" w:wrap="around" w:xAlign="right"/>
      <w:jc w:val="right"/>
    </w:pPr>
  </w:style>
  <w:style w:type="paragraph" w:customStyle="1" w:styleId="4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47">
    <w:name w:val="前言、引言标题"/>
    <w:next w:val="1"/>
    <w:qFormat/>
    <w:uiPriority w:val="0"/>
    <w:pPr>
      <w:shd w:val="clear" w:color="FFFFFF" w:fill="FFFFFF"/>
      <w:tabs>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character" w:customStyle="1" w:styleId="48">
    <w:name w:val="批注文字 字符"/>
    <w:basedOn w:val="14"/>
    <w:link w:val="3"/>
    <w:semiHidden/>
    <w:qFormat/>
    <w:uiPriority w:val="99"/>
  </w:style>
  <w:style w:type="character" w:customStyle="1" w:styleId="49">
    <w:name w:val="批注主题 字符"/>
    <w:basedOn w:val="48"/>
    <w:link w:val="11"/>
    <w:semiHidden/>
    <w:qFormat/>
    <w:uiPriority w:val="99"/>
    <w:rPr>
      <w:b/>
      <w:bCs/>
    </w:rPr>
  </w:style>
  <w:style w:type="character" w:customStyle="1" w:styleId="50">
    <w:name w:val="批注框文本 字符"/>
    <w:basedOn w:val="14"/>
    <w:link w:val="8"/>
    <w:semiHidden/>
    <w:qFormat/>
    <w:uiPriority w:val="99"/>
    <w:rPr>
      <w:sz w:val="18"/>
      <w:szCs w:val="18"/>
    </w:rPr>
  </w:style>
  <w:style w:type="paragraph" w:customStyle="1" w:styleId="51">
    <w:name w:val="正文表标题"/>
    <w:next w:val="20"/>
    <w:qFormat/>
    <w:uiPriority w:val="0"/>
    <w:pPr>
      <w:numPr>
        <w:ilvl w:val="0"/>
        <w:numId w:val="2"/>
      </w:numPr>
      <w:jc w:val="center"/>
    </w:pPr>
    <w:rPr>
      <w:rFonts w:ascii="黑体" w:hAnsi="Times New Roman" w:eastAsia="黑体" w:cs="Times New Roman"/>
      <w:sz w:val="21"/>
      <w:lang w:val="en-US" w:eastAsia="zh-CN" w:bidi="ar-SA"/>
    </w:rPr>
  </w:style>
  <w:style w:type="paragraph" w:customStyle="1" w:styleId="52">
    <w:name w:val="目次、索引正文"/>
    <w:qFormat/>
    <w:uiPriority w:val="0"/>
    <w:pPr>
      <w:spacing w:line="320" w:lineRule="exact"/>
      <w:jc w:val="both"/>
    </w:pPr>
    <w:rPr>
      <w:rFonts w:ascii="宋体" w:hAnsi="Times New Roman" w:eastAsia="宋体" w:cs="Times New Roman"/>
      <w:sz w:val="21"/>
      <w:lang w:val="en-US" w:eastAsia="zh-CN" w:bidi="ar-SA"/>
    </w:rPr>
  </w:style>
  <w:style w:type="character" w:customStyle="1" w:styleId="53">
    <w:name w:val="标题 3 字符"/>
    <w:basedOn w:val="14"/>
    <w:link w:val="2"/>
    <w:qFormat/>
    <w:uiPriority w:val="9"/>
    <w:rPr>
      <w:rFonts w:ascii="宋体" w:hAnsi="宋体" w:cs="宋体"/>
      <w:b/>
      <w:bCs/>
      <w:sz w:val="27"/>
      <w:szCs w:val="27"/>
    </w:rPr>
  </w:style>
  <w:style w:type="paragraph" w:customStyle="1" w:styleId="54">
    <w:name w:val="Char"/>
    <w:basedOn w:val="1"/>
    <w:qFormat/>
    <w:uiPriority w:val="0"/>
    <w:pPr>
      <w:widowControl/>
      <w:spacing w:after="160" w:line="240" w:lineRule="exact"/>
      <w:jc w:val="left"/>
    </w:pPr>
  </w:style>
  <w:style w:type="paragraph" w:customStyle="1" w:styleId="55">
    <w:name w:val="修订1"/>
    <w:hidden/>
    <w:semiHidden/>
    <w:qFormat/>
    <w:uiPriority w:val="99"/>
    <w:rPr>
      <w:rFonts w:ascii="Times New Roman" w:hAnsi="Times New Roman" w:eastAsia="宋体" w:cs="Times New Roman"/>
      <w:kern w:val="2"/>
      <w:sz w:val="21"/>
      <w:lang w:val="en-US" w:eastAsia="zh-CN" w:bidi="ar-SA"/>
    </w:rPr>
  </w:style>
  <w:style w:type="paragraph" w:customStyle="1" w:styleId="56">
    <w:name w:val="Revision"/>
    <w:hidden/>
    <w:semiHidden/>
    <w:qFormat/>
    <w:uiPriority w:val="99"/>
    <w:rPr>
      <w:rFonts w:ascii="Times New Roman" w:hAnsi="Times New Roman" w:eastAsia="宋体" w:cs="Times New Roman"/>
      <w:kern w:val="2"/>
      <w:sz w:val="21"/>
      <w:lang w:val="en-US" w:eastAsia="zh-CN" w:bidi="ar-SA"/>
    </w:rPr>
  </w:style>
  <w:style w:type="character" w:customStyle="1" w:styleId="57">
    <w:name w:val="font11"/>
    <w:basedOn w:val="14"/>
    <w:qFormat/>
    <w:uiPriority w:val="0"/>
    <w:rPr>
      <w:rFonts w:hint="eastAsia" w:ascii="宋体" w:hAnsi="宋体" w:eastAsia="宋体" w:cs="宋体"/>
      <w:color w:val="000000"/>
      <w:sz w:val="18"/>
      <w:szCs w:val="18"/>
      <w:u w:val="none"/>
    </w:rPr>
  </w:style>
  <w:style w:type="character" w:customStyle="1" w:styleId="58">
    <w:name w:val="font21"/>
    <w:basedOn w:val="14"/>
    <w:qFormat/>
    <w:uiPriority w:val="0"/>
    <w:rPr>
      <w:rFonts w:hint="default" w:ascii="Times New Roman" w:hAnsi="Times New Roman" w:cs="Times New Roman"/>
      <w:color w:val="000000"/>
      <w:sz w:val="18"/>
      <w:szCs w:val="18"/>
      <w:u w:val="none"/>
    </w:rPr>
  </w:style>
  <w:style w:type="character" w:customStyle="1" w:styleId="59">
    <w:name w:val="font31"/>
    <w:basedOn w:val="14"/>
    <w:qFormat/>
    <w:uiPriority w:val="0"/>
    <w:rPr>
      <w:rFonts w:hint="eastAsia" w:ascii="宋体" w:hAnsi="宋体" w:eastAsia="宋体" w:cs="宋体"/>
      <w:color w:val="000000"/>
      <w:sz w:val="21"/>
      <w:szCs w:val="21"/>
      <w:u w:val="none"/>
    </w:rPr>
  </w:style>
  <w:style w:type="paragraph" w:customStyle="1" w:styleId="60">
    <w:name w:val="1 自然段"/>
    <w:basedOn w:val="1"/>
    <w:qFormat/>
    <w:uiPriority w:val="0"/>
    <w:pPr>
      <w:tabs>
        <w:tab w:val="center" w:pos="4201"/>
        <w:tab w:val="right" w:leader="dot" w:pos="9298"/>
      </w:tabs>
      <w:autoSpaceDE w:val="0"/>
      <w:autoSpaceDN w:val="0"/>
      <w:spacing w:line="400" w:lineRule="exact"/>
      <w:ind w:firstLine="420" w:firstLineChars="200"/>
    </w:pPr>
    <w:rPr>
      <w:rFonts w:hint="eastAsia" w:ascii="Times New Roman" w:hAnsi="Times New Roman"/>
      <w:szCs w:val="22"/>
    </w:rPr>
  </w:style>
  <w:style w:type="paragraph" w:styleId="61">
    <w:name w:val="List Paragraph"/>
    <w:basedOn w:val="1"/>
    <w:unhideWhenUsed/>
    <w:qFormat/>
    <w:uiPriority w:val="99"/>
    <w:pPr>
      <w:ind w:firstLine="420" w:firstLineChars="200"/>
    </w:pPr>
  </w:style>
  <w:style w:type="paragraph" w:customStyle="1" w:styleId="62">
    <w:name w:val="标准"/>
    <w:basedOn w:val="1"/>
    <w:qFormat/>
    <w:uiPriority w:val="0"/>
    <w:pPr>
      <w:adjustRightInd w:val="0"/>
      <w:spacing w:line="312" w:lineRule="atLeast"/>
      <w:jc w:val="center"/>
      <w:textAlignment w:val="baseline"/>
    </w:pPr>
    <w:rPr>
      <w:kern w:val="0"/>
      <w:szCs w:val="20"/>
    </w:rPr>
  </w:style>
  <w:style w:type="paragraph" w:customStyle="1" w:styleId="63">
    <w:name w:val="Table Text"/>
    <w:basedOn w:val="1"/>
    <w:semiHidden/>
    <w:qFormat/>
    <w:uiPriority w:val="0"/>
    <w:rPr>
      <w:rFonts w:ascii="微软雅黑" w:hAnsi="微软雅黑" w:eastAsia="微软雅黑" w:cs="微软雅黑"/>
      <w:sz w:val="16"/>
      <w:szCs w:val="16"/>
      <w:lang w:val="en-US" w:eastAsia="en-US" w:bidi="ar-SA"/>
    </w:rPr>
  </w:style>
  <w:style w:type="table" w:customStyle="1" w:styleId="6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14</Pages>
  <Words>6920</Words>
  <Characters>9879</Characters>
  <Lines>24</Lines>
  <Paragraphs>6</Paragraphs>
  <TotalTime>1</TotalTime>
  <ScaleCrop>false</ScaleCrop>
  <LinksUpToDate>false</LinksUpToDate>
  <CharactersWithSpaces>10225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2023-04-13T08:10:00Z</dcterms:created>
  <dc:creator>孙广杰</dc:creator>
  <cp:lastModifiedBy>孙伟</cp:lastModifiedBy>
  <cp:lastPrinted>2026-08-19T01:56:00Z</cp:lastPrinted>
  <dcterms:modified xsi:type="dcterms:W3CDTF">2026-09-09T08:48:28Z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9CC988746E0D4326B5DB94F79550A19E_13</vt:lpwstr>
  </property>
  <property fmtid="{D5CDD505-2E9C-101B-9397-08002B2CF9AE}" pid="4" name="KSOTemplateDocerSaveRecord">
    <vt:lpwstr>eyJoZGlkIjoiODFiZmY2MDQ3Yjc2YWUyM2Q2NWFiNDVmM2E4YmJhYmUiLCJ1c2VySWQiOiI1MjM0MzU5NDUifQ==</vt:lpwstr>
  </property>
</Properties>
</file>