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12D2F">
      <w:bookmarkStart w:id="0" w:name="SectionMark0"/>
      <w:r>
        <w:rPr>
          <w:rFonts w:hint="eastAsia"/>
        </w:rPr>
        <w:t>适用范围</w:t>
      </w:r>
    </w:p>
    <w:bookmarkEnd w:id="0"/>
    <w:p w14:paraId="4AFE2DB8">
      <w:pPr>
        <w:jc w:val="right"/>
      </w:pPr>
      <w:bookmarkStart w:id="1" w:name="_Hlk100230372"/>
      <w:bookmarkEnd w:id="1"/>
      <w:bookmarkStart w:id="2" w:name="_Toc78716238"/>
      <w:r>
        <mc:AlternateContent>
          <mc:Choice Requires="wps">
            <w:drawing>
              <wp:anchor distT="0" distB="0" distL="114300" distR="114300" simplePos="0" relativeHeight="251665408" behindDoc="0" locked="1" layoutInCell="1" allowOverlap="1">
                <wp:simplePos x="0" y="0"/>
                <wp:positionH relativeFrom="margin">
                  <wp:posOffset>-7620</wp:posOffset>
                </wp:positionH>
                <wp:positionV relativeFrom="margin">
                  <wp:posOffset>12065</wp:posOffset>
                </wp:positionV>
                <wp:extent cx="1383030" cy="495300"/>
                <wp:effectExtent l="0" t="0" r="1270" b="0"/>
                <wp:wrapNone/>
                <wp:docPr id="763762058"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383030" cy="495300"/>
                        </a:xfrm>
                        <a:prstGeom prst="rect">
                          <a:avLst/>
                        </a:prstGeom>
                        <a:solidFill>
                          <a:srgbClr val="FFFFFF"/>
                        </a:solidFill>
                        <a:ln>
                          <a:noFill/>
                        </a:ln>
                      </wps:spPr>
                      <wps:txbx>
                        <w:txbxContent>
                          <w:p w14:paraId="1AC9BD9C">
                            <w:pPr>
                              <w:pStyle w:val="109"/>
                              <w:rPr>
                                <w:rFonts w:ascii="黑体" w:hAnsi="黑体"/>
                              </w:rPr>
                            </w:pPr>
                            <w:r>
                              <w:rPr>
                                <w:rFonts w:ascii="黑体" w:hAnsi="黑体"/>
                              </w:rPr>
                              <w:t>ICS. 77.120.99</w:t>
                            </w:r>
                          </w:p>
                          <w:p w14:paraId="2CE26189">
                            <w:pPr>
                              <w:pStyle w:val="109"/>
                              <w:rPr>
                                <w:rFonts w:ascii="黑体" w:hAnsi="黑体"/>
                              </w:rPr>
                            </w:pPr>
                            <w:r>
                              <w:rPr>
                                <w:rFonts w:ascii="黑体" w:hAnsi="黑体"/>
                              </w:rPr>
                              <w:t>CCS H 65</w:t>
                            </w:r>
                          </w:p>
                        </w:txbxContent>
                      </wps:txbx>
                      <wps:bodyPr rot="0" vert="horz" wrap="square" lIns="0" tIns="0" rIns="0" bIns="0" anchor="t" anchorCtr="0" upright="1">
                        <a:noAutofit/>
                      </wps:bodyPr>
                    </wps:wsp>
                  </a:graphicData>
                </a:graphic>
              </wp:anchor>
            </w:drawing>
          </mc:Choice>
          <mc:Fallback>
            <w:pict>
              <v:shape id="文本框 1" o:spid="_x0000_s1026" o:spt="202" type="#_x0000_t202" style="position:absolute;left:0pt;margin-left:-0.6pt;margin-top:0.95pt;height:39pt;width:108.9pt;mso-position-horizontal-relative:margin;mso-position-vertical-relative:margin;z-index:251665408;mso-width-relative:page;mso-height-relative:page;" fillcolor="#FFFFFF" filled="t" stroked="f" coordsize="21600,21600" o:gfxdata="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WcpeL9UAAAAHAQAADwAAAAAAAAABACAAAAAiAAAAZHJzL2Rvd25yZXYueG1sUEsBAhQAFAAAAAgA&#10;h07iQPqRSQQoAgAANgQAAA4AAAAAAAAAAQAgAAAAJAEAAGRycy9lMm9Eb2MueG1sUEsFBgAAAAAG&#10;AAYAWQEAAL4FAAAAAA==&#10;">
                <v:fill on="t" focussize="0,0"/>
                <v:stroke on="f"/>
                <v:imagedata o:title=""/>
                <o:lock v:ext="edit" aspectratio="f"/>
                <v:textbox inset="0mm,0mm,0mm,0mm">
                  <w:txbxContent>
                    <w:p w14:paraId="1AC9BD9C">
                      <w:pPr>
                        <w:pStyle w:val="109"/>
                        <w:rPr>
                          <w:rFonts w:ascii="黑体" w:hAnsi="黑体"/>
                        </w:rPr>
                      </w:pPr>
                      <w:r>
                        <w:rPr>
                          <w:rFonts w:ascii="黑体" w:hAnsi="黑体"/>
                        </w:rPr>
                        <w:t>ICS. 77.120.99</w:t>
                      </w:r>
                    </w:p>
                    <w:p w14:paraId="2CE26189">
                      <w:pPr>
                        <w:pStyle w:val="109"/>
                        <w:rPr>
                          <w:rFonts w:ascii="黑体" w:hAnsi="黑体"/>
                        </w:rPr>
                      </w:pPr>
                      <w:r>
                        <w:rPr>
                          <w:rFonts w:ascii="黑体" w:hAnsi="黑体"/>
                        </w:rPr>
                        <w:t>CCS H 65</w:t>
                      </w:r>
                    </w:p>
                  </w:txbxContent>
                </v:textbox>
                <w10:anchorlock/>
              </v:shape>
            </w:pict>
          </mc:Fallback>
        </mc:AlternateContent>
      </w:r>
      <w:r>
        <w:rPr>
          <w:sz w:val="144"/>
        </w:rPr>
        <w:t>XB</w:t>
      </w:r>
    </w:p>
    <w:p w14:paraId="1BD2760B">
      <w:pPr>
        <w:adjustRightInd w:val="0"/>
        <w:snapToGrid w:val="0"/>
        <w:spacing w:line="0" w:lineRule="atLeast"/>
        <w:ind w:left="-178" w:leftChars="-85" w:firstLine="203" w:firstLineChars="46"/>
        <w:rPr>
          <w:rFonts w:eastAsia="黑体"/>
          <w:b/>
          <w:bCs/>
          <w:snapToGrid w:val="0"/>
          <w:color w:val="000000"/>
          <w:spacing w:val="-20"/>
          <w:w w:val="80"/>
          <w:kern w:val="0"/>
          <w:position w:val="6"/>
          <w:sz w:val="60"/>
          <w:szCs w:val="48"/>
        </w:rPr>
      </w:pPr>
      <w:r>
        <w:rPr>
          <w:rFonts w:eastAsia="黑体"/>
          <w:b/>
          <w:bCs/>
          <w:snapToGrid w:val="0"/>
          <w:color w:val="000000"/>
          <w:spacing w:val="-20"/>
          <w:w w:val="80"/>
          <w:kern w:val="0"/>
          <w:position w:val="6"/>
          <w:sz w:val="60"/>
          <w:szCs w:val="48"/>
        </w:rPr>
        <w:t>中 华 人 民 共 和 国 稀 土 行 业 标 准</w:t>
      </w:r>
    </w:p>
    <w:p w14:paraId="4233CD68">
      <w:pPr>
        <w:adjustRightInd w:val="0"/>
        <w:snapToGrid w:val="0"/>
        <w:ind w:left="-540" w:leftChars="-257" w:firstLine="880"/>
        <w:jc w:val="center"/>
        <w:rPr>
          <w:color w:val="000000"/>
          <w:sz w:val="44"/>
        </w:rPr>
      </w:pPr>
      <w:r>
        <w:rPr>
          <w:color w:val="000000"/>
          <w:sz w:val="44"/>
        </w:rPr>
        <mc:AlternateContent>
          <mc:Choice Requires="wps">
            <w:drawing>
              <wp:anchor distT="0" distB="0" distL="114300" distR="114300" simplePos="0" relativeHeight="251666432" behindDoc="0" locked="1" layoutInCell="1" allowOverlap="1">
                <wp:simplePos x="0" y="0"/>
                <wp:positionH relativeFrom="margin">
                  <wp:posOffset>171450</wp:posOffset>
                </wp:positionH>
                <wp:positionV relativeFrom="margin">
                  <wp:posOffset>1844040</wp:posOffset>
                </wp:positionV>
                <wp:extent cx="5343525" cy="738505"/>
                <wp:effectExtent l="0" t="0" r="9525" b="4445"/>
                <wp:wrapNone/>
                <wp:docPr id="1510279009"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43525" cy="738505"/>
                        </a:xfrm>
                        <a:prstGeom prst="rect">
                          <a:avLst/>
                        </a:prstGeom>
                        <a:solidFill>
                          <a:srgbClr val="FFFFFF"/>
                        </a:solidFill>
                        <a:ln>
                          <a:noFill/>
                        </a:ln>
                      </wps:spPr>
                      <wps:txbx>
                        <w:txbxContent>
                          <w:p w14:paraId="2AD0BC39">
                            <w:pPr>
                              <w:pStyle w:val="97"/>
                              <w:spacing w:before="180" w:line="320" w:lineRule="exact"/>
                              <w:rPr>
                                <w:rFonts w:ascii="黑体" w:hAnsi="黑体" w:eastAsia="黑体"/>
                                <w:szCs w:val="28"/>
                              </w:rPr>
                            </w:pPr>
                            <w:r>
                              <w:rPr>
                                <w:rFonts w:hint="eastAsia" w:ascii="黑体" w:hAnsi="黑体" w:eastAsia="黑体"/>
                                <w:szCs w:val="28"/>
                              </w:rPr>
                              <w:t>X</w:t>
                            </w:r>
                            <w:r>
                              <w:rPr>
                                <w:rFonts w:ascii="黑体" w:hAnsi="黑体" w:eastAsia="黑体"/>
                                <w:szCs w:val="28"/>
                              </w:rPr>
                              <w:t>B/T XXX-20</w:t>
                            </w:r>
                            <w:r>
                              <w:rPr>
                                <w:rFonts w:hint="eastAsia" w:ascii="黑体" w:hAnsi="黑体" w:eastAsia="黑体"/>
                                <w:szCs w:val="28"/>
                              </w:rPr>
                              <w:t>2</w:t>
                            </w:r>
                            <w:r>
                              <w:rPr>
                                <w:rFonts w:ascii="黑体" w:hAnsi="黑体" w:eastAsia="黑体"/>
                                <w:szCs w:val="28"/>
                              </w:rPr>
                              <w:t>X</w:t>
                            </w:r>
                          </w:p>
                          <w:p w14:paraId="34171756">
                            <w:pPr>
                              <w:pStyle w:val="144"/>
                              <w:spacing w:line="230" w:lineRule="exact"/>
                              <w:rPr>
                                <w:rFonts w:ascii="黑体" w:hAnsi="黑体" w:eastAsia="黑体"/>
                                <w:szCs w:val="21"/>
                              </w:rPr>
                            </w:pPr>
                            <w:r>
                              <w:rPr>
                                <w:rFonts w:hint="eastAsia" w:ascii="黑体" w:hAnsi="黑体" w:eastAsia="黑体"/>
                                <w:szCs w:val="21"/>
                              </w:rPr>
                              <w:t xml:space="preserve"> </w:t>
                            </w:r>
                            <w:r>
                              <w:rPr>
                                <w:rFonts w:ascii="黑体" w:hAnsi="黑体" w:eastAsia="黑体"/>
                                <w:szCs w:val="21"/>
                              </w:rPr>
                              <w:t xml:space="preserve">                                </w:t>
                            </w:r>
                            <w:r>
                              <w:rPr>
                                <w:rFonts w:hint="eastAsia" w:ascii="黑体" w:hAnsi="黑体" w:eastAsia="黑体"/>
                                <w:szCs w:val="21"/>
                              </w:rPr>
                              <w:t xml:space="preserve">       </w:t>
                            </w:r>
                          </w:p>
                        </w:txbxContent>
                      </wps:txbx>
                      <wps:bodyPr rot="0" vert="horz" wrap="square" lIns="0" tIns="0" rIns="0" bIns="0" anchor="t" anchorCtr="0" upright="1">
                        <a:noAutofit/>
                      </wps:bodyPr>
                    </wps:wsp>
                  </a:graphicData>
                </a:graphic>
              </wp:anchor>
            </w:drawing>
          </mc:Choice>
          <mc:Fallback>
            <w:pict>
              <v:shape id="文本框 5" o:spid="_x0000_s1026" o:spt="202" type="#_x0000_t202" style="position:absolute;left:0pt;margin-left:13.5pt;margin-top:145.2pt;height:58.15pt;width:420.75pt;mso-position-horizontal-relative:margin;mso-position-vertical-relative:margin;z-index:251666432;mso-width-relative:page;mso-height-relative:page;" fillcolor="#FFFFFF" filled="t" stroked="f" coordsize="21600,21600" o:gfxdata="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Q3ZJJ9oAAAAKAQAADwAAAAAAAAABACAAAAAiAAAAZHJzL2Rvd25yZXYueG1sUEsBAhQA&#10;FAAAAAgAh07iQPyOOa4pAgAANwQAAA4AAAAAAAAAAQAgAAAAKQEAAGRycy9lMm9Eb2MueG1sUEsF&#10;BgAAAAAGAAYAWQEAAMQFAAAAAA==&#10;">
                <v:fill on="t" focussize="0,0"/>
                <v:stroke on="f"/>
                <v:imagedata o:title=""/>
                <o:lock v:ext="edit" aspectratio="f"/>
                <v:textbox inset="0mm,0mm,0mm,0mm">
                  <w:txbxContent>
                    <w:p w14:paraId="2AD0BC39">
                      <w:pPr>
                        <w:pStyle w:val="97"/>
                        <w:spacing w:before="180" w:line="320" w:lineRule="exact"/>
                        <w:rPr>
                          <w:rFonts w:ascii="黑体" w:hAnsi="黑体" w:eastAsia="黑体"/>
                          <w:szCs w:val="28"/>
                        </w:rPr>
                      </w:pPr>
                      <w:r>
                        <w:rPr>
                          <w:rFonts w:hint="eastAsia" w:ascii="黑体" w:hAnsi="黑体" w:eastAsia="黑体"/>
                          <w:szCs w:val="28"/>
                        </w:rPr>
                        <w:t>X</w:t>
                      </w:r>
                      <w:r>
                        <w:rPr>
                          <w:rFonts w:ascii="黑体" w:hAnsi="黑体" w:eastAsia="黑体"/>
                          <w:szCs w:val="28"/>
                        </w:rPr>
                        <w:t>B/T XXX-20</w:t>
                      </w:r>
                      <w:r>
                        <w:rPr>
                          <w:rFonts w:hint="eastAsia" w:ascii="黑体" w:hAnsi="黑体" w:eastAsia="黑体"/>
                          <w:szCs w:val="28"/>
                        </w:rPr>
                        <w:t>2</w:t>
                      </w:r>
                      <w:r>
                        <w:rPr>
                          <w:rFonts w:ascii="黑体" w:hAnsi="黑体" w:eastAsia="黑体"/>
                          <w:szCs w:val="28"/>
                        </w:rPr>
                        <w:t>X</w:t>
                      </w:r>
                    </w:p>
                    <w:p w14:paraId="34171756">
                      <w:pPr>
                        <w:pStyle w:val="144"/>
                        <w:spacing w:line="230" w:lineRule="exact"/>
                        <w:rPr>
                          <w:rFonts w:ascii="黑体" w:hAnsi="黑体" w:eastAsia="黑体"/>
                          <w:szCs w:val="21"/>
                        </w:rPr>
                      </w:pPr>
                      <w:r>
                        <w:rPr>
                          <w:rFonts w:hint="eastAsia" w:ascii="黑体" w:hAnsi="黑体" w:eastAsia="黑体"/>
                          <w:szCs w:val="21"/>
                        </w:rPr>
                        <w:t xml:space="preserve"> </w:t>
                      </w:r>
                      <w:r>
                        <w:rPr>
                          <w:rFonts w:ascii="黑体" w:hAnsi="黑体" w:eastAsia="黑体"/>
                          <w:szCs w:val="21"/>
                        </w:rPr>
                        <w:t xml:space="preserve">                                </w:t>
                      </w:r>
                      <w:r>
                        <w:rPr>
                          <w:rFonts w:hint="eastAsia" w:ascii="黑体" w:hAnsi="黑体" w:eastAsia="黑体"/>
                          <w:szCs w:val="21"/>
                        </w:rPr>
                        <w:t xml:space="preserve">       </w:t>
                      </w:r>
                    </w:p>
                  </w:txbxContent>
                </v:textbox>
                <w10:anchorlock/>
              </v:shape>
            </w:pict>
          </mc:Fallback>
        </mc:AlternateContent>
      </w:r>
      <w:r>
        <w:rPr>
          <w:color w:val="000000"/>
          <w:sz w:val="44"/>
        </w:rPr>
        <w:t xml:space="preserve"> </w:t>
      </w:r>
    </w:p>
    <w:p w14:paraId="17F90799">
      <w:pPr>
        <w:adjustRightInd w:val="0"/>
        <w:snapToGrid w:val="0"/>
        <w:ind w:firstLine="880"/>
        <w:rPr>
          <w:color w:val="000000"/>
          <w:sz w:val="44"/>
        </w:rPr>
      </w:pPr>
      <w:r>
        <w:rPr>
          <w:color w:val="000000"/>
          <w:sz w:val="44"/>
        </w:rPr>
        <mc:AlternateContent>
          <mc:Choice Requires="wps">
            <w:drawing>
              <wp:anchor distT="0" distB="0" distL="114300" distR="114300" simplePos="0" relativeHeight="251667456" behindDoc="0" locked="0" layoutInCell="1" allowOverlap="1">
                <wp:simplePos x="0" y="0"/>
                <wp:positionH relativeFrom="column">
                  <wp:posOffset>-162560</wp:posOffset>
                </wp:positionH>
                <wp:positionV relativeFrom="paragraph">
                  <wp:posOffset>1905</wp:posOffset>
                </wp:positionV>
                <wp:extent cx="5831840" cy="9525"/>
                <wp:effectExtent l="0" t="0" r="35560" b="28575"/>
                <wp:wrapNone/>
                <wp:docPr id="1425926045"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831840" cy="9525"/>
                        </a:xfrm>
                        <a:prstGeom prst="line">
                          <a:avLst/>
                        </a:prstGeom>
                        <a:noFill/>
                        <a:ln w="12700">
                          <a:solidFill>
                            <a:srgbClr val="000000"/>
                          </a:solidFill>
                          <a:round/>
                        </a:ln>
                      </wps:spPr>
                      <wps:bodyPr/>
                    </wps:wsp>
                  </a:graphicData>
                </a:graphic>
              </wp:anchor>
            </w:drawing>
          </mc:Choice>
          <mc:Fallback>
            <w:pict>
              <v:line id="直接连接符 6" o:spid="_x0000_s1026" o:spt="20" style="position:absolute;left:0pt;margin-left:-12.8pt;margin-top:0.15pt;height:0.75pt;width:459.2pt;z-index:251667456;mso-width-relative:page;mso-height-relative:page;" filled="f" stroked="t" coordsize="21600,21600" o:gfxdata="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IyYce1gAAAAYBAAAPAAAAAAAAAAEAIAAAACIAAABkcnMvZG93bnJldi54bWxQSwECFAAUAAAA&#10;CACHTuJAEfbAnfABAAC3AwAADgAAAAAAAAABACAAAAAlAQAAZHJzL2Uyb0RvYy54bWxQSwUGAAAA&#10;AAYABgBZAQAAhwUAAAAA&#10;">
                <v:fill on="f" focussize="0,0"/>
                <v:stroke weight="1pt" color="#000000" joinstyle="round"/>
                <v:imagedata o:title=""/>
                <o:lock v:ext="edit" aspectratio="f"/>
              </v:line>
            </w:pict>
          </mc:Fallback>
        </mc:AlternateContent>
      </w:r>
    </w:p>
    <w:p w14:paraId="1E16E80E">
      <w:pPr>
        <w:adjustRightInd w:val="0"/>
        <w:snapToGrid w:val="0"/>
        <w:ind w:firstLine="880"/>
        <w:jc w:val="center"/>
        <w:rPr>
          <w:color w:val="000000"/>
          <w:sz w:val="44"/>
        </w:rPr>
      </w:pPr>
    </w:p>
    <w:p w14:paraId="6C2C1FE8">
      <w:pPr>
        <w:adjustRightInd w:val="0"/>
        <w:snapToGrid w:val="0"/>
        <w:jc w:val="center"/>
        <w:rPr>
          <w:rFonts w:ascii="黑体" w:hAnsi="黑体" w:eastAsia="黑体"/>
          <w:color w:val="000000"/>
          <w:sz w:val="52"/>
          <w:szCs w:val="52"/>
        </w:rPr>
      </w:pPr>
    </w:p>
    <w:p w14:paraId="49E61E5D">
      <w:pPr>
        <w:adjustRightInd w:val="0"/>
        <w:snapToGrid w:val="0"/>
        <w:jc w:val="center"/>
        <w:rPr>
          <w:rFonts w:ascii="黑体" w:hAnsi="黑体" w:eastAsia="黑体"/>
          <w:color w:val="000000"/>
          <w:sz w:val="52"/>
          <w:szCs w:val="52"/>
        </w:rPr>
      </w:pPr>
    </w:p>
    <w:p w14:paraId="240EBC58">
      <w:pPr>
        <w:adjustRightInd w:val="0"/>
        <w:snapToGrid w:val="0"/>
        <w:jc w:val="center"/>
        <w:rPr>
          <w:rFonts w:ascii="黑体" w:hAnsi="黑体" w:eastAsia="黑体"/>
          <w:color w:val="000000"/>
          <w:sz w:val="52"/>
          <w:szCs w:val="52"/>
        </w:rPr>
      </w:pPr>
      <w:r>
        <w:rPr>
          <w:rFonts w:hint="eastAsia" w:ascii="黑体" w:hAnsi="黑体" w:eastAsia="黑体"/>
          <w:color w:val="000000"/>
          <w:sz w:val="52"/>
          <w:szCs w:val="52"/>
        </w:rPr>
        <w:t>温室气体排放核算与报告要求</w:t>
      </w:r>
    </w:p>
    <w:p w14:paraId="620D8761">
      <w:pPr>
        <w:adjustRightInd w:val="0"/>
        <w:snapToGrid w:val="0"/>
        <w:jc w:val="center"/>
        <w:rPr>
          <w:rFonts w:ascii="黑体" w:hAnsi="黑体" w:eastAsia="黑体"/>
          <w:color w:val="000000"/>
          <w:sz w:val="52"/>
          <w:szCs w:val="52"/>
        </w:rPr>
      </w:pPr>
      <w:r>
        <w:rPr>
          <w:rFonts w:hint="eastAsia" w:ascii="黑体" w:hAnsi="黑体" w:eastAsia="黑体"/>
          <w:color w:val="000000"/>
          <w:sz w:val="52"/>
          <w:szCs w:val="52"/>
        </w:rPr>
        <w:t>稀土抛光粉生产企业</w:t>
      </w:r>
    </w:p>
    <w:p w14:paraId="32CD07C8">
      <w:pPr>
        <w:adjustRightInd w:val="0"/>
        <w:snapToGrid w:val="0"/>
        <w:ind w:firstLine="880"/>
        <w:jc w:val="center"/>
        <w:rPr>
          <w:color w:val="000000"/>
          <w:sz w:val="44"/>
        </w:rPr>
      </w:pPr>
    </w:p>
    <w:p w14:paraId="68565B10">
      <w:pPr>
        <w:adjustRightInd w:val="0"/>
        <w:snapToGrid w:val="0"/>
        <w:spacing w:line="312" w:lineRule="auto"/>
        <w:jc w:val="center"/>
        <w:rPr>
          <w:color w:val="000000"/>
          <w:sz w:val="28"/>
          <w:szCs w:val="28"/>
        </w:rPr>
      </w:pPr>
      <w:r>
        <w:rPr>
          <w:color w:val="000000"/>
          <w:sz w:val="28"/>
          <w:szCs w:val="28"/>
        </w:rPr>
        <w:t>Requirements of the greenhouse gas emissions accounting and reporting— Rare earth polishing powder production enterprises</w:t>
      </w:r>
    </w:p>
    <w:p w14:paraId="7290B21E">
      <w:pPr>
        <w:adjustRightInd w:val="0"/>
        <w:snapToGrid w:val="0"/>
        <w:jc w:val="center"/>
        <w:rPr>
          <w:color w:val="000000"/>
          <w:sz w:val="28"/>
          <w:szCs w:val="28"/>
        </w:rPr>
      </w:pPr>
    </w:p>
    <w:p w14:paraId="368CA29E">
      <w:pPr>
        <w:adjustRightInd w:val="0"/>
        <w:snapToGrid w:val="0"/>
        <w:jc w:val="center"/>
        <w:rPr>
          <w:rFonts w:ascii="宋体" w:hAnsi="宋体" w:cs="宋体"/>
          <w:color w:val="000000"/>
          <w:sz w:val="32"/>
          <w:szCs w:val="32"/>
        </w:rPr>
      </w:pPr>
      <w:r>
        <w:rPr>
          <w:rFonts w:hint="eastAsia" w:ascii="宋体" w:hAnsi="宋体" w:cs="宋体"/>
          <w:color w:val="000000"/>
          <w:sz w:val="32"/>
          <w:szCs w:val="32"/>
        </w:rPr>
        <w:t>(预审稿)</w:t>
      </w:r>
    </w:p>
    <w:p w14:paraId="722B53C3">
      <w:pPr>
        <w:adjustRightInd w:val="0"/>
        <w:snapToGrid w:val="0"/>
        <w:jc w:val="center"/>
        <w:rPr>
          <w:color w:val="000000"/>
          <w:sz w:val="30"/>
        </w:rPr>
      </w:pPr>
    </w:p>
    <w:p w14:paraId="47078F36">
      <w:pPr>
        <w:adjustRightInd w:val="0"/>
        <w:snapToGrid w:val="0"/>
        <w:jc w:val="center"/>
        <w:rPr>
          <w:color w:val="000000"/>
          <w:sz w:val="30"/>
        </w:rPr>
      </w:pPr>
    </w:p>
    <w:p w14:paraId="462AAAC3">
      <w:pPr>
        <w:adjustRightInd w:val="0"/>
        <w:snapToGrid w:val="0"/>
        <w:jc w:val="center"/>
        <w:rPr>
          <w:color w:val="000000"/>
          <w:sz w:val="30"/>
        </w:rPr>
      </w:pPr>
    </w:p>
    <w:p w14:paraId="1AAAEC59">
      <w:pPr>
        <w:adjustRightInd w:val="0"/>
        <w:snapToGrid w:val="0"/>
        <w:jc w:val="center"/>
        <w:rPr>
          <w:color w:val="000000"/>
          <w:sz w:val="30"/>
        </w:rPr>
      </w:pPr>
    </w:p>
    <w:p w14:paraId="7C73D6CE">
      <w:pPr>
        <w:adjustRightInd w:val="0"/>
        <w:snapToGrid w:val="0"/>
        <w:jc w:val="center"/>
        <w:rPr>
          <w:color w:val="000000"/>
          <w:sz w:val="30"/>
        </w:rPr>
      </w:pPr>
    </w:p>
    <w:p w14:paraId="67F556D6">
      <w:pPr>
        <w:adjustRightInd w:val="0"/>
        <w:snapToGrid w:val="0"/>
        <w:jc w:val="center"/>
        <w:rPr>
          <w:color w:val="000000"/>
          <w:sz w:val="30"/>
        </w:rPr>
      </w:pPr>
    </w:p>
    <w:p w14:paraId="6726E9C8">
      <w:pPr>
        <w:adjustRightInd w:val="0"/>
        <w:snapToGrid w:val="0"/>
        <w:jc w:val="center"/>
        <w:rPr>
          <w:color w:val="000000"/>
          <w:sz w:val="30"/>
        </w:rPr>
      </w:pPr>
    </w:p>
    <w:p w14:paraId="4C812B10">
      <w:pPr>
        <w:adjustRightInd w:val="0"/>
        <w:snapToGrid w:val="0"/>
        <w:jc w:val="center"/>
        <w:rPr>
          <w:color w:val="000000"/>
          <w:sz w:val="30"/>
        </w:rPr>
      </w:pPr>
    </w:p>
    <w:p w14:paraId="45B9AE33">
      <w:pPr>
        <w:adjustRightInd w:val="0"/>
        <w:snapToGrid w:val="0"/>
        <w:jc w:val="center"/>
        <w:rPr>
          <w:color w:val="000000"/>
          <w:sz w:val="30"/>
        </w:rPr>
      </w:pPr>
    </w:p>
    <w:p w14:paraId="66F73C0F">
      <w:pPr>
        <w:adjustRightInd w:val="0"/>
        <w:snapToGrid w:val="0"/>
        <w:jc w:val="center"/>
        <w:rPr>
          <w:color w:val="000000"/>
          <w:sz w:val="30"/>
        </w:rPr>
      </w:pPr>
    </w:p>
    <w:p w14:paraId="7EA3E7F0">
      <w:pPr>
        <w:adjustRightInd w:val="0"/>
        <w:snapToGrid w:val="0"/>
        <w:jc w:val="center"/>
        <w:rPr>
          <w:color w:val="000000"/>
          <w:sz w:val="30"/>
        </w:rPr>
      </w:pPr>
    </w:p>
    <w:p w14:paraId="67231C16">
      <w:pPr>
        <w:adjustRightInd w:val="0"/>
        <w:snapToGrid w:val="0"/>
        <w:jc w:val="center"/>
        <w:rPr>
          <w:color w:val="000000"/>
          <w:sz w:val="30"/>
        </w:rPr>
      </w:pPr>
    </w:p>
    <w:p w14:paraId="378C81F6">
      <w:pPr>
        <w:adjustRightInd w:val="0"/>
        <w:snapToGrid w:val="0"/>
        <w:rPr>
          <w:rFonts w:eastAsia="黑体"/>
          <w:color w:val="000000"/>
          <w:sz w:val="28"/>
          <w:u w:val="single"/>
        </w:rPr>
      </w:pPr>
      <w:r>
        <w:rPr>
          <w:rFonts w:eastAsia="黑体"/>
          <w:color w:val="000000"/>
          <w:sz w:val="28"/>
          <w:u w:val="single"/>
        </w:rPr>
        <w:t>××××－××－××发布                        ××××－××－××实施</w:t>
      </w:r>
    </w:p>
    <w:p w14:paraId="7FB847BD">
      <w:pPr>
        <w:adjustRightInd w:val="0"/>
        <w:snapToGrid w:val="0"/>
        <w:jc w:val="center"/>
        <w:rPr>
          <w:rFonts w:eastAsia="黑体"/>
          <w:color w:val="000000"/>
          <w:sz w:val="28"/>
          <w:szCs w:val="28"/>
        </w:rPr>
        <w:sectPr>
          <w:footerReference r:id="rId3" w:type="default"/>
          <w:footerReference r:id="rId4" w:type="even"/>
          <w:pgSz w:w="11906" w:h="16838"/>
          <w:pgMar w:top="1134" w:right="1134" w:bottom="1440" w:left="1417" w:header="851" w:footer="992" w:gutter="0"/>
          <w:pgNumType w:fmt="upperRoman" w:start="1"/>
          <w:cols w:space="720" w:num="1"/>
          <w:docGrid w:type="lines" w:linePitch="312" w:charSpace="0"/>
        </w:sectPr>
      </w:pPr>
      <w:r>
        <w:rPr>
          <w:rFonts w:eastAsia="黑体"/>
          <w:b/>
          <w:bCs/>
          <w:color w:val="000000"/>
          <w:sz w:val="32"/>
          <w:szCs w:val="32"/>
        </w:rPr>
        <w:t>中华人民共和国工业和信息化部</w:t>
      </w:r>
      <w:r>
        <w:rPr>
          <w:rFonts w:eastAsia="黑体"/>
          <w:color w:val="000000"/>
          <w:sz w:val="30"/>
        </w:rPr>
        <w:t xml:space="preserve"> </w:t>
      </w:r>
      <w:r>
        <w:rPr>
          <w:rFonts w:eastAsia="黑体"/>
          <w:color w:val="000000"/>
          <w:sz w:val="28"/>
          <w:szCs w:val="28"/>
        </w:rPr>
        <w:t>发布</w:t>
      </w:r>
    </w:p>
    <w:p w14:paraId="6C922B54">
      <w:pPr>
        <w:spacing w:before="640" w:after="560" w:line="400" w:lineRule="exact"/>
        <w:jc w:val="center"/>
        <w:outlineLvl w:val="0"/>
        <w:rPr>
          <w:rFonts w:ascii="宋体" w:hAnsi="宋体"/>
        </w:rPr>
      </w:pPr>
      <w:r>
        <w:rPr>
          <w:rFonts w:hint="eastAsia" w:ascii="黑体" w:hAnsi="黑体" w:eastAsia="黑体"/>
          <w:sz w:val="32"/>
        </w:rPr>
        <w:t>前    言</w:t>
      </w:r>
      <w:bookmarkEnd w:id="2"/>
    </w:p>
    <w:p w14:paraId="5F1EE3CE">
      <w:pPr>
        <w:spacing w:line="360" w:lineRule="exact"/>
        <w:ind w:firstLine="420" w:firstLineChars="200"/>
        <w:rPr>
          <w:rFonts w:ascii="宋体" w:hAnsi="宋体"/>
          <w:szCs w:val="21"/>
          <w:lang w:val="zh-CN"/>
        </w:rPr>
      </w:pPr>
      <w:r>
        <w:rPr>
          <w:rFonts w:hint="eastAsia" w:ascii="宋体" w:hAnsi="宋体"/>
          <w:szCs w:val="21"/>
          <w:lang w:val="zh-CN"/>
        </w:rPr>
        <w:t>本</w:t>
      </w:r>
      <w:r>
        <w:rPr>
          <w:rFonts w:hint="eastAsia" w:ascii="宋体" w:hAnsi="宋体"/>
          <w:szCs w:val="21"/>
        </w:rPr>
        <w:t>文件</w:t>
      </w:r>
      <w:r>
        <w:rPr>
          <w:rFonts w:hint="eastAsia" w:ascii="宋体" w:hAnsi="宋体"/>
          <w:szCs w:val="21"/>
          <w:lang w:val="zh-CN"/>
        </w:rPr>
        <w:t>按照GB/T 1.1-2020《</w:t>
      </w:r>
      <w:r>
        <w:rPr>
          <w:rFonts w:hint="eastAsia" w:ascii="宋体" w:hAnsi="宋体"/>
          <w:szCs w:val="21"/>
        </w:rPr>
        <w:t>标准化工作导则 第1部分：标准化文件的结构和起草规则</w:t>
      </w:r>
      <w:r>
        <w:rPr>
          <w:rFonts w:hint="eastAsia" w:ascii="宋体" w:hAnsi="宋体"/>
          <w:szCs w:val="21"/>
          <w:lang w:val="zh-CN"/>
        </w:rPr>
        <w:t>》的规</w:t>
      </w:r>
      <w:r>
        <w:rPr>
          <w:rFonts w:hint="eastAsia" w:ascii="宋体" w:hAnsi="宋体"/>
          <w:szCs w:val="21"/>
        </w:rPr>
        <w:t>定</w:t>
      </w:r>
      <w:r>
        <w:rPr>
          <w:rFonts w:hint="eastAsia" w:ascii="宋体" w:hAnsi="宋体"/>
          <w:szCs w:val="21"/>
          <w:lang w:val="zh-CN"/>
        </w:rPr>
        <w:t>起草。</w:t>
      </w:r>
    </w:p>
    <w:p w14:paraId="60B1C750">
      <w:pPr>
        <w:spacing w:line="360" w:lineRule="exact"/>
        <w:ind w:firstLine="420" w:firstLineChars="200"/>
        <w:rPr>
          <w:rFonts w:ascii="宋体" w:hAnsi="宋体"/>
          <w:szCs w:val="21"/>
          <w:lang w:val="zh-CN"/>
        </w:rPr>
      </w:pPr>
      <w:r>
        <w:rPr>
          <w:rFonts w:hint="eastAsia" w:ascii="宋体" w:hAnsi="宋体"/>
          <w:szCs w:val="21"/>
          <w:lang w:val="zh-CN"/>
        </w:rPr>
        <w:t>请注意本文件的有些内容可能涉及专利。本文件的发布机构不承担识别专利的责任。</w:t>
      </w:r>
    </w:p>
    <w:p w14:paraId="1778098A">
      <w:pPr>
        <w:adjustRightInd w:val="0"/>
        <w:snapToGrid w:val="0"/>
        <w:spacing w:line="360" w:lineRule="exact"/>
        <w:ind w:firstLine="420" w:firstLineChars="200"/>
        <w:rPr>
          <w:rFonts w:ascii="宋体" w:hAnsi="宋体"/>
          <w:szCs w:val="21"/>
          <w:lang w:val="zh-CN"/>
        </w:rPr>
      </w:pPr>
      <w:r>
        <w:rPr>
          <w:rFonts w:hint="eastAsia" w:ascii="宋体" w:hAnsi="宋体"/>
          <w:szCs w:val="21"/>
          <w:lang w:val="zh-CN"/>
        </w:rPr>
        <w:t>本文件由全国稀土标准化技术委员会</w:t>
      </w:r>
      <w:r>
        <w:rPr>
          <w:rFonts w:ascii="宋体" w:hAnsi="宋体"/>
          <w:szCs w:val="21"/>
          <w:lang w:val="zh-CN"/>
        </w:rPr>
        <w:t>(SAC/TC 229)</w:t>
      </w:r>
      <w:r>
        <w:rPr>
          <w:rFonts w:hint="eastAsia" w:ascii="宋体" w:hAnsi="宋体"/>
          <w:szCs w:val="21"/>
          <w:lang w:val="zh-CN"/>
        </w:rPr>
        <w:t>提出并归口。</w:t>
      </w:r>
    </w:p>
    <w:p w14:paraId="3A20EC64">
      <w:pPr>
        <w:spacing w:line="360" w:lineRule="exact"/>
        <w:ind w:firstLine="420" w:firstLineChars="200"/>
        <w:rPr>
          <w:rFonts w:ascii="宋体" w:hAnsi="宋体"/>
          <w:szCs w:val="21"/>
          <w:lang w:val="zh-CN"/>
        </w:rPr>
      </w:pPr>
      <w:r>
        <w:rPr>
          <w:rFonts w:hint="eastAsia" w:ascii="宋体" w:hAnsi="宋体"/>
          <w:szCs w:val="21"/>
          <w:lang w:val="zh-CN"/>
        </w:rPr>
        <w:t>本文件起草单位：</w:t>
      </w:r>
      <w:r>
        <w:rPr>
          <w:rFonts w:ascii="宋体" w:hAnsi="宋体"/>
          <w:szCs w:val="21"/>
          <w:lang w:val="zh-CN"/>
        </w:rPr>
        <w:t xml:space="preserve"> </w:t>
      </w:r>
      <w:r>
        <w:rPr>
          <w:rFonts w:hint="eastAsia" w:ascii="宋体" w:hAnsi="宋体"/>
          <w:szCs w:val="21"/>
          <w:lang w:val="zh-CN"/>
        </w:rPr>
        <w:t>有研稀土新材料股份有限公司、包头天骄清美稀土抛光粉有限公司、淄博包钢灵芝稀土高科技股份有限公司、甘肃稀土新材料股份有限公司、包头稀土研究院、上海华明高纳稀土新材料有限公司、中国北方稀土（集团）高科技股份有限公司、赣州湛海新材料科技有限公司等</w:t>
      </w:r>
    </w:p>
    <w:p w14:paraId="1533109B">
      <w:pPr>
        <w:spacing w:line="360" w:lineRule="exact"/>
        <w:ind w:firstLine="420" w:firstLineChars="200"/>
        <w:rPr>
          <w:rFonts w:ascii="宋体" w:hAnsi="宋体"/>
          <w:szCs w:val="21"/>
          <w:lang w:val="zh-CN"/>
        </w:rPr>
      </w:pPr>
      <w:r>
        <w:rPr>
          <w:rFonts w:hint="eastAsia" w:ascii="宋体" w:hAnsi="宋体"/>
          <w:szCs w:val="21"/>
          <w:lang w:val="zh-CN"/>
        </w:rPr>
        <w:t xml:space="preserve">本文件主要起草人： </w:t>
      </w:r>
    </w:p>
    <w:p w14:paraId="67CF4668">
      <w:pPr>
        <w:spacing w:line="400" w:lineRule="exact"/>
        <w:rPr>
          <w:rFonts w:ascii="宋体" w:hAnsi="宋体"/>
          <w:b/>
          <w:bCs/>
        </w:rPr>
        <w:sectPr>
          <w:headerReference r:id="rId5" w:type="first"/>
          <w:footerReference r:id="rId6" w:type="default"/>
          <w:pgSz w:w="11906" w:h="16838"/>
          <w:pgMar w:top="1588" w:right="1134" w:bottom="1418" w:left="1418" w:header="1304" w:footer="1418" w:gutter="0"/>
          <w:pgNumType w:start="1" w:chapStyle="1"/>
          <w:cols w:space="720" w:num="1"/>
          <w:docGrid w:type="linesAndChars" w:linePitch="601" w:charSpace="0"/>
        </w:sectPr>
      </w:pPr>
    </w:p>
    <w:p w14:paraId="79048357">
      <w:pPr>
        <w:pStyle w:val="143"/>
        <w:framePr w:w="0" w:hRule="auto" w:wrap="auto" w:vAnchor="margin" w:hAnchor="text" w:xAlign="left" w:yAlign="inline"/>
        <w:adjustRightInd w:val="0"/>
        <w:snapToGrid w:val="0"/>
        <w:spacing w:line="567" w:lineRule="exact"/>
        <w:rPr>
          <w:rFonts w:hAnsi="黑体"/>
          <w:b/>
          <w:bCs/>
          <w:sz w:val="32"/>
        </w:rPr>
      </w:pPr>
      <w:r>
        <w:rPr>
          <w:rFonts w:hint="eastAsia" w:hAnsi="黑体"/>
          <w:b/>
          <w:bCs/>
          <w:sz w:val="32"/>
        </w:rPr>
        <w:t>温室气体排放核算与报告要求</w:t>
      </w:r>
    </w:p>
    <w:p w14:paraId="4D7FB414">
      <w:pPr>
        <w:pStyle w:val="143"/>
        <w:framePr w:w="0" w:hRule="auto" w:wrap="auto" w:vAnchor="margin" w:hAnchor="text" w:xAlign="left" w:yAlign="inline"/>
        <w:adjustRightInd w:val="0"/>
        <w:snapToGrid w:val="0"/>
        <w:spacing w:line="567" w:lineRule="exact"/>
        <w:rPr>
          <w:rFonts w:hAnsi="黑体"/>
          <w:b/>
          <w:bCs/>
          <w:sz w:val="32"/>
        </w:rPr>
      </w:pPr>
      <w:r>
        <w:rPr>
          <w:rFonts w:hint="eastAsia" w:hAnsi="黑体"/>
          <w:b/>
          <w:bCs/>
          <w:sz w:val="32"/>
        </w:rPr>
        <w:t>稀土抛光粉生产企业</w:t>
      </w:r>
    </w:p>
    <w:p w14:paraId="4384BB45">
      <w:pPr>
        <w:pStyle w:val="2"/>
        <w:spacing w:before="120" w:beforeLines="50" w:after="120" w:afterLines="50" w:line="360" w:lineRule="auto"/>
        <w:rPr>
          <w:rFonts w:eastAsia="黑体"/>
          <w:b w:val="0"/>
          <w:bCs w:val="0"/>
          <w:sz w:val="21"/>
          <w:szCs w:val="21"/>
        </w:rPr>
      </w:pPr>
      <w:bookmarkStart w:id="3" w:name="_Toc78716241"/>
      <w:r>
        <w:rPr>
          <w:rFonts w:eastAsia="黑体"/>
          <w:b w:val="0"/>
          <w:bCs w:val="0"/>
          <w:sz w:val="21"/>
          <w:szCs w:val="21"/>
        </w:rPr>
        <w:t xml:space="preserve">1 </w:t>
      </w:r>
      <w:r>
        <w:rPr>
          <w:rFonts w:hint="eastAsia" w:eastAsia="黑体"/>
          <w:b w:val="0"/>
          <w:bCs w:val="0"/>
          <w:sz w:val="21"/>
          <w:szCs w:val="21"/>
        </w:rPr>
        <w:t>范围</w:t>
      </w:r>
      <w:bookmarkEnd w:id="3"/>
    </w:p>
    <w:p w14:paraId="70980403">
      <w:pPr>
        <w:snapToGrid w:val="0"/>
        <w:spacing w:line="360" w:lineRule="auto"/>
        <w:ind w:firstLine="420" w:firstLineChars="200"/>
      </w:pPr>
      <w:bookmarkStart w:id="4" w:name="_Toc78716242"/>
      <w:r>
        <w:rPr>
          <w:rFonts w:hint="eastAsia"/>
        </w:rPr>
        <w:t>本文件规定了稀土抛光粉生产企业温室气体排放量的核算边界、计量与监</w:t>
      </w:r>
      <w:r>
        <w:t>/</w:t>
      </w:r>
      <w:r>
        <w:rPr>
          <w:rFonts w:hint="eastAsia"/>
        </w:rPr>
        <w:t>检测要求、核算步骤与核算方法、数据质量管理要求、报告内容和格式。</w:t>
      </w:r>
    </w:p>
    <w:p w14:paraId="17DD074F">
      <w:pPr>
        <w:spacing w:line="360" w:lineRule="auto"/>
        <w:ind w:firstLine="420" w:firstLineChars="200"/>
      </w:pPr>
      <w:r>
        <w:rPr>
          <w:rFonts w:hint="eastAsia"/>
        </w:rPr>
        <w:t>本文件适用于稀土抛光粉生产企业温室气体排放量的核算和报告。</w:t>
      </w:r>
    </w:p>
    <w:p w14:paraId="3006B54C">
      <w:pPr>
        <w:pStyle w:val="2"/>
        <w:spacing w:before="120" w:beforeLines="50" w:after="120" w:afterLines="50" w:line="360" w:lineRule="auto"/>
        <w:rPr>
          <w:rFonts w:eastAsia="黑体"/>
          <w:b w:val="0"/>
          <w:bCs w:val="0"/>
          <w:sz w:val="21"/>
          <w:szCs w:val="21"/>
        </w:rPr>
      </w:pPr>
      <w:r>
        <w:rPr>
          <w:rFonts w:eastAsia="黑体"/>
          <w:b w:val="0"/>
          <w:bCs w:val="0"/>
          <w:sz w:val="21"/>
          <w:szCs w:val="21"/>
        </w:rPr>
        <w:t xml:space="preserve">2 </w:t>
      </w:r>
      <w:r>
        <w:rPr>
          <w:rFonts w:hint="eastAsia" w:eastAsia="黑体"/>
          <w:b w:val="0"/>
          <w:bCs w:val="0"/>
          <w:sz w:val="21"/>
          <w:szCs w:val="21"/>
        </w:rPr>
        <w:t>规范性引用文件</w:t>
      </w:r>
      <w:bookmarkEnd w:id="4"/>
    </w:p>
    <w:p w14:paraId="06B342F9">
      <w:pPr>
        <w:spacing w:line="360" w:lineRule="auto"/>
        <w:ind w:firstLine="420" w:firstLineChars="200"/>
        <w:rPr>
          <w:kern w:val="0"/>
          <w:szCs w:val="20"/>
        </w:rPr>
      </w:pPr>
      <w:r>
        <w:rPr>
          <w:rFonts w:hint="eastAsia"/>
          <w:kern w:val="0"/>
          <w:szCs w:val="20"/>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42F68D3">
      <w:pPr>
        <w:spacing w:line="360" w:lineRule="auto"/>
        <w:ind w:firstLine="420" w:firstLineChars="200"/>
        <w:rPr>
          <w:kern w:val="0"/>
          <w:szCs w:val="20"/>
        </w:rPr>
      </w:pPr>
      <w:bookmarkStart w:id="5" w:name="_Toc78716243"/>
      <w:r>
        <w:rPr>
          <w:kern w:val="0"/>
          <w:szCs w:val="20"/>
        </w:rPr>
        <w:t>GB/T 213 煤的发热量测定方法</w:t>
      </w:r>
    </w:p>
    <w:p w14:paraId="083C9BF0">
      <w:pPr>
        <w:spacing w:line="360" w:lineRule="auto"/>
        <w:ind w:firstLine="420" w:firstLineChars="200"/>
        <w:rPr>
          <w:kern w:val="0"/>
          <w:szCs w:val="20"/>
        </w:rPr>
      </w:pPr>
      <w:r>
        <w:rPr>
          <w:kern w:val="0"/>
          <w:szCs w:val="20"/>
        </w:rPr>
        <w:t>GB/T 384 石油产品热值测定法</w:t>
      </w:r>
    </w:p>
    <w:p w14:paraId="12F93D1A">
      <w:pPr>
        <w:spacing w:line="360" w:lineRule="auto"/>
        <w:ind w:firstLine="420" w:firstLineChars="200"/>
        <w:rPr>
          <w:kern w:val="0"/>
          <w:szCs w:val="20"/>
        </w:rPr>
      </w:pPr>
      <w:r>
        <w:rPr>
          <w:kern w:val="0"/>
          <w:szCs w:val="20"/>
        </w:rPr>
        <w:t>GB/T 6422</w:t>
      </w:r>
      <w:r>
        <w:rPr>
          <w:rFonts w:hint="eastAsia"/>
          <w:kern w:val="0"/>
          <w:szCs w:val="20"/>
        </w:rPr>
        <w:t xml:space="preserve"> 用能设备能量测试导则</w:t>
      </w:r>
    </w:p>
    <w:p w14:paraId="6F6B3188">
      <w:pPr>
        <w:spacing w:line="360" w:lineRule="auto"/>
        <w:ind w:firstLine="420" w:firstLineChars="200"/>
        <w:rPr>
          <w:kern w:val="0"/>
          <w:szCs w:val="20"/>
        </w:rPr>
      </w:pPr>
      <w:r>
        <w:rPr>
          <w:kern w:val="0"/>
          <w:szCs w:val="20"/>
        </w:rPr>
        <w:t xml:space="preserve">GB/T 15316 </w:t>
      </w:r>
      <w:r>
        <w:rPr>
          <w:rFonts w:hint="eastAsia"/>
          <w:kern w:val="0"/>
          <w:szCs w:val="20"/>
        </w:rPr>
        <w:t>节能监测技术通则</w:t>
      </w:r>
    </w:p>
    <w:p w14:paraId="47B825DB">
      <w:pPr>
        <w:spacing w:line="360" w:lineRule="auto"/>
        <w:ind w:firstLine="420" w:firstLineChars="200"/>
        <w:rPr>
          <w:kern w:val="0"/>
          <w:szCs w:val="20"/>
        </w:rPr>
      </w:pPr>
      <w:r>
        <w:rPr>
          <w:kern w:val="0"/>
          <w:szCs w:val="20"/>
        </w:rPr>
        <w:t>GB 17167 用能单位能源计量器具配备和管理通则</w:t>
      </w:r>
    </w:p>
    <w:p w14:paraId="1388DB0A">
      <w:pPr>
        <w:spacing w:line="360" w:lineRule="auto"/>
        <w:ind w:firstLine="420" w:firstLineChars="200"/>
        <w:rPr>
          <w:kern w:val="0"/>
          <w:szCs w:val="20"/>
        </w:rPr>
      </w:pPr>
      <w:r>
        <w:rPr>
          <w:kern w:val="0"/>
          <w:szCs w:val="20"/>
        </w:rPr>
        <w:t xml:space="preserve">GB/T 21367 </w:t>
      </w:r>
      <w:r>
        <w:rPr>
          <w:rFonts w:hint="eastAsia"/>
          <w:kern w:val="0"/>
          <w:szCs w:val="20"/>
        </w:rPr>
        <w:t>化工企业能源计量器具配备和管理要求</w:t>
      </w:r>
    </w:p>
    <w:p w14:paraId="3F5EAA19">
      <w:pPr>
        <w:spacing w:line="360" w:lineRule="auto"/>
        <w:ind w:firstLine="420" w:firstLineChars="200"/>
        <w:rPr>
          <w:kern w:val="0"/>
          <w:szCs w:val="20"/>
        </w:rPr>
      </w:pPr>
      <w:r>
        <w:rPr>
          <w:kern w:val="0"/>
          <w:szCs w:val="20"/>
        </w:rPr>
        <w:t>GB/T 22723 天然气能量的测定</w:t>
      </w:r>
    </w:p>
    <w:p w14:paraId="40DA9F4E">
      <w:pPr>
        <w:spacing w:line="360" w:lineRule="auto"/>
        <w:ind w:firstLine="420" w:firstLineChars="200"/>
        <w:rPr>
          <w:kern w:val="0"/>
          <w:szCs w:val="20"/>
        </w:rPr>
      </w:pPr>
      <w:r>
        <w:rPr>
          <w:kern w:val="0"/>
          <w:szCs w:val="20"/>
        </w:rPr>
        <w:t xml:space="preserve">GB/T 23111 </w:t>
      </w:r>
      <w:r>
        <w:rPr>
          <w:rFonts w:hint="eastAsia"/>
          <w:kern w:val="0"/>
          <w:szCs w:val="20"/>
        </w:rPr>
        <w:t>非自动衡器</w:t>
      </w:r>
    </w:p>
    <w:p w14:paraId="17D72D5C">
      <w:pPr>
        <w:spacing w:line="360" w:lineRule="auto"/>
        <w:ind w:firstLine="420" w:firstLineChars="200"/>
        <w:rPr>
          <w:kern w:val="0"/>
          <w:szCs w:val="20"/>
        </w:rPr>
      </w:pPr>
      <w:r>
        <w:rPr>
          <w:kern w:val="0"/>
          <w:szCs w:val="20"/>
        </w:rPr>
        <w:t xml:space="preserve">GB/T 24851 </w:t>
      </w:r>
      <w:r>
        <w:rPr>
          <w:rFonts w:hint="eastAsia"/>
          <w:kern w:val="0"/>
          <w:szCs w:val="20"/>
        </w:rPr>
        <w:t>建筑材料行业能源计量器具配备和管理要求</w:t>
      </w:r>
    </w:p>
    <w:p w14:paraId="6893AC2A">
      <w:pPr>
        <w:spacing w:line="360" w:lineRule="auto"/>
        <w:ind w:firstLine="420" w:firstLineChars="200"/>
        <w:rPr>
          <w:kern w:val="0"/>
          <w:szCs w:val="20"/>
        </w:rPr>
      </w:pPr>
      <w:r>
        <w:rPr>
          <w:kern w:val="0"/>
          <w:szCs w:val="20"/>
        </w:rPr>
        <w:t xml:space="preserve">GB/T 32150 </w:t>
      </w:r>
      <w:r>
        <w:rPr>
          <w:rFonts w:hint="eastAsia"/>
          <w:kern w:val="0"/>
          <w:szCs w:val="20"/>
        </w:rPr>
        <w:t>工业企业温室气体排放核算和报告通则</w:t>
      </w:r>
    </w:p>
    <w:p w14:paraId="2500145B">
      <w:pPr>
        <w:pStyle w:val="2"/>
        <w:spacing w:before="120" w:beforeLines="50" w:after="120" w:afterLines="50" w:line="360" w:lineRule="auto"/>
        <w:rPr>
          <w:rFonts w:eastAsia="黑体"/>
          <w:b w:val="0"/>
          <w:bCs w:val="0"/>
          <w:sz w:val="21"/>
          <w:szCs w:val="21"/>
        </w:rPr>
      </w:pPr>
      <w:r>
        <w:rPr>
          <w:rFonts w:hint="eastAsia" w:eastAsia="黑体"/>
          <w:b w:val="0"/>
          <w:bCs w:val="0"/>
          <w:sz w:val="21"/>
          <w:szCs w:val="21"/>
        </w:rPr>
        <w:t>3 术语和定义</w:t>
      </w:r>
      <w:bookmarkEnd w:id="5"/>
    </w:p>
    <w:p w14:paraId="3A5563FF">
      <w:pPr>
        <w:pStyle w:val="84"/>
        <w:spacing w:line="360" w:lineRule="exact"/>
        <w:ind w:firstLine="400"/>
        <w:rPr>
          <w:rFonts w:ascii="Times New Roman" w:hAnsi="Times New Roman" w:eastAsia="宋体"/>
        </w:rPr>
      </w:pPr>
      <w:bookmarkStart w:id="6" w:name="_Toc78716264"/>
      <w:r>
        <w:rPr>
          <w:rFonts w:ascii="Times New Roman" w:hAnsi="Times New Roman" w:eastAsia="宋体" w:cs="Times New Roman"/>
        </w:rPr>
        <w:t>GB/T 32150</w:t>
      </w:r>
      <w:r>
        <w:rPr>
          <w:rFonts w:hint="eastAsia" w:ascii="Times New Roman" w:hAnsi="Times New Roman" w:eastAsia="宋体"/>
        </w:rPr>
        <w:t>界定的以及下列术语和定义适用于本文件。</w:t>
      </w:r>
    </w:p>
    <w:p w14:paraId="2AC380AC">
      <w:pPr>
        <w:pStyle w:val="3"/>
        <w:spacing w:before="0" w:after="0" w:line="360" w:lineRule="auto"/>
        <w:rPr>
          <w:rFonts w:ascii="Times New Roman" w:hAnsi="Times New Roman"/>
          <w:b w:val="0"/>
          <w:bCs w:val="0"/>
        </w:rPr>
      </w:pPr>
      <w:bookmarkStart w:id="7" w:name="_Toc78716244"/>
      <w:r>
        <w:rPr>
          <w:rFonts w:ascii="Times New Roman" w:hAnsi="Times New Roman"/>
          <w:b w:val="0"/>
          <w:bCs w:val="0"/>
        </w:rPr>
        <w:t xml:space="preserve">3.1 </w:t>
      </w:r>
    </w:p>
    <w:p w14:paraId="0DF37482">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温室气体</w:t>
      </w:r>
      <w:r>
        <w:rPr>
          <w:rFonts w:ascii="Times New Roman" w:hAnsi="Times New Roman"/>
          <w:b w:val="0"/>
          <w:bCs w:val="0"/>
        </w:rPr>
        <w:t xml:space="preserve"> greenhouse gas</w:t>
      </w:r>
      <w:r>
        <w:rPr>
          <w:rFonts w:hint="eastAsia" w:ascii="Times New Roman" w:hAnsi="Times New Roman"/>
          <w:b w:val="0"/>
          <w:bCs w:val="0"/>
        </w:rPr>
        <w:t>（GHG）</w:t>
      </w:r>
    </w:p>
    <w:p w14:paraId="750EA1DB">
      <w:pPr>
        <w:pStyle w:val="151"/>
        <w:spacing w:after="0" w:line="360" w:lineRule="auto"/>
        <w:ind w:firstLine="420" w:firstLineChars="200"/>
        <w:rPr>
          <w:rFonts w:ascii="Times New Roman" w:hAnsi="Times New Roman" w:cs="Times New Roman"/>
          <w:kern w:val="0"/>
          <w:szCs w:val="20"/>
          <w:lang w:val="en-US" w:eastAsia="zh-CN" w:bidi="ar-SA"/>
        </w:rPr>
      </w:pPr>
      <w:r>
        <w:rPr>
          <w:rFonts w:hint="eastAsia" w:ascii="Times New Roman" w:hAnsi="Times New Roman" w:cs="Times New Roman"/>
          <w:kern w:val="0"/>
          <w:szCs w:val="20"/>
          <w:lang w:val="en-US" w:eastAsia="zh-CN" w:bidi="ar-SA"/>
        </w:rPr>
        <w:t>大气层中自然存在的和由于人类活动产生的能够吸收和散发由地球表面、大气层和云层所产生的、波长在红外光谱内的辐射的气态成分。</w:t>
      </w:r>
    </w:p>
    <w:p w14:paraId="60A135AF">
      <w:pPr>
        <w:pStyle w:val="151"/>
        <w:spacing w:after="0" w:line="360" w:lineRule="auto"/>
        <w:ind w:firstLine="360" w:firstLineChars="200"/>
        <w:rPr>
          <w:rFonts w:ascii="Times New Roman" w:hAnsi="Times New Roman"/>
          <w:sz w:val="18"/>
          <w:szCs w:val="18"/>
        </w:rPr>
      </w:pPr>
      <w:r>
        <w:rPr>
          <w:rFonts w:hint="eastAsia" w:ascii="Times New Roman" w:hAnsi="Times New Roman"/>
          <w:sz w:val="18"/>
          <w:szCs w:val="18"/>
        </w:rPr>
        <w:t>注：本文件涉及的温室气体只包含二氧化碳（</w:t>
      </w:r>
      <w:r>
        <w:rPr>
          <w:rFonts w:ascii="Times New Roman" w:hAnsi="Times New Roman"/>
          <w:sz w:val="18"/>
          <w:szCs w:val="18"/>
        </w:rPr>
        <w:t>CO</w:t>
      </w:r>
      <w:r>
        <w:rPr>
          <w:rFonts w:ascii="Times New Roman" w:hAnsi="Times New Roman"/>
          <w:sz w:val="18"/>
          <w:szCs w:val="18"/>
          <w:vertAlign w:val="subscript"/>
        </w:rPr>
        <w:t>2</w:t>
      </w:r>
      <w:r>
        <w:rPr>
          <w:rFonts w:hint="eastAsia" w:ascii="Times New Roman" w:hAnsi="Times New Roman"/>
          <w:sz w:val="18"/>
          <w:szCs w:val="18"/>
        </w:rPr>
        <w:t>）。企业如存在甲烷（CH</w:t>
      </w:r>
      <w:r>
        <w:rPr>
          <w:rFonts w:hint="eastAsia" w:ascii="Times New Roman" w:hAnsi="Times New Roman"/>
          <w:sz w:val="18"/>
          <w:szCs w:val="18"/>
          <w:vertAlign w:val="subscript"/>
          <w:lang w:val="en-US" w:eastAsia="zh-CN"/>
        </w:rPr>
        <w:t>4</w:t>
      </w:r>
      <w:r>
        <w:rPr>
          <w:rFonts w:hint="eastAsia" w:ascii="Times New Roman" w:hAnsi="Times New Roman"/>
          <w:sz w:val="18"/>
          <w:szCs w:val="18"/>
        </w:rPr>
        <w:t>）、氧化亚氮（N</w:t>
      </w:r>
      <w:r>
        <w:rPr>
          <w:rFonts w:hint="eastAsia" w:ascii="Times New Roman" w:hAnsi="Times New Roman"/>
          <w:sz w:val="18"/>
          <w:szCs w:val="18"/>
          <w:vertAlign w:val="subscript"/>
          <w:lang w:val="en-US" w:eastAsia="zh-CN"/>
        </w:rPr>
        <w:t>2</w:t>
      </w:r>
      <w:r>
        <w:rPr>
          <w:rFonts w:hint="eastAsia" w:ascii="Times New Roman" w:hAnsi="Times New Roman"/>
          <w:sz w:val="18"/>
          <w:szCs w:val="18"/>
        </w:rPr>
        <w:t>O）等其他温室气体排放，应按照相应行业标准开展识别与核算。</w:t>
      </w:r>
    </w:p>
    <w:p w14:paraId="38F50983">
      <w:pPr>
        <w:pStyle w:val="151"/>
        <w:spacing w:after="0" w:line="360" w:lineRule="auto"/>
        <w:ind w:firstLine="420" w:firstLineChars="200"/>
        <w:rPr>
          <w:rFonts w:ascii="Times New Roman" w:hAnsi="Times New Roman"/>
        </w:rPr>
      </w:pPr>
      <w:r>
        <w:rPr>
          <w:rFonts w:ascii="Times New Roman" w:hAnsi="Times New Roman"/>
        </w:rPr>
        <w:t>[</w:t>
      </w:r>
      <w:r>
        <w:rPr>
          <w:rFonts w:hint="eastAsia" w:ascii="Times New Roman" w:hAnsi="Times New Roman"/>
        </w:rPr>
        <w:t>来源：</w:t>
      </w:r>
      <w:r>
        <w:rPr>
          <w:rFonts w:ascii="Times New Roman" w:hAnsi="Times New Roman"/>
        </w:rPr>
        <w:t>GB/T 32150 3.1，有修改]</w:t>
      </w:r>
    </w:p>
    <w:p w14:paraId="2E4FAFAF">
      <w:pPr>
        <w:pStyle w:val="3"/>
        <w:spacing w:before="0" w:after="0" w:line="360" w:lineRule="auto"/>
        <w:rPr>
          <w:rFonts w:ascii="Times New Roman" w:hAnsi="Times New Roman"/>
          <w:b w:val="0"/>
          <w:bCs w:val="0"/>
          <w:lang w:eastAsia="zh-TW"/>
        </w:rPr>
      </w:pPr>
      <w:r>
        <w:rPr>
          <w:rFonts w:ascii="Times New Roman" w:hAnsi="Times New Roman"/>
          <w:b w:val="0"/>
          <w:bCs w:val="0"/>
          <w:lang w:eastAsia="zh-TW"/>
        </w:rPr>
        <w:t xml:space="preserve">3.2 </w:t>
      </w:r>
    </w:p>
    <w:p w14:paraId="631C14C4">
      <w:pPr>
        <w:pStyle w:val="3"/>
        <w:spacing w:before="0" w:after="0" w:line="360" w:lineRule="auto"/>
        <w:ind w:firstLine="420" w:firstLineChars="200"/>
        <w:rPr>
          <w:rFonts w:ascii="Times New Roman" w:hAnsi="Times New Roman"/>
          <w:b w:val="0"/>
          <w:bCs w:val="0"/>
          <w:lang w:eastAsia="zh-TW"/>
        </w:rPr>
      </w:pPr>
      <w:r>
        <w:rPr>
          <w:rFonts w:hint="eastAsia" w:ascii="Times New Roman" w:hAnsi="Times New Roman"/>
          <w:b w:val="0"/>
          <w:bCs w:val="0"/>
          <w:lang w:eastAsia="zh-TW"/>
        </w:rPr>
        <w:t>温室气体排放</w:t>
      </w:r>
      <w:r>
        <w:rPr>
          <w:rFonts w:ascii="Times New Roman" w:hAnsi="Times New Roman"/>
          <w:b w:val="0"/>
          <w:bCs w:val="0"/>
          <w:lang w:eastAsia="zh-TW"/>
        </w:rPr>
        <w:t xml:space="preserve"> greenhouse gas emission</w:t>
      </w:r>
    </w:p>
    <w:p w14:paraId="62DD7CFE">
      <w:pPr>
        <w:snapToGrid w:val="0"/>
        <w:spacing w:line="360" w:lineRule="auto"/>
        <w:ind w:firstLine="420" w:firstLineChars="200"/>
        <w:rPr>
          <w:lang w:eastAsia="zh-TW"/>
        </w:rPr>
      </w:pPr>
      <w:r>
        <w:rPr>
          <w:rFonts w:hint="eastAsia"/>
          <w:lang w:eastAsia="zh-TW"/>
        </w:rPr>
        <w:t>向大气中释放温室气体的活动。</w:t>
      </w:r>
    </w:p>
    <w:p w14:paraId="57759D7B">
      <w:pPr>
        <w:snapToGrid w:val="0"/>
        <w:spacing w:line="360" w:lineRule="auto"/>
        <w:ind w:firstLine="420" w:firstLineChars="200"/>
        <w:rPr>
          <w:lang w:eastAsia="zh-TW"/>
        </w:rPr>
      </w:pPr>
      <w:r>
        <w:rPr>
          <w:lang w:eastAsia="zh-TW"/>
        </w:rPr>
        <w:t>[</w:t>
      </w:r>
      <w:r>
        <w:rPr>
          <w:rFonts w:hint="eastAsia"/>
          <w:lang w:eastAsia="zh-TW"/>
        </w:rPr>
        <w:t>来源：</w:t>
      </w:r>
      <w:r>
        <w:rPr>
          <w:lang w:eastAsia="zh-TW"/>
        </w:rPr>
        <w:t>GB/T 32150 3.6]</w:t>
      </w:r>
    </w:p>
    <w:p w14:paraId="48B6686E">
      <w:pPr>
        <w:pStyle w:val="3"/>
        <w:spacing w:before="0" w:after="0" w:line="360" w:lineRule="auto"/>
        <w:rPr>
          <w:rFonts w:ascii="Times New Roman" w:hAnsi="Times New Roman"/>
          <w:b w:val="0"/>
          <w:bCs w:val="0"/>
          <w:lang w:eastAsia="zh-TW"/>
        </w:rPr>
      </w:pPr>
      <w:r>
        <w:rPr>
          <w:rFonts w:ascii="Times New Roman" w:hAnsi="Times New Roman"/>
          <w:b w:val="0"/>
          <w:bCs w:val="0"/>
          <w:lang w:eastAsia="zh-TW"/>
        </w:rPr>
        <w:t xml:space="preserve">3.3 </w:t>
      </w:r>
    </w:p>
    <w:p w14:paraId="6565367C">
      <w:pPr>
        <w:pStyle w:val="3"/>
        <w:spacing w:before="0" w:after="0" w:line="360" w:lineRule="auto"/>
        <w:ind w:firstLine="420" w:firstLineChars="200"/>
        <w:rPr>
          <w:rFonts w:ascii="Times New Roman" w:hAnsi="Times New Roman"/>
          <w:b w:val="0"/>
          <w:bCs w:val="0"/>
          <w:lang w:eastAsia="zh-TW"/>
        </w:rPr>
      </w:pPr>
      <w:r>
        <w:rPr>
          <w:rFonts w:hint="eastAsia" w:ascii="Times New Roman" w:hAnsi="Times New Roman"/>
          <w:b w:val="0"/>
          <w:bCs w:val="0"/>
          <w:lang w:eastAsia="zh-TW"/>
        </w:rPr>
        <w:t>报告主体</w:t>
      </w:r>
      <w:r>
        <w:rPr>
          <w:rFonts w:ascii="Times New Roman" w:hAnsi="Times New Roman"/>
          <w:b w:val="0"/>
          <w:bCs w:val="0"/>
          <w:lang w:eastAsia="zh-TW"/>
        </w:rPr>
        <w:t xml:space="preserve"> reporting entity</w:t>
      </w:r>
    </w:p>
    <w:p w14:paraId="7B364E5E">
      <w:pPr>
        <w:snapToGrid w:val="0"/>
        <w:spacing w:line="360" w:lineRule="auto"/>
        <w:ind w:firstLine="420" w:firstLineChars="200"/>
        <w:rPr>
          <w:lang w:eastAsia="zh-TW"/>
        </w:rPr>
      </w:pPr>
      <w:r>
        <w:rPr>
          <w:lang w:eastAsia="zh-TW"/>
        </w:rPr>
        <w:t>具有</w:t>
      </w:r>
      <w:r>
        <w:rPr>
          <w:rFonts w:hint="eastAsia"/>
          <w:lang w:eastAsia="zh-TW"/>
        </w:rPr>
        <w:t>温室气体</w:t>
      </w:r>
      <w:r>
        <w:rPr>
          <w:lang w:eastAsia="zh-TW"/>
        </w:rPr>
        <w:t>排放行为的法人企业或视同法人的独立核算单位</w:t>
      </w:r>
      <w:r>
        <w:rPr>
          <w:rFonts w:hint="eastAsia"/>
          <w:lang w:eastAsia="zh-TW"/>
        </w:rPr>
        <w:t>。</w:t>
      </w:r>
    </w:p>
    <w:p w14:paraId="488733E0">
      <w:pPr>
        <w:snapToGrid w:val="0"/>
        <w:spacing w:line="360" w:lineRule="auto"/>
        <w:ind w:firstLine="420" w:firstLineChars="200"/>
        <w:rPr>
          <w:lang w:eastAsia="zh-TW"/>
        </w:rPr>
      </w:pPr>
      <w:r>
        <w:rPr>
          <w:lang w:eastAsia="zh-TW"/>
        </w:rPr>
        <w:t>[</w:t>
      </w:r>
      <w:r>
        <w:rPr>
          <w:rFonts w:hint="eastAsia"/>
          <w:lang w:eastAsia="zh-TW"/>
        </w:rPr>
        <w:t>来源：</w:t>
      </w:r>
      <w:r>
        <w:rPr>
          <w:lang w:eastAsia="zh-TW"/>
        </w:rPr>
        <w:t>GB/T 32150 3.2]</w:t>
      </w:r>
    </w:p>
    <w:p w14:paraId="3508C5CE">
      <w:pPr>
        <w:pStyle w:val="3"/>
        <w:spacing w:before="0" w:after="0" w:line="360" w:lineRule="auto"/>
        <w:rPr>
          <w:rFonts w:ascii="Times New Roman" w:hAnsi="Times New Roman"/>
          <w:b w:val="0"/>
          <w:bCs w:val="0"/>
        </w:rPr>
      </w:pPr>
      <w:r>
        <w:rPr>
          <w:rFonts w:ascii="Times New Roman" w:hAnsi="Times New Roman"/>
          <w:b w:val="0"/>
          <w:bCs w:val="0"/>
        </w:rPr>
        <w:t xml:space="preserve">3.4 </w:t>
      </w:r>
    </w:p>
    <w:p w14:paraId="1384B924">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稀土抛光粉生产企业</w:t>
      </w:r>
      <w:r>
        <w:rPr>
          <w:rFonts w:ascii="Times New Roman" w:hAnsi="Times New Roman"/>
          <w:b w:val="0"/>
          <w:bCs w:val="0"/>
        </w:rPr>
        <w:t xml:space="preserve"> rare earth polishing powder production enterprises</w:t>
      </w:r>
    </w:p>
    <w:p w14:paraId="515EDA62">
      <w:pPr>
        <w:snapToGrid w:val="0"/>
        <w:spacing w:line="360" w:lineRule="auto"/>
        <w:ind w:firstLine="420" w:firstLineChars="200"/>
      </w:pPr>
      <w:r>
        <w:rPr>
          <w:rFonts w:hint="eastAsia"/>
        </w:rPr>
        <w:t>以稀土抛光粉生产</w:t>
      </w:r>
      <w:r>
        <w:t>为主营业务的独立核算单位</w:t>
      </w:r>
      <w:r>
        <w:rPr>
          <w:rFonts w:hint="eastAsia"/>
        </w:rPr>
        <w:t>。</w:t>
      </w:r>
    </w:p>
    <w:p w14:paraId="70499847">
      <w:pPr>
        <w:pStyle w:val="3"/>
        <w:spacing w:before="0" w:after="0" w:line="360" w:lineRule="auto"/>
        <w:rPr>
          <w:rFonts w:ascii="Times New Roman" w:hAnsi="Times New Roman"/>
          <w:b w:val="0"/>
          <w:bCs w:val="0"/>
        </w:rPr>
      </w:pPr>
      <w:r>
        <w:rPr>
          <w:rFonts w:ascii="Times New Roman" w:hAnsi="Times New Roman"/>
          <w:b w:val="0"/>
          <w:bCs w:val="0"/>
        </w:rPr>
        <w:t xml:space="preserve">3.5 </w:t>
      </w:r>
    </w:p>
    <w:p w14:paraId="5F3886A5">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核算边界</w:t>
      </w:r>
      <w:r>
        <w:rPr>
          <w:rFonts w:ascii="Times New Roman" w:hAnsi="Times New Roman"/>
          <w:b w:val="0"/>
          <w:bCs w:val="0"/>
        </w:rPr>
        <w:t xml:space="preserve"> accounting boundary</w:t>
      </w:r>
    </w:p>
    <w:p w14:paraId="419209A0">
      <w:pPr>
        <w:snapToGrid w:val="0"/>
        <w:spacing w:line="360" w:lineRule="auto"/>
        <w:ind w:firstLine="420" w:firstLineChars="200"/>
      </w:pPr>
      <w:r>
        <w:rPr>
          <w:rFonts w:hint="eastAsia"/>
        </w:rPr>
        <w:t>与报告主体（</w:t>
      </w:r>
      <w:r>
        <w:t>3.3）的生产经营活动相关的</w:t>
      </w:r>
      <w:r>
        <w:rPr>
          <w:rFonts w:hint="eastAsia"/>
        </w:rPr>
        <w:t>温室气体</w:t>
      </w:r>
      <w:r>
        <w:t>排放</w:t>
      </w:r>
      <w:r>
        <w:rPr>
          <w:rFonts w:hint="eastAsia"/>
        </w:rPr>
        <w:t>的范围</w:t>
      </w:r>
      <w:r>
        <w:t>。</w:t>
      </w:r>
    </w:p>
    <w:p w14:paraId="12196BF2">
      <w:pPr>
        <w:snapToGrid w:val="0"/>
        <w:spacing w:line="360" w:lineRule="auto"/>
        <w:ind w:firstLine="420" w:firstLineChars="200"/>
      </w:pPr>
      <w:r>
        <w:t>[</w:t>
      </w:r>
      <w:r>
        <w:rPr>
          <w:rFonts w:hint="eastAsia"/>
        </w:rPr>
        <w:t>来源：</w:t>
      </w:r>
      <w:r>
        <w:t>GB/T 32150 3.4]</w:t>
      </w:r>
    </w:p>
    <w:bookmarkEnd w:id="7"/>
    <w:p w14:paraId="48DEB10C">
      <w:pPr>
        <w:pStyle w:val="3"/>
        <w:spacing w:before="0" w:after="0" w:line="360" w:lineRule="auto"/>
        <w:rPr>
          <w:rFonts w:ascii="Times New Roman" w:hAnsi="Times New Roman"/>
          <w:b w:val="0"/>
          <w:bCs w:val="0"/>
        </w:rPr>
      </w:pPr>
      <w:bookmarkStart w:id="8" w:name="bookmark18"/>
      <w:r>
        <w:rPr>
          <w:rFonts w:ascii="Times New Roman" w:hAnsi="Times New Roman"/>
          <w:b w:val="0"/>
          <w:bCs w:val="0"/>
        </w:rPr>
        <w:t>3</w:t>
      </w:r>
      <w:bookmarkEnd w:id="8"/>
      <w:r>
        <w:rPr>
          <w:rFonts w:ascii="Times New Roman" w:hAnsi="Times New Roman"/>
          <w:b w:val="0"/>
          <w:bCs w:val="0"/>
        </w:rPr>
        <w:t xml:space="preserve">.6 </w:t>
      </w:r>
    </w:p>
    <w:p w14:paraId="7410D991">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化石燃料燃烧排放</w:t>
      </w:r>
      <w:r>
        <w:rPr>
          <w:rFonts w:ascii="Times New Roman" w:hAnsi="Times New Roman"/>
          <w:b w:val="0"/>
          <w:bCs w:val="0"/>
        </w:rPr>
        <w:t xml:space="preserve"> fossil fuel combustion emission</w:t>
      </w:r>
    </w:p>
    <w:p w14:paraId="2CC7A04C">
      <w:pPr>
        <w:snapToGrid w:val="0"/>
        <w:spacing w:line="360" w:lineRule="auto"/>
        <w:ind w:firstLine="420" w:firstLineChars="200"/>
      </w:pPr>
      <w:r>
        <w:rPr>
          <w:rFonts w:hint="eastAsia"/>
        </w:rPr>
        <w:t>化石</w:t>
      </w:r>
      <w:r>
        <w:t>燃料在氧化燃烧过程中产生的</w:t>
      </w:r>
      <w:r>
        <w:rPr>
          <w:rFonts w:hint="eastAsia"/>
        </w:rPr>
        <w:t>温室气体</w:t>
      </w:r>
      <w:r>
        <w:t>排放。</w:t>
      </w:r>
    </w:p>
    <w:p w14:paraId="62A5D6E0">
      <w:pPr>
        <w:snapToGrid w:val="0"/>
        <w:spacing w:line="360" w:lineRule="auto"/>
        <w:ind w:firstLine="420" w:firstLineChars="200"/>
      </w:pPr>
      <w:r>
        <w:t>[</w:t>
      </w:r>
      <w:r>
        <w:rPr>
          <w:rFonts w:hint="eastAsia"/>
        </w:rPr>
        <w:t>来源：</w:t>
      </w:r>
      <w:r>
        <w:t>GB/T 32150 3.7]</w:t>
      </w:r>
    </w:p>
    <w:p w14:paraId="531C4FA0">
      <w:pPr>
        <w:pStyle w:val="3"/>
        <w:spacing w:before="0" w:after="0" w:line="360" w:lineRule="auto"/>
        <w:rPr>
          <w:rFonts w:ascii="Times New Roman" w:hAnsi="Times New Roman"/>
          <w:b w:val="0"/>
          <w:bCs w:val="0"/>
        </w:rPr>
      </w:pPr>
      <w:bookmarkStart w:id="9" w:name="bookmark19"/>
      <w:r>
        <w:rPr>
          <w:rFonts w:ascii="Times New Roman" w:hAnsi="Times New Roman"/>
          <w:b w:val="0"/>
          <w:bCs w:val="0"/>
        </w:rPr>
        <w:t>3</w:t>
      </w:r>
      <w:bookmarkEnd w:id="9"/>
      <w:r>
        <w:rPr>
          <w:rFonts w:ascii="Times New Roman" w:hAnsi="Times New Roman"/>
          <w:b w:val="0"/>
          <w:bCs w:val="0"/>
        </w:rPr>
        <w:t xml:space="preserve">.7 </w:t>
      </w:r>
    </w:p>
    <w:p w14:paraId="39C6EC92">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过程排放</w:t>
      </w:r>
      <w:r>
        <w:rPr>
          <w:rFonts w:ascii="Times New Roman" w:hAnsi="Times New Roman"/>
          <w:b w:val="0"/>
          <w:bCs w:val="0"/>
        </w:rPr>
        <w:t xml:space="preserve"> process emission</w:t>
      </w:r>
    </w:p>
    <w:p w14:paraId="5DB858B3">
      <w:pPr>
        <w:snapToGrid w:val="0"/>
        <w:spacing w:line="360" w:lineRule="auto"/>
        <w:ind w:firstLine="420" w:firstLineChars="200"/>
      </w:pPr>
      <w:r>
        <w:t>除</w:t>
      </w:r>
      <w:r>
        <w:rPr>
          <w:rFonts w:hint="eastAsia"/>
        </w:rPr>
        <w:t>化石</w:t>
      </w:r>
      <w:r>
        <w:t>燃料燃烧之外的物理或化学变化造成的</w:t>
      </w:r>
      <w:r>
        <w:rPr>
          <w:rFonts w:hint="eastAsia"/>
        </w:rPr>
        <w:t>温室气体</w:t>
      </w:r>
      <w:r>
        <w:t>排放。</w:t>
      </w:r>
    </w:p>
    <w:p w14:paraId="2A95D5C7">
      <w:pPr>
        <w:snapToGrid w:val="0"/>
        <w:spacing w:line="360" w:lineRule="auto"/>
        <w:ind w:firstLine="420" w:firstLineChars="200"/>
      </w:pPr>
      <w:r>
        <w:t>[</w:t>
      </w:r>
      <w:r>
        <w:rPr>
          <w:rFonts w:hint="eastAsia"/>
        </w:rPr>
        <w:t>来源：</w:t>
      </w:r>
      <w:r>
        <w:t>GB/T 32150 3.8]</w:t>
      </w:r>
    </w:p>
    <w:p w14:paraId="19A4AE1C">
      <w:pPr>
        <w:pStyle w:val="3"/>
        <w:spacing w:before="0" w:after="0" w:line="360" w:lineRule="auto"/>
        <w:rPr>
          <w:rFonts w:ascii="Times New Roman" w:hAnsi="Times New Roman"/>
          <w:b w:val="0"/>
          <w:bCs w:val="0"/>
        </w:rPr>
      </w:pPr>
      <w:bookmarkStart w:id="10" w:name="bookmark20"/>
      <w:r>
        <w:rPr>
          <w:rFonts w:ascii="Times New Roman" w:hAnsi="Times New Roman"/>
          <w:b w:val="0"/>
          <w:bCs w:val="0"/>
        </w:rPr>
        <w:t>3</w:t>
      </w:r>
      <w:bookmarkEnd w:id="10"/>
      <w:r>
        <w:rPr>
          <w:rFonts w:ascii="Times New Roman" w:hAnsi="Times New Roman"/>
          <w:b w:val="0"/>
          <w:bCs w:val="0"/>
        </w:rPr>
        <w:t xml:space="preserve">.8 </w:t>
      </w:r>
    </w:p>
    <w:p w14:paraId="780B93F6">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购入的电力、热力产生的排放</w:t>
      </w:r>
      <w:r>
        <w:rPr>
          <w:rFonts w:ascii="Times New Roman" w:hAnsi="Times New Roman"/>
          <w:b w:val="0"/>
          <w:bCs w:val="0"/>
        </w:rPr>
        <w:t xml:space="preserve"> emission from purchased electricity and heat</w:t>
      </w:r>
    </w:p>
    <w:p w14:paraId="50AF9502">
      <w:pPr>
        <w:snapToGrid w:val="0"/>
        <w:spacing w:line="360" w:lineRule="auto"/>
        <w:ind w:firstLine="420" w:firstLineChars="200"/>
      </w:pPr>
      <w:r>
        <w:t>企业消费的购入电力、热力所对应的电力、热力生产环节产生的</w:t>
      </w:r>
      <w:r>
        <w:rPr>
          <w:rFonts w:hint="eastAsia"/>
        </w:rPr>
        <w:t>二氧化碳</w:t>
      </w:r>
      <w:r>
        <w:t>排放。</w:t>
      </w:r>
    </w:p>
    <w:p w14:paraId="583D5C94">
      <w:pPr>
        <w:snapToGrid w:val="0"/>
        <w:spacing w:line="360" w:lineRule="auto"/>
        <w:ind w:firstLine="420" w:firstLineChars="200"/>
      </w:pPr>
      <w:r>
        <w:t>注：热力包括蒸汽、热水</w:t>
      </w:r>
      <w:r>
        <w:rPr>
          <w:rFonts w:hint="eastAsia"/>
        </w:rPr>
        <w:t>、冷能</w:t>
      </w:r>
      <w:r>
        <w:t>等</w:t>
      </w:r>
      <w:r>
        <w:rPr>
          <w:rFonts w:hint="eastAsia"/>
        </w:rPr>
        <w:t>。</w:t>
      </w:r>
    </w:p>
    <w:p w14:paraId="3E86B4FB">
      <w:pPr>
        <w:snapToGrid w:val="0"/>
        <w:spacing w:line="360" w:lineRule="auto"/>
        <w:ind w:firstLine="420" w:firstLineChars="200"/>
      </w:pPr>
      <w:r>
        <w:t>[</w:t>
      </w:r>
      <w:r>
        <w:rPr>
          <w:rFonts w:hint="eastAsia"/>
        </w:rPr>
        <w:t>来源：</w:t>
      </w:r>
      <w:r>
        <w:t>GB/T 32150 3.9]</w:t>
      </w:r>
    </w:p>
    <w:p w14:paraId="05AE08FF">
      <w:pPr>
        <w:pStyle w:val="3"/>
        <w:spacing w:before="0" w:after="0" w:line="360" w:lineRule="auto"/>
        <w:rPr>
          <w:rFonts w:ascii="Times New Roman" w:hAnsi="Times New Roman"/>
          <w:b w:val="0"/>
          <w:bCs w:val="0"/>
        </w:rPr>
      </w:pPr>
      <w:r>
        <w:rPr>
          <w:rFonts w:ascii="Times New Roman" w:hAnsi="Times New Roman"/>
          <w:b w:val="0"/>
          <w:bCs w:val="0"/>
        </w:rPr>
        <w:t xml:space="preserve">3.9 </w:t>
      </w:r>
    </w:p>
    <w:p w14:paraId="774FF828">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输出的电力、热力产生的排放</w:t>
      </w:r>
      <w:r>
        <w:rPr>
          <w:rFonts w:ascii="Times New Roman" w:hAnsi="Times New Roman"/>
          <w:b w:val="0"/>
          <w:bCs w:val="0"/>
        </w:rPr>
        <w:t xml:space="preserve"> emission from exported electricity and heat</w:t>
      </w:r>
    </w:p>
    <w:p w14:paraId="73A69F62">
      <w:pPr>
        <w:snapToGrid w:val="0"/>
        <w:spacing w:line="360" w:lineRule="auto"/>
        <w:ind w:firstLine="420" w:firstLineChars="200"/>
      </w:pPr>
      <w:r>
        <w:t>企业</w:t>
      </w:r>
      <w:r>
        <w:rPr>
          <w:rFonts w:hint="eastAsia"/>
        </w:rPr>
        <w:t>输出</w:t>
      </w:r>
      <w:r>
        <w:t>的电力、热力所对应的电力、热力生产环节产生的</w:t>
      </w:r>
      <w:r>
        <w:rPr>
          <w:rFonts w:hint="eastAsia"/>
        </w:rPr>
        <w:t>二氧化碳</w:t>
      </w:r>
      <w:r>
        <w:t>排放。</w:t>
      </w:r>
    </w:p>
    <w:p w14:paraId="7CF6F3DA">
      <w:pPr>
        <w:snapToGrid w:val="0"/>
        <w:spacing w:line="360" w:lineRule="auto"/>
        <w:ind w:firstLine="420" w:firstLineChars="200"/>
      </w:pPr>
      <w:r>
        <w:t>[</w:t>
      </w:r>
      <w:r>
        <w:rPr>
          <w:rFonts w:hint="eastAsia"/>
        </w:rPr>
        <w:t>来源：</w:t>
      </w:r>
      <w:r>
        <w:t>GB/T 32150 3.10]</w:t>
      </w:r>
    </w:p>
    <w:p w14:paraId="08596A5C">
      <w:pPr>
        <w:pStyle w:val="3"/>
        <w:spacing w:before="0" w:after="0" w:line="360" w:lineRule="auto"/>
        <w:rPr>
          <w:rFonts w:ascii="Times New Roman" w:hAnsi="Times New Roman"/>
          <w:b w:val="0"/>
          <w:bCs w:val="0"/>
        </w:rPr>
      </w:pPr>
      <w:bookmarkStart w:id="11" w:name="bookmark23"/>
      <w:r>
        <w:rPr>
          <w:rFonts w:ascii="Times New Roman" w:hAnsi="Times New Roman"/>
          <w:b w:val="0"/>
          <w:bCs w:val="0"/>
        </w:rPr>
        <w:t>3</w:t>
      </w:r>
      <w:bookmarkEnd w:id="11"/>
      <w:r>
        <w:rPr>
          <w:rFonts w:ascii="Times New Roman" w:hAnsi="Times New Roman"/>
          <w:b w:val="0"/>
          <w:bCs w:val="0"/>
        </w:rPr>
        <w:t xml:space="preserve">.10 </w:t>
      </w:r>
    </w:p>
    <w:p w14:paraId="7A5954A5">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活动数据</w:t>
      </w:r>
      <w:r>
        <w:rPr>
          <w:rFonts w:ascii="Times New Roman" w:hAnsi="Times New Roman"/>
          <w:b w:val="0"/>
          <w:bCs w:val="0"/>
        </w:rPr>
        <w:t xml:space="preserve"> activity data</w:t>
      </w:r>
      <w:r>
        <w:rPr>
          <w:rFonts w:hint="eastAsia" w:ascii="Times New Roman" w:hAnsi="Times New Roman"/>
          <w:b w:val="0"/>
          <w:bCs w:val="0"/>
        </w:rPr>
        <w:t>（AD）</w:t>
      </w:r>
    </w:p>
    <w:p w14:paraId="33463B06">
      <w:pPr>
        <w:snapToGrid w:val="0"/>
        <w:spacing w:line="360" w:lineRule="auto"/>
        <w:ind w:firstLine="420" w:firstLineChars="200"/>
      </w:pPr>
      <w:r>
        <w:t>导致</w:t>
      </w:r>
      <w:r>
        <w:rPr>
          <w:rFonts w:hint="eastAsia"/>
        </w:rPr>
        <w:t>温室气体</w:t>
      </w:r>
      <w:r>
        <w:t>排放的生产或消费活动量的表征值。</w:t>
      </w:r>
    </w:p>
    <w:p w14:paraId="1C6AE832">
      <w:pPr>
        <w:snapToGrid w:val="0"/>
        <w:spacing w:line="360" w:lineRule="auto"/>
        <w:ind w:firstLine="420" w:firstLineChars="200"/>
      </w:pPr>
      <w:r>
        <w:t>注：如各种化石燃料的消耗量、原材料的使用量、购入的电量、购入的热量等</w:t>
      </w:r>
      <w:r>
        <w:rPr>
          <w:rFonts w:hint="eastAsia"/>
        </w:rPr>
        <w:t>。</w:t>
      </w:r>
    </w:p>
    <w:p w14:paraId="28DE3289">
      <w:pPr>
        <w:snapToGrid w:val="0"/>
        <w:spacing w:line="360" w:lineRule="auto"/>
        <w:ind w:firstLine="420" w:firstLineChars="200"/>
      </w:pPr>
      <w:r>
        <w:t>[</w:t>
      </w:r>
      <w:r>
        <w:rPr>
          <w:rFonts w:hint="eastAsia"/>
        </w:rPr>
        <w:t>来源：</w:t>
      </w:r>
      <w:r>
        <w:t>GB/T 32150 3.12]</w:t>
      </w:r>
    </w:p>
    <w:p w14:paraId="7A0C3C78">
      <w:pPr>
        <w:pStyle w:val="3"/>
        <w:spacing w:before="0" w:after="0" w:line="360" w:lineRule="auto"/>
        <w:rPr>
          <w:rFonts w:ascii="Times New Roman" w:hAnsi="Times New Roman"/>
          <w:b w:val="0"/>
          <w:bCs w:val="0"/>
        </w:rPr>
      </w:pPr>
      <w:r>
        <w:rPr>
          <w:rFonts w:ascii="Times New Roman" w:hAnsi="Times New Roman"/>
          <w:b w:val="0"/>
          <w:bCs w:val="0"/>
        </w:rPr>
        <w:t xml:space="preserve">3.11 </w:t>
      </w:r>
    </w:p>
    <w:p w14:paraId="4B31A86D">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排放因子</w:t>
      </w:r>
      <w:r>
        <w:rPr>
          <w:rFonts w:ascii="Times New Roman" w:hAnsi="Times New Roman"/>
          <w:b w:val="0"/>
          <w:bCs w:val="0"/>
        </w:rPr>
        <w:t xml:space="preserve"> emission factor</w:t>
      </w:r>
      <w:r>
        <w:rPr>
          <w:rFonts w:hint="eastAsia" w:ascii="Times New Roman" w:hAnsi="Times New Roman"/>
          <w:b w:val="0"/>
          <w:bCs w:val="0"/>
        </w:rPr>
        <w:t>（EF）</w:t>
      </w:r>
    </w:p>
    <w:p w14:paraId="439080C7">
      <w:pPr>
        <w:snapToGrid w:val="0"/>
        <w:spacing w:line="360" w:lineRule="auto"/>
        <w:ind w:firstLine="420" w:firstLineChars="200"/>
      </w:pPr>
      <w:r>
        <w:t>表征单位生产或消费活动量的</w:t>
      </w:r>
      <w:r>
        <w:rPr>
          <w:rFonts w:hint="eastAsia"/>
        </w:rPr>
        <w:t>温室气体</w:t>
      </w:r>
      <w:r>
        <w:t>排放的系数。</w:t>
      </w:r>
    </w:p>
    <w:p w14:paraId="3E3B1FC4">
      <w:pPr>
        <w:snapToGrid w:val="0"/>
        <w:spacing w:line="360" w:lineRule="auto"/>
        <w:ind w:firstLine="420" w:firstLineChars="200"/>
      </w:pPr>
      <w:r>
        <w:t>[</w:t>
      </w:r>
      <w:r>
        <w:rPr>
          <w:rFonts w:hint="eastAsia"/>
        </w:rPr>
        <w:t>来源：</w:t>
      </w:r>
      <w:r>
        <w:t>GB/T 32150 3.13]</w:t>
      </w:r>
    </w:p>
    <w:p w14:paraId="5DC793E7">
      <w:pPr>
        <w:pStyle w:val="3"/>
        <w:spacing w:before="0" w:after="0" w:line="360" w:lineRule="auto"/>
        <w:rPr>
          <w:rFonts w:ascii="Times New Roman" w:hAnsi="Times New Roman"/>
          <w:b w:val="0"/>
          <w:bCs w:val="0"/>
        </w:rPr>
      </w:pPr>
      <w:r>
        <w:rPr>
          <w:rFonts w:ascii="Times New Roman" w:hAnsi="Times New Roman"/>
          <w:b w:val="0"/>
          <w:bCs w:val="0"/>
        </w:rPr>
        <w:t xml:space="preserve">3.12 </w:t>
      </w:r>
    </w:p>
    <w:p w14:paraId="3B817CF4">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碳氧化率</w:t>
      </w:r>
      <w:r>
        <w:rPr>
          <w:rFonts w:ascii="Times New Roman" w:hAnsi="Times New Roman"/>
          <w:b w:val="0"/>
          <w:bCs w:val="0"/>
        </w:rPr>
        <w:t xml:space="preserve"> carbon oxidation rate</w:t>
      </w:r>
    </w:p>
    <w:p w14:paraId="15155F74">
      <w:pPr>
        <w:snapToGrid w:val="0"/>
        <w:spacing w:line="360" w:lineRule="auto"/>
        <w:ind w:firstLine="420" w:firstLineChars="200"/>
      </w:pPr>
      <w:r>
        <w:rPr>
          <w:rFonts w:hint="eastAsia"/>
        </w:rPr>
        <w:t>化石</w:t>
      </w:r>
      <w:r>
        <w:t>燃料中的碳在燃烧过程中被完全氧化的百分比。</w:t>
      </w:r>
    </w:p>
    <w:p w14:paraId="6AE4ED44">
      <w:pPr>
        <w:snapToGrid w:val="0"/>
        <w:spacing w:line="360" w:lineRule="auto"/>
        <w:ind w:firstLine="420" w:firstLineChars="200"/>
      </w:pPr>
      <w:r>
        <w:t>[</w:t>
      </w:r>
      <w:r>
        <w:rPr>
          <w:rFonts w:hint="eastAsia"/>
        </w:rPr>
        <w:t>来源：</w:t>
      </w:r>
      <w:r>
        <w:t>GB/T 32150 3.14]</w:t>
      </w:r>
    </w:p>
    <w:p w14:paraId="3ED0510E">
      <w:pPr>
        <w:pStyle w:val="3"/>
        <w:spacing w:before="0" w:after="0" w:line="360" w:lineRule="auto"/>
        <w:rPr>
          <w:rFonts w:ascii="Times New Roman" w:hAnsi="Times New Roman"/>
          <w:b w:val="0"/>
          <w:bCs w:val="0"/>
        </w:rPr>
      </w:pPr>
      <w:r>
        <w:rPr>
          <w:rFonts w:ascii="Times New Roman" w:hAnsi="Times New Roman"/>
          <w:b w:val="0"/>
          <w:bCs w:val="0"/>
        </w:rPr>
        <w:t xml:space="preserve">3.13 </w:t>
      </w:r>
    </w:p>
    <w:p w14:paraId="4FBA0AF3">
      <w:pPr>
        <w:pStyle w:val="3"/>
        <w:spacing w:before="0" w:after="0" w:line="360" w:lineRule="auto"/>
        <w:ind w:firstLine="420" w:firstLineChars="200"/>
        <w:rPr>
          <w:rFonts w:ascii="Times New Roman" w:hAnsi="Times New Roman"/>
          <w:kern w:val="0"/>
          <w:szCs w:val="21"/>
        </w:rPr>
      </w:pPr>
      <w:r>
        <w:rPr>
          <w:rFonts w:hint="eastAsia" w:ascii="Times New Roman" w:hAnsi="Times New Roman"/>
          <w:b w:val="0"/>
          <w:bCs w:val="0"/>
        </w:rPr>
        <w:t>全球变暖潜势</w:t>
      </w:r>
      <w:r>
        <w:rPr>
          <w:rFonts w:ascii="Times New Roman" w:hAnsi="Times New Roman"/>
          <w:b w:val="0"/>
          <w:bCs w:val="0"/>
        </w:rPr>
        <w:t xml:space="preserve"> globalwarmingpotential</w:t>
      </w:r>
      <w:r>
        <w:rPr>
          <w:rFonts w:hint="eastAsia" w:ascii="Times New Roman" w:hAnsi="Times New Roman"/>
          <w:b w:val="0"/>
          <w:bCs w:val="0"/>
        </w:rPr>
        <w:t>（</w:t>
      </w:r>
      <w:r>
        <w:rPr>
          <w:rFonts w:ascii="Times New Roman" w:hAnsi="Times New Roman"/>
          <w:b w:val="0"/>
          <w:bCs w:val="0"/>
        </w:rPr>
        <w:t>GWP</w:t>
      </w:r>
      <w:r>
        <w:rPr>
          <w:rFonts w:hint="eastAsia" w:ascii="Times New Roman" w:hAnsi="Times New Roman"/>
          <w:b w:val="0"/>
          <w:bCs w:val="0"/>
        </w:rPr>
        <w:t>）</w:t>
      </w:r>
    </w:p>
    <w:p w14:paraId="64C9A411">
      <w:pPr>
        <w:snapToGrid w:val="0"/>
        <w:spacing w:line="360" w:lineRule="auto"/>
        <w:ind w:firstLine="420" w:firstLineChars="200"/>
      </w:pPr>
      <w:r>
        <w:rPr>
          <w:rFonts w:hint="eastAsia"/>
        </w:rPr>
        <w:t>将单位质量的某种温室气体在给定时间段内辐射强迫的影响与等量二氧化碳辐射强迫影响相关联</w:t>
      </w:r>
    </w:p>
    <w:p w14:paraId="13ABEC4F">
      <w:pPr>
        <w:snapToGrid w:val="0"/>
        <w:spacing w:line="360" w:lineRule="auto"/>
      </w:pPr>
      <w:r>
        <w:rPr>
          <w:rFonts w:hint="eastAsia"/>
        </w:rPr>
        <w:t>的系数。</w:t>
      </w:r>
    </w:p>
    <w:p w14:paraId="6B056005">
      <w:pPr>
        <w:snapToGrid w:val="0"/>
        <w:spacing w:line="360" w:lineRule="auto"/>
        <w:ind w:firstLine="420" w:firstLineChars="200"/>
      </w:pPr>
      <w:r>
        <w:t>[</w:t>
      </w:r>
      <w:r>
        <w:rPr>
          <w:rFonts w:hint="eastAsia"/>
        </w:rPr>
        <w:t>来源：</w:t>
      </w:r>
      <w:r>
        <w:t>GB/T 32150 3.15]</w:t>
      </w:r>
    </w:p>
    <w:p w14:paraId="2E4BB952">
      <w:pPr>
        <w:pStyle w:val="3"/>
        <w:spacing w:before="0" w:after="0" w:line="360" w:lineRule="auto"/>
        <w:rPr>
          <w:rFonts w:ascii="Times New Roman" w:hAnsi="Times New Roman"/>
          <w:b w:val="0"/>
          <w:bCs w:val="0"/>
        </w:rPr>
      </w:pPr>
      <w:r>
        <w:rPr>
          <w:rFonts w:ascii="Times New Roman" w:hAnsi="Times New Roman"/>
          <w:b w:val="0"/>
          <w:bCs w:val="0"/>
        </w:rPr>
        <w:t xml:space="preserve">3.14 </w:t>
      </w:r>
    </w:p>
    <w:p w14:paraId="645360AE">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二氧化碳当量</w:t>
      </w:r>
      <w:r>
        <w:rPr>
          <w:rFonts w:ascii="Times New Roman" w:hAnsi="Times New Roman"/>
          <w:b w:val="0"/>
          <w:bCs w:val="0"/>
        </w:rPr>
        <w:t xml:space="preserve"> carbondioxideequivalent</w:t>
      </w:r>
    </w:p>
    <w:p w14:paraId="7260F773">
      <w:pPr>
        <w:widowControl/>
        <w:spacing w:line="360" w:lineRule="auto"/>
        <w:jc w:val="left"/>
        <w:rPr>
          <w:rFonts w:eastAsia="黑体"/>
          <w:bCs/>
          <w:kern w:val="0"/>
          <w:szCs w:val="21"/>
        </w:rPr>
      </w:pPr>
      <w:r>
        <w:rPr>
          <w:rFonts w:eastAsia="黑体"/>
          <w:bCs/>
          <w:kern w:val="0"/>
          <w:szCs w:val="21"/>
        </w:rPr>
        <w:t xml:space="preserve">    CO</w:t>
      </w:r>
      <w:r>
        <w:rPr>
          <w:rFonts w:eastAsia="黑体"/>
          <w:bCs/>
          <w:kern w:val="0"/>
          <w:szCs w:val="21"/>
          <w:vertAlign w:val="subscript"/>
        </w:rPr>
        <w:t>2</w:t>
      </w:r>
      <w:r>
        <w:rPr>
          <w:rFonts w:eastAsia="黑体"/>
          <w:bCs/>
          <w:kern w:val="0"/>
          <w:szCs w:val="21"/>
        </w:rPr>
        <w:t>e</w:t>
      </w:r>
    </w:p>
    <w:p w14:paraId="47566E32">
      <w:pPr>
        <w:snapToGrid w:val="0"/>
        <w:spacing w:line="360" w:lineRule="auto"/>
        <w:ind w:firstLine="420" w:firstLineChars="200"/>
      </w:pPr>
      <w:r>
        <w:rPr>
          <w:rFonts w:hint="eastAsia"/>
        </w:rPr>
        <w:t>在辐射强迫上与某种温室气体相当的二氧化碳的量。</w:t>
      </w:r>
    </w:p>
    <w:p w14:paraId="0DE48A78">
      <w:pPr>
        <w:snapToGrid w:val="0"/>
        <w:spacing w:line="360" w:lineRule="auto"/>
        <w:ind w:firstLine="420" w:firstLineChars="200"/>
      </w:pPr>
      <w:r>
        <w:rPr>
          <w:rFonts w:hint="eastAsia"/>
        </w:rPr>
        <w:t>注</w:t>
      </w:r>
      <w:r>
        <w:t>:二氧化碳当量等于给定温室气体的质量乘以它的全球变暖潜势值。</w:t>
      </w:r>
    </w:p>
    <w:p w14:paraId="73D23BD8">
      <w:pPr>
        <w:snapToGrid w:val="0"/>
        <w:spacing w:line="360" w:lineRule="auto"/>
        <w:ind w:firstLine="420" w:firstLineChars="200"/>
      </w:pPr>
      <w:r>
        <w:t>[</w:t>
      </w:r>
      <w:r>
        <w:rPr>
          <w:rFonts w:hint="eastAsia"/>
        </w:rPr>
        <w:t>来源：</w:t>
      </w:r>
      <w:r>
        <w:t>GB/T 32150 3.16]</w:t>
      </w:r>
    </w:p>
    <w:p w14:paraId="330F1BD8">
      <w:pPr>
        <w:pStyle w:val="3"/>
        <w:spacing w:before="0" w:after="0" w:line="360" w:lineRule="auto"/>
        <w:rPr>
          <w:rFonts w:ascii="Times New Roman" w:hAnsi="Times New Roman"/>
          <w:b w:val="0"/>
          <w:bCs w:val="0"/>
        </w:rPr>
      </w:pPr>
      <w:r>
        <w:rPr>
          <w:rFonts w:ascii="Times New Roman" w:hAnsi="Times New Roman"/>
          <w:b w:val="0"/>
          <w:bCs w:val="0"/>
        </w:rPr>
        <w:t xml:space="preserve">3.15 </w:t>
      </w:r>
    </w:p>
    <w:p w14:paraId="19F0BE7E">
      <w:pPr>
        <w:pStyle w:val="3"/>
        <w:spacing w:before="0" w:after="0" w:line="360" w:lineRule="auto"/>
        <w:ind w:firstLine="420" w:firstLineChars="200"/>
        <w:rPr>
          <w:rFonts w:ascii="Times New Roman" w:hAnsi="Times New Roman"/>
          <w:b w:val="0"/>
          <w:bCs w:val="0"/>
        </w:rPr>
      </w:pPr>
      <w:r>
        <w:rPr>
          <w:rFonts w:hint="eastAsia" w:ascii="Times New Roman" w:hAnsi="Times New Roman"/>
          <w:b w:val="0"/>
          <w:bCs w:val="0"/>
        </w:rPr>
        <w:t>温室气体汇</w:t>
      </w:r>
      <w:r>
        <w:rPr>
          <w:rFonts w:ascii="Times New Roman" w:hAnsi="Times New Roman"/>
          <w:b w:val="0"/>
          <w:bCs w:val="0"/>
        </w:rPr>
        <w:t xml:space="preserve"> greenhousegassink</w:t>
      </w:r>
    </w:p>
    <w:p w14:paraId="4830EA28">
      <w:pPr>
        <w:widowControl/>
        <w:spacing w:line="360" w:lineRule="auto"/>
        <w:jc w:val="left"/>
        <w:rPr>
          <w:rFonts w:eastAsia="黑体"/>
          <w:bCs/>
          <w:kern w:val="0"/>
          <w:szCs w:val="21"/>
        </w:rPr>
      </w:pPr>
      <w:r>
        <w:rPr>
          <w:rFonts w:eastAsia="黑体"/>
          <w:bCs/>
          <w:kern w:val="0"/>
          <w:szCs w:val="21"/>
        </w:rPr>
        <w:t xml:space="preserve">    </w:t>
      </w:r>
      <w:r>
        <w:rPr>
          <w:rFonts w:hint="eastAsia" w:eastAsia="黑体"/>
          <w:bCs/>
          <w:kern w:val="0"/>
          <w:szCs w:val="21"/>
        </w:rPr>
        <w:t>碳汇</w:t>
      </w:r>
    </w:p>
    <w:p w14:paraId="19962DBB">
      <w:pPr>
        <w:snapToGrid w:val="0"/>
        <w:spacing w:line="360" w:lineRule="auto"/>
        <w:ind w:firstLine="420" w:firstLineChars="200"/>
      </w:pPr>
      <w:r>
        <w:rPr>
          <w:rFonts w:hint="eastAsia"/>
        </w:rPr>
        <w:t>从大气中清除温室气体的过程。</w:t>
      </w:r>
    </w:p>
    <w:p w14:paraId="7E2B79C3">
      <w:pPr>
        <w:snapToGrid w:val="0"/>
        <w:spacing w:line="360" w:lineRule="auto"/>
        <w:ind w:firstLine="420" w:firstLineChars="200"/>
      </w:pPr>
      <w:r>
        <w:t>[</w:t>
      </w:r>
      <w:r>
        <w:rPr>
          <w:rFonts w:hint="eastAsia"/>
        </w:rPr>
        <w:t>来源：</w:t>
      </w:r>
      <w:r>
        <w:t>GB/T 32150 3.17]</w:t>
      </w:r>
    </w:p>
    <w:p w14:paraId="4E8E3189">
      <w:pPr>
        <w:pStyle w:val="2"/>
        <w:spacing w:before="120" w:beforeLines="50" w:after="120" w:afterLines="50" w:line="360" w:lineRule="auto"/>
        <w:rPr>
          <w:rFonts w:eastAsia="黑体"/>
          <w:b w:val="0"/>
          <w:bCs w:val="0"/>
          <w:sz w:val="21"/>
          <w:szCs w:val="21"/>
        </w:rPr>
      </w:pPr>
      <w:r>
        <w:rPr>
          <w:rFonts w:hint="eastAsia" w:eastAsia="黑体"/>
          <w:b w:val="0"/>
          <w:bCs w:val="0"/>
          <w:sz w:val="21"/>
          <w:szCs w:val="21"/>
        </w:rPr>
        <w:t>4 核算边界和排放源</w:t>
      </w:r>
    </w:p>
    <w:p w14:paraId="70431FB8">
      <w:pPr>
        <w:pStyle w:val="3"/>
        <w:spacing w:before="0" w:after="0" w:line="360" w:lineRule="auto"/>
        <w:rPr>
          <w:rFonts w:ascii="Times New Roman" w:hAnsi="Times New Roman"/>
          <w:b w:val="0"/>
          <w:bCs w:val="0"/>
        </w:rPr>
      </w:pPr>
      <w:r>
        <w:rPr>
          <w:rFonts w:ascii="Times New Roman" w:hAnsi="Times New Roman"/>
          <w:b w:val="0"/>
          <w:bCs w:val="0"/>
        </w:rPr>
        <w:t xml:space="preserve">4.1 </w:t>
      </w:r>
      <w:r>
        <w:rPr>
          <w:rFonts w:hint="eastAsia" w:ascii="Times New Roman" w:hAnsi="Times New Roman"/>
          <w:b w:val="0"/>
          <w:bCs w:val="0"/>
        </w:rPr>
        <w:t>通则</w:t>
      </w:r>
    </w:p>
    <w:p w14:paraId="176895F8">
      <w:pPr>
        <w:snapToGrid w:val="0"/>
        <w:spacing w:line="360" w:lineRule="auto"/>
      </w:pPr>
      <w:r>
        <w:t>4.1.1 报告主体应以</w:t>
      </w:r>
      <w:r>
        <w:rPr>
          <w:rFonts w:hint="eastAsia"/>
        </w:rPr>
        <w:t>从事稀土抛光材料生产为主营业务的</w:t>
      </w:r>
      <w:r>
        <w:t>法人或视同法人的独立核算单位为边界</w:t>
      </w:r>
      <w:r>
        <w:rPr>
          <w:rFonts w:hint="eastAsia"/>
        </w:rPr>
        <w:t>，</w:t>
      </w:r>
      <w:r>
        <w:t>核算和报告其生产系统产生的</w:t>
      </w:r>
      <w:r>
        <w:rPr>
          <w:rFonts w:hint="eastAsia"/>
        </w:rPr>
        <w:t>温室气体</w:t>
      </w:r>
      <w:r>
        <w:t>排放。生产系统包括主要生产系统</w:t>
      </w:r>
      <w:r>
        <w:rPr>
          <w:rFonts w:hint="eastAsia"/>
        </w:rPr>
        <w:t>（含备料、包装等）</w:t>
      </w:r>
      <w:r>
        <w:t>、辅助生产系统及</w:t>
      </w:r>
      <w:r>
        <w:rPr>
          <w:rFonts w:hint="eastAsia"/>
        </w:rPr>
        <w:t>直接为生产服务的</w:t>
      </w:r>
      <w:r>
        <w:t>附属生产系统。</w:t>
      </w:r>
      <w:r>
        <w:rPr>
          <w:rFonts w:hint="eastAsia"/>
        </w:rPr>
        <w:t>稀土抛光粉生产企业温室气体排放核算边界示意图见附录</w:t>
      </w:r>
      <w:r>
        <w:t>A</w:t>
      </w:r>
      <w:r>
        <w:rPr>
          <w:rFonts w:hint="eastAsia"/>
        </w:rPr>
        <w:t>中的</w:t>
      </w:r>
      <w:r>
        <w:t>A.1</w:t>
      </w:r>
      <w:r>
        <w:rPr>
          <w:rFonts w:hint="eastAsia"/>
        </w:rPr>
        <w:t>。</w:t>
      </w:r>
    </w:p>
    <w:p w14:paraId="6A9A307F">
      <w:pPr>
        <w:snapToGrid w:val="0"/>
        <w:spacing w:line="360" w:lineRule="auto"/>
      </w:pPr>
      <w:r>
        <w:t xml:space="preserve">4.1.2 </w:t>
      </w:r>
      <w:r>
        <w:rPr>
          <w:rFonts w:hint="eastAsia"/>
        </w:rPr>
        <w:t>稀土抛光粉生产企业主要生产系统包括沉淀、前处理、焙烧、破碎</w:t>
      </w:r>
      <w:r>
        <w:t>/</w:t>
      </w:r>
      <w:r>
        <w:rPr>
          <w:rFonts w:hint="eastAsia"/>
        </w:rPr>
        <w:t>分级、包装等，辅助生产系统包括供电、供热、供水、供气、环保设施、机修、库房、质检分析、厂内运输等，附属生产系统包括生产指挥系统（厂部）和为生产服务的部门和单位（如职工食堂、车间浴室和保健站等）。</w:t>
      </w:r>
    </w:p>
    <w:p w14:paraId="01691DBE">
      <w:pPr>
        <w:snapToGrid w:val="0"/>
        <w:spacing w:line="360" w:lineRule="auto"/>
      </w:pPr>
      <w:r>
        <w:t xml:space="preserve">4.1.3 </w:t>
      </w:r>
      <w:r>
        <w:rPr>
          <w:rFonts w:hint="eastAsia"/>
        </w:rPr>
        <w:t>如果报告主体除稀土抛光粉产品外还存在其他生产活动，并存在本文件未涵盖的温室气体排放环节，还应按照其他相关行业的企业温室气体排放核算和报告要求，一并进行核算并汇总报告。</w:t>
      </w:r>
    </w:p>
    <w:p w14:paraId="1A5B93D5">
      <w:pPr>
        <w:snapToGrid w:val="0"/>
        <w:spacing w:line="360" w:lineRule="auto"/>
        <w:rPr>
          <w:rFonts w:hint="eastAsia" w:eastAsia="宋体"/>
          <w:lang w:eastAsia="zh-CN"/>
        </w:rPr>
      </w:pPr>
      <w:r>
        <w:t xml:space="preserve">4.1.4 </w:t>
      </w:r>
      <w:r>
        <w:rPr>
          <w:rFonts w:hint="eastAsia"/>
        </w:rPr>
        <w:t>稀土抛光粉生产企业的温室气体排放核算和报告核算范围包括以下部分或全部排放：化石燃料燃烧排放、过程排放，购入的电力、热力产生的排放，输出的电力、热力产生的排放和生产配套的废弃物处理处置过程产生的排放</w:t>
      </w:r>
      <w:r>
        <w:rPr>
          <w:rFonts w:hint="eastAsia"/>
          <w:lang w:eastAsia="zh-CN"/>
        </w:rPr>
        <w:t>（厂外处置废弃物产生的排放不属于本标准核算边界）。</w:t>
      </w:r>
    </w:p>
    <w:p w14:paraId="3BE84923">
      <w:pPr>
        <w:tabs>
          <w:tab w:val="left" w:pos="512"/>
          <w:tab w:val="left" w:pos="513"/>
          <w:tab w:val="right" w:pos="10208"/>
        </w:tabs>
        <w:spacing w:line="360" w:lineRule="auto"/>
      </w:pPr>
      <w:r>
        <w:rPr>
          <w:rFonts w:hint="eastAsia"/>
        </w:rPr>
        <w:t>4.1.5 设备检修、开停炉期间消耗的能源，应核算温室气体排放量。</w:t>
      </w:r>
    </w:p>
    <w:p w14:paraId="557A6311">
      <w:pPr>
        <w:tabs>
          <w:tab w:val="left" w:pos="512"/>
          <w:tab w:val="left" w:pos="513"/>
          <w:tab w:val="right" w:pos="10208"/>
        </w:tabs>
        <w:spacing w:line="360" w:lineRule="auto"/>
      </w:pPr>
      <w:r>
        <w:rPr>
          <w:rFonts w:hint="eastAsia"/>
        </w:rPr>
        <w:t>4</w:t>
      </w:r>
      <w:r>
        <w:t xml:space="preserve">.1.6 </w:t>
      </w:r>
      <w:r>
        <w:rPr>
          <w:rFonts w:hint="eastAsia"/>
        </w:rPr>
        <w:t>报告主体宜单独核算碳捕集、利用与封存、碳汇等其他碳减排情况。报告主体法人边界或工序涉及外包、生物质燃料情况的，宜单独核算其产生的温室气体排放量。涉及外购耗能工质对应的温室气体排放情况宜单独核算。国家和地方政策另有说明的除外。</w:t>
      </w:r>
    </w:p>
    <w:p w14:paraId="5F07D805">
      <w:pPr>
        <w:tabs>
          <w:tab w:val="left" w:pos="512"/>
          <w:tab w:val="left" w:pos="513"/>
          <w:tab w:val="right" w:pos="10208"/>
        </w:tabs>
        <w:spacing w:line="360" w:lineRule="auto"/>
      </w:pPr>
      <w:r>
        <w:rPr>
          <w:rFonts w:hint="eastAsia"/>
        </w:rPr>
        <w:t>4.1.7 稀土抛光粉生产企业温室气体核算报告期原则上为上一自然年度或财务年度。</w:t>
      </w:r>
    </w:p>
    <w:p w14:paraId="4F342B5D">
      <w:pPr>
        <w:pStyle w:val="3"/>
        <w:tabs>
          <w:tab w:val="left" w:pos="512"/>
          <w:tab w:val="left" w:pos="513"/>
          <w:tab w:val="right" w:pos="10208"/>
        </w:tabs>
        <w:spacing w:before="0" w:after="0" w:line="360" w:lineRule="auto"/>
      </w:pPr>
      <w:r>
        <w:rPr>
          <w:rFonts w:ascii="Times New Roman" w:hAnsi="Times New Roman"/>
          <w:b w:val="0"/>
          <w:bCs w:val="0"/>
        </w:rPr>
        <w:t xml:space="preserve">4.2 </w:t>
      </w:r>
      <w:r>
        <w:rPr>
          <w:rFonts w:hint="eastAsia" w:ascii="Times New Roman" w:hAnsi="Times New Roman"/>
          <w:b w:val="0"/>
          <w:bCs w:val="0"/>
        </w:rPr>
        <w:t>工序核算边界</w:t>
      </w:r>
    </w:p>
    <w:p w14:paraId="017270B2">
      <w:pPr>
        <w:tabs>
          <w:tab w:val="left" w:pos="512"/>
          <w:tab w:val="left" w:pos="513"/>
          <w:tab w:val="right" w:pos="10208"/>
        </w:tabs>
        <w:spacing w:line="360" w:lineRule="auto"/>
      </w:pPr>
      <w:r>
        <w:rPr>
          <w:rFonts w:hint="eastAsia"/>
        </w:rPr>
        <w:t>4.2.1 工序核算边界包括与工序相关的主要生产系统及相关辅助生产系统，不包括附属生产系统。</w:t>
      </w:r>
    </w:p>
    <w:p w14:paraId="26957E18">
      <w:pPr>
        <w:tabs>
          <w:tab w:val="left" w:pos="512"/>
          <w:tab w:val="left" w:pos="513"/>
          <w:tab w:val="right" w:pos="10208"/>
        </w:tabs>
        <w:spacing w:line="360" w:lineRule="auto"/>
        <w:rPr>
          <w:rFonts w:hint="eastAsia"/>
        </w:rPr>
      </w:pPr>
      <w:r>
        <w:rPr>
          <w:rFonts w:hint="eastAsia"/>
        </w:rPr>
        <w:t>4.2.2 稀土抛光粉生产企业宜分别对报告主体内各生产工序产生的温室气体排放量进行核算。</w:t>
      </w:r>
    </w:p>
    <w:p w14:paraId="1C8B9A49">
      <w:pPr>
        <w:tabs>
          <w:tab w:val="left" w:pos="512"/>
          <w:tab w:val="left" w:pos="513"/>
          <w:tab w:val="right" w:pos="10208"/>
        </w:tabs>
        <w:spacing w:line="360" w:lineRule="auto"/>
        <w:ind w:firstLine="360" w:firstLineChars="200"/>
        <w:rPr>
          <w:rFonts w:hint="eastAsia"/>
          <w:sz w:val="18"/>
          <w:szCs w:val="18"/>
        </w:rPr>
      </w:pPr>
      <w:r>
        <w:rPr>
          <w:rFonts w:hint="eastAsia"/>
          <w:sz w:val="18"/>
          <w:szCs w:val="18"/>
        </w:rPr>
        <w:t>注：工序层面核算仅用于企业内部工序碳排放分析；对外提交温室气体报告时，应采用企业法人完整组织边界。</w:t>
      </w:r>
    </w:p>
    <w:p w14:paraId="22323CEE">
      <w:pPr>
        <w:pStyle w:val="3"/>
        <w:tabs>
          <w:tab w:val="left" w:pos="512"/>
          <w:tab w:val="left" w:pos="513"/>
          <w:tab w:val="right" w:pos="10208"/>
        </w:tabs>
        <w:spacing w:before="0" w:after="0" w:line="360" w:lineRule="auto"/>
      </w:pPr>
      <w:r>
        <w:rPr>
          <w:rFonts w:ascii="Times New Roman" w:hAnsi="Times New Roman"/>
          <w:b w:val="0"/>
          <w:bCs w:val="0"/>
        </w:rPr>
        <w:t xml:space="preserve">4.3 </w:t>
      </w:r>
      <w:r>
        <w:rPr>
          <w:rFonts w:hint="eastAsia" w:ascii="Times New Roman" w:hAnsi="Times New Roman"/>
          <w:b w:val="0"/>
          <w:bCs w:val="0"/>
        </w:rPr>
        <w:t>核算和报告范围</w:t>
      </w:r>
    </w:p>
    <w:p w14:paraId="6B26BB92">
      <w:pPr>
        <w:tabs>
          <w:tab w:val="left" w:pos="512"/>
          <w:tab w:val="left" w:pos="513"/>
          <w:tab w:val="right" w:pos="10208"/>
        </w:tabs>
        <w:spacing w:line="360" w:lineRule="auto"/>
      </w:pPr>
      <w:r>
        <w:rPr>
          <w:rFonts w:hint="eastAsia"/>
        </w:rPr>
        <w:t>4.3.1 化石燃料燃烧排放</w:t>
      </w:r>
    </w:p>
    <w:p w14:paraId="7683B49C">
      <w:pPr>
        <w:tabs>
          <w:tab w:val="left" w:pos="512"/>
          <w:tab w:val="left" w:pos="513"/>
          <w:tab w:val="right" w:pos="10208"/>
        </w:tabs>
        <w:spacing w:line="360" w:lineRule="auto"/>
        <w:ind w:firstLine="420" w:firstLineChars="200"/>
      </w:pPr>
      <w:r>
        <w:rPr>
          <w:rFonts w:hint="eastAsia"/>
        </w:rPr>
        <w:t>稀土抛光粉生产企业消耗的化石燃料燃烧排放包括煤、油、气等燃料在各种类型的固定或移动燃烧设备（如厂内运输设备等）中发生氧化燃烧过程产生的温室气体排放。</w:t>
      </w:r>
    </w:p>
    <w:p w14:paraId="255EAF20">
      <w:pPr>
        <w:tabs>
          <w:tab w:val="left" w:pos="512"/>
          <w:tab w:val="left" w:pos="513"/>
          <w:tab w:val="right" w:pos="10208"/>
        </w:tabs>
        <w:spacing w:line="360" w:lineRule="auto"/>
      </w:pPr>
      <w:r>
        <w:rPr>
          <w:rFonts w:hint="eastAsia"/>
        </w:rPr>
        <w:t>4.3.2 过程排放</w:t>
      </w:r>
    </w:p>
    <w:p w14:paraId="7B2690A0">
      <w:pPr>
        <w:pStyle w:val="151"/>
        <w:spacing w:after="0" w:line="360" w:lineRule="auto"/>
        <w:ind w:firstLine="420" w:firstLineChars="200"/>
        <w:jc w:val="both"/>
        <w:rPr>
          <w:rFonts w:ascii="Times New Roman" w:hAnsi="Times New Roman" w:cs="Times New Roman"/>
          <w:lang w:val="en-US" w:eastAsia="zh-CN" w:bidi="ar-SA"/>
        </w:rPr>
      </w:pPr>
      <w:r>
        <w:rPr>
          <w:rFonts w:hint="eastAsia" w:ascii="Times New Roman" w:hAnsi="Times New Roman" w:cs="Times New Roman"/>
          <w:lang w:val="en-US" w:eastAsia="zh-CN" w:bidi="ar-SA"/>
        </w:rPr>
        <w:t>稀土抛光粉生产企业所涉及</w:t>
      </w:r>
      <w:r>
        <w:rPr>
          <w:rFonts w:ascii="Times New Roman" w:hAnsi="Times New Roman" w:cs="Times New Roman"/>
          <w:lang w:val="en-US" w:eastAsia="zh-CN" w:bidi="ar-SA"/>
        </w:rPr>
        <w:t>的</w:t>
      </w:r>
      <w:r>
        <w:rPr>
          <w:rFonts w:hint="eastAsia" w:ascii="Times New Roman" w:hAnsi="Times New Roman" w:cs="Times New Roman"/>
          <w:lang w:val="en-US" w:eastAsia="zh-CN" w:bidi="ar-SA"/>
        </w:rPr>
        <w:t>过程</w:t>
      </w:r>
      <w:r>
        <w:rPr>
          <w:rFonts w:ascii="Times New Roman" w:hAnsi="Times New Roman" w:cs="Times New Roman"/>
          <w:lang w:val="en-US" w:eastAsia="zh-CN" w:bidi="ar-SA"/>
        </w:rPr>
        <w:t>排放</w:t>
      </w:r>
      <w:r>
        <w:rPr>
          <w:rFonts w:hint="eastAsia" w:ascii="Times New Roman" w:hAnsi="Times New Roman" w:cs="Times New Roman"/>
          <w:lang w:val="en-US" w:eastAsia="zh-CN" w:bidi="ar-SA"/>
        </w:rPr>
        <w:t>主要包括：厂内稀土原料与沉淀剂反应制备稀土前驱体的沉淀工序产生的二氧化碳排放；碳酸稀土、草酸稀土等含碳稀土前驱体在前处理、焙烧等过程中分解产生的二氧化碳排放；改性剂、分散剂及其他含碳助剂等添加剂在焙烧等过程中分解/氧化产生的二氧化碳排放及其他含碳原料在使用过程中产生的二氧化碳排放。</w:t>
      </w:r>
    </w:p>
    <w:p w14:paraId="2CFE10AC">
      <w:pPr>
        <w:pStyle w:val="151"/>
        <w:spacing w:after="0" w:line="360" w:lineRule="auto"/>
        <w:ind w:firstLine="360" w:firstLineChars="200"/>
        <w:jc w:val="both"/>
        <w:rPr>
          <w:rFonts w:ascii="Times New Roman" w:hAnsi="Times New Roman" w:cs="Times New Roman"/>
          <w:lang w:val="en-US" w:eastAsia="zh-CN" w:bidi="ar-SA"/>
        </w:rPr>
      </w:pPr>
      <w:r>
        <w:rPr>
          <w:rFonts w:hint="eastAsia" w:ascii="Times New Roman" w:hAnsi="Times New Roman" w:cs="Times New Roman"/>
          <w:sz w:val="18"/>
          <w:szCs w:val="18"/>
          <w:lang w:val="en-US" w:eastAsia="zh-CN" w:bidi="ar-SA"/>
        </w:rPr>
        <w:t>注：直接外购含碳稀土前驱体原料的企业，沉淀工序发生在企业外部，不核算沉淀工序对应的二氧化碳过程排放。若外购前驱体为本企业委托外部单位加工，应根据合同边界判断沉淀工序归属，若属于本企业生产环节外包，则仍需要核算沉淀工序排放。</w:t>
      </w:r>
    </w:p>
    <w:p w14:paraId="78D7530B">
      <w:pPr>
        <w:tabs>
          <w:tab w:val="left" w:pos="512"/>
          <w:tab w:val="left" w:pos="513"/>
          <w:tab w:val="right" w:pos="10208"/>
        </w:tabs>
        <w:spacing w:line="360" w:lineRule="auto"/>
        <w:rPr>
          <w:lang w:bidi="en-US"/>
        </w:rPr>
      </w:pPr>
      <w:r>
        <w:rPr>
          <w:rFonts w:hint="eastAsia"/>
          <w:lang w:bidi="en-US"/>
        </w:rPr>
        <w:t>4.3.3购入的电力、热力产生的排放</w:t>
      </w:r>
    </w:p>
    <w:p w14:paraId="2E256D39">
      <w:pPr>
        <w:pStyle w:val="151"/>
        <w:spacing w:after="0" w:line="360" w:lineRule="auto"/>
        <w:ind w:firstLine="403"/>
        <w:jc w:val="both"/>
        <w:rPr>
          <w:rFonts w:ascii="Times New Roman" w:hAnsi="Times New Roman" w:cs="Times New Roman"/>
          <w:lang w:val="en-US" w:eastAsia="zh-CN" w:bidi="ar-SA"/>
        </w:rPr>
      </w:pPr>
      <w:r>
        <w:rPr>
          <w:rFonts w:hint="eastAsia" w:ascii="Times New Roman" w:hAnsi="Times New Roman" w:cs="Times New Roman"/>
          <w:lang w:val="en-US" w:eastAsia="zh-CN" w:bidi="ar-SA"/>
        </w:rPr>
        <w:t>稀土抛光粉生产</w:t>
      </w:r>
      <w:r>
        <w:rPr>
          <w:rFonts w:ascii="Times New Roman" w:hAnsi="Times New Roman" w:cs="Times New Roman"/>
          <w:lang w:val="en-US" w:eastAsia="zh-CN" w:bidi="ar-SA"/>
        </w:rPr>
        <w:t>企业购入的电力</w:t>
      </w:r>
      <w:r>
        <w:rPr>
          <w:rFonts w:hint="eastAsia" w:ascii="Times New Roman" w:hAnsi="Times New Roman" w:cs="Times New Roman"/>
          <w:lang w:val="en-US" w:eastAsia="zh-CN" w:bidi="ar-SA"/>
        </w:rPr>
        <w:t>和</w:t>
      </w:r>
      <w:r>
        <w:rPr>
          <w:rFonts w:ascii="Times New Roman" w:hAnsi="Times New Roman" w:cs="Times New Roman"/>
          <w:lang w:val="en-US" w:eastAsia="zh-CN" w:bidi="ar-SA"/>
        </w:rPr>
        <w:t>热力所对应的</w:t>
      </w:r>
      <w:r>
        <w:rPr>
          <w:rFonts w:hint="eastAsia" w:ascii="Times New Roman" w:hAnsi="Times New Roman" w:cs="Times New Roman"/>
          <w:lang w:val="en-US" w:eastAsia="zh-CN" w:bidi="ar-SA"/>
        </w:rPr>
        <w:t>生产环节产生的二氧化</w:t>
      </w:r>
      <w:r>
        <w:rPr>
          <w:rFonts w:hint="eastAsia" w:ascii="Times New Roman" w:hAnsi="Times New Roman" w:cs="Times New Roman"/>
        </w:rPr>
        <w:t>碳</w:t>
      </w:r>
      <w:r>
        <w:rPr>
          <w:rFonts w:ascii="Times New Roman" w:hAnsi="Times New Roman" w:cs="Times New Roman"/>
          <w:lang w:val="en-US" w:eastAsia="zh-CN" w:bidi="ar-SA"/>
        </w:rPr>
        <w:t>排放。</w:t>
      </w:r>
    </w:p>
    <w:p w14:paraId="59BE0986">
      <w:pPr>
        <w:tabs>
          <w:tab w:val="left" w:pos="512"/>
          <w:tab w:val="left" w:pos="513"/>
          <w:tab w:val="right" w:pos="10208"/>
        </w:tabs>
        <w:spacing w:line="360" w:lineRule="auto"/>
        <w:rPr>
          <w:lang w:bidi="en-US"/>
        </w:rPr>
      </w:pPr>
      <w:r>
        <w:rPr>
          <w:rFonts w:hint="eastAsia"/>
          <w:lang w:bidi="en-US"/>
        </w:rPr>
        <w:t>4.3.4输出的电力、热力产生的排放</w:t>
      </w:r>
    </w:p>
    <w:p w14:paraId="6D98B658">
      <w:pPr>
        <w:pStyle w:val="151"/>
        <w:spacing w:after="0" w:line="360" w:lineRule="auto"/>
        <w:ind w:firstLine="403"/>
        <w:rPr>
          <w:rFonts w:ascii="Times New Roman" w:hAnsi="Times New Roman"/>
          <w:lang w:bidi="en-US"/>
        </w:rPr>
      </w:pPr>
      <w:r>
        <w:rPr>
          <w:rFonts w:hint="eastAsia" w:ascii="Times New Roman" w:hAnsi="Times New Roman" w:cs="Times New Roman"/>
          <w:lang w:val="en-US" w:eastAsia="zh-CN" w:bidi="ar-SA"/>
        </w:rPr>
        <w:t>稀土抛光粉生产企业输出的电力和热力所对应的生产环节产生的二氧化</w:t>
      </w:r>
      <w:r>
        <w:rPr>
          <w:rFonts w:hint="eastAsia" w:ascii="Times New Roman" w:hAnsi="Times New Roman" w:cs="Times New Roman"/>
        </w:rPr>
        <w:t>碳</w:t>
      </w:r>
      <w:r>
        <w:rPr>
          <w:rFonts w:hint="eastAsia" w:ascii="Times New Roman" w:hAnsi="Times New Roman" w:cs="Times New Roman"/>
          <w:lang w:val="en-US" w:eastAsia="zh-CN" w:bidi="ar-SA"/>
        </w:rPr>
        <w:t>排放。</w:t>
      </w:r>
    </w:p>
    <w:p w14:paraId="601FB698">
      <w:pPr>
        <w:tabs>
          <w:tab w:val="left" w:pos="512"/>
          <w:tab w:val="left" w:pos="513"/>
          <w:tab w:val="right" w:pos="10208"/>
        </w:tabs>
        <w:spacing w:line="360" w:lineRule="auto"/>
      </w:pPr>
      <w:r>
        <w:rPr>
          <w:lang w:bidi="en-US"/>
        </w:rPr>
        <w:t>4.</w:t>
      </w:r>
      <w:r>
        <w:rPr>
          <w:rFonts w:hint="eastAsia"/>
          <w:lang w:bidi="en-US"/>
        </w:rPr>
        <w:t>3</w:t>
      </w:r>
      <w:r>
        <w:rPr>
          <w:lang w:bidi="en-US"/>
        </w:rPr>
        <w:t>.</w:t>
      </w:r>
      <w:r>
        <w:rPr>
          <w:rFonts w:hint="eastAsia"/>
          <w:lang w:bidi="en-US"/>
        </w:rPr>
        <w:t>5</w:t>
      </w:r>
      <w:r>
        <w:rPr>
          <w:rFonts w:hint="eastAsia"/>
        </w:rPr>
        <w:t>废弃物处理处置排放</w:t>
      </w:r>
    </w:p>
    <w:p w14:paraId="5EF6C1F1">
      <w:pPr>
        <w:pStyle w:val="151"/>
        <w:spacing w:after="0" w:line="360" w:lineRule="auto"/>
        <w:ind w:firstLine="420" w:firstLineChars="200"/>
        <w:jc w:val="both"/>
        <w:rPr>
          <w:rFonts w:ascii="Times New Roman" w:hAnsi="Times New Roman" w:cs="Times New Roman"/>
          <w:lang w:val="en-US" w:eastAsia="zh-CN" w:bidi="ar-SA"/>
        </w:rPr>
      </w:pPr>
      <w:r>
        <w:rPr>
          <w:rFonts w:hint="eastAsia" w:ascii="Times New Roman" w:hAnsi="Times New Roman" w:cs="Times New Roman"/>
          <w:lang w:val="en-US" w:eastAsia="zh-CN" w:bidi="ar-SA"/>
        </w:rPr>
        <w:t>稀土抛光粉生产企业所涉及的废弃物处理处置排放主要包括：废弃物治理过程碳酸盐药剂分解产生的二氧化碳排放。例如洗涤塔处理废气过程中使用碳酸盐类碱洗液、酸性废水处理过程中使用碳酸盐中和酸类物质产生的二氧化碳排放。</w:t>
      </w:r>
    </w:p>
    <w:p w14:paraId="6BA9D4E8">
      <w:pPr>
        <w:pStyle w:val="151"/>
        <w:spacing w:after="0" w:line="360" w:lineRule="auto"/>
        <w:ind w:firstLine="420" w:firstLineChars="200"/>
        <w:jc w:val="both"/>
        <w:rPr>
          <w:rFonts w:ascii="Times New Roman" w:hAnsi="Times New Roman" w:cs="Times New Roman"/>
          <w:lang w:val="en-US" w:eastAsia="zh-CN" w:bidi="ar-SA"/>
        </w:rPr>
      </w:pPr>
      <w:r>
        <w:rPr>
          <w:rFonts w:hint="eastAsia" w:ascii="Times New Roman" w:hAnsi="Times New Roman" w:cs="Times New Roman"/>
          <w:lang w:val="en-US" w:eastAsia="zh-CN" w:bidi="ar-SA"/>
        </w:rPr>
        <w:t>稀土抛光粉生产企业所涉及的废弃物处理处置排放主要包括：</w:t>
      </w:r>
    </w:p>
    <w:p w14:paraId="76EDD3C2">
      <w:pPr>
        <w:pStyle w:val="151"/>
        <w:spacing w:after="0" w:line="360" w:lineRule="auto"/>
        <w:ind w:firstLine="420" w:firstLineChars="200"/>
        <w:jc w:val="both"/>
        <w:rPr>
          <w:rFonts w:ascii="Times New Roman" w:hAnsi="Times New Roman" w:cs="Times New Roman"/>
          <w:lang w:val="en-US" w:eastAsia="zh-CN" w:bidi="ar-SA"/>
        </w:rPr>
      </w:pPr>
      <w:r>
        <w:rPr>
          <w:rFonts w:ascii="Times New Roman" w:hAnsi="Times New Roman" w:cs="Times New Roman"/>
          <w:lang w:val="en-US" w:eastAsia="zh-CN" w:bidi="ar-SA"/>
        </w:rPr>
        <w:t xml:space="preserve">a) </w:t>
      </w:r>
      <w:r>
        <w:rPr>
          <w:rFonts w:hint="eastAsia" w:ascii="Times New Roman" w:hAnsi="Times New Roman" w:cs="Times New Roman"/>
          <w:lang w:val="en-US" w:eastAsia="zh-CN" w:bidi="ar-SA"/>
        </w:rPr>
        <w:t>废水处理排放：废水处理过程中投加碳酸盐类药剂发生化学反应分解产生的二氧化碳排放；废水好氧、厌氧生物处理降解有机物产生的生源性二氧化碳，本标准不予核算。</w:t>
      </w:r>
    </w:p>
    <w:p w14:paraId="6FC147BE">
      <w:pPr>
        <w:pStyle w:val="151"/>
        <w:spacing w:after="0" w:line="360" w:lineRule="auto"/>
        <w:ind w:firstLine="420" w:firstLineChars="200"/>
        <w:jc w:val="both"/>
        <w:rPr>
          <w:rFonts w:ascii="Times New Roman" w:hAnsi="Times New Roman" w:cs="Times New Roman"/>
          <w:lang w:val="en-US" w:eastAsia="zh-CN" w:bidi="ar-SA"/>
        </w:rPr>
      </w:pPr>
      <w:r>
        <w:rPr>
          <w:rFonts w:ascii="Times New Roman" w:hAnsi="Times New Roman" w:cs="Times New Roman"/>
          <w:lang w:val="en-US" w:eastAsia="zh-CN" w:bidi="ar-SA"/>
        </w:rPr>
        <w:t xml:space="preserve">b) </w:t>
      </w:r>
      <w:r>
        <w:rPr>
          <w:rFonts w:hint="eastAsia" w:ascii="Times New Roman" w:hAnsi="Times New Roman" w:cs="Times New Roman"/>
          <w:lang w:val="en-US" w:eastAsia="zh-CN" w:bidi="ar-SA"/>
        </w:rPr>
        <w:t>废气处理排放：洗涤塔处理废气过程中投加碳酸盐类药剂发生化学反应分解产生的二氧化碳排放。</w:t>
      </w:r>
    </w:p>
    <w:p w14:paraId="0BD77EAB">
      <w:pPr>
        <w:pStyle w:val="151"/>
        <w:spacing w:after="0" w:line="360" w:lineRule="auto"/>
        <w:ind w:firstLine="420" w:firstLineChars="200"/>
        <w:jc w:val="both"/>
        <w:rPr>
          <w:rFonts w:ascii="Times New Roman" w:hAnsi="Times New Roman" w:cs="Times New Roman"/>
          <w:lang w:val="en-US" w:eastAsia="zh-CN" w:bidi="ar-SA"/>
        </w:rPr>
      </w:pPr>
      <w:r>
        <w:rPr>
          <w:rFonts w:ascii="Times New Roman" w:hAnsi="Times New Roman" w:cs="Times New Roman"/>
          <w:lang w:val="en-US" w:eastAsia="zh-CN" w:bidi="ar-SA"/>
        </w:rPr>
        <w:t xml:space="preserve">c) </w:t>
      </w:r>
      <w:r>
        <w:rPr>
          <w:rFonts w:hint="eastAsia" w:ascii="Times New Roman" w:hAnsi="Times New Roman" w:cs="Times New Roman"/>
          <w:lang w:val="en-US" w:eastAsia="zh-CN" w:bidi="ar-SA"/>
        </w:rPr>
        <w:t>固体废物处理处置排放：厂区内固体废物自身发生化学反应产生的二氧化碳排放；稀土抛光粉生产企业常规工况下该项排放量通常为</w:t>
      </w:r>
      <w:r>
        <w:rPr>
          <w:rFonts w:ascii="Times New Roman" w:hAnsi="Times New Roman" w:cs="Times New Roman"/>
          <w:lang w:val="en-US" w:eastAsia="zh-CN" w:bidi="ar-SA"/>
        </w:rPr>
        <w:t>0；固体废物委托厂外第三方处置产生的二氧化碳不属于本标准核算边界。</w:t>
      </w:r>
    </w:p>
    <w:p w14:paraId="6C71370F">
      <w:pPr>
        <w:pStyle w:val="151"/>
        <w:spacing w:after="0" w:line="360" w:lineRule="auto"/>
        <w:ind w:firstLine="360" w:firstLineChars="200"/>
        <w:jc w:val="both"/>
        <w:rPr>
          <w:rFonts w:cs="Times New Roman"/>
          <w:sz w:val="18"/>
          <w:szCs w:val="18"/>
          <w:lang w:val="en-US" w:eastAsia="zh-CN" w:bidi="ar-SA"/>
        </w:rPr>
      </w:pPr>
      <w:r>
        <w:rPr>
          <w:rFonts w:hint="eastAsia" w:cs="Times New Roman"/>
          <w:sz w:val="18"/>
          <w:szCs w:val="18"/>
          <w:lang w:val="en-US" w:eastAsia="zh-CN" w:bidi="ar-SA"/>
        </w:rPr>
        <w:t>注：碳酸盐药剂仅实际发生分解反应释放二氧化碳的部分予以核算；随污泥沉淀析出、仅发生碳酸根离子转移而未分解释放二氧化碳的部分不计入本项排放。</w:t>
      </w:r>
    </w:p>
    <w:p w14:paraId="0B6C4F5F">
      <w:pPr>
        <w:spacing w:before="120" w:beforeLines="50" w:after="120" w:afterLines="50" w:line="360" w:lineRule="auto"/>
        <w:outlineLvl w:val="0"/>
        <w:rPr>
          <w:rFonts w:eastAsia="黑体"/>
          <w:bCs/>
        </w:rPr>
      </w:pPr>
      <w:bookmarkStart w:id="12" w:name="_Toc190159464"/>
      <w:bookmarkStart w:id="13" w:name="_Toc210116171"/>
      <w:r>
        <w:rPr>
          <w:rFonts w:eastAsia="黑体"/>
          <w:bCs/>
        </w:rPr>
        <w:t xml:space="preserve">5 </w:t>
      </w:r>
      <w:bookmarkEnd w:id="12"/>
      <w:r>
        <w:rPr>
          <w:rFonts w:hint="eastAsia" w:eastAsia="黑体"/>
          <w:bCs/>
        </w:rPr>
        <w:t>计量与监/检测要求</w:t>
      </w:r>
      <w:bookmarkEnd w:id="13"/>
    </w:p>
    <w:p w14:paraId="7EBD5BAE">
      <w:pPr>
        <w:pStyle w:val="3"/>
        <w:spacing w:before="0" w:after="0" w:line="360" w:lineRule="auto"/>
        <w:rPr>
          <w:rFonts w:ascii="Times New Roman" w:hAnsi="Times New Roman"/>
          <w:b w:val="0"/>
          <w:bCs w:val="0"/>
        </w:rPr>
      </w:pPr>
      <w:r>
        <w:rPr>
          <w:rFonts w:hint="eastAsia" w:ascii="Times New Roman" w:hAnsi="Times New Roman"/>
          <w:b w:val="0"/>
          <w:bCs w:val="0"/>
        </w:rPr>
        <w:t>5</w:t>
      </w:r>
      <w:r>
        <w:rPr>
          <w:rFonts w:ascii="Times New Roman" w:hAnsi="Times New Roman"/>
          <w:b w:val="0"/>
          <w:bCs w:val="0"/>
        </w:rPr>
        <w:t xml:space="preserve">.1 </w:t>
      </w:r>
      <w:r>
        <w:rPr>
          <w:rFonts w:hint="eastAsia" w:ascii="Times New Roman" w:hAnsi="Times New Roman"/>
          <w:b w:val="0"/>
          <w:bCs w:val="0"/>
        </w:rPr>
        <w:t>参数识别</w:t>
      </w:r>
    </w:p>
    <w:p w14:paraId="74FE3E13">
      <w:pPr>
        <w:pStyle w:val="151"/>
        <w:spacing w:after="0" w:line="360" w:lineRule="auto"/>
        <w:ind w:firstLine="403"/>
        <w:rPr>
          <w:rFonts w:ascii="Times New Roman" w:hAnsi="Times New Roman" w:cs="Times New Roman"/>
          <w:lang w:val="en-US" w:eastAsia="zh-CN" w:bidi="ar-SA"/>
        </w:rPr>
      </w:pPr>
      <w:r>
        <w:rPr>
          <w:rFonts w:hint="eastAsia" w:ascii="Times New Roman" w:hAnsi="Times New Roman" w:cs="Times New Roman"/>
          <w:lang w:val="en-US" w:eastAsia="zh-CN" w:bidi="ar-SA"/>
        </w:rPr>
        <w:t>稀土抛光粉生产企业温室气体排放计量与监检测参数按表</w:t>
      </w:r>
      <w:r>
        <w:rPr>
          <w:rFonts w:ascii="Times New Roman" w:hAnsi="Times New Roman" w:cs="Times New Roman"/>
          <w:lang w:val="en-US" w:eastAsia="zh-CN" w:bidi="ar-SA"/>
        </w:rPr>
        <w:t>1识别。</w:t>
      </w:r>
    </w:p>
    <w:p w14:paraId="2933BB75">
      <w:pPr>
        <w:pStyle w:val="151"/>
        <w:snapToGrid w:val="0"/>
        <w:spacing w:after="0" w:line="360" w:lineRule="exact"/>
        <w:ind w:firstLine="403"/>
        <w:jc w:val="center"/>
        <w:rPr>
          <w:rFonts w:ascii="Times New Roman" w:hAnsi="Times New Roman" w:cs="Times New Roman"/>
          <w:lang w:val="en-US" w:eastAsia="zh-CN" w:bidi="ar-SA"/>
        </w:rPr>
      </w:pPr>
      <w:r>
        <w:rPr>
          <w:rFonts w:hint="eastAsia" w:ascii="Times New Roman" w:hAnsi="Times New Roman" w:cs="Times New Roman"/>
          <w:lang w:val="en-US" w:eastAsia="zh-CN" w:bidi="ar-SA"/>
        </w:rPr>
        <w:t>表</w:t>
      </w:r>
      <w:r>
        <w:rPr>
          <w:rFonts w:ascii="Times New Roman" w:hAnsi="Times New Roman" w:cs="Times New Roman"/>
          <w:lang w:val="en-US" w:eastAsia="zh-CN" w:bidi="ar-SA"/>
        </w:rPr>
        <w:t xml:space="preserve">1 </w:t>
      </w:r>
      <w:r>
        <w:rPr>
          <w:rFonts w:hint="eastAsia" w:ascii="Times New Roman" w:hAnsi="Times New Roman" w:cs="Times New Roman"/>
          <w:lang w:val="en-US" w:eastAsia="zh-CN" w:bidi="ar-SA"/>
        </w:rPr>
        <w:t>稀土抛光粉生产企业温室气体排放计量与监检测参数识别</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5"/>
        <w:gridCol w:w="2030"/>
        <w:gridCol w:w="2910"/>
        <w:gridCol w:w="2223"/>
      </w:tblGrid>
      <w:tr w14:paraId="6325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75" w:type="dxa"/>
            <w:vAlign w:val="center"/>
          </w:tcPr>
          <w:p w14:paraId="29EF0740">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排放源名称</w:t>
            </w:r>
          </w:p>
        </w:tc>
        <w:tc>
          <w:tcPr>
            <w:tcW w:w="2030" w:type="dxa"/>
            <w:vAlign w:val="center"/>
          </w:tcPr>
          <w:p w14:paraId="70A73CDD">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具体的排放源</w:t>
            </w:r>
          </w:p>
        </w:tc>
        <w:tc>
          <w:tcPr>
            <w:tcW w:w="2910" w:type="dxa"/>
            <w:vAlign w:val="center"/>
          </w:tcPr>
          <w:p w14:paraId="49ABB27E">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计量与监检测参数类型</w:t>
            </w:r>
          </w:p>
        </w:tc>
        <w:tc>
          <w:tcPr>
            <w:tcW w:w="2223" w:type="dxa"/>
            <w:vAlign w:val="center"/>
          </w:tcPr>
          <w:p w14:paraId="68706EB5">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计量与监检测方法</w:t>
            </w:r>
          </w:p>
        </w:tc>
      </w:tr>
      <w:tr w14:paraId="7A96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75" w:type="dxa"/>
            <w:vMerge w:val="restart"/>
            <w:vAlign w:val="center"/>
          </w:tcPr>
          <w:p w14:paraId="16BDF143">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化石燃料燃烧排放</w:t>
            </w:r>
          </w:p>
        </w:tc>
        <w:tc>
          <w:tcPr>
            <w:tcW w:w="2030" w:type="dxa"/>
            <w:vMerge w:val="restart"/>
            <w:vAlign w:val="center"/>
          </w:tcPr>
          <w:p w14:paraId="06957104">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煤炭、柴油、重油、天然气、液化石油气等化石燃料燃烧排放</w:t>
            </w:r>
          </w:p>
        </w:tc>
        <w:tc>
          <w:tcPr>
            <w:tcW w:w="2910" w:type="dxa"/>
            <w:vAlign w:val="center"/>
          </w:tcPr>
          <w:p w14:paraId="534ADC46">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化石燃料消耗量</w:t>
            </w:r>
          </w:p>
        </w:tc>
        <w:tc>
          <w:tcPr>
            <w:tcW w:w="2223" w:type="dxa"/>
            <w:vAlign w:val="center"/>
          </w:tcPr>
          <w:p w14:paraId="7A46F2E9">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衡器、液体流量计、气体流量计、物料台账</w:t>
            </w:r>
          </w:p>
        </w:tc>
      </w:tr>
      <w:tr w14:paraId="7B9E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75" w:type="dxa"/>
            <w:vMerge w:val="continue"/>
            <w:vAlign w:val="center"/>
          </w:tcPr>
          <w:p w14:paraId="393E6833">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continue"/>
            <w:vAlign w:val="center"/>
          </w:tcPr>
          <w:p w14:paraId="40CFBB5D">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910" w:type="dxa"/>
            <w:vAlign w:val="center"/>
          </w:tcPr>
          <w:p w14:paraId="14BF012B">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低位发热量</w:t>
            </w:r>
          </w:p>
        </w:tc>
        <w:tc>
          <w:tcPr>
            <w:tcW w:w="2223" w:type="dxa"/>
            <w:vAlign w:val="center"/>
          </w:tcPr>
          <w:p w14:paraId="173C3EBB">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热量测定、检测报告</w:t>
            </w:r>
          </w:p>
        </w:tc>
      </w:tr>
      <w:tr w14:paraId="1D0E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75" w:type="dxa"/>
            <w:vMerge w:val="restart"/>
            <w:vAlign w:val="center"/>
          </w:tcPr>
          <w:p w14:paraId="2356BEB4">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过程排放</w:t>
            </w:r>
          </w:p>
        </w:tc>
        <w:tc>
          <w:tcPr>
            <w:tcW w:w="2030" w:type="dxa"/>
            <w:vMerge w:val="restart"/>
            <w:vAlign w:val="center"/>
          </w:tcPr>
          <w:p w14:paraId="2683CA68">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厂内稀土原料与沉淀剂反应制备稀土前驱体的沉淀工序产生的二氧化碳排放</w:t>
            </w:r>
          </w:p>
        </w:tc>
        <w:tc>
          <w:tcPr>
            <w:tcW w:w="2910" w:type="dxa"/>
            <w:vAlign w:val="center"/>
          </w:tcPr>
          <w:p w14:paraId="6DBD6E5D">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rPr>
              <w:t>沉淀剂消耗量</w:t>
            </w:r>
          </w:p>
        </w:tc>
        <w:tc>
          <w:tcPr>
            <w:tcW w:w="2223" w:type="dxa"/>
            <w:vAlign w:val="center"/>
          </w:tcPr>
          <w:p w14:paraId="66B63377">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衡器、物料台账</w:t>
            </w:r>
          </w:p>
        </w:tc>
      </w:tr>
      <w:tr w14:paraId="1ABE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75" w:type="dxa"/>
            <w:vMerge w:val="continue"/>
            <w:vAlign w:val="center"/>
          </w:tcPr>
          <w:p w14:paraId="3F4909AC">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continue"/>
            <w:vAlign w:val="center"/>
          </w:tcPr>
          <w:p w14:paraId="37802F8F">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910" w:type="dxa"/>
            <w:vAlign w:val="center"/>
          </w:tcPr>
          <w:p w14:paraId="1667D187">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rPr>
              <w:t>沉淀剂有效组分质量分数</w:t>
            </w:r>
          </w:p>
        </w:tc>
        <w:tc>
          <w:tcPr>
            <w:tcW w:w="2223" w:type="dxa"/>
            <w:vAlign w:val="center"/>
          </w:tcPr>
          <w:p w14:paraId="5B1A7635">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供应商材质单</w:t>
            </w:r>
            <w:r>
              <w:rPr>
                <w:rFonts w:ascii="Times New Roman" w:hAnsi="Times New Roman" w:cs="Times New Roman"/>
                <w:sz w:val="18"/>
                <w:szCs w:val="18"/>
                <w:lang w:val="en-US" w:eastAsia="zh-CN" w:bidi="ar-SA"/>
              </w:rPr>
              <w:t>/检测报告</w:t>
            </w:r>
          </w:p>
        </w:tc>
      </w:tr>
      <w:tr w14:paraId="1B49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75" w:type="dxa"/>
            <w:vMerge w:val="continue"/>
            <w:vAlign w:val="center"/>
          </w:tcPr>
          <w:p w14:paraId="331FC94F">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continue"/>
            <w:vAlign w:val="center"/>
          </w:tcPr>
          <w:p w14:paraId="2270F22F">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910" w:type="dxa"/>
            <w:vAlign w:val="center"/>
          </w:tcPr>
          <w:p w14:paraId="58643095">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rPr>
              <w:t>沉淀反应转化比例</w:t>
            </w:r>
          </w:p>
        </w:tc>
        <w:tc>
          <w:tcPr>
            <w:tcW w:w="2223" w:type="dxa"/>
            <w:vAlign w:val="center"/>
          </w:tcPr>
          <w:p w14:paraId="1C5FAC50">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rPr>
              <w:t>物料衡算</w:t>
            </w:r>
          </w:p>
        </w:tc>
      </w:tr>
      <w:tr w14:paraId="458C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975" w:type="dxa"/>
            <w:vMerge w:val="continue"/>
            <w:vAlign w:val="center"/>
          </w:tcPr>
          <w:p w14:paraId="5E17A352">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restart"/>
            <w:vAlign w:val="center"/>
          </w:tcPr>
          <w:p w14:paraId="7C8ED3F8">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碳酸稀土分解产生的二氧化碳排放</w:t>
            </w:r>
          </w:p>
        </w:tc>
        <w:tc>
          <w:tcPr>
            <w:tcW w:w="2910" w:type="dxa"/>
            <w:vAlign w:val="center"/>
          </w:tcPr>
          <w:p w14:paraId="538E8427">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碳酸稀土消耗量</w:t>
            </w:r>
          </w:p>
        </w:tc>
        <w:tc>
          <w:tcPr>
            <w:tcW w:w="2223" w:type="dxa"/>
            <w:vAlign w:val="center"/>
          </w:tcPr>
          <w:p w14:paraId="76E9A823">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衡器、物料台账</w:t>
            </w:r>
          </w:p>
        </w:tc>
      </w:tr>
      <w:tr w14:paraId="6011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75" w:type="dxa"/>
            <w:vMerge w:val="continue"/>
            <w:vAlign w:val="center"/>
          </w:tcPr>
          <w:p w14:paraId="421287D7">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continue"/>
            <w:vAlign w:val="center"/>
          </w:tcPr>
          <w:p w14:paraId="0A86E2D4">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910" w:type="dxa"/>
            <w:vAlign w:val="center"/>
          </w:tcPr>
          <w:p w14:paraId="1350320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碳酸稀土质量分数及分解比例</w:t>
            </w:r>
          </w:p>
        </w:tc>
        <w:tc>
          <w:tcPr>
            <w:tcW w:w="2223" w:type="dxa"/>
            <w:vAlign w:val="center"/>
          </w:tcPr>
          <w:p w14:paraId="029C8E8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供应商材质单</w:t>
            </w:r>
            <w:r>
              <w:rPr>
                <w:rFonts w:ascii="Times New Roman" w:hAnsi="Times New Roman" w:cs="Times New Roman"/>
                <w:sz w:val="18"/>
                <w:szCs w:val="18"/>
                <w:lang w:val="en-US" w:eastAsia="zh-CN" w:bidi="ar-SA"/>
              </w:rPr>
              <w:t>/检测报告</w:t>
            </w:r>
          </w:p>
        </w:tc>
      </w:tr>
      <w:tr w14:paraId="26DB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75" w:type="dxa"/>
            <w:vMerge w:val="continue"/>
            <w:vAlign w:val="center"/>
          </w:tcPr>
          <w:p w14:paraId="0A9185FA">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restart"/>
            <w:vAlign w:val="center"/>
          </w:tcPr>
          <w:p w14:paraId="5DEBE218">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添加剂产生的二氧化碳排放</w:t>
            </w:r>
          </w:p>
        </w:tc>
        <w:tc>
          <w:tcPr>
            <w:tcW w:w="2910" w:type="dxa"/>
            <w:vAlign w:val="center"/>
          </w:tcPr>
          <w:p w14:paraId="1F78CCF9">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添加剂消耗量</w:t>
            </w:r>
          </w:p>
        </w:tc>
        <w:tc>
          <w:tcPr>
            <w:tcW w:w="2223" w:type="dxa"/>
            <w:vAlign w:val="center"/>
          </w:tcPr>
          <w:p w14:paraId="73C5610F">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衡器、物料台账</w:t>
            </w:r>
          </w:p>
        </w:tc>
      </w:tr>
      <w:tr w14:paraId="6134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75" w:type="dxa"/>
            <w:vMerge w:val="continue"/>
            <w:vAlign w:val="center"/>
          </w:tcPr>
          <w:p w14:paraId="4EF2FF5C">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continue"/>
            <w:vAlign w:val="center"/>
          </w:tcPr>
          <w:p w14:paraId="731736CD">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910" w:type="dxa"/>
            <w:vAlign w:val="center"/>
          </w:tcPr>
          <w:p w14:paraId="7BC4E052">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添加剂含碳量</w:t>
            </w:r>
          </w:p>
        </w:tc>
        <w:tc>
          <w:tcPr>
            <w:tcW w:w="2223" w:type="dxa"/>
            <w:vAlign w:val="center"/>
          </w:tcPr>
          <w:p w14:paraId="1D10BDA1">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供应商材质单</w:t>
            </w:r>
            <w:r>
              <w:rPr>
                <w:rFonts w:ascii="Times New Roman" w:hAnsi="Times New Roman" w:cs="Times New Roman"/>
                <w:sz w:val="18"/>
                <w:szCs w:val="18"/>
                <w:lang w:val="en-US" w:eastAsia="zh-CN" w:bidi="ar-SA"/>
              </w:rPr>
              <w:t>/检测报告</w:t>
            </w:r>
          </w:p>
        </w:tc>
      </w:tr>
      <w:tr w14:paraId="201C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75" w:type="dxa"/>
            <w:vMerge w:val="continue"/>
            <w:vAlign w:val="center"/>
          </w:tcPr>
          <w:p w14:paraId="5A3A50F9">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restart"/>
            <w:vAlign w:val="center"/>
          </w:tcPr>
          <w:p w14:paraId="28733791">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其他含碳原料产生的二氧化碳排放</w:t>
            </w:r>
          </w:p>
        </w:tc>
        <w:tc>
          <w:tcPr>
            <w:tcW w:w="2910" w:type="dxa"/>
            <w:vAlign w:val="center"/>
          </w:tcPr>
          <w:p w14:paraId="79282BB4">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其他含碳原料消耗量</w:t>
            </w:r>
          </w:p>
        </w:tc>
        <w:tc>
          <w:tcPr>
            <w:tcW w:w="2223" w:type="dxa"/>
            <w:vAlign w:val="center"/>
          </w:tcPr>
          <w:p w14:paraId="3831BB42">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衡器、物料台账</w:t>
            </w:r>
          </w:p>
        </w:tc>
      </w:tr>
      <w:tr w14:paraId="562B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75" w:type="dxa"/>
            <w:vMerge w:val="continue"/>
            <w:vAlign w:val="center"/>
          </w:tcPr>
          <w:p w14:paraId="64D596AB">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continue"/>
            <w:vAlign w:val="center"/>
          </w:tcPr>
          <w:p w14:paraId="1574910F">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910" w:type="dxa"/>
            <w:vAlign w:val="center"/>
          </w:tcPr>
          <w:p w14:paraId="2B1E9B6C">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其他含碳原料含碳量</w:t>
            </w:r>
          </w:p>
        </w:tc>
        <w:tc>
          <w:tcPr>
            <w:tcW w:w="2223" w:type="dxa"/>
            <w:vAlign w:val="center"/>
          </w:tcPr>
          <w:p w14:paraId="329D8880">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供应商材质单</w:t>
            </w:r>
            <w:r>
              <w:rPr>
                <w:rFonts w:ascii="Times New Roman" w:hAnsi="Times New Roman" w:cs="Times New Roman"/>
                <w:sz w:val="18"/>
                <w:szCs w:val="18"/>
                <w:lang w:val="en-US" w:eastAsia="zh-CN" w:bidi="ar-SA"/>
              </w:rPr>
              <w:t>/检测报告</w:t>
            </w:r>
          </w:p>
        </w:tc>
      </w:tr>
      <w:tr w14:paraId="47CE6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75" w:type="dxa"/>
            <w:vMerge w:val="restart"/>
            <w:vAlign w:val="center"/>
          </w:tcPr>
          <w:p w14:paraId="77B61977">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废弃物处理处置排放</w:t>
            </w:r>
          </w:p>
        </w:tc>
        <w:tc>
          <w:tcPr>
            <w:tcW w:w="2030" w:type="dxa"/>
            <w:vMerge w:val="restart"/>
            <w:vAlign w:val="center"/>
          </w:tcPr>
          <w:p w14:paraId="057955A4">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碳酸盐反应分解产生的二氧化碳排放（洗涤塔废气碱洗、酸性废水中和</w:t>
            </w:r>
            <w:r>
              <w:rPr>
                <w:rFonts w:hint="eastAsia" w:ascii="Times New Roman" w:hAnsi="Times New Roman" w:cs="Times New Roman"/>
                <w:sz w:val="18"/>
                <w:szCs w:val="18"/>
                <w:lang w:val="en-US" w:eastAsia="zh-CN" w:bidi="ar-SA"/>
              </w:rPr>
              <w:t>处理</w:t>
            </w:r>
            <w:r>
              <w:rPr>
                <w:rFonts w:ascii="Times New Roman" w:hAnsi="Times New Roman" w:cs="Times New Roman"/>
                <w:sz w:val="18"/>
                <w:szCs w:val="18"/>
                <w:lang w:val="en-US" w:eastAsia="zh-CN" w:bidi="ar-SA"/>
              </w:rPr>
              <w:t>等）</w:t>
            </w:r>
          </w:p>
        </w:tc>
        <w:tc>
          <w:tcPr>
            <w:tcW w:w="2910" w:type="dxa"/>
            <w:vAlign w:val="center"/>
          </w:tcPr>
          <w:p w14:paraId="506C2DD8">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碳酸盐消耗量</w:t>
            </w:r>
          </w:p>
        </w:tc>
        <w:tc>
          <w:tcPr>
            <w:tcW w:w="2223" w:type="dxa"/>
            <w:vAlign w:val="center"/>
          </w:tcPr>
          <w:p w14:paraId="5C5DDDE1">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衡器、物料台账</w:t>
            </w:r>
          </w:p>
        </w:tc>
      </w:tr>
      <w:tr w14:paraId="4B96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75" w:type="dxa"/>
            <w:vMerge w:val="continue"/>
            <w:vAlign w:val="center"/>
          </w:tcPr>
          <w:p w14:paraId="228C16A4">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continue"/>
            <w:vAlign w:val="center"/>
          </w:tcPr>
          <w:p w14:paraId="6CDE6F42">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910" w:type="dxa"/>
            <w:vAlign w:val="center"/>
          </w:tcPr>
          <w:p w14:paraId="20A70942">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碳酸盐纯度或化学组分</w:t>
            </w:r>
          </w:p>
        </w:tc>
        <w:tc>
          <w:tcPr>
            <w:tcW w:w="2223" w:type="dxa"/>
            <w:vAlign w:val="center"/>
          </w:tcPr>
          <w:p w14:paraId="010FF7E6">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供应商材质单</w:t>
            </w:r>
            <w:r>
              <w:rPr>
                <w:rFonts w:ascii="Times New Roman" w:hAnsi="Times New Roman" w:cs="Times New Roman"/>
                <w:sz w:val="18"/>
                <w:szCs w:val="18"/>
                <w:lang w:val="en-US" w:eastAsia="zh-CN" w:bidi="ar-SA"/>
              </w:rPr>
              <w:t>/检测报告</w:t>
            </w:r>
          </w:p>
        </w:tc>
      </w:tr>
      <w:tr w14:paraId="58C5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975" w:type="dxa"/>
            <w:vMerge w:val="continue"/>
            <w:vAlign w:val="center"/>
          </w:tcPr>
          <w:p w14:paraId="6FB9F264">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continue"/>
            <w:vAlign w:val="center"/>
          </w:tcPr>
          <w:p w14:paraId="629E859C">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910" w:type="dxa"/>
            <w:vAlign w:val="center"/>
          </w:tcPr>
          <w:p w14:paraId="09C6DA75">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碳酸盐药剂实际反应分解比例</w:t>
            </w:r>
          </w:p>
        </w:tc>
        <w:tc>
          <w:tcPr>
            <w:tcW w:w="2223" w:type="dxa"/>
            <w:vAlign w:val="center"/>
          </w:tcPr>
          <w:p w14:paraId="070EADE7">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rPr>
              <w:t>物料衡算、污泥残余组分检测</w:t>
            </w:r>
          </w:p>
        </w:tc>
      </w:tr>
      <w:tr w14:paraId="6068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75" w:type="dxa"/>
            <w:vMerge w:val="restart"/>
            <w:vAlign w:val="center"/>
          </w:tcPr>
          <w:p w14:paraId="159A6922">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购入和输出的电力、热力产生的排放</w:t>
            </w:r>
          </w:p>
        </w:tc>
        <w:tc>
          <w:tcPr>
            <w:tcW w:w="2030" w:type="dxa"/>
            <w:vAlign w:val="center"/>
          </w:tcPr>
          <w:p w14:paraId="0B1531DC">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购入和输出的电力产生的排放</w:t>
            </w:r>
          </w:p>
        </w:tc>
        <w:tc>
          <w:tcPr>
            <w:tcW w:w="2910" w:type="dxa"/>
            <w:vAlign w:val="center"/>
          </w:tcPr>
          <w:p w14:paraId="383F5C4F">
            <w:pPr>
              <w:jc w:val="center"/>
              <w:rPr>
                <w:sz w:val="18"/>
                <w:szCs w:val="18"/>
              </w:rPr>
            </w:pPr>
            <w:r>
              <w:rPr>
                <w:rFonts w:hint="eastAsia"/>
                <w:sz w:val="18"/>
                <w:szCs w:val="18"/>
              </w:rPr>
              <w:t>购入和输出电量</w:t>
            </w:r>
          </w:p>
          <w:p w14:paraId="35E0D00A">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223" w:type="dxa"/>
            <w:vAlign w:val="center"/>
          </w:tcPr>
          <w:p w14:paraId="5D465E52">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电表或电费发票的用电量</w:t>
            </w:r>
          </w:p>
        </w:tc>
      </w:tr>
      <w:tr w14:paraId="34058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975" w:type="dxa"/>
            <w:vMerge w:val="continue"/>
            <w:vAlign w:val="center"/>
          </w:tcPr>
          <w:p w14:paraId="61F25CB1">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restart"/>
            <w:vAlign w:val="center"/>
          </w:tcPr>
          <w:p w14:paraId="4B95AA44">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购入和输出的热力产生的排放</w:t>
            </w:r>
          </w:p>
        </w:tc>
        <w:tc>
          <w:tcPr>
            <w:tcW w:w="2910" w:type="dxa"/>
            <w:vAlign w:val="center"/>
          </w:tcPr>
          <w:p w14:paraId="05E219B9">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购入和输出蒸汽量、蒸汽温度、蒸汽压力</w:t>
            </w:r>
          </w:p>
        </w:tc>
        <w:tc>
          <w:tcPr>
            <w:tcW w:w="2223" w:type="dxa"/>
            <w:vAlign w:val="center"/>
          </w:tcPr>
          <w:p w14:paraId="6672ED45">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流量仪表、温度仪表、压力仪表</w:t>
            </w:r>
          </w:p>
        </w:tc>
      </w:tr>
      <w:tr w14:paraId="0A9D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975" w:type="dxa"/>
            <w:vMerge w:val="continue"/>
            <w:vAlign w:val="center"/>
          </w:tcPr>
          <w:p w14:paraId="3B6F9DED">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030" w:type="dxa"/>
            <w:vMerge w:val="continue"/>
            <w:vAlign w:val="center"/>
          </w:tcPr>
          <w:p w14:paraId="725366B1">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2910" w:type="dxa"/>
            <w:vAlign w:val="center"/>
          </w:tcPr>
          <w:p w14:paraId="74DFC96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购入和输出热水量、热水温度</w:t>
            </w:r>
          </w:p>
        </w:tc>
        <w:tc>
          <w:tcPr>
            <w:tcW w:w="2223" w:type="dxa"/>
            <w:vAlign w:val="center"/>
          </w:tcPr>
          <w:p w14:paraId="5475C12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流量仪表、温度仪表</w:t>
            </w:r>
          </w:p>
        </w:tc>
      </w:tr>
    </w:tbl>
    <w:p w14:paraId="6E37720D">
      <w:pPr>
        <w:pStyle w:val="3"/>
        <w:tabs>
          <w:tab w:val="left" w:pos="512"/>
          <w:tab w:val="left" w:pos="513"/>
          <w:tab w:val="right" w:pos="10208"/>
        </w:tabs>
        <w:spacing w:before="0" w:after="0" w:line="360" w:lineRule="auto"/>
        <w:rPr>
          <w:rFonts w:ascii="Times New Roman" w:hAnsi="Times New Roman"/>
          <w:b w:val="0"/>
          <w:bCs w:val="0"/>
        </w:rPr>
      </w:pPr>
    </w:p>
    <w:p w14:paraId="0D1770AB">
      <w:pPr>
        <w:pStyle w:val="3"/>
        <w:tabs>
          <w:tab w:val="left" w:pos="512"/>
          <w:tab w:val="left" w:pos="513"/>
          <w:tab w:val="right" w:pos="10208"/>
        </w:tabs>
        <w:spacing w:before="0" w:after="0" w:line="360" w:lineRule="auto"/>
        <w:rPr>
          <w:rFonts w:ascii="Times New Roman" w:hAnsi="Times New Roman"/>
          <w:b w:val="0"/>
          <w:bCs w:val="0"/>
        </w:rPr>
      </w:pPr>
      <w:r>
        <w:rPr>
          <w:rFonts w:hint="eastAsia" w:ascii="Times New Roman" w:hAnsi="Times New Roman"/>
          <w:b w:val="0"/>
          <w:bCs w:val="0"/>
        </w:rPr>
        <w:t>5</w:t>
      </w:r>
      <w:r>
        <w:rPr>
          <w:rFonts w:ascii="Times New Roman" w:hAnsi="Times New Roman"/>
          <w:b w:val="0"/>
          <w:bCs w:val="0"/>
        </w:rPr>
        <w:t>.</w:t>
      </w:r>
      <w:r>
        <w:rPr>
          <w:rFonts w:hint="eastAsia" w:ascii="Times New Roman" w:hAnsi="Times New Roman"/>
          <w:b w:val="0"/>
          <w:bCs w:val="0"/>
        </w:rPr>
        <w:t>2</w:t>
      </w:r>
      <w:r>
        <w:rPr>
          <w:rFonts w:ascii="Times New Roman" w:hAnsi="Times New Roman"/>
          <w:b w:val="0"/>
          <w:bCs w:val="0"/>
        </w:rPr>
        <w:t xml:space="preserve"> 化石燃料消耗量计量与监检测要求</w:t>
      </w:r>
    </w:p>
    <w:p w14:paraId="2403FB8B">
      <w:pPr>
        <w:tabs>
          <w:tab w:val="left" w:pos="512"/>
          <w:tab w:val="left" w:pos="513"/>
          <w:tab w:val="right" w:pos="10208"/>
        </w:tabs>
        <w:spacing w:line="360" w:lineRule="auto"/>
        <w:rPr>
          <w:lang w:bidi="en-US"/>
        </w:rPr>
      </w:pPr>
      <w:r>
        <w:rPr>
          <w:rFonts w:hint="eastAsia"/>
          <w:lang w:bidi="en-US"/>
        </w:rPr>
        <w:t>5.2.1 化石燃料消耗量计量监测要求</w:t>
      </w:r>
    </w:p>
    <w:p w14:paraId="7F911EB8">
      <w:pPr>
        <w:pStyle w:val="151"/>
        <w:snapToGrid w:val="0"/>
        <w:spacing w:after="0" w:line="360" w:lineRule="exact"/>
        <w:jc w:val="both"/>
        <w:rPr>
          <w:rFonts w:ascii="Times New Roman" w:hAnsi="Times New Roman" w:cs="Times New Roman"/>
          <w:lang w:val="en-US" w:eastAsia="zh-CN" w:bidi="ar-SA"/>
        </w:rPr>
      </w:pPr>
      <w:r>
        <w:rPr>
          <w:rFonts w:hint="eastAsia" w:ascii="Times New Roman" w:hAnsi="Times New Roman" w:cs="Times New Roman"/>
          <w:lang w:val="en-US" w:eastAsia="zh-CN" w:bidi="ar-SA"/>
        </w:rPr>
        <w:t>稀土抛光粉生产企业化石燃料消耗量的计量与监检测要求按表</w:t>
      </w:r>
      <w:r>
        <w:rPr>
          <w:rFonts w:ascii="Times New Roman" w:hAnsi="Times New Roman" w:cs="Times New Roman"/>
          <w:lang w:val="en-US" w:eastAsia="zh-CN" w:bidi="ar-SA"/>
        </w:rPr>
        <w:t>2。</w:t>
      </w:r>
    </w:p>
    <w:p w14:paraId="1AC50491">
      <w:pPr>
        <w:pStyle w:val="151"/>
        <w:snapToGrid w:val="0"/>
        <w:spacing w:after="0" w:line="360" w:lineRule="exact"/>
        <w:ind w:firstLine="403"/>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表</w:t>
      </w:r>
      <w:r>
        <w:rPr>
          <w:rFonts w:ascii="Times New Roman" w:hAnsi="Times New Roman" w:cs="Times New Roman"/>
          <w:sz w:val="18"/>
          <w:szCs w:val="18"/>
          <w:lang w:val="en-US" w:eastAsia="zh-CN" w:bidi="ar-SA"/>
        </w:rPr>
        <w:t xml:space="preserve">2 </w:t>
      </w:r>
      <w:r>
        <w:rPr>
          <w:rFonts w:hint="eastAsia" w:ascii="Times New Roman" w:hAnsi="Times New Roman" w:cs="Times New Roman"/>
          <w:sz w:val="18"/>
          <w:szCs w:val="18"/>
          <w:lang w:val="en-US" w:eastAsia="zh-CN" w:bidi="ar-SA"/>
        </w:rPr>
        <w:t>化石燃料消耗量计量与监检测要求</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1700"/>
        <w:gridCol w:w="1538"/>
        <w:gridCol w:w="1277"/>
        <w:gridCol w:w="1273"/>
        <w:gridCol w:w="1134"/>
        <w:gridCol w:w="1321"/>
      </w:tblGrid>
      <w:tr w14:paraId="5E48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vAlign w:val="center"/>
          </w:tcPr>
          <w:p w14:paraId="63B83149">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燃料类型</w:t>
            </w:r>
          </w:p>
        </w:tc>
        <w:tc>
          <w:tcPr>
            <w:tcW w:w="1700" w:type="dxa"/>
            <w:vAlign w:val="center"/>
          </w:tcPr>
          <w:p w14:paraId="474AF187">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计量器具</w:t>
            </w:r>
          </w:p>
        </w:tc>
        <w:tc>
          <w:tcPr>
            <w:tcW w:w="1538" w:type="dxa"/>
            <w:vAlign w:val="center"/>
          </w:tcPr>
          <w:p w14:paraId="6528F052">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准确度等级</w:t>
            </w:r>
          </w:p>
        </w:tc>
        <w:tc>
          <w:tcPr>
            <w:tcW w:w="1277" w:type="dxa"/>
            <w:vAlign w:val="center"/>
          </w:tcPr>
          <w:p w14:paraId="37437852">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计量设备</w:t>
            </w:r>
          </w:p>
          <w:p w14:paraId="0528E695">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溯源方式</w:t>
            </w:r>
          </w:p>
        </w:tc>
        <w:tc>
          <w:tcPr>
            <w:tcW w:w="1273" w:type="dxa"/>
            <w:vAlign w:val="center"/>
          </w:tcPr>
          <w:p w14:paraId="7216A000">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溯源频次</w:t>
            </w:r>
          </w:p>
        </w:tc>
        <w:tc>
          <w:tcPr>
            <w:tcW w:w="1134" w:type="dxa"/>
            <w:vAlign w:val="center"/>
          </w:tcPr>
          <w:p w14:paraId="6333F786">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计量频次</w:t>
            </w:r>
          </w:p>
        </w:tc>
        <w:tc>
          <w:tcPr>
            <w:tcW w:w="1321" w:type="dxa"/>
            <w:vAlign w:val="center"/>
          </w:tcPr>
          <w:p w14:paraId="17655F89">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记录频次</w:t>
            </w:r>
          </w:p>
        </w:tc>
      </w:tr>
      <w:tr w14:paraId="1007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vMerge w:val="restart"/>
            <w:vAlign w:val="center"/>
          </w:tcPr>
          <w:p w14:paraId="53604D5C">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固态燃料</w:t>
            </w:r>
          </w:p>
        </w:tc>
        <w:tc>
          <w:tcPr>
            <w:tcW w:w="1700" w:type="dxa"/>
            <w:vAlign w:val="center"/>
          </w:tcPr>
          <w:p w14:paraId="06C154F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非自动衡器</w:t>
            </w:r>
          </w:p>
        </w:tc>
        <w:tc>
          <w:tcPr>
            <w:tcW w:w="1538" w:type="dxa"/>
            <w:vAlign w:val="center"/>
          </w:tcPr>
          <w:p w14:paraId="0D004E1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0.1</w:t>
            </w:r>
          </w:p>
        </w:tc>
        <w:tc>
          <w:tcPr>
            <w:tcW w:w="1277" w:type="dxa"/>
            <w:vAlign w:val="center"/>
          </w:tcPr>
          <w:p w14:paraId="7068D3EE">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检定</w:t>
            </w:r>
          </w:p>
        </w:tc>
        <w:tc>
          <w:tcPr>
            <w:tcW w:w="1273" w:type="dxa"/>
            <w:vAlign w:val="center"/>
          </w:tcPr>
          <w:p w14:paraId="2D7340CD">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1次/12个月</w:t>
            </w:r>
          </w:p>
        </w:tc>
        <w:tc>
          <w:tcPr>
            <w:tcW w:w="1134" w:type="dxa"/>
            <w:vAlign w:val="center"/>
          </w:tcPr>
          <w:p w14:paraId="3BCEBE8D">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每批</w:t>
            </w:r>
          </w:p>
        </w:tc>
        <w:tc>
          <w:tcPr>
            <w:tcW w:w="1321" w:type="dxa"/>
            <w:vAlign w:val="center"/>
          </w:tcPr>
          <w:p w14:paraId="55AB4EA5">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每批</w:t>
            </w:r>
          </w:p>
        </w:tc>
      </w:tr>
      <w:tr w14:paraId="2F09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vMerge w:val="continue"/>
            <w:vAlign w:val="center"/>
          </w:tcPr>
          <w:p w14:paraId="09BBD6CD">
            <w:pPr>
              <w:pStyle w:val="151"/>
              <w:snapToGrid w:val="0"/>
              <w:spacing w:after="0" w:line="360" w:lineRule="exact"/>
              <w:ind w:firstLine="0"/>
              <w:jc w:val="center"/>
              <w:rPr>
                <w:rFonts w:ascii="Times New Roman" w:hAnsi="Times New Roman" w:cs="Times New Roman"/>
                <w:sz w:val="18"/>
                <w:szCs w:val="18"/>
                <w:lang w:val="en-US" w:eastAsia="zh-CN" w:bidi="ar-SA"/>
              </w:rPr>
            </w:pPr>
          </w:p>
        </w:tc>
        <w:tc>
          <w:tcPr>
            <w:tcW w:w="1700" w:type="dxa"/>
            <w:vAlign w:val="center"/>
          </w:tcPr>
          <w:p w14:paraId="66A72A84">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连续累计自动衡器</w:t>
            </w:r>
          </w:p>
        </w:tc>
        <w:tc>
          <w:tcPr>
            <w:tcW w:w="1538" w:type="dxa"/>
            <w:vAlign w:val="center"/>
          </w:tcPr>
          <w:p w14:paraId="459FE3D3">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0.5</w:t>
            </w:r>
          </w:p>
        </w:tc>
        <w:tc>
          <w:tcPr>
            <w:tcW w:w="1277" w:type="dxa"/>
            <w:vAlign w:val="center"/>
          </w:tcPr>
          <w:p w14:paraId="45F72B9F">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检定</w:t>
            </w:r>
            <w:r>
              <w:rPr>
                <w:rFonts w:ascii="Times New Roman" w:hAnsi="Times New Roman" w:cs="Times New Roman"/>
                <w:sz w:val="18"/>
                <w:szCs w:val="18"/>
                <w:lang w:val="en-US" w:eastAsia="zh-CN" w:bidi="ar-SA"/>
              </w:rPr>
              <w:t>/校准</w:t>
            </w:r>
          </w:p>
        </w:tc>
        <w:tc>
          <w:tcPr>
            <w:tcW w:w="1273" w:type="dxa"/>
            <w:vAlign w:val="center"/>
          </w:tcPr>
          <w:p w14:paraId="66D2F241">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1次/12个月</w:t>
            </w:r>
          </w:p>
        </w:tc>
        <w:tc>
          <w:tcPr>
            <w:tcW w:w="1134" w:type="dxa"/>
            <w:vAlign w:val="center"/>
          </w:tcPr>
          <w:p w14:paraId="0E96AFC3">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连续</w:t>
            </w:r>
          </w:p>
        </w:tc>
        <w:tc>
          <w:tcPr>
            <w:tcW w:w="1321" w:type="dxa"/>
            <w:vAlign w:val="center"/>
          </w:tcPr>
          <w:p w14:paraId="62F57936">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每月</w:t>
            </w:r>
          </w:p>
        </w:tc>
      </w:tr>
      <w:tr w14:paraId="3832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vAlign w:val="center"/>
          </w:tcPr>
          <w:p w14:paraId="5DAAD4C7">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液态燃料</w:t>
            </w:r>
          </w:p>
        </w:tc>
        <w:tc>
          <w:tcPr>
            <w:tcW w:w="1700" w:type="dxa"/>
            <w:vAlign w:val="center"/>
          </w:tcPr>
          <w:p w14:paraId="5393B4F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油流量表</w:t>
            </w:r>
          </w:p>
        </w:tc>
        <w:tc>
          <w:tcPr>
            <w:tcW w:w="1538" w:type="dxa"/>
            <w:vAlign w:val="center"/>
          </w:tcPr>
          <w:p w14:paraId="71E81535">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成品油：</w:t>
            </w:r>
            <w:r>
              <w:rPr>
                <w:rFonts w:ascii="Times New Roman" w:hAnsi="Times New Roman" w:cs="Times New Roman"/>
                <w:sz w:val="18"/>
                <w:szCs w:val="18"/>
                <w:lang w:val="en-US" w:eastAsia="zh-CN" w:bidi="ar-SA"/>
              </w:rPr>
              <w:t>0.5</w:t>
            </w:r>
          </w:p>
          <w:p w14:paraId="2DE25943">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重油、渣油及其他：</w:t>
            </w:r>
            <w:r>
              <w:rPr>
                <w:rFonts w:ascii="Times New Roman" w:hAnsi="Times New Roman" w:cs="Times New Roman"/>
                <w:sz w:val="18"/>
                <w:szCs w:val="18"/>
                <w:lang w:val="en-US" w:eastAsia="zh-CN" w:bidi="ar-SA"/>
              </w:rPr>
              <w:t>1.0</w:t>
            </w:r>
          </w:p>
        </w:tc>
        <w:tc>
          <w:tcPr>
            <w:tcW w:w="1277" w:type="dxa"/>
            <w:vAlign w:val="center"/>
          </w:tcPr>
          <w:p w14:paraId="4329FD46">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检定</w:t>
            </w:r>
            <w:r>
              <w:rPr>
                <w:rFonts w:ascii="Times New Roman" w:hAnsi="Times New Roman" w:cs="Times New Roman"/>
                <w:sz w:val="18"/>
                <w:szCs w:val="18"/>
                <w:lang w:val="en-US" w:eastAsia="zh-CN" w:bidi="ar-SA"/>
              </w:rPr>
              <w:t>/校准</w:t>
            </w:r>
          </w:p>
        </w:tc>
        <w:tc>
          <w:tcPr>
            <w:tcW w:w="1273" w:type="dxa"/>
            <w:vAlign w:val="center"/>
          </w:tcPr>
          <w:p w14:paraId="57156711">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1次/12个月</w:t>
            </w:r>
          </w:p>
        </w:tc>
        <w:tc>
          <w:tcPr>
            <w:tcW w:w="1134" w:type="dxa"/>
            <w:vAlign w:val="center"/>
          </w:tcPr>
          <w:p w14:paraId="612477D4">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连续</w:t>
            </w:r>
          </w:p>
        </w:tc>
        <w:tc>
          <w:tcPr>
            <w:tcW w:w="1321" w:type="dxa"/>
            <w:vAlign w:val="center"/>
          </w:tcPr>
          <w:p w14:paraId="1020DF8E">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每月</w:t>
            </w:r>
          </w:p>
        </w:tc>
      </w:tr>
      <w:tr w14:paraId="608A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vAlign w:val="center"/>
          </w:tcPr>
          <w:p w14:paraId="732BB484">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气态燃料</w:t>
            </w:r>
          </w:p>
        </w:tc>
        <w:tc>
          <w:tcPr>
            <w:tcW w:w="1700" w:type="dxa"/>
            <w:vAlign w:val="center"/>
          </w:tcPr>
          <w:p w14:paraId="1347360F">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气体流量表</w:t>
            </w:r>
          </w:p>
        </w:tc>
        <w:tc>
          <w:tcPr>
            <w:tcW w:w="1538" w:type="dxa"/>
            <w:vAlign w:val="center"/>
          </w:tcPr>
          <w:p w14:paraId="64071AA3">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2.0</w:t>
            </w:r>
          </w:p>
        </w:tc>
        <w:tc>
          <w:tcPr>
            <w:tcW w:w="1277" w:type="dxa"/>
            <w:vAlign w:val="center"/>
          </w:tcPr>
          <w:p w14:paraId="273AF21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检定</w:t>
            </w:r>
            <w:r>
              <w:rPr>
                <w:rFonts w:ascii="Times New Roman" w:hAnsi="Times New Roman" w:cs="Times New Roman"/>
                <w:sz w:val="18"/>
                <w:szCs w:val="18"/>
                <w:lang w:val="en-US" w:eastAsia="zh-CN" w:bidi="ar-SA"/>
              </w:rPr>
              <w:t>/校准</w:t>
            </w:r>
          </w:p>
        </w:tc>
        <w:tc>
          <w:tcPr>
            <w:tcW w:w="1273" w:type="dxa"/>
            <w:vAlign w:val="center"/>
          </w:tcPr>
          <w:p w14:paraId="67CC399B">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1次/12个月</w:t>
            </w:r>
          </w:p>
        </w:tc>
        <w:tc>
          <w:tcPr>
            <w:tcW w:w="1134" w:type="dxa"/>
            <w:vAlign w:val="center"/>
          </w:tcPr>
          <w:p w14:paraId="5841D465">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连续</w:t>
            </w:r>
          </w:p>
        </w:tc>
        <w:tc>
          <w:tcPr>
            <w:tcW w:w="1321" w:type="dxa"/>
            <w:vAlign w:val="center"/>
          </w:tcPr>
          <w:p w14:paraId="049A460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每月</w:t>
            </w:r>
          </w:p>
        </w:tc>
      </w:tr>
    </w:tbl>
    <w:p w14:paraId="24A73741">
      <w:pPr>
        <w:keepNext w:val="0"/>
        <w:keepLines w:val="0"/>
        <w:pageBreakBefore w:val="0"/>
        <w:widowControl w:val="0"/>
        <w:tabs>
          <w:tab w:val="left" w:pos="512"/>
          <w:tab w:val="left" w:pos="513"/>
          <w:tab w:val="right" w:pos="10208"/>
        </w:tabs>
        <w:kinsoku/>
        <w:wordWrap/>
        <w:overflowPunct/>
        <w:topLinePunct w:val="0"/>
        <w:autoSpaceDE/>
        <w:autoSpaceDN/>
        <w:bidi w:val="0"/>
        <w:adjustRightInd/>
        <w:snapToGrid/>
        <w:spacing w:before="181" w:beforeLines="50" w:line="360" w:lineRule="auto"/>
        <w:textAlignment w:val="auto"/>
        <w:rPr>
          <w:rFonts w:hint="eastAsia" w:eastAsia="宋体"/>
          <w:sz w:val="18"/>
          <w:szCs w:val="18"/>
          <w:lang w:val="en-US" w:eastAsia="zh-CN" w:bidi="en-US"/>
        </w:rPr>
      </w:pPr>
      <w:r>
        <w:rPr>
          <w:rFonts w:hint="eastAsia"/>
          <w:sz w:val="18"/>
          <w:szCs w:val="18"/>
          <w:lang w:val="en-US" w:eastAsia="zh-CN" w:bidi="en-US"/>
        </w:rPr>
        <w:t>注：本标准表中准确度等级为新建、改扩建企业目标要求；对于本标准实施前已投用的在用计量器具，可按实际检定 / 校准证书载明的准确度开展记录，企业应制定技改计划逐步向本标准准确度等级提升。</w:t>
      </w:r>
    </w:p>
    <w:p w14:paraId="343AE645">
      <w:pPr>
        <w:tabs>
          <w:tab w:val="left" w:pos="512"/>
          <w:tab w:val="left" w:pos="513"/>
          <w:tab w:val="right" w:pos="10208"/>
        </w:tabs>
        <w:spacing w:line="360" w:lineRule="auto"/>
        <w:rPr>
          <w:lang w:bidi="en-US"/>
        </w:rPr>
      </w:pPr>
      <w:r>
        <w:rPr>
          <w:rFonts w:hint="eastAsia"/>
          <w:lang w:bidi="en-US"/>
        </w:rPr>
        <w:t>5.2.2低位发热量检测要求</w:t>
      </w:r>
    </w:p>
    <w:p w14:paraId="6AFDF426">
      <w:pPr>
        <w:spacing w:line="360" w:lineRule="auto"/>
        <w:ind w:firstLine="420"/>
        <w:rPr>
          <w:rFonts w:eastAsia="黑体"/>
        </w:rPr>
      </w:pPr>
      <w:r>
        <w:rPr>
          <w:rFonts w:hint="eastAsia"/>
        </w:rPr>
        <w:t>燃油和燃气的低位发热量检测应按照</w:t>
      </w:r>
      <w:r>
        <w:t>GB/T 384</w:t>
      </w:r>
      <w:r>
        <w:rPr>
          <w:rFonts w:hint="eastAsia"/>
        </w:rPr>
        <w:t>、G</w:t>
      </w:r>
      <w:r>
        <w:t>B</w:t>
      </w:r>
      <w:r>
        <w:rPr>
          <w:rFonts w:hint="eastAsia"/>
        </w:rPr>
        <w:t>/</w:t>
      </w:r>
      <w:r>
        <w:t xml:space="preserve">T 22723 </w:t>
      </w:r>
      <w:r>
        <w:rPr>
          <w:rFonts w:hint="eastAsia"/>
        </w:rPr>
        <w:t>执行。</w:t>
      </w:r>
    </w:p>
    <w:p w14:paraId="66A4F16B">
      <w:pPr>
        <w:pStyle w:val="3"/>
        <w:tabs>
          <w:tab w:val="left" w:pos="512"/>
          <w:tab w:val="left" w:pos="513"/>
          <w:tab w:val="right" w:pos="10208"/>
        </w:tabs>
        <w:spacing w:before="0" w:after="0" w:line="360" w:lineRule="auto"/>
        <w:rPr>
          <w:rFonts w:ascii="Times New Roman" w:hAnsi="Times New Roman"/>
          <w:szCs w:val="21"/>
        </w:rPr>
      </w:pPr>
      <w:r>
        <w:rPr>
          <w:rFonts w:hint="eastAsia" w:ascii="Times New Roman" w:hAnsi="Times New Roman"/>
          <w:b w:val="0"/>
          <w:bCs w:val="0"/>
        </w:rPr>
        <w:t>5.3 过程排放的计量与监/检测要求</w:t>
      </w:r>
    </w:p>
    <w:p w14:paraId="4E48828F">
      <w:pPr>
        <w:tabs>
          <w:tab w:val="left" w:pos="512"/>
          <w:tab w:val="left" w:pos="513"/>
          <w:tab w:val="right" w:pos="10208"/>
        </w:tabs>
        <w:spacing w:line="360" w:lineRule="auto"/>
        <w:rPr>
          <w:lang w:bidi="en-US"/>
        </w:rPr>
      </w:pPr>
      <w:r>
        <w:rPr>
          <w:rFonts w:hint="eastAsia"/>
          <w:lang w:bidi="en-US"/>
        </w:rPr>
        <w:t>5.3.1 过程排放原辅料消耗量的计量与监测要求</w:t>
      </w:r>
    </w:p>
    <w:p w14:paraId="7D7BC795">
      <w:pPr>
        <w:pStyle w:val="151"/>
        <w:snapToGrid w:val="0"/>
        <w:spacing w:after="0" w:line="360" w:lineRule="auto"/>
        <w:ind w:firstLine="420"/>
        <w:jc w:val="both"/>
        <w:rPr>
          <w:szCs w:val="21"/>
          <w:lang w:val="en-US" w:eastAsia="zh-CN"/>
        </w:rPr>
      </w:pPr>
      <w:r>
        <w:rPr>
          <w:rFonts w:hint="eastAsia" w:ascii="Times New Roman" w:hAnsi="Times New Roman" w:cs="Times New Roman"/>
          <w:szCs w:val="21"/>
          <w:lang w:val="en-US" w:eastAsia="zh-CN"/>
        </w:rPr>
        <w:t>企业应根据核算和报告期内失重秤、皮带秤等连续计量数据，确定沉淀剂、碳酸稀土原料、添加</w:t>
      </w:r>
      <w:r>
        <w:rPr>
          <w:rFonts w:hint="eastAsia"/>
          <w:szCs w:val="21"/>
          <w:lang w:val="en-US" w:eastAsia="zh-CN"/>
        </w:rPr>
        <w:t>剂及其他含碳原料的消耗量。不具备连续计量条件的，可采用规范完整的购销存台账记录值，台账应包含期初库存、本期入库、本期出库、期末库存及物料损耗扣减说明，确保活动数据可溯源。</w:t>
      </w:r>
    </w:p>
    <w:p w14:paraId="17604B39">
      <w:pPr>
        <w:pStyle w:val="151"/>
        <w:snapToGrid w:val="0"/>
        <w:spacing w:after="0" w:line="360" w:lineRule="auto"/>
        <w:ind w:firstLine="420"/>
        <w:jc w:val="both"/>
        <w:rPr>
          <w:sz w:val="18"/>
          <w:szCs w:val="18"/>
          <w:lang w:val="en-US" w:eastAsia="zh-CN"/>
        </w:rPr>
      </w:pPr>
      <w:r>
        <w:rPr>
          <w:rFonts w:hint="eastAsia"/>
          <w:sz w:val="18"/>
          <w:szCs w:val="18"/>
          <w:lang w:val="en-US" w:eastAsia="zh-CN"/>
        </w:rPr>
        <w:t>注：外购稀土前驱体无厂内沉淀制备工序的企业，沉淀剂消耗量取</w:t>
      </w:r>
      <w:r>
        <w:rPr>
          <w:sz w:val="18"/>
          <w:szCs w:val="18"/>
          <w:lang w:val="en-US" w:eastAsia="zh-CN"/>
        </w:rPr>
        <w:t>0。</w:t>
      </w:r>
    </w:p>
    <w:p w14:paraId="4E2390B0">
      <w:pPr>
        <w:spacing w:line="360" w:lineRule="auto"/>
        <w:rPr>
          <w:szCs w:val="21"/>
        </w:rPr>
      </w:pPr>
      <w:r>
        <w:rPr>
          <w:rFonts w:hint="eastAsia"/>
        </w:rPr>
        <w:t>5</w:t>
      </w:r>
      <w:r>
        <w:t xml:space="preserve">.3.2 </w:t>
      </w:r>
      <w:r>
        <w:rPr>
          <w:rFonts w:hint="eastAsia"/>
        </w:rPr>
        <w:t>过程排放的计量器具与监测要求</w:t>
      </w:r>
    </w:p>
    <w:p w14:paraId="069DEA72">
      <w:pPr>
        <w:pStyle w:val="151"/>
        <w:snapToGrid w:val="0"/>
        <w:spacing w:after="0" w:line="360" w:lineRule="auto"/>
        <w:ind w:firstLine="420"/>
        <w:jc w:val="both"/>
        <w:rPr>
          <w:szCs w:val="21"/>
          <w:lang w:val="en-US" w:eastAsia="zh-CN"/>
        </w:rPr>
      </w:pPr>
      <w:r>
        <w:rPr>
          <w:rFonts w:hint="eastAsia"/>
          <w:szCs w:val="21"/>
          <w:lang w:val="en-US" w:eastAsia="zh-CN"/>
        </w:rPr>
        <w:t>稀土抛光粉生产企业</w:t>
      </w:r>
      <w:r>
        <w:rPr>
          <w:rFonts w:hint="eastAsia" w:ascii="Times New Roman" w:hAnsi="Times New Roman"/>
          <w:szCs w:val="21"/>
          <w:lang w:val="en-US" w:eastAsia="zh-CN"/>
        </w:rPr>
        <w:t>应购买符合</w:t>
      </w:r>
      <w:r>
        <w:rPr>
          <w:rFonts w:ascii="Times New Roman" w:hAnsi="Times New Roman"/>
          <w:szCs w:val="21"/>
          <w:lang w:val="en-US" w:eastAsia="zh-CN"/>
        </w:rPr>
        <w:t>GB/T 23111</w:t>
      </w:r>
      <w:r>
        <w:rPr>
          <w:rFonts w:hint="eastAsia" w:ascii="Times New Roman" w:hAnsi="Times New Roman"/>
          <w:szCs w:val="21"/>
          <w:lang w:val="en-US" w:eastAsia="zh-CN"/>
        </w:rPr>
        <w:t>要求或符合其他相关计量要求的计量衡器。原料、无厂内沉淀制备工序的企业，沉淀剂消耗量取</w:t>
      </w:r>
      <w:r>
        <w:rPr>
          <w:rFonts w:ascii="Times New Roman" w:hAnsi="Times New Roman"/>
          <w:szCs w:val="21"/>
          <w:lang w:val="en-US" w:eastAsia="zh-CN"/>
        </w:rPr>
        <w:t>0。</w:t>
      </w:r>
    </w:p>
    <w:p w14:paraId="13EE8FFC">
      <w:pPr>
        <w:pStyle w:val="3"/>
        <w:tabs>
          <w:tab w:val="left" w:pos="512"/>
          <w:tab w:val="left" w:pos="513"/>
          <w:tab w:val="right" w:pos="10208"/>
        </w:tabs>
        <w:spacing w:before="0" w:after="0" w:line="360" w:lineRule="auto"/>
        <w:rPr>
          <w:rFonts w:ascii="Times New Roman" w:hAnsi="Times New Roman"/>
          <w:b w:val="0"/>
          <w:bCs w:val="0"/>
        </w:rPr>
      </w:pPr>
      <w:r>
        <w:rPr>
          <w:rFonts w:hint="eastAsia" w:ascii="Times New Roman" w:hAnsi="Times New Roman"/>
          <w:b w:val="0"/>
          <w:bCs w:val="0"/>
        </w:rPr>
        <w:t>5.4 废弃物处理处置计量与监检测要求</w:t>
      </w:r>
    </w:p>
    <w:p w14:paraId="26D692DA">
      <w:pPr>
        <w:pStyle w:val="151"/>
        <w:snapToGrid w:val="0"/>
        <w:spacing w:after="0" w:line="360" w:lineRule="exact"/>
        <w:ind w:firstLine="0"/>
        <w:jc w:val="both"/>
        <w:rPr>
          <w:rFonts w:ascii="Times New Roman" w:cs="Times New Roman"/>
          <w:lang w:val="en-US" w:eastAsia="zh-CN" w:bidi="ar-SA"/>
        </w:rPr>
      </w:pPr>
      <w:r>
        <w:rPr>
          <w:rFonts w:ascii="Times New Roman" w:cs="Times New Roman"/>
          <w:lang w:val="en-US" w:eastAsia="zh-CN" w:bidi="ar-SA"/>
        </w:rPr>
        <w:t xml:space="preserve">5.4.1 </w:t>
      </w:r>
      <w:r>
        <w:rPr>
          <w:rFonts w:hint="eastAsia" w:ascii="Times New Roman" w:cs="Times New Roman"/>
          <w:lang w:val="en-US" w:eastAsia="zh-CN" w:bidi="ar-SA"/>
        </w:rPr>
        <w:t>稀土抛光粉生产企业生产过程中产生的废弃物主要包括废水、废气及固体废物。生产配套的废弃物处理处置过程产生的排放属于本企业温室气体核算范围；废水、废气及固体废弃物处理量的计量与监检测按表 3 要求执行。</w:t>
      </w:r>
    </w:p>
    <w:p w14:paraId="24D1E25D">
      <w:pPr>
        <w:pStyle w:val="151"/>
        <w:snapToGrid w:val="0"/>
        <w:spacing w:after="0" w:line="360" w:lineRule="exact"/>
        <w:ind w:firstLine="403"/>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表</w:t>
      </w:r>
      <w:r>
        <w:rPr>
          <w:rFonts w:ascii="Times New Roman" w:hAnsi="Times New Roman" w:cs="Times New Roman"/>
          <w:sz w:val="18"/>
          <w:szCs w:val="18"/>
          <w:lang w:val="en-US" w:eastAsia="zh-CN" w:bidi="ar-SA"/>
        </w:rPr>
        <w:t xml:space="preserve">3 </w:t>
      </w:r>
      <w:r>
        <w:rPr>
          <w:rFonts w:hint="eastAsia" w:ascii="Times New Roman" w:hAnsi="Times New Roman" w:cs="Times New Roman"/>
          <w:sz w:val="18"/>
          <w:szCs w:val="18"/>
          <w:lang w:val="en-US" w:eastAsia="zh-CN" w:bidi="ar-SA"/>
        </w:rPr>
        <w:t>废水、废气及固体废弃物计量与监检测要求</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3"/>
        <w:gridCol w:w="1150"/>
        <w:gridCol w:w="1087"/>
        <w:gridCol w:w="1320"/>
        <w:gridCol w:w="1509"/>
        <w:gridCol w:w="1134"/>
        <w:gridCol w:w="1321"/>
      </w:tblGrid>
      <w:tr w14:paraId="598D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4FFFD459">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处置对象</w:t>
            </w:r>
          </w:p>
        </w:tc>
        <w:tc>
          <w:tcPr>
            <w:tcW w:w="1150" w:type="dxa"/>
            <w:vAlign w:val="center"/>
          </w:tcPr>
          <w:p w14:paraId="772B6F9D">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计量器具</w:t>
            </w:r>
          </w:p>
        </w:tc>
        <w:tc>
          <w:tcPr>
            <w:tcW w:w="1087" w:type="dxa"/>
            <w:vAlign w:val="center"/>
          </w:tcPr>
          <w:p w14:paraId="468D4C35">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准确度等级</w:t>
            </w:r>
          </w:p>
        </w:tc>
        <w:tc>
          <w:tcPr>
            <w:tcW w:w="1320" w:type="dxa"/>
            <w:vAlign w:val="center"/>
          </w:tcPr>
          <w:p w14:paraId="47B68ACD">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计量设备</w:t>
            </w:r>
          </w:p>
          <w:p w14:paraId="0F9A595D">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溯源方式</w:t>
            </w:r>
          </w:p>
        </w:tc>
        <w:tc>
          <w:tcPr>
            <w:tcW w:w="1509" w:type="dxa"/>
            <w:vAlign w:val="center"/>
          </w:tcPr>
          <w:p w14:paraId="660D2608">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溯源频次</w:t>
            </w:r>
          </w:p>
        </w:tc>
        <w:tc>
          <w:tcPr>
            <w:tcW w:w="1134" w:type="dxa"/>
            <w:vAlign w:val="center"/>
          </w:tcPr>
          <w:p w14:paraId="34C892F3">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计量频次</w:t>
            </w:r>
          </w:p>
        </w:tc>
        <w:tc>
          <w:tcPr>
            <w:tcW w:w="1321" w:type="dxa"/>
            <w:vAlign w:val="center"/>
          </w:tcPr>
          <w:p w14:paraId="6466B117">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记录频次</w:t>
            </w:r>
          </w:p>
        </w:tc>
      </w:tr>
      <w:tr w14:paraId="14FEE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595F4D4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废水处理量</w:t>
            </w:r>
          </w:p>
        </w:tc>
        <w:tc>
          <w:tcPr>
            <w:tcW w:w="1150" w:type="dxa"/>
            <w:vAlign w:val="center"/>
          </w:tcPr>
          <w:p w14:paraId="40196A80">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液体流量计</w:t>
            </w:r>
          </w:p>
        </w:tc>
        <w:tc>
          <w:tcPr>
            <w:tcW w:w="1087" w:type="dxa"/>
            <w:vAlign w:val="center"/>
          </w:tcPr>
          <w:p w14:paraId="3648E1B8">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1.0</w:t>
            </w:r>
          </w:p>
        </w:tc>
        <w:tc>
          <w:tcPr>
            <w:tcW w:w="1320" w:type="dxa"/>
            <w:vAlign w:val="center"/>
          </w:tcPr>
          <w:p w14:paraId="6A2EEBAE">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检定</w:t>
            </w:r>
            <w:r>
              <w:rPr>
                <w:rFonts w:ascii="Times New Roman" w:hAnsi="Times New Roman" w:cs="Times New Roman"/>
                <w:sz w:val="18"/>
                <w:szCs w:val="18"/>
                <w:lang w:val="en-US" w:eastAsia="zh-CN" w:bidi="ar-SA"/>
              </w:rPr>
              <w:t>/校准</w:t>
            </w:r>
          </w:p>
        </w:tc>
        <w:tc>
          <w:tcPr>
            <w:tcW w:w="1509" w:type="dxa"/>
            <w:vAlign w:val="center"/>
          </w:tcPr>
          <w:p w14:paraId="3C4ACA3C">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1次/12个月</w:t>
            </w:r>
          </w:p>
        </w:tc>
        <w:tc>
          <w:tcPr>
            <w:tcW w:w="1134" w:type="dxa"/>
            <w:vAlign w:val="center"/>
          </w:tcPr>
          <w:p w14:paraId="6C5AB3E3">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连续</w:t>
            </w:r>
          </w:p>
        </w:tc>
        <w:tc>
          <w:tcPr>
            <w:tcW w:w="1321" w:type="dxa"/>
            <w:vAlign w:val="center"/>
          </w:tcPr>
          <w:p w14:paraId="0195ADE6">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每月</w:t>
            </w:r>
          </w:p>
        </w:tc>
      </w:tr>
      <w:tr w14:paraId="737E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7E8960F0">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废气处理量</w:t>
            </w:r>
          </w:p>
        </w:tc>
        <w:tc>
          <w:tcPr>
            <w:tcW w:w="1150" w:type="dxa"/>
            <w:vAlign w:val="center"/>
          </w:tcPr>
          <w:p w14:paraId="1085A10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气体流量计</w:t>
            </w:r>
          </w:p>
        </w:tc>
        <w:tc>
          <w:tcPr>
            <w:tcW w:w="1087" w:type="dxa"/>
            <w:vAlign w:val="center"/>
          </w:tcPr>
          <w:p w14:paraId="5A6BCA02">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2.0</w:t>
            </w:r>
          </w:p>
        </w:tc>
        <w:tc>
          <w:tcPr>
            <w:tcW w:w="1320" w:type="dxa"/>
            <w:vAlign w:val="center"/>
          </w:tcPr>
          <w:p w14:paraId="2064D469">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检定</w:t>
            </w:r>
            <w:r>
              <w:rPr>
                <w:rFonts w:ascii="Times New Roman" w:hAnsi="Times New Roman" w:cs="Times New Roman"/>
                <w:sz w:val="18"/>
                <w:szCs w:val="18"/>
                <w:lang w:val="en-US" w:eastAsia="zh-CN" w:bidi="ar-SA"/>
              </w:rPr>
              <w:t>/校准</w:t>
            </w:r>
          </w:p>
        </w:tc>
        <w:tc>
          <w:tcPr>
            <w:tcW w:w="1509" w:type="dxa"/>
            <w:vAlign w:val="center"/>
          </w:tcPr>
          <w:p w14:paraId="20E882DA">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1次/12个月</w:t>
            </w:r>
          </w:p>
        </w:tc>
        <w:tc>
          <w:tcPr>
            <w:tcW w:w="1134" w:type="dxa"/>
            <w:vAlign w:val="center"/>
          </w:tcPr>
          <w:p w14:paraId="6F864210">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连续</w:t>
            </w:r>
          </w:p>
        </w:tc>
        <w:tc>
          <w:tcPr>
            <w:tcW w:w="1321" w:type="dxa"/>
            <w:vAlign w:val="center"/>
          </w:tcPr>
          <w:p w14:paraId="529CE8C2">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每月</w:t>
            </w:r>
          </w:p>
        </w:tc>
      </w:tr>
      <w:tr w14:paraId="4AED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3" w:type="dxa"/>
            <w:vAlign w:val="center"/>
          </w:tcPr>
          <w:p w14:paraId="1E1E86DF">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固体废弃物处理量</w:t>
            </w:r>
          </w:p>
        </w:tc>
        <w:tc>
          <w:tcPr>
            <w:tcW w:w="1150" w:type="dxa"/>
            <w:vAlign w:val="center"/>
          </w:tcPr>
          <w:p w14:paraId="702EE352">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非自动衡器</w:t>
            </w:r>
          </w:p>
        </w:tc>
        <w:tc>
          <w:tcPr>
            <w:tcW w:w="1087" w:type="dxa"/>
            <w:vAlign w:val="center"/>
          </w:tcPr>
          <w:p w14:paraId="7790627F">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0.1</w:t>
            </w:r>
          </w:p>
        </w:tc>
        <w:tc>
          <w:tcPr>
            <w:tcW w:w="1320" w:type="dxa"/>
            <w:vAlign w:val="center"/>
          </w:tcPr>
          <w:p w14:paraId="48D55BA4">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检定</w:t>
            </w:r>
            <w:r>
              <w:rPr>
                <w:rFonts w:ascii="Times New Roman" w:hAnsi="Times New Roman" w:cs="Times New Roman"/>
                <w:sz w:val="18"/>
                <w:szCs w:val="18"/>
                <w:lang w:val="en-US" w:eastAsia="zh-CN" w:bidi="ar-SA"/>
              </w:rPr>
              <w:t>/校准</w:t>
            </w:r>
          </w:p>
        </w:tc>
        <w:tc>
          <w:tcPr>
            <w:tcW w:w="1509" w:type="dxa"/>
            <w:vAlign w:val="center"/>
          </w:tcPr>
          <w:p w14:paraId="7C8BB254">
            <w:pPr>
              <w:pStyle w:val="151"/>
              <w:snapToGrid w:val="0"/>
              <w:spacing w:after="0" w:line="360" w:lineRule="exact"/>
              <w:ind w:firstLine="0"/>
              <w:jc w:val="center"/>
              <w:rPr>
                <w:rFonts w:ascii="Times New Roman" w:hAnsi="Times New Roman" w:cs="Times New Roman"/>
                <w:sz w:val="18"/>
                <w:szCs w:val="18"/>
                <w:lang w:val="en-US" w:eastAsia="zh-CN" w:bidi="ar-SA"/>
              </w:rPr>
            </w:pPr>
            <w:r>
              <w:rPr>
                <w:rFonts w:ascii="Times New Roman" w:hAnsi="Times New Roman" w:cs="Times New Roman"/>
                <w:sz w:val="18"/>
                <w:szCs w:val="18"/>
                <w:lang w:val="en-US" w:eastAsia="zh-CN" w:bidi="ar-SA"/>
              </w:rPr>
              <w:t>1次/12个月</w:t>
            </w:r>
          </w:p>
        </w:tc>
        <w:tc>
          <w:tcPr>
            <w:tcW w:w="1134" w:type="dxa"/>
            <w:vAlign w:val="center"/>
          </w:tcPr>
          <w:p w14:paraId="1BBA6CA7">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每批</w:t>
            </w:r>
          </w:p>
        </w:tc>
        <w:tc>
          <w:tcPr>
            <w:tcW w:w="1321" w:type="dxa"/>
            <w:vAlign w:val="center"/>
          </w:tcPr>
          <w:p w14:paraId="4DB28051">
            <w:pPr>
              <w:pStyle w:val="151"/>
              <w:snapToGrid w:val="0"/>
              <w:spacing w:after="0" w:line="360" w:lineRule="exact"/>
              <w:ind w:firstLine="0"/>
              <w:jc w:val="center"/>
              <w:rPr>
                <w:rFonts w:ascii="Times New Roman" w:hAnsi="Times New Roman" w:cs="Times New Roman"/>
                <w:sz w:val="18"/>
                <w:szCs w:val="18"/>
                <w:lang w:val="en-US" w:eastAsia="zh-CN" w:bidi="ar-SA"/>
              </w:rPr>
            </w:pPr>
            <w:r>
              <w:rPr>
                <w:rFonts w:hint="eastAsia" w:ascii="Times New Roman" w:hAnsi="Times New Roman" w:cs="Times New Roman"/>
                <w:sz w:val="18"/>
                <w:szCs w:val="18"/>
                <w:lang w:val="en-US" w:eastAsia="zh-CN" w:bidi="ar-SA"/>
              </w:rPr>
              <w:t>每批</w:t>
            </w:r>
          </w:p>
        </w:tc>
      </w:tr>
    </w:tbl>
    <w:p w14:paraId="26199AC7">
      <w:pPr>
        <w:tabs>
          <w:tab w:val="left" w:pos="512"/>
          <w:tab w:val="left" w:pos="513"/>
          <w:tab w:val="right" w:pos="10208"/>
        </w:tabs>
        <w:spacing w:line="360" w:lineRule="auto"/>
        <w:rPr>
          <w:lang w:bidi="en-US"/>
        </w:rPr>
      </w:pPr>
    </w:p>
    <w:p w14:paraId="6F90730C">
      <w:pPr>
        <w:spacing w:before="120" w:beforeLines="50" w:line="360" w:lineRule="auto"/>
        <w:rPr>
          <w:rFonts w:eastAsia="黑体"/>
        </w:rPr>
      </w:pPr>
      <w:bookmarkStart w:id="14" w:name="OLE_LINK15"/>
      <w:r>
        <w:rPr>
          <w:rFonts w:hint="eastAsia" w:eastAsia="黑体"/>
        </w:rPr>
        <w:t>5</w:t>
      </w:r>
      <w:r>
        <w:rPr>
          <w:rFonts w:eastAsia="黑体"/>
        </w:rPr>
        <w:t>.</w:t>
      </w:r>
      <w:r>
        <w:rPr>
          <w:rFonts w:hint="eastAsia" w:eastAsia="黑体"/>
        </w:rPr>
        <w:t>5</w:t>
      </w:r>
      <w:r>
        <w:rPr>
          <w:rFonts w:eastAsia="黑体"/>
        </w:rPr>
        <w:t xml:space="preserve"> </w:t>
      </w:r>
      <w:r>
        <w:rPr>
          <w:rFonts w:hint="eastAsia" w:eastAsia="黑体"/>
        </w:rPr>
        <w:t>购入和输出电力及热力计量要求</w:t>
      </w:r>
    </w:p>
    <w:bookmarkEnd w:id="14"/>
    <w:p w14:paraId="0BD6F836">
      <w:pPr>
        <w:spacing w:line="360" w:lineRule="auto"/>
      </w:pPr>
      <w:bookmarkStart w:id="15" w:name="OLE_LINK14"/>
      <w:r>
        <w:rPr>
          <w:rFonts w:hint="eastAsia"/>
        </w:rPr>
        <w:t>5</w:t>
      </w:r>
      <w:r>
        <w:t>.</w:t>
      </w:r>
      <w:r>
        <w:rPr>
          <w:rFonts w:hint="eastAsia"/>
        </w:rPr>
        <w:t>5</w:t>
      </w:r>
      <w:r>
        <w:t xml:space="preserve">.1 </w:t>
      </w:r>
      <w:r>
        <w:rPr>
          <w:rFonts w:hint="eastAsia"/>
        </w:rPr>
        <w:t>购入和输出电力的计量要求</w:t>
      </w:r>
    </w:p>
    <w:bookmarkEnd w:id="15"/>
    <w:p w14:paraId="6029F4AF">
      <w:pPr>
        <w:spacing w:line="360" w:lineRule="auto"/>
        <w:ind w:firstLine="420"/>
      </w:pPr>
      <w:r>
        <w:rPr>
          <w:rFonts w:hint="eastAsia"/>
        </w:rPr>
        <w:t>稀土抛光粉生产</w:t>
      </w:r>
      <w:r>
        <w:t>企业应按GB 17167、</w:t>
      </w:r>
      <w:r>
        <w:rPr>
          <w:rFonts w:hint="eastAsia"/>
        </w:rPr>
        <w:t>GB/T 21367</w:t>
      </w:r>
      <w:r>
        <w:t>的要求配备电表。</w:t>
      </w:r>
    </w:p>
    <w:p w14:paraId="398F8779">
      <w:pPr>
        <w:spacing w:line="360" w:lineRule="auto"/>
      </w:pPr>
      <w:r>
        <w:rPr>
          <w:rFonts w:hint="eastAsia"/>
        </w:rPr>
        <w:t>5</w:t>
      </w:r>
      <w:r>
        <w:t>.</w:t>
      </w:r>
      <w:r>
        <w:rPr>
          <w:rFonts w:hint="eastAsia"/>
        </w:rPr>
        <w:t>5</w:t>
      </w:r>
      <w:r>
        <w:t xml:space="preserve">.2 </w:t>
      </w:r>
      <w:r>
        <w:rPr>
          <w:rFonts w:hint="eastAsia"/>
        </w:rPr>
        <w:t>购入和输出热力的计量要求</w:t>
      </w:r>
    </w:p>
    <w:p w14:paraId="60C775F5">
      <w:pPr>
        <w:spacing w:line="360" w:lineRule="auto"/>
        <w:ind w:firstLine="420"/>
      </w:pPr>
      <w:r>
        <w:rPr>
          <w:rFonts w:hint="eastAsia"/>
        </w:rPr>
        <w:t>稀土抛光粉生产</w:t>
      </w:r>
      <w:r>
        <w:t>企业应按GB 17167、</w:t>
      </w:r>
      <w:r>
        <w:rPr>
          <w:rFonts w:hint="eastAsia"/>
        </w:rPr>
        <w:t>GB/T 21367</w:t>
      </w:r>
      <w:r>
        <w:t>的要求配备热力计量器具。</w:t>
      </w:r>
    </w:p>
    <w:p w14:paraId="6D511E5E">
      <w:pPr>
        <w:spacing w:before="120" w:beforeLines="50" w:line="360" w:lineRule="auto"/>
        <w:rPr>
          <w:rFonts w:eastAsia="黑体"/>
        </w:rPr>
      </w:pPr>
      <w:r>
        <w:rPr>
          <w:rFonts w:hint="eastAsia" w:eastAsia="黑体"/>
        </w:rPr>
        <w:t>5</w:t>
      </w:r>
      <w:r>
        <w:rPr>
          <w:rFonts w:eastAsia="黑体"/>
        </w:rPr>
        <w:t>.</w:t>
      </w:r>
      <w:r>
        <w:rPr>
          <w:rFonts w:hint="eastAsia" w:eastAsia="黑体"/>
        </w:rPr>
        <w:t xml:space="preserve"> 6计量与监/检测管理要求</w:t>
      </w:r>
    </w:p>
    <w:p w14:paraId="1EA6A1EC">
      <w:pPr>
        <w:spacing w:line="360" w:lineRule="auto"/>
        <w:ind w:firstLine="420"/>
      </w:pPr>
      <w:r>
        <w:rPr>
          <w:rFonts w:hint="eastAsia"/>
        </w:rPr>
        <w:t>稀土</w:t>
      </w:r>
      <w:r>
        <w:rPr>
          <w:rFonts w:hint="eastAsia" w:hAnsi="宋体"/>
        </w:rPr>
        <w:t>抛光粉生产企业</w:t>
      </w:r>
      <w:r>
        <w:rPr>
          <w:rFonts w:hint="eastAsia"/>
        </w:rPr>
        <w:t>应加强计量监/检测管理工作，包括但不限于：</w:t>
      </w:r>
    </w:p>
    <w:p w14:paraId="71F8B33C">
      <w:pPr>
        <w:spacing w:line="360" w:lineRule="auto"/>
        <w:ind w:firstLine="420"/>
      </w:pPr>
      <w:r>
        <w:t>a) 设立专人负责能源计量器具的管理</w:t>
      </w:r>
      <w:r>
        <w:rPr>
          <w:rFonts w:hint="eastAsia"/>
        </w:rPr>
        <w:t>，</w:t>
      </w:r>
      <w:r>
        <w:t>包括计量器具的配备、使用、检定</w:t>
      </w:r>
      <w:r>
        <w:rPr>
          <w:rFonts w:hint="eastAsia"/>
        </w:rPr>
        <w:t>（</w:t>
      </w:r>
      <w:r>
        <w:t>校准</w:t>
      </w:r>
      <w:r>
        <w:rPr>
          <w:rFonts w:hint="eastAsia"/>
        </w:rPr>
        <w:t>）</w:t>
      </w:r>
      <w:r>
        <w:t>、维修及报废等</w:t>
      </w:r>
      <w:r>
        <w:rPr>
          <w:rFonts w:hint="eastAsia"/>
        </w:rPr>
        <w:t>；</w:t>
      </w:r>
    </w:p>
    <w:p w14:paraId="733F6229">
      <w:pPr>
        <w:spacing w:line="360" w:lineRule="auto"/>
        <w:ind w:firstLine="420"/>
      </w:pPr>
      <w:r>
        <w:t>b) 温室气体排放计量器具的检定、校准、维修及相应管理人员应具备相应的能力</w:t>
      </w:r>
      <w:r>
        <w:rPr>
          <w:rFonts w:hint="eastAsia"/>
        </w:rPr>
        <w:t>；</w:t>
      </w:r>
    </w:p>
    <w:p w14:paraId="7C0E302A">
      <w:pPr>
        <w:spacing w:line="360" w:lineRule="auto"/>
        <w:ind w:firstLine="420"/>
      </w:pPr>
      <w:r>
        <w:t>c) 建立计量器具一览表</w:t>
      </w:r>
      <w:r>
        <w:rPr>
          <w:rFonts w:hint="eastAsia"/>
        </w:rPr>
        <w:t>，</w:t>
      </w:r>
      <w:r>
        <w:t>表中应列出计量器具的名称、规格型号、准确度等级、生产厂家、出厂标号、本单位管理编号、安装使用地点、校准状态、下次校准日期等</w:t>
      </w:r>
      <w:r>
        <w:rPr>
          <w:rFonts w:hint="eastAsia"/>
        </w:rPr>
        <w:t>；</w:t>
      </w:r>
    </w:p>
    <w:p w14:paraId="3F4A9343">
      <w:pPr>
        <w:spacing w:line="360" w:lineRule="auto"/>
        <w:ind w:firstLine="420"/>
      </w:pPr>
      <w:r>
        <w:t>d) 用能设备的设计和安装应符合GB/T 6422、GB/T 15316中关于用能设备的能源监测要求</w:t>
      </w:r>
      <w:r>
        <w:rPr>
          <w:rFonts w:hint="eastAsia"/>
        </w:rPr>
        <w:t>；</w:t>
      </w:r>
      <w:r>
        <w:t xml:space="preserve"> </w:t>
      </w:r>
    </w:p>
    <w:p w14:paraId="32827B20">
      <w:pPr>
        <w:spacing w:line="360" w:lineRule="auto"/>
        <w:ind w:firstLine="420"/>
      </w:pPr>
      <w:r>
        <w:t>e) 企业应建立计量器具档案</w:t>
      </w:r>
      <w:r>
        <w:rPr>
          <w:rFonts w:hint="eastAsia"/>
        </w:rPr>
        <w:t>，</w:t>
      </w:r>
      <w:r>
        <w:t>包括但不限于</w:t>
      </w:r>
      <w:r>
        <w:rPr>
          <w:rFonts w:hint="eastAsia"/>
        </w:rPr>
        <w:t>：</w:t>
      </w:r>
    </w:p>
    <w:p w14:paraId="1B59616D">
      <w:pPr>
        <w:spacing w:line="360" w:lineRule="auto"/>
        <w:ind w:firstLine="630" w:firstLineChars="300"/>
      </w:pPr>
      <w:r>
        <w:t>● 计量器具使用说明书</w:t>
      </w:r>
      <w:r>
        <w:rPr>
          <w:rFonts w:hint="eastAsia"/>
        </w:rPr>
        <w:t>；</w:t>
      </w:r>
    </w:p>
    <w:p w14:paraId="66F6BA3E">
      <w:pPr>
        <w:spacing w:line="360" w:lineRule="auto"/>
        <w:ind w:firstLine="630" w:firstLineChars="300"/>
      </w:pPr>
      <w:r>
        <w:t>● 计量器具出厂合格证</w:t>
      </w:r>
      <w:r>
        <w:rPr>
          <w:rFonts w:hint="eastAsia"/>
        </w:rPr>
        <w:t>；</w:t>
      </w:r>
    </w:p>
    <w:p w14:paraId="7BDE7C86">
      <w:pPr>
        <w:spacing w:line="360" w:lineRule="auto"/>
        <w:ind w:firstLine="630" w:firstLineChars="300"/>
      </w:pPr>
      <w:r>
        <w:t>● 计量器具有效的检定</w:t>
      </w:r>
      <w:r>
        <w:rPr>
          <w:rFonts w:hint="eastAsia"/>
        </w:rPr>
        <w:t>（</w:t>
      </w:r>
      <w:r>
        <w:t>测试、校准</w:t>
      </w:r>
      <w:r>
        <w:rPr>
          <w:rFonts w:hint="eastAsia"/>
        </w:rPr>
        <w:t>）</w:t>
      </w:r>
      <w:r>
        <w:t>证书</w:t>
      </w:r>
      <w:r>
        <w:rPr>
          <w:rFonts w:hint="eastAsia"/>
        </w:rPr>
        <w:t>；</w:t>
      </w:r>
    </w:p>
    <w:p w14:paraId="4F2F8783">
      <w:pPr>
        <w:spacing w:line="360" w:lineRule="auto"/>
        <w:ind w:firstLine="630" w:firstLineChars="300"/>
      </w:pPr>
      <w:r>
        <w:t>● 计量器具维修记录</w:t>
      </w:r>
      <w:r>
        <w:rPr>
          <w:rFonts w:hint="eastAsia"/>
        </w:rPr>
        <w:t>；</w:t>
      </w:r>
    </w:p>
    <w:p w14:paraId="21FBE52B">
      <w:pPr>
        <w:spacing w:line="360" w:lineRule="auto"/>
        <w:ind w:firstLine="630" w:firstLineChars="300"/>
      </w:pPr>
      <w:r>
        <w:t>● 计量器具其他相关信息。</w:t>
      </w:r>
    </w:p>
    <w:p w14:paraId="76B8E08C">
      <w:pPr>
        <w:spacing w:line="360" w:lineRule="auto"/>
        <w:ind w:firstLine="420"/>
      </w:pPr>
      <w:r>
        <w:t>f) 计量器具凡属于自行校准且自行规定校准间隔的</w:t>
      </w:r>
      <w:r>
        <w:rPr>
          <w:rFonts w:hint="eastAsia"/>
        </w:rPr>
        <w:t>，</w:t>
      </w:r>
      <w:r>
        <w:t>应有现行有效的受控文件作为依据</w:t>
      </w:r>
      <w:r>
        <w:rPr>
          <w:rFonts w:hint="eastAsia"/>
        </w:rPr>
        <w:t>；</w:t>
      </w:r>
    </w:p>
    <w:p w14:paraId="203F45DA">
      <w:pPr>
        <w:spacing w:line="360" w:lineRule="auto"/>
        <w:ind w:firstLine="420"/>
      </w:pPr>
      <w:r>
        <w:t>g) 计量器具应定期检定</w:t>
      </w:r>
      <w:r>
        <w:rPr>
          <w:rFonts w:hint="eastAsia"/>
        </w:rPr>
        <w:t>（</w:t>
      </w:r>
      <w:r>
        <w:t>校准</w:t>
      </w:r>
      <w:r>
        <w:rPr>
          <w:rFonts w:hint="eastAsia"/>
        </w:rPr>
        <w:t>），</w:t>
      </w:r>
      <w:r>
        <w:t>凡经检定</w:t>
      </w:r>
      <w:r>
        <w:rPr>
          <w:rFonts w:hint="eastAsia"/>
        </w:rPr>
        <w:t>（</w:t>
      </w:r>
      <w:r>
        <w:t>校准</w:t>
      </w:r>
      <w:r>
        <w:rPr>
          <w:rFonts w:hint="eastAsia"/>
        </w:rPr>
        <w:t>）</w:t>
      </w:r>
      <w:r>
        <w:t>不符合要求或超过检定周期的计量器具不应使用</w:t>
      </w:r>
      <w:r>
        <w:rPr>
          <w:rFonts w:hint="eastAsia"/>
        </w:rPr>
        <w:t>，</w:t>
      </w:r>
      <w:r>
        <w:t>属于强制检定的计量器具</w:t>
      </w:r>
      <w:r>
        <w:rPr>
          <w:rFonts w:hint="eastAsia"/>
        </w:rPr>
        <w:t>，</w:t>
      </w:r>
      <w:r>
        <w:t>其检定周期应遵守有关计量法律法规的规定</w:t>
      </w:r>
      <w:r>
        <w:rPr>
          <w:rFonts w:hint="eastAsia"/>
        </w:rPr>
        <w:t>；</w:t>
      </w:r>
    </w:p>
    <w:p w14:paraId="6EBA07BD">
      <w:pPr>
        <w:spacing w:line="360" w:lineRule="auto"/>
        <w:ind w:firstLine="420"/>
      </w:pPr>
      <w:r>
        <w:t>h) 在用的计量器具应在明显位置粘贴与计量器具一览表编号对应的标签</w:t>
      </w:r>
      <w:r>
        <w:rPr>
          <w:rFonts w:hint="eastAsia"/>
        </w:rPr>
        <w:t>，</w:t>
      </w:r>
      <w:r>
        <w:t>以备查验和管理。</w:t>
      </w:r>
    </w:p>
    <w:p w14:paraId="0406791D">
      <w:pPr>
        <w:spacing w:line="360" w:lineRule="auto"/>
        <w:ind w:firstLine="420"/>
        <w:rPr>
          <w:rFonts w:hint="default" w:eastAsia="宋体"/>
          <w:lang w:val="en-US" w:eastAsia="zh-CN"/>
        </w:rPr>
      </w:pPr>
      <w:r>
        <w:rPr>
          <w:rFonts w:hint="eastAsia"/>
          <w:lang w:val="en-US" w:eastAsia="zh-CN"/>
        </w:rPr>
        <w:t>i) 企业应建立异常数据处理流程，计量设备故障期间，应采用物料衡算或者历史同期数据作为替代活动数据，并留存书面说明。</w:t>
      </w:r>
      <w:bookmarkStart w:id="48" w:name="_GoBack"/>
      <w:bookmarkEnd w:id="48"/>
    </w:p>
    <w:p w14:paraId="5CEC1810">
      <w:pPr>
        <w:spacing w:before="120" w:beforeLines="50" w:after="120" w:afterLines="50" w:line="360" w:lineRule="auto"/>
        <w:outlineLvl w:val="0"/>
        <w:rPr>
          <w:rFonts w:eastAsia="黑体"/>
          <w:bCs/>
        </w:rPr>
      </w:pPr>
      <w:bookmarkStart w:id="16" w:name="_Toc210116172"/>
      <w:r>
        <w:rPr>
          <w:rFonts w:hint="eastAsia" w:eastAsia="黑体"/>
          <w:bCs/>
        </w:rPr>
        <w:t>6</w:t>
      </w:r>
      <w:r>
        <w:rPr>
          <w:rFonts w:eastAsia="黑体"/>
          <w:bCs/>
        </w:rPr>
        <w:t xml:space="preserve"> </w:t>
      </w:r>
      <w:r>
        <w:rPr>
          <w:rFonts w:hint="eastAsia" w:eastAsia="黑体"/>
          <w:bCs/>
        </w:rPr>
        <w:t>核算步骤与核算方法</w:t>
      </w:r>
      <w:bookmarkEnd w:id="16"/>
    </w:p>
    <w:p w14:paraId="4C10142A">
      <w:pPr>
        <w:spacing w:before="120" w:beforeLines="50" w:line="360" w:lineRule="auto"/>
        <w:rPr>
          <w:rFonts w:eastAsia="黑体"/>
        </w:rPr>
      </w:pPr>
      <w:bookmarkStart w:id="17" w:name="OLE_LINK3"/>
      <w:r>
        <w:rPr>
          <w:rFonts w:eastAsia="黑体"/>
        </w:rPr>
        <w:t xml:space="preserve">6.1 </w:t>
      </w:r>
      <w:r>
        <w:rPr>
          <w:rFonts w:hint="eastAsia" w:eastAsia="黑体"/>
        </w:rPr>
        <w:t>核算步骤</w:t>
      </w:r>
    </w:p>
    <w:bookmarkEnd w:id="17"/>
    <w:p w14:paraId="7604D233">
      <w:pPr>
        <w:tabs>
          <w:tab w:val="left" w:pos="512"/>
          <w:tab w:val="left" w:pos="513"/>
          <w:tab w:val="right" w:pos="10208"/>
        </w:tabs>
        <w:spacing w:line="360" w:lineRule="auto"/>
      </w:pPr>
      <w:r>
        <w:t>报告主体进行</w:t>
      </w:r>
      <w:r>
        <w:rPr>
          <w:rFonts w:hint="eastAsia"/>
        </w:rPr>
        <w:t>企业温室气体</w:t>
      </w:r>
      <w:r>
        <w:t>排放核算与报告的工作流程包括</w:t>
      </w:r>
      <w:r>
        <w:rPr>
          <w:rFonts w:hint="eastAsia"/>
        </w:rPr>
        <w:t>：</w:t>
      </w:r>
    </w:p>
    <w:p w14:paraId="47C45801">
      <w:pPr>
        <w:tabs>
          <w:tab w:val="left" w:pos="512"/>
          <w:tab w:val="left" w:pos="513"/>
          <w:tab w:val="right" w:pos="10208"/>
        </w:tabs>
        <w:spacing w:line="360" w:lineRule="auto"/>
        <w:ind w:firstLine="420"/>
      </w:pPr>
      <w:r>
        <w:t xml:space="preserve">a) </w:t>
      </w:r>
      <w:r>
        <w:rPr>
          <w:rFonts w:hint="eastAsia"/>
        </w:rPr>
        <w:t>确定核算边界，包括企业边界和工序边界；</w:t>
      </w:r>
    </w:p>
    <w:p w14:paraId="3A786262">
      <w:pPr>
        <w:tabs>
          <w:tab w:val="left" w:pos="512"/>
          <w:tab w:val="left" w:pos="513"/>
          <w:tab w:val="right" w:pos="10208"/>
        </w:tabs>
        <w:spacing w:line="360" w:lineRule="auto"/>
        <w:ind w:firstLine="420"/>
      </w:pPr>
      <w:r>
        <w:rPr>
          <w:rFonts w:hint="eastAsia"/>
        </w:rPr>
        <w:t>b）</w:t>
      </w:r>
      <w:r>
        <w:t>识别</w:t>
      </w:r>
      <w:r>
        <w:rPr>
          <w:rFonts w:hint="eastAsia"/>
        </w:rPr>
        <w:t>温室气体</w:t>
      </w:r>
      <w:r>
        <w:t>排放源</w:t>
      </w:r>
      <w:r>
        <w:rPr>
          <w:rFonts w:hint="eastAsia"/>
        </w:rPr>
        <w:t>；</w:t>
      </w:r>
    </w:p>
    <w:p w14:paraId="5FC70877">
      <w:pPr>
        <w:tabs>
          <w:tab w:val="left" w:pos="512"/>
          <w:tab w:val="left" w:pos="513"/>
          <w:tab w:val="right" w:pos="10208"/>
        </w:tabs>
        <w:spacing w:line="360" w:lineRule="auto"/>
        <w:ind w:firstLine="420"/>
      </w:pPr>
      <w:r>
        <w:t xml:space="preserve">c) </w:t>
      </w:r>
      <w:r>
        <w:rPr>
          <w:rFonts w:hint="eastAsia"/>
        </w:rPr>
        <w:t>制定数据质量和控制计划；</w:t>
      </w:r>
    </w:p>
    <w:p w14:paraId="73DC60BD">
      <w:pPr>
        <w:tabs>
          <w:tab w:val="left" w:pos="512"/>
          <w:tab w:val="left" w:pos="513"/>
          <w:tab w:val="right" w:pos="10208"/>
        </w:tabs>
        <w:spacing w:line="360" w:lineRule="auto"/>
        <w:ind w:firstLine="420"/>
      </w:pPr>
      <w:r>
        <w:t>d) 选择</w:t>
      </w:r>
      <w:r>
        <w:rPr>
          <w:rFonts w:hint="eastAsia"/>
        </w:rPr>
        <w:t>与收集活动数据；</w:t>
      </w:r>
    </w:p>
    <w:p w14:paraId="43B066BE">
      <w:pPr>
        <w:tabs>
          <w:tab w:val="left" w:pos="512"/>
          <w:tab w:val="left" w:pos="513"/>
          <w:tab w:val="right" w:pos="10208"/>
        </w:tabs>
        <w:spacing w:line="360" w:lineRule="auto"/>
        <w:ind w:firstLine="420"/>
      </w:pPr>
      <w:r>
        <w:rPr>
          <w:rFonts w:hint="eastAsia"/>
        </w:rPr>
        <w:t>e</w:t>
      </w:r>
      <w:r>
        <w:t xml:space="preserve">) </w:t>
      </w:r>
      <w:r>
        <w:rPr>
          <w:rFonts w:hint="eastAsia"/>
        </w:rPr>
        <w:t>选择和获取排放因子数据；</w:t>
      </w:r>
    </w:p>
    <w:p w14:paraId="5220EC5D">
      <w:pPr>
        <w:tabs>
          <w:tab w:val="left" w:pos="512"/>
          <w:tab w:val="left" w:pos="513"/>
          <w:tab w:val="right" w:pos="10208"/>
        </w:tabs>
        <w:spacing w:line="360" w:lineRule="auto"/>
        <w:ind w:firstLine="420"/>
      </w:pPr>
      <w:r>
        <w:rPr>
          <w:rFonts w:hint="eastAsia"/>
        </w:rPr>
        <w:t>f) 分别计算燃料燃烧排放量、过程排放量、购入和输出电力及热力产生的排放量、废弃物处理处置排放量（如有）；</w:t>
      </w:r>
    </w:p>
    <w:p w14:paraId="77687775">
      <w:pPr>
        <w:tabs>
          <w:tab w:val="left" w:pos="512"/>
          <w:tab w:val="left" w:pos="513"/>
          <w:tab w:val="right" w:pos="10208"/>
        </w:tabs>
        <w:spacing w:line="360" w:lineRule="auto"/>
        <w:ind w:firstLine="420"/>
      </w:pPr>
      <w:r>
        <w:rPr>
          <w:rFonts w:hint="eastAsia"/>
        </w:rPr>
        <w:t>g</w:t>
      </w:r>
      <w:r>
        <w:t xml:space="preserve">) </w:t>
      </w:r>
      <w:r>
        <w:rPr>
          <w:rFonts w:hint="eastAsia"/>
        </w:rPr>
        <w:t>计算与汇总温室气体排放量。</w:t>
      </w:r>
    </w:p>
    <w:p w14:paraId="5B1AB5F5">
      <w:pPr>
        <w:spacing w:before="120" w:beforeLines="50" w:line="360" w:lineRule="auto"/>
        <w:rPr>
          <w:rFonts w:eastAsia="黑体"/>
        </w:rPr>
      </w:pPr>
      <w:r>
        <w:rPr>
          <w:rFonts w:eastAsia="黑体"/>
        </w:rPr>
        <w:t>6.2</w:t>
      </w:r>
      <w:r>
        <w:rPr>
          <w:rFonts w:hint="eastAsia" w:eastAsia="黑体"/>
        </w:rPr>
        <w:t>核算方法</w:t>
      </w:r>
    </w:p>
    <w:p w14:paraId="674D9C71">
      <w:pPr>
        <w:spacing w:line="360" w:lineRule="auto"/>
        <w:rPr>
          <w:rFonts w:hAnsi="黑体" w:eastAsia="黑体"/>
        </w:rPr>
      </w:pPr>
      <w:bookmarkStart w:id="18" w:name="_Toc190159465"/>
      <w:bookmarkStart w:id="19" w:name="_Toc101106193"/>
      <w:bookmarkStart w:id="20" w:name="_Toc81755151"/>
      <w:r>
        <w:rPr>
          <w:rFonts w:hAnsi="黑体" w:eastAsia="黑体"/>
        </w:rPr>
        <w:t xml:space="preserve">6.2.1 </w:t>
      </w:r>
      <w:bookmarkEnd w:id="18"/>
      <w:bookmarkEnd w:id="19"/>
      <w:bookmarkEnd w:id="20"/>
      <w:r>
        <w:rPr>
          <w:rFonts w:hint="eastAsia" w:hAnsi="黑体" w:eastAsia="黑体"/>
        </w:rPr>
        <w:t>温室气体排放总量</w:t>
      </w:r>
    </w:p>
    <w:p w14:paraId="61B8FDF9">
      <w:pPr>
        <w:pStyle w:val="151"/>
        <w:snapToGrid w:val="0"/>
        <w:spacing w:after="0" w:line="360" w:lineRule="auto"/>
        <w:ind w:firstLine="420" w:firstLineChars="200"/>
        <w:jc w:val="both"/>
        <w:rPr>
          <w:rFonts w:ascii="Times New Roman" w:hAnsi="Times New Roman" w:cs="Times New Roman"/>
          <w:lang w:val="en-US" w:eastAsia="zh-CN" w:bidi="ar-SA"/>
        </w:rPr>
      </w:pPr>
      <w:r>
        <w:rPr>
          <w:rFonts w:hint="eastAsia" w:ascii="Times New Roman" w:hAnsi="Times New Roman" w:cs="Times New Roman"/>
          <w:lang w:val="en-US" w:eastAsia="zh-CN" w:bidi="ar-SA"/>
        </w:rPr>
        <w:t>报告主体的</w:t>
      </w:r>
      <w:r>
        <w:rPr>
          <w:rFonts w:hint="eastAsia" w:ascii="Times New Roman" w:hAnsi="Times New Roman"/>
        </w:rPr>
        <w:t>温室气体</w:t>
      </w:r>
      <w:r>
        <w:rPr>
          <w:rFonts w:ascii="Times New Roman" w:hAnsi="Times New Roman" w:cs="Times New Roman"/>
          <w:lang w:val="en-US" w:eastAsia="zh-CN" w:bidi="ar-SA"/>
        </w:rPr>
        <w:t>排放总量等于</w:t>
      </w:r>
      <w:r>
        <w:rPr>
          <w:rFonts w:hint="eastAsia" w:ascii="Times New Roman" w:hAnsi="Times New Roman" w:cs="Times New Roman"/>
          <w:lang w:val="en-US" w:eastAsia="zh-CN" w:bidi="ar-SA"/>
        </w:rPr>
        <w:t>企业边界内所有的</w:t>
      </w:r>
      <w:r>
        <w:rPr>
          <w:rFonts w:ascii="Times New Roman" w:hAnsi="Times New Roman" w:cs="Times New Roman"/>
          <w:lang w:val="en-US" w:eastAsia="zh-CN" w:bidi="ar-SA"/>
        </w:rPr>
        <w:t>化石燃料燃烧</w:t>
      </w:r>
      <w:r>
        <w:rPr>
          <w:rFonts w:hint="eastAsia" w:ascii="Times New Roman" w:hAnsi="Times New Roman" w:cs="Times New Roman"/>
          <w:lang w:val="en-US" w:eastAsia="zh-CN" w:bidi="ar-SA"/>
        </w:rPr>
        <w:t>产生的温室气体排放量、生产过程产生的温室气体排放量、废弃物处理处置产生的温室气体排放量（如果有）及企业购入的电力、热力产生的温室气体排放量之和，同时扣除输出的电力、热力所产生的温室气体排放量，</w:t>
      </w:r>
      <w:r>
        <w:rPr>
          <w:rFonts w:ascii="Times New Roman" w:hAnsi="Times New Roman" w:cs="Times New Roman"/>
          <w:lang w:val="en-US" w:eastAsia="zh-CN" w:bidi="ar-SA"/>
        </w:rPr>
        <w:t>按</w:t>
      </w:r>
      <w:r>
        <w:rPr>
          <w:rFonts w:hint="eastAsia" w:ascii="Times New Roman" w:hAnsi="Times New Roman" w:cs="Times New Roman"/>
          <w:lang w:val="en-US" w:eastAsia="zh-CN" w:bidi="ar-SA"/>
        </w:rPr>
        <w:t>公</w:t>
      </w:r>
      <w:r>
        <w:rPr>
          <w:rFonts w:ascii="Times New Roman" w:hAnsi="Times New Roman" w:cs="Times New Roman"/>
          <w:lang w:val="en-US" w:eastAsia="zh-CN" w:bidi="ar-SA"/>
        </w:rPr>
        <w:t>式</w:t>
      </w:r>
      <w:r>
        <w:rPr>
          <w:rFonts w:hint="eastAsia" w:ascii="Times New Roman" w:hAnsi="Times New Roman" w:cs="Times New Roman"/>
          <w:lang w:val="en-US" w:eastAsia="zh-CN" w:bidi="ar-SA"/>
        </w:rPr>
        <w:t>（</w:t>
      </w:r>
      <w:r>
        <w:rPr>
          <w:rFonts w:ascii="Times New Roman" w:hAnsi="Times New Roman" w:cs="Times New Roman"/>
          <w:lang w:val="en-US" w:eastAsia="zh-CN" w:bidi="ar-SA"/>
        </w:rPr>
        <w:t>1）计算：</w:t>
      </w:r>
    </w:p>
    <w:p w14:paraId="3EE1117E">
      <w:pPr>
        <w:pStyle w:val="151"/>
        <w:tabs>
          <w:tab w:val="left" w:leader="dot" w:pos="6840"/>
        </w:tabs>
        <w:spacing w:after="0" w:line="360" w:lineRule="auto"/>
        <w:ind w:firstLine="0"/>
        <w:jc w:val="right"/>
        <w:rPr>
          <w:rFonts w:ascii="Times New Roman" w:hAnsi="Times New Roman"/>
          <w:lang w:val="en-US" w:eastAsia="zh-CN"/>
        </w:rPr>
      </w:pPr>
      <m:oMath>
        <m:r>
          <m:rPr/>
          <w:rPr>
            <w:rFonts w:ascii="Times New Roman" w:hAnsi="Times New Roman"/>
          </w:rPr>
          <m:t>E=</m:t>
        </m:r>
        <m:sSub>
          <m:sSubPr>
            <m:ctrlPr>
              <w:rPr>
                <w:rFonts w:ascii="Cambria Math" w:hAnsi="Cambria Math"/>
                <w:i/>
              </w:rPr>
            </m:ctrlPr>
          </m:sSubPr>
          <m:e>
            <m:r>
              <m:rPr/>
              <w:rPr>
                <w:rFonts w:ascii="Times New Roman" w:hAnsi="Times New Roman"/>
              </w:rPr>
              <m:t>E</m:t>
            </m:r>
            <m:ctrlPr>
              <w:rPr>
                <w:rFonts w:ascii="Cambria Math" w:hAnsi="Cambria Math"/>
                <w:i/>
              </w:rPr>
            </m:ctrlPr>
          </m:e>
          <m:sub>
            <m:r>
              <m:rPr>
                <m:sty m:val="p"/>
              </m:rPr>
              <w:rPr>
                <w:rFonts w:hint="eastAsia" w:ascii="Times New Roman" w:hAnsi="Times New Roman"/>
              </w:rPr>
              <m:t>燃烧</m:t>
            </m:r>
            <m:ctrlPr>
              <w:rPr>
                <w:rFonts w:ascii="Cambria Math" w:hAnsi="Cambria Math"/>
                <w:i/>
              </w:rPr>
            </m:ctrlPr>
          </m:sub>
        </m:sSub>
        <m:r>
          <m:rPr/>
          <w:rPr>
            <w:rFonts w:ascii="Times New Roman" w:hAnsi="Times New Roman"/>
          </w:rPr>
          <m:t>+</m:t>
        </m:r>
        <m:sSub>
          <m:sSubPr>
            <m:ctrlPr>
              <w:rPr>
                <w:rFonts w:ascii="Cambria Math" w:hAnsi="Cambria Math"/>
                <w:i/>
              </w:rPr>
            </m:ctrlPr>
          </m:sSubPr>
          <m:e>
            <m:r>
              <m:rPr/>
              <w:rPr>
                <w:rFonts w:ascii="Times New Roman" w:hAnsi="Times New Roman"/>
              </w:rPr>
              <m:t>E</m:t>
            </m:r>
            <m:ctrlPr>
              <w:rPr>
                <w:rFonts w:ascii="Cambria Math" w:hAnsi="Cambria Math"/>
                <w:i/>
              </w:rPr>
            </m:ctrlPr>
          </m:e>
          <m:sub>
            <m:r>
              <m:rPr>
                <m:sty m:val="p"/>
              </m:rPr>
              <w:rPr>
                <w:rFonts w:hint="eastAsia" w:ascii="Times New Roman" w:hAnsi="Times New Roman"/>
              </w:rPr>
              <m:t>过程</m:t>
            </m:r>
            <m:ctrlPr>
              <w:rPr>
                <w:rFonts w:ascii="Cambria Math" w:hAnsi="Cambria Math"/>
                <w:i/>
              </w:rPr>
            </m:ctrlPr>
          </m:sub>
        </m:sSub>
        <m:r>
          <m:rPr/>
          <w:rPr>
            <w:rFonts w:ascii="Times New Roman" w:hAnsi="Times New Roman"/>
          </w:rPr>
          <m:t>+</m:t>
        </m:r>
        <m:sSub>
          <m:sSubPr>
            <m:ctrlPr>
              <w:rPr>
                <w:rFonts w:ascii="Cambria Math" w:hAnsi="Cambria Math"/>
                <w:i/>
              </w:rPr>
            </m:ctrlPr>
          </m:sSubPr>
          <m:e>
            <m:r>
              <m:rPr/>
              <w:rPr>
                <w:rFonts w:ascii="Times New Roman" w:hAnsi="Times New Roman"/>
              </w:rPr>
              <m:t>E</m:t>
            </m:r>
            <m:ctrlPr>
              <w:rPr>
                <w:rFonts w:ascii="Cambria Math" w:hAnsi="Cambria Math"/>
                <w:i/>
              </w:rPr>
            </m:ctrlPr>
          </m:e>
          <m:sub>
            <m:r>
              <m:rPr>
                <m:sty m:val="p"/>
              </m:rPr>
              <w:rPr>
                <w:rFonts w:hint="eastAsia" w:ascii="Times New Roman" w:hAnsi="Times New Roman"/>
                <w:lang w:val="en-US" w:eastAsia="zh-CN"/>
              </w:rPr>
              <m:t>废弃物</m:t>
            </m:r>
            <m:ctrlPr>
              <w:rPr>
                <w:rFonts w:ascii="Cambria Math" w:hAnsi="Cambria Math"/>
                <w:i/>
              </w:rPr>
            </m:ctrlPr>
          </m:sub>
        </m:sSub>
        <m:r>
          <m:rPr/>
          <w:rPr>
            <w:rFonts w:ascii="Times New Roman" w:hAnsi="Times New Roman"/>
          </w:rPr>
          <m:t>+</m:t>
        </m:r>
        <m:sSub>
          <m:sSubPr>
            <m:ctrlPr>
              <w:rPr>
                <w:rFonts w:ascii="Cambria Math" w:hAnsi="Cambria Math"/>
                <w:i/>
              </w:rPr>
            </m:ctrlPr>
          </m:sSubPr>
          <m:e>
            <m:r>
              <m:rPr/>
              <w:rPr>
                <w:rFonts w:ascii="Times New Roman" w:hAnsi="Times New Roman"/>
              </w:rPr>
              <m:t>E</m:t>
            </m:r>
            <m:ctrlPr>
              <w:rPr>
                <w:rFonts w:ascii="Cambria Math" w:hAnsi="Cambria Math"/>
                <w:i/>
              </w:rPr>
            </m:ctrlPr>
          </m:e>
          <m:sub>
            <m:r>
              <m:rPr>
                <m:sty m:val="p"/>
              </m:rPr>
              <w:rPr>
                <w:rFonts w:hint="eastAsia" w:ascii="Times New Roman" w:hAnsi="Times New Roman"/>
              </w:rPr>
              <m:t>购入电</m:t>
            </m:r>
            <m:ctrlPr>
              <w:rPr>
                <w:rFonts w:ascii="Cambria Math" w:hAnsi="Cambria Math"/>
                <w:i/>
              </w:rPr>
            </m:ctrlPr>
          </m:sub>
        </m:sSub>
        <m:r>
          <m:rPr/>
          <w:rPr>
            <w:rFonts w:ascii="Times New Roman" w:hAnsi="Times New Roman"/>
            <w:lang w:val="en-US" w:eastAsia="zh-CN"/>
          </w:rPr>
          <m:t>−</m:t>
        </m:r>
        <m:sSub>
          <m:sSubPr>
            <m:ctrlPr>
              <w:rPr>
                <w:rFonts w:ascii="Cambria Math" w:hAnsi="Cambria Math"/>
                <w:i/>
              </w:rPr>
            </m:ctrlPr>
          </m:sSubPr>
          <m:e>
            <m:r>
              <m:rPr/>
              <w:rPr>
                <w:rFonts w:ascii="Times New Roman" w:hAnsi="Times New Roman"/>
              </w:rPr>
              <m:t>E</m:t>
            </m:r>
            <m:ctrlPr>
              <w:rPr>
                <w:rFonts w:ascii="Cambria Math" w:hAnsi="Cambria Math"/>
                <w:i/>
              </w:rPr>
            </m:ctrlPr>
          </m:e>
          <m:sub>
            <m:r>
              <m:rPr>
                <m:sty m:val="p"/>
              </m:rPr>
              <w:rPr>
                <w:rFonts w:hint="eastAsia" w:ascii="Times New Roman" w:hAnsi="Times New Roman"/>
                <w:lang w:val="en-US" w:eastAsia="zh-CN"/>
              </w:rPr>
              <m:t>输出</m:t>
            </m:r>
            <m:r>
              <m:rPr>
                <m:sty m:val="p"/>
              </m:rPr>
              <w:rPr>
                <w:rFonts w:hint="eastAsia" w:ascii="Times New Roman" w:hAnsi="Times New Roman"/>
              </w:rPr>
              <m:t>电</m:t>
            </m:r>
            <m:ctrlPr>
              <w:rPr>
                <w:rFonts w:ascii="Cambria Math" w:hAnsi="Cambria Math"/>
                <w:i/>
              </w:rPr>
            </m:ctrlPr>
          </m:sub>
        </m:sSub>
        <m:r>
          <m:rPr/>
          <w:rPr>
            <w:rFonts w:ascii="Times New Roman" w:hAnsi="Times New Roman"/>
          </w:rPr>
          <m:t>+</m:t>
        </m:r>
        <m:sSub>
          <m:sSubPr>
            <m:ctrlPr>
              <w:rPr>
                <w:rFonts w:ascii="Cambria Math" w:hAnsi="Cambria Math"/>
                <w:i/>
              </w:rPr>
            </m:ctrlPr>
          </m:sSubPr>
          <m:e>
            <m:r>
              <m:rPr/>
              <w:rPr>
                <w:rFonts w:ascii="Times New Roman" w:hAnsi="Times New Roman"/>
              </w:rPr>
              <m:t>E</m:t>
            </m:r>
            <m:ctrlPr>
              <w:rPr>
                <w:rFonts w:ascii="Cambria Math" w:hAnsi="Cambria Math"/>
                <w:i/>
              </w:rPr>
            </m:ctrlPr>
          </m:e>
          <m:sub>
            <m:r>
              <m:rPr>
                <m:sty m:val="p"/>
              </m:rPr>
              <w:rPr>
                <w:rFonts w:hint="eastAsia" w:ascii="Times New Roman" w:hAnsi="Times New Roman"/>
              </w:rPr>
              <m:t>购入热</m:t>
            </m:r>
            <m:ctrlPr>
              <w:rPr>
                <w:rFonts w:ascii="Cambria Math" w:hAnsi="Cambria Math"/>
                <w:i/>
              </w:rPr>
            </m:ctrlPr>
          </m:sub>
        </m:sSub>
        <m:r>
          <m:rPr/>
          <w:rPr>
            <w:rFonts w:ascii="Times New Roman" w:hAnsi="Times New Roman"/>
            <w:lang w:val="en-US" w:eastAsia="zh-CN"/>
          </w:rPr>
          <m:t>−</m:t>
        </m:r>
        <m:sSub>
          <m:sSubPr>
            <m:ctrlPr>
              <w:rPr>
                <w:rFonts w:ascii="Cambria Math" w:hAnsi="Cambria Math"/>
                <w:i/>
              </w:rPr>
            </m:ctrlPr>
          </m:sSubPr>
          <m:e>
            <m:r>
              <m:rPr/>
              <w:rPr>
                <w:rFonts w:ascii="Times New Roman" w:hAnsi="Times New Roman"/>
              </w:rPr>
              <m:t>E</m:t>
            </m:r>
            <m:ctrlPr>
              <w:rPr>
                <w:rFonts w:ascii="Cambria Math" w:hAnsi="Cambria Math"/>
                <w:i/>
              </w:rPr>
            </m:ctrlPr>
          </m:e>
          <m:sub>
            <m:r>
              <m:rPr>
                <m:sty m:val="p"/>
              </m:rPr>
              <w:rPr>
                <w:rFonts w:hint="eastAsia" w:ascii="Times New Roman" w:hAnsi="Times New Roman"/>
                <w:lang w:val="en-US" w:eastAsia="zh-CN"/>
              </w:rPr>
              <m:t>输出热</m:t>
            </m:r>
            <m:ctrlPr>
              <w:rPr>
                <w:rFonts w:ascii="Cambria Math" w:hAnsi="Cambria Math"/>
                <w:i/>
              </w:rPr>
            </m:ctrlPr>
          </m:sub>
        </m:sSub>
      </m:oMath>
      <w:r>
        <w:rPr>
          <w:rFonts w:ascii="Times New Roman" w:hAnsi="Times New Roman"/>
          <w:lang w:val="en-US" w:eastAsia="zh-CN" w:bidi="en-US"/>
        </w:rPr>
        <w:t xml:space="preserve"> </w:t>
      </w:r>
      <w:r>
        <w:rPr>
          <w:rFonts w:hint="eastAsia" w:ascii="Times New Roman" w:hAnsi="Times New Roman" w:cs="Times New Roman"/>
          <w:lang w:val="en-US" w:eastAsia="zh-CN"/>
        </w:rPr>
        <w:t>····（1）</w:t>
      </w:r>
    </w:p>
    <w:p w14:paraId="0949F979">
      <w:pPr>
        <w:pStyle w:val="151"/>
        <w:snapToGrid w:val="0"/>
        <w:spacing w:after="0" w:line="360" w:lineRule="auto"/>
        <w:ind w:firstLine="420" w:firstLineChars="200"/>
        <w:jc w:val="both"/>
        <w:rPr>
          <w:rFonts w:ascii="Times New Roman" w:hAnsi="Times New Roman" w:cs="Times New Roman"/>
          <w:lang w:val="en-US" w:eastAsia="zh-CN" w:bidi="ar-SA"/>
        </w:rPr>
      </w:pPr>
      <w:r>
        <w:rPr>
          <w:rFonts w:ascii="Times New Roman" w:hAnsi="Times New Roman" w:cs="Times New Roman"/>
          <w:lang w:val="en-US" w:eastAsia="zh-CN" w:bidi="ar-SA"/>
        </w:rPr>
        <w:t>式中：</w:t>
      </w:r>
    </w:p>
    <w:p w14:paraId="730E8044">
      <w:pPr>
        <w:pStyle w:val="151"/>
        <w:tabs>
          <w:tab w:val="left" w:pos="888"/>
        </w:tabs>
        <w:snapToGrid w:val="0"/>
        <w:spacing w:after="0" w:line="360" w:lineRule="auto"/>
        <w:ind w:firstLine="420" w:firstLineChars="200"/>
        <w:jc w:val="both"/>
        <w:rPr>
          <w:rFonts w:ascii="Times New Roman" w:hAnsi="Times New Roman"/>
        </w:rPr>
      </w:pPr>
      <w:r>
        <w:rPr>
          <w:rFonts w:ascii="Times New Roman" w:hAnsi="Times New Roman"/>
          <w:i/>
          <w:iCs/>
          <w:lang w:val="en-US" w:eastAsia="zh-CN" w:bidi="en-US"/>
        </w:rPr>
        <w:t>E</w:t>
      </w:r>
      <w:r>
        <w:rPr>
          <w:rFonts w:ascii="Times New Roman" w:hAnsi="Times New Roman"/>
          <w:lang w:val="en-US" w:eastAsia="zh-CN" w:bidi="en-US"/>
        </w:rPr>
        <w:t xml:space="preserve">   </w:t>
      </w:r>
      <w:r>
        <w:rPr>
          <w:rFonts w:ascii="Times New Roman" w:hAnsi="Times New Roman"/>
        </w:rPr>
        <w:t>——报告主体</w:t>
      </w:r>
      <w:r>
        <w:rPr>
          <w:rFonts w:hint="eastAsia" w:ascii="Times New Roman" w:hAnsi="Times New Roman"/>
        </w:rPr>
        <w:t>温室气体</w:t>
      </w:r>
      <w:r>
        <w:rPr>
          <w:rFonts w:ascii="Times New Roman" w:hAnsi="Times New Roman"/>
        </w:rPr>
        <w:t>排放总量，</w:t>
      </w:r>
      <w:r>
        <w:rPr>
          <w:rFonts w:hint="eastAsia" w:ascii="Times New Roman" w:hAnsi="Times New Roman" w:cs="Times New Roman"/>
          <w:lang w:val="en-US" w:eastAsia="zh-CN" w:bidi="en-US"/>
        </w:rPr>
        <w:t>单位为吨二氧化碳当量</w:t>
      </w:r>
      <w:r>
        <w:rPr>
          <w:rFonts w:ascii="Times New Roman" w:hAnsi="Times New Roman" w:cs="Times New Roman"/>
          <w:lang w:val="en-US" w:eastAsia="zh-CN" w:bidi="en-US"/>
        </w:rPr>
        <w:t>(tCO</w:t>
      </w:r>
      <w:r>
        <w:rPr>
          <w:rFonts w:ascii="Times New Roman" w:hAnsi="Times New Roman" w:cs="Times New Roman"/>
          <w:vertAlign w:val="subscript"/>
          <w:lang w:val="en-US" w:eastAsia="zh-CN" w:bidi="en-US"/>
        </w:rPr>
        <w:t>2</w:t>
      </w:r>
      <w:r>
        <w:rPr>
          <w:rFonts w:ascii="Times New Roman" w:hAnsi="Times New Roman" w:cs="Times New Roman"/>
          <w:lang w:val="en-US" w:eastAsia="zh-CN" w:bidi="en-US"/>
        </w:rPr>
        <w:t>e)</w:t>
      </w:r>
      <w:r>
        <w:rPr>
          <w:rFonts w:hint="eastAsia" w:ascii="Times New Roman" w:hAnsi="Times New Roman"/>
          <w:lang w:val="en-US" w:eastAsia="zh-CN" w:bidi="en-US"/>
        </w:rPr>
        <w:t>；</w:t>
      </w:r>
    </w:p>
    <w:p w14:paraId="0B504129">
      <w:pPr>
        <w:pStyle w:val="151"/>
        <w:snapToGrid w:val="0"/>
        <w:spacing w:after="0" w:line="360" w:lineRule="auto"/>
        <w:ind w:firstLine="420" w:firstLineChars="200"/>
        <w:jc w:val="both"/>
        <w:rPr>
          <w:rFonts w:ascii="Times New Roman" w:hAnsi="Times New Roman"/>
        </w:rPr>
      </w:pPr>
      <w:r>
        <w:rPr>
          <w:rFonts w:ascii="Times New Roman" w:hAnsi="Times New Roman" w:cs="Times New Roman"/>
          <w:i/>
          <w:iCs/>
          <w:lang w:val="en-US" w:eastAsia="zh-CN" w:bidi="en-US"/>
        </w:rPr>
        <w:t>E</w:t>
      </w:r>
      <w:r>
        <w:rPr>
          <w:rFonts w:ascii="Times New Roman" w:hAnsi="Times New Roman"/>
          <w:vertAlign w:val="subscript"/>
        </w:rPr>
        <w:t>燃烧</w:t>
      </w:r>
      <w:r>
        <w:rPr>
          <w:rFonts w:ascii="Times New Roman" w:hAnsi="Times New Roman"/>
          <w:vertAlign w:val="subscript"/>
          <w:lang w:val="en-US" w:eastAsia="zh-CN"/>
        </w:rPr>
        <w:t xml:space="preserve">  </w:t>
      </w:r>
      <w:r>
        <w:rPr>
          <w:rFonts w:ascii="Times New Roman" w:hAnsi="Times New Roman"/>
        </w:rPr>
        <w:t>——报告主体</w:t>
      </w:r>
      <w:r>
        <w:rPr>
          <w:rFonts w:hint="eastAsia" w:ascii="Times New Roman" w:hAnsi="Times New Roman"/>
          <w:lang w:val="en-US" w:eastAsia="zh-CN"/>
        </w:rPr>
        <w:t>的化石</w:t>
      </w:r>
      <w:r>
        <w:rPr>
          <w:rFonts w:ascii="Times New Roman" w:hAnsi="Times New Roman"/>
        </w:rPr>
        <w:t>燃料燃烧</w:t>
      </w:r>
      <w:r>
        <w:rPr>
          <w:rFonts w:hint="eastAsia" w:ascii="Times New Roman" w:hAnsi="Times New Roman"/>
          <w:lang w:val="en-US" w:eastAsia="zh-CN"/>
        </w:rPr>
        <w:t>产生的</w:t>
      </w:r>
      <w:r>
        <w:rPr>
          <w:rFonts w:hint="eastAsia" w:ascii="Times New Roman" w:hAnsi="Times New Roman"/>
        </w:rPr>
        <w:t>温室气体</w:t>
      </w:r>
      <w:r>
        <w:rPr>
          <w:rFonts w:hint="eastAsia" w:ascii="Times New Roman" w:hAnsi="Times New Roman"/>
          <w:lang w:val="en-US" w:eastAsia="zh-CN"/>
        </w:rPr>
        <w:t>排放量</w:t>
      </w:r>
      <w:r>
        <w:rPr>
          <w:rFonts w:ascii="Times New Roman" w:hAnsi="Times New Roman"/>
        </w:rPr>
        <w:t>，</w:t>
      </w:r>
      <w:r>
        <w:rPr>
          <w:rFonts w:hint="eastAsia" w:ascii="Times New Roman" w:hAnsi="Times New Roman" w:cs="Times New Roman"/>
          <w:lang w:val="en-US" w:eastAsia="zh-CN" w:bidi="en-US"/>
        </w:rPr>
        <w:t>单位为吨二氧化碳当量</w:t>
      </w:r>
      <w:r>
        <w:rPr>
          <w:rFonts w:ascii="Times New Roman" w:hAnsi="Times New Roman" w:cs="Times New Roman"/>
          <w:lang w:val="en-US" w:eastAsia="zh-CN" w:bidi="en-US"/>
        </w:rPr>
        <w:t>(tCO</w:t>
      </w:r>
      <w:r>
        <w:rPr>
          <w:rFonts w:ascii="Times New Roman" w:hAnsi="Times New Roman" w:cs="Times New Roman"/>
          <w:vertAlign w:val="subscript"/>
          <w:lang w:val="en-US" w:eastAsia="zh-CN" w:bidi="en-US"/>
        </w:rPr>
        <w:t>2</w:t>
      </w:r>
      <w:r>
        <w:rPr>
          <w:rFonts w:ascii="Times New Roman" w:hAnsi="Times New Roman" w:cs="Times New Roman"/>
          <w:lang w:val="en-US" w:eastAsia="zh-CN" w:bidi="en-US"/>
        </w:rPr>
        <w:t>e)</w:t>
      </w:r>
      <w:r>
        <w:rPr>
          <w:rFonts w:ascii="Times New Roman" w:hAnsi="Times New Roman"/>
          <w:lang w:val="en-US" w:eastAsia="zh-CN" w:bidi="en-US"/>
        </w:rPr>
        <w:t>；</w:t>
      </w:r>
    </w:p>
    <w:p w14:paraId="4A627E06">
      <w:pPr>
        <w:pStyle w:val="151"/>
        <w:tabs>
          <w:tab w:val="left" w:leader="hyphen" w:pos="1426"/>
        </w:tabs>
        <w:snapToGrid w:val="0"/>
        <w:spacing w:after="0" w:line="360" w:lineRule="auto"/>
        <w:ind w:firstLine="420" w:firstLineChars="200"/>
        <w:jc w:val="both"/>
        <w:rPr>
          <w:rFonts w:ascii="Times New Roman" w:hAnsi="Times New Roman"/>
          <w:lang w:val="en-US" w:eastAsia="zh-CN" w:bidi="en-US"/>
        </w:rPr>
      </w:pPr>
      <w:r>
        <w:rPr>
          <w:rFonts w:ascii="Times New Roman" w:hAnsi="Times New Roman" w:cs="Times New Roman"/>
          <w:i/>
          <w:iCs/>
          <w:lang w:val="en-US" w:eastAsia="zh-CN" w:bidi="en-US"/>
        </w:rPr>
        <w:t>E</w:t>
      </w:r>
      <w:r>
        <w:rPr>
          <w:rFonts w:ascii="Times New Roman" w:hAnsi="Times New Roman"/>
          <w:vertAlign w:val="subscript"/>
        </w:rPr>
        <w:t>过程</w:t>
      </w:r>
      <w:r>
        <w:rPr>
          <w:rFonts w:ascii="Times New Roman" w:hAnsi="Times New Roman"/>
          <w:vertAlign w:val="subscript"/>
          <w:lang w:val="en-US" w:eastAsia="zh-CN"/>
        </w:rPr>
        <w:t xml:space="preserve">  </w:t>
      </w:r>
      <w:r>
        <w:rPr>
          <w:rFonts w:ascii="Times New Roman" w:hAnsi="Times New Roman"/>
        </w:rPr>
        <w:t>——报告主体过程排放</w:t>
      </w:r>
      <w:r>
        <w:rPr>
          <w:rFonts w:hint="eastAsia" w:ascii="Times New Roman" w:hAnsi="Times New Roman"/>
          <w:lang w:val="en-US" w:eastAsia="zh-CN"/>
        </w:rPr>
        <w:t>产生的</w:t>
      </w:r>
      <w:r>
        <w:rPr>
          <w:rFonts w:hint="eastAsia" w:ascii="Times New Roman" w:hAnsi="Times New Roman"/>
        </w:rPr>
        <w:t>温室气体</w:t>
      </w:r>
      <w:r>
        <w:rPr>
          <w:rFonts w:hint="eastAsia" w:ascii="Times New Roman" w:hAnsi="Times New Roman"/>
          <w:lang w:val="en-US" w:eastAsia="zh-CN"/>
        </w:rPr>
        <w:t>排放</w:t>
      </w:r>
      <w:r>
        <w:rPr>
          <w:rFonts w:ascii="Times New Roman" w:hAnsi="Times New Roman"/>
        </w:rPr>
        <w:t>量，</w:t>
      </w:r>
      <w:r>
        <w:rPr>
          <w:rFonts w:hint="eastAsia" w:ascii="Times New Roman" w:hAnsi="Times New Roman" w:cs="Times New Roman"/>
          <w:lang w:val="en-US" w:eastAsia="zh-CN" w:bidi="en-US"/>
        </w:rPr>
        <w:t>单位为吨二氧化碳当量</w:t>
      </w:r>
      <w:r>
        <w:rPr>
          <w:rFonts w:ascii="Times New Roman" w:hAnsi="Times New Roman" w:cs="Times New Roman"/>
          <w:lang w:val="en-US" w:eastAsia="zh-CN" w:bidi="en-US"/>
        </w:rPr>
        <w:t>(tCO</w:t>
      </w:r>
      <w:r>
        <w:rPr>
          <w:rFonts w:ascii="Times New Roman" w:hAnsi="Times New Roman" w:cs="Times New Roman"/>
          <w:vertAlign w:val="subscript"/>
          <w:lang w:val="en-US" w:eastAsia="zh-CN" w:bidi="en-US"/>
        </w:rPr>
        <w:t>2</w:t>
      </w:r>
      <w:r>
        <w:rPr>
          <w:rFonts w:ascii="Times New Roman" w:hAnsi="Times New Roman" w:cs="Times New Roman"/>
          <w:lang w:val="en-US" w:eastAsia="zh-CN" w:bidi="en-US"/>
        </w:rPr>
        <w:t>e)</w:t>
      </w:r>
      <w:r>
        <w:rPr>
          <w:rFonts w:hint="eastAsia" w:ascii="Times New Roman" w:hAnsi="Times New Roman"/>
          <w:lang w:val="en-US" w:eastAsia="zh-CN" w:bidi="en-US"/>
        </w:rPr>
        <w:t>；</w:t>
      </w:r>
    </w:p>
    <w:p w14:paraId="71F9C667">
      <w:pPr>
        <w:pStyle w:val="151"/>
        <w:tabs>
          <w:tab w:val="left" w:leader="hyphen" w:pos="1426"/>
        </w:tabs>
        <w:snapToGrid w:val="0"/>
        <w:spacing w:after="0" w:line="360" w:lineRule="auto"/>
        <w:ind w:firstLine="420" w:firstLineChars="200"/>
        <w:jc w:val="both"/>
        <w:rPr>
          <w:rFonts w:ascii="Times New Roman" w:hAnsi="Times New Roman"/>
          <w:lang w:val="en-US" w:eastAsia="zh-CN" w:bidi="en-US"/>
        </w:rPr>
      </w:pPr>
      <w:r>
        <w:rPr>
          <w:rFonts w:ascii="Times New Roman" w:hAnsi="Times New Roman" w:cs="Times New Roman"/>
          <w:i/>
          <w:iCs/>
          <w:lang w:val="en-US" w:eastAsia="zh-CN" w:bidi="en-US"/>
        </w:rPr>
        <w:t>E</w:t>
      </w:r>
      <w:r>
        <w:rPr>
          <w:rFonts w:hint="eastAsia" w:ascii="Times New Roman" w:hAnsi="Times New Roman"/>
          <w:vertAlign w:val="subscript"/>
          <w:lang w:val="en-US" w:eastAsia="zh-CN"/>
        </w:rPr>
        <w:t>废弃物</w:t>
      </w:r>
      <w:r>
        <w:rPr>
          <w:rFonts w:ascii="Times New Roman" w:hAnsi="Times New Roman"/>
          <w:vertAlign w:val="subscript"/>
          <w:lang w:val="en-US" w:eastAsia="zh-CN"/>
        </w:rPr>
        <w:t xml:space="preserve">  </w:t>
      </w:r>
      <w:r>
        <w:rPr>
          <w:rFonts w:ascii="Times New Roman" w:hAnsi="Times New Roman"/>
        </w:rPr>
        <w:t>——报告主体</w:t>
      </w:r>
      <w:r>
        <w:rPr>
          <w:rFonts w:hint="eastAsia" w:ascii="Times New Roman" w:hAnsi="Times New Roman"/>
          <w:lang w:val="en-US" w:eastAsia="zh-CN"/>
        </w:rPr>
        <w:t>废弃物处理处置产生的</w:t>
      </w:r>
      <w:r>
        <w:rPr>
          <w:rFonts w:hint="eastAsia" w:ascii="Times New Roman" w:hAnsi="Times New Roman"/>
        </w:rPr>
        <w:t>温室气体</w:t>
      </w:r>
      <w:r>
        <w:rPr>
          <w:rFonts w:hint="eastAsia" w:ascii="Times New Roman" w:hAnsi="Times New Roman"/>
          <w:lang w:val="en-US" w:eastAsia="zh-CN"/>
        </w:rPr>
        <w:t>排放</w:t>
      </w:r>
      <w:r>
        <w:rPr>
          <w:rFonts w:ascii="Times New Roman" w:hAnsi="Times New Roman"/>
        </w:rPr>
        <w:t>量，</w:t>
      </w:r>
      <w:r>
        <w:rPr>
          <w:rFonts w:hint="eastAsia" w:ascii="Times New Roman" w:hAnsi="Times New Roman" w:cs="Times New Roman"/>
          <w:lang w:val="en-US" w:eastAsia="zh-CN" w:bidi="en-US"/>
        </w:rPr>
        <w:t>单位为吨二氧化碳当量</w:t>
      </w:r>
      <w:r>
        <w:rPr>
          <w:rFonts w:ascii="Times New Roman" w:hAnsi="Times New Roman" w:cs="Times New Roman"/>
          <w:lang w:val="en-US" w:eastAsia="zh-CN" w:bidi="en-US"/>
        </w:rPr>
        <w:t>(tCO</w:t>
      </w:r>
      <w:r>
        <w:rPr>
          <w:rFonts w:ascii="Times New Roman" w:hAnsi="Times New Roman" w:cs="Times New Roman"/>
          <w:vertAlign w:val="subscript"/>
          <w:lang w:val="en-US" w:eastAsia="zh-CN" w:bidi="en-US"/>
        </w:rPr>
        <w:t>2</w:t>
      </w:r>
      <w:r>
        <w:rPr>
          <w:rFonts w:ascii="Times New Roman" w:hAnsi="Times New Roman" w:cs="Times New Roman"/>
          <w:lang w:val="en-US" w:eastAsia="zh-CN" w:bidi="en-US"/>
        </w:rPr>
        <w:t>e)</w:t>
      </w:r>
      <w:r>
        <w:rPr>
          <w:rFonts w:hint="eastAsia" w:ascii="Times New Roman" w:hAnsi="Times New Roman"/>
          <w:lang w:val="en-US" w:eastAsia="zh-CN" w:bidi="en-US"/>
        </w:rPr>
        <w:t>；</w:t>
      </w:r>
    </w:p>
    <w:p w14:paraId="02B1916E">
      <w:pPr>
        <w:pStyle w:val="151"/>
        <w:snapToGrid w:val="0"/>
        <w:spacing w:after="0" w:line="360" w:lineRule="auto"/>
        <w:ind w:firstLine="420" w:firstLineChars="200"/>
        <w:jc w:val="both"/>
        <w:rPr>
          <w:rFonts w:ascii="Times New Roman" w:hAnsi="Times New Roman"/>
          <w:lang w:val="en-US" w:eastAsia="zh-CN" w:bidi="en-US"/>
        </w:rPr>
      </w:pPr>
      <w:r>
        <w:rPr>
          <w:rFonts w:ascii="Times New Roman" w:hAnsi="Times New Roman" w:cs="Times New Roman"/>
          <w:i/>
          <w:iCs/>
          <w:lang w:val="en-US" w:eastAsia="zh-CN" w:bidi="en-US"/>
        </w:rPr>
        <w:t>E</w:t>
      </w:r>
      <w:r>
        <w:rPr>
          <w:rFonts w:ascii="Times New Roman" w:hAnsi="Times New Roman"/>
          <w:vertAlign w:val="subscript"/>
        </w:rPr>
        <w:t>购入电</w:t>
      </w:r>
      <w:r>
        <w:rPr>
          <w:rFonts w:ascii="Times New Roman" w:hAnsi="Times New Roman"/>
        </w:rPr>
        <w:t>——报告主体购入的电力</w:t>
      </w:r>
      <w:r>
        <w:rPr>
          <w:rFonts w:hint="eastAsia" w:ascii="Times New Roman" w:hAnsi="Times New Roman"/>
          <w:lang w:val="en-US" w:eastAsia="zh-CN"/>
        </w:rPr>
        <w:t>产生的</w:t>
      </w:r>
      <w:r>
        <w:rPr>
          <w:rFonts w:hint="eastAsia" w:ascii="Times New Roman" w:hAnsi="Times New Roman"/>
        </w:rPr>
        <w:t>温室气体</w:t>
      </w:r>
      <w:r>
        <w:rPr>
          <w:rFonts w:hint="eastAsia" w:ascii="Times New Roman" w:hAnsi="Times New Roman"/>
          <w:lang w:val="en-US" w:eastAsia="zh-CN"/>
        </w:rPr>
        <w:t>排放</w:t>
      </w:r>
      <w:r>
        <w:rPr>
          <w:rFonts w:ascii="Times New Roman" w:hAnsi="Times New Roman"/>
        </w:rPr>
        <w:t>量，</w:t>
      </w:r>
      <w:r>
        <w:rPr>
          <w:rFonts w:hint="eastAsia" w:ascii="Times New Roman" w:hAnsi="Times New Roman" w:cs="Times New Roman"/>
          <w:lang w:val="en-US" w:eastAsia="zh-CN" w:bidi="en-US"/>
        </w:rPr>
        <w:t>单位为吨二氧化碳当量</w:t>
      </w:r>
      <w:r>
        <w:rPr>
          <w:rFonts w:ascii="Times New Roman" w:hAnsi="Times New Roman" w:cs="Times New Roman"/>
          <w:lang w:val="en-US" w:eastAsia="zh-CN" w:bidi="en-US"/>
        </w:rPr>
        <w:t>(tCO</w:t>
      </w:r>
      <w:r>
        <w:rPr>
          <w:rFonts w:ascii="Times New Roman" w:hAnsi="Times New Roman" w:cs="Times New Roman"/>
          <w:vertAlign w:val="subscript"/>
          <w:lang w:val="en-US" w:eastAsia="zh-CN" w:bidi="en-US"/>
        </w:rPr>
        <w:t>2</w:t>
      </w:r>
      <w:r>
        <w:rPr>
          <w:rFonts w:ascii="Times New Roman" w:hAnsi="Times New Roman" w:cs="Times New Roman"/>
          <w:lang w:val="en-US" w:eastAsia="zh-CN" w:bidi="en-US"/>
        </w:rPr>
        <w:t>e)</w:t>
      </w:r>
      <w:r>
        <w:rPr>
          <w:rFonts w:ascii="Times New Roman" w:hAnsi="Times New Roman"/>
          <w:lang w:val="en-US" w:eastAsia="zh-CN" w:bidi="en-US"/>
        </w:rPr>
        <w:t>；</w:t>
      </w:r>
    </w:p>
    <w:p w14:paraId="1DC96566">
      <w:pPr>
        <w:pStyle w:val="151"/>
        <w:snapToGrid w:val="0"/>
        <w:spacing w:after="0" w:line="360" w:lineRule="auto"/>
        <w:ind w:firstLine="420" w:firstLineChars="200"/>
        <w:jc w:val="both"/>
        <w:rPr>
          <w:rFonts w:ascii="Times New Roman" w:hAnsi="Times New Roman"/>
          <w:lang w:val="en-US" w:eastAsia="zh-CN" w:bidi="en-US"/>
        </w:rPr>
      </w:pPr>
      <w:r>
        <w:rPr>
          <w:rFonts w:ascii="Times New Roman" w:hAnsi="Times New Roman" w:cs="Times New Roman"/>
          <w:i/>
          <w:iCs/>
          <w:lang w:val="en-US" w:eastAsia="zh-CN" w:bidi="en-US"/>
        </w:rPr>
        <w:t>E</w:t>
      </w:r>
      <w:r>
        <w:rPr>
          <w:rFonts w:hint="eastAsia" w:ascii="Times New Roman" w:hAnsi="Times New Roman"/>
          <w:vertAlign w:val="subscript"/>
          <w:lang w:val="en-US" w:eastAsia="zh-CN"/>
        </w:rPr>
        <w:t>输出</w:t>
      </w:r>
      <w:r>
        <w:rPr>
          <w:rFonts w:ascii="Times New Roman" w:hAnsi="Times New Roman"/>
          <w:vertAlign w:val="subscript"/>
        </w:rPr>
        <w:t>电</w:t>
      </w:r>
      <w:r>
        <w:rPr>
          <w:rFonts w:ascii="Times New Roman" w:hAnsi="Times New Roman"/>
        </w:rPr>
        <w:t>——报告主体</w:t>
      </w:r>
      <w:r>
        <w:rPr>
          <w:rFonts w:hint="eastAsia" w:ascii="Times New Roman" w:hAnsi="Times New Roman"/>
          <w:lang w:val="en-US" w:eastAsia="zh-CN"/>
        </w:rPr>
        <w:t>输出</w:t>
      </w:r>
      <w:r>
        <w:rPr>
          <w:rFonts w:ascii="Times New Roman" w:hAnsi="Times New Roman"/>
        </w:rPr>
        <w:t>的电力</w:t>
      </w:r>
      <w:r>
        <w:rPr>
          <w:rFonts w:hint="eastAsia" w:ascii="Times New Roman" w:hAnsi="Times New Roman"/>
          <w:lang w:val="en-US" w:eastAsia="zh-CN"/>
        </w:rPr>
        <w:t>产生的</w:t>
      </w:r>
      <w:r>
        <w:rPr>
          <w:rFonts w:hint="eastAsia" w:ascii="Times New Roman" w:hAnsi="Times New Roman"/>
        </w:rPr>
        <w:t>温室气体</w:t>
      </w:r>
      <w:r>
        <w:rPr>
          <w:rFonts w:hint="eastAsia" w:ascii="Times New Roman" w:hAnsi="Times New Roman"/>
          <w:lang w:val="en-US" w:eastAsia="zh-CN"/>
        </w:rPr>
        <w:t>排放</w:t>
      </w:r>
      <w:r>
        <w:rPr>
          <w:rFonts w:ascii="Times New Roman" w:hAnsi="Times New Roman"/>
        </w:rPr>
        <w:t>量，</w:t>
      </w:r>
      <w:r>
        <w:rPr>
          <w:rFonts w:hint="eastAsia" w:ascii="Times New Roman" w:hAnsi="Times New Roman" w:cs="Times New Roman"/>
          <w:lang w:val="en-US" w:eastAsia="zh-CN" w:bidi="en-US"/>
        </w:rPr>
        <w:t>单位为吨二氧化碳当量</w:t>
      </w:r>
      <w:r>
        <w:rPr>
          <w:rFonts w:ascii="Times New Roman" w:hAnsi="Times New Roman" w:cs="Times New Roman"/>
          <w:lang w:val="en-US" w:eastAsia="zh-CN" w:bidi="en-US"/>
        </w:rPr>
        <w:t>(tCO</w:t>
      </w:r>
      <w:r>
        <w:rPr>
          <w:rFonts w:ascii="Times New Roman" w:hAnsi="Times New Roman" w:cs="Times New Roman"/>
          <w:vertAlign w:val="subscript"/>
          <w:lang w:val="en-US" w:eastAsia="zh-CN" w:bidi="en-US"/>
        </w:rPr>
        <w:t>2</w:t>
      </w:r>
      <w:r>
        <w:rPr>
          <w:rFonts w:ascii="Times New Roman" w:hAnsi="Times New Roman" w:cs="Times New Roman"/>
          <w:lang w:val="en-US" w:eastAsia="zh-CN" w:bidi="en-US"/>
        </w:rPr>
        <w:t>e)</w:t>
      </w:r>
      <w:r>
        <w:rPr>
          <w:rFonts w:ascii="Times New Roman" w:hAnsi="Times New Roman"/>
          <w:lang w:val="en-US" w:eastAsia="zh-CN" w:bidi="en-US"/>
        </w:rPr>
        <w:t>；</w:t>
      </w:r>
    </w:p>
    <w:p w14:paraId="1CEB389E">
      <w:pPr>
        <w:pStyle w:val="151"/>
        <w:snapToGrid w:val="0"/>
        <w:spacing w:after="0" w:line="360" w:lineRule="auto"/>
        <w:ind w:firstLine="420" w:firstLineChars="200"/>
        <w:jc w:val="both"/>
        <w:rPr>
          <w:rFonts w:ascii="Times New Roman" w:hAnsi="Times New Roman"/>
          <w:lang w:val="en-US" w:eastAsia="zh-CN" w:bidi="en-US"/>
        </w:rPr>
      </w:pPr>
      <w:r>
        <w:rPr>
          <w:rFonts w:ascii="Times New Roman" w:hAnsi="Times New Roman" w:cs="Times New Roman"/>
          <w:i/>
          <w:iCs/>
          <w:lang w:val="en-US" w:eastAsia="zh-CN" w:bidi="en-US"/>
        </w:rPr>
        <w:t>E</w:t>
      </w:r>
      <w:r>
        <w:rPr>
          <w:rFonts w:ascii="Times New Roman" w:hAnsi="Times New Roman"/>
          <w:vertAlign w:val="subscript"/>
        </w:rPr>
        <w:t>购入热</w:t>
      </w:r>
      <w:r>
        <w:rPr>
          <w:rFonts w:ascii="Times New Roman" w:hAnsi="Times New Roman"/>
        </w:rPr>
        <w:t>——报告主体购入的热力</w:t>
      </w:r>
      <w:r>
        <w:rPr>
          <w:rFonts w:hint="eastAsia" w:ascii="Times New Roman" w:hAnsi="Times New Roman"/>
          <w:lang w:val="en-US" w:eastAsia="zh-CN"/>
        </w:rPr>
        <w:t>产生的</w:t>
      </w:r>
      <w:r>
        <w:rPr>
          <w:rFonts w:hint="eastAsia" w:ascii="Times New Roman" w:hAnsi="Times New Roman"/>
        </w:rPr>
        <w:t>温室气体</w:t>
      </w:r>
      <w:r>
        <w:rPr>
          <w:rFonts w:hint="eastAsia" w:ascii="Times New Roman" w:hAnsi="Times New Roman"/>
          <w:lang w:val="en-US" w:eastAsia="zh-CN"/>
        </w:rPr>
        <w:t>排放</w:t>
      </w:r>
      <w:r>
        <w:rPr>
          <w:rFonts w:ascii="Times New Roman" w:hAnsi="Times New Roman"/>
        </w:rPr>
        <w:t>量，</w:t>
      </w:r>
      <w:r>
        <w:rPr>
          <w:rFonts w:hint="eastAsia" w:ascii="Times New Roman" w:hAnsi="Times New Roman" w:cs="Times New Roman"/>
          <w:lang w:val="en-US" w:eastAsia="zh-CN" w:bidi="en-US"/>
        </w:rPr>
        <w:t>单位为吨二氧化碳当量</w:t>
      </w:r>
      <w:r>
        <w:rPr>
          <w:rFonts w:ascii="Times New Roman" w:hAnsi="Times New Roman" w:cs="Times New Roman"/>
          <w:lang w:val="en-US" w:eastAsia="zh-CN" w:bidi="en-US"/>
        </w:rPr>
        <w:t>(tCO</w:t>
      </w:r>
      <w:r>
        <w:rPr>
          <w:rFonts w:ascii="Times New Roman" w:hAnsi="Times New Roman" w:cs="Times New Roman"/>
          <w:vertAlign w:val="subscript"/>
          <w:lang w:val="en-US" w:eastAsia="zh-CN" w:bidi="en-US"/>
        </w:rPr>
        <w:t>2</w:t>
      </w:r>
      <w:r>
        <w:rPr>
          <w:rFonts w:ascii="Times New Roman" w:hAnsi="Times New Roman" w:cs="Times New Roman"/>
          <w:lang w:val="en-US" w:eastAsia="zh-CN" w:bidi="en-US"/>
        </w:rPr>
        <w:t>e)</w:t>
      </w:r>
      <w:r>
        <w:rPr>
          <w:rFonts w:hint="eastAsia" w:ascii="Times New Roman" w:hAnsi="Times New Roman"/>
          <w:lang w:val="en-US" w:eastAsia="zh-CN" w:bidi="en-US"/>
        </w:rPr>
        <w:t>；</w:t>
      </w:r>
    </w:p>
    <w:p w14:paraId="7ADE6B31">
      <w:pPr>
        <w:pStyle w:val="151"/>
        <w:snapToGrid w:val="0"/>
        <w:ind w:firstLine="420" w:firstLineChars="200"/>
        <w:rPr>
          <w:rFonts w:hAnsi="Times New Roman" w:eastAsia="黑体"/>
        </w:rPr>
      </w:pPr>
      <w:r>
        <w:rPr>
          <w:rFonts w:ascii="Times New Roman" w:hAnsi="Times New Roman"/>
          <w:i/>
          <w:iCs/>
          <w:lang w:bidi="en-US"/>
        </w:rPr>
        <w:t>E</w:t>
      </w:r>
      <w:r>
        <w:rPr>
          <w:rFonts w:hint="eastAsia" w:ascii="Times New Roman" w:hAnsi="Times New Roman"/>
          <w:vertAlign w:val="subscript"/>
        </w:rPr>
        <w:t>输出</w:t>
      </w:r>
      <w:r>
        <w:rPr>
          <w:rFonts w:ascii="Times New Roman" w:hAnsi="Times New Roman"/>
          <w:vertAlign w:val="subscript"/>
        </w:rPr>
        <w:t>热</w:t>
      </w:r>
      <w:r>
        <w:rPr>
          <w:rFonts w:ascii="Times New Roman" w:hAnsi="Times New Roman"/>
        </w:rPr>
        <w:t>——报告主体</w:t>
      </w:r>
      <w:r>
        <w:rPr>
          <w:rFonts w:hint="eastAsia" w:ascii="Times New Roman" w:hAnsi="Times New Roman"/>
        </w:rPr>
        <w:t>输出</w:t>
      </w:r>
      <w:r>
        <w:rPr>
          <w:rFonts w:ascii="Times New Roman" w:hAnsi="Times New Roman"/>
        </w:rPr>
        <w:t>的热力</w:t>
      </w:r>
      <w:r>
        <w:rPr>
          <w:rFonts w:hint="eastAsia" w:ascii="Times New Roman" w:hAnsi="Times New Roman"/>
        </w:rPr>
        <w:t>产生的温室气体排放</w:t>
      </w:r>
      <w:r>
        <w:rPr>
          <w:rFonts w:ascii="Times New Roman" w:hAnsi="Times New Roman"/>
        </w:rPr>
        <w:t>量，</w:t>
      </w:r>
      <w:r>
        <w:rPr>
          <w:rFonts w:hint="eastAsia" w:ascii="Times New Roman" w:hAnsi="Times New Roman"/>
          <w:lang w:bidi="en-US"/>
        </w:rPr>
        <w:t>单位为吨二氧化碳当量</w:t>
      </w:r>
      <w:r>
        <w:rPr>
          <w:rFonts w:ascii="Times New Roman" w:hAnsi="Times New Roman"/>
          <w:lang w:bidi="en-US"/>
        </w:rPr>
        <w:t>(tCO</w:t>
      </w:r>
      <w:r>
        <w:rPr>
          <w:rFonts w:ascii="Times New Roman" w:hAnsi="Times New Roman"/>
          <w:vertAlign w:val="subscript"/>
          <w:lang w:bidi="en-US"/>
        </w:rPr>
        <w:t>2</w:t>
      </w:r>
      <w:r>
        <w:rPr>
          <w:rFonts w:ascii="Times New Roman" w:hAnsi="Times New Roman"/>
          <w:lang w:bidi="en-US"/>
        </w:rPr>
        <w:t>e)</w:t>
      </w:r>
      <w:r>
        <w:rPr>
          <w:rFonts w:hint="eastAsia" w:ascii="Times New Roman" w:hAnsi="Times New Roman"/>
          <w:lang w:bidi="en-US"/>
        </w:rPr>
        <w:t>。</w:t>
      </w:r>
      <w:bookmarkStart w:id="21" w:name="OLE_LINK4"/>
    </w:p>
    <w:p w14:paraId="19017AFD">
      <w:pPr>
        <w:spacing w:line="360" w:lineRule="auto"/>
        <w:rPr>
          <w:rFonts w:eastAsia="黑体"/>
        </w:rPr>
      </w:pPr>
      <w:r>
        <w:rPr>
          <w:rFonts w:eastAsia="黑体"/>
        </w:rPr>
        <w:t xml:space="preserve">6.2.2 </w:t>
      </w:r>
      <w:r>
        <w:rPr>
          <w:rFonts w:hint="eastAsia" w:eastAsia="黑体"/>
        </w:rPr>
        <w:t>化石燃料燃烧排放量</w:t>
      </w:r>
    </w:p>
    <w:bookmarkEnd w:id="21"/>
    <w:p w14:paraId="292940B3">
      <w:pPr>
        <w:spacing w:line="360" w:lineRule="auto"/>
        <w:rPr>
          <w:rFonts w:eastAsia="黑体"/>
        </w:rPr>
      </w:pPr>
      <w:r>
        <w:rPr>
          <w:rFonts w:eastAsia="黑体"/>
        </w:rPr>
        <w:t xml:space="preserve">6.2.2.1 </w:t>
      </w:r>
      <w:r>
        <w:rPr>
          <w:rFonts w:hint="eastAsia" w:eastAsia="黑体"/>
        </w:rPr>
        <w:t>计算公式</w:t>
      </w:r>
    </w:p>
    <w:p w14:paraId="2D4BE69D">
      <w:pPr>
        <w:pStyle w:val="151"/>
        <w:snapToGrid w:val="0"/>
        <w:spacing w:after="0" w:line="360" w:lineRule="auto"/>
        <w:ind w:firstLine="420" w:firstLineChars="200"/>
        <w:jc w:val="both"/>
        <w:rPr>
          <w:rFonts w:ascii="Times New Roman" w:hAnsi="Times New Roman" w:cs="Times New Roman"/>
          <w:lang w:val="en-US" w:eastAsia="zh-CN" w:bidi="ar-SA"/>
        </w:rPr>
      </w:pPr>
      <w:r>
        <w:rPr>
          <w:rFonts w:hint="eastAsia" w:ascii="Times New Roman" w:hAnsi="Times New Roman" w:cs="Times New Roman"/>
          <w:lang w:val="en-US" w:eastAsia="zh-CN" w:bidi="ar-SA"/>
        </w:rPr>
        <w:t>化石</w:t>
      </w:r>
      <w:r>
        <w:rPr>
          <w:rFonts w:ascii="Times New Roman" w:hAnsi="Times New Roman" w:cs="Times New Roman"/>
          <w:lang w:val="en-US" w:eastAsia="zh-CN" w:bidi="ar-SA"/>
        </w:rPr>
        <w:t>燃料燃烧</w:t>
      </w:r>
      <w:r>
        <w:rPr>
          <w:rFonts w:hint="eastAsia" w:ascii="Times New Roman" w:hAnsi="Times New Roman" w:cs="Times New Roman"/>
          <w:lang w:val="en-US" w:eastAsia="zh-CN" w:bidi="ar-SA"/>
        </w:rPr>
        <w:t>产生的</w:t>
      </w:r>
      <w:r>
        <w:rPr>
          <w:rFonts w:hint="eastAsia" w:ascii="Times New Roman" w:hAnsi="Times New Roman"/>
        </w:rPr>
        <w:t>温室气体</w:t>
      </w:r>
      <w:r>
        <w:rPr>
          <w:rFonts w:hint="eastAsia" w:ascii="Times New Roman" w:hAnsi="Times New Roman" w:cs="Times New Roman"/>
          <w:lang w:val="en-US" w:eastAsia="zh-CN" w:bidi="ar-SA"/>
        </w:rPr>
        <w:t>排放量是核算期内各种化石燃料燃烧产生的</w:t>
      </w:r>
      <w:r>
        <w:rPr>
          <w:rFonts w:hint="eastAsia" w:ascii="Times New Roman" w:hAnsi="Times New Roman"/>
        </w:rPr>
        <w:t>温室气体</w:t>
      </w:r>
      <w:r>
        <w:rPr>
          <w:rFonts w:hint="eastAsia" w:ascii="Times New Roman" w:hAnsi="Times New Roman" w:cs="Times New Roman"/>
          <w:lang w:val="en-US" w:eastAsia="zh-CN" w:bidi="ar-SA"/>
        </w:rPr>
        <w:t>排放量之和，按公式（</w:t>
      </w:r>
      <w:r>
        <w:rPr>
          <w:rFonts w:ascii="Times New Roman" w:hAnsi="Times New Roman" w:cs="Times New Roman"/>
          <w:lang w:val="en-US" w:eastAsia="zh-CN" w:bidi="ar-SA"/>
        </w:rPr>
        <w:t>2）计算：</w:t>
      </w:r>
    </w:p>
    <w:p w14:paraId="080A50DE">
      <w:pPr>
        <w:pStyle w:val="151"/>
        <w:snapToGrid w:val="0"/>
        <w:spacing w:after="0" w:line="360" w:lineRule="auto"/>
        <w:ind w:firstLine="420" w:firstLineChars="200"/>
        <w:jc w:val="right"/>
        <w:rPr>
          <w:rFonts w:ascii="Times New Roman" w:hAnsi="Times New Roman" w:eastAsia="PMingLiU" w:cs="Times New Roman"/>
          <w:lang w:val="en-US" w:eastAsia="zh-CN" w:bidi="ar-SA"/>
        </w:rPr>
      </w:pPr>
      <m:oMath>
        <m:sSub>
          <m:sSubPr>
            <m:ctrlPr>
              <w:rPr>
                <w:rFonts w:ascii="Cambria Math" w:hAnsi="Cambria Math"/>
                <w:i/>
              </w:rPr>
            </m:ctrlPr>
          </m:sSubPr>
          <m:e>
            <m:r>
              <m:rPr/>
              <w:rPr>
                <w:rFonts w:ascii="Times New Roman" w:hAnsi="Times New Roman"/>
              </w:rPr>
              <m:t>E</m:t>
            </m:r>
            <m:ctrlPr>
              <w:rPr>
                <w:rFonts w:ascii="Cambria Math" w:hAnsi="Cambria Math"/>
                <w:i/>
              </w:rPr>
            </m:ctrlPr>
          </m:e>
          <m:sub>
            <m:r>
              <m:rPr>
                <m:sty m:val="p"/>
              </m:rPr>
              <w:rPr>
                <w:rFonts w:hint="eastAsia" w:ascii="Times New Roman" w:hAnsi="Times New Roman"/>
              </w:rPr>
              <m:t>燃烧</m:t>
            </m:r>
            <m:ctrlPr>
              <w:rPr>
                <w:rFonts w:ascii="Cambria Math" w:hAnsi="Cambria Math"/>
                <w:i/>
              </w:rPr>
            </m:ctrlPr>
          </m:sub>
        </m:sSub>
        <m:r>
          <m:rPr/>
          <w:rPr>
            <w:rFonts w:ascii="Times New Roman" w:hAnsi="Times New Roman"/>
          </w:rPr>
          <m:t>=</m:t>
        </m:r>
        <m:nary>
          <m:naryPr>
            <m:chr m:val="∑"/>
            <m:limLoc m:val="undOvr"/>
            <m:ctrlPr>
              <w:rPr>
                <w:rFonts w:ascii="Cambria Math" w:hAnsi="Cambria Math" w:eastAsia="PMingLiU"/>
                <w:i/>
              </w:rPr>
            </m:ctrlPr>
          </m:naryPr>
          <m:sub>
            <m:r>
              <m:rPr/>
              <w:rPr>
                <w:rFonts w:ascii="Times New Roman" w:hAnsi="Times New Roman"/>
              </w:rPr>
              <m:t>i</m:t>
            </m:r>
            <m:r>
              <m:rPr/>
              <w:rPr>
                <w:rFonts w:ascii="Times New Roman" w:hAnsi="Times New Roman" w:eastAsia="PMingLiU"/>
              </w:rPr>
              <m:t>=1</m:t>
            </m:r>
            <m:ctrlPr>
              <w:rPr>
                <w:rFonts w:ascii="Cambria Math" w:hAnsi="Cambria Math" w:eastAsia="PMingLiU"/>
                <w:i/>
              </w:rPr>
            </m:ctrlPr>
          </m:sub>
          <m:sup>
            <m:r>
              <m:rPr/>
              <w:rPr>
                <w:rFonts w:ascii="Times New Roman" w:hAnsi="Times New Roman"/>
              </w:rPr>
              <m:t>n</m:t>
            </m:r>
            <m:ctrlPr>
              <w:rPr>
                <w:rFonts w:ascii="Cambria Math" w:hAnsi="Cambria Math" w:eastAsia="PMingLiU"/>
                <w:i/>
              </w:rPr>
            </m:ctrlPr>
          </m:sup>
          <m:e>
            <m:r>
              <m:rPr>
                <m:sty m:val="p"/>
              </m:rPr>
              <w:rPr>
                <w:rFonts w:hint="eastAsia" w:ascii="Times New Roman" w:hAnsi="Times New Roman"/>
              </w:rPr>
              <m:t>（</m:t>
            </m:r>
            <m:r>
              <m:rPr/>
              <w:rPr>
                <w:rFonts w:ascii="Times New Roman" w:hAnsi="Times New Roman"/>
              </w:rPr>
              <m:t>A</m:t>
            </m:r>
            <m:sSub>
              <m:sSubPr>
                <m:ctrlPr>
                  <w:rPr>
                    <w:rFonts w:ascii="Cambria Math" w:hAnsi="Cambria Math" w:eastAsia="PMingLiU"/>
                    <w:i/>
                  </w:rPr>
                </m:ctrlPr>
              </m:sSubPr>
              <m:e>
                <m:r>
                  <m:rPr/>
                  <w:rPr>
                    <w:rFonts w:ascii="Times New Roman" w:hAnsi="Times New Roman" w:eastAsia="PMingLiU"/>
                  </w:rPr>
                  <m:t>D</m:t>
                </m:r>
                <m:ctrlPr>
                  <w:rPr>
                    <w:rFonts w:ascii="Cambria Math" w:hAnsi="Cambria Math" w:eastAsia="PMingLiU"/>
                    <w:i/>
                  </w:rPr>
                </m:ctrlPr>
              </m:e>
              <m:sub>
                <m:r>
                  <m:rPr/>
                  <w:rPr>
                    <w:rFonts w:ascii="Times New Roman" w:hAnsi="Times New Roman"/>
                  </w:rPr>
                  <m:t>i</m:t>
                </m:r>
                <m:ctrlPr>
                  <w:rPr>
                    <w:rFonts w:ascii="Cambria Math" w:hAnsi="Cambria Math" w:eastAsia="PMingLiU"/>
                    <w:i/>
                  </w:rPr>
                </m:ctrlPr>
              </m:sub>
            </m:sSub>
            <m:r>
              <m:rPr/>
              <w:rPr>
                <w:rFonts w:ascii="Times New Roman" w:hAnsi="Times New Roman"/>
              </w:rPr>
              <m:t>×E</m:t>
            </m:r>
            <m:sSub>
              <m:sSubPr>
                <m:ctrlPr>
                  <w:rPr>
                    <w:rFonts w:ascii="Cambria Math" w:hAnsi="Cambria Math" w:eastAsia="PMingLiU"/>
                    <w:i/>
                  </w:rPr>
                </m:ctrlPr>
              </m:sSubPr>
              <m:e>
                <m:r>
                  <m:rPr/>
                  <w:rPr>
                    <w:rFonts w:ascii="Times New Roman" w:hAnsi="Times New Roman" w:eastAsia="PMingLiU"/>
                  </w:rPr>
                  <m:t>F</m:t>
                </m:r>
                <m:ctrlPr>
                  <w:rPr>
                    <w:rFonts w:ascii="Cambria Math" w:hAnsi="Cambria Math" w:eastAsia="PMingLiU"/>
                    <w:i/>
                  </w:rPr>
                </m:ctrlPr>
              </m:e>
              <m:sub>
                <m:r>
                  <m:rPr/>
                  <w:rPr>
                    <w:rFonts w:ascii="Times New Roman" w:hAnsi="Times New Roman"/>
                  </w:rPr>
                  <m:t>i</m:t>
                </m:r>
                <m:ctrlPr>
                  <w:rPr>
                    <w:rFonts w:ascii="Cambria Math" w:hAnsi="Cambria Math" w:eastAsia="PMingLiU"/>
                    <w:i/>
                  </w:rPr>
                </m:ctrlPr>
              </m:sub>
            </m:sSub>
            <m:r>
              <m:rPr>
                <m:sty m:val="p"/>
              </m:rPr>
              <w:rPr>
                <w:rFonts w:hint="eastAsia" w:ascii="Times New Roman" w:hAnsi="Times New Roman"/>
              </w:rPr>
              <m:t>）</m:t>
            </m:r>
            <m:ctrlPr>
              <w:rPr>
                <w:rFonts w:ascii="Cambria Math" w:hAnsi="Cambria Math" w:eastAsia="PMingLiU"/>
                <w:i/>
              </w:rPr>
            </m:ctrlPr>
          </m:e>
        </m:nary>
      </m:oMath>
      <w:r>
        <w:rPr>
          <w:rFonts w:ascii="Times New Roman" w:hAnsi="Times New Roman" w:cs="Times New Roman"/>
          <w:lang w:eastAsia="zh-CN"/>
        </w:rPr>
        <w:t xml:space="preserve"> </w:t>
      </w:r>
      <w:r>
        <w:rPr>
          <w:rFonts w:hint="eastAsia" w:ascii="Times New Roman" w:hAnsi="Times New Roman" w:cs="Times New Roman"/>
          <w:lang w:val="en-US" w:eastAsia="zh-CN"/>
        </w:rPr>
        <w:t>··········（2）</w:t>
      </w:r>
    </w:p>
    <w:p w14:paraId="3D6AA0A0">
      <w:pPr>
        <w:pStyle w:val="151"/>
        <w:snapToGrid w:val="0"/>
        <w:spacing w:after="0" w:line="360" w:lineRule="auto"/>
        <w:ind w:firstLine="420" w:firstLineChars="200"/>
        <w:jc w:val="both"/>
        <w:rPr>
          <w:rFonts w:ascii="Times New Roman" w:hAnsi="Times New Roman" w:cs="Times New Roman"/>
          <w:lang w:val="en-US" w:eastAsia="zh-CN" w:bidi="ar-SA"/>
        </w:rPr>
      </w:pPr>
      <w:r>
        <w:rPr>
          <w:rFonts w:ascii="Times New Roman" w:hAnsi="Times New Roman" w:cs="Times New Roman"/>
          <w:lang w:val="en-US" w:eastAsia="zh-CN" w:bidi="ar-SA"/>
        </w:rPr>
        <w:t>式中</w:t>
      </w:r>
      <w:r>
        <w:rPr>
          <w:rFonts w:hint="eastAsia" w:ascii="Times New Roman" w:hAnsi="Times New Roman" w:cs="Times New Roman"/>
          <w:lang w:val="en-US" w:eastAsia="zh-CN" w:bidi="ar-SA"/>
        </w:rPr>
        <w:t>：</w:t>
      </w:r>
    </w:p>
    <w:p w14:paraId="26F1E782">
      <w:pPr>
        <w:pStyle w:val="151"/>
        <w:spacing w:after="0" w:line="360" w:lineRule="auto"/>
        <w:ind w:firstLine="420" w:firstLineChars="200"/>
        <w:jc w:val="both"/>
        <w:rPr>
          <w:rFonts w:ascii="Times New Roman" w:hAnsi="Times New Roman"/>
          <w:szCs w:val="21"/>
          <w:lang w:val="en-US" w:eastAsia="zh-CN" w:bidi="en-US"/>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rPr>
              <m:t>燃烧</m:t>
            </m:r>
            <m:ctrlPr>
              <w:rPr>
                <w:rFonts w:ascii="Cambria Math" w:hAnsi="Cambria Math"/>
                <w:i/>
                <w:szCs w:val="21"/>
              </w:rPr>
            </m:ctrlPr>
          </m:sub>
        </m:sSub>
      </m:oMath>
      <w:r>
        <w:rPr>
          <w:rFonts w:ascii="Times New Roman" w:hAnsi="Times New Roman"/>
          <w:szCs w:val="21"/>
        </w:rPr>
        <w:t>——核算期内化石燃料燃烧产生的</w:t>
      </w:r>
      <w:r>
        <w:rPr>
          <w:rFonts w:hint="eastAsia" w:ascii="Times New Roman" w:hAnsi="Times New Roman"/>
        </w:rPr>
        <w:t>温室气体碳</w:t>
      </w:r>
      <w:r>
        <w:rPr>
          <w:rFonts w:ascii="Times New Roman" w:hAnsi="Times New Roman"/>
          <w:szCs w:val="21"/>
        </w:rPr>
        <w:t>排放量，</w:t>
      </w:r>
      <w:r>
        <w:rPr>
          <w:rFonts w:ascii="Times New Roman" w:hAnsi="Times New Roman"/>
        </w:rPr>
        <w:t>单位为吨二氧化碳当量(tCO</w:t>
      </w:r>
      <w:r>
        <w:rPr>
          <w:rFonts w:ascii="Times New Roman" w:hAnsi="Times New Roman"/>
          <w:vertAlign w:val="subscript"/>
        </w:rPr>
        <w:t>2</w:t>
      </w:r>
      <w:r>
        <w:rPr>
          <w:rFonts w:ascii="Times New Roman" w:hAnsi="Times New Roman"/>
        </w:rPr>
        <w:t>e)</w:t>
      </w:r>
      <w:r>
        <w:rPr>
          <w:rFonts w:ascii="Times New Roman" w:hAnsi="Times New Roman"/>
          <w:szCs w:val="21"/>
          <w:lang w:val="en-US" w:eastAsia="zh-CN" w:bidi="en-US"/>
        </w:rPr>
        <w:t>；</w:t>
      </w:r>
    </w:p>
    <w:p w14:paraId="1F0CD921">
      <w:pPr>
        <w:pStyle w:val="151"/>
        <w:tabs>
          <w:tab w:val="left" w:pos="948"/>
        </w:tabs>
        <w:snapToGrid w:val="0"/>
        <w:spacing w:after="0" w:line="360" w:lineRule="auto"/>
        <w:ind w:firstLine="420" w:firstLineChars="200"/>
        <w:jc w:val="both"/>
        <w:rPr>
          <w:rFonts w:ascii="Times New Roman" w:hAnsi="Times New Roman"/>
          <w:szCs w:val="21"/>
        </w:rPr>
      </w:pPr>
      <m:oMath>
        <m:r>
          <m:rPr/>
          <w:rPr>
            <w:rFonts w:ascii="Times New Roman" w:hAnsi="Times New Roman"/>
            <w:szCs w:val="21"/>
          </w:rPr>
          <m:t>i</m:t>
        </m:r>
        <m:r>
          <m:rPr/>
          <w:rPr>
            <w:rFonts w:ascii="Times New Roman" w:hAnsi="Times New Roman"/>
            <w:szCs w:val="21"/>
            <w:lang w:val="en-US" w:eastAsia="zh-CN"/>
          </w:rPr>
          <m:t xml:space="preserve"> </m:t>
        </m:r>
      </m:oMath>
      <w:r>
        <w:rPr>
          <w:rFonts w:ascii="Times New Roman" w:hAnsi="Times New Roman"/>
          <w:szCs w:val="21"/>
          <w:lang w:val="en-US" w:eastAsia="zh-CN"/>
        </w:rPr>
        <w:t xml:space="preserve">   </w:t>
      </w:r>
      <w:r>
        <w:rPr>
          <w:rFonts w:ascii="Times New Roman" w:hAnsi="Times New Roman"/>
          <w:szCs w:val="21"/>
        </w:rPr>
        <w:t>——化石燃料类型代号</w:t>
      </w:r>
      <w:r>
        <w:rPr>
          <w:rFonts w:hint="eastAsia" w:ascii="Times New Roman" w:hAnsi="Times New Roman"/>
          <w:szCs w:val="21"/>
          <w:lang w:eastAsia="zh-CN"/>
        </w:rPr>
        <w:t>；</w:t>
      </w:r>
    </w:p>
    <w:p w14:paraId="4A813170">
      <w:pPr>
        <w:pStyle w:val="151"/>
        <w:tabs>
          <w:tab w:val="left" w:pos="948"/>
        </w:tabs>
        <w:snapToGrid w:val="0"/>
        <w:spacing w:after="0" w:line="360" w:lineRule="auto"/>
        <w:ind w:firstLine="420" w:firstLineChars="200"/>
        <w:jc w:val="both"/>
        <w:rPr>
          <w:rFonts w:ascii="Times New Roman" w:hAnsi="Times New Roman"/>
          <w:szCs w:val="21"/>
          <w:lang w:val="en-US" w:eastAsia="zh-CN" w:bidi="en-US"/>
        </w:rPr>
      </w:pPr>
      <m:oMath>
        <m:r>
          <m:rPr/>
          <w:rPr>
            <w:rFonts w:ascii="Times New Roman" w:hAnsi="Times New Roman"/>
            <w:szCs w:val="21"/>
            <w:lang w:val="en-US" w:eastAsia="zh-CN"/>
          </w:rPr>
          <m:t xml:space="preserve">n </m:t>
        </m:r>
      </m:oMath>
      <w:r>
        <w:rPr>
          <w:rFonts w:ascii="Times New Roman" w:hAnsi="Times New Roman"/>
          <w:szCs w:val="21"/>
          <w:lang w:val="en-US" w:eastAsia="zh-CN"/>
        </w:rPr>
        <w:t xml:space="preserve">   </w:t>
      </w:r>
      <w:r>
        <w:rPr>
          <w:rFonts w:ascii="Times New Roman" w:hAnsi="Times New Roman"/>
          <w:szCs w:val="21"/>
        </w:rPr>
        <w:t>——化石燃料类型</w:t>
      </w:r>
      <w:r>
        <w:rPr>
          <w:rFonts w:hint="eastAsia" w:ascii="Times New Roman" w:hAnsi="Times New Roman"/>
          <w:szCs w:val="21"/>
          <w:lang w:val="en-US" w:eastAsia="zh-CN"/>
        </w:rPr>
        <w:t>数量；</w:t>
      </w:r>
    </w:p>
    <w:p w14:paraId="26F6F937">
      <w:pPr>
        <w:pStyle w:val="151"/>
        <w:snapToGrid w:val="0"/>
        <w:spacing w:after="0" w:line="360" w:lineRule="auto"/>
        <w:ind w:firstLine="420" w:firstLineChars="200"/>
        <w:jc w:val="both"/>
        <w:rPr>
          <w:rFonts w:ascii="Times New Roman" w:hAnsi="Times New Roman"/>
          <w:szCs w:val="21"/>
        </w:rPr>
      </w:pPr>
      <m:oMath>
        <m:r>
          <m:rPr/>
          <w:rPr>
            <w:rFonts w:ascii="Times New Roman" w:hAnsi="Times New Roman"/>
            <w:szCs w:val="21"/>
          </w:rPr>
          <m:t>A</m:t>
        </m:r>
        <m:sSub>
          <m:sSubPr>
            <m:ctrlPr>
              <w:rPr>
                <w:rFonts w:ascii="Cambria Math" w:hAnsi="Cambria Math"/>
                <w:i/>
                <w:szCs w:val="21"/>
              </w:rPr>
            </m:ctrlPr>
          </m:sSubPr>
          <m:e>
            <m:r>
              <m:rPr/>
              <w:rPr>
                <w:rFonts w:ascii="Times New Roman" w:hAnsi="Times New Roman"/>
                <w:szCs w:val="21"/>
              </w:rPr>
              <m:t>D</m:t>
            </m:r>
            <m:ctrlPr>
              <w:rPr>
                <w:rFonts w:ascii="Cambria Math" w:hAnsi="Cambria Math"/>
                <w:i/>
                <w:szCs w:val="21"/>
              </w:rPr>
            </m:ctrlPr>
          </m:e>
          <m:sub>
            <m:r>
              <m:rPr/>
              <w:rPr>
                <w:rFonts w:ascii="Times New Roman" w:hAnsi="Times New Roman"/>
                <w:szCs w:val="21"/>
              </w:rPr>
              <m:t>i</m:t>
            </m:r>
            <m:ctrlPr>
              <w:rPr>
                <w:rFonts w:ascii="Cambria Math" w:hAnsi="Cambria Math"/>
                <w:i/>
                <w:szCs w:val="21"/>
              </w:rPr>
            </m:ctrlPr>
          </m:sub>
        </m:sSub>
      </m:oMath>
      <w:r>
        <w:rPr>
          <w:rFonts w:ascii="Times New Roman" w:hAnsi="Times New Roman"/>
          <w:szCs w:val="21"/>
          <w:lang w:val="en-US" w:eastAsia="zh-CN"/>
        </w:rPr>
        <w:t xml:space="preserve"> </w:t>
      </w:r>
      <w:r>
        <w:rPr>
          <w:rFonts w:ascii="Times New Roman" w:hAnsi="Times New Roman"/>
          <w:szCs w:val="21"/>
        </w:rPr>
        <w:t>——第</w:t>
      </w:r>
      <w:r>
        <w:rPr>
          <w:rFonts w:ascii="Times New Roman" w:hAnsi="Times New Roman" w:cs="Times New Roman"/>
          <w:szCs w:val="21"/>
          <w:lang w:val="en-US" w:eastAsia="zh-CN" w:bidi="en-US"/>
        </w:rPr>
        <w:t>i</w:t>
      </w:r>
      <w:r>
        <w:rPr>
          <w:rFonts w:ascii="Times New Roman" w:hAnsi="Times New Roman"/>
          <w:szCs w:val="21"/>
        </w:rPr>
        <w:t>种化石燃料的活动数据，</w:t>
      </w:r>
      <w:r>
        <w:rPr>
          <w:rFonts w:hint="eastAsia" w:ascii="Times New Roman" w:hAnsi="Times New Roman"/>
          <w:szCs w:val="21"/>
          <w:lang w:val="en-US" w:eastAsia="zh-CN"/>
        </w:rPr>
        <w:t>单位为</w:t>
      </w:r>
      <w:r>
        <w:rPr>
          <w:rFonts w:ascii="Times New Roman" w:hAnsi="Times New Roman"/>
          <w:szCs w:val="21"/>
        </w:rPr>
        <w:t>吉焦</w:t>
      </w:r>
      <w:r>
        <w:rPr>
          <w:rFonts w:ascii="Times New Roman" w:hAnsi="Times New Roman" w:cs="Times New Roman"/>
          <w:szCs w:val="21"/>
          <w:lang w:val="en-US" w:eastAsia="zh-CN" w:bidi="en-US"/>
        </w:rPr>
        <w:t>(GJ)</w:t>
      </w:r>
      <w:r>
        <w:rPr>
          <w:rFonts w:ascii="Times New Roman" w:hAnsi="Times New Roman"/>
          <w:szCs w:val="21"/>
          <w:lang w:val="en-US" w:eastAsia="zh-CN" w:bidi="en-US"/>
        </w:rPr>
        <w:t>；</w:t>
      </w:r>
    </w:p>
    <w:p w14:paraId="3B03EEE6">
      <w:pPr>
        <w:pStyle w:val="151"/>
        <w:snapToGrid w:val="0"/>
        <w:spacing w:after="0" w:line="360" w:lineRule="auto"/>
        <w:ind w:firstLine="420" w:firstLineChars="200"/>
        <w:jc w:val="both"/>
        <w:rPr>
          <w:rFonts w:ascii="Times New Roman" w:hAnsi="Times New Roman"/>
          <w:szCs w:val="21"/>
        </w:rPr>
      </w:pPr>
      <m:oMath>
        <m:r>
          <m:rPr/>
          <w:rPr>
            <w:rFonts w:ascii="Times New Roman" w:hAnsi="Times New Roman"/>
            <w:szCs w:val="21"/>
          </w:rPr>
          <m:t>E</m:t>
        </m:r>
        <m:sSub>
          <m:sSubPr>
            <m:ctrlPr>
              <w:rPr>
                <w:rFonts w:ascii="Cambria Math" w:hAnsi="Cambria Math"/>
                <w:i/>
                <w:szCs w:val="21"/>
              </w:rPr>
            </m:ctrlPr>
          </m:sSubPr>
          <m:e>
            <m:r>
              <m:rPr/>
              <w:rPr>
                <w:rFonts w:ascii="Times New Roman" w:hAnsi="Times New Roman"/>
                <w:szCs w:val="21"/>
              </w:rPr>
              <m:t>F</m:t>
            </m:r>
            <m:ctrlPr>
              <w:rPr>
                <w:rFonts w:ascii="Cambria Math" w:hAnsi="Cambria Math"/>
                <w:i/>
                <w:szCs w:val="21"/>
              </w:rPr>
            </m:ctrlPr>
          </m:e>
          <m:sub>
            <m:r>
              <m:rPr/>
              <w:rPr>
                <w:rFonts w:ascii="Times New Roman" w:hAnsi="Times New Roman"/>
                <w:szCs w:val="21"/>
              </w:rPr>
              <m:t>i</m:t>
            </m:r>
            <m:ctrlPr>
              <w:rPr>
                <w:rFonts w:ascii="Cambria Math" w:hAnsi="Cambria Math"/>
                <w:i/>
                <w:szCs w:val="21"/>
              </w:rPr>
            </m:ctrlPr>
          </m:sub>
        </m:sSub>
      </m:oMath>
      <w:r>
        <w:rPr>
          <w:rFonts w:ascii="Times New Roman" w:hAnsi="Times New Roman"/>
          <w:szCs w:val="21"/>
          <w:lang w:val="en-US" w:eastAsia="zh-CN"/>
        </w:rPr>
        <w:t xml:space="preserve"> </w:t>
      </w:r>
      <w:r>
        <w:rPr>
          <w:rFonts w:ascii="Times New Roman" w:hAnsi="Times New Roman"/>
          <w:szCs w:val="21"/>
        </w:rPr>
        <w:t>——第i种化石燃料的二氧化碳排放因子，单位为吨二氧化碳每吉焦</w:t>
      </w:r>
      <w:r>
        <w:rPr>
          <w:rFonts w:ascii="Times New Roman" w:hAnsi="Times New Roman" w:cs="Times New Roman"/>
          <w:szCs w:val="21"/>
          <w:lang w:val="en-US" w:eastAsia="zh-CN" w:bidi="en-US"/>
        </w:rPr>
        <w:t>(tCO</w:t>
      </w:r>
      <w:r>
        <w:rPr>
          <w:rFonts w:ascii="Times New Roman" w:hAnsi="Times New Roman" w:cs="Times New Roman"/>
          <w:szCs w:val="21"/>
          <w:vertAlign w:val="subscript"/>
          <w:lang w:val="en-US" w:eastAsia="zh-CN" w:bidi="en-US"/>
        </w:rPr>
        <w:t>2</w:t>
      </w:r>
      <w:r>
        <w:rPr>
          <w:rFonts w:ascii="Times New Roman" w:hAnsi="Times New Roman" w:cs="Times New Roman"/>
          <w:szCs w:val="21"/>
          <w:lang w:val="en-US" w:eastAsia="zh-CN" w:bidi="en-US"/>
        </w:rPr>
        <w:t>/GJ)</w:t>
      </w:r>
      <w:r>
        <w:rPr>
          <w:rFonts w:hint="eastAsia" w:ascii="Times New Roman" w:hAnsi="Times New Roman"/>
          <w:szCs w:val="21"/>
          <w:lang w:val="en-US" w:eastAsia="zh-CN" w:bidi="en-US"/>
        </w:rPr>
        <w:t>。</w:t>
      </w:r>
    </w:p>
    <w:p w14:paraId="01807871">
      <w:pPr>
        <w:spacing w:line="360" w:lineRule="auto"/>
        <w:rPr>
          <w:rFonts w:eastAsia="黑体"/>
        </w:rPr>
      </w:pPr>
      <w:bookmarkStart w:id="22" w:name="OLE_LINK2"/>
      <w:r>
        <w:rPr>
          <w:rFonts w:eastAsia="黑体"/>
        </w:rPr>
        <w:t xml:space="preserve">6.2.2.2 </w:t>
      </w:r>
      <w:r>
        <w:rPr>
          <w:rFonts w:hint="eastAsia" w:eastAsia="黑体"/>
        </w:rPr>
        <w:t>活动数据获取</w:t>
      </w:r>
    </w:p>
    <w:bookmarkEnd w:id="22"/>
    <w:p w14:paraId="0EFD968F">
      <w:pPr>
        <w:spacing w:line="360" w:lineRule="auto"/>
        <w:rPr>
          <w:szCs w:val="21"/>
        </w:rPr>
      </w:pPr>
      <w:r>
        <w:rPr>
          <w:rFonts w:eastAsia="黑体"/>
        </w:rPr>
        <w:t xml:space="preserve">6.2.2.2.1 </w:t>
      </w:r>
      <w:r>
        <w:rPr>
          <w:rFonts w:hint="eastAsia" w:eastAsia="黑体"/>
        </w:rPr>
        <w:t>活动数据计算</w:t>
      </w:r>
    </w:p>
    <w:p w14:paraId="3802E224">
      <w:pPr>
        <w:pStyle w:val="151"/>
        <w:snapToGrid w:val="0"/>
        <w:spacing w:after="0" w:line="360" w:lineRule="auto"/>
        <w:ind w:firstLine="403"/>
        <w:jc w:val="both"/>
        <w:rPr>
          <w:rFonts w:ascii="Times New Roman" w:hAnsi="Times New Roman" w:cs="Times New Roman"/>
          <w:lang w:val="en-US" w:eastAsia="zh-CN" w:bidi="ar-SA"/>
        </w:rPr>
      </w:pPr>
      <w:r>
        <w:rPr>
          <w:rFonts w:hint="eastAsia" w:ascii="Times New Roman" w:hAnsi="Times New Roman" w:cs="Times New Roman"/>
          <w:lang w:val="en-US" w:eastAsia="zh-CN" w:bidi="ar-SA"/>
        </w:rPr>
        <w:t>化石燃料燃烧的活动数据是稀土抛光粉生产企业核算和报告年度内各种燃料的消耗量与平均低位发热量的乘积</w:t>
      </w:r>
      <w:r>
        <w:rPr>
          <w:rFonts w:ascii="Times New Roman" w:hAnsi="Times New Roman" w:cs="Times New Roman"/>
          <w:lang w:val="en-US" w:eastAsia="zh-CN" w:bidi="ar-SA"/>
        </w:rPr>
        <w:t>，按式</w:t>
      </w:r>
      <w:r>
        <w:rPr>
          <w:rFonts w:hint="eastAsia" w:ascii="Times New Roman" w:hAnsi="Times New Roman" w:cs="Times New Roman"/>
          <w:lang w:val="en-US" w:eastAsia="zh-CN" w:bidi="ar-SA"/>
        </w:rPr>
        <w:t>（</w:t>
      </w:r>
      <w:r>
        <w:rPr>
          <w:rFonts w:ascii="Times New Roman" w:hAnsi="Times New Roman" w:cs="Times New Roman"/>
          <w:lang w:val="en-US" w:eastAsia="zh-CN" w:bidi="ar-SA"/>
        </w:rPr>
        <w:t>3）计算：</w:t>
      </w:r>
    </w:p>
    <w:p w14:paraId="17B40FAB">
      <w:pPr>
        <w:pStyle w:val="149"/>
        <w:tabs>
          <w:tab w:val="left" w:pos="3058"/>
          <w:tab w:val="left" w:leader="dot" w:pos="5102"/>
        </w:tabs>
        <w:spacing w:line="360" w:lineRule="auto"/>
        <w:ind w:firstLine="0"/>
        <w:jc w:val="right"/>
        <w:rPr>
          <w:lang w:eastAsia="zh-TW"/>
        </w:rPr>
      </w:pPr>
      <m:oMath>
        <m:r>
          <m:rPr/>
          <w:rPr>
            <w:lang w:eastAsia="zh-TW"/>
          </w:rPr>
          <m:t>A</m:t>
        </m:r>
        <m:sSub>
          <m:sSubPr>
            <m:ctrlPr>
              <w:rPr>
                <w:rFonts w:ascii="Cambria Math" w:hAnsi="Cambria Math" w:eastAsia="PMingLiU" w:cs="宋体"/>
                <w:i/>
                <w:lang w:val="zh-TW" w:eastAsia="zh-TW" w:bidi="zh-TW"/>
              </w:rPr>
            </m:ctrlPr>
          </m:sSubPr>
          <m:e>
            <m:r>
              <m:rPr/>
              <w:rPr>
                <w:rFonts w:eastAsia="PMingLiU"/>
                <w:lang w:eastAsia="zh-TW"/>
              </w:rPr>
              <m:t>D</m:t>
            </m:r>
            <m:ctrlPr>
              <w:rPr>
                <w:rFonts w:ascii="Cambria Math" w:hAnsi="Cambria Math" w:eastAsia="PMingLiU" w:cs="宋体"/>
                <w:i/>
                <w:lang w:val="zh-TW" w:eastAsia="zh-TW" w:bidi="zh-TW"/>
              </w:rPr>
            </m:ctrlPr>
          </m:e>
          <m:sub>
            <m:r>
              <m:rPr/>
              <w:rPr>
                <w:lang w:eastAsia="zh-TW"/>
              </w:rPr>
              <m:t>i</m:t>
            </m:r>
            <m:ctrlPr>
              <w:rPr>
                <w:rFonts w:ascii="Cambria Math" w:hAnsi="Cambria Math" w:eastAsia="PMingLiU" w:cs="宋体"/>
                <w:i/>
                <w:lang w:val="zh-TW" w:eastAsia="zh-TW" w:bidi="zh-TW"/>
              </w:rPr>
            </m:ctrlPr>
          </m:sub>
        </m:sSub>
        <m:r>
          <m:rPr/>
          <w:rPr>
            <w:lang w:eastAsia="zh-TW"/>
          </w:rPr>
          <m:t>=F</m:t>
        </m:r>
        <m:sSub>
          <m:sSubPr>
            <m:ctrlPr>
              <w:rPr>
                <w:rFonts w:ascii="Cambria Math" w:hAnsi="Cambria Math" w:eastAsia="PMingLiU" w:cs="宋体"/>
                <w:i/>
                <w:lang w:val="zh-TW" w:eastAsia="zh-TW" w:bidi="zh-TW"/>
              </w:rPr>
            </m:ctrlPr>
          </m:sSubPr>
          <m:e>
            <m:r>
              <m:rPr/>
              <w:rPr>
                <w:rFonts w:eastAsia="PMingLiU"/>
                <w:lang w:eastAsia="zh-TW"/>
              </w:rPr>
              <m:t>C</m:t>
            </m:r>
            <m:ctrlPr>
              <w:rPr>
                <w:rFonts w:ascii="Cambria Math" w:hAnsi="Cambria Math" w:eastAsia="PMingLiU" w:cs="宋体"/>
                <w:i/>
                <w:lang w:val="zh-TW" w:eastAsia="zh-TW" w:bidi="zh-TW"/>
              </w:rPr>
            </m:ctrlPr>
          </m:e>
          <m:sub>
            <m:r>
              <m:rPr/>
              <w:rPr>
                <w:lang w:eastAsia="zh-TW"/>
              </w:rPr>
              <m:t>i</m:t>
            </m:r>
            <m:ctrlPr>
              <w:rPr>
                <w:rFonts w:ascii="Cambria Math" w:hAnsi="Cambria Math" w:eastAsia="PMingLiU" w:cs="宋体"/>
                <w:i/>
                <w:lang w:val="zh-TW" w:eastAsia="zh-TW" w:bidi="zh-TW"/>
              </w:rPr>
            </m:ctrlPr>
          </m:sub>
        </m:sSub>
        <m:r>
          <m:rPr>
            <m:sty m:val="p"/>
          </m:rPr>
          <w:rPr>
            <w:rFonts w:ascii="Cambria Math" w:hAnsi="Cambria Math"/>
            <w:lang w:eastAsia="zh-TW"/>
          </w:rPr>
          <m:t xml:space="preserve"> </m:t>
        </m:r>
        <m:r>
          <m:rPr/>
          <w:rPr>
            <w:lang w:eastAsia="zh-TW"/>
          </w:rPr>
          <m:t>×NC</m:t>
        </m:r>
        <m:sSub>
          <m:sSubPr>
            <m:ctrlPr>
              <w:rPr>
                <w:rFonts w:ascii="Cambria Math" w:hAnsi="Cambria Math" w:eastAsia="PMingLiU" w:cs="宋体"/>
                <w:i/>
                <w:lang w:val="zh-TW" w:eastAsia="zh-TW" w:bidi="zh-TW"/>
              </w:rPr>
            </m:ctrlPr>
          </m:sSubPr>
          <m:e>
            <m:r>
              <m:rPr/>
              <w:rPr>
                <w:rFonts w:eastAsia="PMingLiU"/>
                <w:lang w:eastAsia="zh-TW"/>
              </w:rPr>
              <m:t>V</m:t>
            </m:r>
            <m:ctrlPr>
              <w:rPr>
                <w:rFonts w:ascii="Cambria Math" w:hAnsi="Cambria Math" w:eastAsia="PMingLiU" w:cs="宋体"/>
                <w:i/>
                <w:lang w:val="zh-TW" w:eastAsia="zh-TW" w:bidi="zh-TW"/>
              </w:rPr>
            </m:ctrlPr>
          </m:e>
          <m:sub>
            <m:r>
              <m:rPr/>
              <w:rPr>
                <w:lang w:eastAsia="zh-TW"/>
              </w:rPr>
              <m:t>i</m:t>
            </m:r>
            <m:ctrlPr>
              <w:rPr>
                <w:rFonts w:ascii="Cambria Math" w:hAnsi="Cambria Math" w:eastAsia="PMingLiU" w:cs="宋体"/>
                <w:i/>
                <w:lang w:val="zh-TW" w:eastAsia="zh-TW" w:bidi="zh-TW"/>
              </w:rPr>
            </m:ctrlPr>
          </m:sub>
        </m:sSub>
      </m:oMath>
      <w:r>
        <w:rPr>
          <w:lang w:eastAsia="zh-TW"/>
        </w:rPr>
        <w:t xml:space="preserve">      </w:t>
      </w:r>
      <w:r>
        <w:rPr>
          <w:rFonts w:hint="eastAsia"/>
        </w:rPr>
        <w:t xml:space="preserve"> </w:t>
      </w:r>
      <w:r>
        <w:t xml:space="preserve">   </w:t>
      </w:r>
      <w:r>
        <w:rPr>
          <w:rFonts w:hint="eastAsia"/>
        </w:rPr>
        <w:t>········（3）</w:t>
      </w:r>
    </w:p>
    <w:p w14:paraId="1CDE1ABE">
      <w:pPr>
        <w:pStyle w:val="151"/>
        <w:snapToGrid w:val="0"/>
        <w:spacing w:after="0" w:line="360" w:lineRule="auto"/>
        <w:ind w:firstLine="403"/>
        <w:jc w:val="both"/>
        <w:rPr>
          <w:rFonts w:ascii="Times New Roman" w:hAnsi="Times New Roman" w:cs="Times New Roman"/>
          <w:lang w:val="en-US" w:eastAsia="zh-CN" w:bidi="ar-SA"/>
        </w:rPr>
      </w:pPr>
      <w:r>
        <w:rPr>
          <w:rFonts w:ascii="Times New Roman" w:hAnsi="Times New Roman" w:cs="Times New Roman"/>
          <w:lang w:val="en-US" w:eastAsia="zh-CN" w:bidi="ar-SA"/>
        </w:rPr>
        <w:t>式中：</w:t>
      </w:r>
    </w:p>
    <w:p w14:paraId="408E8D66">
      <w:pPr>
        <w:pStyle w:val="151"/>
        <w:snapToGrid w:val="0"/>
        <w:spacing w:after="0" w:line="360" w:lineRule="auto"/>
        <w:rPr>
          <w:rFonts w:ascii="Times New Roman" w:hAnsi="Times New Roman"/>
          <w:lang w:val="en-US" w:eastAsia="zh-CN" w:bidi="en-US"/>
        </w:rPr>
      </w:pPr>
      <m:oMath>
        <m:r>
          <m:rPr/>
          <w:rPr>
            <w:rFonts w:ascii="Times New Roman" w:hAnsi="Times New Roman"/>
          </w:rPr>
          <m:t>A</m:t>
        </m:r>
        <m:sSub>
          <m:sSubPr>
            <m:ctrlPr>
              <w:rPr>
                <w:rFonts w:ascii="Cambria Math" w:hAnsi="Cambria Math"/>
                <w:i/>
              </w:rPr>
            </m:ctrlPr>
          </m:sSubPr>
          <m:e>
            <m:r>
              <m:rPr/>
              <w:rPr>
                <w:rFonts w:ascii="Times New Roman" w:hAnsi="Times New Roman"/>
              </w:rPr>
              <m:t>D</m:t>
            </m:r>
            <m:ctrlPr>
              <w:rPr>
                <w:rFonts w:ascii="Cambria Math" w:hAnsi="Cambria Math"/>
                <w:i/>
              </w:rPr>
            </m:ctrlPr>
          </m:e>
          <m:sub>
            <m:r>
              <m:rPr/>
              <w:rPr>
                <w:rFonts w:ascii="Times New Roman" w:hAnsi="Times New Roman"/>
              </w:rPr>
              <m:t>i</m:t>
            </m:r>
            <m:ctrlPr>
              <w:rPr>
                <w:rFonts w:ascii="Cambria Math" w:hAnsi="Cambria Math"/>
                <w:i/>
              </w:rPr>
            </m:ctrlPr>
          </m:sub>
        </m:sSub>
      </m:oMath>
      <w:r>
        <w:rPr>
          <w:rFonts w:ascii="Times New Roman" w:hAnsi="Times New Roman"/>
        </w:rPr>
        <w:t>——</w:t>
      </w:r>
      <w:r>
        <w:rPr>
          <w:rFonts w:ascii="Times New Roman" w:hAnsi="Times New Roman"/>
          <w:szCs w:val="21"/>
        </w:rPr>
        <w:t>核算期内</w:t>
      </w:r>
      <w:r>
        <w:rPr>
          <w:rFonts w:hint="eastAsia" w:ascii="Times New Roman" w:hAnsi="Times New Roman"/>
          <w:szCs w:val="21"/>
          <w:lang w:val="en-US" w:eastAsia="zh-CN"/>
        </w:rPr>
        <w:t>消耗的</w:t>
      </w:r>
      <w:r>
        <w:rPr>
          <w:rFonts w:ascii="Times New Roman" w:hAnsi="Times New Roman"/>
        </w:rPr>
        <w:t>第</w:t>
      </w:r>
      <m:oMath>
        <m:r>
          <m:rPr/>
          <w:rPr>
            <w:rFonts w:ascii="Times New Roman" w:hAnsi="Times New Roman"/>
          </w:rPr>
          <m:t>i</m:t>
        </m:r>
      </m:oMath>
      <w:r>
        <w:rPr>
          <w:rFonts w:ascii="Times New Roman" w:hAnsi="Times New Roman"/>
        </w:rPr>
        <w:t>种化石燃料的活动数据，单位为吉焦</w:t>
      </w:r>
      <w:r>
        <w:rPr>
          <w:rFonts w:ascii="Times New Roman" w:hAnsi="Times New Roman" w:cs="Times New Roman"/>
          <w:lang w:val="en-US" w:eastAsia="zh-CN" w:bidi="en-US"/>
        </w:rPr>
        <w:t>(GJ)</w:t>
      </w:r>
      <w:r>
        <w:rPr>
          <w:rFonts w:ascii="Times New Roman" w:hAnsi="Times New Roman"/>
          <w:lang w:val="en-US" w:eastAsia="zh-CN" w:bidi="en-US"/>
        </w:rPr>
        <w:t>；</w:t>
      </w:r>
    </w:p>
    <w:p w14:paraId="7B34843B">
      <w:pPr>
        <w:pStyle w:val="151"/>
        <w:snapToGrid w:val="0"/>
        <w:spacing w:after="0" w:line="360" w:lineRule="auto"/>
        <w:rPr>
          <w:rFonts w:ascii="Times New Roman" w:hAnsi="Times New Roman"/>
          <w:szCs w:val="21"/>
          <w:lang w:eastAsia="zh-CN"/>
        </w:rPr>
      </w:pPr>
      <m:oMath>
        <m:r>
          <m:rPr/>
          <w:rPr>
            <w:rFonts w:ascii="Times New Roman" w:hAnsi="Times New Roman"/>
            <w:szCs w:val="21"/>
          </w:rPr>
          <m:t>i</m:t>
        </m:r>
        <m:r>
          <m:rPr/>
          <w:rPr>
            <w:rFonts w:ascii="Times New Roman" w:hAnsi="Times New Roman"/>
            <w:szCs w:val="21"/>
            <w:lang w:val="en-US" w:eastAsia="zh-CN"/>
          </w:rPr>
          <m:t xml:space="preserve"> </m:t>
        </m:r>
      </m:oMath>
      <w:r>
        <w:rPr>
          <w:rFonts w:ascii="Times New Roman" w:hAnsi="Times New Roman"/>
          <w:szCs w:val="21"/>
          <w:lang w:val="en-US" w:eastAsia="zh-CN"/>
        </w:rPr>
        <w:t xml:space="preserve">   </w:t>
      </w:r>
      <w:r>
        <w:rPr>
          <w:rFonts w:ascii="Times New Roman" w:hAnsi="Times New Roman"/>
          <w:szCs w:val="21"/>
        </w:rPr>
        <w:t>——化石燃料类型代号</w:t>
      </w:r>
      <w:r>
        <w:rPr>
          <w:rFonts w:hint="eastAsia" w:ascii="Times New Roman" w:hAnsi="Times New Roman"/>
          <w:szCs w:val="21"/>
          <w:lang w:eastAsia="zh-CN"/>
        </w:rPr>
        <w:t>；</w:t>
      </w:r>
    </w:p>
    <w:p w14:paraId="59A8EECD">
      <w:pPr>
        <w:pStyle w:val="151"/>
        <w:snapToGrid w:val="0"/>
        <w:spacing w:after="0" w:line="360" w:lineRule="auto"/>
        <w:rPr>
          <w:rFonts w:hAnsi="Times New Roman"/>
        </w:rPr>
      </w:pPr>
      <m:oMath>
        <m:r>
          <m:rPr/>
          <w:rPr>
            <w:rFonts w:ascii="Times New Roman" w:hAnsi="Times New Roman"/>
          </w:rPr>
          <m:t>F</m:t>
        </m:r>
        <m:sSub>
          <m:sSubPr>
            <m:ctrlPr>
              <w:rPr>
                <w:rFonts w:ascii="Cambria Math" w:hAnsi="Cambria Math"/>
                <w:i/>
              </w:rPr>
            </m:ctrlPr>
          </m:sSubPr>
          <m:e>
            <m:r>
              <m:rPr/>
              <w:rPr>
                <w:rFonts w:ascii="Times New Roman" w:hAnsi="Times New Roman"/>
              </w:rPr>
              <m:t>C</m:t>
            </m:r>
            <m:ctrlPr>
              <w:rPr>
                <w:rFonts w:ascii="Cambria Math" w:hAnsi="Cambria Math"/>
                <w:i/>
              </w:rPr>
            </m:ctrlPr>
          </m:e>
          <m:sub>
            <m:r>
              <m:rPr/>
              <w:rPr>
                <w:rFonts w:ascii="Times New Roman" w:hAnsi="Times New Roman"/>
              </w:rPr>
              <m:t>i</m:t>
            </m:r>
            <m:ctrlPr>
              <w:rPr>
                <w:rFonts w:ascii="Cambria Math" w:hAnsi="Cambria Math"/>
                <w:i/>
              </w:rPr>
            </m:ctrlPr>
          </m:sub>
        </m:sSub>
      </m:oMath>
      <w:r>
        <w:rPr>
          <w:rFonts w:ascii="Times New Roman" w:hAnsi="Times New Roman"/>
        </w:rPr>
        <w:t xml:space="preserve">  ——第</w:t>
      </w:r>
      <m:oMath>
        <m:r>
          <m:rPr/>
          <w:rPr>
            <w:rFonts w:ascii="Times New Roman" w:hAnsi="Times New Roman"/>
          </w:rPr>
          <m:t>i</m:t>
        </m:r>
      </m:oMath>
      <w:r>
        <w:rPr>
          <w:rFonts w:ascii="Times New Roman" w:hAnsi="Times New Roman"/>
        </w:rPr>
        <w:t>种</w:t>
      </w:r>
      <w:r>
        <w:rPr>
          <w:rFonts w:hint="eastAsia" w:ascii="Times New Roman" w:hAnsi="Times New Roman"/>
        </w:rPr>
        <w:t>化石</w:t>
      </w:r>
      <w:r>
        <w:rPr>
          <w:rFonts w:ascii="Times New Roman" w:hAnsi="Times New Roman"/>
        </w:rPr>
        <w:t>燃料的消耗量</w:t>
      </w:r>
      <w:r>
        <w:rPr>
          <w:rFonts w:hint="eastAsia" w:ascii="Times New Roman" w:hAnsi="Times New Roman"/>
        </w:rPr>
        <w:t>。</w:t>
      </w:r>
      <w:r>
        <w:rPr>
          <w:rFonts w:ascii="Times New Roman" w:hAnsi="Times New Roman"/>
        </w:rPr>
        <w:t>对固体或液体燃料，单位为吨</w:t>
      </w:r>
      <w:r>
        <w:rPr>
          <w:rFonts w:ascii="Times New Roman" w:hAnsi="Times New Roman"/>
          <w:lang w:bidi="en-US"/>
        </w:rPr>
        <w:t>(t)；</w:t>
      </w:r>
      <w:r>
        <w:rPr>
          <w:rFonts w:ascii="Times New Roman" w:hAnsi="Times New Roman"/>
        </w:rPr>
        <w:t>对气体燃料，单位为万标立方米(10</w:t>
      </w:r>
      <w:r>
        <w:rPr>
          <w:rFonts w:ascii="Times New Roman" w:hAnsi="Times New Roman"/>
          <w:vertAlign w:val="superscript"/>
        </w:rPr>
        <w:t>4</w:t>
      </w:r>
      <w:r>
        <w:rPr>
          <w:rFonts w:ascii="Times New Roman" w:hAnsi="Times New Roman" w:eastAsia="PMingLiU"/>
          <w:vertAlign w:val="superscript"/>
        </w:rPr>
        <w:t xml:space="preserve"> </w:t>
      </w:r>
      <w:r>
        <w:rPr>
          <w:rFonts w:ascii="Times New Roman" w:hAnsi="Times New Roman"/>
          <w:lang w:bidi="en-US"/>
        </w:rPr>
        <w:t>Nm</w:t>
      </w:r>
      <w:r>
        <w:rPr>
          <w:rFonts w:ascii="Times New Roman" w:hAnsi="Times New Roman"/>
          <w:vertAlign w:val="superscript"/>
          <w:lang w:bidi="en-US"/>
        </w:rPr>
        <w:t>3</w:t>
      </w:r>
      <w:r>
        <w:rPr>
          <w:rFonts w:ascii="Times New Roman" w:hAnsi="Times New Roman"/>
          <w:lang w:bidi="en-US"/>
        </w:rPr>
        <w:t>)</w:t>
      </w:r>
      <w:r>
        <w:rPr>
          <w:rFonts w:ascii="Times New Roman" w:hAnsi="Times New Roman"/>
          <w:szCs w:val="21"/>
          <w:lang w:val="en-US" w:eastAsia="zh-CN" w:bidi="en-US"/>
        </w:rPr>
        <w:t>；</w:t>
      </w:r>
    </w:p>
    <w:p w14:paraId="3D8D584F">
      <w:pPr>
        <w:pStyle w:val="151"/>
        <w:snapToGrid w:val="0"/>
        <w:spacing w:after="0" w:line="360" w:lineRule="auto"/>
        <w:rPr>
          <w:rFonts w:ascii="Times New Roman" w:hAnsi="Times New Roman"/>
          <w:lang w:val="en-US" w:eastAsia="zh-CN" w:bidi="en-US"/>
        </w:rPr>
      </w:pPr>
      <m:oMath>
        <m:r>
          <m:rPr/>
          <w:rPr>
            <w:rFonts w:ascii="Times New Roman" w:hAnsi="Times New Roman"/>
          </w:rPr>
          <m:t>NC</m:t>
        </m:r>
        <m:sSub>
          <m:sSubPr>
            <m:ctrlPr>
              <w:rPr>
                <w:rFonts w:ascii="Cambria Math" w:hAnsi="Cambria Math"/>
                <w:i/>
              </w:rPr>
            </m:ctrlPr>
          </m:sSubPr>
          <m:e>
            <m:r>
              <m:rPr/>
              <w:rPr>
                <w:rFonts w:ascii="Times New Roman" w:hAnsi="Times New Roman"/>
              </w:rPr>
              <m:t>V</m:t>
            </m:r>
            <m:ctrlPr>
              <w:rPr>
                <w:rFonts w:ascii="Cambria Math" w:hAnsi="Cambria Math"/>
                <w:i/>
              </w:rPr>
            </m:ctrlPr>
          </m:e>
          <m:sub>
            <m:r>
              <m:rPr/>
              <w:rPr>
                <w:rFonts w:ascii="Times New Roman" w:hAnsi="Times New Roman"/>
              </w:rPr>
              <m:t>i</m:t>
            </m:r>
            <m:ctrlPr>
              <w:rPr>
                <w:rFonts w:ascii="Cambria Math" w:hAnsi="Cambria Math"/>
                <w:i/>
              </w:rPr>
            </m:ctrlPr>
          </m:sub>
        </m:sSub>
      </m:oMath>
      <w:r>
        <w:rPr>
          <w:rFonts w:ascii="Times New Roman" w:hAnsi="Times New Roman"/>
        </w:rPr>
        <w:t>——第</w:t>
      </w:r>
      <m:oMath>
        <m:r>
          <m:rPr/>
          <w:rPr>
            <w:rFonts w:ascii="Times New Roman" w:hAnsi="Times New Roman"/>
          </w:rPr>
          <m:t>i</m:t>
        </m:r>
      </m:oMath>
      <w:r>
        <w:rPr>
          <w:rFonts w:ascii="Times New Roman" w:hAnsi="Times New Roman"/>
        </w:rPr>
        <w:t>种</w:t>
      </w:r>
      <w:r>
        <w:rPr>
          <w:rFonts w:hint="eastAsia" w:ascii="Times New Roman" w:hAnsi="Times New Roman"/>
          <w:lang w:val="en-US" w:eastAsia="zh-CN"/>
        </w:rPr>
        <w:t>化石</w:t>
      </w:r>
      <w:r>
        <w:rPr>
          <w:rFonts w:ascii="Times New Roman" w:hAnsi="Times New Roman"/>
        </w:rPr>
        <w:t>燃料的平均低位发热量</w:t>
      </w:r>
      <w:r>
        <w:rPr>
          <w:rFonts w:hint="eastAsia" w:ascii="Times New Roman" w:hAnsi="Times New Roman"/>
        </w:rPr>
        <w:t>；</w:t>
      </w:r>
      <w:r>
        <w:rPr>
          <w:rFonts w:ascii="Times New Roman" w:hAnsi="Times New Roman"/>
        </w:rPr>
        <w:t>对固体和液体燃料，单位为吉焦每吨</w:t>
      </w:r>
      <w:r>
        <w:rPr>
          <w:rFonts w:ascii="Times New Roman" w:hAnsi="Times New Roman" w:cs="Times New Roman"/>
          <w:lang w:val="en-US" w:eastAsia="zh-CN" w:bidi="en-US"/>
        </w:rPr>
        <w:t>(GJ/t)</w:t>
      </w:r>
      <w:r>
        <w:rPr>
          <w:rFonts w:ascii="Times New Roman" w:hAnsi="Times New Roman"/>
        </w:rPr>
        <w:t>；对气体燃料，单位为吉焦每万标立方米</w:t>
      </w:r>
      <w:r>
        <w:rPr>
          <w:rFonts w:ascii="Times New Roman" w:hAnsi="Times New Roman" w:cs="Times New Roman"/>
          <w:lang w:val="en-US" w:eastAsia="zh-CN" w:bidi="en-US"/>
        </w:rPr>
        <w:t>(GJ/10</w:t>
      </w:r>
      <w:r>
        <w:rPr>
          <w:rFonts w:ascii="Times New Roman" w:hAnsi="Times New Roman" w:cs="Times New Roman"/>
          <w:vertAlign w:val="superscript"/>
          <w:lang w:val="en-US" w:eastAsia="zh-CN" w:bidi="en-US"/>
        </w:rPr>
        <w:t xml:space="preserve">4 </w:t>
      </w:r>
      <w:r>
        <w:rPr>
          <w:rFonts w:ascii="Times New Roman" w:hAnsi="Times New Roman" w:cs="Times New Roman"/>
          <w:lang w:val="en-US" w:eastAsia="zh-CN" w:bidi="en-US"/>
        </w:rPr>
        <w:t>Nm</w:t>
      </w:r>
      <w:r>
        <w:rPr>
          <w:rFonts w:ascii="Times New Roman" w:hAnsi="Times New Roman" w:cs="Times New Roman"/>
          <w:vertAlign w:val="superscript"/>
          <w:lang w:val="en-US" w:eastAsia="zh-CN" w:bidi="en-US"/>
        </w:rPr>
        <w:t>3</w:t>
      </w:r>
      <w:r>
        <w:rPr>
          <w:rFonts w:ascii="Times New Roman" w:hAnsi="Times New Roman" w:cs="Times New Roman"/>
          <w:lang w:val="en-US" w:eastAsia="zh-CN" w:bidi="en-US"/>
        </w:rPr>
        <w:t>)</w:t>
      </w:r>
      <w:r>
        <w:rPr>
          <w:rFonts w:ascii="Times New Roman" w:hAnsi="Times New Roman"/>
          <w:lang w:val="en-US" w:eastAsia="zh-CN" w:bidi="en-US"/>
        </w:rPr>
        <w:t>；</w:t>
      </w:r>
    </w:p>
    <w:p w14:paraId="12CAFDD5">
      <w:pPr>
        <w:pStyle w:val="151"/>
        <w:snapToGrid w:val="0"/>
        <w:spacing w:after="0" w:line="360" w:lineRule="auto"/>
        <w:rPr>
          <w:rFonts w:ascii="Times New Roman" w:hAnsi="Times New Roman"/>
          <w:sz w:val="18"/>
          <w:szCs w:val="18"/>
          <w:lang w:val="en-US" w:eastAsia="zh-CN"/>
        </w:rPr>
      </w:pPr>
      <w:r>
        <w:rPr>
          <w:rFonts w:hint="eastAsia" w:ascii="Times New Roman" w:hAnsi="Times New Roman"/>
          <w:sz w:val="18"/>
          <w:szCs w:val="18"/>
        </w:rPr>
        <w:t>注：本文件中的气体标准状况是大气压力为</w:t>
      </w:r>
      <w:r>
        <w:rPr>
          <w:rFonts w:ascii="Times New Roman" w:hAnsi="Times New Roman"/>
          <w:sz w:val="18"/>
          <w:szCs w:val="18"/>
        </w:rPr>
        <w:t>101.325kPa</w:t>
      </w:r>
      <w:r>
        <w:rPr>
          <w:rFonts w:hint="eastAsia" w:ascii="Times New Roman" w:hAnsi="Times New Roman"/>
          <w:sz w:val="18"/>
          <w:szCs w:val="18"/>
        </w:rPr>
        <w:t>，温度为</w:t>
      </w:r>
      <w:r>
        <w:rPr>
          <w:rFonts w:ascii="Times New Roman" w:hAnsi="Times New Roman"/>
          <w:sz w:val="18"/>
          <w:szCs w:val="18"/>
        </w:rPr>
        <w:t>273.15K</w:t>
      </w:r>
      <w:r>
        <w:rPr>
          <w:rFonts w:hint="eastAsia" w:ascii="Times New Roman" w:hAnsi="Times New Roman"/>
          <w:sz w:val="18"/>
          <w:szCs w:val="18"/>
        </w:rPr>
        <w:t>（</w:t>
      </w:r>
      <w:r>
        <w:rPr>
          <w:rFonts w:ascii="Times New Roman" w:hAnsi="Times New Roman"/>
          <w:sz w:val="18"/>
          <w:szCs w:val="18"/>
        </w:rPr>
        <w:t xml:space="preserve">0 </w:t>
      </w:r>
      <w:r>
        <w:rPr>
          <w:rFonts w:hint="eastAsia" w:ascii="Times New Roman" w:hAnsi="Times New Roman"/>
          <w:sz w:val="18"/>
          <w:szCs w:val="18"/>
        </w:rPr>
        <w:t>℃）</w:t>
      </w:r>
      <w:r>
        <w:rPr>
          <w:rFonts w:hint="eastAsia" w:ascii="Times New Roman" w:hAnsi="Times New Roman"/>
          <w:sz w:val="18"/>
          <w:szCs w:val="18"/>
          <w:lang w:eastAsia="zh-CN"/>
        </w:rPr>
        <w:t>。</w:t>
      </w:r>
    </w:p>
    <w:p w14:paraId="5B8E26E3">
      <w:pPr>
        <w:spacing w:line="360" w:lineRule="auto"/>
        <w:rPr>
          <w:rFonts w:eastAsia="黑体"/>
        </w:rPr>
      </w:pPr>
      <w:r>
        <w:rPr>
          <w:rFonts w:eastAsia="黑体"/>
        </w:rPr>
        <w:t xml:space="preserve">6.2.2.2.2 </w:t>
      </w:r>
      <w:r>
        <w:rPr>
          <w:rFonts w:hint="eastAsia" w:eastAsia="黑体"/>
        </w:rPr>
        <w:t>燃料消耗量</w:t>
      </w:r>
    </w:p>
    <w:p w14:paraId="3CE9F38D">
      <w:pPr>
        <w:widowControl/>
        <w:shd w:val="clear" w:color="auto" w:fill="FFFFFF"/>
        <w:spacing w:line="360" w:lineRule="auto"/>
        <w:ind w:firstLine="420"/>
      </w:pPr>
      <w:r>
        <w:t>燃料的消耗量应根据企业</w:t>
      </w:r>
      <w:r>
        <w:rPr>
          <w:rFonts w:hint="eastAsia"/>
        </w:rPr>
        <w:t>在核算和报告年度内的</w:t>
      </w:r>
      <w:r>
        <w:t>能源消费台账或统计报表</w:t>
      </w:r>
      <w:r>
        <w:rPr>
          <w:rFonts w:hint="eastAsia"/>
        </w:rPr>
        <w:t>等</w:t>
      </w:r>
      <w:r>
        <w:t>来确定。</w:t>
      </w:r>
    </w:p>
    <w:p w14:paraId="49B01C97">
      <w:pPr>
        <w:spacing w:line="360" w:lineRule="auto"/>
        <w:rPr>
          <w:rFonts w:eastAsia="黑体"/>
        </w:rPr>
      </w:pPr>
      <w:r>
        <w:rPr>
          <w:rFonts w:eastAsia="黑体"/>
        </w:rPr>
        <w:t>6.2.2.2.3低位发热量</w:t>
      </w:r>
    </w:p>
    <w:p w14:paraId="3059334F">
      <w:pPr>
        <w:widowControl/>
        <w:shd w:val="clear" w:color="auto" w:fill="FFFFFF"/>
        <w:spacing w:line="360" w:lineRule="auto"/>
        <w:ind w:firstLine="420"/>
      </w:pPr>
      <w:r>
        <w:rPr>
          <w:rFonts w:hint="eastAsia"/>
        </w:rPr>
        <w:t>具备条件的企业可开展实测或委托专业机构进行检测，也可采用相关方结算凭证中提供的实测值。如采用实测值，化石燃料低位发热量应按G</w:t>
      </w:r>
      <w:r>
        <w:t>B/T 213</w:t>
      </w:r>
      <w:r>
        <w:rPr>
          <w:rFonts w:hint="eastAsia"/>
        </w:rPr>
        <w:t>、G</w:t>
      </w:r>
      <w:r>
        <w:t>B/T 384</w:t>
      </w:r>
      <w:r>
        <w:rPr>
          <w:rFonts w:hint="eastAsia"/>
        </w:rPr>
        <w:t>、G</w:t>
      </w:r>
      <w:r>
        <w:t>B/T 22723</w:t>
      </w:r>
      <w:r>
        <w:rPr>
          <w:rFonts w:hint="eastAsia"/>
        </w:rPr>
        <w:t>等相关标准的规定进行。不具备条件的企业可选择采用本文件提供的燃料平均低位发热量缺省值，见附录</w:t>
      </w:r>
      <w:r>
        <w:t>B</w:t>
      </w:r>
      <w:r>
        <w:rPr>
          <w:rFonts w:hint="eastAsia"/>
        </w:rPr>
        <w:t>中</w:t>
      </w:r>
      <w:r>
        <w:t>表</w:t>
      </w:r>
      <w:r>
        <w:rPr>
          <w:rFonts w:hint="eastAsia"/>
        </w:rPr>
        <w:t>B</w:t>
      </w:r>
      <w:r>
        <w:t>.1。</w:t>
      </w:r>
    </w:p>
    <w:p w14:paraId="699C977F">
      <w:pPr>
        <w:spacing w:line="360" w:lineRule="auto"/>
        <w:rPr>
          <w:rFonts w:eastAsia="黑体"/>
        </w:rPr>
      </w:pPr>
      <w:r>
        <w:rPr>
          <w:rFonts w:eastAsia="黑体"/>
        </w:rPr>
        <w:t xml:space="preserve">6.2.2.3 </w:t>
      </w:r>
      <w:r>
        <w:rPr>
          <w:rFonts w:hint="eastAsia" w:eastAsia="黑体"/>
        </w:rPr>
        <w:t>排放因子数据获取</w:t>
      </w:r>
    </w:p>
    <w:p w14:paraId="510FE339">
      <w:pPr>
        <w:spacing w:line="360" w:lineRule="auto"/>
        <w:rPr>
          <w:sz w:val="18"/>
          <w:szCs w:val="18"/>
        </w:rPr>
      </w:pPr>
      <w:r>
        <w:rPr>
          <w:rFonts w:eastAsia="黑体"/>
        </w:rPr>
        <w:t xml:space="preserve">6.2.2.3.1 </w:t>
      </w:r>
      <w:r>
        <w:rPr>
          <w:rFonts w:hint="eastAsia" w:eastAsia="黑体"/>
        </w:rPr>
        <w:t>计算公式</w:t>
      </w:r>
    </w:p>
    <w:p w14:paraId="173DD3D2">
      <w:pPr>
        <w:pStyle w:val="151"/>
        <w:snapToGrid w:val="0"/>
        <w:spacing w:after="0" w:line="360" w:lineRule="auto"/>
        <w:ind w:firstLine="403"/>
        <w:jc w:val="both"/>
        <w:rPr>
          <w:rFonts w:ascii="Times New Roman" w:hAnsi="Times New Roman" w:cs="Times New Roman"/>
          <w:lang w:val="en-US" w:eastAsia="zh-CN" w:bidi="ar-SA"/>
        </w:rPr>
      </w:pPr>
      <w:r>
        <w:rPr>
          <w:rFonts w:hint="eastAsia" w:ascii="Times New Roman" w:hAnsi="Times New Roman" w:cs="Times New Roman"/>
          <w:lang w:val="en-US" w:eastAsia="zh-CN" w:bidi="ar-SA"/>
        </w:rPr>
        <w:t>化石燃料燃烧的二氧化碳排放因子按公式（</w:t>
      </w:r>
      <w:r>
        <w:rPr>
          <w:rFonts w:ascii="Times New Roman" w:hAnsi="Times New Roman" w:cs="Times New Roman"/>
          <w:lang w:val="en-US" w:eastAsia="zh-CN" w:bidi="ar-SA"/>
        </w:rPr>
        <w:t>4）计算：</w:t>
      </w:r>
    </w:p>
    <w:p w14:paraId="0077E38E">
      <w:pPr>
        <w:pStyle w:val="151"/>
        <w:tabs>
          <w:tab w:val="left" w:pos="3058"/>
          <w:tab w:val="left" w:leader="dot" w:pos="5102"/>
        </w:tabs>
        <w:spacing w:after="0" w:line="360" w:lineRule="auto"/>
        <w:ind w:firstLine="0"/>
        <w:jc w:val="right"/>
        <w:rPr>
          <w:rFonts w:ascii="Times New Roman" w:hAnsi="Times New Roman"/>
        </w:rPr>
      </w:pPr>
      <m:oMath>
        <m:r>
          <m:rPr/>
          <w:rPr>
            <w:rFonts w:ascii="Times New Roman" w:hAnsi="Times New Roman"/>
          </w:rPr>
          <m:t>E</m:t>
        </m:r>
        <m:sSub>
          <m:sSubPr>
            <m:ctrlPr>
              <w:rPr>
                <w:rFonts w:ascii="Cambria Math" w:hAnsi="Cambria Math" w:eastAsia="PMingLiU"/>
                <w:i/>
              </w:rPr>
            </m:ctrlPr>
          </m:sSubPr>
          <m:e>
            <m:r>
              <m:rPr/>
              <w:rPr>
                <w:rFonts w:ascii="Times New Roman" w:hAnsi="Times New Roman" w:eastAsia="PMingLiU"/>
              </w:rPr>
              <m:t>F</m:t>
            </m:r>
            <m:ctrlPr>
              <w:rPr>
                <w:rFonts w:ascii="Cambria Math" w:hAnsi="Cambria Math" w:eastAsia="PMingLiU"/>
                <w:i/>
              </w:rPr>
            </m:ctrlPr>
          </m:e>
          <m:sub>
            <m:r>
              <m:rPr/>
              <w:rPr>
                <w:rFonts w:ascii="Times New Roman" w:hAnsi="Times New Roman"/>
              </w:rPr>
              <m:t>i</m:t>
            </m:r>
            <m:ctrlPr>
              <w:rPr>
                <w:rFonts w:ascii="Cambria Math" w:hAnsi="Cambria Math" w:eastAsia="PMingLiU"/>
                <w:i/>
              </w:rPr>
            </m:ctrlPr>
          </m:sub>
        </m:sSub>
        <m:r>
          <m:rPr/>
          <w:rPr>
            <w:rFonts w:ascii="Times New Roman" w:hAnsi="Times New Roman"/>
          </w:rPr>
          <m:t>=C</m:t>
        </m:r>
        <m:sSub>
          <m:sSubPr>
            <m:ctrlPr>
              <w:rPr>
                <w:rFonts w:ascii="Cambria Math" w:hAnsi="Cambria Math" w:eastAsia="PMingLiU"/>
                <w:i/>
              </w:rPr>
            </m:ctrlPr>
          </m:sSubPr>
          <m:e>
            <m:r>
              <m:rPr/>
              <w:rPr>
                <w:rFonts w:ascii="Times New Roman" w:hAnsi="Times New Roman" w:eastAsia="PMingLiU"/>
              </w:rPr>
              <m:t>C</m:t>
            </m:r>
            <m:ctrlPr>
              <w:rPr>
                <w:rFonts w:ascii="Cambria Math" w:hAnsi="Cambria Math" w:eastAsia="PMingLiU"/>
                <w:i/>
              </w:rPr>
            </m:ctrlPr>
          </m:e>
          <m:sub>
            <m:r>
              <m:rPr/>
              <w:rPr>
                <w:rFonts w:ascii="Times New Roman" w:hAnsi="Times New Roman"/>
              </w:rPr>
              <m:t>i</m:t>
            </m:r>
            <m:ctrlPr>
              <w:rPr>
                <w:rFonts w:ascii="Cambria Math" w:hAnsi="Cambria Math" w:eastAsia="PMingLiU"/>
                <w:i/>
              </w:rPr>
            </m:ctrlPr>
          </m:sub>
        </m:sSub>
        <m:r>
          <m:rPr/>
          <w:rPr>
            <w:rFonts w:ascii="Times New Roman" w:hAnsi="Times New Roman"/>
          </w:rPr>
          <m:t>×O</m:t>
        </m:r>
        <m:sSub>
          <m:sSubPr>
            <m:ctrlPr>
              <w:rPr>
                <w:rFonts w:ascii="Cambria Math" w:hAnsi="Cambria Math" w:eastAsia="PMingLiU"/>
                <w:i/>
              </w:rPr>
            </m:ctrlPr>
          </m:sSubPr>
          <m:e>
            <m:r>
              <m:rPr/>
              <w:rPr>
                <w:rFonts w:ascii="Times New Roman" w:hAnsi="Times New Roman" w:eastAsia="PMingLiU"/>
              </w:rPr>
              <m:t>F</m:t>
            </m:r>
            <m:ctrlPr>
              <w:rPr>
                <w:rFonts w:ascii="Cambria Math" w:hAnsi="Cambria Math" w:eastAsia="PMingLiU"/>
                <w:i/>
              </w:rPr>
            </m:ctrlPr>
          </m:e>
          <m:sub>
            <m:r>
              <m:rPr/>
              <w:rPr>
                <w:rFonts w:ascii="Times New Roman" w:hAnsi="Times New Roman"/>
              </w:rPr>
              <m:t>i</m:t>
            </m:r>
            <m:ctrlPr>
              <w:rPr>
                <w:rFonts w:ascii="Cambria Math" w:hAnsi="Cambria Math" w:eastAsia="PMingLiU"/>
                <w:i/>
              </w:rPr>
            </m:ctrlPr>
          </m:sub>
        </m:sSub>
        <m:r>
          <m:rPr/>
          <w:rPr>
            <w:rFonts w:ascii="Times New Roman" w:hAnsi="Times New Roman"/>
          </w:rPr>
          <m:t>×</m:t>
        </m:r>
        <m:f>
          <m:fPr>
            <m:ctrlPr>
              <w:rPr>
                <w:rFonts w:ascii="Cambria Math" w:hAnsi="Cambria Math"/>
                <w:i/>
              </w:rPr>
            </m:ctrlPr>
          </m:fPr>
          <m:num>
            <m:r>
              <m:rPr/>
              <w:rPr>
                <w:rFonts w:ascii="Times New Roman" w:hAnsi="Times New Roman"/>
              </w:rPr>
              <m:t>4</m:t>
            </m:r>
            <m:r>
              <m:rPr/>
              <w:rPr>
                <w:rFonts w:ascii="Times New Roman" w:hAnsi="Times New Roman" w:eastAsia="PMingLiU"/>
              </w:rPr>
              <m:t>4</m:t>
            </m:r>
            <m:ctrlPr>
              <w:rPr>
                <w:rFonts w:ascii="Cambria Math" w:hAnsi="Cambria Math"/>
                <w:i/>
              </w:rPr>
            </m:ctrlPr>
          </m:num>
          <m:den>
            <m:r>
              <m:rPr/>
              <w:rPr>
                <w:rFonts w:ascii="Times New Roman" w:hAnsi="Times New Roman"/>
              </w:rPr>
              <m:t>1</m:t>
            </m:r>
            <m:r>
              <m:rPr/>
              <w:rPr>
                <w:rFonts w:ascii="Times New Roman" w:hAnsi="Times New Roman" w:eastAsia="PMingLiU"/>
              </w:rPr>
              <m:t>2</m:t>
            </m:r>
            <m:ctrlPr>
              <w:rPr>
                <w:rFonts w:ascii="Cambria Math" w:hAnsi="Cambria Math"/>
                <w:i/>
              </w:rPr>
            </m:ctrlPr>
          </m:den>
        </m:f>
      </m:oMath>
      <w:r>
        <w:rPr>
          <w:rFonts w:ascii="Times New Roman" w:hAnsi="Times New Roman" w:eastAsia="PMingLiU" w:cs="Times New Roman"/>
        </w:rPr>
        <w:t xml:space="preserve">       </w:t>
      </w:r>
      <w:r>
        <w:rPr>
          <w:rFonts w:hint="eastAsia" w:ascii="Times New Roman" w:hAnsi="Times New Roman" w:cs="Times New Roman"/>
          <w:lang w:val="en-US" w:eastAsia="zh-CN"/>
        </w:rPr>
        <w:t xml:space="preserve"> ········（4）</w:t>
      </w:r>
    </w:p>
    <w:p w14:paraId="51DE41A3">
      <w:pPr>
        <w:pStyle w:val="151"/>
        <w:snapToGrid w:val="0"/>
        <w:spacing w:after="0" w:line="360" w:lineRule="auto"/>
        <w:ind w:firstLine="403"/>
        <w:jc w:val="both"/>
        <w:rPr>
          <w:rFonts w:ascii="Times New Roman" w:hAnsi="Times New Roman" w:cs="Times New Roman"/>
          <w:lang w:val="en-US" w:eastAsia="zh-CN" w:bidi="ar-SA"/>
        </w:rPr>
      </w:pPr>
      <w:r>
        <w:rPr>
          <w:rFonts w:ascii="Times New Roman" w:hAnsi="Times New Roman" w:cs="Times New Roman"/>
          <w:lang w:val="en-US" w:eastAsia="zh-CN" w:bidi="ar-SA"/>
        </w:rPr>
        <w:t>式中：</w:t>
      </w:r>
    </w:p>
    <w:p w14:paraId="7AEC5FE8">
      <w:pPr>
        <w:pStyle w:val="151"/>
        <w:snapToGrid w:val="0"/>
        <w:spacing w:after="0" w:line="360" w:lineRule="auto"/>
        <w:ind w:firstLine="420" w:firstLineChars="200"/>
        <w:rPr>
          <w:rFonts w:ascii="Times New Roman" w:hAnsi="Times New Roman"/>
          <w:lang w:val="en-US" w:bidi="en-US"/>
        </w:rPr>
      </w:pPr>
      <m:oMath>
        <m:r>
          <m:rPr/>
          <w:rPr>
            <w:rFonts w:ascii="Times New Roman" w:hAnsi="Times New Roman"/>
          </w:rPr>
          <m:t>E</m:t>
        </m:r>
        <m:sSub>
          <m:sSubPr>
            <m:ctrlPr>
              <w:rPr>
                <w:rFonts w:ascii="Cambria Math" w:hAnsi="Cambria Math"/>
                <w:i/>
              </w:rPr>
            </m:ctrlPr>
          </m:sSubPr>
          <m:e>
            <m:r>
              <m:rPr/>
              <w:rPr>
                <w:rFonts w:ascii="Times New Roman" w:hAnsi="Times New Roman"/>
              </w:rPr>
              <m:t>F</m:t>
            </m:r>
            <m:ctrlPr>
              <w:rPr>
                <w:rFonts w:ascii="Cambria Math" w:hAnsi="Cambria Math"/>
                <w:i/>
              </w:rPr>
            </m:ctrlPr>
          </m:e>
          <m:sub>
            <m:r>
              <m:rPr/>
              <w:rPr>
                <w:rFonts w:ascii="Times New Roman" w:hAnsi="Times New Roman"/>
              </w:rPr>
              <m:t>i</m:t>
            </m:r>
            <m:ctrlPr>
              <w:rPr>
                <w:rFonts w:ascii="Cambria Math" w:hAnsi="Cambria Math"/>
                <w:i/>
              </w:rPr>
            </m:ctrlPr>
          </m:sub>
        </m:sSub>
      </m:oMath>
      <w:r>
        <w:rPr>
          <w:rFonts w:ascii="Times New Roman" w:hAnsi="Times New Roman"/>
          <w:lang w:val="en-US" w:bidi="en-US"/>
        </w:rPr>
        <w:t>——</w:t>
      </w:r>
      <w:r>
        <w:rPr>
          <w:rFonts w:ascii="Times New Roman" w:hAnsi="Times New Roman"/>
        </w:rPr>
        <w:t>第</w:t>
      </w:r>
      <m:oMath>
        <m:r>
          <m:rPr/>
          <w:rPr>
            <w:rFonts w:ascii="Times New Roman" w:hAnsi="Times New Roman"/>
          </w:rPr>
          <m:t>i</m:t>
        </m:r>
      </m:oMath>
      <w:r>
        <w:rPr>
          <w:rFonts w:ascii="Times New Roman" w:hAnsi="Times New Roman"/>
        </w:rPr>
        <w:t>种燃料的</w:t>
      </w:r>
      <w:r>
        <w:rPr>
          <w:rFonts w:hint="eastAsia" w:ascii="Times New Roman" w:hAnsi="Times New Roman"/>
          <w:lang w:val="en-US" w:eastAsia="zh-CN"/>
        </w:rPr>
        <w:t>二氧化</w:t>
      </w:r>
      <w:r>
        <w:rPr>
          <w:rFonts w:hint="eastAsia" w:ascii="Times New Roman" w:hAnsi="Times New Roman"/>
        </w:rPr>
        <w:t>碳</w:t>
      </w:r>
      <w:r>
        <w:rPr>
          <w:rFonts w:ascii="Times New Roman" w:hAnsi="Times New Roman"/>
        </w:rPr>
        <w:t>排放因子，单位为吨二氧化碳每吉焦</w:t>
      </w:r>
      <w:r>
        <w:rPr>
          <w:rFonts w:ascii="Times New Roman" w:hAnsi="Times New Roman" w:cs="Times New Roman"/>
          <w:lang w:val="en-US" w:bidi="en-US"/>
        </w:rPr>
        <w:t>(tCO</w:t>
      </w:r>
      <w:r>
        <w:rPr>
          <w:rFonts w:ascii="Times New Roman" w:hAnsi="Times New Roman" w:cs="Times New Roman"/>
          <w:vertAlign w:val="subscript"/>
          <w:lang w:val="en-US" w:bidi="en-US"/>
        </w:rPr>
        <w:t>2</w:t>
      </w:r>
      <w:r>
        <w:rPr>
          <w:rFonts w:ascii="Times New Roman" w:hAnsi="Times New Roman" w:cs="Times New Roman"/>
          <w:lang w:val="en-US" w:bidi="en-US"/>
        </w:rPr>
        <w:t>/GJ)</w:t>
      </w:r>
      <w:r>
        <w:rPr>
          <w:rFonts w:ascii="Times New Roman" w:hAnsi="Times New Roman"/>
          <w:lang w:val="en-US" w:bidi="en-US"/>
        </w:rPr>
        <w:t>；</w:t>
      </w:r>
    </w:p>
    <w:p w14:paraId="1F2C50D1">
      <w:pPr>
        <w:pStyle w:val="151"/>
        <w:snapToGrid w:val="0"/>
        <w:spacing w:after="0" w:line="360" w:lineRule="auto"/>
        <w:rPr>
          <w:rFonts w:ascii="Times New Roman" w:hAnsi="Times New Roman"/>
          <w:lang w:val="en-US" w:bidi="en-US"/>
        </w:rPr>
      </w:pPr>
      <m:oMath>
        <m:r>
          <m:rPr/>
          <w:rPr>
            <w:rFonts w:ascii="Times New Roman" w:hAnsi="Times New Roman"/>
            <w:szCs w:val="21"/>
          </w:rPr>
          <m:t>i</m:t>
        </m:r>
        <m:r>
          <m:rPr/>
          <w:rPr>
            <w:rFonts w:ascii="Times New Roman" w:hAnsi="Times New Roman"/>
            <w:szCs w:val="21"/>
            <w:lang w:val="en-US" w:eastAsia="zh-CN"/>
          </w:rPr>
          <m:t xml:space="preserve"> </m:t>
        </m:r>
      </m:oMath>
      <w:r>
        <w:rPr>
          <w:rFonts w:ascii="Times New Roman" w:hAnsi="Times New Roman"/>
          <w:szCs w:val="21"/>
          <w:lang w:val="en-US" w:eastAsia="zh-CN"/>
        </w:rPr>
        <w:t xml:space="preserve">   </w:t>
      </w:r>
      <w:r>
        <w:rPr>
          <w:rFonts w:ascii="Times New Roman" w:hAnsi="Times New Roman"/>
          <w:szCs w:val="21"/>
        </w:rPr>
        <w:t>——化石燃料类型代号</w:t>
      </w:r>
      <w:r>
        <w:rPr>
          <w:rFonts w:hint="eastAsia" w:ascii="Times New Roman" w:hAnsi="Times New Roman"/>
          <w:szCs w:val="21"/>
          <w:lang w:eastAsia="zh-CN"/>
        </w:rPr>
        <w:t>；</w:t>
      </w:r>
    </w:p>
    <w:p w14:paraId="1B95A535">
      <w:pPr>
        <w:pStyle w:val="151"/>
        <w:snapToGrid w:val="0"/>
        <w:spacing w:after="0" w:line="360" w:lineRule="auto"/>
        <w:ind w:firstLine="420" w:firstLineChars="200"/>
        <w:jc w:val="both"/>
        <w:rPr>
          <w:rFonts w:ascii="Times New Roman" w:hAnsi="Times New Roman"/>
        </w:rPr>
      </w:pPr>
      <m:oMath>
        <m:r>
          <m:rPr/>
          <w:rPr>
            <w:rFonts w:ascii="Times New Roman" w:hAnsi="Times New Roman"/>
          </w:rPr>
          <m:t>C</m:t>
        </m:r>
        <m:sSub>
          <m:sSubPr>
            <m:ctrlPr>
              <w:rPr>
                <w:rFonts w:ascii="Cambria Math" w:hAnsi="Cambria Math"/>
                <w:i/>
              </w:rPr>
            </m:ctrlPr>
          </m:sSubPr>
          <m:e>
            <m:r>
              <m:rPr/>
              <w:rPr>
                <w:rFonts w:ascii="Times New Roman" w:hAnsi="Times New Roman"/>
              </w:rPr>
              <m:t>C</m:t>
            </m:r>
            <m:ctrlPr>
              <w:rPr>
                <w:rFonts w:ascii="Cambria Math" w:hAnsi="Cambria Math"/>
                <w:i/>
              </w:rPr>
            </m:ctrlPr>
          </m:e>
          <m:sub>
            <m:r>
              <m:rPr/>
              <w:rPr>
                <w:rFonts w:ascii="Times New Roman" w:hAnsi="Times New Roman"/>
              </w:rPr>
              <m:t>i</m:t>
            </m:r>
            <m:ctrlPr>
              <w:rPr>
                <w:rFonts w:ascii="Cambria Math" w:hAnsi="Cambria Math"/>
                <w:i/>
              </w:rPr>
            </m:ctrlPr>
          </m:sub>
        </m:sSub>
      </m:oMath>
      <w:r>
        <w:rPr>
          <w:rFonts w:ascii="Times New Roman" w:hAnsi="Times New Roman" w:cs="Times New Roman"/>
        </w:rPr>
        <w:t>——</w:t>
      </w:r>
      <w:r>
        <w:rPr>
          <w:rFonts w:ascii="Times New Roman" w:hAnsi="Times New Roman"/>
        </w:rPr>
        <w:t>第</w:t>
      </w:r>
      <m:oMath>
        <m:r>
          <m:rPr/>
          <w:rPr>
            <w:rFonts w:ascii="Times New Roman" w:hAnsi="Times New Roman"/>
          </w:rPr>
          <m:t>i</m:t>
        </m:r>
      </m:oMath>
      <w:r>
        <w:rPr>
          <w:rFonts w:ascii="Times New Roman" w:hAnsi="Times New Roman"/>
        </w:rPr>
        <w:t>种</w:t>
      </w:r>
      <w:r>
        <w:rPr>
          <w:rFonts w:hint="eastAsia" w:ascii="Times New Roman" w:hAnsi="Times New Roman"/>
          <w:lang w:val="en-US" w:eastAsia="zh-CN"/>
        </w:rPr>
        <w:t>化石</w:t>
      </w:r>
      <w:r>
        <w:rPr>
          <w:rFonts w:ascii="Times New Roman" w:hAnsi="Times New Roman"/>
        </w:rPr>
        <w:t>燃料的单位热值含碳量，单位为吨碳每吉焦</w:t>
      </w:r>
      <w:r>
        <w:rPr>
          <w:rFonts w:ascii="Times New Roman" w:hAnsi="Times New Roman" w:cs="Times New Roman"/>
          <w:lang w:val="en-US" w:bidi="en-US"/>
        </w:rPr>
        <w:t>(tC/GJ)</w:t>
      </w:r>
      <w:r>
        <w:rPr>
          <w:rFonts w:ascii="Times New Roman" w:hAnsi="Times New Roman"/>
          <w:lang w:val="en-US" w:eastAsia="zh-CN" w:bidi="en-US"/>
        </w:rPr>
        <w:t>；</w:t>
      </w:r>
    </w:p>
    <w:p w14:paraId="1D536C32">
      <w:pPr>
        <w:pStyle w:val="151"/>
        <w:snapToGrid w:val="0"/>
        <w:spacing w:after="0" w:line="360" w:lineRule="auto"/>
        <w:ind w:firstLine="420" w:firstLineChars="200"/>
        <w:jc w:val="both"/>
        <w:rPr>
          <w:rFonts w:ascii="Times New Roman" w:hAnsi="Times New Roman"/>
        </w:rPr>
      </w:pPr>
      <m:oMath>
        <m:r>
          <m:rPr/>
          <w:rPr>
            <w:rFonts w:ascii="Times New Roman" w:hAnsi="Times New Roman"/>
          </w:rPr>
          <m:t>O</m:t>
        </m:r>
        <m:sSub>
          <m:sSubPr>
            <m:ctrlPr>
              <w:rPr>
                <w:rFonts w:ascii="Cambria Math" w:hAnsi="Cambria Math"/>
                <w:i/>
              </w:rPr>
            </m:ctrlPr>
          </m:sSubPr>
          <m:e>
            <m:r>
              <m:rPr/>
              <w:rPr>
                <w:rFonts w:ascii="Times New Roman" w:hAnsi="Times New Roman"/>
              </w:rPr>
              <m:t>F</m:t>
            </m:r>
            <m:ctrlPr>
              <w:rPr>
                <w:rFonts w:ascii="Cambria Math" w:hAnsi="Cambria Math"/>
                <w:i/>
              </w:rPr>
            </m:ctrlPr>
          </m:e>
          <m:sub>
            <m:r>
              <m:rPr/>
              <w:rPr>
                <w:rFonts w:ascii="Times New Roman" w:hAnsi="Times New Roman"/>
              </w:rPr>
              <m:t>i</m:t>
            </m:r>
            <m:ctrlPr>
              <w:rPr>
                <w:rFonts w:ascii="Cambria Math" w:hAnsi="Cambria Math"/>
                <w:i/>
              </w:rPr>
            </m:ctrlPr>
          </m:sub>
        </m:sSub>
      </m:oMath>
      <w:r>
        <w:rPr>
          <w:rFonts w:ascii="Times New Roman" w:hAnsi="Times New Roman" w:cs="Times New Roman"/>
          <w:lang w:val="en-US" w:bidi="en-US"/>
        </w:rPr>
        <w:t>——</w:t>
      </w:r>
      <w:r>
        <w:rPr>
          <w:rFonts w:ascii="Times New Roman" w:hAnsi="Times New Roman"/>
        </w:rPr>
        <w:t>第</w:t>
      </w:r>
      <m:oMath>
        <m:r>
          <m:rPr/>
          <w:rPr>
            <w:rFonts w:ascii="Times New Roman" w:hAnsi="Times New Roman"/>
          </w:rPr>
          <m:t>i</m:t>
        </m:r>
      </m:oMath>
      <w:r>
        <w:rPr>
          <w:rFonts w:ascii="Times New Roman" w:hAnsi="Times New Roman"/>
        </w:rPr>
        <w:t>种化石燃料的碳氧化率，以％表示；</w:t>
      </w:r>
    </w:p>
    <w:p w14:paraId="1E6791A5">
      <w:pPr>
        <w:pStyle w:val="151"/>
        <w:snapToGrid w:val="0"/>
        <w:spacing w:after="0" w:line="360" w:lineRule="auto"/>
        <w:ind w:firstLine="420" w:firstLineChars="200"/>
        <w:rPr>
          <w:rFonts w:ascii="Times New Roman" w:hAnsi="Times New Roman"/>
        </w:rPr>
      </w:pPr>
      <m:oMath>
        <m:f>
          <m:fPr>
            <m:ctrlPr>
              <w:rPr>
                <w:rFonts w:ascii="Cambria Math" w:hAnsi="Cambria Math"/>
                <w:i/>
              </w:rPr>
            </m:ctrlPr>
          </m:fPr>
          <m:num>
            <m:r>
              <m:rPr/>
              <w:rPr>
                <w:rFonts w:ascii="Times New Roman" w:hAnsi="Times New Roman"/>
              </w:rPr>
              <m:t>44</m:t>
            </m:r>
            <m:ctrlPr>
              <w:rPr>
                <w:rFonts w:ascii="Cambria Math" w:hAnsi="Cambria Math"/>
                <w:i/>
              </w:rPr>
            </m:ctrlPr>
          </m:num>
          <m:den>
            <m:r>
              <m:rPr/>
              <w:rPr>
                <w:rFonts w:ascii="Times New Roman" w:hAnsi="Times New Roman"/>
              </w:rPr>
              <m:t>12</m:t>
            </m:r>
            <m:ctrlPr>
              <w:rPr>
                <w:rFonts w:ascii="Cambria Math" w:hAnsi="Cambria Math"/>
                <w:i/>
              </w:rPr>
            </m:ctrlPr>
          </m:den>
        </m:f>
      </m:oMath>
      <w:r>
        <w:rPr>
          <w:rFonts w:ascii="Times New Roman" w:hAnsi="Times New Roman"/>
          <w:lang w:val="en-US" w:eastAsia="zh-CN"/>
        </w:rPr>
        <w:t xml:space="preserve"> </w:t>
      </w:r>
      <w:r>
        <w:rPr>
          <w:rFonts w:ascii="Times New Roman" w:hAnsi="Times New Roman"/>
        </w:rPr>
        <w:t>——二氧化碳与碳的相对分子质量之比。</w:t>
      </w:r>
    </w:p>
    <w:p w14:paraId="219F1AB7">
      <w:pPr>
        <w:spacing w:line="360" w:lineRule="auto"/>
        <w:rPr>
          <w:rFonts w:eastAsia="黑体"/>
        </w:rPr>
      </w:pPr>
      <w:r>
        <w:rPr>
          <w:rFonts w:eastAsia="黑体"/>
        </w:rPr>
        <w:t xml:space="preserve">6.2.2.3.2 </w:t>
      </w:r>
      <w:r>
        <w:rPr>
          <w:rFonts w:hint="eastAsia" w:eastAsia="黑体"/>
        </w:rPr>
        <w:t>单位热值含碳量</w:t>
      </w:r>
    </w:p>
    <w:p w14:paraId="58129C68">
      <w:pPr>
        <w:widowControl/>
        <w:shd w:val="clear" w:color="auto" w:fill="FFFFFF"/>
        <w:spacing w:line="360" w:lineRule="auto"/>
        <w:ind w:firstLine="420"/>
      </w:pPr>
      <w:r>
        <w:rPr>
          <w:rFonts w:hint="eastAsia"/>
        </w:rPr>
        <w:t>企业可根据自身条件，选取以下方法：采用附B录中表B</w:t>
      </w:r>
      <w:r>
        <w:t>.1</w:t>
      </w:r>
      <w:r>
        <w:rPr>
          <w:rFonts w:hint="eastAsia"/>
        </w:rPr>
        <w:t>提供的燃料单位热值含碳量的缺省值；具备条件的企业可对单位热值含碳量开展实测，或委托专业机构进行检测；也可采用与相关方结算凭证中提供的实测值。</w:t>
      </w:r>
    </w:p>
    <w:p w14:paraId="24E99C91">
      <w:pPr>
        <w:spacing w:line="360" w:lineRule="auto"/>
        <w:rPr>
          <w:rFonts w:hAnsi="黑体" w:eastAsia="黑体"/>
        </w:rPr>
      </w:pPr>
      <w:r>
        <w:rPr>
          <w:rFonts w:hAnsi="黑体" w:eastAsia="黑体"/>
        </w:rPr>
        <w:t xml:space="preserve">6.2.2.3.3 </w:t>
      </w:r>
      <w:r>
        <w:rPr>
          <w:rFonts w:hint="eastAsia" w:hAnsi="黑体" w:eastAsia="黑体"/>
        </w:rPr>
        <w:t>碳氧化率</w:t>
      </w:r>
    </w:p>
    <w:p w14:paraId="1D3164BA">
      <w:pPr>
        <w:widowControl/>
        <w:shd w:val="clear" w:color="auto" w:fill="FFFFFF"/>
        <w:spacing w:line="360" w:lineRule="auto"/>
        <w:ind w:firstLine="420"/>
      </w:pPr>
      <w:r>
        <w:rPr>
          <w:rFonts w:hint="eastAsia"/>
        </w:rPr>
        <w:t>企业参考附录B中表</w:t>
      </w:r>
      <w:r>
        <w:t>B.1</w:t>
      </w:r>
      <w:r>
        <w:rPr>
          <w:rFonts w:hint="eastAsia"/>
        </w:rPr>
        <w:t>提供的常用燃料碳氧化率的缺省值。</w:t>
      </w:r>
    </w:p>
    <w:p w14:paraId="2752DDD4">
      <w:pPr>
        <w:spacing w:line="360" w:lineRule="auto"/>
        <w:rPr>
          <w:rFonts w:hAnsi="黑体" w:eastAsia="黑体"/>
        </w:rPr>
      </w:pPr>
      <w:bookmarkStart w:id="23" w:name="OLE_LINK6"/>
      <w:bookmarkStart w:id="24" w:name="_Hlk100441462"/>
      <w:r>
        <w:rPr>
          <w:rFonts w:hAnsi="黑体" w:eastAsia="黑体"/>
        </w:rPr>
        <w:t xml:space="preserve">6.2.3 </w:t>
      </w:r>
      <w:r>
        <w:rPr>
          <w:rFonts w:hint="eastAsia" w:hAnsi="黑体" w:eastAsia="黑体"/>
        </w:rPr>
        <w:t>过程排放</w:t>
      </w:r>
    </w:p>
    <w:bookmarkEnd w:id="23"/>
    <w:p w14:paraId="214ED3E4">
      <w:pPr>
        <w:spacing w:line="360" w:lineRule="auto"/>
        <w:rPr>
          <w:rFonts w:hAnsi="黑体" w:eastAsia="黑体"/>
        </w:rPr>
      </w:pPr>
      <w:r>
        <w:rPr>
          <w:rFonts w:hAnsi="黑体" w:eastAsia="黑体"/>
        </w:rPr>
        <w:t xml:space="preserve">6.2.3.1 </w:t>
      </w:r>
      <w:r>
        <w:rPr>
          <w:rFonts w:hint="eastAsia" w:hAnsi="黑体" w:eastAsia="黑体"/>
        </w:rPr>
        <w:t>计算公式</w:t>
      </w:r>
    </w:p>
    <w:p w14:paraId="31891504">
      <w:pPr>
        <w:pStyle w:val="151"/>
        <w:snapToGrid w:val="0"/>
        <w:spacing w:after="0" w:line="360" w:lineRule="auto"/>
        <w:ind w:firstLine="403"/>
        <w:jc w:val="both"/>
        <w:rPr>
          <w:rFonts w:ascii="Times New Roman" w:cs="Times New Roman"/>
          <w:lang w:val="en-US" w:eastAsia="zh-CN" w:bidi="ar-SA"/>
        </w:rPr>
      </w:pPr>
      <w:r>
        <w:rPr>
          <w:rFonts w:hint="eastAsia" w:ascii="Times New Roman" w:cs="Times New Roman"/>
          <w:lang w:val="en-US" w:eastAsia="zh-CN" w:bidi="ar-SA"/>
        </w:rPr>
        <w:t>报告主体过程生产过程温室气体排放量</w:t>
      </w:r>
      <w:r>
        <w:rPr>
          <w:rFonts w:ascii="Times New Roman" w:cs="Times New Roman"/>
          <w:lang w:val="en-US" w:eastAsia="zh-CN" w:bidi="ar-SA"/>
        </w:rPr>
        <w:t>，</w:t>
      </w:r>
      <w:r>
        <w:rPr>
          <w:rFonts w:hint="eastAsia" w:ascii="Times New Roman" w:cs="Times New Roman"/>
          <w:lang w:val="en-US" w:eastAsia="zh-CN" w:bidi="ar-SA"/>
        </w:rPr>
        <w:t>主要是沉淀工序、碳酸稀土/草酸稀土等含碳稀土前驱体焙烧分解、添加剂及其他含碳原料使用过程产生的温室气体排放量之和，按公式（5）计算</w:t>
      </w:r>
      <w:r>
        <w:rPr>
          <w:rFonts w:ascii="Times New Roman" w:cs="Times New Roman"/>
          <w:lang w:val="en-US" w:eastAsia="zh-CN" w:bidi="ar-SA"/>
        </w:rPr>
        <w:t>：</w:t>
      </w:r>
    </w:p>
    <w:p w14:paraId="6DE54B5E">
      <w:pPr>
        <w:pStyle w:val="151"/>
        <w:snapToGrid w:val="0"/>
        <w:spacing w:after="0" w:line="360" w:lineRule="auto"/>
        <w:ind w:firstLine="420"/>
        <w:jc w:val="right"/>
        <w:rPr>
          <w:rFonts w:eastAsia="PMingLiU"/>
          <w:szCs w:val="21"/>
        </w:rPr>
      </w:pPr>
      <m:oMath>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m:sty m:val="p"/>
              </m:rPr>
              <w:rPr>
                <w:rFonts w:hint="eastAsia" w:ascii="Cambria Math" w:hAnsi="Cambria Math"/>
                <w:szCs w:val="21"/>
              </w:rPr>
              <m:t>过程</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m:sty m:val="p"/>
              </m:rPr>
              <w:rPr>
                <w:rFonts w:hint="eastAsia" w:ascii="Cambria Math" w:hAnsi="Cambria Math"/>
                <w:szCs w:val="21"/>
                <w:lang w:val="en-US" w:eastAsia="zh-CN"/>
              </w:rPr>
              <m:t>沉淀工序</m:t>
            </m:r>
            <m:ctrlPr>
              <w:rPr>
                <w:rFonts w:ascii="Cambria Math" w:hAnsi="Cambria Math"/>
                <w:i/>
                <w:szCs w:val="21"/>
              </w:rPr>
            </m:ctrlPr>
          </m:sub>
        </m:sSub>
        <m:sSub>
          <m:sSubPr>
            <m:ctrlPr>
              <w:rPr>
                <w:rFonts w:ascii="Cambria Math" w:hAnsi="Cambria Math"/>
                <w:i/>
                <w:szCs w:val="21"/>
              </w:rPr>
            </m:ctrlPr>
          </m:sSubPr>
          <m:e>
            <m:r>
              <m:rPr/>
              <w:rPr>
                <w:rFonts w:ascii="Cambria Math" w:hAnsi="Cambria Math"/>
                <w:szCs w:val="21"/>
              </w:rPr>
              <m:t>+</m:t>
            </m:r>
            <m:r>
              <m:rPr>
                <m:sty m:val="p"/>
              </m:rPr>
              <w:rPr>
                <w:rFonts w:ascii="Cambria Math" w:hAnsi="Cambria Math"/>
                <w:szCs w:val="21"/>
              </w:rPr>
              <m:t>E</m:t>
            </m:r>
            <m:ctrlPr>
              <w:rPr>
                <w:rFonts w:ascii="Cambria Math" w:hAnsi="Cambria Math"/>
                <w:i/>
                <w:szCs w:val="21"/>
              </w:rPr>
            </m:ctrlPr>
          </m:e>
          <m:sub>
            <m:r>
              <m:rPr>
                <m:sty m:val="p"/>
              </m:rPr>
              <w:rPr>
                <w:rFonts w:hint="eastAsia" w:ascii="Cambria Math" w:hAnsi="Cambria Math"/>
                <w:szCs w:val="21"/>
                <w:lang w:val="en-US" w:eastAsia="zh-CN"/>
              </w:rPr>
              <m:t>前驱体分解</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m:sty m:val="p"/>
              </m:rPr>
              <w:rPr>
                <w:rFonts w:hint="eastAsia" w:ascii="Cambria Math" w:hAnsi="Cambria Math"/>
                <w:szCs w:val="21"/>
                <w:lang w:val="en-US" w:eastAsia="zh-CN"/>
              </w:rPr>
              <m:t>添加剂氧化</m:t>
            </m:r>
            <m:ctrlPr>
              <w:rPr>
                <w:rFonts w:ascii="Cambria Math" w:hAnsi="Cambria Math"/>
                <w:i/>
                <w:szCs w:val="21"/>
              </w:rPr>
            </m:ctrlPr>
          </m:sub>
        </m:sSub>
        <m:r>
          <m:rPr/>
          <w:rPr>
            <w:rFonts w:ascii="Cambria Math" w:hAnsi="Cambria Math"/>
            <w:szCs w:val="21"/>
          </w:rPr>
          <m:t>+</m:t>
        </m:r>
        <m:sSub>
          <m:sSubPr>
            <m:ctrlPr>
              <w:rPr>
                <w:rFonts w:ascii="Cambria Math" w:hAnsi="Cambria Math"/>
                <w:i/>
                <w:szCs w:val="21"/>
              </w:rPr>
            </m:ctrlPr>
          </m:sSubPr>
          <m:e>
            <m:r>
              <m:rPr/>
              <w:rPr>
                <w:rFonts w:ascii="Cambria Math" w:hAnsi="Cambria Math"/>
                <w:szCs w:val="21"/>
              </w:rPr>
              <m:t>E</m:t>
            </m:r>
            <m:ctrlPr>
              <w:rPr>
                <w:rFonts w:ascii="Cambria Math" w:hAnsi="Cambria Math"/>
                <w:i/>
                <w:szCs w:val="21"/>
              </w:rPr>
            </m:ctrlPr>
          </m:e>
          <m:sub>
            <m:r>
              <m:rPr>
                <m:sty m:val="p"/>
              </m:rPr>
              <w:rPr>
                <w:rFonts w:hint="eastAsia" w:ascii="Cambria Math" w:hAnsi="Cambria Math"/>
                <w:szCs w:val="21"/>
                <w:lang w:val="en-US" w:eastAsia="zh-CN"/>
              </w:rPr>
              <m:t>其他含碳原料</m:t>
            </m:r>
            <m:ctrlPr>
              <w:rPr>
                <w:rFonts w:ascii="Cambria Math" w:hAnsi="Cambria Math"/>
                <w:i/>
                <w:szCs w:val="21"/>
              </w:rPr>
            </m:ctrlPr>
          </m:sub>
        </m:sSub>
      </m:oMath>
      <w:r>
        <w:rPr>
          <w:rFonts w:hint="eastAsia" w:ascii="Times New Roman" w:hAnsi="Times New Roman" w:cs="Times New Roman"/>
          <w:lang w:val="en-US" w:eastAsia="zh-CN"/>
        </w:rPr>
        <w:t>······（5）</w:t>
      </w:r>
    </w:p>
    <w:p w14:paraId="75F304AF">
      <w:pPr>
        <w:pStyle w:val="151"/>
        <w:snapToGrid w:val="0"/>
        <w:spacing w:after="0" w:line="360" w:lineRule="auto"/>
        <w:jc w:val="both"/>
        <w:rPr>
          <w:szCs w:val="21"/>
        </w:rPr>
      </w:pPr>
      <w:r>
        <w:rPr>
          <w:szCs w:val="21"/>
        </w:rPr>
        <w:t>式中：</w:t>
      </w:r>
    </w:p>
    <w:p w14:paraId="342E6C00">
      <w:pPr>
        <w:pStyle w:val="151"/>
        <w:adjustRightInd w:val="0"/>
        <w:snapToGrid w:val="0"/>
        <w:spacing w:after="0" w:line="360" w:lineRule="auto"/>
        <w:ind w:firstLine="0"/>
        <w:jc w:val="both"/>
        <w:rPr>
          <w:szCs w:val="21"/>
          <w:lang w:val="en-US" w:eastAsia="zh-CN" w:bidi="en-US"/>
        </w:rPr>
      </w:pPr>
      <m:oMath>
        <m:sSub>
          <m:sSubPr>
            <m:ctrlPr>
              <w:rPr>
                <w:rFonts w:ascii="Cambria Math" w:hAnsi="Cambria Math"/>
                <w:i/>
                <w:szCs w:val="21"/>
                <w:lang w:val="en-US" w:eastAsia="zh-CN" w:bidi="en-US"/>
              </w:rPr>
            </m:ctrlPr>
          </m:sSubPr>
          <m:e>
            <m:r>
              <m:rPr/>
              <w:rPr>
                <w:rFonts w:ascii="Cambria Math" w:hAnsi="Cambria Math"/>
                <w:szCs w:val="21"/>
              </w:rPr>
              <m:t xml:space="preserve"> </m:t>
            </m:r>
            <m:r>
              <m:rPr>
                <m:sty m:val="p"/>
              </m:rPr>
              <w:rPr>
                <w:rFonts w:ascii="Cambria Math" w:hAnsi="Cambria Math" w:eastAsia="PMingLiU"/>
                <w:szCs w:val="21"/>
              </w:rPr>
              <m:t xml:space="preserve">        </m:t>
            </m:r>
            <m:r>
              <m:rPr/>
              <w:rPr>
                <w:rFonts w:ascii="Cambria Math" w:hAnsi="Cambria Math"/>
                <w:szCs w:val="21"/>
              </w:rPr>
              <m:t>E</m:t>
            </m:r>
            <m:ctrlPr>
              <w:rPr>
                <w:rFonts w:ascii="Cambria Math" w:hAnsi="Cambria Math"/>
                <w:i/>
                <w:szCs w:val="21"/>
                <w:lang w:val="en-US" w:eastAsia="zh-CN" w:bidi="en-US"/>
              </w:rPr>
            </m:ctrlPr>
          </m:e>
          <m:sub>
            <m:r>
              <m:rPr>
                <m:sty m:val="p"/>
              </m:rPr>
              <w:rPr>
                <w:rFonts w:hint="eastAsia" w:ascii="Cambria Math" w:hAnsi="Cambria Math"/>
                <w:szCs w:val="21"/>
              </w:rPr>
              <m:t>过程</m:t>
            </m:r>
            <m:ctrlPr>
              <w:rPr>
                <w:rFonts w:ascii="Cambria Math" w:hAnsi="Cambria Math"/>
                <w:i/>
                <w:szCs w:val="21"/>
                <w:lang w:val="en-US" w:eastAsia="zh-CN" w:bidi="en-US"/>
              </w:rPr>
            </m:ctrlPr>
          </m:sub>
        </m:sSub>
      </m:oMath>
      <w:r>
        <w:rPr>
          <w:szCs w:val="21"/>
        </w:rPr>
        <w:t>——</w:t>
      </w:r>
      <w:r>
        <w:rPr>
          <w:rFonts w:hint="eastAsia"/>
          <w:szCs w:val="21"/>
          <w:lang w:val="en-US" w:eastAsia="zh-CN" w:bidi="en-US"/>
        </w:rPr>
        <w:t>核算和报告年度内，过程排放产生的温室气体排放量，单位为吨二氧化碳当量</w:t>
      </w:r>
      <w:r>
        <w:rPr>
          <w:rFonts w:hint="eastAsia" w:ascii="Times New Roman" w:hAnsi="Times New Roman" w:cs="Times New Roman"/>
          <w:lang w:val="en-US" w:eastAsia="zh-CN" w:bidi="en-US"/>
        </w:rPr>
        <w:t>(tCO</w:t>
      </w:r>
      <w:r>
        <w:rPr>
          <w:rFonts w:hint="eastAsia" w:ascii="Times New Roman" w:hAnsi="Times New Roman" w:cs="Times New Roman"/>
          <w:vertAlign w:val="subscript"/>
          <w:lang w:val="en-US" w:eastAsia="zh-CN" w:bidi="en-US"/>
        </w:rPr>
        <w:t>2</w:t>
      </w:r>
      <w:r>
        <w:rPr>
          <w:rFonts w:hint="eastAsia" w:ascii="Times New Roman" w:hAnsi="Times New Roman" w:cs="Times New Roman"/>
          <w:lang w:val="en-US" w:eastAsia="zh-CN" w:bidi="en-US"/>
        </w:rPr>
        <w:t>e)</w:t>
      </w:r>
      <w:r>
        <w:rPr>
          <w:rFonts w:hint="eastAsia"/>
          <w:szCs w:val="21"/>
          <w:lang w:val="en-US" w:eastAsia="zh-CN" w:bidi="en-US"/>
        </w:rPr>
        <w:t>；</w:t>
      </w:r>
    </w:p>
    <w:p w14:paraId="5FAAB8BC">
      <w:pPr>
        <w:pStyle w:val="151"/>
        <w:adjustRightInd w:val="0"/>
        <w:snapToGrid w:val="0"/>
        <w:spacing w:after="0" w:line="360" w:lineRule="auto"/>
        <w:ind w:firstLine="0"/>
        <w:jc w:val="both"/>
        <w:rPr>
          <w:szCs w:val="21"/>
          <w:lang w:val="en-US" w:eastAsia="zh-CN" w:bidi="en-US"/>
        </w:rPr>
      </w:pPr>
      <m:oMath>
        <m:sSub>
          <m:sSubPr>
            <m:ctrlPr>
              <w:rPr>
                <w:rFonts w:ascii="Cambria Math" w:hAnsi="Cambria Math"/>
                <w:i/>
                <w:szCs w:val="21"/>
                <w:lang w:val="en-US" w:eastAsia="zh-CN" w:bidi="en-US"/>
              </w:rPr>
            </m:ctrlPr>
          </m:sSubPr>
          <m:e>
            <m:r>
              <m:rPr/>
              <w:rPr>
                <w:rFonts w:ascii="Cambria Math" w:hAnsi="Cambria Math"/>
                <w:szCs w:val="21"/>
              </w:rPr>
              <m:t xml:space="preserve"> </m:t>
            </m:r>
            <m:r>
              <m:rPr>
                <m:sty m:val="p"/>
              </m:rPr>
              <w:rPr>
                <w:rFonts w:ascii="Cambria Math" w:hAnsi="Cambria Math" w:eastAsia="PMingLiU"/>
                <w:szCs w:val="21"/>
              </w:rPr>
              <m:t xml:space="preserve">        </m:t>
            </m:r>
            <m:r>
              <m:rPr/>
              <w:rPr>
                <w:rFonts w:ascii="Cambria Math" w:hAnsi="Cambria Math"/>
                <w:szCs w:val="21"/>
              </w:rPr>
              <m:t>E</m:t>
            </m:r>
            <m:ctrlPr>
              <w:rPr>
                <w:rFonts w:ascii="Cambria Math" w:hAnsi="Cambria Math"/>
                <w:i/>
                <w:szCs w:val="21"/>
                <w:lang w:val="en-US" w:eastAsia="zh-CN" w:bidi="en-US"/>
              </w:rPr>
            </m:ctrlPr>
          </m:e>
          <m:sub>
            <m:r>
              <m:rPr>
                <m:sty m:val="p"/>
              </m:rPr>
              <w:rPr>
                <w:rFonts w:hint="eastAsia" w:ascii="Cambria Math" w:hAnsi="Cambria Math"/>
                <w:szCs w:val="21"/>
                <w:lang w:val="en-US" w:eastAsia="zh-CN"/>
              </w:rPr>
              <m:t>沉淀工序</m:t>
            </m:r>
            <m:ctrlPr>
              <w:rPr>
                <w:rFonts w:ascii="Cambria Math" w:hAnsi="Cambria Math"/>
                <w:i/>
                <w:szCs w:val="21"/>
                <w:lang w:val="en-US" w:eastAsia="zh-CN" w:bidi="en-US"/>
              </w:rPr>
            </m:ctrlPr>
          </m:sub>
        </m:sSub>
      </m:oMath>
      <w:r>
        <w:rPr>
          <w:szCs w:val="21"/>
        </w:rPr>
        <w:t>——</w:t>
      </w:r>
      <w:r>
        <w:rPr>
          <w:rFonts w:hint="eastAsia"/>
          <w:szCs w:val="21"/>
          <w:lang w:val="en-US" w:eastAsia="zh-CN" w:bidi="en-US"/>
        </w:rPr>
        <w:t>核算和报告年度内，厂内沉淀工序产生的温室气体排放，单位为吨二氧化碳当量</w:t>
      </w:r>
      <w:r>
        <w:rPr>
          <w:rFonts w:hint="eastAsia" w:ascii="Times New Roman" w:hAnsi="Times New Roman" w:cs="Times New Roman"/>
          <w:lang w:val="en-US" w:eastAsia="zh-CN" w:bidi="en-US"/>
        </w:rPr>
        <w:t>(tCO</w:t>
      </w:r>
      <w:r>
        <w:rPr>
          <w:rFonts w:hint="eastAsia" w:ascii="Times New Roman" w:hAnsi="Times New Roman" w:cs="Times New Roman"/>
          <w:vertAlign w:val="subscript"/>
          <w:lang w:val="en-US" w:eastAsia="zh-CN" w:bidi="en-US"/>
        </w:rPr>
        <w:t>2</w:t>
      </w:r>
      <w:r>
        <w:rPr>
          <w:rFonts w:hint="eastAsia" w:ascii="Times New Roman" w:hAnsi="Times New Roman" w:cs="Times New Roman"/>
          <w:lang w:val="en-US" w:eastAsia="zh-CN" w:bidi="en-US"/>
        </w:rPr>
        <w:t>e)</w:t>
      </w:r>
      <w:r>
        <w:rPr>
          <w:rFonts w:hint="eastAsia"/>
          <w:szCs w:val="21"/>
          <w:lang w:val="en-US" w:eastAsia="zh-CN" w:bidi="en-US"/>
        </w:rPr>
        <w:t xml:space="preserve">； </w:t>
      </w:r>
    </w:p>
    <w:p w14:paraId="3565DA5B">
      <w:pPr>
        <w:pStyle w:val="151"/>
        <w:adjustRightInd w:val="0"/>
        <w:snapToGrid w:val="0"/>
        <w:spacing w:after="0" w:line="360" w:lineRule="auto"/>
        <w:ind w:firstLine="0"/>
        <w:jc w:val="both"/>
        <w:rPr>
          <w:rFonts w:eastAsia="PMingLiU" w:asciiTheme="minorEastAsia" w:hAnsiTheme="minorEastAsia"/>
          <w:szCs w:val="21"/>
        </w:rPr>
      </w:pPr>
      <m:oMath>
        <m:sSub>
          <m:sSubPr>
            <m:ctrlPr>
              <w:rPr>
                <w:rFonts w:ascii="Cambria Math" w:hAnsi="Cambria Math"/>
                <w:i/>
                <w:szCs w:val="21"/>
              </w:rPr>
            </m:ctrlPr>
          </m:sSubPr>
          <m:e>
            <m:r>
              <m:rPr/>
              <w:rPr>
                <w:rFonts w:ascii="Cambria Math" w:hAnsi="Cambria Math"/>
                <w:szCs w:val="21"/>
                <w:lang w:val="en-US" w:eastAsia="zh-CN"/>
              </w:rPr>
              <m:t xml:space="preserve">         </m:t>
            </m:r>
            <m:r>
              <m:rPr/>
              <w:rPr>
                <w:rFonts w:ascii="Cambria Math" w:hAnsi="Cambria Math"/>
                <w:szCs w:val="21"/>
              </w:rPr>
              <m:t>E</m:t>
            </m:r>
            <m:ctrlPr>
              <w:rPr>
                <w:rFonts w:ascii="Cambria Math" w:hAnsi="Cambria Math"/>
                <w:i/>
                <w:szCs w:val="21"/>
              </w:rPr>
            </m:ctrlPr>
          </m:e>
          <m:sub>
            <m:r>
              <m:rPr>
                <m:sty m:val="p"/>
              </m:rPr>
              <w:rPr>
                <w:rFonts w:hint="eastAsia" w:ascii="Cambria Math" w:hAnsi="Cambria Math"/>
                <w:szCs w:val="21"/>
                <w:lang w:val="en-US" w:eastAsia="zh-CN"/>
              </w:rPr>
              <m:t>前驱体分解</m:t>
            </m:r>
            <m:ctrlPr>
              <w:rPr>
                <w:rFonts w:ascii="Cambria Math" w:hAnsi="Cambria Math"/>
                <w:i/>
                <w:szCs w:val="21"/>
              </w:rPr>
            </m:ctrlPr>
          </m:sub>
        </m:sSub>
      </m:oMath>
      <w:r>
        <w:rPr>
          <w:rFonts w:hint="eastAsia" w:asciiTheme="minorEastAsia" w:hAnsiTheme="minorEastAsia"/>
          <w:szCs w:val="21"/>
        </w:rPr>
        <w:t>——</w:t>
      </w:r>
      <w:r>
        <w:rPr>
          <w:rFonts w:hint="eastAsia"/>
          <w:szCs w:val="21"/>
        </w:rPr>
        <w:t>核算和报告年度内，</w:t>
      </w:r>
      <w:r>
        <w:rPr>
          <w:rFonts w:hint="eastAsia"/>
          <w:szCs w:val="21"/>
          <w:lang w:val="en-US" w:eastAsia="zh-CN"/>
        </w:rPr>
        <w:t>含碳</w:t>
      </w:r>
      <w:r>
        <w:rPr>
          <w:rFonts w:hint="eastAsia"/>
          <w:szCs w:val="21"/>
        </w:rPr>
        <w:t>稀土前驱体焙烧分解产生的</w:t>
      </w:r>
      <w:r>
        <w:rPr>
          <w:rFonts w:hint="eastAsia"/>
          <w:szCs w:val="21"/>
          <w:lang w:val="en-US" w:eastAsia="zh-CN" w:bidi="en-US"/>
        </w:rPr>
        <w:t>温室气体排放，单位为吨二氧化碳当量</w:t>
      </w:r>
      <w:r>
        <w:rPr>
          <w:rFonts w:hint="eastAsia" w:ascii="Times New Roman" w:hAnsi="Times New Roman" w:cs="Times New Roman"/>
          <w:lang w:val="en-US" w:eastAsia="zh-CN" w:bidi="en-US"/>
        </w:rPr>
        <w:t>(tCO</w:t>
      </w:r>
      <w:r>
        <w:rPr>
          <w:rFonts w:hint="eastAsia" w:ascii="Times New Roman" w:hAnsi="Times New Roman" w:cs="Times New Roman"/>
          <w:vertAlign w:val="subscript"/>
          <w:lang w:val="en-US" w:eastAsia="zh-CN" w:bidi="en-US"/>
        </w:rPr>
        <w:t>2</w:t>
      </w:r>
      <w:r>
        <w:rPr>
          <w:rFonts w:hint="eastAsia" w:ascii="Times New Roman" w:hAnsi="Times New Roman" w:cs="Times New Roman"/>
          <w:lang w:val="en-US" w:eastAsia="zh-CN" w:bidi="en-US"/>
        </w:rPr>
        <w:t>e)</w:t>
      </w:r>
      <w:r>
        <w:rPr>
          <w:rFonts w:hint="eastAsia"/>
          <w:szCs w:val="21"/>
          <w:lang w:val="en-US" w:eastAsia="zh-CN" w:bidi="en-US"/>
        </w:rPr>
        <w:t xml:space="preserve">； </w:t>
      </w:r>
    </w:p>
    <w:p w14:paraId="749B8EA0">
      <w:pPr>
        <w:pStyle w:val="151"/>
        <w:adjustRightInd w:val="0"/>
        <w:snapToGrid w:val="0"/>
        <w:spacing w:after="0" w:line="360" w:lineRule="auto"/>
        <w:ind w:firstLine="0"/>
        <w:jc w:val="both"/>
        <w:rPr>
          <w:rFonts w:eastAsia="PMingLiU" w:asciiTheme="minorEastAsia" w:hAnsiTheme="minorEastAsia"/>
          <w:szCs w:val="21"/>
        </w:rPr>
      </w:pPr>
      <m:oMath>
        <m:r>
          <m:rPr>
            <m:sty m:val="p"/>
          </m:rPr>
          <w:rPr>
            <w:rFonts w:ascii="Cambria Math" w:hAnsi="Cambria Math"/>
            <w:szCs w:val="21"/>
            <w:lang w:val="en-US" w:eastAsia="zh-CN" w:bidi="en-US"/>
          </w:rPr>
          <m:t xml:space="preserve">         </m:t>
        </m:r>
        <m:sSub>
          <m:sSubPr>
            <m:ctrlPr>
              <w:rPr>
                <w:rFonts w:ascii="Cambria Math" w:hAnsi="Cambria Math"/>
                <w:i/>
                <w:szCs w:val="21"/>
                <w:lang w:val="en-US" w:eastAsia="zh-CN" w:bidi="en-US"/>
              </w:rPr>
            </m:ctrlPr>
          </m:sSubPr>
          <m:e>
            <m:r>
              <m:rPr/>
              <w:rPr>
                <w:rFonts w:ascii="Cambria Math" w:hAnsi="Cambria Math"/>
                <w:szCs w:val="21"/>
              </w:rPr>
              <m:t>E</m:t>
            </m:r>
            <m:ctrlPr>
              <w:rPr>
                <w:rFonts w:ascii="Cambria Math" w:hAnsi="Cambria Math"/>
                <w:i/>
                <w:szCs w:val="21"/>
                <w:lang w:val="en-US" w:eastAsia="zh-CN" w:bidi="en-US"/>
              </w:rPr>
            </m:ctrlPr>
          </m:e>
          <m:sub>
            <m:r>
              <m:rPr>
                <m:sty m:val="p"/>
              </m:rPr>
              <w:rPr>
                <w:rFonts w:hint="eastAsia" w:ascii="Cambria Math" w:hAnsi="Cambria Math"/>
                <w:szCs w:val="21"/>
                <w:lang w:val="en-US" w:eastAsia="zh-CN"/>
              </w:rPr>
              <m:t>添加剂氧化</m:t>
            </m:r>
            <m:ctrlPr>
              <w:rPr>
                <w:rFonts w:ascii="Cambria Math" w:hAnsi="Cambria Math"/>
                <w:i/>
                <w:szCs w:val="21"/>
                <w:lang w:val="en-US" w:eastAsia="zh-CN" w:bidi="en-US"/>
              </w:rPr>
            </m:ctrlPr>
          </m:sub>
        </m:sSub>
      </m:oMath>
      <w:r>
        <w:rPr>
          <w:szCs w:val="21"/>
        </w:rPr>
        <w:t>——</w:t>
      </w:r>
      <w:r>
        <w:rPr>
          <w:rFonts w:hint="eastAsia"/>
          <w:szCs w:val="21"/>
        </w:rPr>
        <w:t>核算和报告年度内，</w:t>
      </w:r>
      <w:r>
        <w:rPr>
          <w:rFonts w:hint="eastAsia"/>
          <w:szCs w:val="21"/>
          <w:lang w:val="en-US" w:eastAsia="zh-CN"/>
        </w:rPr>
        <w:t>改性剂、分散剂等添加剂分解/氧化产生</w:t>
      </w:r>
      <w:r>
        <w:rPr>
          <w:szCs w:val="21"/>
        </w:rPr>
        <w:t>的</w:t>
      </w:r>
      <w:r>
        <w:rPr>
          <w:rFonts w:hint="eastAsia"/>
          <w:szCs w:val="21"/>
          <w:lang w:val="en-US" w:eastAsia="zh-CN" w:bidi="en-US"/>
        </w:rPr>
        <w:t>温室气体</w:t>
      </w:r>
      <w:r>
        <w:rPr>
          <w:szCs w:val="21"/>
        </w:rPr>
        <w:t>排放，</w:t>
      </w:r>
      <w:r>
        <w:rPr>
          <w:rFonts w:hint="eastAsia"/>
          <w:szCs w:val="21"/>
          <w:lang w:val="en-US" w:eastAsia="zh-CN" w:bidi="en-US"/>
        </w:rPr>
        <w:t>单位为吨二氧化碳当量</w:t>
      </w:r>
      <w:r>
        <w:rPr>
          <w:rFonts w:hint="eastAsia" w:ascii="Times New Roman" w:hAnsi="Times New Roman" w:cs="Times New Roman"/>
          <w:lang w:val="en-US" w:eastAsia="zh-CN" w:bidi="en-US"/>
        </w:rPr>
        <w:t>(tCO</w:t>
      </w:r>
      <w:r>
        <w:rPr>
          <w:rFonts w:hint="eastAsia" w:ascii="Times New Roman" w:hAnsi="Times New Roman" w:cs="Times New Roman"/>
          <w:vertAlign w:val="subscript"/>
          <w:lang w:val="en-US" w:eastAsia="zh-CN" w:bidi="en-US"/>
        </w:rPr>
        <w:t>2</w:t>
      </w:r>
      <w:r>
        <w:rPr>
          <w:rFonts w:hint="eastAsia" w:ascii="Times New Roman" w:hAnsi="Times New Roman" w:cs="Times New Roman"/>
          <w:lang w:val="en-US" w:eastAsia="zh-CN" w:bidi="en-US"/>
        </w:rPr>
        <w:t>e)</w:t>
      </w:r>
      <w:r>
        <w:rPr>
          <w:rFonts w:hint="eastAsia"/>
          <w:szCs w:val="21"/>
          <w:lang w:val="en-US" w:eastAsia="zh-CN" w:bidi="en-US"/>
        </w:rPr>
        <w:t xml:space="preserve">； </w:t>
      </w:r>
    </w:p>
    <w:p w14:paraId="4668D8A9">
      <w:pPr>
        <w:pStyle w:val="151"/>
        <w:adjustRightInd w:val="0"/>
        <w:snapToGrid w:val="0"/>
        <w:spacing w:after="0" w:line="360" w:lineRule="auto"/>
        <w:ind w:firstLine="0"/>
        <w:jc w:val="both"/>
        <w:rPr>
          <w:szCs w:val="21"/>
          <w:lang w:val="en-US" w:eastAsia="zh-CN" w:bidi="en-US"/>
        </w:rPr>
      </w:pPr>
      <m:oMath>
        <m:sSub>
          <m:sSubPr>
            <m:ctrlPr>
              <w:rPr>
                <w:rFonts w:ascii="Cambria Math" w:hAnsi="Cambria Math"/>
                <w:i/>
                <w:szCs w:val="21"/>
                <w:lang w:val="en-US" w:eastAsia="zh-CN" w:bidi="en-US"/>
              </w:rPr>
            </m:ctrlPr>
          </m:sSubPr>
          <m:e>
            <m:r>
              <m:rPr/>
              <w:rPr>
                <w:rFonts w:ascii="Cambria Math" w:hAnsi="Cambria Math"/>
                <w:szCs w:val="21"/>
                <w:lang w:val="en-US" w:eastAsia="zh-CN" w:bidi="en-US"/>
              </w:rPr>
              <m:t xml:space="preserve">        </m:t>
            </m:r>
            <m:r>
              <m:rPr/>
              <w:rPr>
                <w:rFonts w:ascii="Cambria Math" w:hAnsi="Cambria Math"/>
                <w:szCs w:val="21"/>
              </w:rPr>
              <m:t>E</m:t>
            </m:r>
            <m:ctrlPr>
              <w:rPr>
                <w:rFonts w:ascii="Cambria Math" w:hAnsi="Cambria Math"/>
                <w:i/>
                <w:szCs w:val="21"/>
                <w:lang w:val="en-US" w:eastAsia="zh-CN" w:bidi="en-US"/>
              </w:rPr>
            </m:ctrlPr>
          </m:e>
          <m:sub>
            <m:r>
              <m:rPr>
                <m:sty m:val="p"/>
              </m:rPr>
              <w:rPr>
                <w:rFonts w:hint="eastAsia" w:ascii="Cambria Math" w:hAnsi="Cambria Math"/>
                <w:szCs w:val="21"/>
                <w:lang w:val="en-US" w:eastAsia="zh-CN" w:bidi="en-US"/>
              </w:rPr>
              <m:t>其他含碳原料</m:t>
            </m:r>
            <m:ctrlPr>
              <w:rPr>
                <w:rFonts w:ascii="Cambria Math" w:hAnsi="Cambria Math"/>
                <w:i/>
                <w:szCs w:val="21"/>
                <w:lang w:val="en-US" w:eastAsia="zh-CN" w:bidi="en-US"/>
              </w:rPr>
            </m:ctrlPr>
          </m:sub>
        </m:sSub>
      </m:oMath>
      <w:r>
        <w:rPr>
          <w:szCs w:val="21"/>
        </w:rPr>
        <w:t>——</w:t>
      </w:r>
      <w:r>
        <w:rPr>
          <w:rFonts w:hint="eastAsia"/>
          <w:szCs w:val="21"/>
        </w:rPr>
        <w:t>核算和报告年度内，</w:t>
      </w:r>
      <w:r>
        <w:rPr>
          <w:rFonts w:hint="eastAsia"/>
          <w:szCs w:val="21"/>
          <w:lang w:val="en-US" w:eastAsia="zh-CN"/>
        </w:rPr>
        <w:t>其他含碳原料使用过程中产生</w:t>
      </w:r>
      <w:r>
        <w:rPr>
          <w:szCs w:val="21"/>
        </w:rPr>
        <w:t>的</w:t>
      </w:r>
      <w:r>
        <w:rPr>
          <w:rFonts w:hint="eastAsia"/>
          <w:szCs w:val="21"/>
          <w:lang w:val="en-US" w:eastAsia="zh-CN" w:bidi="en-US"/>
        </w:rPr>
        <w:t>温室气体</w:t>
      </w:r>
      <w:r>
        <w:rPr>
          <w:szCs w:val="21"/>
        </w:rPr>
        <w:t>排放，</w:t>
      </w:r>
      <w:r>
        <w:rPr>
          <w:rFonts w:hint="eastAsia"/>
          <w:szCs w:val="21"/>
          <w:lang w:val="en-US" w:eastAsia="zh-CN" w:bidi="en-US"/>
        </w:rPr>
        <w:t>单位为吨二氧化碳当量</w:t>
      </w:r>
      <w:r>
        <w:rPr>
          <w:rFonts w:hint="eastAsia" w:ascii="Times New Roman" w:hAnsi="Times New Roman" w:cs="Times New Roman"/>
          <w:lang w:val="en-US" w:eastAsia="zh-CN" w:bidi="en-US"/>
        </w:rPr>
        <w:t>(tCO</w:t>
      </w:r>
      <w:r>
        <w:rPr>
          <w:rFonts w:hint="eastAsia" w:ascii="Times New Roman" w:hAnsi="Times New Roman" w:cs="Times New Roman"/>
          <w:vertAlign w:val="subscript"/>
          <w:lang w:val="en-US" w:eastAsia="zh-CN" w:bidi="en-US"/>
        </w:rPr>
        <w:t>2</w:t>
      </w:r>
      <w:r>
        <w:rPr>
          <w:rFonts w:hint="eastAsia" w:ascii="Times New Roman" w:hAnsi="Times New Roman" w:cs="Times New Roman"/>
          <w:lang w:val="en-US" w:eastAsia="zh-CN" w:bidi="en-US"/>
        </w:rPr>
        <w:t>e)</w:t>
      </w:r>
      <w:r>
        <w:rPr>
          <w:rFonts w:hint="eastAsia"/>
          <w:szCs w:val="21"/>
          <w:lang w:val="en-US" w:eastAsia="zh-CN" w:bidi="en-US"/>
        </w:rPr>
        <w:t xml:space="preserve">； </w:t>
      </w:r>
    </w:p>
    <w:p w14:paraId="7875F148">
      <w:pPr>
        <w:spacing w:line="360" w:lineRule="auto"/>
        <w:rPr>
          <w:rFonts w:hAnsi="黑体" w:eastAsia="黑体"/>
        </w:rPr>
      </w:pPr>
      <w:r>
        <w:rPr>
          <w:rFonts w:hAnsi="黑体" w:eastAsia="黑体"/>
        </w:rPr>
        <w:t>6.2.3.</w:t>
      </w:r>
      <w:r>
        <w:rPr>
          <w:rFonts w:hint="eastAsia" w:hAnsi="黑体" w:eastAsia="黑体"/>
        </w:rPr>
        <w:t>2 沉淀工序</w:t>
      </w:r>
    </w:p>
    <w:p w14:paraId="05F0F655">
      <w:pPr>
        <w:spacing w:line="360" w:lineRule="auto"/>
        <w:rPr>
          <w:rFonts w:hAnsi="黑体" w:eastAsia="黑体"/>
        </w:rPr>
      </w:pPr>
      <w:r>
        <w:rPr>
          <w:rFonts w:hAnsi="黑体" w:eastAsia="黑体"/>
        </w:rPr>
        <w:t>6.2.3.</w:t>
      </w:r>
      <w:r>
        <w:rPr>
          <w:rFonts w:hint="eastAsia" w:hAnsi="黑体" w:eastAsia="黑体"/>
        </w:rPr>
        <w:t>2.1 计算公式</w:t>
      </w:r>
    </w:p>
    <w:p w14:paraId="5776898F">
      <w:pPr>
        <w:widowControl/>
        <w:spacing w:line="360" w:lineRule="auto"/>
        <w:ind w:firstLine="420"/>
        <w:jc w:val="left"/>
        <w:rPr>
          <w:szCs w:val="21"/>
          <w:lang w:bidi="en-US"/>
        </w:rPr>
      </w:pPr>
      <w:r>
        <w:rPr>
          <w:rFonts w:hint="eastAsia"/>
        </w:rPr>
        <w:t>厂内沉淀工序产生的温室气体排放量按式（6）计算:</w:t>
      </w:r>
    </w:p>
    <w:p w14:paraId="170EF8E2">
      <w:pPr>
        <w:pStyle w:val="151"/>
        <w:snapToGrid w:val="0"/>
        <w:spacing w:after="120" w:line="360" w:lineRule="exact"/>
        <w:ind w:firstLine="420"/>
        <w:jc w:val="right"/>
        <w:rPr>
          <w:rFonts w:ascii="Times New Roman" w:hAnsi="Times New Roman" w:eastAsia="PMingLiU"/>
          <w:szCs w:val="21"/>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lang w:val="en-US" w:eastAsia="zh-CN"/>
              </w:rPr>
              <m:t>沉淀工序</m:t>
            </m:r>
            <m:ctrlPr>
              <w:rPr>
                <w:rFonts w:ascii="Cambria Math" w:hAnsi="Cambria Math"/>
                <w:i/>
                <w:szCs w:val="21"/>
              </w:rPr>
            </m:ctrlPr>
          </m:sub>
        </m:sSub>
        <m:r>
          <m:rPr/>
          <w:rPr>
            <w:rFonts w:ascii="Times New Roman" w:hAnsi="Times New Roman" w:eastAsia="PMingLiU"/>
            <w:szCs w:val="21"/>
          </w:rPr>
          <m:t>=</m:t>
        </m:r>
        <m:nary>
          <m:naryPr>
            <m:chr m:val="∑"/>
            <m:limLoc m:val="subSup"/>
            <m:ctrlPr>
              <w:rPr>
                <w:rFonts w:ascii="Cambria Math" w:hAnsi="Cambria Math" w:eastAsia="PMingLiU"/>
                <w:i/>
                <w:szCs w:val="21"/>
              </w:rPr>
            </m:ctrlPr>
          </m:naryPr>
          <m:sub>
            <m:r>
              <m:rPr/>
              <w:rPr>
                <w:rFonts w:ascii="Times New Roman" w:hAnsi="Times New Roman"/>
                <w:szCs w:val="21"/>
                <w:lang w:val="en-US" w:eastAsia="zh-CN"/>
              </w:rPr>
              <m:t>i</m:t>
            </m:r>
            <m:r>
              <m:rPr/>
              <w:rPr>
                <w:rFonts w:ascii="Times New Roman" w:hAnsi="Times New Roman"/>
                <w:szCs w:val="21"/>
                <w:lang w:val="en-US"/>
              </w:rPr>
              <m:t>=</m:t>
            </m:r>
            <m:r>
              <m:rPr/>
              <w:rPr>
                <w:rFonts w:ascii="Times New Roman" w:hAnsi="Times New Roman"/>
                <w:szCs w:val="21"/>
                <w:lang w:val="en-US" w:eastAsia="zh-CN"/>
              </w:rPr>
              <m:t>1</m:t>
            </m:r>
            <m:ctrlPr>
              <w:rPr>
                <w:rFonts w:ascii="Cambria Math" w:hAnsi="Cambria Math" w:eastAsia="PMingLiU"/>
                <w:i/>
                <w:szCs w:val="21"/>
              </w:rPr>
            </m:ctrlPr>
          </m:sub>
          <m:sup>
            <m:r>
              <m:rPr/>
              <w:rPr>
                <w:rFonts w:ascii="Times New Roman" w:hAnsi="Times New Roman"/>
                <w:szCs w:val="21"/>
                <w:lang w:val="en-US"/>
              </w:rPr>
              <m:t>m</m:t>
            </m:r>
            <m:ctrlPr>
              <w:rPr>
                <w:rFonts w:ascii="Cambria Math" w:hAnsi="Cambria Math" w:eastAsia="PMingLiU"/>
                <w:i/>
                <w:szCs w:val="21"/>
              </w:rPr>
            </m:ctrlPr>
          </m:sup>
          <m:e>
            <m:r>
              <m:rPr/>
              <w:rPr>
                <w:rFonts w:ascii="Times New Roman" w:hAnsi="Times New Roman"/>
                <w:szCs w:val="21"/>
                <w:lang w:val="en-US"/>
              </w:rPr>
              <m:t>(</m:t>
            </m:r>
            <m:sSub>
              <m:sSubPr>
                <m:ctrlPr>
                  <w:rPr>
                    <w:rFonts w:ascii="Cambria Math" w:hAnsi="Cambria Math"/>
                    <w:i/>
                    <w:szCs w:val="21"/>
                    <w:lang w:val="en-US" w:eastAsia="zh-CN"/>
                  </w:rPr>
                </m:ctrlPr>
              </m:sSubPr>
              <m:e>
                <m:r>
                  <m:rPr/>
                  <w:rPr>
                    <w:rFonts w:ascii="Times New Roman" w:hAnsi="Times New Roman"/>
                    <w:szCs w:val="21"/>
                    <w:lang w:val="en-US"/>
                  </w:rPr>
                  <m:t>M</m:t>
                </m:r>
                <m:ctrlPr>
                  <w:rPr>
                    <w:rFonts w:ascii="Cambria Math" w:hAnsi="Cambria Math"/>
                    <w:i/>
                    <w:szCs w:val="21"/>
                    <w:lang w:val="en-US" w:eastAsia="zh-CN"/>
                  </w:rPr>
                </m:ctrlPr>
              </m:e>
              <m:sub>
                <m:r>
                  <m:rPr>
                    <m:sty m:val="p"/>
                  </m:rPr>
                  <w:rPr>
                    <w:rFonts w:hint="eastAsia" w:ascii="Times New Roman" w:hAnsi="Times New Roman"/>
                    <w:szCs w:val="21"/>
                    <w:lang w:val="en-US" w:eastAsia="zh-CN"/>
                  </w:rPr>
                  <m:t>沉淀剂</m:t>
                </m:r>
                <m:r>
                  <m:rPr>
                    <m:sty m:val="p"/>
                  </m:rPr>
                  <w:rPr>
                    <w:rFonts w:ascii="Times New Roman" w:hAnsi="Times New Roman"/>
                    <w:szCs w:val="21"/>
                    <w:lang w:val="en-US" w:eastAsia="zh-CN"/>
                  </w:rPr>
                  <m:t xml:space="preserve">, </m:t>
                </m:r>
                <m:r>
                  <m:rPr/>
                  <w:rPr>
                    <w:rFonts w:ascii="Times New Roman" w:hAnsi="Times New Roman"/>
                    <w:szCs w:val="21"/>
                    <w:lang w:val="en-US" w:eastAsia="zh-CN"/>
                  </w:rPr>
                  <m:t>i</m:t>
                </m:r>
                <m:ctrlPr>
                  <w:rPr>
                    <w:rFonts w:ascii="Cambria Math" w:hAnsi="Cambria Math"/>
                    <w:i/>
                    <w:szCs w:val="21"/>
                    <w:lang w:val="en-US" w:eastAsia="zh-CN"/>
                  </w:rPr>
                </m:ctrlPr>
              </m:sub>
            </m:sSub>
            <m:ctrlPr>
              <w:rPr>
                <w:rFonts w:ascii="Cambria Math" w:hAnsi="Cambria Math" w:eastAsia="PMingLiU"/>
                <w:i/>
                <w:szCs w:val="21"/>
              </w:rPr>
            </m:ctrlPr>
          </m:e>
        </m:nary>
        <m:r>
          <m:rPr/>
          <w:rPr>
            <w:rFonts w:ascii="Times New Roman" w:hAnsi="Times New Roman"/>
            <w:szCs w:val="21"/>
          </w:rPr>
          <m:t>×</m:t>
        </m:r>
        <m:sSub>
          <m:sSubPr>
            <m:ctrlPr>
              <w:rPr>
                <w:rFonts w:ascii="Cambria Math" w:hAnsi="Cambria Math"/>
                <w:i/>
                <w:szCs w:val="21"/>
              </w:rPr>
            </m:ctrlPr>
          </m:sSubPr>
          <m:e>
            <m:r>
              <m:rPr/>
              <w:rPr>
                <w:rFonts w:ascii="Times New Roman" w:hAnsi="Times New Roman"/>
                <w:szCs w:val="21"/>
                <w:lang w:val="en-US"/>
              </w:rPr>
              <m:t>MF</m:t>
            </m:r>
            <m:ctrlPr>
              <w:rPr>
                <w:rFonts w:ascii="Cambria Math" w:hAnsi="Cambria Math"/>
                <w:i/>
                <w:szCs w:val="21"/>
              </w:rPr>
            </m:ctrlPr>
          </m:e>
          <m:sub>
            <m:r>
              <m:rPr>
                <m:sty m:val="p"/>
              </m:rPr>
              <w:rPr>
                <w:rFonts w:hint="eastAsia" w:ascii="Times New Roman" w:hAnsi="Times New Roman"/>
                <w:szCs w:val="21"/>
                <w:lang w:val="en-US" w:eastAsia="zh-CN"/>
              </w:rPr>
              <m:t>有效组分</m:t>
            </m:r>
            <m:r>
              <m:rPr>
                <m:sty m:val="p"/>
              </m:rPr>
              <w:rPr>
                <w:rFonts w:ascii="Times New Roman" w:hAnsi="Times New Roman"/>
                <w:szCs w:val="21"/>
                <w:lang w:val="en-US"/>
              </w:rPr>
              <m:t>,</m:t>
            </m:r>
            <m:r>
              <m:rPr/>
              <w:rPr>
                <w:rFonts w:ascii="Times New Roman" w:hAnsi="Times New Roman"/>
                <w:szCs w:val="21"/>
                <w:lang w:val="en-US" w:eastAsia="zh-CN"/>
              </w:rPr>
              <m:t xml:space="preserve"> i</m:t>
            </m:r>
            <m:ctrlPr>
              <w:rPr>
                <w:rFonts w:ascii="Cambria Math" w:hAnsi="Cambria Math"/>
                <w:i/>
                <w:szCs w:val="21"/>
              </w:rPr>
            </m:ctrlPr>
          </m:sub>
        </m:sSub>
        <m:r>
          <m:rPr/>
          <w:rPr>
            <w:rFonts w:ascii="Times New Roman" w:hAnsi="Times New Roman"/>
            <w:szCs w:val="21"/>
          </w:rPr>
          <m:t>×</m:t>
        </m:r>
        <m:sSub>
          <m:sSubPr>
            <m:ctrlPr>
              <w:rPr>
                <w:rFonts w:ascii="Cambria Math" w:hAnsi="Cambria Math"/>
                <w:iCs/>
                <w:szCs w:val="21"/>
              </w:rPr>
            </m:ctrlPr>
          </m:sSubPr>
          <m:e>
            <m:r>
              <m:rPr>
                <m:sty m:val="p"/>
              </m:rPr>
              <w:rPr>
                <w:rFonts w:ascii="Times New Roman" w:hAnsi="Times New Roman"/>
                <w:szCs w:val="21"/>
                <w:lang w:val="en-US"/>
              </w:rPr>
              <m:t>EF</m:t>
            </m:r>
            <m:ctrlPr>
              <w:rPr>
                <w:rFonts w:ascii="Cambria Math" w:hAnsi="Cambria Math"/>
                <w:iCs/>
                <w:szCs w:val="21"/>
              </w:rPr>
            </m:ctrlPr>
          </m:e>
          <m:sub>
            <m:r>
              <m:rPr>
                <m:sty m:val="p"/>
              </m:rPr>
              <w:rPr>
                <w:rFonts w:hint="eastAsia" w:ascii="Times New Roman" w:hAnsi="Times New Roman"/>
                <w:szCs w:val="21"/>
                <w:lang w:val="en-US" w:eastAsia="zh-CN"/>
              </w:rPr>
              <m:t>沉淀剂</m:t>
            </m:r>
            <m:r>
              <m:rPr>
                <m:sty m:val="p"/>
              </m:rPr>
              <w:rPr>
                <w:rFonts w:ascii="Times New Roman" w:hAnsi="Times New Roman"/>
                <w:szCs w:val="21"/>
                <w:lang w:val="en-US" w:eastAsia="zh-CN"/>
              </w:rPr>
              <m:t xml:space="preserve">, </m:t>
            </m:r>
            <m:r>
              <m:rPr/>
              <w:rPr>
                <w:rFonts w:ascii="Times New Roman" w:hAnsi="Times New Roman"/>
                <w:szCs w:val="21"/>
                <w:lang w:val="en-US" w:eastAsia="zh-CN"/>
              </w:rPr>
              <m:t>i</m:t>
            </m:r>
            <m:ctrlPr>
              <w:rPr>
                <w:rFonts w:ascii="Cambria Math" w:hAnsi="Cambria Math"/>
                <w:iCs/>
                <w:szCs w:val="21"/>
                <w:lang w:val="en-US" w:eastAsia="zh-CN"/>
              </w:rPr>
            </m:ctrlPr>
          </m:sub>
        </m:sSub>
        <m:r>
          <m:rPr/>
          <w:rPr>
            <w:rFonts w:ascii="Times New Roman" w:hAnsi="Times New Roman"/>
            <w:szCs w:val="21"/>
          </w:rPr>
          <m:t>×</m:t>
        </m:r>
        <m:sSub>
          <m:sSubPr>
            <m:ctrlPr>
              <w:rPr>
                <w:rFonts w:ascii="Cambria Math" w:hAnsi="Cambria Math"/>
                <w:i/>
                <w:szCs w:val="21"/>
              </w:rPr>
            </m:ctrlPr>
          </m:sSubPr>
          <m:e>
            <m:r>
              <m:rPr/>
              <w:rPr>
                <w:rFonts w:ascii="Times New Roman" w:hAnsi="Times New Roman"/>
                <w:szCs w:val="21"/>
                <w:lang w:val="en-US"/>
              </w:rPr>
              <m:t>F</m:t>
            </m:r>
            <m:ctrlPr>
              <w:rPr>
                <w:rFonts w:ascii="Cambria Math" w:hAnsi="Cambria Math"/>
                <w:i/>
                <w:szCs w:val="21"/>
              </w:rPr>
            </m:ctrlPr>
          </m:e>
          <m:sub>
            <m:r>
              <m:rPr>
                <m:sty m:val="p"/>
              </m:rPr>
              <w:rPr>
                <w:rFonts w:hint="eastAsia" w:ascii="Times New Roman" w:hAnsi="Times New Roman"/>
                <w:szCs w:val="21"/>
                <w:lang w:val="en-US" w:eastAsia="zh-CN"/>
              </w:rPr>
              <m:t>转化</m:t>
            </m:r>
            <m:r>
              <m:rPr>
                <m:sty m:val="p"/>
              </m:rPr>
              <w:rPr>
                <w:rFonts w:ascii="Times New Roman" w:hAnsi="Times New Roman"/>
                <w:szCs w:val="21"/>
                <w:lang w:val="en-US"/>
              </w:rPr>
              <m:t>,</m:t>
            </m:r>
            <m:r>
              <m:rPr>
                <m:sty m:val="p"/>
              </m:rPr>
              <w:rPr>
                <w:rFonts w:ascii="Times New Roman" w:hAnsi="Times New Roman"/>
                <w:szCs w:val="21"/>
                <w:lang w:val="en-US" w:eastAsia="zh-CN"/>
              </w:rPr>
              <m:t xml:space="preserve"> </m:t>
            </m:r>
            <m:r>
              <m:rPr/>
              <w:rPr>
                <w:rFonts w:ascii="Times New Roman" w:hAnsi="Times New Roman"/>
                <w:szCs w:val="21"/>
                <w:lang w:val="en-US" w:eastAsia="zh-CN"/>
              </w:rPr>
              <m:t>i</m:t>
            </m:r>
            <m:ctrlPr>
              <w:rPr>
                <w:rFonts w:ascii="Cambria Math" w:hAnsi="Cambria Math"/>
                <w:i/>
                <w:szCs w:val="21"/>
              </w:rPr>
            </m:ctrlPr>
          </m:sub>
        </m:sSub>
        <m:r>
          <m:rPr/>
          <w:rPr>
            <w:rFonts w:ascii="Times New Roman" w:hAnsi="Times New Roman"/>
            <w:szCs w:val="21"/>
            <w:lang w:val="en-US"/>
          </w:rPr>
          <m:t>)</m:t>
        </m:r>
      </m:oMath>
      <w:r>
        <w:rPr>
          <w:rFonts w:hint="eastAsia" w:ascii="Times New Roman" w:hAnsi="Times New Roman" w:cs="Times New Roman"/>
          <w:lang w:val="en-US"/>
        </w:rPr>
        <w:t xml:space="preserve"> </w:t>
      </w:r>
      <w:r>
        <w:rPr>
          <w:rFonts w:ascii="Times New Roman" w:hAnsi="Times New Roman" w:cs="Times New Roman"/>
          <w:lang w:val="en-US"/>
        </w:rPr>
        <w:t xml:space="preserve"> </w:t>
      </w:r>
      <w:r>
        <w:rPr>
          <w:rFonts w:hint="eastAsia" w:ascii="Times New Roman" w:hAnsi="Times New Roman" w:cs="Times New Roman"/>
          <w:lang w:val="en-US"/>
        </w:rPr>
        <w:t>···（6）</w:t>
      </w:r>
    </w:p>
    <w:p w14:paraId="4AE968E6">
      <w:pPr>
        <w:pStyle w:val="151"/>
        <w:snapToGrid w:val="0"/>
        <w:spacing w:after="0" w:line="360" w:lineRule="auto"/>
        <w:jc w:val="both"/>
        <w:rPr>
          <w:rFonts w:ascii="Times New Roman" w:hAnsi="Times New Roman"/>
          <w:szCs w:val="21"/>
        </w:rPr>
      </w:pPr>
      <w:r>
        <w:rPr>
          <w:rFonts w:ascii="Times New Roman" w:hAnsi="Times New Roman"/>
          <w:szCs w:val="21"/>
        </w:rPr>
        <w:t>式中：</w:t>
      </w:r>
    </w:p>
    <w:p w14:paraId="1FDA9F0C">
      <w:pPr>
        <w:pStyle w:val="151"/>
        <w:adjustRightInd w:val="0"/>
        <w:snapToGrid w:val="0"/>
        <w:spacing w:after="0" w:line="360" w:lineRule="auto"/>
        <w:ind w:firstLine="420" w:firstLineChars="200"/>
        <w:jc w:val="both"/>
        <w:rPr>
          <w:rFonts w:ascii="Times New Roman" w:hAnsi="Times New Roman"/>
          <w:szCs w:val="21"/>
        </w:rPr>
      </w:pPr>
      <w:r>
        <w:rPr>
          <w:rFonts w:ascii="Times New Roman" w:hAnsi="Times New Roman"/>
          <w:i/>
          <w:iCs/>
          <w:szCs w:val="21"/>
          <w:lang w:val="en-US" w:eastAsia="zh-CN"/>
        </w:rPr>
        <w:t>i</w:t>
      </w:r>
      <w:r>
        <w:rPr>
          <w:rFonts w:ascii="Times New Roman" w:hAnsi="Times New Roman"/>
          <w:szCs w:val="21"/>
          <w:lang w:val="en-US" w:eastAsia="zh-CN"/>
        </w:rPr>
        <w:t xml:space="preserve">    </w:t>
      </w:r>
      <w:r>
        <w:rPr>
          <w:rFonts w:ascii="Times New Roman" w:hAnsi="Times New Roman"/>
          <w:szCs w:val="21"/>
          <w:lang w:val="en-US" w:eastAsia="zh-CN" w:bidi="en-US"/>
        </w:rPr>
        <w:t>——</w:t>
      </w:r>
      <w:r>
        <w:rPr>
          <w:rFonts w:hint="eastAsia" w:ascii="Times New Roman" w:hAnsi="Times New Roman"/>
          <w:szCs w:val="21"/>
          <w:lang w:val="en-US" w:eastAsia="zh-CN" w:bidi="en-US"/>
        </w:rPr>
        <w:t>沉淀剂类型代号；</w:t>
      </w:r>
    </w:p>
    <w:p w14:paraId="59D1EC99">
      <w:pPr>
        <w:pStyle w:val="151"/>
        <w:tabs>
          <w:tab w:val="left" w:pos="1134"/>
        </w:tabs>
        <w:adjustRightInd w:val="0"/>
        <w:snapToGrid w:val="0"/>
        <w:spacing w:after="0" w:line="360" w:lineRule="auto"/>
        <w:ind w:firstLine="420" w:firstLineChars="200"/>
        <w:jc w:val="both"/>
        <w:rPr>
          <w:rFonts w:ascii="Times New Roman" w:hAnsi="Times New Roman"/>
          <w:szCs w:val="21"/>
        </w:rPr>
      </w:pPr>
      <m:oMath>
        <m:sSub>
          <m:sSubPr>
            <m:ctrlPr>
              <w:rPr>
                <w:rFonts w:ascii="Cambria Math" w:hAnsi="Cambria Math"/>
                <w:i/>
                <w:szCs w:val="21"/>
                <w:lang w:val="en-US" w:eastAsia="zh-CN"/>
              </w:rPr>
            </m:ctrlPr>
          </m:sSubPr>
          <m:e>
            <m:r>
              <m:rPr/>
              <w:rPr>
                <w:rFonts w:ascii="Times New Roman" w:hAnsi="Times New Roman"/>
                <w:szCs w:val="21"/>
                <w:lang w:val="en-US"/>
              </w:rPr>
              <m:t>M</m:t>
            </m:r>
            <m:ctrlPr>
              <w:rPr>
                <w:rFonts w:ascii="Cambria Math" w:hAnsi="Cambria Math"/>
                <w:i/>
                <w:szCs w:val="21"/>
                <w:lang w:val="en-US" w:eastAsia="zh-CN"/>
              </w:rPr>
            </m:ctrlPr>
          </m:e>
          <m:sub>
            <m:r>
              <m:rPr>
                <m:sty m:val="p"/>
              </m:rPr>
              <w:rPr>
                <w:rFonts w:hint="eastAsia" w:ascii="Times New Roman" w:hAnsi="Times New Roman"/>
                <w:szCs w:val="21"/>
                <w:lang w:val="en-US" w:eastAsia="zh-CN"/>
              </w:rPr>
              <m:t>沉淀剂</m:t>
            </m:r>
            <m:r>
              <m:rPr>
                <m:sty m:val="p"/>
              </m:rPr>
              <w:rPr>
                <w:rFonts w:ascii="Times New Roman" w:hAnsi="Times New Roman"/>
                <w:szCs w:val="21"/>
                <w:lang w:val="en-US" w:eastAsia="zh-CN"/>
              </w:rPr>
              <m:t xml:space="preserve">, </m:t>
            </m:r>
            <m:r>
              <m:rPr/>
              <w:rPr>
                <w:rFonts w:ascii="Times New Roman" w:hAnsi="Times New Roman"/>
                <w:szCs w:val="21"/>
                <w:lang w:val="en-US" w:eastAsia="zh-CN"/>
              </w:rPr>
              <m:t>i</m:t>
            </m:r>
            <m:ctrlPr>
              <w:rPr>
                <w:rFonts w:ascii="Cambria Math" w:hAnsi="Cambria Math"/>
                <w:i/>
                <w:szCs w:val="21"/>
                <w:lang w:val="en-US" w:eastAsia="zh-CN"/>
              </w:rPr>
            </m:ctrlPr>
          </m:sub>
        </m:sSub>
      </m:oMath>
      <w:r>
        <w:rPr>
          <w:rFonts w:ascii="Times New Roman" w:hAnsi="Times New Roman"/>
          <w:szCs w:val="21"/>
          <w:lang w:val="en-US" w:eastAsia="zh-CN"/>
        </w:rPr>
        <w:t xml:space="preserve">  </w:t>
      </w:r>
      <w:r>
        <w:rPr>
          <w:rFonts w:ascii="Times New Roman" w:hAnsi="Times New Roman"/>
          <w:szCs w:val="21"/>
        </w:rPr>
        <w:t>——</w:t>
      </w:r>
      <w:r>
        <w:rPr>
          <w:rFonts w:hint="eastAsia" w:ascii="Times New Roman" w:hAnsi="Times New Roman"/>
          <w:szCs w:val="21"/>
        </w:rPr>
        <w:t>核算和报告年度内第</w:t>
      </w:r>
      <w:r>
        <w:rPr>
          <w:rFonts w:ascii="Times New Roman" w:hAnsi="Times New Roman"/>
          <w:szCs w:val="21"/>
          <w:lang w:val="en-US" w:eastAsia="zh-CN"/>
        </w:rPr>
        <w:t>i</w:t>
      </w:r>
      <w:r>
        <w:rPr>
          <w:rFonts w:hint="eastAsia" w:ascii="Times New Roman" w:hAnsi="Times New Roman"/>
          <w:szCs w:val="21"/>
        </w:rPr>
        <w:t>种沉淀剂</w:t>
      </w:r>
      <w:r>
        <w:rPr>
          <w:rFonts w:hint="eastAsia" w:ascii="Times New Roman" w:hAnsi="Times New Roman"/>
          <w:szCs w:val="21"/>
          <w:lang w:val="en-US" w:eastAsia="zh-CN"/>
        </w:rPr>
        <w:t>的消耗量，单位为</w:t>
      </w:r>
      <w:r>
        <w:rPr>
          <w:rFonts w:ascii="Times New Roman" w:hAnsi="Times New Roman"/>
          <w:szCs w:val="21"/>
        </w:rPr>
        <w:t>吨</w:t>
      </w:r>
      <w:r>
        <w:rPr>
          <w:rFonts w:ascii="Times New Roman" w:hAnsi="Times New Roman" w:cs="Times New Roman"/>
          <w:szCs w:val="21"/>
          <w:lang w:val="en-US" w:eastAsia="zh-CN" w:bidi="en-US"/>
        </w:rPr>
        <w:t>(t)</w:t>
      </w:r>
      <w:r>
        <w:rPr>
          <w:rFonts w:ascii="Times New Roman" w:hAnsi="Times New Roman"/>
          <w:szCs w:val="21"/>
          <w:lang w:val="en-US" w:eastAsia="zh-CN" w:bidi="en-US"/>
        </w:rPr>
        <w:t>；</w:t>
      </w:r>
    </w:p>
    <w:p w14:paraId="3D288EFF">
      <w:pPr>
        <w:pStyle w:val="151"/>
        <w:tabs>
          <w:tab w:val="left" w:pos="1134"/>
        </w:tabs>
        <w:adjustRightInd w:val="0"/>
        <w:snapToGrid w:val="0"/>
        <w:spacing w:after="0" w:line="360" w:lineRule="auto"/>
        <w:ind w:firstLine="420" w:firstLineChars="200"/>
        <w:jc w:val="both"/>
        <w:rPr>
          <w:rFonts w:ascii="Times New Roman" w:hAnsi="Times New Roman" w:eastAsia="PMingLiU"/>
          <w:szCs w:val="21"/>
        </w:rPr>
      </w:pPr>
      <m:oMath>
        <m:sSub>
          <m:sSubPr>
            <m:ctrlPr>
              <w:rPr>
                <w:rFonts w:ascii="Cambria Math" w:hAnsi="Cambria Math"/>
                <w:i/>
                <w:szCs w:val="21"/>
              </w:rPr>
            </m:ctrlPr>
          </m:sSubPr>
          <m:e>
            <m:r>
              <m:rPr/>
              <w:rPr>
                <w:rFonts w:ascii="Times New Roman" w:hAnsi="Times New Roman"/>
                <w:szCs w:val="21"/>
                <w:lang w:val="en-US"/>
              </w:rPr>
              <m:t>MF</m:t>
            </m:r>
            <m:ctrlPr>
              <w:rPr>
                <w:rFonts w:ascii="Cambria Math" w:hAnsi="Cambria Math"/>
                <w:i/>
                <w:szCs w:val="21"/>
              </w:rPr>
            </m:ctrlPr>
          </m:e>
          <m:sub>
            <m:r>
              <m:rPr>
                <m:sty m:val="p"/>
              </m:rPr>
              <w:rPr>
                <w:rFonts w:hint="eastAsia" w:ascii="Times New Roman" w:hAnsi="Times New Roman"/>
                <w:szCs w:val="21"/>
                <w:lang w:val="en-US" w:eastAsia="zh-CN"/>
              </w:rPr>
              <m:t>有效组分</m:t>
            </m:r>
            <m:r>
              <m:rPr>
                <m:sty m:val="p"/>
              </m:rPr>
              <w:rPr>
                <w:rFonts w:ascii="Times New Roman" w:hAnsi="Times New Roman"/>
                <w:szCs w:val="21"/>
                <w:lang w:val="en-US"/>
              </w:rPr>
              <m:t>,</m:t>
            </m:r>
            <m:r>
              <m:rPr>
                <m:sty m:val="p"/>
              </m:rPr>
              <w:rPr>
                <w:rFonts w:ascii="Times New Roman" w:hAnsi="Times New Roman"/>
                <w:szCs w:val="21"/>
                <w:lang w:val="en-US" w:eastAsia="zh-CN"/>
              </w:rPr>
              <m:t xml:space="preserve"> </m:t>
            </m:r>
            <m:r>
              <m:rPr/>
              <w:rPr>
                <w:rFonts w:ascii="Times New Roman" w:hAnsi="Times New Roman"/>
                <w:szCs w:val="21"/>
                <w:lang w:val="en-US" w:eastAsia="zh-CN"/>
              </w:rPr>
              <m:t>i</m:t>
            </m:r>
            <m:ctrlPr>
              <w:rPr>
                <w:rFonts w:ascii="Cambria Math" w:hAnsi="Cambria Math"/>
                <w:i/>
                <w:szCs w:val="21"/>
              </w:rPr>
            </m:ctrlPr>
          </m:sub>
        </m:sSub>
      </m:oMath>
      <w:r>
        <w:rPr>
          <w:rFonts w:ascii="Times New Roman" w:hAnsi="Times New Roman"/>
          <w:szCs w:val="21"/>
          <w:lang w:val="en-US" w:eastAsia="zh-CN" w:bidi="en-US"/>
        </w:rPr>
        <w:t>——</w:t>
      </w:r>
      <w:r>
        <w:rPr>
          <w:rFonts w:hint="eastAsia" w:ascii="Times New Roman" w:hAnsi="Times New Roman"/>
          <w:szCs w:val="21"/>
        </w:rPr>
        <w:t>第</w:t>
      </w:r>
      <w:r>
        <w:rPr>
          <w:rFonts w:ascii="Times New Roman" w:hAnsi="Times New Roman"/>
          <w:szCs w:val="21"/>
          <w:lang w:val="en-US" w:eastAsia="zh-CN"/>
        </w:rPr>
        <w:t>i</w:t>
      </w:r>
      <w:r>
        <w:rPr>
          <w:rFonts w:hint="eastAsia" w:ascii="Times New Roman" w:hAnsi="Times New Roman"/>
          <w:szCs w:val="21"/>
        </w:rPr>
        <w:t>种沉淀剂有效组分的质量分数，单位为百分率</w:t>
      </w:r>
      <w:r>
        <w:rPr>
          <w:rFonts w:ascii="Times New Roman" w:hAnsi="Times New Roman"/>
          <w:szCs w:val="21"/>
        </w:rPr>
        <w:t>(%)；</w:t>
      </w:r>
    </w:p>
    <w:p w14:paraId="1676F4A5">
      <w:pPr>
        <w:pStyle w:val="151"/>
        <w:adjustRightInd w:val="0"/>
        <w:snapToGrid w:val="0"/>
        <w:spacing w:after="0" w:line="360" w:lineRule="auto"/>
        <w:ind w:firstLine="420" w:firstLineChars="200"/>
        <w:rPr>
          <w:rFonts w:ascii="Times New Roman" w:hAnsi="Times New Roman"/>
          <w:szCs w:val="21"/>
          <w:lang w:val="en-US" w:eastAsia="zh-CN"/>
        </w:rPr>
      </w:pPr>
      <m:oMath>
        <m:sSub>
          <m:sSubPr>
            <m:ctrlPr>
              <w:rPr>
                <w:rFonts w:ascii="Cambria Math" w:hAnsi="Cambria Math"/>
                <w:i/>
                <w:szCs w:val="21"/>
              </w:rPr>
            </m:ctrlPr>
          </m:sSubPr>
          <m:e>
            <m:r>
              <m:rPr/>
              <w:rPr>
                <w:rFonts w:ascii="Times New Roman" w:hAnsi="Times New Roman"/>
                <w:szCs w:val="21"/>
                <w:lang w:val="en-US"/>
              </w:rPr>
              <m:t>EF</m:t>
            </m:r>
            <m:ctrlPr>
              <w:rPr>
                <w:rFonts w:ascii="Cambria Math" w:hAnsi="Cambria Math"/>
                <w:i/>
                <w:szCs w:val="21"/>
              </w:rPr>
            </m:ctrlPr>
          </m:e>
          <m:sub>
            <m:r>
              <m:rPr>
                <m:sty m:val="p"/>
              </m:rPr>
              <w:rPr>
                <w:rFonts w:hint="eastAsia" w:ascii="Times New Roman" w:hAnsi="Times New Roman"/>
                <w:szCs w:val="21"/>
                <w:lang w:val="en-US" w:eastAsia="zh-CN"/>
              </w:rPr>
              <m:t>沉淀剂</m:t>
            </m:r>
            <m:r>
              <m:rPr>
                <m:sty m:val="p"/>
              </m:rPr>
              <w:rPr>
                <w:rFonts w:ascii="Times New Roman" w:hAnsi="Times New Roman"/>
                <w:szCs w:val="21"/>
                <w:lang w:val="en-US" w:eastAsia="zh-CN"/>
              </w:rPr>
              <m:t>,</m:t>
            </m:r>
            <m:r>
              <m:rPr/>
              <w:rPr>
                <w:rFonts w:ascii="Times New Roman" w:hAnsi="Times New Roman"/>
                <w:szCs w:val="21"/>
                <w:lang w:val="en-US" w:eastAsia="zh-CN"/>
              </w:rPr>
              <m:t xml:space="preserve"> i</m:t>
            </m:r>
            <m:ctrlPr>
              <w:rPr>
                <w:rFonts w:ascii="Cambria Math" w:hAnsi="Cambria Math"/>
                <w:i/>
                <w:szCs w:val="21"/>
                <w:lang w:val="en-US" w:eastAsia="zh-CN"/>
              </w:rPr>
            </m:ctrlPr>
          </m:sub>
        </m:sSub>
      </m:oMath>
      <w:r>
        <w:rPr>
          <w:rFonts w:ascii="Times New Roman" w:hAnsi="Times New Roman"/>
          <w:szCs w:val="21"/>
          <w:lang w:val="en-US" w:eastAsia="zh-CN" w:bidi="en-US"/>
        </w:rPr>
        <w:t xml:space="preserve">  </w:t>
      </w:r>
      <w:r>
        <w:rPr>
          <w:rFonts w:ascii="Times New Roman" w:hAnsi="Times New Roman"/>
          <w:szCs w:val="21"/>
        </w:rPr>
        <w:t>——</w:t>
      </w:r>
      <w:r>
        <w:rPr>
          <w:rFonts w:hint="eastAsia" w:ascii="Times New Roman" w:hAnsi="Times New Roman"/>
          <w:szCs w:val="21"/>
          <w:lang w:val="en-US" w:eastAsia="zh-CN"/>
        </w:rPr>
        <w:t>第</w:t>
      </w:r>
      <w:r>
        <w:rPr>
          <w:rFonts w:ascii="Times New Roman" w:hAnsi="Times New Roman"/>
          <w:szCs w:val="21"/>
          <w:lang w:val="en-US" w:eastAsia="zh-CN"/>
        </w:rPr>
        <w:t>i种沉淀剂二氧化碳排放因子，单位为吨二氧化碳当量每吨(tCO</w:t>
      </w:r>
      <w:r>
        <w:rPr>
          <w:rFonts w:ascii="Times New Roman" w:hAnsi="Times New Roman"/>
          <w:szCs w:val="21"/>
          <w:vertAlign w:val="subscript"/>
          <w:lang w:val="en-US" w:eastAsia="zh-CN"/>
        </w:rPr>
        <w:t>2</w:t>
      </w:r>
      <w:r>
        <w:rPr>
          <w:rFonts w:ascii="Times New Roman" w:hAnsi="Times New Roman"/>
          <w:szCs w:val="21"/>
          <w:lang w:val="en-US" w:eastAsia="zh-CN"/>
        </w:rPr>
        <w:t>e/t)；</w:t>
      </w:r>
    </w:p>
    <w:p w14:paraId="5753D2EE">
      <w:pPr>
        <w:pStyle w:val="151"/>
        <w:adjustRightInd w:val="0"/>
        <w:snapToGrid w:val="0"/>
        <w:spacing w:after="0" w:line="360" w:lineRule="auto"/>
        <w:ind w:firstLine="420" w:firstLineChars="200"/>
        <w:rPr>
          <w:rFonts w:ascii="Times New Roman" w:hAnsi="Times New Roman" w:eastAsia="PMingLiU"/>
          <w:szCs w:val="21"/>
          <w:lang w:val="en-US"/>
        </w:rPr>
      </w:pPr>
      <m:oMath>
        <m:sSub>
          <m:sSubPr>
            <m:ctrlPr>
              <w:rPr>
                <w:rFonts w:ascii="Cambria Math" w:hAnsi="Cambria Math"/>
                <w:i/>
                <w:szCs w:val="21"/>
              </w:rPr>
            </m:ctrlPr>
          </m:sSubPr>
          <m:e>
            <m:r>
              <m:rPr/>
              <w:rPr>
                <w:rFonts w:ascii="Times New Roman" w:hAnsi="Times New Roman"/>
                <w:szCs w:val="21"/>
                <w:lang w:val="en-US"/>
              </w:rPr>
              <m:t>F</m:t>
            </m:r>
            <m:ctrlPr>
              <w:rPr>
                <w:rFonts w:ascii="Cambria Math" w:hAnsi="Cambria Math"/>
                <w:i/>
                <w:szCs w:val="21"/>
              </w:rPr>
            </m:ctrlPr>
          </m:e>
          <m:sub>
            <m:r>
              <m:rPr>
                <m:sty m:val="p"/>
              </m:rPr>
              <w:rPr>
                <w:rFonts w:hint="eastAsia" w:ascii="Times New Roman" w:hAnsi="Times New Roman"/>
                <w:szCs w:val="21"/>
                <w:lang w:val="en-US" w:eastAsia="zh-CN"/>
              </w:rPr>
              <m:t>转化</m:t>
            </m:r>
            <m:r>
              <m:rPr>
                <m:sty m:val="p"/>
              </m:rPr>
              <w:rPr>
                <w:rFonts w:ascii="Times New Roman" w:hAnsi="Times New Roman"/>
                <w:szCs w:val="21"/>
                <w:lang w:val="en-US"/>
              </w:rPr>
              <m:t>,</m:t>
            </m:r>
            <m:r>
              <m:rPr>
                <m:sty m:val="p"/>
              </m:rPr>
              <w:rPr>
                <w:rFonts w:ascii="Times New Roman" w:hAnsi="Times New Roman"/>
                <w:szCs w:val="21"/>
                <w:lang w:val="en-US" w:eastAsia="zh-CN"/>
              </w:rPr>
              <m:t xml:space="preserve"> </m:t>
            </m:r>
            <m:r>
              <m:rPr/>
              <w:rPr>
                <w:rFonts w:ascii="Times New Roman" w:hAnsi="Times New Roman"/>
                <w:szCs w:val="21"/>
                <w:lang w:val="en-US" w:eastAsia="zh-CN"/>
              </w:rPr>
              <m:t>i</m:t>
            </m:r>
            <m:ctrlPr>
              <w:rPr>
                <w:rFonts w:ascii="Cambria Math" w:hAnsi="Cambria Math"/>
                <w:i/>
                <w:szCs w:val="21"/>
              </w:rPr>
            </m:ctrlPr>
          </m:sub>
        </m:sSub>
      </m:oMath>
      <w:r>
        <w:rPr>
          <w:rFonts w:ascii="Times New Roman" w:hAnsi="Times New Roman"/>
          <w:szCs w:val="21"/>
          <w:lang w:val="en-US" w:eastAsia="zh-CN" w:bidi="en-US"/>
        </w:rPr>
        <w:t xml:space="preserve">   </w:t>
      </w:r>
      <w:r>
        <w:rPr>
          <w:rFonts w:ascii="Times New Roman" w:hAnsi="Times New Roman"/>
          <w:szCs w:val="21"/>
        </w:rPr>
        <w:t>——</w:t>
      </w:r>
      <w:r>
        <w:rPr>
          <w:rFonts w:hint="eastAsia" w:ascii="Times New Roman" w:hAnsi="Times New Roman"/>
          <w:szCs w:val="21"/>
          <w:lang w:val="en-US" w:eastAsia="zh-CN"/>
        </w:rPr>
        <w:t>第</w:t>
      </w:r>
      <w:r>
        <w:rPr>
          <w:rFonts w:ascii="Times New Roman" w:hAnsi="Times New Roman"/>
          <w:szCs w:val="21"/>
          <w:lang w:val="en-US" w:eastAsia="zh-CN"/>
        </w:rPr>
        <w:t>i种沉淀剂反应转化比例，单位为百分率(%)。</w:t>
      </w:r>
    </w:p>
    <w:p w14:paraId="5056019E">
      <w:pPr>
        <w:spacing w:line="360" w:lineRule="auto"/>
        <w:rPr>
          <w:rFonts w:cs="宋体"/>
          <w:sz w:val="18"/>
          <w:szCs w:val="18"/>
        </w:rPr>
      </w:pPr>
      <w:r>
        <w:rPr>
          <w:rFonts w:hint="eastAsia" w:cs="宋体"/>
          <w:sz w:val="18"/>
          <w:szCs w:val="18"/>
        </w:rPr>
        <w:t>注：外购前驱体无厂内沉淀工序的企业，</w:t>
      </w:r>
      <m:oMath>
        <m:sSub>
          <m:sSubPr>
            <m:ctrlPr>
              <w:rPr>
                <w:rFonts w:ascii="Cambria Math" w:hAnsi="Cambria Math"/>
                <w:i/>
                <w:szCs w:val="21"/>
              </w:rPr>
            </m:ctrlPr>
          </m:sSubPr>
          <m:e>
            <m:r>
              <m:rPr/>
              <w:rPr>
                <w:szCs w:val="21"/>
              </w:rPr>
              <m:t>E</m:t>
            </m:r>
            <m:ctrlPr>
              <w:rPr>
                <w:rFonts w:ascii="Cambria Math" w:hAnsi="Cambria Math"/>
                <w:i/>
                <w:szCs w:val="21"/>
              </w:rPr>
            </m:ctrlPr>
          </m:e>
          <m:sub>
            <m:r>
              <m:rPr>
                <m:sty m:val="p"/>
              </m:rPr>
              <w:rPr>
                <w:rFonts w:hint="eastAsia"/>
                <w:szCs w:val="21"/>
              </w:rPr>
              <m:t>沉淀工序</m:t>
            </m:r>
            <m:ctrlPr>
              <w:rPr>
                <w:rFonts w:ascii="Cambria Math" w:hAnsi="Cambria Math"/>
                <w:i/>
                <w:szCs w:val="21"/>
              </w:rPr>
            </m:ctrlPr>
          </m:sub>
        </m:sSub>
      </m:oMath>
      <w:r>
        <w:rPr>
          <w:rFonts w:hint="eastAsia" w:cs="宋体"/>
          <w:sz w:val="18"/>
          <w:szCs w:val="18"/>
        </w:rPr>
        <w:t>取</w:t>
      </w:r>
      <w:r>
        <w:rPr>
          <w:rFonts w:cs="宋体"/>
          <w:sz w:val="18"/>
          <w:szCs w:val="18"/>
        </w:rPr>
        <w:t>0；使用不含碳沉淀剂时，</w:t>
      </w:r>
      <m:oMath>
        <m:sSub>
          <m:sSubPr>
            <m:ctrlPr>
              <w:rPr>
                <w:rFonts w:ascii="Cambria Math" w:hAnsi="Cambria Math"/>
                <w:i/>
                <w:szCs w:val="21"/>
              </w:rPr>
            </m:ctrlPr>
          </m:sSubPr>
          <m:e>
            <m:r>
              <m:rPr/>
              <w:rPr>
                <w:szCs w:val="21"/>
              </w:rPr>
              <m:t>E</m:t>
            </m:r>
            <m:ctrlPr>
              <w:rPr>
                <w:rFonts w:ascii="Cambria Math" w:hAnsi="Cambria Math"/>
                <w:i/>
                <w:szCs w:val="21"/>
              </w:rPr>
            </m:ctrlPr>
          </m:e>
          <m:sub>
            <m:r>
              <m:rPr>
                <m:sty m:val="p"/>
              </m:rPr>
              <w:rPr>
                <w:rFonts w:hint="eastAsia"/>
                <w:szCs w:val="21"/>
              </w:rPr>
              <m:t>沉淀工序</m:t>
            </m:r>
            <m:ctrlPr>
              <w:rPr>
                <w:rFonts w:ascii="Cambria Math" w:hAnsi="Cambria Math"/>
                <w:i/>
                <w:szCs w:val="21"/>
              </w:rPr>
            </m:ctrlPr>
          </m:sub>
        </m:sSub>
      </m:oMath>
      <w:r>
        <w:rPr>
          <w:rFonts w:hint="eastAsia" w:cs="宋体"/>
          <w:sz w:val="18"/>
          <w:szCs w:val="18"/>
        </w:rPr>
        <w:t>取</w:t>
      </w:r>
      <w:r>
        <w:rPr>
          <w:rFonts w:cs="宋体"/>
          <w:sz w:val="18"/>
          <w:szCs w:val="18"/>
        </w:rPr>
        <w:t>0。</w:t>
      </w:r>
    </w:p>
    <w:p w14:paraId="474E3681">
      <w:pPr>
        <w:spacing w:line="360" w:lineRule="auto"/>
        <w:rPr>
          <w:rFonts w:hAnsi="黑体" w:eastAsia="黑体"/>
        </w:rPr>
      </w:pPr>
      <w:r>
        <w:rPr>
          <w:rFonts w:hAnsi="黑体" w:eastAsia="黑体"/>
        </w:rPr>
        <w:t>6</w:t>
      </w:r>
      <w:r>
        <w:rPr>
          <w:rFonts w:hint="eastAsia" w:hAnsi="黑体" w:eastAsia="黑体"/>
        </w:rPr>
        <w:t>.2.3.2.2 活动数据获取</w:t>
      </w:r>
    </w:p>
    <w:p w14:paraId="6DF27744">
      <w:pPr>
        <w:widowControl/>
        <w:spacing w:line="360" w:lineRule="auto"/>
        <w:ind w:firstLine="420"/>
        <w:jc w:val="left"/>
        <w:rPr>
          <w:rFonts w:hAnsi="黑体" w:eastAsia="黑体"/>
        </w:rPr>
      </w:pPr>
      <w:r>
        <w:rPr>
          <w:rFonts w:hint="eastAsia"/>
          <w:color w:val="000000" w:themeColor="text1"/>
          <w14:textFill>
            <w14:solidFill>
              <w14:schemeClr w14:val="tx1"/>
            </w14:solidFill>
          </w14:textFill>
        </w:rPr>
        <w:t>a</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沉淀剂消耗量采用生产企业实际消耗量。</w:t>
      </w:r>
    </w:p>
    <w:p w14:paraId="3776D5AD">
      <w:pPr>
        <w:tabs>
          <w:tab w:val="left" w:pos="512"/>
          <w:tab w:val="left" w:pos="513"/>
          <w:tab w:val="right" w:pos="10208"/>
        </w:tabs>
        <w:spacing w:line="360" w:lineRule="auto"/>
        <w:ind w:firstLine="420" w:firstLineChars="200"/>
        <w:rPr>
          <w:szCs w:val="21"/>
        </w:rPr>
      </w:pPr>
      <w:r>
        <w:rPr>
          <w:color w:val="000000" w:themeColor="text1"/>
          <w14:textFill>
            <w14:solidFill>
              <w14:schemeClr w14:val="tx1"/>
            </w14:solidFill>
          </w14:textFill>
        </w:rPr>
        <w:t>b)</w:t>
      </w:r>
      <w:r>
        <w:rPr>
          <w:rFonts w:hint="eastAsia"/>
          <w:color w:val="000000" w:themeColor="text1"/>
          <w14:textFill>
            <w14:solidFill>
              <w14:schemeClr w14:val="tx1"/>
            </w14:solidFill>
          </w14:textFill>
        </w:rPr>
        <w:t xml:space="preserve"> </w:t>
      </w:r>
      <w:r>
        <w:rPr>
          <w:rFonts w:hint="eastAsia"/>
          <w:szCs w:val="21"/>
        </w:rPr>
        <w:t>沉淀剂有效组分质量分数及含碳特性优先采用供应商提供的产品检测报告数据；无供应商有效数据的，应委托专业机构实测确定。</w:t>
      </w:r>
    </w:p>
    <w:p w14:paraId="598F422F">
      <w:pPr>
        <w:tabs>
          <w:tab w:val="left" w:pos="512"/>
          <w:tab w:val="left" w:pos="513"/>
          <w:tab w:val="right" w:pos="10208"/>
        </w:tabs>
        <w:spacing w:line="360" w:lineRule="auto"/>
        <w:ind w:firstLine="420" w:firstLineChars="200"/>
        <w:rPr>
          <w:szCs w:val="21"/>
        </w:rPr>
      </w:pPr>
      <w:r>
        <w:rPr>
          <w:szCs w:val="21"/>
        </w:rPr>
        <w:t>c)</w:t>
      </w:r>
      <w:r>
        <w:rPr>
          <w:rFonts w:hint="eastAsia"/>
          <w:szCs w:val="21"/>
        </w:rPr>
        <w:t xml:space="preserve"> 沉淀反应转化比例优先采用企业生产实测数据或物料衡算结果。</w:t>
      </w:r>
    </w:p>
    <w:p w14:paraId="39C36BDB">
      <w:pPr>
        <w:spacing w:line="360" w:lineRule="auto"/>
        <w:rPr>
          <w:szCs w:val="21"/>
        </w:rPr>
      </w:pPr>
      <w:r>
        <w:rPr>
          <w:rFonts w:hAnsi="黑体" w:eastAsia="黑体"/>
        </w:rPr>
        <w:t>6.2</w:t>
      </w:r>
      <w:r>
        <w:rPr>
          <w:rFonts w:hint="eastAsia" w:hAnsi="黑体" w:eastAsia="黑体"/>
        </w:rPr>
        <w:t>.3</w:t>
      </w:r>
      <w:r>
        <w:rPr>
          <w:rFonts w:hAnsi="黑体" w:eastAsia="黑体"/>
        </w:rPr>
        <w:t>.</w:t>
      </w:r>
      <w:r>
        <w:rPr>
          <w:rFonts w:hint="eastAsia" w:hAnsi="黑体" w:eastAsia="黑体"/>
        </w:rPr>
        <w:t>2</w:t>
      </w:r>
      <w:r>
        <w:rPr>
          <w:rFonts w:hAnsi="黑体" w:eastAsia="黑体"/>
        </w:rPr>
        <w:t>.3排放因子数据获取</w:t>
      </w:r>
    </w:p>
    <w:p w14:paraId="5E721E96">
      <w:pPr>
        <w:pStyle w:val="151"/>
        <w:adjustRightInd w:val="0"/>
        <w:snapToGrid w:val="0"/>
        <w:spacing w:after="0" w:line="360" w:lineRule="auto"/>
        <w:ind w:firstLine="420" w:firstLineChars="200"/>
        <w:rPr>
          <w:rFonts w:ascii="Times New Roman" w:hAnsi="Times New Roman"/>
          <w:b/>
          <w:bCs/>
          <w:szCs w:val="21"/>
          <w:highlight w:val="yellow"/>
          <w:lang w:val="en-US" w:eastAsia="zh-CN"/>
        </w:rPr>
      </w:pPr>
      <w:r>
        <w:rPr>
          <w:rFonts w:hint="eastAsia" w:ascii="Times New Roman" w:hAnsi="Times New Roman"/>
          <w:szCs w:val="21"/>
          <w:lang w:val="en-US" w:eastAsia="zh-CN"/>
        </w:rPr>
        <w:t>沉淀剂二氧化碳排放因子等于该沉淀剂组分二氧化碳质量分数与沉淀反应分解比例的乘积。二氧化碳质量分数由沉淀剂化学分子式计算获得；物料带有结晶水时，应结合结晶水含量对二氧化碳质量分数进行换算。</w:t>
      </w:r>
    </w:p>
    <w:p w14:paraId="6E4372BF">
      <w:pPr>
        <w:spacing w:line="360" w:lineRule="auto"/>
        <w:rPr>
          <w:rFonts w:hAnsi="黑体" w:eastAsia="黑体"/>
        </w:rPr>
      </w:pPr>
      <w:r>
        <w:rPr>
          <w:rFonts w:hAnsi="黑体" w:eastAsia="黑体"/>
        </w:rPr>
        <w:t>6.2.3.</w:t>
      </w:r>
      <w:r>
        <w:rPr>
          <w:rFonts w:hint="eastAsia" w:hAnsi="黑体" w:eastAsia="黑体"/>
        </w:rPr>
        <w:t>3 含碳稀土前驱体分解</w:t>
      </w:r>
    </w:p>
    <w:p w14:paraId="36D0405D">
      <w:pPr>
        <w:spacing w:line="360" w:lineRule="auto"/>
        <w:rPr>
          <w:rFonts w:hAnsi="黑体" w:eastAsia="黑体"/>
        </w:rPr>
      </w:pPr>
      <w:r>
        <w:rPr>
          <w:rFonts w:hAnsi="黑体" w:eastAsia="黑体"/>
        </w:rPr>
        <w:t>6.2.3.</w:t>
      </w:r>
      <w:r>
        <w:rPr>
          <w:rFonts w:hint="eastAsia" w:hAnsi="黑体" w:eastAsia="黑体"/>
        </w:rPr>
        <w:t>3.1 计算公式</w:t>
      </w:r>
    </w:p>
    <w:p w14:paraId="1B2FB002">
      <w:pPr>
        <w:widowControl/>
        <w:spacing w:line="360" w:lineRule="auto"/>
        <w:ind w:firstLine="420"/>
        <w:jc w:val="left"/>
        <w:rPr>
          <w:szCs w:val="21"/>
          <w:lang w:bidi="en-US"/>
        </w:rPr>
      </w:pPr>
      <w:r>
        <w:rPr>
          <w:rFonts w:hint="eastAsia"/>
        </w:rPr>
        <w:t>含碳稀土前驱体分解产生的温室气体排放量按式（7）计算:</w:t>
      </w:r>
    </w:p>
    <w:p w14:paraId="565823F0">
      <w:pPr>
        <w:pStyle w:val="151"/>
        <w:snapToGrid w:val="0"/>
        <w:spacing w:after="0" w:line="360" w:lineRule="auto"/>
        <w:ind w:firstLine="420"/>
        <w:jc w:val="right"/>
        <w:rPr>
          <w:rFonts w:ascii="Times New Roman" w:hAnsi="Times New Roman" w:eastAsia="PMingLiU"/>
          <w:szCs w:val="21"/>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lang w:val="en-US" w:eastAsia="zh-CN"/>
              </w:rPr>
              <m:t>前驱体</m:t>
            </m:r>
            <m:r>
              <m:rPr>
                <m:sty m:val="p"/>
              </m:rPr>
              <w:rPr>
                <w:rFonts w:hint="eastAsia" w:ascii="Times New Roman" w:hAnsi="Times New Roman"/>
                <w:szCs w:val="21"/>
                <w:lang w:val="en-US"/>
              </w:rPr>
              <m:t>分解</m:t>
            </m:r>
            <m:ctrlPr>
              <w:rPr>
                <w:rFonts w:ascii="Cambria Math" w:hAnsi="Cambria Math"/>
                <w:i/>
                <w:szCs w:val="21"/>
              </w:rPr>
            </m:ctrlPr>
          </m:sub>
        </m:sSub>
        <m:r>
          <m:rPr/>
          <w:rPr>
            <w:rFonts w:ascii="Times New Roman" w:hAnsi="Times New Roman" w:eastAsia="PMingLiU"/>
            <w:szCs w:val="21"/>
          </w:rPr>
          <m:t>=</m:t>
        </m:r>
        <m:nary>
          <m:naryPr>
            <m:chr m:val="∑"/>
            <m:limLoc m:val="subSup"/>
            <m:ctrlPr>
              <w:rPr>
                <w:rFonts w:ascii="Cambria Math" w:hAnsi="Cambria Math" w:eastAsia="PMingLiU"/>
                <w:i/>
                <w:szCs w:val="21"/>
              </w:rPr>
            </m:ctrlPr>
          </m:naryPr>
          <m:sub>
            <m:r>
              <m:rPr/>
              <w:rPr>
                <w:rFonts w:ascii="Times New Roman" w:hAnsi="Times New Roman"/>
                <w:szCs w:val="21"/>
                <w:lang w:val="en-US"/>
              </w:rPr>
              <m:t>r=1,j=1</m:t>
            </m:r>
            <m:ctrlPr>
              <w:rPr>
                <w:rFonts w:ascii="Cambria Math" w:hAnsi="Cambria Math" w:eastAsia="PMingLiU"/>
                <w:i/>
                <w:szCs w:val="21"/>
              </w:rPr>
            </m:ctrlPr>
          </m:sub>
          <m:sup>
            <m:r>
              <m:rPr/>
              <w:rPr>
                <w:rFonts w:ascii="Times New Roman" w:hAnsi="Times New Roman"/>
                <w:szCs w:val="21"/>
                <w:lang w:val="en-US"/>
              </w:rPr>
              <m:t>m,n</m:t>
            </m:r>
            <m:ctrlPr>
              <w:rPr>
                <w:rFonts w:ascii="Cambria Math" w:hAnsi="Cambria Math" w:eastAsia="PMingLiU"/>
                <w:i/>
                <w:szCs w:val="21"/>
              </w:rPr>
            </m:ctrlPr>
          </m:sup>
          <m:e>
            <m:r>
              <m:rPr/>
              <w:rPr>
                <w:rFonts w:ascii="Times New Roman" w:hAnsi="Times New Roman"/>
                <w:szCs w:val="21"/>
                <w:lang w:val="en-US"/>
              </w:rPr>
              <m:t>(</m:t>
            </m:r>
            <m:sSub>
              <m:sSubPr>
                <m:ctrlPr>
                  <w:rPr>
                    <w:rFonts w:ascii="Cambria Math" w:hAnsi="Cambria Math"/>
                    <w:i/>
                    <w:szCs w:val="21"/>
                    <w:lang w:val="en-US" w:eastAsia="zh-CN"/>
                  </w:rPr>
                </m:ctrlPr>
              </m:sSubPr>
              <m:e>
                <m:r>
                  <m:rPr/>
                  <w:rPr>
                    <w:rFonts w:ascii="Times New Roman" w:hAnsi="Times New Roman"/>
                    <w:szCs w:val="21"/>
                    <w:lang w:val="en-US"/>
                  </w:rPr>
                  <m:t>M</m:t>
                </m:r>
                <m:ctrlPr>
                  <w:rPr>
                    <w:rFonts w:ascii="Cambria Math" w:hAnsi="Cambria Math"/>
                    <w:i/>
                    <w:szCs w:val="21"/>
                    <w:lang w:val="en-US" w:eastAsia="zh-CN"/>
                  </w:rPr>
                </m:ctrlPr>
              </m:e>
              <m:sub>
                <m:r>
                  <m:rPr/>
                  <w:rPr>
                    <w:rFonts w:ascii="Times New Roman" w:hAnsi="Times New Roman"/>
                    <w:szCs w:val="21"/>
                    <w:lang w:val="en-US"/>
                  </w:rPr>
                  <m:t>r</m:t>
                </m:r>
                <m:ctrlPr>
                  <w:rPr>
                    <w:rFonts w:ascii="Cambria Math" w:hAnsi="Cambria Math"/>
                    <w:i/>
                    <w:szCs w:val="21"/>
                    <w:lang w:val="en-US" w:eastAsia="zh-CN"/>
                  </w:rPr>
                </m:ctrlPr>
              </m:sub>
            </m:sSub>
            <m:ctrlPr>
              <w:rPr>
                <w:rFonts w:ascii="Cambria Math" w:hAnsi="Cambria Math" w:eastAsia="PMingLiU"/>
                <w:i/>
                <w:szCs w:val="21"/>
              </w:rPr>
            </m:ctrlPr>
          </m:e>
        </m:nary>
        <m:r>
          <m:rPr/>
          <w:rPr>
            <w:rFonts w:ascii="Times New Roman" w:hAnsi="Times New Roman"/>
            <w:szCs w:val="21"/>
          </w:rPr>
          <m:t>×</m:t>
        </m:r>
        <m:sSub>
          <m:sSubPr>
            <m:ctrlPr>
              <w:rPr>
                <w:rFonts w:ascii="Cambria Math" w:hAnsi="Cambria Math"/>
                <w:i/>
                <w:szCs w:val="21"/>
              </w:rPr>
            </m:ctrlPr>
          </m:sSubPr>
          <m:e>
            <m:r>
              <m:rPr/>
              <w:rPr>
                <w:rFonts w:ascii="Times New Roman" w:hAnsi="Times New Roman"/>
                <w:szCs w:val="21"/>
                <w:lang w:val="en-US"/>
              </w:rPr>
              <m:t>MF</m:t>
            </m:r>
            <m:ctrlPr>
              <w:rPr>
                <w:rFonts w:ascii="Cambria Math" w:hAnsi="Cambria Math"/>
                <w:i/>
                <w:szCs w:val="21"/>
              </w:rPr>
            </m:ctrlPr>
          </m:e>
          <m:sub>
            <m:r>
              <m:rPr/>
              <w:rPr>
                <w:rFonts w:ascii="Times New Roman" w:hAnsi="Times New Roman"/>
                <w:szCs w:val="21"/>
                <w:lang w:val="en-US"/>
              </w:rPr>
              <m:t>r,j</m:t>
            </m:r>
            <m:ctrlPr>
              <w:rPr>
                <w:rFonts w:ascii="Cambria Math" w:hAnsi="Cambria Math"/>
                <w:i/>
                <w:szCs w:val="21"/>
              </w:rPr>
            </m:ctrlPr>
          </m:sub>
        </m:sSub>
        <m:r>
          <m:rPr/>
          <w:rPr>
            <w:rFonts w:ascii="Times New Roman" w:hAnsi="Times New Roman"/>
            <w:szCs w:val="21"/>
          </w:rPr>
          <m:t>×</m:t>
        </m:r>
        <m:sSub>
          <m:sSubPr>
            <m:ctrlPr>
              <w:rPr>
                <w:rFonts w:ascii="Cambria Math" w:hAnsi="Cambria Math"/>
                <w:i/>
                <w:szCs w:val="21"/>
              </w:rPr>
            </m:ctrlPr>
          </m:sSubPr>
          <m:e>
            <m:r>
              <m:rPr/>
              <w:rPr>
                <w:rFonts w:ascii="Times New Roman" w:hAnsi="Times New Roman"/>
                <w:szCs w:val="21"/>
                <w:lang w:val="en-US"/>
              </w:rPr>
              <m:t>EF</m:t>
            </m:r>
            <m:ctrlPr>
              <w:rPr>
                <w:rFonts w:ascii="Cambria Math" w:hAnsi="Cambria Math"/>
                <w:i/>
                <w:szCs w:val="21"/>
              </w:rPr>
            </m:ctrlPr>
          </m:e>
          <m:sub>
            <m:r>
              <m:rPr/>
              <w:rPr>
                <w:rFonts w:ascii="Times New Roman" w:hAnsi="Times New Roman"/>
                <w:szCs w:val="21"/>
                <w:lang w:val="en-US"/>
              </w:rPr>
              <m:t>j</m:t>
            </m:r>
            <m:ctrlPr>
              <w:rPr>
                <w:rFonts w:ascii="Cambria Math" w:hAnsi="Cambria Math"/>
                <w:i/>
                <w:szCs w:val="21"/>
              </w:rPr>
            </m:ctrlPr>
          </m:sub>
        </m:sSub>
        <m:r>
          <m:rPr/>
          <w:rPr>
            <w:rFonts w:ascii="Times New Roman" w:hAnsi="Times New Roman"/>
            <w:szCs w:val="21"/>
          </w:rPr>
          <m:t>×</m:t>
        </m:r>
        <m:sSub>
          <m:sSubPr>
            <m:ctrlPr>
              <w:rPr>
                <w:rFonts w:ascii="Cambria Math" w:hAnsi="Cambria Math"/>
                <w:i/>
                <w:szCs w:val="21"/>
              </w:rPr>
            </m:ctrlPr>
          </m:sSubPr>
          <m:e>
            <m:r>
              <m:rPr/>
              <w:rPr>
                <w:rFonts w:ascii="Times New Roman" w:hAnsi="Times New Roman"/>
                <w:szCs w:val="21"/>
                <w:lang w:val="en-US"/>
              </w:rPr>
              <m:t>F</m:t>
            </m:r>
            <m:ctrlPr>
              <w:rPr>
                <w:rFonts w:ascii="Cambria Math" w:hAnsi="Cambria Math"/>
                <w:i/>
                <w:szCs w:val="21"/>
              </w:rPr>
            </m:ctrlPr>
          </m:e>
          <m:sub>
            <m:r>
              <m:rPr/>
              <w:rPr>
                <w:rFonts w:ascii="Times New Roman" w:hAnsi="Times New Roman"/>
                <w:szCs w:val="21"/>
                <w:lang w:val="en-US"/>
              </w:rPr>
              <m:t>j</m:t>
            </m:r>
            <m:ctrlPr>
              <w:rPr>
                <w:rFonts w:ascii="Cambria Math" w:hAnsi="Cambria Math"/>
                <w:i/>
                <w:szCs w:val="21"/>
              </w:rPr>
            </m:ctrlPr>
          </m:sub>
        </m:sSub>
        <m:r>
          <m:rPr/>
          <w:rPr>
            <w:rFonts w:ascii="Times New Roman" w:hAnsi="Times New Roman"/>
            <w:szCs w:val="21"/>
            <w:lang w:val="en-US"/>
          </w:rPr>
          <m:t>)</m:t>
        </m:r>
      </m:oMath>
      <w:r>
        <w:rPr>
          <w:rFonts w:hint="eastAsia" w:ascii="Times New Roman" w:hAnsi="Times New Roman" w:cs="Times New Roman"/>
          <w:lang w:val="en-US"/>
        </w:rPr>
        <w:t xml:space="preserve"> </w:t>
      </w:r>
      <w:r>
        <w:rPr>
          <w:rFonts w:ascii="Times New Roman" w:hAnsi="Times New Roman" w:cs="Times New Roman"/>
          <w:lang w:val="en-US"/>
        </w:rPr>
        <w:t xml:space="preserve"> </w:t>
      </w:r>
      <w:r>
        <w:rPr>
          <w:rFonts w:hint="eastAsia" w:ascii="Times New Roman" w:hAnsi="Times New Roman" w:cs="Times New Roman"/>
          <w:lang w:val="en-US"/>
        </w:rPr>
        <w:t>·····（</w:t>
      </w:r>
      <w:r>
        <w:rPr>
          <w:rFonts w:hint="eastAsia" w:ascii="Times New Roman" w:hAnsi="Times New Roman" w:cs="Times New Roman"/>
          <w:lang w:val="en-US" w:eastAsia="zh-CN"/>
        </w:rPr>
        <w:t>7</w:t>
      </w:r>
      <w:r>
        <w:rPr>
          <w:rFonts w:hint="eastAsia" w:ascii="Times New Roman" w:hAnsi="Times New Roman" w:cs="Times New Roman"/>
          <w:lang w:val="en-US"/>
        </w:rPr>
        <w:t>）</w:t>
      </w:r>
    </w:p>
    <w:p w14:paraId="2EF6C087">
      <w:pPr>
        <w:pStyle w:val="151"/>
        <w:snapToGrid w:val="0"/>
        <w:spacing w:after="0" w:line="360" w:lineRule="auto"/>
        <w:jc w:val="both"/>
        <w:rPr>
          <w:rFonts w:ascii="Times New Roman" w:hAnsi="Times New Roman"/>
          <w:szCs w:val="21"/>
        </w:rPr>
      </w:pPr>
      <w:r>
        <w:rPr>
          <w:rFonts w:ascii="Times New Roman" w:hAnsi="Times New Roman"/>
          <w:szCs w:val="21"/>
        </w:rPr>
        <w:t>式中：</w:t>
      </w:r>
    </w:p>
    <w:p w14:paraId="651DB690">
      <w:pPr>
        <w:pStyle w:val="151"/>
        <w:adjustRightInd w:val="0"/>
        <w:snapToGrid w:val="0"/>
        <w:spacing w:after="0" w:line="360" w:lineRule="auto"/>
        <w:ind w:firstLine="420" w:firstLineChars="200"/>
        <w:jc w:val="both"/>
        <w:rPr>
          <w:rFonts w:ascii="Times New Roman" w:hAnsi="Times New Roman"/>
          <w:szCs w:val="21"/>
        </w:rPr>
      </w:pPr>
      <m:oMath>
        <m:r>
          <m:rPr/>
          <w:rPr>
            <w:rFonts w:ascii="Times New Roman" w:hAnsi="Times New Roman"/>
            <w:szCs w:val="21"/>
            <w:lang w:val="en-US" w:eastAsia="zh-CN" w:bidi="en-US"/>
          </w:rPr>
          <m:t xml:space="preserve">r    </m:t>
        </m:r>
      </m:oMath>
      <w:r>
        <w:rPr>
          <w:rFonts w:ascii="Times New Roman" w:hAnsi="Times New Roman"/>
          <w:szCs w:val="21"/>
          <w:lang w:val="en-US" w:eastAsia="zh-CN" w:bidi="en-US"/>
        </w:rPr>
        <w:t xml:space="preserve">  </w:t>
      </w:r>
      <w:r>
        <w:rPr>
          <w:rFonts w:ascii="Times New Roman" w:hAnsi="Times New Roman"/>
          <w:szCs w:val="21"/>
        </w:rPr>
        <w:t>——</w:t>
      </w:r>
      <w:r>
        <w:rPr>
          <w:rFonts w:hint="eastAsia" w:ascii="Times New Roman" w:hAnsi="Times New Roman"/>
          <w:szCs w:val="21"/>
          <w:lang w:val="en-US" w:eastAsia="zh-CN" w:bidi="en-US"/>
        </w:rPr>
        <w:t>含碳稀土前驱体原料类型代号（混合碳酸稀土、混合草酸稀土等）；</w:t>
      </w:r>
    </w:p>
    <w:p w14:paraId="595D89F8">
      <w:pPr>
        <w:pStyle w:val="151"/>
        <w:adjustRightInd w:val="0"/>
        <w:snapToGrid w:val="0"/>
        <w:spacing w:after="0" w:line="360" w:lineRule="auto"/>
        <w:ind w:firstLine="420" w:firstLineChars="200"/>
        <w:jc w:val="both"/>
        <w:rPr>
          <w:rFonts w:ascii="Times New Roman" w:hAnsi="Times New Roman"/>
          <w:szCs w:val="21"/>
          <w:lang w:val="en-US"/>
        </w:rPr>
      </w:pPr>
      <m:oMath>
        <m:r>
          <m:rPr/>
          <w:rPr>
            <w:rFonts w:ascii="Times New Roman" w:hAnsi="Times New Roman"/>
            <w:szCs w:val="21"/>
            <w:lang w:val="en-US" w:eastAsia="zh-CN"/>
          </w:rPr>
          <m:t>j</m:t>
        </m:r>
      </m:oMath>
      <w:r>
        <w:rPr>
          <w:rFonts w:ascii="Times New Roman" w:hAnsi="Times New Roman"/>
          <w:szCs w:val="21"/>
          <w:lang w:val="en-US" w:eastAsia="zh-CN"/>
        </w:rPr>
        <w:t xml:space="preserve">    </w:t>
      </w:r>
      <w:r>
        <w:rPr>
          <w:rFonts w:ascii="Times New Roman" w:hAnsi="Times New Roman"/>
          <w:szCs w:val="21"/>
          <w:lang w:val="en-US" w:eastAsia="zh-CN" w:bidi="en-US"/>
        </w:rPr>
        <w:t>——</w:t>
      </w:r>
      <w:r>
        <w:rPr>
          <w:rFonts w:hint="eastAsia" w:ascii="Times New Roman" w:hAnsi="Times New Roman"/>
          <w:szCs w:val="21"/>
          <w:lang w:val="en-US" w:eastAsia="zh-CN" w:bidi="en-US"/>
        </w:rPr>
        <w:t>含碳稀土前驱体组分代号（碳酸铈、草酸铈等）；</w:t>
      </w:r>
    </w:p>
    <w:p w14:paraId="78E0BE75">
      <w:pPr>
        <w:pStyle w:val="151"/>
        <w:tabs>
          <w:tab w:val="left" w:pos="1134"/>
        </w:tabs>
        <w:adjustRightInd w:val="0"/>
        <w:snapToGrid w:val="0"/>
        <w:spacing w:after="0" w:line="360" w:lineRule="auto"/>
        <w:ind w:firstLine="420" w:firstLineChars="200"/>
        <w:jc w:val="both"/>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lang w:val="en-US" w:eastAsia="zh-CN"/>
              </w:rPr>
              <m:t>M</m:t>
            </m:r>
            <m:ctrlPr>
              <w:rPr>
                <w:rFonts w:ascii="Cambria Math" w:hAnsi="Cambria Math"/>
                <w:i/>
                <w:szCs w:val="21"/>
              </w:rPr>
            </m:ctrlPr>
          </m:e>
          <m:sub>
            <m:r>
              <m:rPr/>
              <w:rPr>
                <w:rFonts w:ascii="Times New Roman" w:hAnsi="Times New Roman"/>
                <w:szCs w:val="21"/>
              </w:rPr>
              <m:t>r</m:t>
            </m:r>
            <m:ctrlPr>
              <w:rPr>
                <w:rFonts w:ascii="Cambria Math" w:hAnsi="Cambria Math"/>
                <w:i/>
                <w:szCs w:val="21"/>
              </w:rPr>
            </m:ctrlPr>
          </m:sub>
        </m:sSub>
      </m:oMath>
      <w:r>
        <w:rPr>
          <w:rFonts w:ascii="Times New Roman" w:hAnsi="Times New Roman"/>
          <w:szCs w:val="21"/>
          <w:lang w:val="en-US" w:eastAsia="zh-CN"/>
        </w:rPr>
        <w:t xml:space="preserve">  </w:t>
      </w:r>
      <w:r>
        <w:rPr>
          <w:rFonts w:ascii="Times New Roman" w:hAnsi="Times New Roman"/>
          <w:szCs w:val="21"/>
        </w:rPr>
        <w:t>——</w:t>
      </w:r>
      <w:r>
        <w:rPr>
          <w:rFonts w:hint="eastAsia" w:ascii="Times New Roman" w:hAnsi="Times New Roman"/>
          <w:szCs w:val="21"/>
        </w:rPr>
        <w:t>核算和报告年度内</w:t>
      </w:r>
      <w:r>
        <w:rPr>
          <w:rFonts w:hint="eastAsia" w:ascii="Times New Roman" w:hAnsi="Times New Roman"/>
          <w:szCs w:val="21"/>
          <w:lang w:eastAsia="zh-CN"/>
        </w:rPr>
        <w:t>，</w:t>
      </w:r>
      <w:r>
        <w:rPr>
          <w:rFonts w:hint="eastAsia" w:ascii="Times New Roman" w:hAnsi="Times New Roman"/>
          <w:szCs w:val="21"/>
          <w:lang w:val="en-US" w:eastAsia="zh-CN"/>
        </w:rPr>
        <w:t>第</w:t>
      </w:r>
      <w:r>
        <w:rPr>
          <w:rFonts w:ascii="Times New Roman" w:hAnsi="Times New Roman"/>
          <w:szCs w:val="21"/>
          <w:lang w:val="en-US" w:eastAsia="zh-CN"/>
        </w:rPr>
        <w:t>r种含碳稀土前驱体的消耗量，单位为</w:t>
      </w:r>
      <w:r>
        <w:rPr>
          <w:rFonts w:ascii="Times New Roman" w:hAnsi="Times New Roman"/>
          <w:szCs w:val="21"/>
        </w:rPr>
        <w:t>吨</w:t>
      </w:r>
      <w:r>
        <w:rPr>
          <w:rFonts w:ascii="Times New Roman" w:hAnsi="Times New Roman" w:cs="Times New Roman"/>
          <w:szCs w:val="21"/>
          <w:lang w:val="en-US" w:eastAsia="zh-CN" w:bidi="en-US"/>
        </w:rPr>
        <w:t>(t)</w:t>
      </w:r>
      <w:r>
        <w:rPr>
          <w:rFonts w:ascii="Times New Roman" w:hAnsi="Times New Roman"/>
          <w:szCs w:val="21"/>
          <w:lang w:val="en-US" w:eastAsia="zh-CN" w:bidi="en-US"/>
        </w:rPr>
        <w:t>；</w:t>
      </w:r>
    </w:p>
    <w:p w14:paraId="35783307">
      <w:pPr>
        <w:pStyle w:val="151"/>
        <w:tabs>
          <w:tab w:val="left" w:pos="1134"/>
        </w:tabs>
        <w:adjustRightInd w:val="0"/>
        <w:snapToGrid w:val="0"/>
        <w:spacing w:after="0" w:line="360" w:lineRule="auto"/>
        <w:ind w:firstLine="420" w:firstLineChars="200"/>
        <w:jc w:val="both"/>
        <w:rPr>
          <w:rFonts w:ascii="Times New Roman" w:hAnsi="Times New Roman" w:eastAsia="PMingLiU"/>
          <w:szCs w:val="21"/>
        </w:rPr>
      </w:pPr>
      <m:oMath>
        <m:sSub>
          <m:sSubPr>
            <m:ctrlPr>
              <w:rPr>
                <w:rFonts w:ascii="Cambria Math" w:hAnsi="Cambria Math"/>
                <w:i/>
                <w:szCs w:val="21"/>
              </w:rPr>
            </m:ctrlPr>
          </m:sSubPr>
          <m:e>
            <m:r>
              <m:rPr/>
              <w:rPr>
                <w:rFonts w:ascii="Times New Roman" w:hAnsi="Times New Roman"/>
                <w:szCs w:val="21"/>
                <w:lang w:val="en-US" w:eastAsia="zh-CN"/>
              </w:rPr>
              <m:t>MF</m:t>
            </m:r>
            <m:ctrlPr>
              <w:rPr>
                <w:rFonts w:ascii="Cambria Math" w:hAnsi="Cambria Math"/>
                <w:i/>
                <w:szCs w:val="21"/>
              </w:rPr>
            </m:ctrlPr>
          </m:e>
          <m:sub>
            <m:r>
              <m:rPr/>
              <w:rPr>
                <w:rFonts w:ascii="Times New Roman" w:hAnsi="Times New Roman"/>
                <w:szCs w:val="21"/>
                <w:lang w:val="en-US" w:eastAsia="zh-CN"/>
              </w:rPr>
              <m:t>r,j</m:t>
            </m:r>
            <m:ctrlPr>
              <w:rPr>
                <w:rFonts w:ascii="Cambria Math" w:hAnsi="Cambria Math"/>
                <w:i/>
                <w:szCs w:val="21"/>
              </w:rPr>
            </m:ctrlPr>
          </m:sub>
        </m:sSub>
      </m:oMath>
      <w:r>
        <w:rPr>
          <w:rFonts w:ascii="Times New Roman" w:hAnsi="Times New Roman"/>
          <w:szCs w:val="21"/>
          <w:lang w:val="en-US" w:eastAsia="zh-CN" w:bidi="en-US"/>
        </w:rPr>
        <w:t>——</w:t>
      </w:r>
      <w:r>
        <w:rPr>
          <w:rFonts w:hint="eastAsia" w:ascii="Times New Roman" w:hAnsi="Times New Roman"/>
          <w:szCs w:val="21"/>
          <w:lang w:val="en-US" w:eastAsia="zh-CN"/>
        </w:rPr>
        <w:t>第</w:t>
      </w:r>
      <w:r>
        <w:rPr>
          <w:rFonts w:ascii="Times New Roman" w:hAnsi="Times New Roman"/>
          <w:szCs w:val="21"/>
          <w:lang w:val="en-US" w:eastAsia="zh-CN"/>
        </w:rPr>
        <w:t>r种含碳稀土前驱体中第j种组分的质量分数，单位为百分率(%)</w:t>
      </w:r>
      <w:r>
        <w:rPr>
          <w:rFonts w:ascii="Times New Roman" w:hAnsi="Times New Roman"/>
          <w:szCs w:val="21"/>
        </w:rPr>
        <w:t>；</w:t>
      </w:r>
    </w:p>
    <w:p w14:paraId="2EB502BE">
      <w:pPr>
        <w:pStyle w:val="151"/>
        <w:adjustRightInd w:val="0"/>
        <w:snapToGrid w:val="0"/>
        <w:spacing w:after="0" w:line="360" w:lineRule="auto"/>
        <w:ind w:firstLine="420" w:firstLineChars="200"/>
        <w:rPr>
          <w:rFonts w:ascii="Times New Roman" w:hAnsi="Times New Roman"/>
          <w:szCs w:val="21"/>
          <w:lang w:val="en-US" w:eastAsia="zh-CN"/>
        </w:rPr>
      </w:pPr>
      <m:oMath>
        <m:sSub>
          <m:sSubPr>
            <m:ctrlPr>
              <w:rPr>
                <w:rFonts w:ascii="Cambria Math" w:hAnsi="Cambria Math"/>
                <w:i/>
                <w:szCs w:val="21"/>
              </w:rPr>
            </m:ctrlPr>
          </m:sSubPr>
          <m:e>
            <m:r>
              <m:rPr/>
              <w:rPr>
                <w:rFonts w:ascii="Times New Roman" w:hAnsi="Times New Roman"/>
                <w:szCs w:val="21"/>
                <w:lang w:val="en-US" w:eastAsia="zh-CN"/>
              </w:rPr>
              <m:t>EF</m:t>
            </m:r>
            <m:ctrlPr>
              <w:rPr>
                <w:rFonts w:ascii="Cambria Math" w:hAnsi="Cambria Math"/>
                <w:i/>
                <w:szCs w:val="21"/>
              </w:rPr>
            </m:ctrlPr>
          </m:e>
          <m:sub>
            <m:r>
              <m:rPr/>
              <w:rPr>
                <w:rFonts w:ascii="Times New Roman" w:hAnsi="Times New Roman"/>
                <w:szCs w:val="21"/>
                <w:lang w:val="en-US" w:eastAsia="zh-CN"/>
              </w:rPr>
              <m:t>j</m:t>
            </m:r>
            <m:ctrlPr>
              <w:rPr>
                <w:rFonts w:ascii="Cambria Math" w:hAnsi="Cambria Math"/>
                <w:i/>
                <w:szCs w:val="21"/>
              </w:rPr>
            </m:ctrlPr>
          </m:sub>
        </m:sSub>
      </m:oMath>
      <w:r>
        <w:rPr>
          <w:rFonts w:ascii="Times New Roman" w:hAnsi="Times New Roman"/>
          <w:szCs w:val="21"/>
          <w:lang w:val="en-US" w:eastAsia="zh-CN" w:bidi="en-US"/>
        </w:rPr>
        <w:t xml:space="preserve">  </w:t>
      </w:r>
      <w:r>
        <w:rPr>
          <w:rFonts w:ascii="Times New Roman" w:hAnsi="Times New Roman"/>
          <w:szCs w:val="21"/>
        </w:rPr>
        <w:t>——</w:t>
      </w:r>
      <w:r>
        <w:rPr>
          <w:rFonts w:hint="eastAsia" w:ascii="Times New Roman" w:hAnsi="Times New Roman"/>
          <w:szCs w:val="21"/>
          <w:lang w:val="en-US" w:eastAsia="zh-CN"/>
        </w:rPr>
        <w:t>第</w:t>
      </w:r>
      <w:r>
        <w:rPr>
          <w:rFonts w:ascii="Times New Roman" w:hAnsi="Times New Roman"/>
          <w:szCs w:val="21"/>
          <w:lang w:val="en-US" w:eastAsia="zh-CN"/>
        </w:rPr>
        <w:t>j种组分的</w:t>
      </w:r>
      <w:r>
        <w:rPr>
          <w:rFonts w:ascii="Times New Roman" w:hAnsi="Times New Roman"/>
          <w:szCs w:val="21"/>
        </w:rPr>
        <w:t>二氧化碳</w:t>
      </w:r>
      <w:r>
        <w:rPr>
          <w:rFonts w:hint="eastAsia" w:ascii="Times New Roman" w:hAnsi="Times New Roman"/>
          <w:szCs w:val="21"/>
          <w:lang w:val="en-US" w:eastAsia="zh-CN"/>
        </w:rPr>
        <w:t>排放因子，单位为吨二氧化碳当量每吨(</w:t>
      </w:r>
      <w:r>
        <w:rPr>
          <w:rFonts w:ascii="Times New Roman" w:hAnsi="Times New Roman"/>
          <w:szCs w:val="21"/>
          <w:lang w:val="en-US" w:eastAsia="zh-CN"/>
        </w:rPr>
        <w:t>tCO</w:t>
      </w:r>
      <w:r>
        <w:rPr>
          <w:rFonts w:ascii="Times New Roman" w:hAnsi="Times New Roman"/>
          <w:szCs w:val="21"/>
          <w:vertAlign w:val="subscript"/>
          <w:lang w:val="en-US" w:eastAsia="zh-CN"/>
        </w:rPr>
        <w:t>2</w:t>
      </w:r>
      <w:r>
        <w:rPr>
          <w:rFonts w:ascii="Times New Roman" w:hAnsi="Times New Roman"/>
          <w:szCs w:val="21"/>
          <w:lang w:val="en-US" w:eastAsia="zh-CN"/>
        </w:rPr>
        <w:t>e/t</w:t>
      </w:r>
      <w:r>
        <w:rPr>
          <w:rFonts w:hint="eastAsia" w:ascii="Times New Roman" w:hAnsi="Times New Roman"/>
          <w:szCs w:val="21"/>
          <w:lang w:val="en-US" w:eastAsia="zh-CN"/>
        </w:rPr>
        <w:t>)</w:t>
      </w:r>
      <w:r>
        <w:rPr>
          <w:rFonts w:ascii="Times New Roman" w:hAnsi="Times New Roman"/>
          <w:szCs w:val="21"/>
          <w:lang w:val="en-US" w:eastAsia="zh-CN"/>
        </w:rPr>
        <w:t>；</w:t>
      </w:r>
    </w:p>
    <w:p w14:paraId="3F8524B7">
      <w:pPr>
        <w:pStyle w:val="151"/>
        <w:adjustRightInd w:val="0"/>
        <w:snapToGrid w:val="0"/>
        <w:spacing w:after="0" w:line="360" w:lineRule="auto"/>
        <w:ind w:firstLine="420" w:firstLineChars="200"/>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lang w:val="en-US" w:eastAsia="zh-CN"/>
              </w:rPr>
              <m:t>F</m:t>
            </m:r>
            <m:ctrlPr>
              <w:rPr>
                <w:rFonts w:ascii="Cambria Math" w:hAnsi="Cambria Math"/>
                <w:i/>
                <w:szCs w:val="21"/>
              </w:rPr>
            </m:ctrlPr>
          </m:e>
          <m:sub>
            <m:r>
              <m:rPr/>
              <w:rPr>
                <w:rFonts w:ascii="Times New Roman" w:hAnsi="Times New Roman"/>
                <w:szCs w:val="21"/>
                <w:lang w:val="en-US" w:eastAsia="zh-CN"/>
              </w:rPr>
              <m:t>j</m:t>
            </m:r>
            <m:ctrlPr>
              <w:rPr>
                <w:rFonts w:ascii="Cambria Math" w:hAnsi="Cambria Math"/>
                <w:i/>
                <w:szCs w:val="21"/>
              </w:rPr>
            </m:ctrlPr>
          </m:sub>
        </m:sSub>
      </m:oMath>
      <w:r>
        <w:rPr>
          <w:rFonts w:ascii="Times New Roman" w:hAnsi="Times New Roman"/>
          <w:szCs w:val="21"/>
          <w:lang w:val="en-US" w:eastAsia="zh-CN" w:bidi="en-US"/>
        </w:rPr>
        <w:t xml:space="preserve">   </w:t>
      </w:r>
      <w:r>
        <w:rPr>
          <w:rFonts w:ascii="Times New Roman" w:hAnsi="Times New Roman"/>
          <w:szCs w:val="21"/>
        </w:rPr>
        <w:t>——</w:t>
      </w:r>
      <w:r>
        <w:rPr>
          <w:rFonts w:hint="eastAsia" w:ascii="Times New Roman" w:hAnsi="Times New Roman"/>
          <w:szCs w:val="21"/>
          <w:lang w:val="en-US" w:eastAsia="zh-CN"/>
        </w:rPr>
        <w:t>第</w:t>
      </w:r>
      <w:r>
        <w:rPr>
          <w:rFonts w:ascii="Times New Roman" w:hAnsi="Times New Roman"/>
          <w:szCs w:val="21"/>
          <w:lang w:val="en-US" w:eastAsia="zh-CN"/>
        </w:rPr>
        <w:t>j种组分焙烧分解比例，单位为百分率(%)</w:t>
      </w:r>
      <w:r>
        <w:rPr>
          <w:rFonts w:ascii="Times New Roman" w:hAnsi="Times New Roman"/>
          <w:szCs w:val="21"/>
        </w:rPr>
        <w:t>。</w:t>
      </w:r>
    </w:p>
    <w:p w14:paraId="480CEF1D">
      <w:pPr>
        <w:spacing w:line="360" w:lineRule="auto"/>
        <w:ind w:firstLine="360" w:firstLineChars="200"/>
        <w:rPr>
          <w:rFonts w:cs="宋体"/>
          <w:sz w:val="18"/>
          <w:szCs w:val="18"/>
        </w:rPr>
      </w:pPr>
      <w:r>
        <w:rPr>
          <w:rFonts w:hint="eastAsia" w:cs="宋体"/>
          <w:sz w:val="18"/>
          <w:szCs w:val="18"/>
        </w:rPr>
        <w:t>注：稀土氢氧化物不属于含碳稀土前驱体，焙烧过程不产生分解二氧化碳，对应组分排放因子取</w:t>
      </w:r>
      <w:r>
        <w:rPr>
          <w:rFonts w:cs="宋体"/>
          <w:sz w:val="18"/>
          <w:szCs w:val="18"/>
        </w:rPr>
        <w:t xml:space="preserve"> 0。</w:t>
      </w:r>
    </w:p>
    <w:p w14:paraId="64B216BF">
      <w:pPr>
        <w:spacing w:line="360" w:lineRule="auto"/>
        <w:rPr>
          <w:rFonts w:hAnsi="黑体" w:eastAsia="黑体"/>
        </w:rPr>
      </w:pPr>
      <w:r>
        <w:rPr>
          <w:rFonts w:hAnsi="黑体" w:eastAsia="黑体"/>
        </w:rPr>
        <w:t>6.2.3.</w:t>
      </w:r>
      <w:r>
        <w:rPr>
          <w:rFonts w:hint="eastAsia" w:hAnsi="黑体" w:eastAsia="黑体"/>
        </w:rPr>
        <w:t xml:space="preserve">3.2 </w:t>
      </w:r>
      <w:r>
        <w:rPr>
          <w:rFonts w:hAnsi="黑体" w:eastAsia="黑体"/>
        </w:rPr>
        <w:t>活动数据获取</w:t>
      </w:r>
    </w:p>
    <w:p w14:paraId="72BE8AFA">
      <w:pPr>
        <w:widowControl/>
        <w:spacing w:line="360" w:lineRule="auto"/>
        <w:ind w:firstLine="42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a</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含碳稀土前驱体消耗量采用生产企业实际消耗量。</w:t>
      </w:r>
    </w:p>
    <w:p w14:paraId="58E2CEE3">
      <w:pPr>
        <w:tabs>
          <w:tab w:val="left" w:pos="512"/>
          <w:tab w:val="left" w:pos="513"/>
          <w:tab w:val="right" w:pos="10208"/>
        </w:tabs>
        <w:spacing w:line="360" w:lineRule="auto"/>
        <w:ind w:firstLine="420" w:firstLineChars="200"/>
        <w:rPr>
          <w:szCs w:val="21"/>
        </w:rPr>
      </w:pPr>
      <w:r>
        <w:rPr>
          <w:rFonts w:hint="eastAsia"/>
          <w:color w:val="000000" w:themeColor="text1"/>
          <w14:textFill>
            <w14:solidFill>
              <w14:schemeClr w14:val="tx1"/>
            </w14:solidFill>
          </w14:textFill>
        </w:rPr>
        <w:t>b) 含碳稀土前驱体</w:t>
      </w:r>
      <w:r>
        <w:rPr>
          <w:rFonts w:hint="eastAsia"/>
          <w:lang w:bidi="en-US"/>
        </w:rPr>
        <w:t>质量分数，</w:t>
      </w:r>
      <w:r>
        <w:rPr>
          <w:rFonts w:hint="eastAsia"/>
          <w:szCs w:val="21"/>
        </w:rPr>
        <w:t>具备条件的企业宜开展实测，或委托专业机构进行检测。无实测数据或测定方法不符合要求时，优先采用供应商数据，供应商数据无法获取时按100%计算。</w:t>
      </w:r>
    </w:p>
    <w:p w14:paraId="3378796D">
      <w:pPr>
        <w:tabs>
          <w:tab w:val="left" w:pos="512"/>
          <w:tab w:val="left" w:pos="513"/>
          <w:tab w:val="right" w:pos="10208"/>
        </w:tabs>
        <w:spacing w:line="360" w:lineRule="auto"/>
        <w:ind w:firstLine="420" w:firstLineChars="200"/>
        <w:rPr>
          <w:szCs w:val="21"/>
        </w:rPr>
      </w:pPr>
      <w:r>
        <w:rPr>
          <w:rFonts w:hint="eastAsia"/>
          <w:lang w:bidi="en-US"/>
        </w:rPr>
        <w:t>c) 碳酸稀土分解比例，</w:t>
      </w:r>
      <w:r>
        <w:rPr>
          <w:rFonts w:hint="eastAsia"/>
          <w:szCs w:val="21"/>
        </w:rPr>
        <w:t>采用企业焙烧工艺实测数据，如无实测数据的，按工艺设计值计算，未明确设计值的按100%计算。</w:t>
      </w:r>
    </w:p>
    <w:p w14:paraId="185E8A68">
      <w:pPr>
        <w:spacing w:line="360" w:lineRule="auto"/>
        <w:rPr>
          <w:szCs w:val="21"/>
        </w:rPr>
      </w:pPr>
      <w:r>
        <w:rPr>
          <w:rFonts w:hAnsi="黑体" w:eastAsia="黑体"/>
        </w:rPr>
        <w:t>6.2</w:t>
      </w:r>
      <w:r>
        <w:rPr>
          <w:rFonts w:hint="eastAsia" w:hAnsi="黑体" w:eastAsia="黑体"/>
        </w:rPr>
        <w:t>.3</w:t>
      </w:r>
      <w:r>
        <w:rPr>
          <w:rFonts w:hAnsi="黑体" w:eastAsia="黑体"/>
        </w:rPr>
        <w:t>.</w:t>
      </w:r>
      <w:r>
        <w:rPr>
          <w:rFonts w:hint="eastAsia" w:hAnsi="黑体" w:eastAsia="黑体"/>
        </w:rPr>
        <w:t>3</w:t>
      </w:r>
      <w:r>
        <w:rPr>
          <w:rFonts w:hAnsi="黑体" w:eastAsia="黑体"/>
        </w:rPr>
        <w:t>.3排放因子数据获取</w:t>
      </w:r>
    </w:p>
    <w:p w14:paraId="25CC285B">
      <w:pPr>
        <w:pStyle w:val="151"/>
        <w:adjustRightInd w:val="0"/>
        <w:snapToGrid w:val="0"/>
        <w:spacing w:after="0" w:line="360" w:lineRule="auto"/>
        <w:ind w:firstLine="420" w:firstLineChars="200"/>
        <w:rPr>
          <w:rFonts w:ascii="Times New Roman" w:hAnsi="Times New Roman" w:eastAsia="黑体"/>
        </w:rPr>
      </w:pPr>
      <w:r>
        <w:rPr>
          <w:rFonts w:hint="eastAsia" w:ascii="Times New Roman" w:hAnsi="Times New Roman"/>
          <w:szCs w:val="21"/>
          <w:lang w:val="en-US" w:eastAsia="zh-CN"/>
        </w:rPr>
        <w:t>含碳稀土前驱体二氧化碳排放因子等于该组分二氧化碳质量分数与前驱体分解比例的乘积。二氧化碳质量分数由前驱体化学分子式计算获得；物料带有结晶水时，应结合结晶水含量对二氧化碳质量分数进行换算。</w:t>
      </w:r>
      <w:r>
        <w:rPr>
          <w:rFonts w:hint="eastAsia" w:ascii="Times New Roman" w:hAnsi="Times New Roman"/>
          <w:szCs w:val="21"/>
        </w:rPr>
        <w:t>一些常见</w:t>
      </w:r>
      <w:r>
        <w:rPr>
          <w:rFonts w:hint="eastAsia" w:ascii="Times New Roman" w:hAnsi="Times New Roman"/>
          <w:szCs w:val="21"/>
          <w:lang w:val="en-US" w:eastAsia="zh-CN"/>
        </w:rPr>
        <w:t>含碳稀土前驱体</w:t>
      </w:r>
      <w:r>
        <w:rPr>
          <w:rFonts w:hint="eastAsia" w:ascii="Times New Roman" w:hAnsi="Times New Roman"/>
          <w:szCs w:val="21"/>
        </w:rPr>
        <w:t>的二氧化碳质量分数可直接参考附录</w:t>
      </w:r>
      <w:r>
        <w:rPr>
          <w:rFonts w:ascii="Times New Roman" w:hAnsi="Times New Roman"/>
          <w:szCs w:val="21"/>
          <w:lang w:val="en-US" w:eastAsia="zh-CN"/>
        </w:rPr>
        <w:t>B</w:t>
      </w:r>
      <w:r>
        <w:rPr>
          <w:rFonts w:hint="eastAsia" w:ascii="Times New Roman" w:hAnsi="Times New Roman"/>
          <w:szCs w:val="21"/>
        </w:rPr>
        <w:t>表</w:t>
      </w:r>
      <w:r>
        <w:rPr>
          <w:rFonts w:ascii="Times New Roman" w:hAnsi="Times New Roman"/>
          <w:szCs w:val="21"/>
          <w:lang w:val="en-US" w:eastAsia="zh-CN"/>
        </w:rPr>
        <w:t>B</w:t>
      </w:r>
      <w:r>
        <w:rPr>
          <w:rFonts w:ascii="Times New Roman" w:hAnsi="Times New Roman"/>
          <w:szCs w:val="21"/>
        </w:rPr>
        <w:t>.</w:t>
      </w:r>
      <w:r>
        <w:rPr>
          <w:rFonts w:ascii="Times New Roman" w:hAnsi="Times New Roman"/>
          <w:szCs w:val="21"/>
          <w:lang w:val="en-US" w:eastAsia="zh-CN"/>
        </w:rPr>
        <w:t>2</w:t>
      </w:r>
      <w:r>
        <w:rPr>
          <w:rFonts w:hint="eastAsia" w:ascii="Times New Roman" w:hAnsi="Times New Roman"/>
          <w:szCs w:val="21"/>
        </w:rPr>
        <w:t>取值。</w:t>
      </w:r>
    </w:p>
    <w:p w14:paraId="1AA52536">
      <w:pPr>
        <w:spacing w:line="360" w:lineRule="auto"/>
        <w:rPr>
          <w:rFonts w:hAnsi="黑体" w:eastAsia="黑体"/>
        </w:rPr>
      </w:pPr>
      <w:r>
        <w:rPr>
          <w:rFonts w:hAnsi="黑体" w:eastAsia="黑体"/>
        </w:rPr>
        <w:t>6.2.3.</w:t>
      </w:r>
      <w:r>
        <w:rPr>
          <w:rFonts w:hint="eastAsia" w:hAnsi="黑体" w:eastAsia="黑体"/>
        </w:rPr>
        <w:t>4 添加剂分解/氧化及其他含碳原料</w:t>
      </w:r>
    </w:p>
    <w:p w14:paraId="0DEB10C2">
      <w:pPr>
        <w:spacing w:line="360" w:lineRule="auto"/>
        <w:rPr>
          <w:rFonts w:hAnsi="黑体" w:eastAsia="黑体"/>
        </w:rPr>
      </w:pPr>
      <w:r>
        <w:rPr>
          <w:rFonts w:hAnsi="黑体" w:eastAsia="黑体"/>
        </w:rPr>
        <w:t>6.2.3.</w:t>
      </w:r>
      <w:r>
        <w:rPr>
          <w:rFonts w:hint="eastAsia" w:hAnsi="黑体" w:eastAsia="黑体"/>
        </w:rPr>
        <w:t>4.1 计算公式</w:t>
      </w:r>
    </w:p>
    <w:p w14:paraId="13899A5B">
      <w:pPr>
        <w:widowControl/>
        <w:spacing w:line="360" w:lineRule="auto"/>
        <w:ind w:firstLine="420"/>
        <w:jc w:val="left"/>
        <w:rPr>
          <w:rFonts w:cs="宋体"/>
          <w:sz w:val="18"/>
          <w:szCs w:val="18"/>
        </w:rPr>
      </w:pPr>
      <w:r>
        <w:rPr>
          <w:rFonts w:hint="eastAsia"/>
        </w:rPr>
        <w:t>添加剂分解/氧化产生的温室气体排放量按式（8）计算：</w:t>
      </w:r>
    </w:p>
    <w:p w14:paraId="2302EEDA">
      <w:pPr>
        <w:pStyle w:val="151"/>
        <w:snapToGrid w:val="0"/>
        <w:spacing w:after="0" w:line="360" w:lineRule="auto"/>
        <w:ind w:firstLine="420"/>
        <w:jc w:val="right"/>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lang w:val="en-US" w:eastAsia="zh-CN"/>
              </w:rPr>
              <m:t>添加</m:t>
            </m:r>
            <m:r>
              <m:rPr>
                <m:sty m:val="p"/>
              </m:rPr>
              <w:rPr>
                <w:rFonts w:hint="eastAsia" w:ascii="Times New Roman" w:hAnsi="Times New Roman"/>
                <w:szCs w:val="21"/>
                <w:lang w:val="en-US"/>
              </w:rPr>
              <m:t>剂氧化</m:t>
            </m:r>
            <m:ctrlPr>
              <w:rPr>
                <w:rFonts w:ascii="Cambria Math" w:hAnsi="Cambria Math"/>
                <w:i/>
                <w:szCs w:val="21"/>
              </w:rPr>
            </m:ctrlPr>
          </m:sub>
        </m:sSub>
        <m:r>
          <m:rPr/>
          <w:rPr>
            <w:rFonts w:ascii="Times New Roman" w:hAnsi="Times New Roman" w:eastAsia="PMingLiU"/>
            <w:szCs w:val="21"/>
          </w:rPr>
          <m:t>=</m:t>
        </m:r>
        <m:nary>
          <m:naryPr>
            <m:chr m:val="∑"/>
            <m:limLoc m:val="undOvr"/>
            <m:ctrlPr>
              <w:rPr>
                <w:rFonts w:ascii="Cambria Math" w:hAnsi="Cambria Math" w:eastAsia="PMingLiU"/>
                <w:i/>
                <w:szCs w:val="21"/>
              </w:rPr>
            </m:ctrlPr>
          </m:naryPr>
          <m:sub>
            <m:r>
              <m:rPr/>
              <w:rPr>
                <w:rFonts w:ascii="Times New Roman" w:hAnsi="Times New Roman"/>
                <w:szCs w:val="21"/>
                <w:lang w:val="en-US"/>
              </w:rPr>
              <m:t>k=1</m:t>
            </m:r>
            <m:ctrlPr>
              <w:rPr>
                <w:rFonts w:ascii="Cambria Math" w:hAnsi="Cambria Math" w:eastAsia="PMingLiU"/>
                <w:i/>
                <w:szCs w:val="21"/>
              </w:rPr>
            </m:ctrlPr>
          </m:sub>
          <m:sup>
            <m:r>
              <m:rPr/>
              <w:rPr>
                <w:rFonts w:ascii="Times New Roman" w:hAnsi="Times New Roman"/>
                <w:szCs w:val="21"/>
                <w:lang w:val="en-US"/>
              </w:rPr>
              <m:t>n</m:t>
            </m:r>
            <m:ctrlPr>
              <w:rPr>
                <w:rFonts w:ascii="Cambria Math" w:hAnsi="Cambria Math" w:eastAsia="PMingLiU"/>
                <w:i/>
                <w:szCs w:val="21"/>
              </w:rPr>
            </m:ctrlPr>
          </m:sup>
          <m:e>
            <m:r>
              <m:rPr/>
              <w:rPr>
                <w:rFonts w:ascii="Times New Roman" w:hAnsi="Times New Roman"/>
                <w:szCs w:val="21"/>
                <w:lang w:val="en-US"/>
              </w:rPr>
              <m:t>(</m:t>
            </m:r>
            <m:sSub>
              <m:sSubPr>
                <m:ctrlPr>
                  <w:rPr>
                    <w:rFonts w:ascii="Cambria Math" w:hAnsi="Cambria Math"/>
                    <w:i/>
                    <w:szCs w:val="21"/>
                    <w:lang w:val="en-US" w:eastAsia="zh-CN"/>
                  </w:rPr>
                </m:ctrlPr>
              </m:sSubPr>
              <m:e>
                <m:r>
                  <m:rPr/>
                  <w:rPr>
                    <w:rFonts w:ascii="Times New Roman" w:hAnsi="Times New Roman"/>
                    <w:szCs w:val="21"/>
                    <w:lang w:val="en-US"/>
                  </w:rPr>
                  <m:t>Q</m:t>
                </m:r>
                <m:ctrlPr>
                  <w:rPr>
                    <w:rFonts w:ascii="Cambria Math" w:hAnsi="Cambria Math"/>
                    <w:i/>
                    <w:szCs w:val="21"/>
                    <w:lang w:val="en-US" w:eastAsia="zh-CN"/>
                  </w:rPr>
                </m:ctrlPr>
              </m:e>
              <m:sub>
                <m:r>
                  <m:rPr/>
                  <w:rPr>
                    <w:rFonts w:ascii="Times New Roman" w:hAnsi="Times New Roman"/>
                    <w:szCs w:val="21"/>
                    <w:lang w:val="en-US"/>
                  </w:rPr>
                  <m:t>k</m:t>
                </m:r>
                <m:ctrlPr>
                  <w:rPr>
                    <w:rFonts w:ascii="Cambria Math" w:hAnsi="Cambria Math"/>
                    <w:i/>
                    <w:szCs w:val="21"/>
                    <w:lang w:val="en-US" w:eastAsia="zh-CN"/>
                  </w:rPr>
                </m:ctrlPr>
              </m:sub>
            </m:sSub>
            <m:ctrlPr>
              <w:rPr>
                <w:rFonts w:ascii="Cambria Math" w:hAnsi="Cambria Math" w:eastAsia="PMingLiU"/>
                <w:i/>
                <w:szCs w:val="21"/>
              </w:rPr>
            </m:ctrlPr>
          </m:e>
        </m:nary>
        <m:r>
          <m:rPr/>
          <w:rPr>
            <w:rFonts w:ascii="Times New Roman" w:hAnsi="Times New Roman"/>
            <w:szCs w:val="21"/>
          </w:rPr>
          <m:t>×</m:t>
        </m:r>
        <m:sSub>
          <m:sSubPr>
            <m:ctrlPr>
              <w:rPr>
                <w:rFonts w:ascii="Cambria Math" w:hAnsi="Cambria Math"/>
                <w:i/>
                <w:szCs w:val="21"/>
              </w:rPr>
            </m:ctrlPr>
          </m:sSubPr>
          <m:e>
            <m:r>
              <m:rPr/>
              <w:rPr>
                <w:rFonts w:ascii="Times New Roman" w:hAnsi="Times New Roman"/>
                <w:szCs w:val="21"/>
                <w:lang w:val="en-US"/>
              </w:rPr>
              <m:t>C</m:t>
            </m:r>
            <m:ctrlPr>
              <w:rPr>
                <w:rFonts w:ascii="Cambria Math" w:hAnsi="Cambria Math"/>
                <w:i/>
                <w:szCs w:val="21"/>
              </w:rPr>
            </m:ctrlPr>
          </m:e>
          <m:sub>
            <m:r>
              <m:rPr/>
              <w:rPr>
                <w:rFonts w:ascii="Times New Roman" w:hAnsi="Times New Roman"/>
                <w:szCs w:val="21"/>
                <w:lang w:val="en-US"/>
              </w:rPr>
              <m:t>k</m:t>
            </m:r>
            <m:ctrlPr>
              <w:rPr>
                <w:rFonts w:ascii="Cambria Math" w:hAnsi="Cambria Math"/>
                <w:i/>
                <w:szCs w:val="21"/>
              </w:rPr>
            </m:ctrlPr>
          </m:sub>
        </m:sSub>
        <m:r>
          <m:rPr/>
          <w:rPr>
            <w:rFonts w:ascii="Times New Roman" w:hAnsi="Times New Roman"/>
            <w:szCs w:val="21"/>
          </w:rPr>
          <m:t>×</m:t>
        </m:r>
        <m:f>
          <m:fPr>
            <m:ctrlPr>
              <w:rPr>
                <w:rFonts w:ascii="Cambria Math" w:hAnsi="Cambria Math"/>
                <w:i/>
                <w:szCs w:val="21"/>
              </w:rPr>
            </m:ctrlPr>
          </m:fPr>
          <m:num>
            <m:r>
              <m:rPr/>
              <w:rPr>
                <w:rFonts w:ascii="Times New Roman" w:hAnsi="Times New Roman"/>
                <w:szCs w:val="21"/>
                <w:lang w:val="en-US"/>
              </w:rPr>
              <m:t>44</m:t>
            </m:r>
            <m:ctrlPr>
              <w:rPr>
                <w:rFonts w:ascii="Cambria Math" w:hAnsi="Cambria Math"/>
                <w:i/>
                <w:szCs w:val="21"/>
              </w:rPr>
            </m:ctrlPr>
          </m:num>
          <m:den>
            <m:r>
              <m:rPr/>
              <w:rPr>
                <w:rFonts w:ascii="Times New Roman" w:hAnsi="Times New Roman"/>
                <w:szCs w:val="21"/>
                <w:lang w:val="en-US"/>
              </w:rPr>
              <m:t>12</m:t>
            </m:r>
            <m:ctrlPr>
              <w:rPr>
                <w:rFonts w:ascii="Cambria Math" w:hAnsi="Cambria Math"/>
                <w:i/>
                <w:szCs w:val="21"/>
              </w:rPr>
            </m:ctrlPr>
          </m:den>
        </m:f>
        <m:r>
          <m:rPr/>
          <w:rPr>
            <w:rFonts w:ascii="Times New Roman" w:hAnsi="Times New Roman"/>
            <w:szCs w:val="21"/>
            <w:lang w:val="en-US"/>
          </w:rPr>
          <m:t>)</m:t>
        </m:r>
      </m:oMath>
      <w:r>
        <w:rPr>
          <w:rFonts w:hint="eastAsia" w:ascii="Times New Roman" w:hAnsi="Times New Roman" w:cs="Times New Roman"/>
          <w:lang w:val="en-US"/>
        </w:rPr>
        <w:t xml:space="preserve"> </w:t>
      </w:r>
      <w:r>
        <w:rPr>
          <w:rFonts w:ascii="Times New Roman" w:hAnsi="Times New Roman" w:cs="Times New Roman"/>
          <w:lang w:val="en-US"/>
        </w:rPr>
        <w:t xml:space="preserve"> </w:t>
      </w:r>
      <w:r>
        <w:rPr>
          <w:rFonts w:hint="eastAsia" w:ascii="Times New Roman" w:hAnsi="Times New Roman" w:cs="Times New Roman"/>
          <w:lang w:val="en-US"/>
        </w:rPr>
        <w:t xml:space="preserve"> </w:t>
      </w:r>
      <w:r>
        <w:rPr>
          <w:rFonts w:ascii="Times New Roman" w:hAnsi="Times New Roman" w:cs="Times New Roman"/>
          <w:lang w:val="en-US"/>
        </w:rPr>
        <w:t xml:space="preserve">  </w:t>
      </w:r>
      <w:r>
        <w:rPr>
          <w:rFonts w:hint="eastAsia" w:ascii="Times New Roman" w:hAnsi="Times New Roman" w:cs="Times New Roman"/>
          <w:lang w:val="en-US"/>
        </w:rPr>
        <w:t>········（</w:t>
      </w:r>
      <w:r>
        <w:rPr>
          <w:rFonts w:hint="eastAsia" w:ascii="Times New Roman" w:hAnsi="Times New Roman" w:cs="Times New Roman"/>
          <w:lang w:val="en-US" w:eastAsia="zh-CN"/>
        </w:rPr>
        <w:t>8</w:t>
      </w:r>
      <w:r>
        <w:rPr>
          <w:rFonts w:hint="eastAsia" w:ascii="Times New Roman" w:hAnsi="Times New Roman" w:cs="Times New Roman"/>
          <w:lang w:val="en-US"/>
        </w:rPr>
        <w:t>）</w:t>
      </w:r>
    </w:p>
    <w:p w14:paraId="74932F0B">
      <w:pPr>
        <w:pStyle w:val="151"/>
        <w:snapToGrid w:val="0"/>
        <w:spacing w:after="0" w:line="360" w:lineRule="auto"/>
        <w:jc w:val="both"/>
        <w:rPr>
          <w:rFonts w:ascii="Times New Roman" w:hAnsi="Times New Roman"/>
          <w:szCs w:val="21"/>
        </w:rPr>
      </w:pPr>
      <w:r>
        <w:rPr>
          <w:rFonts w:ascii="Times New Roman" w:hAnsi="Times New Roman"/>
          <w:szCs w:val="21"/>
        </w:rPr>
        <w:t>式中：</w:t>
      </w:r>
    </w:p>
    <w:p w14:paraId="220CFAEB">
      <w:pPr>
        <w:pStyle w:val="151"/>
        <w:spacing w:after="0" w:line="360" w:lineRule="auto"/>
        <w:ind w:firstLine="420" w:firstLineChars="200"/>
        <w:jc w:val="both"/>
        <w:rPr>
          <w:rFonts w:ascii="Times New Roman" w:hAnsi="Times New Roman" w:eastAsia="PMingLiU"/>
          <w:szCs w:val="21"/>
        </w:rPr>
      </w:pPr>
      <m:oMath>
        <m:r>
          <m:rPr/>
          <w:rPr>
            <w:rFonts w:ascii="Times New Roman" w:hAnsi="Times New Roman"/>
            <w:szCs w:val="21"/>
            <w:lang w:val="en-US" w:eastAsia="zh-CN" w:bidi="en-US"/>
          </w:rPr>
          <m:t xml:space="preserve">k     </m:t>
        </m:r>
      </m:oMath>
      <w:r>
        <w:rPr>
          <w:rFonts w:ascii="Times New Roman" w:hAnsi="Times New Roman"/>
          <w:szCs w:val="21"/>
        </w:rPr>
        <w:t>——</w:t>
      </w:r>
      <w:r>
        <w:rPr>
          <w:rFonts w:hint="eastAsia" w:ascii="Times New Roman" w:hAnsi="Times New Roman"/>
          <w:szCs w:val="21"/>
          <w:lang w:val="en-US" w:eastAsia="zh-CN"/>
        </w:rPr>
        <w:t>添加剂类型代号</w:t>
      </w:r>
      <w:r>
        <w:rPr>
          <w:rFonts w:hint="eastAsia" w:ascii="Times New Roman" w:hAnsi="Times New Roman"/>
          <w:szCs w:val="21"/>
          <w:lang w:val="en-US" w:eastAsia="zh-CN" w:bidi="en-US"/>
        </w:rPr>
        <w:t>；</w:t>
      </w:r>
    </w:p>
    <w:p w14:paraId="09D670C0">
      <w:pPr>
        <w:pStyle w:val="151"/>
        <w:adjustRightInd w:val="0"/>
        <w:snapToGrid w:val="0"/>
        <w:spacing w:after="0" w:line="360" w:lineRule="auto"/>
        <w:ind w:firstLine="420" w:firstLineChars="200"/>
        <w:jc w:val="both"/>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lang w:val="en-US" w:eastAsia="zh-CN"/>
              </w:rPr>
              <m:t>Q</m:t>
            </m:r>
            <m:ctrlPr>
              <w:rPr>
                <w:rFonts w:ascii="Cambria Math" w:hAnsi="Cambria Math"/>
                <w:i/>
                <w:szCs w:val="21"/>
              </w:rPr>
            </m:ctrlPr>
          </m:e>
          <m:sub>
            <m:r>
              <m:rPr/>
              <w:rPr>
                <w:rFonts w:ascii="Times New Roman" w:hAnsi="Times New Roman"/>
                <w:szCs w:val="21"/>
                <w:lang w:val="en-US" w:eastAsia="zh-CN"/>
              </w:rPr>
              <m:t>k</m:t>
            </m:r>
            <m:ctrlPr>
              <w:rPr>
                <w:rFonts w:ascii="Cambria Math" w:hAnsi="Cambria Math"/>
                <w:i/>
                <w:szCs w:val="21"/>
              </w:rPr>
            </m:ctrlPr>
          </m:sub>
        </m:sSub>
      </m:oMath>
      <w:r>
        <w:rPr>
          <w:rFonts w:ascii="Times New Roman" w:hAnsi="Times New Roman"/>
          <w:szCs w:val="21"/>
        </w:rPr>
        <w:t>——</w:t>
      </w:r>
      <w:r>
        <w:rPr>
          <w:rFonts w:hint="eastAsia" w:ascii="Times New Roman" w:hAnsi="Times New Roman"/>
          <w:szCs w:val="21"/>
        </w:rPr>
        <w:t>核算和报告年度内</w:t>
      </w:r>
      <w:r>
        <w:rPr>
          <w:rFonts w:hint="eastAsia" w:ascii="Times New Roman" w:hAnsi="Times New Roman"/>
          <w:szCs w:val="21"/>
          <w:lang w:eastAsia="zh-CN"/>
        </w:rPr>
        <w:t>，</w:t>
      </w:r>
      <w:r>
        <w:rPr>
          <w:rFonts w:hint="eastAsia" w:ascii="Times New Roman" w:hAnsi="Times New Roman"/>
          <w:szCs w:val="21"/>
          <w:lang w:val="en-US" w:eastAsia="zh-CN"/>
        </w:rPr>
        <w:t>第</w:t>
      </w:r>
      <w:r>
        <w:rPr>
          <w:rFonts w:ascii="Times New Roman" w:hAnsi="Times New Roman"/>
          <w:szCs w:val="21"/>
          <w:lang w:val="en-US" w:eastAsia="zh-CN"/>
        </w:rPr>
        <w:t>k种添加剂的消耗量</w:t>
      </w:r>
      <w:r>
        <w:rPr>
          <w:rFonts w:ascii="Times New Roman" w:hAnsi="Times New Roman"/>
          <w:szCs w:val="21"/>
        </w:rPr>
        <w:t>，单位为吨</w:t>
      </w:r>
      <w:r>
        <w:rPr>
          <w:rFonts w:ascii="Times New Roman" w:hAnsi="Times New Roman" w:cs="Times New Roman"/>
          <w:szCs w:val="21"/>
          <w:lang w:val="en-US" w:eastAsia="zh-CN" w:bidi="en-US"/>
        </w:rPr>
        <w:t>(t)</w:t>
      </w:r>
      <w:r>
        <w:rPr>
          <w:rFonts w:ascii="Times New Roman" w:hAnsi="Times New Roman"/>
          <w:szCs w:val="21"/>
        </w:rPr>
        <w:t>；</w:t>
      </w:r>
    </w:p>
    <w:p w14:paraId="1DEB8F04">
      <w:pPr>
        <w:pStyle w:val="151"/>
        <w:adjustRightInd w:val="0"/>
        <w:snapToGrid w:val="0"/>
        <w:spacing w:after="0" w:line="360" w:lineRule="auto"/>
        <w:ind w:firstLine="420" w:firstLineChars="200"/>
        <w:jc w:val="both"/>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rPr>
              <m:t>C</m:t>
            </m:r>
            <m:ctrlPr>
              <w:rPr>
                <w:rFonts w:ascii="Cambria Math" w:hAnsi="Cambria Math"/>
                <w:i/>
                <w:szCs w:val="21"/>
              </w:rPr>
            </m:ctrlPr>
          </m:e>
          <m:sub>
            <m:r>
              <m:rPr/>
              <w:rPr>
                <w:rFonts w:ascii="Times New Roman" w:hAnsi="Times New Roman"/>
                <w:szCs w:val="21"/>
                <w:lang w:val="en-US" w:eastAsia="zh-CN"/>
              </w:rPr>
              <m:t>k</m:t>
            </m:r>
            <m:ctrlPr>
              <w:rPr>
                <w:rFonts w:ascii="Cambria Math" w:hAnsi="Cambria Math"/>
                <w:i/>
                <w:szCs w:val="21"/>
              </w:rPr>
            </m:ctrlPr>
          </m:sub>
        </m:sSub>
        <m:r>
          <m:rPr/>
          <w:rPr>
            <w:rFonts w:ascii="Times New Roman" w:hAnsi="Times New Roman"/>
            <w:szCs w:val="21"/>
            <w:lang w:val="en-US" w:eastAsia="zh-CN"/>
          </w:rPr>
          <m:t xml:space="preserve"> </m:t>
        </m:r>
      </m:oMath>
      <w:r>
        <w:rPr>
          <w:rFonts w:ascii="Times New Roman" w:hAnsi="Times New Roman"/>
          <w:szCs w:val="21"/>
          <w:lang w:val="en-US" w:eastAsia="zh-CN" w:bidi="en-US"/>
        </w:rPr>
        <w:t>—</w:t>
      </w:r>
      <w:r>
        <w:rPr>
          <w:rFonts w:ascii="Times New Roman" w:hAnsi="Times New Roman"/>
          <w:szCs w:val="21"/>
        </w:rPr>
        <w:t>—</w:t>
      </w:r>
      <w:r>
        <w:rPr>
          <w:rFonts w:hint="eastAsia" w:ascii="Times New Roman" w:hAnsi="Times New Roman"/>
          <w:szCs w:val="21"/>
          <w:lang w:val="en-US" w:eastAsia="zh-CN"/>
        </w:rPr>
        <w:t>第</w:t>
      </w:r>
      <w:r>
        <w:rPr>
          <w:rFonts w:ascii="Times New Roman" w:hAnsi="Times New Roman"/>
          <w:szCs w:val="21"/>
          <w:lang w:val="en-US" w:eastAsia="zh-CN"/>
        </w:rPr>
        <w:t>k种添加剂的含碳量</w:t>
      </w:r>
      <w:r>
        <w:rPr>
          <w:rFonts w:ascii="Times New Roman" w:hAnsi="Times New Roman"/>
          <w:szCs w:val="21"/>
        </w:rPr>
        <w:t>，单位为</w:t>
      </w:r>
      <w:r>
        <w:rPr>
          <w:rFonts w:hint="eastAsia" w:ascii="Times New Roman" w:hAnsi="Times New Roman"/>
          <w:szCs w:val="21"/>
          <w:lang w:val="en-US" w:eastAsia="zh-CN"/>
        </w:rPr>
        <w:t>百分率</w:t>
      </w:r>
      <w:r>
        <w:rPr>
          <w:rFonts w:ascii="Times New Roman" w:hAnsi="Times New Roman"/>
          <w:szCs w:val="21"/>
          <w:lang w:val="en-US" w:eastAsia="zh-CN"/>
        </w:rPr>
        <w:t>(%)</w:t>
      </w:r>
      <w:r>
        <w:rPr>
          <w:rFonts w:ascii="Times New Roman" w:hAnsi="Times New Roman"/>
          <w:szCs w:val="21"/>
        </w:rPr>
        <w:t>；</w:t>
      </w:r>
    </w:p>
    <w:p w14:paraId="33A509F4">
      <w:pPr>
        <w:pStyle w:val="151"/>
        <w:adjustRightInd w:val="0"/>
        <w:snapToGrid w:val="0"/>
        <w:spacing w:after="0" w:line="360" w:lineRule="auto"/>
        <w:ind w:firstLine="420" w:firstLineChars="200"/>
        <w:rPr>
          <w:rFonts w:ascii="Times New Roman" w:hAnsi="Times New Roman"/>
          <w:szCs w:val="21"/>
        </w:rPr>
      </w:pPr>
      <m:oMath>
        <m:f>
          <m:fPr>
            <m:ctrlPr>
              <w:rPr>
                <w:rFonts w:ascii="Cambria Math" w:hAnsi="Cambria Math"/>
                <w:i/>
                <w:szCs w:val="21"/>
                <w:lang w:val="en-US" w:bidi="en-US"/>
              </w:rPr>
            </m:ctrlPr>
          </m:fPr>
          <m:num>
            <m:r>
              <m:rPr/>
              <w:rPr>
                <w:rFonts w:ascii="Times New Roman" w:hAnsi="Times New Roman"/>
                <w:szCs w:val="21"/>
              </w:rPr>
              <m:t>44</m:t>
            </m:r>
            <m:ctrlPr>
              <w:rPr>
                <w:rFonts w:ascii="Cambria Math" w:hAnsi="Cambria Math"/>
                <w:i/>
                <w:szCs w:val="21"/>
                <w:lang w:val="en-US" w:bidi="en-US"/>
              </w:rPr>
            </m:ctrlPr>
          </m:num>
          <m:den>
            <m:r>
              <m:rPr/>
              <w:rPr>
                <w:rFonts w:ascii="Times New Roman" w:hAnsi="Times New Roman"/>
                <w:szCs w:val="21"/>
              </w:rPr>
              <m:t>12</m:t>
            </m:r>
            <m:ctrlPr>
              <w:rPr>
                <w:rFonts w:ascii="Cambria Math" w:hAnsi="Cambria Math"/>
                <w:i/>
                <w:szCs w:val="21"/>
                <w:lang w:val="en-US" w:bidi="en-US"/>
              </w:rPr>
            </m:ctrlPr>
          </m:den>
        </m:f>
      </m:oMath>
      <w:r>
        <w:rPr>
          <w:rFonts w:ascii="Times New Roman" w:hAnsi="Times New Roman"/>
          <w:szCs w:val="21"/>
        </w:rPr>
        <w:t>——二氧化碳与碳的相对分子质量之比。</w:t>
      </w:r>
    </w:p>
    <w:p w14:paraId="10417490">
      <w:pPr>
        <w:widowControl/>
        <w:spacing w:line="360" w:lineRule="auto"/>
        <w:ind w:firstLine="420"/>
        <w:jc w:val="left"/>
        <w:rPr>
          <w:szCs w:val="21"/>
        </w:rPr>
      </w:pPr>
      <w:r>
        <w:rPr>
          <w:rFonts w:hint="eastAsia"/>
        </w:rPr>
        <w:t>其他含碳原料使用过程中产生的温室气体排放量按式（9）计算：</w:t>
      </w:r>
    </w:p>
    <w:p w14:paraId="7F305D59">
      <w:pPr>
        <w:pStyle w:val="151"/>
        <w:snapToGrid w:val="0"/>
        <w:spacing w:after="0" w:line="360" w:lineRule="auto"/>
        <w:ind w:firstLine="420"/>
        <w:jc w:val="right"/>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lang w:val="en-US" w:eastAsia="zh-CN"/>
              </w:rPr>
              <m:t>其他含碳原料</m:t>
            </m:r>
            <m:ctrlPr>
              <w:rPr>
                <w:rFonts w:ascii="Cambria Math" w:hAnsi="Cambria Math"/>
                <w:i/>
                <w:szCs w:val="21"/>
              </w:rPr>
            </m:ctrlPr>
          </m:sub>
        </m:sSub>
        <m:r>
          <m:rPr/>
          <w:rPr>
            <w:rFonts w:ascii="Times New Roman" w:hAnsi="Times New Roman" w:eastAsia="PMingLiU"/>
            <w:szCs w:val="21"/>
          </w:rPr>
          <m:t>=</m:t>
        </m:r>
        <m:nary>
          <m:naryPr>
            <m:chr m:val="∑"/>
            <m:limLoc m:val="undOvr"/>
            <m:ctrlPr>
              <w:rPr>
                <w:rFonts w:ascii="Cambria Math" w:hAnsi="Cambria Math" w:eastAsia="PMingLiU"/>
                <w:i/>
                <w:szCs w:val="21"/>
              </w:rPr>
            </m:ctrlPr>
          </m:naryPr>
          <m:sub>
            <m:r>
              <m:rPr/>
              <w:rPr>
                <w:rFonts w:ascii="Times New Roman" w:hAnsi="Times New Roman"/>
                <w:szCs w:val="21"/>
                <w:lang w:val="en-US" w:eastAsia="zh-CN"/>
              </w:rPr>
              <m:t>t</m:t>
            </m:r>
            <m:r>
              <m:rPr/>
              <w:rPr>
                <w:rFonts w:ascii="Times New Roman" w:hAnsi="Times New Roman"/>
                <w:szCs w:val="21"/>
                <w:lang w:val="en-US"/>
              </w:rPr>
              <m:t>=1</m:t>
            </m:r>
            <m:ctrlPr>
              <w:rPr>
                <w:rFonts w:ascii="Cambria Math" w:hAnsi="Cambria Math" w:eastAsia="PMingLiU"/>
                <w:i/>
                <w:szCs w:val="21"/>
              </w:rPr>
            </m:ctrlPr>
          </m:sub>
          <m:sup>
            <m:r>
              <m:rPr/>
              <w:rPr>
                <w:rFonts w:ascii="Times New Roman" w:hAnsi="Times New Roman"/>
                <w:szCs w:val="21"/>
                <w:lang w:val="en-US" w:eastAsia="zh-CN"/>
              </w:rPr>
              <m:t>p</m:t>
            </m:r>
            <m:ctrlPr>
              <w:rPr>
                <w:rFonts w:ascii="Cambria Math" w:hAnsi="Cambria Math" w:eastAsia="PMingLiU"/>
                <w:i/>
                <w:szCs w:val="21"/>
              </w:rPr>
            </m:ctrlPr>
          </m:sup>
          <m:e>
            <m:r>
              <m:rPr/>
              <w:rPr>
                <w:rFonts w:ascii="Times New Roman" w:hAnsi="Times New Roman"/>
                <w:szCs w:val="21"/>
                <w:lang w:val="en-US"/>
              </w:rPr>
              <m:t>(</m:t>
            </m:r>
            <m:sSub>
              <m:sSubPr>
                <m:ctrlPr>
                  <w:rPr>
                    <w:rFonts w:ascii="Cambria Math" w:hAnsi="Cambria Math"/>
                    <w:i/>
                    <w:szCs w:val="21"/>
                    <w:lang w:val="en-US" w:eastAsia="zh-CN"/>
                  </w:rPr>
                </m:ctrlPr>
              </m:sSubPr>
              <m:e>
                <m:r>
                  <m:rPr/>
                  <w:rPr>
                    <w:rFonts w:ascii="Times New Roman" w:hAnsi="Times New Roman"/>
                    <w:szCs w:val="21"/>
                    <w:lang w:val="en-US"/>
                  </w:rPr>
                  <m:t>Q</m:t>
                </m:r>
                <m:ctrlPr>
                  <w:rPr>
                    <w:rFonts w:ascii="Cambria Math" w:hAnsi="Cambria Math"/>
                    <w:i/>
                    <w:szCs w:val="21"/>
                    <w:lang w:val="en-US" w:eastAsia="zh-CN"/>
                  </w:rPr>
                </m:ctrlPr>
              </m:e>
              <m:sub>
                <m:r>
                  <m:rPr/>
                  <w:rPr>
                    <w:rFonts w:ascii="Times New Roman" w:hAnsi="Times New Roman"/>
                    <w:szCs w:val="21"/>
                    <w:lang w:val="en-US" w:eastAsia="zh-CN"/>
                  </w:rPr>
                  <m:t>t</m:t>
                </m:r>
                <m:ctrlPr>
                  <w:rPr>
                    <w:rFonts w:ascii="Cambria Math" w:hAnsi="Cambria Math"/>
                    <w:i/>
                    <w:szCs w:val="21"/>
                    <w:lang w:val="en-US" w:eastAsia="zh-CN"/>
                  </w:rPr>
                </m:ctrlPr>
              </m:sub>
            </m:sSub>
            <m:ctrlPr>
              <w:rPr>
                <w:rFonts w:ascii="Cambria Math" w:hAnsi="Cambria Math" w:eastAsia="PMingLiU"/>
                <w:i/>
                <w:szCs w:val="21"/>
              </w:rPr>
            </m:ctrlPr>
          </m:e>
        </m:nary>
        <m:r>
          <m:rPr/>
          <w:rPr>
            <w:rFonts w:ascii="Times New Roman" w:hAnsi="Times New Roman"/>
            <w:szCs w:val="21"/>
          </w:rPr>
          <m:t>×</m:t>
        </m:r>
        <m:sSub>
          <m:sSubPr>
            <m:ctrlPr>
              <w:rPr>
                <w:rFonts w:ascii="Cambria Math" w:hAnsi="Cambria Math"/>
                <w:i/>
                <w:szCs w:val="21"/>
              </w:rPr>
            </m:ctrlPr>
          </m:sSubPr>
          <m:e>
            <m:r>
              <m:rPr/>
              <w:rPr>
                <w:rFonts w:ascii="Times New Roman" w:hAnsi="Times New Roman"/>
                <w:szCs w:val="21"/>
                <w:lang w:val="en-US"/>
              </w:rPr>
              <m:t>C</m:t>
            </m:r>
            <m:ctrlPr>
              <w:rPr>
                <w:rFonts w:ascii="Cambria Math" w:hAnsi="Cambria Math"/>
                <w:i/>
                <w:szCs w:val="21"/>
              </w:rPr>
            </m:ctrlPr>
          </m:e>
          <m:sub>
            <m:r>
              <m:rPr/>
              <w:rPr>
                <w:rFonts w:ascii="Times New Roman" w:hAnsi="Times New Roman"/>
                <w:szCs w:val="21"/>
                <w:lang w:val="en-US" w:eastAsia="zh-CN"/>
              </w:rPr>
              <m:t>t</m:t>
            </m:r>
            <m:ctrlPr>
              <w:rPr>
                <w:rFonts w:ascii="Cambria Math" w:hAnsi="Cambria Math"/>
                <w:i/>
                <w:szCs w:val="21"/>
                <w:lang w:val="en-US" w:eastAsia="zh-CN"/>
              </w:rPr>
            </m:ctrlPr>
          </m:sub>
        </m:sSub>
        <m:r>
          <m:rPr/>
          <w:rPr>
            <w:rFonts w:ascii="Times New Roman" w:hAnsi="Times New Roman"/>
            <w:szCs w:val="21"/>
          </w:rPr>
          <m:t>×</m:t>
        </m:r>
        <m:f>
          <m:fPr>
            <m:ctrlPr>
              <w:rPr>
                <w:rFonts w:ascii="Cambria Math" w:hAnsi="Cambria Math"/>
                <w:i/>
                <w:szCs w:val="21"/>
              </w:rPr>
            </m:ctrlPr>
          </m:fPr>
          <m:num>
            <m:r>
              <m:rPr/>
              <w:rPr>
                <w:rFonts w:ascii="Times New Roman" w:hAnsi="Times New Roman"/>
                <w:szCs w:val="21"/>
                <w:lang w:val="en-US"/>
              </w:rPr>
              <m:t>44</m:t>
            </m:r>
            <m:ctrlPr>
              <w:rPr>
                <w:rFonts w:ascii="Cambria Math" w:hAnsi="Cambria Math"/>
                <w:i/>
                <w:szCs w:val="21"/>
              </w:rPr>
            </m:ctrlPr>
          </m:num>
          <m:den>
            <m:r>
              <m:rPr/>
              <w:rPr>
                <w:rFonts w:ascii="Times New Roman" w:hAnsi="Times New Roman"/>
                <w:szCs w:val="21"/>
                <w:lang w:val="en-US"/>
              </w:rPr>
              <m:t>12</m:t>
            </m:r>
            <m:ctrlPr>
              <w:rPr>
                <w:rFonts w:ascii="Cambria Math" w:hAnsi="Cambria Math"/>
                <w:i/>
                <w:szCs w:val="21"/>
              </w:rPr>
            </m:ctrlPr>
          </m:den>
        </m:f>
        <m:r>
          <m:rPr/>
          <w:rPr>
            <w:rFonts w:ascii="Times New Roman" w:hAnsi="Times New Roman"/>
            <w:szCs w:val="21"/>
            <w:lang w:val="en-US"/>
          </w:rPr>
          <m:t>)</m:t>
        </m:r>
      </m:oMath>
      <w:r>
        <w:rPr>
          <w:rFonts w:hint="eastAsia" w:ascii="Times New Roman" w:hAnsi="Times New Roman" w:cs="Times New Roman"/>
          <w:lang w:val="en-US"/>
        </w:rPr>
        <w:t xml:space="preserve"> </w:t>
      </w:r>
      <w:r>
        <w:rPr>
          <w:rFonts w:ascii="Times New Roman" w:hAnsi="Times New Roman" w:cs="Times New Roman"/>
          <w:lang w:val="en-US"/>
        </w:rPr>
        <w:t xml:space="preserve"> </w:t>
      </w:r>
      <w:r>
        <w:rPr>
          <w:rFonts w:hint="eastAsia" w:ascii="Times New Roman" w:hAnsi="Times New Roman" w:cs="Times New Roman"/>
          <w:lang w:val="en-US"/>
        </w:rPr>
        <w:t xml:space="preserve"> </w:t>
      </w:r>
      <w:r>
        <w:rPr>
          <w:rFonts w:ascii="Times New Roman" w:hAnsi="Times New Roman" w:cs="Times New Roman"/>
          <w:lang w:val="en-US"/>
        </w:rPr>
        <w:t xml:space="preserve">  </w:t>
      </w:r>
      <w:r>
        <w:rPr>
          <w:rFonts w:hint="eastAsia" w:ascii="Times New Roman" w:hAnsi="Times New Roman" w:cs="Times New Roman"/>
          <w:lang w:val="en-US"/>
        </w:rPr>
        <w:t>········（</w:t>
      </w:r>
      <w:r>
        <w:rPr>
          <w:rFonts w:hint="eastAsia" w:ascii="Times New Roman" w:hAnsi="Times New Roman" w:cs="Times New Roman"/>
          <w:lang w:val="en-US" w:eastAsia="zh-CN"/>
        </w:rPr>
        <w:t>9</w:t>
      </w:r>
      <w:r>
        <w:rPr>
          <w:rFonts w:hint="eastAsia" w:ascii="Times New Roman" w:hAnsi="Times New Roman" w:cs="Times New Roman"/>
          <w:lang w:val="en-US"/>
        </w:rPr>
        <w:t>）</w:t>
      </w:r>
    </w:p>
    <w:p w14:paraId="43E8C9B9">
      <w:pPr>
        <w:pStyle w:val="151"/>
        <w:snapToGrid w:val="0"/>
        <w:spacing w:after="0" w:line="360" w:lineRule="auto"/>
        <w:jc w:val="both"/>
        <w:rPr>
          <w:rFonts w:ascii="Times New Roman" w:hAnsi="Times New Roman"/>
          <w:szCs w:val="21"/>
        </w:rPr>
      </w:pPr>
      <w:r>
        <w:rPr>
          <w:rFonts w:ascii="Times New Roman" w:hAnsi="Times New Roman"/>
          <w:szCs w:val="21"/>
        </w:rPr>
        <w:t>式中：</w:t>
      </w:r>
    </w:p>
    <w:p w14:paraId="0EF0DE23">
      <w:pPr>
        <w:pStyle w:val="151"/>
        <w:spacing w:after="0" w:line="360" w:lineRule="auto"/>
        <w:ind w:firstLine="420" w:firstLineChars="200"/>
        <w:jc w:val="both"/>
        <w:rPr>
          <w:rFonts w:ascii="Times New Roman" w:hAnsi="Times New Roman" w:eastAsia="PMingLiU"/>
          <w:szCs w:val="21"/>
        </w:rPr>
      </w:pPr>
      <m:oMath>
        <m:r>
          <m:rPr/>
          <w:rPr>
            <w:rFonts w:ascii="Times New Roman" w:hAnsi="Times New Roman"/>
            <w:szCs w:val="21"/>
            <w:lang w:val="en-US" w:eastAsia="zh-CN" w:bidi="en-US"/>
          </w:rPr>
          <m:t xml:space="preserve">t     </m:t>
        </m:r>
      </m:oMath>
      <w:r>
        <w:rPr>
          <w:rFonts w:ascii="Times New Roman" w:hAnsi="Times New Roman"/>
          <w:szCs w:val="21"/>
        </w:rPr>
        <w:t>——</w:t>
      </w:r>
      <w:r>
        <w:rPr>
          <w:rFonts w:hint="eastAsia" w:ascii="Times New Roman" w:hAnsi="Times New Roman"/>
          <w:szCs w:val="21"/>
          <w:lang w:val="en-US" w:eastAsia="zh-CN"/>
        </w:rPr>
        <w:t>其他含碳原料类型代号</w:t>
      </w:r>
      <w:r>
        <w:rPr>
          <w:rFonts w:hint="eastAsia" w:ascii="Times New Roman" w:hAnsi="Times New Roman"/>
          <w:szCs w:val="21"/>
          <w:lang w:val="en-US" w:eastAsia="zh-CN" w:bidi="en-US"/>
        </w:rPr>
        <w:t>；</w:t>
      </w:r>
    </w:p>
    <w:p w14:paraId="5E4A1D14">
      <w:pPr>
        <w:pStyle w:val="151"/>
        <w:adjustRightInd w:val="0"/>
        <w:snapToGrid w:val="0"/>
        <w:spacing w:after="0" w:line="360" w:lineRule="auto"/>
        <w:ind w:firstLine="420" w:firstLineChars="200"/>
        <w:jc w:val="both"/>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lang w:val="en-US" w:eastAsia="zh-CN"/>
              </w:rPr>
              <m:t>Q</m:t>
            </m:r>
            <m:ctrlPr>
              <w:rPr>
                <w:rFonts w:ascii="Cambria Math" w:hAnsi="Cambria Math"/>
                <w:i/>
                <w:szCs w:val="21"/>
              </w:rPr>
            </m:ctrlPr>
          </m:e>
          <m:sub>
            <m:r>
              <m:rPr/>
              <w:rPr>
                <w:rFonts w:ascii="Times New Roman" w:hAnsi="Times New Roman"/>
                <w:szCs w:val="21"/>
                <w:lang w:val="en-US" w:eastAsia="zh-CN"/>
              </w:rPr>
              <m:t>t</m:t>
            </m:r>
            <m:ctrlPr>
              <w:rPr>
                <w:rFonts w:ascii="Cambria Math" w:hAnsi="Cambria Math"/>
                <w:i/>
                <w:szCs w:val="21"/>
              </w:rPr>
            </m:ctrlPr>
          </m:sub>
        </m:sSub>
      </m:oMath>
      <w:r>
        <w:rPr>
          <w:rFonts w:ascii="Times New Roman" w:hAnsi="Times New Roman"/>
          <w:szCs w:val="21"/>
        </w:rPr>
        <w:t>——</w:t>
      </w:r>
      <w:r>
        <w:rPr>
          <w:rFonts w:hint="eastAsia" w:ascii="Times New Roman" w:hAnsi="Times New Roman"/>
          <w:szCs w:val="21"/>
        </w:rPr>
        <w:t>核算和报告年度内</w:t>
      </w:r>
      <w:r>
        <w:rPr>
          <w:rFonts w:hint="eastAsia" w:ascii="Times New Roman" w:hAnsi="Times New Roman"/>
          <w:szCs w:val="21"/>
          <w:lang w:eastAsia="zh-CN"/>
        </w:rPr>
        <w:t>，</w:t>
      </w:r>
      <w:r>
        <w:rPr>
          <w:rFonts w:hint="eastAsia" w:ascii="Times New Roman" w:hAnsi="Times New Roman"/>
          <w:szCs w:val="21"/>
          <w:lang w:val="en-US" w:eastAsia="zh-CN"/>
        </w:rPr>
        <w:t>第</w:t>
      </w:r>
      <w:r>
        <w:rPr>
          <w:rFonts w:ascii="Times New Roman" w:hAnsi="Times New Roman"/>
          <w:szCs w:val="21"/>
          <w:lang w:val="en-US" w:eastAsia="zh-CN"/>
        </w:rPr>
        <w:t>t种其他含碳原料的消耗量</w:t>
      </w:r>
      <w:r>
        <w:rPr>
          <w:rFonts w:ascii="Times New Roman" w:hAnsi="Times New Roman"/>
          <w:szCs w:val="21"/>
        </w:rPr>
        <w:t>，单位为吨</w:t>
      </w:r>
      <w:r>
        <w:rPr>
          <w:rFonts w:ascii="Times New Roman" w:hAnsi="Times New Roman" w:cs="Times New Roman"/>
          <w:szCs w:val="21"/>
          <w:lang w:val="en-US" w:eastAsia="zh-CN" w:bidi="en-US"/>
        </w:rPr>
        <w:t>(t)</w:t>
      </w:r>
      <w:r>
        <w:rPr>
          <w:rFonts w:ascii="Times New Roman" w:hAnsi="Times New Roman"/>
          <w:szCs w:val="21"/>
        </w:rPr>
        <w:t>；</w:t>
      </w:r>
    </w:p>
    <w:p w14:paraId="73BCE0EE">
      <w:pPr>
        <w:pStyle w:val="151"/>
        <w:adjustRightInd w:val="0"/>
        <w:snapToGrid w:val="0"/>
        <w:spacing w:after="0" w:line="360" w:lineRule="auto"/>
        <w:ind w:firstLine="420" w:firstLineChars="200"/>
        <w:jc w:val="both"/>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rPr>
              <m:t>C</m:t>
            </m:r>
            <m:ctrlPr>
              <w:rPr>
                <w:rFonts w:ascii="Cambria Math" w:hAnsi="Cambria Math"/>
                <w:i/>
                <w:szCs w:val="21"/>
              </w:rPr>
            </m:ctrlPr>
          </m:e>
          <m:sub>
            <m:r>
              <m:rPr/>
              <w:rPr>
                <w:rFonts w:ascii="Times New Roman" w:hAnsi="Times New Roman"/>
                <w:szCs w:val="21"/>
                <w:lang w:val="en-US" w:eastAsia="zh-CN"/>
              </w:rPr>
              <m:t>t</m:t>
            </m:r>
            <m:ctrlPr>
              <w:rPr>
                <w:rFonts w:ascii="Cambria Math" w:hAnsi="Cambria Math"/>
                <w:i/>
                <w:szCs w:val="21"/>
              </w:rPr>
            </m:ctrlPr>
          </m:sub>
        </m:sSub>
        <m:r>
          <m:rPr/>
          <w:rPr>
            <w:rFonts w:ascii="Times New Roman" w:hAnsi="Times New Roman"/>
            <w:szCs w:val="21"/>
            <w:lang w:val="en-US" w:eastAsia="zh-CN"/>
          </w:rPr>
          <m:t xml:space="preserve"> </m:t>
        </m:r>
      </m:oMath>
      <w:r>
        <w:rPr>
          <w:rFonts w:ascii="Times New Roman" w:hAnsi="Times New Roman"/>
          <w:szCs w:val="21"/>
          <w:lang w:val="en-US" w:eastAsia="zh-CN" w:bidi="en-US"/>
        </w:rPr>
        <w:t>—</w:t>
      </w:r>
      <w:r>
        <w:rPr>
          <w:rFonts w:ascii="Times New Roman" w:hAnsi="Times New Roman"/>
          <w:szCs w:val="21"/>
        </w:rPr>
        <w:t>—</w:t>
      </w:r>
      <w:r>
        <w:rPr>
          <w:rFonts w:hint="eastAsia" w:ascii="Times New Roman" w:hAnsi="Times New Roman"/>
          <w:szCs w:val="21"/>
          <w:lang w:val="en-US" w:eastAsia="zh-CN"/>
        </w:rPr>
        <w:t>第</w:t>
      </w:r>
      <w:r>
        <w:rPr>
          <w:rFonts w:ascii="Times New Roman" w:hAnsi="Times New Roman"/>
          <w:szCs w:val="21"/>
          <w:lang w:val="en-US" w:eastAsia="zh-CN"/>
        </w:rPr>
        <w:t>t种其他含碳原料的含碳量</w:t>
      </w:r>
      <w:r>
        <w:rPr>
          <w:rFonts w:ascii="Times New Roman" w:hAnsi="Times New Roman"/>
          <w:szCs w:val="21"/>
        </w:rPr>
        <w:t>，单位为</w:t>
      </w:r>
      <w:r>
        <w:rPr>
          <w:rFonts w:hint="eastAsia" w:ascii="Times New Roman" w:hAnsi="Times New Roman"/>
          <w:szCs w:val="21"/>
          <w:lang w:val="en-US" w:eastAsia="zh-CN"/>
        </w:rPr>
        <w:t>百分率</w:t>
      </w:r>
      <w:r>
        <w:rPr>
          <w:rFonts w:ascii="Times New Roman" w:hAnsi="Times New Roman"/>
          <w:szCs w:val="21"/>
          <w:lang w:val="en-US" w:eastAsia="zh-CN"/>
        </w:rPr>
        <w:t>(%)</w:t>
      </w:r>
      <w:r>
        <w:rPr>
          <w:rFonts w:ascii="Times New Roman" w:hAnsi="Times New Roman"/>
          <w:szCs w:val="21"/>
        </w:rPr>
        <w:t>；</w:t>
      </w:r>
    </w:p>
    <w:p w14:paraId="2D3CF507">
      <w:pPr>
        <w:pStyle w:val="151"/>
        <w:adjustRightInd w:val="0"/>
        <w:snapToGrid w:val="0"/>
        <w:spacing w:after="0" w:line="360" w:lineRule="auto"/>
        <w:ind w:firstLine="420" w:firstLineChars="200"/>
        <w:rPr>
          <w:rFonts w:ascii="Times New Roman" w:hAnsi="Times New Roman"/>
          <w:szCs w:val="21"/>
        </w:rPr>
      </w:pPr>
      <m:oMath>
        <m:f>
          <m:fPr>
            <m:ctrlPr>
              <w:rPr>
                <w:rFonts w:ascii="Cambria Math" w:hAnsi="Cambria Math"/>
                <w:i/>
                <w:szCs w:val="21"/>
                <w:lang w:val="en-US" w:bidi="en-US"/>
              </w:rPr>
            </m:ctrlPr>
          </m:fPr>
          <m:num>
            <m:r>
              <m:rPr/>
              <w:rPr>
                <w:rFonts w:ascii="Times New Roman" w:hAnsi="Times New Roman"/>
                <w:szCs w:val="21"/>
              </w:rPr>
              <m:t>44</m:t>
            </m:r>
            <m:ctrlPr>
              <w:rPr>
                <w:rFonts w:ascii="Cambria Math" w:hAnsi="Cambria Math"/>
                <w:i/>
                <w:szCs w:val="21"/>
                <w:lang w:val="en-US" w:bidi="en-US"/>
              </w:rPr>
            </m:ctrlPr>
          </m:num>
          <m:den>
            <m:r>
              <m:rPr/>
              <w:rPr>
                <w:rFonts w:ascii="Times New Roman" w:hAnsi="Times New Roman"/>
                <w:szCs w:val="21"/>
              </w:rPr>
              <m:t>12</m:t>
            </m:r>
            <m:ctrlPr>
              <w:rPr>
                <w:rFonts w:ascii="Cambria Math" w:hAnsi="Cambria Math"/>
                <w:i/>
                <w:szCs w:val="21"/>
                <w:lang w:val="en-US" w:bidi="en-US"/>
              </w:rPr>
            </m:ctrlPr>
          </m:den>
        </m:f>
      </m:oMath>
      <w:r>
        <w:rPr>
          <w:rFonts w:ascii="Times New Roman" w:hAnsi="Times New Roman"/>
          <w:szCs w:val="21"/>
        </w:rPr>
        <w:t>——二氧化碳与碳的相对分子质量之比。</w:t>
      </w:r>
    </w:p>
    <w:p w14:paraId="543BF29F">
      <w:pPr>
        <w:pStyle w:val="151"/>
        <w:snapToGrid w:val="0"/>
        <w:spacing w:after="0" w:line="360" w:lineRule="auto"/>
        <w:ind w:firstLine="360" w:firstLineChars="200"/>
        <w:jc w:val="both"/>
        <w:rPr>
          <w:rFonts w:ascii="Times New Roman" w:hAnsi="Times New Roman"/>
          <w:sz w:val="18"/>
          <w:szCs w:val="18"/>
          <w:lang w:val="en-US" w:eastAsia="zh-CN"/>
        </w:rPr>
      </w:pPr>
      <w:r>
        <w:rPr>
          <w:rFonts w:hint="eastAsia" w:ascii="Times New Roman" w:hAnsi="Times New Roman"/>
          <w:sz w:val="18"/>
          <w:szCs w:val="18"/>
          <w:lang w:val="en-US" w:eastAsia="zh-CN"/>
        </w:rPr>
        <w:t>注：公式（8）、公式（9）计算默认假设添加剂、其他含碳原料中碳全部氧化转化为二氧化碳。企业无自检能力时，可委托第三方开展残碳检测；当焙烧工况可证实存在明显残碳留存于固体废渣，且具备残碳实测条件时，宜根据实测残碳含量对参与氧化的碳量予以修正；不开展残碳检测时，按碳全部氧化计算。</w:t>
      </w:r>
    </w:p>
    <w:p w14:paraId="204A656F">
      <w:pPr>
        <w:spacing w:line="360" w:lineRule="auto"/>
        <w:rPr>
          <w:rFonts w:eastAsia="黑体"/>
        </w:rPr>
      </w:pPr>
      <w:r>
        <w:rPr>
          <w:rFonts w:eastAsia="黑体"/>
        </w:rPr>
        <w:t>6.2.3.4.2 活动数据获取</w:t>
      </w:r>
    </w:p>
    <w:p w14:paraId="54F5BE34">
      <w:pPr>
        <w:tabs>
          <w:tab w:val="left" w:pos="512"/>
          <w:tab w:val="left" w:pos="513"/>
          <w:tab w:val="right" w:pos="10208"/>
        </w:tabs>
        <w:spacing w:line="360" w:lineRule="auto"/>
        <w:ind w:firstLine="420" w:firstLineChars="200"/>
        <w:rPr>
          <w:lang w:bidi="en-US"/>
        </w:rPr>
      </w:pPr>
      <w:r>
        <w:rPr>
          <w:rFonts w:hint="eastAsia"/>
          <w:lang w:bidi="en-US"/>
        </w:rPr>
        <w:t>a) 添加剂及其他含碳原料消耗量采用企业实际计量或购销存台账记录值；</w:t>
      </w:r>
    </w:p>
    <w:p w14:paraId="31A722A1">
      <w:pPr>
        <w:tabs>
          <w:tab w:val="left" w:pos="512"/>
          <w:tab w:val="left" w:pos="513"/>
          <w:tab w:val="right" w:pos="10208"/>
        </w:tabs>
        <w:spacing w:line="360" w:lineRule="auto"/>
        <w:ind w:firstLine="420" w:firstLineChars="200"/>
        <w:rPr>
          <w:szCs w:val="21"/>
        </w:rPr>
      </w:pPr>
      <w:r>
        <w:rPr>
          <w:rFonts w:hint="eastAsia"/>
          <w:lang w:bidi="en-US"/>
        </w:rPr>
        <w:t>b) 添加剂及其他含碳原料含碳量：</w:t>
      </w:r>
      <w:r>
        <w:rPr>
          <w:rFonts w:hint="eastAsia"/>
          <w:szCs w:val="21"/>
        </w:rPr>
        <w:t>采用供应商提供的产品检测报告数据，无供应商数据的，委托专业机构实测。</w:t>
      </w:r>
    </w:p>
    <w:p w14:paraId="52E61D6B">
      <w:pPr>
        <w:spacing w:line="360" w:lineRule="auto"/>
        <w:rPr>
          <w:rFonts w:eastAsia="黑体"/>
        </w:rPr>
      </w:pPr>
      <w:r>
        <w:rPr>
          <w:rFonts w:eastAsia="黑体"/>
        </w:rPr>
        <w:t>6.2.4废弃物处理处置</w:t>
      </w:r>
      <w:r>
        <w:rPr>
          <w:rFonts w:hint="eastAsia" w:eastAsia="黑体"/>
        </w:rPr>
        <w:t>排放</w:t>
      </w:r>
    </w:p>
    <w:p w14:paraId="6446857F">
      <w:pPr>
        <w:spacing w:line="360" w:lineRule="auto"/>
        <w:rPr>
          <w:rFonts w:eastAsia="黑体"/>
        </w:rPr>
      </w:pPr>
      <w:r>
        <w:rPr>
          <w:rFonts w:eastAsia="黑体"/>
        </w:rPr>
        <w:t>6.2.4.1计算公式</w:t>
      </w:r>
    </w:p>
    <w:p w14:paraId="15638E40">
      <w:pPr>
        <w:pStyle w:val="151"/>
        <w:snapToGrid w:val="0"/>
        <w:spacing w:after="0" w:line="360" w:lineRule="auto"/>
        <w:ind w:firstLine="403"/>
        <w:jc w:val="both"/>
        <w:rPr>
          <w:rFonts w:ascii="Times New Roman" w:hAnsi="Times New Roman" w:cs="Times New Roman"/>
          <w:lang w:val="en-US" w:eastAsia="zh-CN" w:bidi="ar-SA"/>
        </w:rPr>
      </w:pPr>
      <w:r>
        <w:rPr>
          <w:rFonts w:hint="eastAsia" w:ascii="Times New Roman" w:hAnsi="Times New Roman" w:cs="Times New Roman"/>
          <w:lang w:val="en-US" w:eastAsia="zh-CN" w:bidi="ar-SA"/>
        </w:rPr>
        <w:t>报告主体废弃物处理处置排放主要包括：废弃物治理过程碳酸盐药剂分解产生的二氧化碳排放。如洗涤塔处理废气过程中使用碳酸盐类碱洗液、酸性废水处理过程中使用碳酸盐中和酸类物质产生的二氧化碳排放。</w:t>
      </w:r>
      <w:r>
        <w:rPr>
          <w:rFonts w:ascii="Times New Roman" w:hAnsi="Times New Roman" w:cs="Times New Roman"/>
          <w:lang w:val="en-US" w:eastAsia="zh-CN" w:bidi="ar-SA"/>
        </w:rPr>
        <w:t>按</w:t>
      </w:r>
      <w:r>
        <w:rPr>
          <w:rFonts w:hint="eastAsia" w:ascii="Times New Roman" w:hAnsi="Times New Roman" w:cs="Times New Roman"/>
          <w:lang w:val="en-US" w:eastAsia="zh-CN" w:bidi="ar-SA"/>
        </w:rPr>
        <w:t>公</w:t>
      </w:r>
      <w:r>
        <w:rPr>
          <w:rFonts w:ascii="Times New Roman" w:hAnsi="Times New Roman" w:cs="Times New Roman"/>
          <w:lang w:val="en-US" w:eastAsia="zh-CN" w:bidi="ar-SA"/>
        </w:rPr>
        <w:t>式</w:t>
      </w:r>
      <w:r>
        <w:rPr>
          <w:rFonts w:hint="eastAsia" w:ascii="Times New Roman" w:hAnsi="Times New Roman" w:cs="Times New Roman"/>
          <w:lang w:val="en-US" w:eastAsia="zh-CN" w:bidi="ar-SA"/>
        </w:rPr>
        <w:t>（</w:t>
      </w:r>
      <w:r>
        <w:rPr>
          <w:rFonts w:ascii="Times New Roman" w:hAnsi="Times New Roman" w:cs="Times New Roman"/>
          <w:lang w:val="en-US" w:eastAsia="zh-CN" w:bidi="ar-SA"/>
        </w:rPr>
        <w:t>10）计算：</w:t>
      </w:r>
    </w:p>
    <w:p w14:paraId="29738F4D">
      <w:pPr>
        <w:pStyle w:val="151"/>
        <w:snapToGrid w:val="0"/>
        <w:spacing w:after="0" w:line="360" w:lineRule="auto"/>
        <w:ind w:firstLine="420"/>
        <w:jc w:val="right"/>
        <w:rPr>
          <w:rFonts w:ascii="Times New Roman" w:hAnsi="Times New Roman" w:eastAsia="PMingLiU"/>
          <w:szCs w:val="21"/>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lang w:val="en-US" w:eastAsia="zh-CN"/>
              </w:rPr>
              <m:t>废弃物</m:t>
            </m:r>
            <m:ctrlPr>
              <w:rPr>
                <w:rFonts w:ascii="Cambria Math" w:hAnsi="Cambria Math"/>
                <w:i/>
                <w:szCs w:val="21"/>
              </w:rPr>
            </m:ctrlPr>
          </m:sub>
        </m:sSub>
        <m:r>
          <m:rPr/>
          <w:rPr>
            <w:rFonts w:ascii="Times New Roman" w:hAnsi="Times New Roman" w:eastAsia="PMingLiU"/>
            <w:szCs w:val="21"/>
          </w:rPr>
          <m:t>=</m:t>
        </m:r>
        <m:nary>
          <m:naryPr>
            <m:chr m:val="∑"/>
            <m:limLoc m:val="subSup"/>
            <m:ctrlPr>
              <w:rPr>
                <w:rFonts w:ascii="Cambria Math" w:hAnsi="Cambria Math" w:eastAsia="PMingLiU"/>
                <w:i/>
                <w:szCs w:val="21"/>
              </w:rPr>
            </m:ctrlPr>
          </m:naryPr>
          <m:sub>
            <m:r>
              <m:rPr/>
              <w:rPr>
                <w:rFonts w:ascii="Times New Roman" w:hAnsi="Times New Roman"/>
                <w:szCs w:val="21"/>
                <w:lang w:val="en-US" w:eastAsia="zh-CN"/>
              </w:rPr>
              <m:t>s</m:t>
            </m:r>
            <m:r>
              <m:rPr/>
              <w:rPr>
                <w:rFonts w:ascii="Times New Roman" w:hAnsi="Times New Roman"/>
                <w:szCs w:val="21"/>
                <w:lang w:val="en-US"/>
              </w:rPr>
              <m:t>=1</m:t>
            </m:r>
            <m:ctrlPr>
              <w:rPr>
                <w:rFonts w:ascii="Cambria Math" w:hAnsi="Cambria Math" w:eastAsia="PMingLiU"/>
                <w:i/>
                <w:szCs w:val="21"/>
              </w:rPr>
            </m:ctrlPr>
          </m:sub>
          <m:sup>
            <m:r>
              <m:rPr/>
              <w:rPr>
                <w:rFonts w:ascii="Times New Roman" w:hAnsi="Times New Roman"/>
                <w:szCs w:val="21"/>
                <w:lang w:val="en-US" w:eastAsia="zh-CN"/>
              </w:rPr>
              <m:t>u</m:t>
            </m:r>
            <m:ctrlPr>
              <w:rPr>
                <w:rFonts w:ascii="Cambria Math" w:hAnsi="Cambria Math" w:eastAsia="PMingLiU"/>
                <w:i/>
                <w:szCs w:val="21"/>
              </w:rPr>
            </m:ctrlPr>
          </m:sup>
          <m:e>
            <m:r>
              <m:rPr/>
              <w:rPr>
                <w:rFonts w:ascii="Times New Roman" w:hAnsi="Times New Roman"/>
                <w:szCs w:val="21"/>
                <w:lang w:val="en-US"/>
              </w:rPr>
              <m:t>(</m:t>
            </m:r>
            <m:sSub>
              <m:sSubPr>
                <m:ctrlPr>
                  <w:rPr>
                    <w:rFonts w:ascii="Cambria Math" w:hAnsi="Cambria Math"/>
                    <w:i/>
                    <w:szCs w:val="21"/>
                    <w:lang w:val="en-US" w:eastAsia="zh-CN"/>
                  </w:rPr>
                </m:ctrlPr>
              </m:sSubPr>
              <m:e>
                <m:r>
                  <m:rPr/>
                  <w:rPr>
                    <w:rFonts w:ascii="Times New Roman" w:hAnsi="Times New Roman"/>
                    <w:szCs w:val="21"/>
                    <w:lang w:val="en-US"/>
                  </w:rPr>
                  <m:t>M</m:t>
                </m:r>
                <m:ctrlPr>
                  <w:rPr>
                    <w:rFonts w:ascii="Cambria Math" w:hAnsi="Cambria Math"/>
                    <w:i/>
                    <w:szCs w:val="21"/>
                    <w:lang w:val="en-US" w:eastAsia="zh-CN"/>
                  </w:rPr>
                </m:ctrlPr>
              </m:e>
              <m:sub>
                <m:r>
                  <m:rPr/>
                  <w:rPr>
                    <w:rFonts w:ascii="Times New Roman" w:hAnsi="Times New Roman"/>
                    <w:szCs w:val="21"/>
                    <w:lang w:val="en-US" w:eastAsia="zh-CN"/>
                  </w:rPr>
                  <m:t>s</m:t>
                </m:r>
                <m:ctrlPr>
                  <w:rPr>
                    <w:rFonts w:ascii="Cambria Math" w:hAnsi="Cambria Math"/>
                    <w:i/>
                    <w:szCs w:val="21"/>
                    <w:lang w:val="en-US" w:eastAsia="zh-CN"/>
                  </w:rPr>
                </m:ctrlPr>
              </m:sub>
            </m:sSub>
            <m:ctrlPr>
              <w:rPr>
                <w:rFonts w:ascii="Cambria Math" w:hAnsi="Cambria Math" w:eastAsia="PMingLiU"/>
                <w:i/>
                <w:szCs w:val="21"/>
              </w:rPr>
            </m:ctrlPr>
          </m:e>
        </m:nary>
        <m:r>
          <m:rPr/>
          <w:rPr>
            <w:rFonts w:ascii="Times New Roman" w:hAnsi="Times New Roman"/>
            <w:szCs w:val="21"/>
          </w:rPr>
          <m:t>×</m:t>
        </m:r>
        <m:sSub>
          <m:sSubPr>
            <m:ctrlPr>
              <w:rPr>
                <w:rFonts w:ascii="Cambria Math" w:hAnsi="Cambria Math"/>
                <w:i/>
                <w:szCs w:val="21"/>
              </w:rPr>
            </m:ctrlPr>
          </m:sSubPr>
          <m:e>
            <m:r>
              <m:rPr/>
              <w:rPr>
                <w:rFonts w:ascii="Times New Roman" w:hAnsi="Times New Roman"/>
                <w:szCs w:val="21"/>
              </w:rPr>
              <m:t>ω</m:t>
            </m:r>
            <m:ctrlPr>
              <w:rPr>
                <w:rFonts w:ascii="Cambria Math" w:hAnsi="Cambria Math"/>
                <w:i/>
                <w:szCs w:val="21"/>
              </w:rPr>
            </m:ctrlPr>
          </m:e>
          <m:sub>
            <m:r>
              <m:rPr/>
              <w:rPr>
                <w:rFonts w:ascii="Times New Roman" w:hAnsi="Times New Roman"/>
                <w:szCs w:val="21"/>
                <w:lang w:val="en-US" w:eastAsia="zh-CN"/>
              </w:rPr>
              <m:t>s</m:t>
            </m:r>
            <m:ctrlPr>
              <w:rPr>
                <w:rFonts w:ascii="Cambria Math" w:hAnsi="Cambria Math"/>
                <w:i/>
                <w:szCs w:val="21"/>
              </w:rPr>
            </m:ctrlPr>
          </m:sub>
        </m:sSub>
        <m:r>
          <m:rPr/>
          <w:rPr>
            <w:rFonts w:ascii="Times New Roman" w:hAnsi="Times New Roman"/>
            <w:szCs w:val="21"/>
          </w:rPr>
          <m:t>×</m:t>
        </m:r>
        <m:sSub>
          <m:sSubPr>
            <m:ctrlPr>
              <w:rPr>
                <w:rFonts w:ascii="Cambria Math" w:hAnsi="Cambria Math"/>
                <w:i/>
                <w:szCs w:val="21"/>
              </w:rPr>
            </m:ctrlPr>
          </m:sSubPr>
          <m:e>
            <m:r>
              <m:rPr/>
              <w:rPr>
                <w:rFonts w:ascii="Times New Roman" w:hAnsi="Times New Roman"/>
                <w:szCs w:val="21"/>
                <w:lang w:val="en-US"/>
              </w:rPr>
              <m:t>EF</m:t>
            </m:r>
            <m:ctrlPr>
              <w:rPr>
                <w:rFonts w:ascii="Cambria Math" w:hAnsi="Cambria Math"/>
                <w:i/>
                <w:szCs w:val="21"/>
              </w:rPr>
            </m:ctrlPr>
          </m:e>
          <m:sub>
            <m:r>
              <m:rPr/>
              <w:rPr>
                <w:rFonts w:ascii="Times New Roman" w:hAnsi="Times New Roman"/>
                <w:szCs w:val="21"/>
                <w:lang w:val="en-US" w:eastAsia="zh-CN"/>
              </w:rPr>
              <m:t>s</m:t>
            </m:r>
            <m:ctrlPr>
              <w:rPr>
                <w:rFonts w:ascii="Cambria Math" w:hAnsi="Cambria Math"/>
                <w:i/>
                <w:szCs w:val="21"/>
              </w:rPr>
            </m:ctrlPr>
          </m:sub>
        </m:sSub>
        <m:r>
          <m:rPr/>
          <w:rPr>
            <w:rFonts w:ascii="Times New Roman" w:hAnsi="Times New Roman"/>
            <w:szCs w:val="21"/>
          </w:rPr>
          <m:t>×</m:t>
        </m:r>
        <m:sSub>
          <m:sSubPr>
            <m:ctrlPr>
              <w:rPr>
                <w:rFonts w:ascii="Cambria Math" w:hAnsi="Cambria Math"/>
                <w:i/>
                <w:szCs w:val="21"/>
              </w:rPr>
            </m:ctrlPr>
          </m:sSubPr>
          <m:e>
            <m:r>
              <m:rPr/>
              <w:rPr>
                <w:rFonts w:ascii="Times New Roman" w:hAnsi="Times New Roman"/>
                <w:szCs w:val="21"/>
                <w:lang w:val="en-US"/>
              </w:rPr>
              <m:t>η</m:t>
            </m:r>
            <m:ctrlPr>
              <w:rPr>
                <w:rFonts w:ascii="Cambria Math" w:hAnsi="Cambria Math"/>
                <w:i/>
                <w:szCs w:val="21"/>
              </w:rPr>
            </m:ctrlPr>
          </m:e>
          <m:sub>
            <m:r>
              <m:rPr/>
              <w:rPr>
                <w:rFonts w:ascii="Times New Roman" w:hAnsi="Times New Roman"/>
                <w:szCs w:val="21"/>
                <w:lang w:val="en-US" w:eastAsia="zh-CN"/>
              </w:rPr>
              <m:t>s</m:t>
            </m:r>
            <m:ctrlPr>
              <w:rPr>
                <w:rFonts w:ascii="Cambria Math" w:hAnsi="Cambria Math"/>
                <w:i/>
                <w:szCs w:val="21"/>
              </w:rPr>
            </m:ctrlPr>
          </m:sub>
        </m:sSub>
        <m:r>
          <m:rPr/>
          <w:rPr>
            <w:rFonts w:ascii="Times New Roman" w:hAnsi="Times New Roman"/>
            <w:szCs w:val="21"/>
            <w:lang w:val="en-US"/>
          </w:rPr>
          <m:t>)</m:t>
        </m:r>
      </m:oMath>
      <w:r>
        <w:rPr>
          <w:rFonts w:ascii="Times New Roman" w:hAnsi="Times New Roman" w:cs="Times New Roman"/>
          <w:lang w:val="en-US"/>
        </w:rPr>
        <w:t xml:space="preserve">  </w:t>
      </w:r>
      <w:r>
        <w:rPr>
          <w:rFonts w:hint="eastAsia" w:ascii="Times New Roman" w:hAnsi="Times New Roman" w:cs="Times New Roman"/>
          <w:lang w:val="en-US"/>
        </w:rPr>
        <w:t>········（</w:t>
      </w:r>
      <w:r>
        <w:rPr>
          <w:rFonts w:hint="eastAsia" w:ascii="Times New Roman" w:hAnsi="Times New Roman" w:cs="Times New Roman"/>
          <w:lang w:val="en-US" w:eastAsia="zh-CN"/>
        </w:rPr>
        <w:t>10</w:t>
      </w:r>
      <w:r>
        <w:rPr>
          <w:rFonts w:hint="eastAsia" w:ascii="Times New Roman" w:hAnsi="Times New Roman" w:cs="Times New Roman"/>
          <w:lang w:val="en-US"/>
        </w:rPr>
        <w:t>）</w:t>
      </w:r>
    </w:p>
    <w:p w14:paraId="3268FBBA">
      <w:pPr>
        <w:pStyle w:val="151"/>
        <w:snapToGrid w:val="0"/>
        <w:spacing w:after="0" w:line="360" w:lineRule="auto"/>
        <w:jc w:val="both"/>
        <w:rPr>
          <w:rFonts w:ascii="Times New Roman" w:hAnsi="Times New Roman"/>
          <w:szCs w:val="21"/>
        </w:rPr>
      </w:pPr>
      <w:r>
        <w:rPr>
          <w:rFonts w:ascii="Times New Roman" w:hAnsi="Times New Roman"/>
          <w:szCs w:val="21"/>
        </w:rPr>
        <w:t>式中：</w:t>
      </w:r>
    </w:p>
    <w:p w14:paraId="0250F93A">
      <w:pPr>
        <w:pStyle w:val="151"/>
        <w:adjustRightInd w:val="0"/>
        <w:snapToGrid w:val="0"/>
        <w:spacing w:after="0" w:line="360" w:lineRule="auto"/>
        <w:ind w:firstLine="420" w:firstLineChars="200"/>
        <w:jc w:val="both"/>
        <w:rPr>
          <w:rFonts w:ascii="Times New Roman" w:hAnsi="Times New Roman"/>
          <w:szCs w:val="21"/>
        </w:rPr>
      </w:pPr>
      <m:oMath>
        <m:r>
          <m:rPr/>
          <w:rPr>
            <w:rFonts w:ascii="Times New Roman" w:hAnsi="Times New Roman"/>
            <w:szCs w:val="21"/>
            <w:lang w:val="en-US" w:eastAsia="zh-CN" w:bidi="en-US"/>
          </w:rPr>
          <m:t xml:space="preserve">s    </m:t>
        </m:r>
      </m:oMath>
      <w:r>
        <w:rPr>
          <w:rFonts w:ascii="Times New Roman" w:hAnsi="Times New Roman"/>
          <w:szCs w:val="21"/>
          <w:lang w:val="en-US" w:eastAsia="zh-CN" w:bidi="en-US"/>
        </w:rPr>
        <w:t xml:space="preserve">  </w:t>
      </w:r>
      <w:r>
        <w:rPr>
          <w:rFonts w:ascii="Times New Roman" w:hAnsi="Times New Roman"/>
          <w:szCs w:val="21"/>
        </w:rPr>
        <w:t>——</w:t>
      </w:r>
      <w:r>
        <w:rPr>
          <w:rFonts w:hint="eastAsia" w:ascii="Times New Roman" w:hAnsi="Times New Roman"/>
          <w:szCs w:val="21"/>
          <w:lang w:val="en-US" w:eastAsia="zh-CN"/>
        </w:rPr>
        <w:t>废弃物治理所用碳酸盐药剂类型代号</w:t>
      </w:r>
      <w:r>
        <w:rPr>
          <w:rFonts w:ascii="Times New Roman" w:hAnsi="Times New Roman"/>
          <w:szCs w:val="21"/>
          <w:lang w:val="en-US" w:eastAsia="zh-CN" w:bidi="en-US"/>
        </w:rPr>
        <w:t>；</w:t>
      </w:r>
    </w:p>
    <w:p w14:paraId="18AD1C5B">
      <w:pPr>
        <w:pStyle w:val="151"/>
        <w:tabs>
          <w:tab w:val="left" w:pos="1134"/>
        </w:tabs>
        <w:adjustRightInd w:val="0"/>
        <w:snapToGrid w:val="0"/>
        <w:spacing w:after="0" w:line="360" w:lineRule="auto"/>
        <w:ind w:firstLine="420" w:firstLineChars="200"/>
        <w:jc w:val="both"/>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lang w:val="en-US" w:eastAsia="zh-CN"/>
              </w:rPr>
              <m:t>M</m:t>
            </m:r>
            <m:ctrlPr>
              <w:rPr>
                <w:rFonts w:ascii="Cambria Math" w:hAnsi="Cambria Math"/>
                <w:i/>
                <w:szCs w:val="21"/>
              </w:rPr>
            </m:ctrlPr>
          </m:e>
          <m:sub>
            <m:r>
              <m:rPr/>
              <w:rPr>
                <w:rFonts w:ascii="Times New Roman" w:hAnsi="Times New Roman"/>
                <w:szCs w:val="21"/>
                <w:lang w:val="en-US" w:eastAsia="zh-CN"/>
              </w:rPr>
              <m:t>s</m:t>
            </m:r>
            <m:ctrlPr>
              <w:rPr>
                <w:rFonts w:ascii="Cambria Math" w:hAnsi="Cambria Math"/>
                <w:i/>
                <w:szCs w:val="21"/>
              </w:rPr>
            </m:ctrlPr>
          </m:sub>
        </m:sSub>
      </m:oMath>
      <w:r>
        <w:rPr>
          <w:rFonts w:ascii="Times New Roman" w:hAnsi="Times New Roman"/>
          <w:szCs w:val="21"/>
          <w:lang w:val="en-US" w:eastAsia="zh-CN"/>
        </w:rPr>
        <w:t xml:space="preserve">  </w:t>
      </w:r>
      <w:r>
        <w:rPr>
          <w:rFonts w:ascii="Times New Roman" w:hAnsi="Times New Roman"/>
          <w:szCs w:val="21"/>
        </w:rPr>
        <w:t>——</w:t>
      </w:r>
      <w:r>
        <w:rPr>
          <w:rFonts w:hint="eastAsia" w:ascii="Times New Roman" w:hAnsi="Times New Roman"/>
          <w:szCs w:val="21"/>
        </w:rPr>
        <w:t>核算和报告年度内</w:t>
      </w:r>
      <w:r>
        <w:rPr>
          <w:rFonts w:hint="eastAsia" w:ascii="Times New Roman" w:hAnsi="Times New Roman"/>
          <w:szCs w:val="21"/>
          <w:lang w:eastAsia="zh-CN"/>
        </w:rPr>
        <w:t>，</w:t>
      </w:r>
      <w:r>
        <w:rPr>
          <w:rFonts w:hint="eastAsia" w:ascii="Times New Roman" w:hAnsi="Times New Roman"/>
          <w:szCs w:val="21"/>
          <w:lang w:val="en-US" w:eastAsia="zh-CN"/>
        </w:rPr>
        <w:t>第</w:t>
      </w:r>
      <w:r>
        <w:rPr>
          <w:rFonts w:ascii="Times New Roman" w:hAnsi="Times New Roman"/>
          <w:szCs w:val="21"/>
          <w:lang w:val="en-US" w:eastAsia="zh-CN"/>
        </w:rPr>
        <w:t>s种碳酸盐药剂消耗量，单位为</w:t>
      </w:r>
      <w:r>
        <w:rPr>
          <w:rFonts w:ascii="Times New Roman" w:hAnsi="Times New Roman"/>
          <w:szCs w:val="21"/>
        </w:rPr>
        <w:t>吨</w:t>
      </w:r>
      <w:r>
        <w:rPr>
          <w:rFonts w:ascii="Times New Roman" w:hAnsi="Times New Roman" w:cs="Times New Roman"/>
          <w:szCs w:val="21"/>
          <w:lang w:val="en-US" w:eastAsia="zh-CN" w:bidi="en-US"/>
        </w:rPr>
        <w:t>(t)</w:t>
      </w:r>
      <w:r>
        <w:rPr>
          <w:rFonts w:ascii="Times New Roman" w:hAnsi="Times New Roman"/>
          <w:szCs w:val="21"/>
          <w:lang w:val="en-US" w:eastAsia="zh-CN" w:bidi="en-US"/>
        </w:rPr>
        <w:t>；</w:t>
      </w:r>
    </w:p>
    <w:p w14:paraId="20D38FAC">
      <w:pPr>
        <w:pStyle w:val="151"/>
        <w:tabs>
          <w:tab w:val="left" w:pos="1134"/>
        </w:tabs>
        <w:adjustRightInd w:val="0"/>
        <w:snapToGrid w:val="0"/>
        <w:spacing w:after="0" w:line="360" w:lineRule="auto"/>
        <w:ind w:firstLine="420" w:firstLineChars="200"/>
        <w:jc w:val="both"/>
        <w:rPr>
          <w:rFonts w:ascii="Times New Roman" w:hAnsi="Times New Roman" w:eastAsia="PMingLiU"/>
          <w:szCs w:val="21"/>
        </w:rPr>
      </w:pPr>
      <m:oMath>
        <m:sSub>
          <m:sSubPr>
            <m:ctrlPr>
              <w:rPr>
                <w:rFonts w:ascii="Cambria Math" w:hAnsi="Cambria Math"/>
                <w:i/>
                <w:szCs w:val="21"/>
              </w:rPr>
            </m:ctrlPr>
          </m:sSubPr>
          <m:e>
            <m:r>
              <m:rPr/>
              <w:rPr>
                <w:rFonts w:ascii="Times New Roman" w:hAnsi="Times New Roman"/>
                <w:szCs w:val="21"/>
              </w:rPr>
              <m:t>ω</m:t>
            </m:r>
            <m:ctrlPr>
              <w:rPr>
                <w:rFonts w:ascii="Cambria Math" w:hAnsi="Cambria Math"/>
                <w:i/>
                <w:szCs w:val="21"/>
              </w:rPr>
            </m:ctrlPr>
          </m:e>
          <m:sub>
            <m:r>
              <m:rPr/>
              <w:rPr>
                <w:rFonts w:ascii="Times New Roman" w:hAnsi="Times New Roman"/>
                <w:szCs w:val="21"/>
                <w:lang w:val="en-US" w:eastAsia="zh-CN"/>
              </w:rPr>
              <m:t>s</m:t>
            </m:r>
            <m:ctrlPr>
              <w:rPr>
                <w:rFonts w:ascii="Cambria Math" w:hAnsi="Cambria Math"/>
                <w:i/>
                <w:szCs w:val="21"/>
              </w:rPr>
            </m:ctrlPr>
          </m:sub>
        </m:sSub>
      </m:oMath>
      <w:r>
        <w:rPr>
          <w:rFonts w:ascii="Times New Roman" w:hAnsi="Times New Roman"/>
          <w:szCs w:val="21"/>
          <w:lang w:val="en-US" w:eastAsia="zh-CN"/>
        </w:rPr>
        <w:t xml:space="preserve">  </w:t>
      </w:r>
      <w:r>
        <w:rPr>
          <w:rFonts w:ascii="Times New Roman" w:hAnsi="Times New Roman"/>
          <w:szCs w:val="21"/>
          <w:lang w:val="en-US" w:eastAsia="zh-CN" w:bidi="en-US"/>
        </w:rPr>
        <w:t>——</w:t>
      </w:r>
      <w:r>
        <w:rPr>
          <w:rFonts w:hint="eastAsia" w:ascii="Times New Roman" w:hAnsi="Times New Roman"/>
          <w:szCs w:val="21"/>
          <w:lang w:val="en-US" w:eastAsia="zh-CN"/>
        </w:rPr>
        <w:t>第</w:t>
      </w:r>
      <w:r>
        <w:rPr>
          <w:rFonts w:ascii="Times New Roman" w:hAnsi="Times New Roman"/>
          <w:szCs w:val="21"/>
          <w:lang w:val="en-US" w:eastAsia="zh-CN"/>
        </w:rPr>
        <w:t>s种药剂中目标碳酸盐组分的质量分数，单位为百分率(%)</w:t>
      </w:r>
      <w:r>
        <w:rPr>
          <w:rFonts w:ascii="Times New Roman" w:hAnsi="Times New Roman"/>
          <w:szCs w:val="21"/>
        </w:rPr>
        <w:t>；</w:t>
      </w:r>
    </w:p>
    <w:p w14:paraId="27152E60">
      <w:pPr>
        <w:pStyle w:val="151"/>
        <w:adjustRightInd w:val="0"/>
        <w:snapToGrid w:val="0"/>
        <w:spacing w:after="0" w:line="360" w:lineRule="auto"/>
        <w:ind w:firstLine="420" w:firstLineChars="200"/>
        <w:rPr>
          <w:rFonts w:ascii="Times New Roman" w:hAnsi="Times New Roman"/>
          <w:szCs w:val="21"/>
          <w:lang w:val="en-US" w:eastAsia="zh-CN"/>
        </w:rPr>
      </w:pPr>
      <m:oMath>
        <m:sSub>
          <m:sSubPr>
            <m:ctrlPr>
              <w:rPr>
                <w:rFonts w:ascii="Cambria Math" w:hAnsi="Cambria Math"/>
                <w:i/>
                <w:szCs w:val="21"/>
              </w:rPr>
            </m:ctrlPr>
          </m:sSubPr>
          <m:e>
            <m:r>
              <m:rPr/>
              <w:rPr>
                <w:rFonts w:ascii="Times New Roman" w:hAnsi="Times New Roman"/>
                <w:szCs w:val="21"/>
                <w:lang w:val="en-US" w:eastAsia="zh-CN"/>
              </w:rPr>
              <m:t>EF</m:t>
            </m:r>
            <m:ctrlPr>
              <w:rPr>
                <w:rFonts w:ascii="Cambria Math" w:hAnsi="Cambria Math"/>
                <w:i/>
                <w:szCs w:val="21"/>
              </w:rPr>
            </m:ctrlPr>
          </m:e>
          <m:sub>
            <m:r>
              <m:rPr/>
              <w:rPr>
                <w:rFonts w:ascii="Times New Roman" w:hAnsi="Times New Roman"/>
                <w:szCs w:val="21"/>
                <w:lang w:val="en-US" w:eastAsia="zh-CN"/>
              </w:rPr>
              <m:t>s</m:t>
            </m:r>
            <m:ctrlPr>
              <w:rPr>
                <w:rFonts w:ascii="Cambria Math" w:hAnsi="Cambria Math"/>
                <w:i/>
                <w:szCs w:val="21"/>
              </w:rPr>
            </m:ctrlPr>
          </m:sub>
        </m:sSub>
      </m:oMath>
      <w:r>
        <w:rPr>
          <w:rFonts w:ascii="Times New Roman" w:hAnsi="Times New Roman"/>
          <w:szCs w:val="21"/>
          <w:lang w:val="en-US" w:eastAsia="zh-CN" w:bidi="en-US"/>
        </w:rPr>
        <w:t xml:space="preserve">  </w:t>
      </w:r>
      <w:r>
        <w:rPr>
          <w:rFonts w:ascii="Times New Roman" w:hAnsi="Times New Roman"/>
          <w:szCs w:val="21"/>
        </w:rPr>
        <w:t>——</w:t>
      </w:r>
      <w:r>
        <w:rPr>
          <w:rFonts w:hint="eastAsia" w:ascii="Times New Roman" w:hAnsi="Times New Roman"/>
          <w:szCs w:val="21"/>
          <w:lang w:val="en-US" w:eastAsia="zh-CN"/>
        </w:rPr>
        <w:t>第</w:t>
      </w:r>
      <w:r>
        <w:rPr>
          <w:rFonts w:ascii="Times New Roman" w:hAnsi="Times New Roman"/>
          <w:szCs w:val="21"/>
          <w:lang w:val="en-US" w:eastAsia="zh-CN"/>
        </w:rPr>
        <w:t>s种碳酸盐组分</w:t>
      </w:r>
      <w:r>
        <w:rPr>
          <w:rFonts w:ascii="Times New Roman" w:hAnsi="Times New Roman"/>
          <w:szCs w:val="21"/>
        </w:rPr>
        <w:t>二氧化碳</w:t>
      </w:r>
      <w:r>
        <w:rPr>
          <w:rFonts w:hint="eastAsia" w:ascii="Times New Roman" w:hAnsi="Times New Roman"/>
          <w:szCs w:val="21"/>
          <w:lang w:val="en-US" w:eastAsia="zh-CN"/>
        </w:rPr>
        <w:t>排放因子，单位为吨二氧化碳当量每吨(</w:t>
      </w:r>
      <w:r>
        <w:rPr>
          <w:rFonts w:ascii="Times New Roman" w:hAnsi="Times New Roman"/>
          <w:szCs w:val="21"/>
          <w:lang w:val="en-US" w:eastAsia="zh-CN"/>
        </w:rPr>
        <w:t>tCO</w:t>
      </w:r>
      <w:r>
        <w:rPr>
          <w:rFonts w:ascii="Times New Roman" w:hAnsi="Times New Roman"/>
          <w:szCs w:val="21"/>
          <w:vertAlign w:val="subscript"/>
          <w:lang w:val="en-US" w:eastAsia="zh-CN"/>
        </w:rPr>
        <w:t>2</w:t>
      </w:r>
      <w:r>
        <w:rPr>
          <w:rFonts w:ascii="Times New Roman" w:hAnsi="Times New Roman"/>
          <w:szCs w:val="21"/>
          <w:lang w:val="en-US" w:eastAsia="zh-CN"/>
        </w:rPr>
        <w:t>e/t</w:t>
      </w:r>
      <w:r>
        <w:rPr>
          <w:rFonts w:hint="eastAsia" w:ascii="Times New Roman" w:hAnsi="Times New Roman"/>
          <w:szCs w:val="21"/>
          <w:lang w:val="en-US" w:eastAsia="zh-CN"/>
        </w:rPr>
        <w:t>)</w:t>
      </w:r>
      <w:r>
        <w:rPr>
          <w:rFonts w:ascii="Times New Roman" w:hAnsi="Times New Roman"/>
          <w:szCs w:val="21"/>
          <w:lang w:val="en-US" w:eastAsia="zh-CN"/>
        </w:rPr>
        <w:t>；</w:t>
      </w:r>
    </w:p>
    <w:p w14:paraId="2FE4BBAD">
      <w:pPr>
        <w:pStyle w:val="151"/>
        <w:adjustRightInd w:val="0"/>
        <w:snapToGrid w:val="0"/>
        <w:spacing w:after="0" w:line="360" w:lineRule="auto"/>
        <w:ind w:firstLine="420" w:firstLineChars="200"/>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rPr>
              <m:t>η</m:t>
            </m:r>
            <m:ctrlPr>
              <w:rPr>
                <w:rFonts w:ascii="Cambria Math" w:hAnsi="Cambria Math"/>
                <w:i/>
                <w:szCs w:val="21"/>
              </w:rPr>
            </m:ctrlPr>
          </m:e>
          <m:sub>
            <m:r>
              <m:rPr/>
              <w:rPr>
                <w:rFonts w:ascii="Times New Roman" w:hAnsi="Times New Roman"/>
                <w:szCs w:val="21"/>
                <w:lang w:val="en-US" w:eastAsia="zh-CN"/>
              </w:rPr>
              <m:t>s</m:t>
            </m:r>
            <m:ctrlPr>
              <w:rPr>
                <w:rFonts w:ascii="Cambria Math" w:hAnsi="Cambria Math"/>
                <w:i/>
                <w:szCs w:val="21"/>
              </w:rPr>
            </m:ctrlPr>
          </m:sub>
        </m:sSub>
      </m:oMath>
      <w:r>
        <w:rPr>
          <w:rFonts w:ascii="Times New Roman" w:hAnsi="Times New Roman"/>
          <w:szCs w:val="21"/>
          <w:lang w:val="en-US" w:eastAsia="zh-CN" w:bidi="en-US"/>
        </w:rPr>
        <w:t xml:space="preserve">   </w:t>
      </w:r>
      <w:r>
        <w:rPr>
          <w:rFonts w:ascii="Times New Roman" w:hAnsi="Times New Roman"/>
          <w:szCs w:val="21"/>
        </w:rPr>
        <w:t>——</w:t>
      </w:r>
      <w:r>
        <w:rPr>
          <w:rFonts w:hint="eastAsia" w:ascii="Times New Roman" w:hAnsi="Times New Roman"/>
          <w:szCs w:val="21"/>
          <w:lang w:val="en-US" w:eastAsia="zh-CN"/>
        </w:rPr>
        <w:t>第</w:t>
      </w:r>
      <w:r>
        <w:rPr>
          <w:rFonts w:ascii="Times New Roman" w:hAnsi="Times New Roman"/>
          <w:szCs w:val="21"/>
          <w:lang w:val="en-US" w:eastAsia="zh-CN"/>
        </w:rPr>
        <w:t>s种碳酸盐药剂在废弃物治理工况下实际反应分解比例，单位为百分率(%)；未发生分解、沉淀进入污泥的部分不计入排放</w:t>
      </w:r>
      <w:r>
        <w:rPr>
          <w:rFonts w:ascii="Times New Roman" w:hAnsi="Times New Roman"/>
          <w:szCs w:val="21"/>
        </w:rPr>
        <w:t>。</w:t>
      </w:r>
    </w:p>
    <w:p w14:paraId="54FEC454">
      <w:pPr>
        <w:pStyle w:val="151"/>
        <w:adjustRightInd w:val="0"/>
        <w:snapToGrid w:val="0"/>
        <w:spacing w:after="0" w:line="360" w:lineRule="auto"/>
        <w:ind w:firstLine="420" w:firstLineChars="200"/>
        <w:rPr>
          <w:rFonts w:hint="eastAsia" w:ascii="Times New Roman" w:hAnsi="Times New Roman" w:eastAsia="宋体"/>
          <w:szCs w:val="21"/>
          <w:lang w:val="en-US" w:eastAsia="zh-CN"/>
        </w:rPr>
      </w:pPr>
      <w:r>
        <w:rPr>
          <w:rFonts w:hint="eastAsia" w:ascii="Times New Roman" w:hAnsi="Times New Roman"/>
          <w:szCs w:val="21"/>
          <w:lang w:val="en-US" w:eastAsia="zh-CN"/>
        </w:rPr>
        <w:t>注：企业具备条件可自行或委托第三方检测污泥残余碳酸盐组分，计算实际分解比例；无检测条件时，可采用物料衡算、工程台账等方式确定分解比例；上述方式均不可实现时，按最保守原则取100%计算。</w:t>
      </w:r>
    </w:p>
    <w:p w14:paraId="6D9A7D55">
      <w:pPr>
        <w:spacing w:line="360" w:lineRule="auto"/>
        <w:rPr>
          <w:rFonts w:eastAsia="黑体"/>
        </w:rPr>
      </w:pPr>
      <w:r>
        <w:rPr>
          <w:rFonts w:eastAsia="黑体"/>
        </w:rPr>
        <w:t xml:space="preserve">6.2.4.2 </w:t>
      </w:r>
      <w:r>
        <w:rPr>
          <w:rFonts w:hint="eastAsia" w:eastAsia="黑体"/>
        </w:rPr>
        <w:t>活动数据的获取</w:t>
      </w:r>
    </w:p>
    <w:p w14:paraId="6734C408">
      <w:pPr>
        <w:pStyle w:val="151"/>
        <w:adjustRightInd w:val="0"/>
        <w:snapToGrid w:val="0"/>
        <w:spacing w:after="0" w:line="360" w:lineRule="auto"/>
        <w:ind w:firstLine="420" w:firstLineChars="200"/>
        <w:rPr>
          <w:rFonts w:ascii="Times New Roman" w:hAnsi="Times New Roman"/>
          <w:szCs w:val="21"/>
        </w:rPr>
      </w:pPr>
      <w:r>
        <w:rPr>
          <w:rFonts w:hint="eastAsia" w:ascii="Times New Roman" w:hAnsi="Times New Roman"/>
          <w:szCs w:val="21"/>
        </w:rPr>
        <w:t>分别根据企业台账或统计报表确定，不包括碳酸盐在使用过程中形成碳酸氢盐或碳酸根离子发生转移而未产生二氧化碳的部分。</w:t>
      </w:r>
    </w:p>
    <w:p w14:paraId="11506DFA">
      <w:pPr>
        <w:spacing w:line="360" w:lineRule="auto"/>
        <w:rPr>
          <w:rFonts w:eastAsia="黑体"/>
        </w:rPr>
      </w:pPr>
      <w:r>
        <w:rPr>
          <w:rFonts w:eastAsia="黑体"/>
        </w:rPr>
        <w:t xml:space="preserve">6.2.4.3 </w:t>
      </w:r>
      <w:r>
        <w:rPr>
          <w:rFonts w:hint="eastAsia" w:eastAsia="黑体"/>
        </w:rPr>
        <w:t>排放因子数据获取</w:t>
      </w:r>
    </w:p>
    <w:p w14:paraId="5C5CD078">
      <w:pPr>
        <w:pStyle w:val="151"/>
        <w:adjustRightInd w:val="0"/>
        <w:snapToGrid w:val="0"/>
        <w:spacing w:after="0" w:line="360" w:lineRule="auto"/>
        <w:ind w:firstLine="420" w:firstLineChars="200"/>
        <w:rPr>
          <w:rFonts w:ascii="Times New Roman" w:hAnsi="Times New Roman"/>
          <w:szCs w:val="21"/>
        </w:rPr>
      </w:pPr>
      <w:r>
        <w:rPr>
          <w:rFonts w:hint="eastAsia" w:ascii="Times New Roman" w:hAnsi="Times New Roman"/>
          <w:szCs w:val="21"/>
        </w:rPr>
        <w:t>具备条件的企业应自行或委托有资质的专业机构定期检测各批碳酸</w:t>
      </w:r>
      <w:r>
        <w:rPr>
          <w:rFonts w:hint="eastAsia" w:ascii="Times New Roman" w:hAnsi="Times New Roman"/>
          <w:szCs w:val="21"/>
          <w:lang w:val="en-US" w:eastAsia="zh-CN"/>
        </w:rPr>
        <w:t>盐药剂</w:t>
      </w:r>
      <w:r>
        <w:rPr>
          <w:rFonts w:hint="eastAsia" w:ascii="Times New Roman" w:hAnsi="Times New Roman"/>
          <w:szCs w:val="21"/>
        </w:rPr>
        <w:t>的化学组分和纯度，不具备监测条件的企业可采用供应商提供的数据，按保守性原则取值。上述数据均不可得时应按</w:t>
      </w:r>
      <w:r>
        <w:rPr>
          <w:rFonts w:ascii="Times New Roman" w:hAnsi="Times New Roman"/>
          <w:szCs w:val="21"/>
        </w:rPr>
        <w:t>100％的纯</w:t>
      </w:r>
      <w:r>
        <w:rPr>
          <w:rFonts w:hint="eastAsia" w:ascii="Times New Roman" w:hAnsi="Times New Roman"/>
          <w:szCs w:val="21"/>
          <w:lang w:val="en-US" w:eastAsia="zh-CN"/>
        </w:rPr>
        <w:t>药剂</w:t>
      </w:r>
      <w:r>
        <w:rPr>
          <w:rFonts w:hint="eastAsia" w:ascii="Times New Roman" w:hAnsi="Times New Roman"/>
          <w:szCs w:val="21"/>
        </w:rPr>
        <w:t>取值。</w:t>
      </w:r>
    </w:p>
    <w:p w14:paraId="4D3EC8FB">
      <w:pPr>
        <w:pStyle w:val="151"/>
        <w:adjustRightInd w:val="0"/>
        <w:snapToGrid w:val="0"/>
        <w:spacing w:after="0" w:line="360" w:lineRule="auto"/>
        <w:ind w:firstLine="420" w:firstLineChars="200"/>
        <w:rPr>
          <w:rFonts w:ascii="Times New Roman" w:hAnsi="Times New Roman"/>
          <w:szCs w:val="21"/>
        </w:rPr>
      </w:pPr>
      <w:r>
        <w:rPr>
          <w:rFonts w:hint="eastAsia" w:ascii="Times New Roman" w:hAnsi="Times New Roman"/>
          <w:szCs w:val="21"/>
        </w:rPr>
        <w:t>每种治理用碳酸盐组分的二氧化碳质量分数，取决于该碳酸盐组分的化学分子式，等于二氧化碳的相对分子质量乘以碳酸根离子数目除以该碳酸盐组分的相对分子质量。一些常见碳酸盐</w:t>
      </w:r>
      <w:r>
        <w:rPr>
          <w:rFonts w:hint="eastAsia" w:ascii="Times New Roman" w:hAnsi="Times New Roman"/>
          <w:szCs w:val="21"/>
          <w:lang w:val="en-US" w:eastAsia="zh-CN"/>
        </w:rPr>
        <w:t>药剂</w:t>
      </w:r>
      <w:r>
        <w:rPr>
          <w:rFonts w:hint="eastAsia" w:ascii="Times New Roman" w:hAnsi="Times New Roman"/>
          <w:szCs w:val="21"/>
        </w:rPr>
        <w:t>的二氧化碳质量分数可直接参考附录</w:t>
      </w:r>
      <w:r>
        <w:rPr>
          <w:rFonts w:ascii="Times New Roman" w:hAnsi="Times New Roman"/>
          <w:szCs w:val="21"/>
          <w:lang w:val="en-US" w:eastAsia="zh-CN"/>
        </w:rPr>
        <w:t>B</w:t>
      </w:r>
      <w:r>
        <w:rPr>
          <w:rFonts w:hint="eastAsia" w:ascii="Times New Roman" w:hAnsi="Times New Roman"/>
          <w:szCs w:val="21"/>
        </w:rPr>
        <w:t>表</w:t>
      </w:r>
      <w:r>
        <w:rPr>
          <w:rFonts w:ascii="Times New Roman" w:hAnsi="Times New Roman"/>
          <w:szCs w:val="21"/>
          <w:lang w:val="en-US" w:eastAsia="zh-CN"/>
        </w:rPr>
        <w:t>B</w:t>
      </w:r>
      <w:r>
        <w:rPr>
          <w:rFonts w:ascii="Times New Roman" w:hAnsi="Times New Roman"/>
          <w:szCs w:val="21"/>
        </w:rPr>
        <w:t>.</w:t>
      </w:r>
      <w:r>
        <w:rPr>
          <w:rFonts w:ascii="Times New Roman" w:hAnsi="Times New Roman"/>
          <w:szCs w:val="21"/>
          <w:lang w:val="en-US" w:eastAsia="zh-CN"/>
        </w:rPr>
        <w:t>3</w:t>
      </w:r>
      <w:r>
        <w:rPr>
          <w:rFonts w:hint="eastAsia" w:ascii="Times New Roman" w:hAnsi="Times New Roman"/>
          <w:szCs w:val="21"/>
        </w:rPr>
        <w:t>取值。</w:t>
      </w:r>
    </w:p>
    <w:p w14:paraId="44396739">
      <w:pPr>
        <w:tabs>
          <w:tab w:val="left" w:pos="512"/>
          <w:tab w:val="left" w:pos="513"/>
          <w:tab w:val="right" w:pos="10208"/>
        </w:tabs>
        <w:spacing w:line="360" w:lineRule="auto"/>
        <w:ind w:firstLine="420" w:firstLineChars="200"/>
        <w:rPr>
          <w:lang w:bidi="en-US"/>
        </w:rPr>
      </w:pPr>
      <w:r>
        <w:rPr>
          <w:rFonts w:hint="eastAsia"/>
          <w:lang w:bidi="en-US"/>
        </w:rPr>
        <w:t>碳酸盐药剂实际反应分解比例为废弃物处理过程中，实际发生化学反应分解的碳酸盐占药剂总投入量的比例，用于扣减随污泥沉淀进入固废、未发生分解反应的碳酸盐量。参数优先采用污泥残余组分检测、现场物料衡算实测结果。</w:t>
      </w:r>
    </w:p>
    <w:p w14:paraId="54744F51">
      <w:pPr>
        <w:tabs>
          <w:tab w:val="left" w:pos="512"/>
          <w:tab w:val="left" w:pos="513"/>
          <w:tab w:val="right" w:pos="10208"/>
        </w:tabs>
        <w:spacing w:line="360" w:lineRule="auto"/>
        <w:ind w:firstLine="360" w:firstLineChars="200"/>
        <w:rPr>
          <w:sz w:val="18"/>
          <w:szCs w:val="18"/>
          <w:lang w:bidi="en-US"/>
        </w:rPr>
      </w:pPr>
      <w:r>
        <w:rPr>
          <w:rFonts w:hint="eastAsia"/>
          <w:sz w:val="18"/>
          <w:szCs w:val="18"/>
          <w:lang w:bidi="en-US"/>
        </w:rPr>
        <w:t>注：核算废弃物处理处置二氧化碳排放时，不得直接以碳酸盐药剂总投入量作为反应量，必须扣减未反应、随污泥固废外排的碳酸盐部分。</w:t>
      </w:r>
    </w:p>
    <w:bookmarkEnd w:id="24"/>
    <w:p w14:paraId="39DE33C3">
      <w:pPr>
        <w:spacing w:line="360" w:lineRule="auto"/>
        <w:rPr>
          <w:rFonts w:eastAsia="黑体"/>
        </w:rPr>
      </w:pPr>
      <w:r>
        <w:rPr>
          <w:rFonts w:eastAsia="黑体"/>
        </w:rPr>
        <w:t xml:space="preserve">6.2.5 </w:t>
      </w:r>
      <w:r>
        <w:rPr>
          <w:rFonts w:hint="eastAsia" w:eastAsia="黑体"/>
        </w:rPr>
        <w:t>购入和输出的电力、热力产生的排放</w:t>
      </w:r>
    </w:p>
    <w:p w14:paraId="63700BB1">
      <w:pPr>
        <w:spacing w:line="360" w:lineRule="auto"/>
        <w:rPr>
          <w:rFonts w:eastAsia="黑体"/>
        </w:rPr>
      </w:pPr>
      <w:r>
        <w:rPr>
          <w:rFonts w:eastAsia="黑体"/>
        </w:rPr>
        <w:t>6.2.5.1计算公式</w:t>
      </w:r>
    </w:p>
    <w:p w14:paraId="0E8AD74D">
      <w:pPr>
        <w:spacing w:line="360" w:lineRule="auto"/>
        <w:rPr>
          <w:rFonts w:eastAsia="黑体"/>
        </w:rPr>
      </w:pPr>
      <w:r>
        <w:rPr>
          <w:rFonts w:eastAsia="黑体"/>
        </w:rPr>
        <w:t>6.2.5.1.1</w:t>
      </w:r>
      <w:r>
        <w:rPr>
          <w:rFonts w:hint="eastAsia" w:eastAsia="黑体"/>
        </w:rPr>
        <w:t>购入电力产生的排放</w:t>
      </w:r>
    </w:p>
    <w:p w14:paraId="1950835E">
      <w:pPr>
        <w:pStyle w:val="151"/>
        <w:numPr>
          <w:ilvl w:val="255"/>
          <w:numId w:val="0"/>
        </w:numPr>
        <w:tabs>
          <w:tab w:val="left" w:pos="830"/>
        </w:tabs>
        <w:snapToGrid w:val="0"/>
        <w:spacing w:after="0" w:line="360" w:lineRule="auto"/>
        <w:ind w:firstLine="420" w:firstLineChars="200"/>
        <w:jc w:val="both"/>
        <w:rPr>
          <w:rFonts w:ascii="Times New Roman" w:hAnsi="Times New Roman"/>
          <w:szCs w:val="21"/>
        </w:rPr>
      </w:pPr>
      <w:r>
        <w:rPr>
          <w:rFonts w:ascii="Times New Roman" w:hAnsi="Times New Roman"/>
          <w:szCs w:val="21"/>
        </w:rPr>
        <w:t>企业购入的电力消费所对应的电力生产环节</w:t>
      </w:r>
      <w:r>
        <w:rPr>
          <w:rFonts w:hint="eastAsia" w:ascii="Times New Roman" w:hAnsi="Times New Roman"/>
          <w:szCs w:val="21"/>
        </w:rPr>
        <w:t>温室气体碳</w:t>
      </w:r>
      <w:r>
        <w:rPr>
          <w:rFonts w:ascii="Times New Roman" w:hAnsi="Times New Roman"/>
          <w:szCs w:val="21"/>
        </w:rPr>
        <w:t>排放量按式</w:t>
      </w:r>
      <w:r>
        <w:rPr>
          <w:rFonts w:ascii="Times New Roman" w:hAnsi="Times New Roman" w:cs="Times New Roman"/>
          <w:szCs w:val="21"/>
        </w:rPr>
        <w:t>(</w:t>
      </w:r>
      <w:r>
        <w:rPr>
          <w:rFonts w:ascii="Times New Roman" w:hAnsi="Times New Roman" w:cs="Times New Roman"/>
          <w:szCs w:val="21"/>
          <w:lang w:val="en-US" w:eastAsia="zh-CN"/>
        </w:rPr>
        <w:t>11</w:t>
      </w:r>
      <w:r>
        <w:rPr>
          <w:rFonts w:ascii="Times New Roman" w:hAnsi="Times New Roman" w:cs="Times New Roman"/>
          <w:szCs w:val="21"/>
        </w:rPr>
        <w:t>)</w:t>
      </w:r>
      <w:r>
        <w:rPr>
          <w:rFonts w:ascii="Times New Roman" w:hAnsi="Times New Roman"/>
          <w:szCs w:val="21"/>
        </w:rPr>
        <w:t>计算：</w:t>
      </w:r>
    </w:p>
    <w:p w14:paraId="26C527C6">
      <w:pPr>
        <w:pStyle w:val="149"/>
        <w:tabs>
          <w:tab w:val="right" w:leader="dot" w:pos="8706"/>
        </w:tabs>
        <w:snapToGrid w:val="0"/>
        <w:spacing w:line="360" w:lineRule="auto"/>
        <w:ind w:left="3079" w:firstLine="0"/>
        <w:jc w:val="right"/>
        <w:rPr>
          <w:szCs w:val="21"/>
          <w:lang w:eastAsia="zh-TW"/>
        </w:rPr>
      </w:pPr>
      <m:oMath>
        <m:sSub>
          <m:sSubPr>
            <m:ctrlPr>
              <w:rPr>
                <w:rFonts w:ascii="Cambria Math" w:hAnsi="Cambria Math" w:cs="宋体"/>
                <w:i/>
                <w:szCs w:val="21"/>
                <w:lang w:val="zh-TW" w:eastAsia="zh-TW" w:bidi="zh-TW"/>
              </w:rPr>
            </m:ctrlPr>
          </m:sSubPr>
          <m:e>
            <m:r>
              <m:rPr/>
              <w:rPr>
                <w:szCs w:val="21"/>
                <w:lang w:eastAsia="zh-TW"/>
              </w:rPr>
              <m:t>E</m:t>
            </m:r>
            <m:ctrlPr>
              <w:rPr>
                <w:rFonts w:ascii="Cambria Math" w:hAnsi="Cambria Math" w:cs="宋体"/>
                <w:i/>
                <w:szCs w:val="21"/>
                <w:lang w:val="zh-TW" w:eastAsia="zh-TW" w:bidi="zh-TW"/>
              </w:rPr>
            </m:ctrlPr>
          </m:e>
          <m:sub>
            <m:r>
              <m:rPr>
                <m:sty m:val="p"/>
              </m:rPr>
              <w:rPr>
                <w:rFonts w:hint="eastAsia"/>
                <w:szCs w:val="21"/>
                <w:lang w:eastAsia="zh-TW"/>
              </w:rPr>
              <m:t>购入电</m:t>
            </m:r>
            <m:ctrlPr>
              <w:rPr>
                <w:rFonts w:ascii="Cambria Math" w:hAnsi="Cambria Math" w:cs="宋体"/>
                <w:i/>
                <w:szCs w:val="21"/>
                <w:lang w:val="zh-TW" w:eastAsia="zh-TW" w:bidi="zh-TW"/>
              </w:rPr>
            </m:ctrlPr>
          </m:sub>
        </m:sSub>
        <m:r>
          <m:rPr/>
          <w:rPr>
            <w:szCs w:val="21"/>
            <w:lang w:eastAsia="zh-TW"/>
          </w:rPr>
          <m:t>=A</m:t>
        </m:r>
        <m:sSub>
          <m:sSubPr>
            <m:ctrlPr>
              <w:rPr>
                <w:rFonts w:ascii="Cambria Math" w:hAnsi="Cambria Math" w:cs="宋体"/>
                <w:i/>
                <w:szCs w:val="21"/>
                <w:lang w:val="zh-TW" w:eastAsia="zh-TW" w:bidi="zh-TW"/>
              </w:rPr>
            </m:ctrlPr>
          </m:sSubPr>
          <m:e>
            <m:r>
              <m:rPr/>
              <w:rPr>
                <w:szCs w:val="21"/>
                <w:lang w:eastAsia="zh-TW"/>
              </w:rPr>
              <m:t>D</m:t>
            </m:r>
            <m:ctrlPr>
              <w:rPr>
                <w:rFonts w:ascii="Cambria Math" w:hAnsi="Cambria Math" w:cs="宋体"/>
                <w:i/>
                <w:szCs w:val="21"/>
                <w:lang w:val="zh-TW" w:eastAsia="zh-TW" w:bidi="zh-TW"/>
              </w:rPr>
            </m:ctrlPr>
          </m:e>
          <m:sub>
            <m:r>
              <m:rPr>
                <m:sty m:val="p"/>
              </m:rPr>
              <w:rPr>
                <w:rFonts w:hint="eastAsia" w:cs="宋体"/>
                <w:szCs w:val="21"/>
                <w:lang w:eastAsia="zh-TW" w:bidi="zh-TW"/>
              </w:rPr>
              <m:t>购入</m:t>
            </m:r>
            <m:r>
              <m:rPr>
                <m:sty m:val="p"/>
              </m:rPr>
              <w:rPr>
                <w:rFonts w:hint="eastAsia"/>
                <w:szCs w:val="21"/>
                <w:lang w:eastAsia="zh-TW"/>
              </w:rPr>
              <m:t>电</m:t>
            </m:r>
            <m:ctrlPr>
              <w:rPr>
                <w:rFonts w:ascii="Cambria Math" w:hAnsi="Cambria Math" w:cs="宋体"/>
                <w:i/>
                <w:szCs w:val="21"/>
                <w:lang w:val="zh-TW" w:eastAsia="zh-TW" w:bidi="zh-TW"/>
              </w:rPr>
            </m:ctrlPr>
          </m:sub>
        </m:sSub>
        <m:r>
          <m:rPr/>
          <w:rPr>
            <w:szCs w:val="21"/>
            <w:lang w:eastAsia="zh-TW"/>
          </w:rPr>
          <m:t>×E</m:t>
        </m:r>
        <m:sSub>
          <m:sSubPr>
            <m:ctrlPr>
              <w:rPr>
                <w:rFonts w:ascii="Cambria Math" w:hAnsi="Cambria Math" w:cs="宋体"/>
                <w:i/>
                <w:szCs w:val="21"/>
                <w:lang w:val="zh-TW" w:eastAsia="zh-TW" w:bidi="zh-TW"/>
              </w:rPr>
            </m:ctrlPr>
          </m:sSubPr>
          <m:e>
            <m:r>
              <m:rPr/>
              <w:rPr>
                <w:szCs w:val="21"/>
                <w:lang w:eastAsia="zh-TW"/>
              </w:rPr>
              <m:t>F</m:t>
            </m:r>
            <m:ctrlPr>
              <w:rPr>
                <w:rFonts w:ascii="Cambria Math" w:hAnsi="Cambria Math" w:cs="宋体"/>
                <w:i/>
                <w:szCs w:val="21"/>
                <w:lang w:val="zh-TW" w:eastAsia="zh-TW" w:bidi="zh-TW"/>
              </w:rPr>
            </m:ctrlPr>
          </m:e>
          <m:sub>
            <m:r>
              <m:rPr>
                <m:sty m:val="p"/>
              </m:rPr>
              <w:rPr>
                <w:rFonts w:hint="eastAsia"/>
                <w:szCs w:val="21"/>
                <w:lang w:eastAsia="zh-TW"/>
              </w:rPr>
              <m:t>电</m:t>
            </m:r>
            <m:ctrlPr>
              <w:rPr>
                <w:rFonts w:ascii="Cambria Math" w:hAnsi="Cambria Math" w:cs="宋体"/>
                <w:i/>
                <w:szCs w:val="21"/>
                <w:lang w:val="zh-TW" w:eastAsia="zh-TW" w:bidi="zh-TW"/>
              </w:rPr>
            </m:ctrlPr>
          </m:sub>
        </m:sSub>
      </m:oMath>
      <w:r>
        <w:rPr>
          <w:rFonts w:cs="宋体"/>
          <w:szCs w:val="21"/>
          <w:lang w:eastAsia="zh-TW" w:bidi="zh-TW"/>
        </w:rPr>
        <w:t xml:space="preserve">  </w:t>
      </w:r>
      <w:r>
        <w:rPr>
          <w:rFonts w:hint="eastAsia"/>
          <w:lang w:eastAsia="zh-TW"/>
        </w:rPr>
        <w:t>········（</w:t>
      </w:r>
      <w:r>
        <w:rPr>
          <w:lang w:eastAsia="zh-TW"/>
        </w:rPr>
        <w:t>11</w:t>
      </w:r>
      <w:r>
        <w:rPr>
          <w:rFonts w:hint="eastAsia"/>
          <w:lang w:eastAsia="zh-TW"/>
        </w:rPr>
        <w:t>）</w:t>
      </w:r>
    </w:p>
    <w:p w14:paraId="165DBA6F">
      <w:pPr>
        <w:pStyle w:val="151"/>
        <w:snapToGrid w:val="0"/>
        <w:spacing w:after="0" w:line="360" w:lineRule="auto"/>
        <w:ind w:firstLine="420" w:firstLineChars="200"/>
        <w:jc w:val="both"/>
        <w:rPr>
          <w:rFonts w:ascii="Times New Roman" w:hAnsi="Times New Roman"/>
          <w:szCs w:val="21"/>
        </w:rPr>
      </w:pPr>
      <w:r>
        <w:rPr>
          <w:rFonts w:ascii="Times New Roman" w:hAnsi="Times New Roman"/>
          <w:szCs w:val="21"/>
        </w:rPr>
        <w:t>式中：</w:t>
      </w:r>
    </w:p>
    <w:p w14:paraId="2B4F6F16">
      <w:pPr>
        <w:pStyle w:val="151"/>
        <w:snapToGrid w:val="0"/>
        <w:spacing w:after="0" w:line="360" w:lineRule="auto"/>
        <w:ind w:firstLine="420" w:firstLineChars="200"/>
        <w:jc w:val="both"/>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rPr>
              <m:t>购入电</m:t>
            </m:r>
            <m:ctrlPr>
              <w:rPr>
                <w:rFonts w:ascii="Cambria Math" w:hAnsi="Cambria Math"/>
                <w:i/>
                <w:szCs w:val="21"/>
              </w:rPr>
            </m:ctrlPr>
          </m:sub>
        </m:sSub>
      </m:oMath>
      <w:r>
        <w:rPr>
          <w:rFonts w:ascii="Times New Roman" w:hAnsi="Times New Roman"/>
          <w:szCs w:val="21"/>
        </w:rPr>
        <w:t>——购入的电力所对应的电力生产环节</w:t>
      </w:r>
      <w:r>
        <w:rPr>
          <w:rFonts w:hint="eastAsia" w:ascii="Times New Roman" w:hAnsi="Times New Roman"/>
          <w:szCs w:val="21"/>
        </w:rPr>
        <w:t>温室气体</w:t>
      </w:r>
      <w:r>
        <w:rPr>
          <w:rFonts w:ascii="Times New Roman" w:hAnsi="Times New Roman"/>
          <w:szCs w:val="21"/>
        </w:rPr>
        <w:t>排放量，</w:t>
      </w:r>
      <w:r>
        <w:rPr>
          <w:rFonts w:ascii="Times New Roman" w:hAnsi="Times New Roman"/>
        </w:rPr>
        <w:t>单位为吨二氧化碳当量(tCO</w:t>
      </w:r>
      <w:r>
        <w:rPr>
          <w:rFonts w:ascii="Times New Roman" w:hAnsi="Times New Roman"/>
          <w:vertAlign w:val="subscript"/>
        </w:rPr>
        <w:t>2</w:t>
      </w:r>
      <w:r>
        <w:rPr>
          <w:rFonts w:ascii="Times New Roman" w:hAnsi="Times New Roman"/>
        </w:rPr>
        <w:t>e)</w:t>
      </w:r>
      <w:r>
        <w:rPr>
          <w:rFonts w:ascii="Times New Roman" w:hAnsi="Times New Roman"/>
          <w:szCs w:val="21"/>
        </w:rPr>
        <w:t>；</w:t>
      </w:r>
    </w:p>
    <w:p w14:paraId="5DA5311C">
      <w:pPr>
        <w:pStyle w:val="151"/>
        <w:snapToGrid w:val="0"/>
        <w:spacing w:after="0" w:line="360" w:lineRule="auto"/>
        <w:ind w:firstLine="420" w:firstLineChars="200"/>
        <w:rPr>
          <w:rFonts w:ascii="Times New Roman" w:hAnsi="Times New Roman"/>
          <w:szCs w:val="21"/>
        </w:rPr>
      </w:pPr>
      <m:oMath>
        <m:r>
          <m:rPr/>
          <w:rPr>
            <w:rFonts w:ascii="Times New Roman" w:hAnsi="Times New Roman"/>
            <w:szCs w:val="21"/>
          </w:rPr>
          <m:t>A</m:t>
        </m:r>
        <m:sSub>
          <m:sSubPr>
            <m:ctrlPr>
              <w:rPr>
                <w:rFonts w:ascii="Cambria Math" w:hAnsi="Cambria Math"/>
                <w:i/>
                <w:szCs w:val="21"/>
              </w:rPr>
            </m:ctrlPr>
          </m:sSubPr>
          <m:e>
            <m:r>
              <m:rPr/>
              <w:rPr>
                <w:rFonts w:ascii="Times New Roman" w:hAnsi="Times New Roman"/>
                <w:szCs w:val="21"/>
              </w:rPr>
              <m:t>D</m:t>
            </m:r>
            <m:ctrlPr>
              <w:rPr>
                <w:rFonts w:ascii="Cambria Math" w:hAnsi="Cambria Math"/>
                <w:i/>
                <w:szCs w:val="21"/>
              </w:rPr>
            </m:ctrlPr>
          </m:e>
          <m:sub>
            <m:r>
              <m:rPr>
                <m:sty m:val="p"/>
              </m:rPr>
              <w:rPr>
                <w:rFonts w:hint="eastAsia" w:ascii="Times New Roman" w:hAnsi="Times New Roman"/>
                <w:szCs w:val="21"/>
                <w:lang w:val="en-US" w:eastAsia="zh-CN"/>
              </w:rPr>
              <m:t>购入</m:t>
            </m:r>
            <m:r>
              <m:rPr>
                <m:sty m:val="p"/>
              </m:rPr>
              <w:rPr>
                <w:rFonts w:hint="eastAsia" w:ascii="Times New Roman" w:hAnsi="Times New Roman"/>
                <w:szCs w:val="21"/>
              </w:rPr>
              <m:t>电</m:t>
            </m:r>
            <m:ctrlPr>
              <w:rPr>
                <w:rFonts w:ascii="Cambria Math" w:hAnsi="Cambria Math"/>
                <w:i/>
                <w:szCs w:val="21"/>
              </w:rPr>
            </m:ctrlPr>
          </m:sub>
        </m:sSub>
      </m:oMath>
      <w:r>
        <w:rPr>
          <w:rFonts w:ascii="Times New Roman" w:hAnsi="Times New Roman"/>
          <w:szCs w:val="21"/>
        </w:rPr>
        <w:t>——核算期内的外购电力</w:t>
      </w:r>
      <w:r>
        <w:rPr>
          <w:rFonts w:hint="eastAsia" w:ascii="Times New Roman" w:hAnsi="Times New Roman"/>
          <w:szCs w:val="21"/>
        </w:rPr>
        <w:t>，</w:t>
      </w:r>
      <w:r>
        <w:rPr>
          <w:rFonts w:ascii="Times New Roman" w:hAnsi="Times New Roman"/>
          <w:szCs w:val="21"/>
        </w:rPr>
        <w:t>单位为兆瓦时</w:t>
      </w:r>
      <w:r>
        <w:rPr>
          <w:rFonts w:ascii="Times New Roman" w:hAnsi="Times New Roman" w:cs="Times New Roman"/>
          <w:szCs w:val="21"/>
          <w:lang w:val="en-US" w:eastAsia="zh-CN" w:bidi="en-US"/>
        </w:rPr>
        <w:t>(MWh)</w:t>
      </w:r>
      <w:r>
        <w:rPr>
          <w:rFonts w:ascii="Times New Roman" w:hAnsi="Times New Roman"/>
          <w:szCs w:val="21"/>
          <w:lang w:val="en-US" w:eastAsia="zh-CN" w:bidi="en-US"/>
        </w:rPr>
        <w:t>；</w:t>
      </w:r>
    </w:p>
    <w:p w14:paraId="44215F6B">
      <w:pPr>
        <w:pStyle w:val="151"/>
        <w:snapToGrid w:val="0"/>
        <w:spacing w:after="0" w:line="360" w:lineRule="auto"/>
        <w:ind w:firstLine="420" w:firstLineChars="200"/>
        <w:jc w:val="both"/>
        <w:rPr>
          <w:rFonts w:ascii="Times New Roman" w:hAnsi="Times New Roman"/>
          <w:szCs w:val="21"/>
          <w:lang w:val="en-US" w:eastAsia="zh-CN" w:bidi="en-US"/>
        </w:rPr>
      </w:pPr>
      <m:oMath>
        <m:r>
          <m:rPr/>
          <w:rPr>
            <w:rFonts w:ascii="Times New Roman" w:hAnsi="Times New Roman"/>
            <w:szCs w:val="21"/>
          </w:rPr>
          <m:t>E</m:t>
        </m:r>
        <m:sSub>
          <m:sSubPr>
            <m:ctrlPr>
              <w:rPr>
                <w:rFonts w:ascii="Cambria Math" w:hAnsi="Cambria Math"/>
                <w:i/>
                <w:szCs w:val="21"/>
              </w:rPr>
            </m:ctrlPr>
          </m:sSubPr>
          <m:e>
            <m:r>
              <m:rPr/>
              <w:rPr>
                <w:rFonts w:ascii="Times New Roman" w:hAnsi="Times New Roman"/>
                <w:szCs w:val="21"/>
              </w:rPr>
              <m:t>F</m:t>
            </m:r>
            <m:ctrlPr>
              <w:rPr>
                <w:rFonts w:ascii="Cambria Math" w:hAnsi="Cambria Math"/>
                <w:i/>
                <w:szCs w:val="21"/>
              </w:rPr>
            </m:ctrlPr>
          </m:e>
          <m:sub>
            <m:r>
              <m:rPr>
                <m:sty m:val="p"/>
              </m:rPr>
              <w:rPr>
                <w:rFonts w:hint="eastAsia" w:ascii="Times New Roman" w:hAnsi="Times New Roman"/>
                <w:szCs w:val="21"/>
              </w:rPr>
              <m:t>电</m:t>
            </m:r>
            <m:ctrlPr>
              <w:rPr>
                <w:rFonts w:ascii="Cambria Math" w:hAnsi="Cambria Math"/>
                <w:i/>
                <w:szCs w:val="21"/>
              </w:rPr>
            </m:ctrlPr>
          </m:sub>
        </m:sSub>
      </m:oMath>
      <w:r>
        <w:rPr>
          <w:rFonts w:ascii="Times New Roman" w:hAnsi="Times New Roman"/>
          <w:szCs w:val="21"/>
        </w:rPr>
        <w:t>——区域电网年平均供电排放因子</w:t>
      </w:r>
      <w:r>
        <w:rPr>
          <w:rFonts w:hint="eastAsia" w:ascii="Times New Roman" w:hAnsi="Times New Roman"/>
          <w:szCs w:val="21"/>
        </w:rPr>
        <w:t>，</w:t>
      </w:r>
      <w:r>
        <w:rPr>
          <w:rFonts w:ascii="Times New Roman" w:hAnsi="Times New Roman"/>
          <w:szCs w:val="21"/>
        </w:rPr>
        <w:t>单位为吨二氧化碳每兆瓦时</w:t>
      </w:r>
      <w:r>
        <w:rPr>
          <w:rFonts w:ascii="Times New Roman" w:hAnsi="Times New Roman" w:cs="Times New Roman"/>
          <w:szCs w:val="21"/>
          <w:lang w:val="en-US" w:eastAsia="zh-CN" w:bidi="en-US"/>
        </w:rPr>
        <w:t>(tCO</w:t>
      </w:r>
      <w:r>
        <w:rPr>
          <w:rFonts w:ascii="Times New Roman" w:hAnsi="Times New Roman" w:cs="Times New Roman"/>
          <w:szCs w:val="21"/>
          <w:vertAlign w:val="subscript"/>
          <w:lang w:val="en-US" w:eastAsia="zh-CN" w:bidi="en-US"/>
        </w:rPr>
        <w:t>2</w:t>
      </w:r>
      <w:r>
        <w:rPr>
          <w:rFonts w:ascii="Times New Roman" w:hAnsi="Times New Roman" w:cs="Times New Roman"/>
          <w:szCs w:val="21"/>
          <w:lang w:val="en-US" w:eastAsia="zh-CN" w:bidi="en-US"/>
        </w:rPr>
        <w:t>/MWh)</w:t>
      </w:r>
      <w:r>
        <w:rPr>
          <w:rFonts w:hint="eastAsia" w:ascii="Times New Roman" w:hAnsi="Times New Roman"/>
          <w:szCs w:val="21"/>
          <w:lang w:val="en-US" w:eastAsia="zh-CN" w:bidi="en-US"/>
        </w:rPr>
        <w:t>。</w:t>
      </w:r>
    </w:p>
    <w:p w14:paraId="1D1BCF8C">
      <w:pPr>
        <w:spacing w:line="360" w:lineRule="auto"/>
        <w:rPr>
          <w:szCs w:val="21"/>
          <w:lang w:bidi="en-US"/>
        </w:rPr>
      </w:pPr>
      <w:r>
        <w:rPr>
          <w:rFonts w:eastAsia="黑体"/>
        </w:rPr>
        <w:t>6.2.5.1.2</w:t>
      </w:r>
      <w:r>
        <w:rPr>
          <w:rFonts w:hint="eastAsia" w:eastAsia="黑体"/>
        </w:rPr>
        <w:t>购入热力产生的排放</w:t>
      </w:r>
    </w:p>
    <w:p w14:paraId="08B51827">
      <w:pPr>
        <w:pStyle w:val="151"/>
        <w:numPr>
          <w:ilvl w:val="255"/>
          <w:numId w:val="0"/>
        </w:numPr>
        <w:tabs>
          <w:tab w:val="left" w:pos="830"/>
        </w:tabs>
        <w:snapToGrid w:val="0"/>
        <w:spacing w:after="0" w:line="360" w:lineRule="auto"/>
        <w:ind w:firstLine="420" w:firstLineChars="200"/>
        <w:jc w:val="both"/>
        <w:rPr>
          <w:rFonts w:ascii="Times New Roman" w:hAnsi="Times New Roman"/>
          <w:szCs w:val="21"/>
        </w:rPr>
      </w:pPr>
      <w:r>
        <w:rPr>
          <w:rFonts w:ascii="Times New Roman" w:hAnsi="Times New Roman"/>
          <w:szCs w:val="21"/>
        </w:rPr>
        <w:t>企业购入的热力消费所对应的热力生产环节</w:t>
      </w:r>
      <w:r>
        <w:rPr>
          <w:rFonts w:hint="eastAsia" w:ascii="Times New Roman" w:hAnsi="Times New Roman"/>
          <w:szCs w:val="21"/>
          <w:lang w:val="en-US" w:eastAsia="zh-CN"/>
        </w:rPr>
        <w:t>温室气体</w:t>
      </w:r>
      <w:r>
        <w:rPr>
          <w:rFonts w:ascii="Times New Roman" w:hAnsi="Times New Roman"/>
          <w:szCs w:val="21"/>
        </w:rPr>
        <w:t>排放量按式</w:t>
      </w:r>
      <w:r>
        <w:rPr>
          <w:rFonts w:ascii="Times New Roman" w:hAnsi="Times New Roman" w:cs="Times New Roman"/>
          <w:szCs w:val="21"/>
        </w:rPr>
        <w:t>(</w:t>
      </w:r>
      <w:r>
        <w:rPr>
          <w:rFonts w:ascii="Times New Roman" w:hAnsi="Times New Roman" w:cs="Times New Roman"/>
          <w:szCs w:val="21"/>
          <w:lang w:val="en-US" w:eastAsia="zh-CN"/>
        </w:rPr>
        <w:t>12</w:t>
      </w:r>
      <w:r>
        <w:rPr>
          <w:rFonts w:ascii="Times New Roman" w:hAnsi="Times New Roman" w:cs="Times New Roman"/>
          <w:szCs w:val="21"/>
        </w:rPr>
        <w:t>)</w:t>
      </w:r>
      <w:r>
        <w:rPr>
          <w:rFonts w:ascii="Times New Roman" w:hAnsi="Times New Roman"/>
          <w:szCs w:val="21"/>
        </w:rPr>
        <w:t>计算：</w:t>
      </w:r>
    </w:p>
    <w:p w14:paraId="064C35E7">
      <w:pPr>
        <w:pStyle w:val="149"/>
        <w:tabs>
          <w:tab w:val="right" w:leader="dot" w:pos="8706"/>
        </w:tabs>
        <w:snapToGrid w:val="0"/>
        <w:spacing w:line="360" w:lineRule="auto"/>
        <w:ind w:left="3079" w:firstLine="0"/>
        <w:jc w:val="right"/>
        <w:rPr>
          <w:szCs w:val="21"/>
          <w:lang w:eastAsia="zh-TW"/>
        </w:rPr>
      </w:pPr>
      <w:r>
        <w:rPr>
          <w:rFonts w:cs="宋体"/>
          <w:szCs w:val="21"/>
          <w:lang w:val="zh-TW" w:eastAsia="zh-TW" w:bidi="zh-TW"/>
        </w:rPr>
        <w:t xml:space="preserve"> </w:t>
      </w:r>
      <m:oMath>
        <m:sSub>
          <m:sSubPr>
            <m:ctrlPr>
              <w:rPr>
                <w:rFonts w:ascii="Cambria Math" w:hAnsi="Cambria Math" w:cs="宋体"/>
                <w:i/>
                <w:szCs w:val="21"/>
                <w:lang w:val="zh-TW" w:eastAsia="zh-TW" w:bidi="zh-TW"/>
              </w:rPr>
            </m:ctrlPr>
          </m:sSubPr>
          <m:e>
            <m:r>
              <m:rPr/>
              <w:rPr>
                <w:szCs w:val="21"/>
                <w:lang w:eastAsia="zh-TW"/>
              </w:rPr>
              <m:t>E</m:t>
            </m:r>
            <m:ctrlPr>
              <w:rPr>
                <w:rFonts w:ascii="Cambria Math" w:hAnsi="Cambria Math" w:cs="宋体"/>
                <w:i/>
                <w:szCs w:val="21"/>
                <w:lang w:val="zh-TW" w:eastAsia="zh-TW" w:bidi="zh-TW"/>
              </w:rPr>
            </m:ctrlPr>
          </m:e>
          <m:sub>
            <m:r>
              <m:rPr>
                <m:sty m:val="p"/>
              </m:rPr>
              <w:rPr>
                <w:rFonts w:hint="eastAsia"/>
                <w:szCs w:val="21"/>
                <w:lang w:eastAsia="zh-TW"/>
              </w:rPr>
              <m:t>购入热</m:t>
            </m:r>
            <m:ctrlPr>
              <w:rPr>
                <w:rFonts w:ascii="Cambria Math" w:hAnsi="Cambria Math" w:cs="宋体"/>
                <w:i/>
                <w:szCs w:val="21"/>
                <w:lang w:val="zh-TW" w:eastAsia="zh-TW" w:bidi="zh-TW"/>
              </w:rPr>
            </m:ctrlPr>
          </m:sub>
        </m:sSub>
        <m:r>
          <m:rPr/>
          <w:rPr>
            <w:szCs w:val="21"/>
            <w:lang w:eastAsia="zh-TW"/>
          </w:rPr>
          <m:t>=A</m:t>
        </m:r>
        <m:sSub>
          <m:sSubPr>
            <m:ctrlPr>
              <w:rPr>
                <w:rFonts w:ascii="Cambria Math" w:hAnsi="Cambria Math" w:cs="宋体"/>
                <w:i/>
                <w:szCs w:val="21"/>
                <w:lang w:val="zh-TW" w:eastAsia="zh-TW" w:bidi="zh-TW"/>
              </w:rPr>
            </m:ctrlPr>
          </m:sSubPr>
          <m:e>
            <m:r>
              <m:rPr/>
              <w:rPr>
                <w:szCs w:val="21"/>
                <w:lang w:eastAsia="zh-TW"/>
              </w:rPr>
              <m:t>D</m:t>
            </m:r>
            <m:ctrlPr>
              <w:rPr>
                <w:rFonts w:ascii="Cambria Math" w:hAnsi="Cambria Math" w:cs="宋体"/>
                <w:i/>
                <w:szCs w:val="21"/>
                <w:lang w:val="zh-TW" w:eastAsia="zh-TW" w:bidi="zh-TW"/>
              </w:rPr>
            </m:ctrlPr>
          </m:e>
          <m:sub>
            <m:r>
              <m:rPr>
                <m:sty m:val="p"/>
              </m:rPr>
              <w:rPr>
                <w:rFonts w:hint="eastAsia" w:cs="宋体"/>
                <w:szCs w:val="21"/>
                <w:lang w:eastAsia="zh-TW" w:bidi="zh-TW"/>
              </w:rPr>
              <m:t>购入</m:t>
            </m:r>
            <m:r>
              <m:rPr>
                <m:sty m:val="p"/>
              </m:rPr>
              <w:rPr>
                <w:rFonts w:hint="eastAsia"/>
                <w:szCs w:val="21"/>
                <w:lang w:eastAsia="zh-TW"/>
              </w:rPr>
              <m:t>热</m:t>
            </m:r>
            <m:ctrlPr>
              <w:rPr>
                <w:rFonts w:ascii="Cambria Math" w:hAnsi="Cambria Math" w:cs="宋体"/>
                <w:i/>
                <w:szCs w:val="21"/>
                <w:lang w:val="zh-TW" w:eastAsia="zh-TW" w:bidi="zh-TW"/>
              </w:rPr>
            </m:ctrlPr>
          </m:sub>
        </m:sSub>
        <m:r>
          <m:rPr/>
          <w:rPr>
            <w:szCs w:val="21"/>
            <w:lang w:eastAsia="zh-TW"/>
          </w:rPr>
          <m:t>×E</m:t>
        </m:r>
        <m:sSub>
          <m:sSubPr>
            <m:ctrlPr>
              <w:rPr>
                <w:rFonts w:ascii="Cambria Math" w:hAnsi="Cambria Math" w:cs="宋体"/>
                <w:i/>
                <w:szCs w:val="21"/>
                <w:lang w:val="zh-TW" w:eastAsia="zh-TW" w:bidi="zh-TW"/>
              </w:rPr>
            </m:ctrlPr>
          </m:sSubPr>
          <m:e>
            <m:r>
              <m:rPr/>
              <w:rPr>
                <w:szCs w:val="21"/>
                <w:lang w:eastAsia="zh-TW"/>
              </w:rPr>
              <m:t>F</m:t>
            </m:r>
            <m:ctrlPr>
              <w:rPr>
                <w:rFonts w:ascii="Cambria Math" w:hAnsi="Cambria Math" w:cs="宋体"/>
                <w:i/>
                <w:szCs w:val="21"/>
                <w:lang w:val="zh-TW" w:eastAsia="zh-TW" w:bidi="zh-TW"/>
              </w:rPr>
            </m:ctrlPr>
          </m:e>
          <m:sub>
            <m:r>
              <m:rPr>
                <m:sty m:val="p"/>
              </m:rPr>
              <w:rPr>
                <w:rFonts w:hint="eastAsia"/>
                <w:szCs w:val="21"/>
                <w:lang w:eastAsia="zh-TW"/>
              </w:rPr>
              <m:t>热</m:t>
            </m:r>
            <m:ctrlPr>
              <w:rPr>
                <w:rFonts w:ascii="Cambria Math" w:hAnsi="Cambria Math" w:cs="宋体"/>
                <w:i/>
                <w:szCs w:val="21"/>
                <w:lang w:val="zh-TW" w:eastAsia="zh-TW" w:bidi="zh-TW"/>
              </w:rPr>
            </m:ctrlPr>
          </m:sub>
        </m:sSub>
      </m:oMath>
      <w:r>
        <w:rPr>
          <w:szCs w:val="21"/>
          <w:lang w:eastAsia="zh-TW"/>
        </w:rPr>
        <w:t xml:space="preserve">    </w:t>
      </w:r>
      <w:r>
        <w:rPr>
          <w:rFonts w:hint="eastAsia"/>
          <w:lang w:eastAsia="zh-TW"/>
        </w:rPr>
        <w:t>········（</w:t>
      </w:r>
      <w:r>
        <w:rPr>
          <w:lang w:eastAsia="zh-TW"/>
        </w:rPr>
        <w:t>12</w:t>
      </w:r>
      <w:r>
        <w:rPr>
          <w:rFonts w:hint="eastAsia"/>
          <w:lang w:eastAsia="zh-TW"/>
        </w:rPr>
        <w:t>）</w:t>
      </w:r>
    </w:p>
    <w:p w14:paraId="4EAC3845">
      <w:pPr>
        <w:pStyle w:val="151"/>
        <w:snapToGrid w:val="0"/>
        <w:spacing w:after="0" w:line="360" w:lineRule="auto"/>
        <w:ind w:firstLine="420" w:firstLineChars="200"/>
        <w:jc w:val="both"/>
        <w:rPr>
          <w:rFonts w:ascii="Times New Roman" w:hAnsi="Times New Roman"/>
          <w:szCs w:val="21"/>
        </w:rPr>
      </w:pPr>
      <w:r>
        <w:rPr>
          <w:rFonts w:ascii="Times New Roman" w:hAnsi="Times New Roman"/>
          <w:szCs w:val="21"/>
        </w:rPr>
        <w:t>式中：</w:t>
      </w:r>
    </w:p>
    <w:p w14:paraId="04200456">
      <w:pPr>
        <w:pStyle w:val="151"/>
        <w:snapToGrid w:val="0"/>
        <w:spacing w:after="0" w:line="360" w:lineRule="auto"/>
        <w:ind w:firstLine="420" w:firstLineChars="200"/>
        <w:jc w:val="both"/>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rPr>
              <m:t>购入</m:t>
            </m:r>
            <m:r>
              <m:rPr>
                <m:sty m:val="p"/>
              </m:rPr>
              <w:rPr>
                <w:rFonts w:hint="eastAsia" w:ascii="Times New Roman" w:hAnsi="Times New Roman"/>
                <w:szCs w:val="21"/>
                <w:lang w:val="en-US" w:eastAsia="zh-CN"/>
              </w:rPr>
              <m:t>热</m:t>
            </m:r>
            <m:ctrlPr>
              <w:rPr>
                <w:rFonts w:ascii="Cambria Math" w:hAnsi="Cambria Math"/>
                <w:i/>
                <w:szCs w:val="21"/>
              </w:rPr>
            </m:ctrlPr>
          </m:sub>
        </m:sSub>
      </m:oMath>
      <w:r>
        <w:rPr>
          <w:rFonts w:ascii="Times New Roman" w:hAnsi="Times New Roman"/>
          <w:szCs w:val="21"/>
        </w:rPr>
        <w:t>——购入的</w:t>
      </w:r>
      <w:r>
        <w:rPr>
          <w:rFonts w:hint="eastAsia" w:ascii="Times New Roman" w:hAnsi="Times New Roman"/>
          <w:szCs w:val="21"/>
          <w:lang w:val="en-US" w:eastAsia="zh-CN"/>
        </w:rPr>
        <w:t>热</w:t>
      </w:r>
      <w:r>
        <w:rPr>
          <w:rFonts w:ascii="Times New Roman" w:hAnsi="Times New Roman"/>
          <w:szCs w:val="21"/>
        </w:rPr>
        <w:t>力所对应的</w:t>
      </w:r>
      <w:r>
        <w:rPr>
          <w:rFonts w:hint="eastAsia" w:ascii="Times New Roman" w:hAnsi="Times New Roman"/>
          <w:szCs w:val="21"/>
          <w:lang w:val="en-US" w:eastAsia="zh-CN"/>
        </w:rPr>
        <w:t>热</w:t>
      </w:r>
      <w:r>
        <w:rPr>
          <w:rFonts w:ascii="Times New Roman" w:hAnsi="Times New Roman"/>
          <w:szCs w:val="21"/>
        </w:rPr>
        <w:t>力生产环节</w:t>
      </w:r>
      <w:r>
        <w:rPr>
          <w:rFonts w:hint="eastAsia" w:ascii="Times New Roman" w:hAnsi="Times New Roman"/>
          <w:szCs w:val="21"/>
        </w:rPr>
        <w:t>温室气体</w:t>
      </w:r>
      <w:r>
        <w:rPr>
          <w:rFonts w:ascii="Times New Roman" w:hAnsi="Times New Roman"/>
          <w:szCs w:val="21"/>
        </w:rPr>
        <w:t>排放量，</w:t>
      </w:r>
      <w:r>
        <w:rPr>
          <w:rFonts w:ascii="Times New Roman" w:hAnsi="Times New Roman"/>
        </w:rPr>
        <w:t>单位为吨二氧化碳当量(tCO</w:t>
      </w:r>
      <w:r>
        <w:rPr>
          <w:rFonts w:ascii="Times New Roman" w:hAnsi="Times New Roman"/>
          <w:vertAlign w:val="subscript"/>
        </w:rPr>
        <w:t>2</w:t>
      </w:r>
      <w:r>
        <w:rPr>
          <w:rFonts w:ascii="Times New Roman" w:hAnsi="Times New Roman"/>
        </w:rPr>
        <w:t>e)</w:t>
      </w:r>
      <w:r>
        <w:rPr>
          <w:rFonts w:ascii="Times New Roman" w:hAnsi="Times New Roman"/>
          <w:szCs w:val="21"/>
        </w:rPr>
        <w:t>；</w:t>
      </w:r>
    </w:p>
    <w:p w14:paraId="5E18F3A2">
      <w:pPr>
        <w:pStyle w:val="151"/>
        <w:snapToGrid w:val="0"/>
        <w:spacing w:after="0" w:line="360" w:lineRule="auto"/>
        <w:ind w:firstLine="420" w:firstLineChars="200"/>
        <w:rPr>
          <w:rFonts w:ascii="Times New Roman" w:hAnsi="Times New Roman"/>
          <w:szCs w:val="21"/>
        </w:rPr>
      </w:pPr>
      <m:oMath>
        <m:r>
          <m:rPr/>
          <w:rPr>
            <w:rFonts w:ascii="Times New Roman" w:hAnsi="Times New Roman"/>
            <w:szCs w:val="21"/>
          </w:rPr>
          <m:t>A</m:t>
        </m:r>
        <m:sSub>
          <m:sSubPr>
            <m:ctrlPr>
              <w:rPr>
                <w:rFonts w:ascii="Cambria Math" w:hAnsi="Cambria Math"/>
                <w:i/>
                <w:szCs w:val="21"/>
              </w:rPr>
            </m:ctrlPr>
          </m:sSubPr>
          <m:e>
            <m:r>
              <m:rPr/>
              <w:rPr>
                <w:rFonts w:ascii="Times New Roman" w:hAnsi="Times New Roman"/>
                <w:szCs w:val="21"/>
              </w:rPr>
              <m:t>D</m:t>
            </m:r>
            <m:ctrlPr>
              <w:rPr>
                <w:rFonts w:ascii="Cambria Math" w:hAnsi="Cambria Math"/>
                <w:i/>
                <w:szCs w:val="21"/>
              </w:rPr>
            </m:ctrlPr>
          </m:e>
          <m:sub>
            <m:r>
              <m:rPr>
                <m:sty m:val="p"/>
              </m:rPr>
              <w:rPr>
                <w:rFonts w:hint="eastAsia" w:ascii="Times New Roman" w:hAnsi="Times New Roman"/>
                <w:szCs w:val="21"/>
                <w:lang w:val="en-US" w:eastAsia="zh-CN"/>
              </w:rPr>
              <m:t>购入热</m:t>
            </m:r>
            <m:ctrlPr>
              <w:rPr>
                <w:rFonts w:ascii="Cambria Math" w:hAnsi="Cambria Math"/>
                <w:i/>
                <w:szCs w:val="21"/>
              </w:rPr>
            </m:ctrlPr>
          </m:sub>
        </m:sSub>
      </m:oMath>
      <w:r>
        <w:rPr>
          <w:rFonts w:ascii="Times New Roman" w:hAnsi="Times New Roman"/>
          <w:szCs w:val="21"/>
        </w:rPr>
        <w:t>——</w:t>
      </w:r>
      <w:r>
        <w:rPr>
          <w:rFonts w:hint="eastAsia" w:ascii="Times New Roman" w:hAnsi="Times New Roman" w:cs="Times New Roman"/>
          <w:szCs w:val="21"/>
          <w:lang w:val="en-US" w:eastAsia="zh-CN" w:bidi="en-US"/>
        </w:rPr>
        <w:t>核算期内购入热力，单位为吉焦</w:t>
      </w:r>
      <w:r>
        <w:rPr>
          <w:rFonts w:ascii="Times New Roman" w:hAnsi="Times New Roman" w:cs="Times New Roman"/>
          <w:szCs w:val="21"/>
          <w:lang w:val="en-US" w:eastAsia="zh-CN" w:bidi="en-US"/>
        </w:rPr>
        <w:t xml:space="preserve"> (GJ)；</w:t>
      </w:r>
      <w:r>
        <w:rPr>
          <w:rFonts w:ascii="Times New Roman" w:hAnsi="Times New Roman"/>
          <w:szCs w:val="21"/>
          <w:lang w:val="en-US" w:eastAsia="zh-CN" w:bidi="en-US"/>
        </w:rPr>
        <w:t>；</w:t>
      </w:r>
    </w:p>
    <w:p w14:paraId="739F45A2">
      <w:pPr>
        <w:pStyle w:val="151"/>
        <w:snapToGrid w:val="0"/>
        <w:spacing w:after="0" w:line="360" w:lineRule="auto"/>
        <w:ind w:firstLine="420" w:firstLineChars="200"/>
        <w:jc w:val="both"/>
        <w:rPr>
          <w:rFonts w:ascii="Times New Roman" w:hAnsi="Times New Roman"/>
          <w:szCs w:val="21"/>
          <w:lang w:val="en-US" w:eastAsia="zh-CN" w:bidi="en-US"/>
        </w:rPr>
      </w:pPr>
      <m:oMath>
        <m:r>
          <m:rPr/>
          <w:rPr>
            <w:rFonts w:ascii="Times New Roman" w:hAnsi="Times New Roman"/>
            <w:szCs w:val="21"/>
          </w:rPr>
          <m:t>E</m:t>
        </m:r>
        <m:sSub>
          <m:sSubPr>
            <m:ctrlPr>
              <w:rPr>
                <w:rFonts w:ascii="Cambria Math" w:hAnsi="Cambria Math"/>
                <w:i/>
                <w:szCs w:val="21"/>
              </w:rPr>
            </m:ctrlPr>
          </m:sSubPr>
          <m:e>
            <m:r>
              <m:rPr/>
              <w:rPr>
                <w:rFonts w:ascii="Times New Roman" w:hAnsi="Times New Roman"/>
                <w:szCs w:val="21"/>
              </w:rPr>
              <m:t>F</m:t>
            </m:r>
            <m:ctrlPr>
              <w:rPr>
                <w:rFonts w:ascii="Cambria Math" w:hAnsi="Cambria Math"/>
                <w:i/>
                <w:szCs w:val="21"/>
              </w:rPr>
            </m:ctrlPr>
          </m:e>
          <m:sub>
            <m:r>
              <m:rPr>
                <m:sty m:val="p"/>
              </m:rPr>
              <w:rPr>
                <w:rFonts w:hint="eastAsia" w:ascii="Times New Roman" w:hAnsi="Times New Roman"/>
                <w:szCs w:val="21"/>
                <w:lang w:val="en-US" w:eastAsia="zh-CN"/>
              </w:rPr>
              <m:t>热</m:t>
            </m:r>
            <m:ctrlPr>
              <w:rPr>
                <w:rFonts w:ascii="Cambria Math" w:hAnsi="Cambria Math"/>
                <w:i/>
                <w:szCs w:val="21"/>
              </w:rPr>
            </m:ctrlPr>
          </m:sub>
        </m:sSub>
      </m:oMath>
      <w:r>
        <w:rPr>
          <w:rFonts w:ascii="Times New Roman" w:hAnsi="Times New Roman"/>
          <w:szCs w:val="21"/>
        </w:rPr>
        <w:t>——</w:t>
      </w:r>
      <w:r>
        <w:rPr>
          <w:rFonts w:hint="eastAsia" w:ascii="Times New Roman" w:hAnsi="Times New Roman"/>
          <w:szCs w:val="21"/>
          <w:lang w:val="en-US" w:eastAsia="zh-CN" w:bidi="en-US"/>
        </w:rPr>
        <w:t>热力二氧化碳排放因子，单位为吨二氧化碳当量每吉焦</w:t>
      </w:r>
      <w:r>
        <w:rPr>
          <w:rFonts w:ascii="Times New Roman" w:hAnsi="Times New Roman"/>
          <w:szCs w:val="21"/>
          <w:lang w:val="en-US" w:eastAsia="zh-CN" w:bidi="en-US"/>
        </w:rPr>
        <w:t xml:space="preserve"> (</w:t>
      </w:r>
      <w:r>
        <w:rPr>
          <w:rFonts w:ascii="Times New Roman" w:hAnsi="Times New Roman" w:cs="Times New Roman"/>
          <w:szCs w:val="21"/>
          <w:lang w:val="en-US" w:eastAsia="zh-CN" w:bidi="en-US"/>
        </w:rPr>
        <w:t>tCO</w:t>
      </w:r>
      <w:r>
        <w:rPr>
          <w:rFonts w:ascii="Times New Roman" w:hAnsi="Times New Roman" w:cs="Times New Roman"/>
          <w:szCs w:val="21"/>
          <w:vertAlign w:val="subscript"/>
          <w:lang w:val="en-US" w:eastAsia="zh-CN" w:bidi="en-US"/>
        </w:rPr>
        <w:t>2</w:t>
      </w:r>
      <w:r>
        <w:rPr>
          <w:rFonts w:ascii="Times New Roman" w:hAnsi="Times New Roman" w:cs="Times New Roman"/>
          <w:szCs w:val="21"/>
          <w:lang w:val="en-US" w:eastAsia="zh-CN" w:bidi="en-US"/>
        </w:rPr>
        <w:t>/GJ</w:t>
      </w:r>
      <w:r>
        <w:rPr>
          <w:rFonts w:ascii="Times New Roman" w:hAnsi="Times New Roman"/>
          <w:szCs w:val="21"/>
          <w:lang w:val="en-US" w:eastAsia="zh-CN" w:bidi="en-US"/>
        </w:rPr>
        <w:t>)。</w:t>
      </w:r>
    </w:p>
    <w:p w14:paraId="6BFE7472">
      <w:pPr>
        <w:spacing w:line="360" w:lineRule="auto"/>
        <w:rPr>
          <w:rFonts w:eastAsia="黑体"/>
        </w:rPr>
      </w:pPr>
      <w:r>
        <w:rPr>
          <w:rFonts w:eastAsia="黑体"/>
        </w:rPr>
        <w:t>6.2.5.1.3</w:t>
      </w:r>
      <w:r>
        <w:rPr>
          <w:rFonts w:hint="eastAsia" w:eastAsia="黑体"/>
        </w:rPr>
        <w:t>输出电力产生的排放</w:t>
      </w:r>
    </w:p>
    <w:p w14:paraId="430ED619">
      <w:pPr>
        <w:pStyle w:val="151"/>
        <w:numPr>
          <w:ilvl w:val="255"/>
          <w:numId w:val="0"/>
        </w:numPr>
        <w:tabs>
          <w:tab w:val="left" w:pos="830"/>
        </w:tabs>
        <w:snapToGrid w:val="0"/>
        <w:spacing w:after="0" w:line="360" w:lineRule="auto"/>
        <w:ind w:firstLine="420" w:firstLineChars="200"/>
        <w:jc w:val="both"/>
        <w:rPr>
          <w:rFonts w:ascii="Times New Roman" w:hAnsi="Times New Roman" w:eastAsia="黑体"/>
        </w:rPr>
      </w:pPr>
      <w:r>
        <w:rPr>
          <w:rFonts w:ascii="Times New Roman" w:hAnsi="Times New Roman"/>
          <w:szCs w:val="21"/>
        </w:rPr>
        <w:t>企业</w:t>
      </w:r>
      <w:r>
        <w:rPr>
          <w:rFonts w:hint="eastAsia" w:ascii="Times New Roman" w:hAnsi="Times New Roman"/>
          <w:szCs w:val="21"/>
          <w:lang w:val="en-US" w:eastAsia="zh-CN"/>
        </w:rPr>
        <w:t>输出</w:t>
      </w:r>
      <w:r>
        <w:rPr>
          <w:rFonts w:ascii="Times New Roman" w:hAnsi="Times New Roman"/>
          <w:szCs w:val="21"/>
        </w:rPr>
        <w:t>的电力消费所对应的电力生产环节</w:t>
      </w:r>
      <w:r>
        <w:rPr>
          <w:rFonts w:hint="eastAsia" w:ascii="Times New Roman" w:hAnsi="Times New Roman"/>
          <w:szCs w:val="21"/>
        </w:rPr>
        <w:t>温室气体碳</w:t>
      </w:r>
      <w:r>
        <w:rPr>
          <w:rFonts w:ascii="Times New Roman" w:hAnsi="Times New Roman"/>
          <w:szCs w:val="21"/>
        </w:rPr>
        <w:t>排放量按式</w:t>
      </w:r>
      <w:r>
        <w:rPr>
          <w:rFonts w:ascii="Times New Roman" w:hAnsi="Times New Roman" w:cs="Times New Roman"/>
          <w:szCs w:val="21"/>
        </w:rPr>
        <w:t>(</w:t>
      </w:r>
      <w:r>
        <w:rPr>
          <w:rFonts w:ascii="Times New Roman" w:hAnsi="Times New Roman" w:cs="Times New Roman"/>
          <w:szCs w:val="21"/>
          <w:lang w:val="en-US" w:eastAsia="zh-CN"/>
        </w:rPr>
        <w:t>13</w:t>
      </w:r>
      <w:r>
        <w:rPr>
          <w:rFonts w:ascii="Times New Roman" w:hAnsi="Times New Roman" w:cs="Times New Roman"/>
          <w:szCs w:val="21"/>
        </w:rPr>
        <w:t>)</w:t>
      </w:r>
      <w:r>
        <w:rPr>
          <w:rFonts w:ascii="Times New Roman" w:hAnsi="Times New Roman"/>
          <w:szCs w:val="21"/>
        </w:rPr>
        <w:t>计算：</w:t>
      </w:r>
    </w:p>
    <w:p w14:paraId="2438E457">
      <w:pPr>
        <w:pStyle w:val="151"/>
        <w:tabs>
          <w:tab w:val="left" w:pos="1580"/>
        </w:tabs>
        <w:snapToGrid w:val="0"/>
        <w:spacing w:after="0" w:line="360" w:lineRule="auto"/>
        <w:ind w:firstLine="420" w:firstLineChars="200"/>
        <w:jc w:val="right"/>
        <w:rPr>
          <w:rFonts w:ascii="Times New Roman" w:hAnsi="Times New Roman"/>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rPr>
              <m:t>输出电</m:t>
            </m:r>
            <m:ctrlPr>
              <w:rPr>
                <w:rFonts w:ascii="Cambria Math" w:hAnsi="Cambria Math"/>
                <w:i/>
                <w:szCs w:val="21"/>
              </w:rPr>
            </m:ctrlPr>
          </m:sub>
        </m:sSub>
        <m:r>
          <m:rPr/>
          <w:rPr>
            <w:rFonts w:ascii="Times New Roman" w:hAnsi="Times New Roman"/>
            <w:szCs w:val="21"/>
          </w:rPr>
          <m:t>=A</m:t>
        </m:r>
        <m:sSub>
          <m:sSubPr>
            <m:ctrlPr>
              <w:rPr>
                <w:rFonts w:ascii="Cambria Math" w:hAnsi="Cambria Math"/>
                <w:i/>
                <w:szCs w:val="21"/>
              </w:rPr>
            </m:ctrlPr>
          </m:sSubPr>
          <m:e>
            <m:r>
              <m:rPr/>
              <w:rPr>
                <w:rFonts w:ascii="Times New Roman" w:hAnsi="Times New Roman"/>
                <w:szCs w:val="21"/>
              </w:rPr>
              <m:t>D</m:t>
            </m:r>
            <m:ctrlPr>
              <w:rPr>
                <w:rFonts w:ascii="Cambria Math" w:hAnsi="Cambria Math"/>
                <w:i/>
                <w:szCs w:val="21"/>
              </w:rPr>
            </m:ctrlPr>
          </m:e>
          <m:sub>
            <m:r>
              <m:rPr>
                <m:sty m:val="p"/>
              </m:rPr>
              <w:rPr>
                <w:rFonts w:hint="eastAsia" w:ascii="Times New Roman" w:hAnsi="Times New Roman"/>
                <w:szCs w:val="21"/>
              </w:rPr>
              <m:t>输出电</m:t>
            </m:r>
            <m:ctrlPr>
              <w:rPr>
                <w:rFonts w:ascii="Cambria Math" w:hAnsi="Cambria Math"/>
                <w:i/>
                <w:szCs w:val="21"/>
              </w:rPr>
            </m:ctrlPr>
          </m:sub>
        </m:sSub>
        <m:r>
          <m:rPr/>
          <w:rPr>
            <w:rFonts w:ascii="Times New Roman" w:hAnsi="Times New Roman"/>
            <w:szCs w:val="21"/>
          </w:rPr>
          <m:t>×E</m:t>
        </m:r>
        <m:sSub>
          <m:sSubPr>
            <m:ctrlPr>
              <w:rPr>
                <w:rFonts w:ascii="Cambria Math" w:hAnsi="Cambria Math"/>
                <w:i/>
                <w:szCs w:val="21"/>
              </w:rPr>
            </m:ctrlPr>
          </m:sSubPr>
          <m:e>
            <m:r>
              <m:rPr/>
              <w:rPr>
                <w:rFonts w:ascii="Times New Roman" w:hAnsi="Times New Roman"/>
                <w:szCs w:val="21"/>
              </w:rPr>
              <m:t>F</m:t>
            </m:r>
            <m:ctrlPr>
              <w:rPr>
                <w:rFonts w:ascii="Cambria Math" w:hAnsi="Cambria Math"/>
                <w:i/>
                <w:szCs w:val="21"/>
              </w:rPr>
            </m:ctrlPr>
          </m:e>
          <m:sub>
            <m:r>
              <m:rPr>
                <m:sty m:val="p"/>
              </m:rPr>
              <w:rPr>
                <w:rFonts w:hint="eastAsia" w:ascii="Times New Roman" w:hAnsi="Times New Roman"/>
                <w:szCs w:val="21"/>
              </w:rPr>
              <m:t>电</m:t>
            </m:r>
            <m:ctrlPr>
              <w:rPr>
                <w:rFonts w:ascii="Cambria Math" w:hAnsi="Cambria Math"/>
                <w:i/>
                <w:szCs w:val="21"/>
              </w:rPr>
            </m:ctrlPr>
          </m:sub>
        </m:sSub>
      </m:oMath>
      <w:r>
        <w:rPr>
          <w:rFonts w:ascii="Times New Roman" w:hAnsi="Times New Roman"/>
          <w:szCs w:val="21"/>
        </w:rPr>
        <w:t xml:space="preserve">     </w:t>
      </w:r>
      <w:r>
        <w:rPr>
          <w:rFonts w:hint="eastAsia" w:ascii="Times New Roman" w:hAnsi="Times New Roman"/>
        </w:rPr>
        <w:t>··········（</w:t>
      </w:r>
      <w:r>
        <w:rPr>
          <w:rFonts w:ascii="Times New Roman" w:hAnsi="Times New Roman"/>
        </w:rPr>
        <w:t>1</w:t>
      </w:r>
      <w:r>
        <w:rPr>
          <w:rFonts w:ascii="Times New Roman" w:hAnsi="Times New Roman"/>
          <w:lang w:val="en-US"/>
        </w:rPr>
        <w:t>3</w:t>
      </w:r>
      <w:r>
        <w:rPr>
          <w:rFonts w:hint="eastAsia" w:ascii="Times New Roman" w:hAnsi="Times New Roman"/>
        </w:rPr>
        <w:t>）</w:t>
      </w:r>
    </w:p>
    <w:p w14:paraId="3D38B23A">
      <w:pPr>
        <w:widowControl/>
        <w:shd w:val="clear" w:color="auto" w:fill="FFFFFF"/>
        <w:spacing w:line="360" w:lineRule="auto"/>
        <w:ind w:firstLine="420"/>
      </w:pPr>
      <w:r>
        <w:rPr>
          <w:rFonts w:hint="eastAsia"/>
        </w:rPr>
        <w:t>式中：</w:t>
      </w:r>
    </w:p>
    <w:p w14:paraId="510EDD4E">
      <w:pPr>
        <w:pStyle w:val="151"/>
        <w:snapToGrid w:val="0"/>
        <w:spacing w:after="0" w:line="360" w:lineRule="auto"/>
        <w:jc w:val="both"/>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w:rPr>
                <w:rFonts w:hint="eastAsia" w:ascii="Times New Roman" w:hAnsi="Times New Roman"/>
                <w:szCs w:val="21"/>
              </w:rPr>
              <m:t>输出电</m:t>
            </m:r>
            <m:ctrlPr>
              <w:rPr>
                <w:rFonts w:ascii="Cambria Math" w:hAnsi="Cambria Math"/>
                <w:i/>
                <w:szCs w:val="21"/>
              </w:rPr>
            </m:ctrlPr>
          </m:sub>
        </m:sSub>
      </m:oMath>
      <w:r>
        <w:rPr>
          <w:rFonts w:ascii="Times New Roman" w:hAnsi="Times New Roman"/>
          <w:szCs w:val="21"/>
        </w:rPr>
        <w:t>——</w:t>
      </w:r>
      <w:r>
        <w:rPr>
          <w:rFonts w:hint="eastAsia" w:ascii="Times New Roman" w:hAnsi="Times New Roman"/>
          <w:szCs w:val="21"/>
        </w:rPr>
        <w:t>输出</w:t>
      </w:r>
      <w:r>
        <w:rPr>
          <w:rFonts w:ascii="Times New Roman" w:hAnsi="Times New Roman"/>
          <w:szCs w:val="21"/>
        </w:rPr>
        <w:t>的电力所对应的电力生产环节二氧化碳排放量，单位为吨二氧化碳当量</w:t>
      </w:r>
      <w:r>
        <w:rPr>
          <w:rFonts w:ascii="Times New Roman" w:hAnsi="Times New Roman" w:cs="Times New Roman"/>
          <w:szCs w:val="21"/>
          <w:lang w:val="en-US" w:eastAsia="zh-CN" w:bidi="en-US"/>
        </w:rPr>
        <w:t>(tCO</w:t>
      </w:r>
      <w:r>
        <w:rPr>
          <w:rFonts w:ascii="Times New Roman" w:hAnsi="Times New Roman" w:cs="Times New Roman"/>
          <w:szCs w:val="21"/>
          <w:vertAlign w:val="subscript"/>
          <w:lang w:val="en-US" w:eastAsia="zh-CN" w:bidi="en-US"/>
        </w:rPr>
        <w:t>2</w:t>
      </w:r>
      <w:r>
        <w:rPr>
          <w:rFonts w:ascii="Times New Roman" w:hAnsi="Times New Roman" w:cs="Times New Roman"/>
          <w:szCs w:val="21"/>
          <w:lang w:val="en-US" w:eastAsia="zh-CN" w:bidi="en-US"/>
        </w:rPr>
        <w:t>)</w:t>
      </w:r>
      <w:r>
        <w:rPr>
          <w:rFonts w:ascii="Times New Roman" w:hAnsi="Times New Roman"/>
          <w:szCs w:val="21"/>
        </w:rPr>
        <w:t>；</w:t>
      </w:r>
    </w:p>
    <w:p w14:paraId="10A8CBBF">
      <w:pPr>
        <w:pStyle w:val="151"/>
        <w:snapToGrid w:val="0"/>
        <w:spacing w:after="0" w:line="360" w:lineRule="auto"/>
        <w:rPr>
          <w:rFonts w:ascii="Times New Roman" w:hAnsi="Times New Roman"/>
          <w:szCs w:val="21"/>
        </w:rPr>
      </w:pPr>
      <m:oMath>
        <m:r>
          <m:rPr/>
          <w:rPr>
            <w:rFonts w:ascii="Times New Roman" w:hAnsi="Times New Roman"/>
            <w:szCs w:val="21"/>
          </w:rPr>
          <m:t>A</m:t>
        </m:r>
        <m:sSub>
          <m:sSubPr>
            <m:ctrlPr>
              <w:rPr>
                <w:rFonts w:ascii="Cambria Math" w:hAnsi="Cambria Math"/>
                <w:i/>
                <w:szCs w:val="21"/>
              </w:rPr>
            </m:ctrlPr>
          </m:sSubPr>
          <m:e>
            <m:r>
              <m:rPr/>
              <w:rPr>
                <w:rFonts w:ascii="Times New Roman" w:hAnsi="Times New Roman"/>
                <w:szCs w:val="21"/>
              </w:rPr>
              <m:t>D</m:t>
            </m:r>
            <m:ctrlPr>
              <w:rPr>
                <w:rFonts w:ascii="Cambria Math" w:hAnsi="Cambria Math"/>
                <w:i/>
                <w:szCs w:val="21"/>
              </w:rPr>
            </m:ctrlPr>
          </m:e>
          <m:sub>
            <m:r>
              <m:rPr/>
              <w:rPr>
                <w:rFonts w:hint="eastAsia" w:ascii="Times New Roman" w:hAnsi="Times New Roman"/>
                <w:szCs w:val="21"/>
              </w:rPr>
              <m:t>输出电</m:t>
            </m:r>
            <m:ctrlPr>
              <w:rPr>
                <w:rFonts w:ascii="Cambria Math" w:hAnsi="Cambria Math"/>
                <w:i/>
                <w:szCs w:val="21"/>
              </w:rPr>
            </m:ctrlPr>
          </m:sub>
        </m:sSub>
      </m:oMath>
      <w:r>
        <w:rPr>
          <w:rFonts w:ascii="Times New Roman" w:hAnsi="Times New Roman"/>
          <w:szCs w:val="21"/>
        </w:rPr>
        <w:t>——核算</w:t>
      </w:r>
      <w:r>
        <w:rPr>
          <w:rFonts w:hint="eastAsia" w:ascii="Times New Roman" w:hAnsi="Times New Roman"/>
          <w:szCs w:val="21"/>
        </w:rPr>
        <w:t>和报告</w:t>
      </w:r>
      <w:r>
        <w:rPr>
          <w:rFonts w:ascii="Times New Roman" w:hAnsi="Times New Roman"/>
          <w:szCs w:val="21"/>
        </w:rPr>
        <w:t>期内的</w:t>
      </w:r>
      <w:r>
        <w:rPr>
          <w:rFonts w:hint="eastAsia" w:ascii="Times New Roman" w:hAnsi="Times New Roman"/>
          <w:szCs w:val="21"/>
        </w:rPr>
        <w:t>输出</w:t>
      </w:r>
      <w:r>
        <w:rPr>
          <w:rFonts w:ascii="Times New Roman" w:hAnsi="Times New Roman"/>
          <w:szCs w:val="21"/>
        </w:rPr>
        <w:t>电力</w:t>
      </w:r>
      <w:r>
        <w:rPr>
          <w:rFonts w:hint="eastAsia" w:ascii="Times New Roman" w:hAnsi="Times New Roman"/>
          <w:szCs w:val="21"/>
        </w:rPr>
        <w:t>，</w:t>
      </w:r>
      <w:r>
        <w:rPr>
          <w:rFonts w:ascii="Times New Roman" w:hAnsi="Times New Roman"/>
          <w:szCs w:val="21"/>
        </w:rPr>
        <w:t>单位为兆瓦时</w:t>
      </w:r>
      <w:r>
        <w:rPr>
          <w:rFonts w:ascii="Times New Roman" w:hAnsi="Times New Roman" w:cs="Times New Roman"/>
          <w:szCs w:val="21"/>
          <w:lang w:val="en-US" w:eastAsia="zh-CN" w:bidi="en-US"/>
        </w:rPr>
        <w:t>(MWh)</w:t>
      </w:r>
      <w:r>
        <w:rPr>
          <w:rFonts w:ascii="Times New Roman" w:hAnsi="Times New Roman"/>
          <w:szCs w:val="21"/>
          <w:lang w:val="en-US" w:eastAsia="zh-CN" w:bidi="en-US"/>
        </w:rPr>
        <w:t>；</w:t>
      </w:r>
    </w:p>
    <w:p w14:paraId="2CE43545">
      <w:pPr>
        <w:pStyle w:val="151"/>
        <w:snapToGrid w:val="0"/>
        <w:spacing w:after="0" w:line="360" w:lineRule="auto"/>
        <w:jc w:val="both"/>
        <w:rPr>
          <w:rFonts w:ascii="Times New Roman" w:hAnsi="Times New Roman" w:cs="Times New Roman"/>
          <w:szCs w:val="21"/>
          <w:lang w:val="en-US" w:eastAsia="zh-CN" w:bidi="en-US"/>
        </w:rPr>
      </w:pPr>
      <m:oMath>
        <m:r>
          <m:rPr/>
          <w:rPr>
            <w:rFonts w:ascii="Times New Roman" w:hAnsi="Times New Roman"/>
            <w:szCs w:val="21"/>
          </w:rPr>
          <m:t>E</m:t>
        </m:r>
        <m:sSub>
          <m:sSubPr>
            <m:ctrlPr>
              <w:rPr>
                <w:rFonts w:ascii="Cambria Math" w:hAnsi="Cambria Math"/>
                <w:i/>
                <w:szCs w:val="21"/>
              </w:rPr>
            </m:ctrlPr>
          </m:sSubPr>
          <m:e>
            <m:r>
              <m:rPr/>
              <w:rPr>
                <w:rFonts w:ascii="Times New Roman" w:hAnsi="Times New Roman"/>
                <w:szCs w:val="21"/>
              </w:rPr>
              <m:t>F</m:t>
            </m:r>
            <m:ctrlPr>
              <w:rPr>
                <w:rFonts w:ascii="Cambria Math" w:hAnsi="Cambria Math"/>
                <w:i/>
                <w:szCs w:val="21"/>
              </w:rPr>
            </m:ctrlPr>
          </m:e>
          <m:sub>
            <m:r>
              <m:rPr/>
              <w:rPr>
                <w:rFonts w:hint="eastAsia" w:ascii="Times New Roman" w:hAnsi="Times New Roman"/>
                <w:szCs w:val="21"/>
              </w:rPr>
              <m:t>电</m:t>
            </m:r>
            <m:ctrlPr>
              <w:rPr>
                <w:rFonts w:ascii="Cambria Math" w:hAnsi="Cambria Math"/>
                <w:i/>
                <w:szCs w:val="21"/>
              </w:rPr>
            </m:ctrlPr>
          </m:sub>
        </m:sSub>
      </m:oMath>
      <w:r>
        <w:rPr>
          <w:rFonts w:ascii="Times New Roman" w:hAnsi="Times New Roman"/>
          <w:szCs w:val="21"/>
        </w:rPr>
        <w:t>——区域电网年平均供电排放因子</w:t>
      </w:r>
      <w:r>
        <w:rPr>
          <w:rFonts w:hint="eastAsia" w:ascii="Times New Roman" w:hAnsi="Times New Roman"/>
          <w:szCs w:val="21"/>
        </w:rPr>
        <w:t>，</w:t>
      </w:r>
      <w:r>
        <w:rPr>
          <w:rFonts w:ascii="Times New Roman" w:hAnsi="Times New Roman"/>
          <w:szCs w:val="21"/>
        </w:rPr>
        <w:t>单位为吨二氧化碳每兆瓦时</w:t>
      </w:r>
      <w:r>
        <w:rPr>
          <w:rFonts w:ascii="Times New Roman" w:hAnsi="Times New Roman" w:cs="Times New Roman"/>
          <w:szCs w:val="21"/>
          <w:lang w:val="en-US" w:eastAsia="zh-CN" w:bidi="en-US"/>
        </w:rPr>
        <w:t>(tCO</w:t>
      </w:r>
      <w:r>
        <w:rPr>
          <w:rFonts w:ascii="Times New Roman" w:hAnsi="Times New Roman" w:cs="Times New Roman"/>
          <w:szCs w:val="21"/>
          <w:vertAlign w:val="subscript"/>
          <w:lang w:val="en-US" w:eastAsia="zh-CN" w:bidi="en-US"/>
        </w:rPr>
        <w:t>2</w:t>
      </w:r>
      <w:r>
        <w:rPr>
          <w:rFonts w:ascii="Times New Roman" w:hAnsi="Times New Roman" w:cs="Times New Roman"/>
          <w:szCs w:val="21"/>
          <w:lang w:val="en-US" w:eastAsia="zh-CN" w:bidi="en-US"/>
        </w:rPr>
        <w:t>/MWh)</w:t>
      </w:r>
      <w:r>
        <w:rPr>
          <w:rFonts w:hint="eastAsia" w:ascii="Times New Roman" w:hAnsi="Times New Roman" w:cs="Times New Roman"/>
          <w:szCs w:val="21"/>
          <w:lang w:val="en-US" w:eastAsia="zh-CN" w:bidi="en-US"/>
        </w:rPr>
        <w:t>。</w:t>
      </w:r>
    </w:p>
    <w:p w14:paraId="20CF3E0B">
      <w:pPr>
        <w:pStyle w:val="151"/>
        <w:snapToGrid w:val="0"/>
        <w:spacing w:after="0" w:line="360" w:lineRule="auto"/>
        <w:ind w:firstLine="0"/>
        <w:jc w:val="both"/>
        <w:rPr>
          <w:rFonts w:ascii="Times New Roman" w:hAnsi="Times New Roman"/>
        </w:rPr>
      </w:pPr>
      <w:r>
        <w:rPr>
          <w:rFonts w:ascii="Times New Roman" w:hAnsi="Times New Roman" w:eastAsia="黑体"/>
        </w:rPr>
        <w:t>6.2.</w:t>
      </w:r>
      <w:r>
        <w:rPr>
          <w:rFonts w:ascii="Times New Roman" w:hAnsi="Times New Roman" w:eastAsia="黑体"/>
          <w:lang w:val="en-US" w:eastAsia="zh-CN"/>
        </w:rPr>
        <w:t>5</w:t>
      </w:r>
      <w:r>
        <w:rPr>
          <w:rFonts w:ascii="Times New Roman" w:hAnsi="Times New Roman" w:eastAsia="黑体"/>
        </w:rPr>
        <w:t>.1.4</w:t>
      </w:r>
      <w:r>
        <w:rPr>
          <w:rFonts w:hint="eastAsia" w:ascii="Times New Roman" w:hAnsi="Times New Roman" w:eastAsia="黑体"/>
        </w:rPr>
        <w:t>输出热力产生的排放</w:t>
      </w:r>
    </w:p>
    <w:p w14:paraId="5AAEE985">
      <w:pPr>
        <w:pStyle w:val="151"/>
        <w:numPr>
          <w:ilvl w:val="255"/>
          <w:numId w:val="0"/>
        </w:numPr>
        <w:tabs>
          <w:tab w:val="left" w:pos="830"/>
        </w:tabs>
        <w:snapToGrid w:val="0"/>
        <w:spacing w:after="0" w:line="360" w:lineRule="auto"/>
        <w:ind w:firstLine="420" w:firstLineChars="200"/>
        <w:jc w:val="both"/>
        <w:rPr>
          <w:rFonts w:ascii="Times New Roman" w:hAnsi="Times New Roman"/>
          <w:szCs w:val="21"/>
        </w:rPr>
      </w:pPr>
      <w:r>
        <w:rPr>
          <w:rFonts w:ascii="Times New Roman" w:hAnsi="Times New Roman"/>
          <w:szCs w:val="21"/>
        </w:rPr>
        <w:t>企业</w:t>
      </w:r>
      <w:r>
        <w:rPr>
          <w:rFonts w:hint="eastAsia" w:ascii="Times New Roman" w:hAnsi="Times New Roman"/>
          <w:szCs w:val="21"/>
          <w:lang w:val="en-US" w:eastAsia="zh-CN"/>
        </w:rPr>
        <w:t>输出</w:t>
      </w:r>
      <w:r>
        <w:rPr>
          <w:rFonts w:ascii="Times New Roman" w:hAnsi="Times New Roman"/>
          <w:szCs w:val="21"/>
        </w:rPr>
        <w:t>的</w:t>
      </w:r>
      <w:r>
        <w:rPr>
          <w:rFonts w:hint="eastAsia" w:ascii="Times New Roman" w:hAnsi="Times New Roman"/>
          <w:szCs w:val="21"/>
          <w:lang w:val="en-US" w:eastAsia="zh-CN"/>
        </w:rPr>
        <w:t>热</w:t>
      </w:r>
      <w:r>
        <w:rPr>
          <w:rFonts w:ascii="Times New Roman" w:hAnsi="Times New Roman"/>
          <w:szCs w:val="21"/>
        </w:rPr>
        <w:t>力消费所对应的</w:t>
      </w:r>
      <w:r>
        <w:rPr>
          <w:rFonts w:hint="eastAsia" w:ascii="Times New Roman" w:hAnsi="Times New Roman"/>
          <w:szCs w:val="21"/>
          <w:lang w:val="en-US" w:eastAsia="zh-CN"/>
        </w:rPr>
        <w:t>热</w:t>
      </w:r>
      <w:r>
        <w:rPr>
          <w:rFonts w:ascii="Times New Roman" w:hAnsi="Times New Roman"/>
          <w:szCs w:val="21"/>
        </w:rPr>
        <w:t>力生产环节</w:t>
      </w:r>
      <w:r>
        <w:rPr>
          <w:rFonts w:hint="eastAsia" w:ascii="Times New Roman" w:hAnsi="Times New Roman"/>
          <w:szCs w:val="21"/>
        </w:rPr>
        <w:t>温室气体碳</w:t>
      </w:r>
      <w:r>
        <w:rPr>
          <w:rFonts w:ascii="Times New Roman" w:hAnsi="Times New Roman"/>
          <w:szCs w:val="21"/>
        </w:rPr>
        <w:t>排放量按式</w:t>
      </w:r>
      <w:r>
        <w:rPr>
          <w:rFonts w:ascii="Times New Roman" w:hAnsi="Times New Roman" w:cs="Times New Roman"/>
          <w:szCs w:val="21"/>
        </w:rPr>
        <w:t>(</w:t>
      </w:r>
      <w:r>
        <w:rPr>
          <w:rFonts w:ascii="Times New Roman" w:hAnsi="Times New Roman" w:cs="Times New Roman"/>
          <w:szCs w:val="21"/>
          <w:lang w:val="en-US" w:eastAsia="zh-CN"/>
        </w:rPr>
        <w:t>14</w:t>
      </w:r>
      <w:r>
        <w:rPr>
          <w:rFonts w:ascii="Times New Roman" w:hAnsi="Times New Roman" w:cs="Times New Roman"/>
          <w:szCs w:val="21"/>
        </w:rPr>
        <w:t>)</w:t>
      </w:r>
      <w:r>
        <w:rPr>
          <w:rFonts w:ascii="Times New Roman" w:hAnsi="Times New Roman"/>
          <w:szCs w:val="21"/>
        </w:rPr>
        <w:t>计算：</w:t>
      </w:r>
    </w:p>
    <w:p w14:paraId="087725AD">
      <w:pPr>
        <w:pStyle w:val="151"/>
        <w:numPr>
          <w:ilvl w:val="255"/>
          <w:numId w:val="0"/>
        </w:numPr>
        <w:tabs>
          <w:tab w:val="left" w:pos="830"/>
        </w:tabs>
        <w:snapToGrid w:val="0"/>
        <w:spacing w:after="0" w:line="360" w:lineRule="auto"/>
        <w:ind w:firstLine="420" w:firstLineChars="200"/>
        <w:jc w:val="right"/>
        <w:rPr>
          <w:rFonts w:ascii="Times New Roman" w:hAnsi="Times New Roman"/>
        </w:rPr>
      </w:pPr>
      <w:r>
        <w:rPr>
          <w:rFonts w:ascii="Times New Roman" w:hAnsi="Times New Roman"/>
          <w:szCs w:val="21"/>
        </w:rPr>
        <w:t xml:space="preserve"> </w:t>
      </w: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rPr>
              <m:t>输出热</m:t>
            </m:r>
            <m:ctrlPr>
              <w:rPr>
                <w:rFonts w:ascii="Cambria Math" w:hAnsi="Cambria Math"/>
                <w:i/>
                <w:szCs w:val="21"/>
              </w:rPr>
            </m:ctrlPr>
          </m:sub>
        </m:sSub>
        <m:r>
          <m:rPr/>
          <w:rPr>
            <w:rFonts w:ascii="Times New Roman" w:hAnsi="Times New Roman"/>
            <w:szCs w:val="21"/>
          </w:rPr>
          <m:t>=A</m:t>
        </m:r>
        <m:sSub>
          <m:sSubPr>
            <m:ctrlPr>
              <w:rPr>
                <w:rFonts w:ascii="Cambria Math" w:hAnsi="Cambria Math"/>
                <w:i/>
                <w:szCs w:val="21"/>
              </w:rPr>
            </m:ctrlPr>
          </m:sSubPr>
          <m:e>
            <m:r>
              <m:rPr/>
              <w:rPr>
                <w:rFonts w:ascii="Times New Roman" w:hAnsi="Times New Roman"/>
                <w:szCs w:val="21"/>
              </w:rPr>
              <m:t>D</m:t>
            </m:r>
            <m:ctrlPr>
              <w:rPr>
                <w:rFonts w:ascii="Cambria Math" w:hAnsi="Cambria Math"/>
                <w:i/>
                <w:szCs w:val="21"/>
              </w:rPr>
            </m:ctrlPr>
          </m:e>
          <m:sub>
            <m:r>
              <m:rPr>
                <m:sty m:val="p"/>
              </m:rPr>
              <w:rPr>
                <w:rFonts w:hint="eastAsia" w:ascii="Times New Roman" w:hAnsi="Times New Roman"/>
                <w:szCs w:val="21"/>
              </w:rPr>
              <m:t>输出热</m:t>
            </m:r>
            <m:ctrlPr>
              <w:rPr>
                <w:rFonts w:ascii="Cambria Math" w:hAnsi="Cambria Math"/>
                <w:i/>
                <w:szCs w:val="21"/>
              </w:rPr>
            </m:ctrlPr>
          </m:sub>
        </m:sSub>
        <m:r>
          <m:rPr/>
          <w:rPr>
            <w:rFonts w:ascii="Times New Roman" w:hAnsi="Times New Roman"/>
            <w:szCs w:val="21"/>
          </w:rPr>
          <m:t>×E</m:t>
        </m:r>
        <m:sSub>
          <m:sSubPr>
            <m:ctrlPr>
              <w:rPr>
                <w:rFonts w:ascii="Cambria Math" w:hAnsi="Cambria Math"/>
                <w:i/>
                <w:szCs w:val="21"/>
              </w:rPr>
            </m:ctrlPr>
          </m:sSubPr>
          <m:e>
            <m:r>
              <m:rPr/>
              <w:rPr>
                <w:rFonts w:ascii="Times New Roman" w:hAnsi="Times New Roman"/>
                <w:szCs w:val="21"/>
              </w:rPr>
              <m:t>F</m:t>
            </m:r>
            <m:ctrlPr>
              <w:rPr>
                <w:rFonts w:ascii="Cambria Math" w:hAnsi="Cambria Math"/>
                <w:i/>
                <w:szCs w:val="21"/>
              </w:rPr>
            </m:ctrlPr>
          </m:e>
          <m:sub>
            <m:r>
              <m:rPr>
                <m:sty m:val="p"/>
              </m:rPr>
              <w:rPr>
                <w:rFonts w:hint="eastAsia" w:ascii="Times New Roman" w:hAnsi="Times New Roman"/>
                <w:szCs w:val="21"/>
              </w:rPr>
              <m:t>热</m:t>
            </m:r>
            <m:ctrlPr>
              <w:rPr>
                <w:rFonts w:ascii="Cambria Math" w:hAnsi="Cambria Math"/>
                <w:i/>
                <w:szCs w:val="21"/>
              </w:rPr>
            </m:ctrlPr>
          </m:sub>
        </m:sSub>
      </m:oMath>
      <w:r>
        <w:rPr>
          <w:rFonts w:ascii="Times New Roman" w:hAnsi="Times New Roman"/>
          <w:szCs w:val="21"/>
        </w:rPr>
        <w:t xml:space="preserve">   </w:t>
      </w:r>
      <w:r>
        <w:rPr>
          <w:rFonts w:hint="eastAsia" w:ascii="Times New Roman" w:hAnsi="Times New Roman"/>
        </w:rPr>
        <w:t>··········</w:t>
      </w:r>
      <w:r>
        <w:rPr>
          <w:rFonts w:ascii="Times New Roman" w:hAnsi="Times New Roman"/>
        </w:rPr>
        <w:t>（1</w:t>
      </w:r>
      <w:r>
        <w:rPr>
          <w:rFonts w:ascii="Times New Roman" w:hAnsi="Times New Roman"/>
          <w:lang w:val="en-US"/>
        </w:rPr>
        <w:t>4</w:t>
      </w:r>
      <w:r>
        <w:rPr>
          <w:rFonts w:hint="eastAsia" w:ascii="Times New Roman" w:hAnsi="Times New Roman"/>
        </w:rPr>
        <w:t>）</w:t>
      </w:r>
    </w:p>
    <w:p w14:paraId="2847A994">
      <w:pPr>
        <w:widowControl/>
        <w:shd w:val="clear" w:color="auto" w:fill="FFFFFF"/>
        <w:spacing w:line="360" w:lineRule="auto"/>
        <w:ind w:firstLine="420"/>
      </w:pPr>
      <w:r>
        <w:rPr>
          <w:rFonts w:hint="eastAsia"/>
        </w:rPr>
        <w:t>式中：</w:t>
      </w:r>
    </w:p>
    <w:p w14:paraId="34D34BA4">
      <w:pPr>
        <w:pStyle w:val="151"/>
        <w:snapToGrid w:val="0"/>
        <w:spacing w:after="0" w:line="360" w:lineRule="auto"/>
        <w:jc w:val="both"/>
        <w:rPr>
          <w:rFonts w:ascii="Times New Roman" w:hAnsi="Times New Roman"/>
          <w:szCs w:val="21"/>
        </w:rPr>
      </w:pPr>
      <m:oMath>
        <m:sSub>
          <m:sSubPr>
            <m:ctrlPr>
              <w:rPr>
                <w:rFonts w:ascii="Cambria Math" w:hAnsi="Cambria Math"/>
                <w:i/>
                <w:szCs w:val="21"/>
              </w:rPr>
            </m:ctrlPr>
          </m:sSubPr>
          <m:e>
            <m:r>
              <m:rPr/>
              <w:rPr>
                <w:rFonts w:ascii="Times New Roman" w:hAnsi="Times New Roman"/>
                <w:szCs w:val="21"/>
              </w:rPr>
              <m:t>E</m:t>
            </m:r>
            <m:ctrlPr>
              <w:rPr>
                <w:rFonts w:ascii="Cambria Math" w:hAnsi="Cambria Math"/>
                <w:i/>
                <w:szCs w:val="21"/>
              </w:rPr>
            </m:ctrlPr>
          </m:e>
          <m:sub>
            <m:r>
              <m:rPr>
                <m:sty m:val="p"/>
              </m:rPr>
              <w:rPr>
                <w:rFonts w:hint="eastAsia" w:ascii="Times New Roman" w:hAnsi="Times New Roman"/>
                <w:szCs w:val="21"/>
                <w:lang w:eastAsia="zh-CN"/>
              </w:rPr>
              <m:t>输出热</m:t>
            </m:r>
            <m:ctrlPr>
              <w:rPr>
                <w:rFonts w:ascii="Cambria Math" w:hAnsi="Cambria Math"/>
                <w:i/>
                <w:szCs w:val="21"/>
              </w:rPr>
            </m:ctrlPr>
          </m:sub>
        </m:sSub>
      </m:oMath>
      <w:r>
        <w:rPr>
          <w:rFonts w:ascii="Times New Roman" w:hAnsi="Times New Roman"/>
          <w:szCs w:val="21"/>
        </w:rPr>
        <w:t>——</w:t>
      </w:r>
      <w:r>
        <w:rPr>
          <w:rFonts w:hint="eastAsia" w:ascii="Times New Roman" w:hAnsi="Times New Roman"/>
          <w:szCs w:val="21"/>
        </w:rPr>
        <w:t>输出</w:t>
      </w:r>
      <w:r>
        <w:rPr>
          <w:rFonts w:ascii="Times New Roman" w:hAnsi="Times New Roman"/>
          <w:szCs w:val="21"/>
        </w:rPr>
        <w:t xml:space="preserve">的热力所对应的热力生产环节二氧化碳排放量，单位为吨二氧化碳当量 </w:t>
      </w:r>
      <w:r>
        <w:rPr>
          <w:rFonts w:ascii="Times New Roman" w:hAnsi="Times New Roman" w:cs="Times New Roman"/>
          <w:szCs w:val="21"/>
          <w:lang w:val="en-US" w:eastAsia="zh-CN" w:bidi="en-US"/>
        </w:rPr>
        <w:t>(tCO</w:t>
      </w:r>
      <w:r>
        <w:rPr>
          <w:rFonts w:ascii="Times New Roman" w:hAnsi="Times New Roman" w:cs="Times New Roman"/>
          <w:szCs w:val="21"/>
          <w:vertAlign w:val="subscript"/>
          <w:lang w:val="en-US" w:eastAsia="zh-CN" w:bidi="en-US"/>
        </w:rPr>
        <w:t>2</w:t>
      </w:r>
      <w:r>
        <w:rPr>
          <w:rFonts w:ascii="Times New Roman" w:hAnsi="Times New Roman" w:cs="Times New Roman"/>
          <w:szCs w:val="21"/>
          <w:lang w:val="en-US" w:eastAsia="zh-CN" w:bidi="en-US"/>
        </w:rPr>
        <w:t>)</w:t>
      </w:r>
      <w:r>
        <w:rPr>
          <w:rFonts w:ascii="Times New Roman" w:hAnsi="Times New Roman"/>
          <w:szCs w:val="21"/>
        </w:rPr>
        <w:t>；</w:t>
      </w:r>
    </w:p>
    <w:p w14:paraId="59210FE5">
      <w:pPr>
        <w:pStyle w:val="151"/>
        <w:tabs>
          <w:tab w:val="left" w:pos="1580"/>
        </w:tabs>
        <w:snapToGrid w:val="0"/>
        <w:spacing w:after="0" w:line="360" w:lineRule="auto"/>
        <w:jc w:val="both"/>
        <w:rPr>
          <w:rFonts w:ascii="Times New Roman" w:hAnsi="Times New Roman"/>
          <w:szCs w:val="21"/>
        </w:rPr>
      </w:pPr>
      <m:oMath>
        <m:r>
          <m:rPr/>
          <w:rPr>
            <w:rFonts w:ascii="Times New Roman" w:hAnsi="Times New Roman"/>
            <w:szCs w:val="21"/>
          </w:rPr>
          <m:t>A</m:t>
        </m:r>
        <m:sSub>
          <m:sSubPr>
            <m:ctrlPr>
              <w:rPr>
                <w:rFonts w:ascii="Cambria Math" w:hAnsi="Cambria Math"/>
                <w:iCs/>
                <w:szCs w:val="21"/>
              </w:rPr>
            </m:ctrlPr>
          </m:sSubPr>
          <m:e>
            <m:r>
              <m:rPr>
                <m:sty m:val="p"/>
              </m:rPr>
              <w:rPr>
                <w:rFonts w:ascii="Times New Roman" w:hAnsi="Times New Roman"/>
                <w:szCs w:val="21"/>
              </w:rPr>
              <m:t>D</m:t>
            </m:r>
            <m:ctrlPr>
              <w:rPr>
                <w:rFonts w:ascii="Cambria Math" w:hAnsi="Cambria Math"/>
                <w:iCs/>
                <w:szCs w:val="21"/>
              </w:rPr>
            </m:ctrlPr>
          </m:e>
          <m:sub>
            <m:r>
              <m:rPr>
                <m:sty m:val="p"/>
              </m:rPr>
              <w:rPr>
                <w:rFonts w:hint="eastAsia" w:ascii="Times New Roman" w:hAnsi="Times New Roman"/>
                <w:szCs w:val="21"/>
                <w:lang w:eastAsia="zh-CN"/>
              </w:rPr>
              <m:t>输出热</m:t>
            </m:r>
            <m:ctrlPr>
              <w:rPr>
                <w:rFonts w:ascii="Cambria Math" w:hAnsi="Cambria Math"/>
                <w:iCs/>
                <w:szCs w:val="21"/>
              </w:rPr>
            </m:ctrlPr>
          </m:sub>
        </m:sSub>
      </m:oMath>
      <w:r>
        <w:rPr>
          <w:rFonts w:ascii="Times New Roman" w:hAnsi="Times New Roman"/>
          <w:szCs w:val="21"/>
        </w:rPr>
        <w:t>——核算</w:t>
      </w:r>
      <w:r>
        <w:rPr>
          <w:rFonts w:hint="eastAsia" w:ascii="Times New Roman" w:hAnsi="Times New Roman"/>
          <w:szCs w:val="21"/>
        </w:rPr>
        <w:t>和报告</w:t>
      </w:r>
      <w:r>
        <w:rPr>
          <w:rFonts w:ascii="Times New Roman" w:hAnsi="Times New Roman"/>
          <w:szCs w:val="21"/>
        </w:rPr>
        <w:t>期内的</w:t>
      </w:r>
      <w:r>
        <w:rPr>
          <w:rFonts w:hint="eastAsia" w:ascii="Times New Roman" w:hAnsi="Times New Roman"/>
          <w:szCs w:val="21"/>
        </w:rPr>
        <w:t>输出</w:t>
      </w:r>
      <w:r>
        <w:rPr>
          <w:rFonts w:ascii="Times New Roman" w:hAnsi="Times New Roman"/>
          <w:szCs w:val="21"/>
        </w:rPr>
        <w:t>热力，单位为吉焦</w:t>
      </w:r>
      <w:r>
        <w:rPr>
          <w:rFonts w:ascii="Times New Roman" w:hAnsi="Times New Roman" w:cs="Times New Roman"/>
          <w:szCs w:val="21"/>
          <w:lang w:val="en-US" w:eastAsia="zh-CN" w:bidi="en-US"/>
        </w:rPr>
        <w:t>(GJ)</w:t>
      </w:r>
      <w:r>
        <w:rPr>
          <w:rFonts w:ascii="Times New Roman" w:hAnsi="Times New Roman"/>
          <w:szCs w:val="21"/>
        </w:rPr>
        <w:t>；</w:t>
      </w:r>
    </w:p>
    <w:p w14:paraId="41F659EC">
      <w:pPr>
        <w:pStyle w:val="151"/>
        <w:tabs>
          <w:tab w:val="left" w:pos="1580"/>
        </w:tabs>
        <w:snapToGrid w:val="0"/>
        <w:spacing w:after="0" w:line="360" w:lineRule="auto"/>
        <w:rPr>
          <w:rFonts w:ascii="Times New Roman" w:hAnsi="Times New Roman"/>
          <w:szCs w:val="21"/>
        </w:rPr>
      </w:pPr>
      <m:oMath>
        <m:r>
          <m:rPr/>
          <w:rPr>
            <w:rFonts w:ascii="Times New Roman" w:hAnsi="Times New Roman"/>
            <w:szCs w:val="21"/>
          </w:rPr>
          <m:t>E</m:t>
        </m:r>
        <m:sSub>
          <m:sSubPr>
            <m:ctrlPr>
              <w:rPr>
                <w:rFonts w:ascii="Cambria Math" w:hAnsi="Cambria Math"/>
                <w:i/>
                <w:szCs w:val="21"/>
              </w:rPr>
            </m:ctrlPr>
          </m:sSubPr>
          <m:e>
            <m:r>
              <m:rPr/>
              <w:rPr>
                <w:rFonts w:ascii="Times New Roman" w:hAnsi="Times New Roman"/>
                <w:szCs w:val="21"/>
              </w:rPr>
              <m:t>F</m:t>
            </m:r>
            <m:ctrlPr>
              <w:rPr>
                <w:rFonts w:ascii="Cambria Math" w:hAnsi="Cambria Math"/>
                <w:i/>
                <w:szCs w:val="21"/>
              </w:rPr>
            </m:ctrlPr>
          </m:e>
          <m:sub>
            <m:r>
              <m:rPr>
                <m:sty m:val="p"/>
              </m:rPr>
              <w:rPr>
                <w:rFonts w:hint="eastAsia" w:ascii="Times New Roman" w:hAnsi="Times New Roman"/>
                <w:szCs w:val="21"/>
                <w:lang w:eastAsia="zh-CN"/>
              </w:rPr>
              <m:t>热</m:t>
            </m:r>
            <m:ctrlPr>
              <w:rPr>
                <w:rFonts w:ascii="Cambria Math" w:hAnsi="Cambria Math"/>
                <w:i/>
                <w:szCs w:val="21"/>
              </w:rPr>
            </m:ctrlPr>
          </m:sub>
        </m:sSub>
      </m:oMath>
      <w:r>
        <w:rPr>
          <w:rFonts w:ascii="Times New Roman" w:hAnsi="Times New Roman"/>
          <w:szCs w:val="21"/>
        </w:rPr>
        <w:t>——热力的排放因子，单位为吨二氧化碳每吉焦</w:t>
      </w:r>
      <w:r>
        <w:rPr>
          <w:rFonts w:ascii="Times New Roman" w:hAnsi="Times New Roman" w:cs="Times New Roman"/>
          <w:szCs w:val="21"/>
          <w:lang w:val="en-US" w:eastAsia="zh-CN" w:bidi="en-US"/>
        </w:rPr>
        <w:t>(</w:t>
      </w:r>
      <w:r>
        <w:rPr>
          <w:rFonts w:ascii="Times New Roman" w:hAnsi="Times New Roman"/>
          <w:szCs w:val="21"/>
        </w:rPr>
        <w:t>tCO</w:t>
      </w:r>
      <w:r>
        <w:rPr>
          <w:rFonts w:ascii="Times New Roman" w:hAnsi="Times New Roman"/>
          <w:szCs w:val="21"/>
          <w:vertAlign w:val="subscript"/>
        </w:rPr>
        <w:t>2</w:t>
      </w:r>
      <w:r>
        <w:rPr>
          <w:rFonts w:ascii="Times New Roman" w:hAnsi="Times New Roman"/>
          <w:szCs w:val="21"/>
        </w:rPr>
        <w:t>/GJ</w:t>
      </w:r>
      <w:r>
        <w:rPr>
          <w:rFonts w:ascii="Times New Roman" w:hAnsi="Times New Roman" w:cs="Times New Roman"/>
          <w:szCs w:val="21"/>
          <w:lang w:val="en-US" w:eastAsia="zh-CN" w:bidi="en-US"/>
        </w:rPr>
        <w:t>)</w:t>
      </w:r>
      <w:r>
        <w:rPr>
          <w:rFonts w:hint="eastAsia" w:ascii="Times New Roman" w:hAnsi="Times New Roman"/>
          <w:szCs w:val="21"/>
          <w:lang w:val="en-US" w:eastAsia="zh-CN" w:bidi="en-US"/>
        </w:rPr>
        <w:t>。</w:t>
      </w:r>
      <w:r>
        <w:rPr>
          <w:rFonts w:ascii="Times New Roman" w:hAnsi="Times New Roman"/>
          <w:szCs w:val="21"/>
        </w:rPr>
        <w:t xml:space="preserve"> </w:t>
      </w:r>
    </w:p>
    <w:p w14:paraId="2FF48358">
      <w:pPr>
        <w:spacing w:line="360" w:lineRule="auto"/>
        <w:rPr>
          <w:rFonts w:eastAsia="黑体"/>
        </w:rPr>
      </w:pPr>
      <w:bookmarkStart w:id="25" w:name="OLE_LINK7"/>
      <w:r>
        <w:rPr>
          <w:rFonts w:eastAsia="黑体"/>
        </w:rPr>
        <w:t>6.2.5.2</w:t>
      </w:r>
      <w:r>
        <w:rPr>
          <w:rFonts w:hint="eastAsia" w:eastAsia="黑体"/>
        </w:rPr>
        <w:t>活动数据获取</w:t>
      </w:r>
    </w:p>
    <w:bookmarkEnd w:id="25"/>
    <w:p w14:paraId="1D2060F9">
      <w:pPr>
        <w:spacing w:line="360" w:lineRule="auto"/>
      </w:pPr>
      <w:r>
        <w:rPr>
          <w:rFonts w:eastAsia="黑体"/>
        </w:rPr>
        <w:t xml:space="preserve">6.2.5.2.1 </w:t>
      </w:r>
      <w:r>
        <w:rPr>
          <w:rFonts w:hint="eastAsia"/>
        </w:rPr>
        <w:t>企业购入和输出电量数据应以结算电表为准，也可采用供应商提供的电费发票或者结算单等结算凭证中的数据。</w:t>
      </w:r>
    </w:p>
    <w:p w14:paraId="4ED6A000">
      <w:pPr>
        <w:spacing w:line="360" w:lineRule="auto"/>
      </w:pPr>
      <w:r>
        <w:rPr>
          <w:rFonts w:eastAsia="黑体"/>
        </w:rPr>
        <w:t>6.2.5.2.2</w:t>
      </w:r>
      <w:r>
        <w:t xml:space="preserve"> </w:t>
      </w:r>
      <w:r>
        <w:rPr>
          <w:rFonts w:hint="eastAsia"/>
        </w:rPr>
        <w:t>企业购入和输出热力数据应以结算热力表或计量表为准，也可采用供应商提供的供热量发票或者结算单等结算凭证中的数据。</w:t>
      </w:r>
    </w:p>
    <w:p w14:paraId="4A853AA2">
      <w:pPr>
        <w:spacing w:line="360" w:lineRule="auto"/>
        <w:rPr>
          <w:lang w:eastAsia="zh-TW"/>
        </w:rPr>
      </w:pPr>
      <w:r>
        <w:rPr>
          <w:rFonts w:hint="eastAsia"/>
        </w:rPr>
        <w:t>6</w:t>
      </w:r>
      <w:r>
        <w:t>.2.</w:t>
      </w:r>
      <w:r>
        <w:rPr>
          <w:rFonts w:hint="eastAsia"/>
        </w:rPr>
        <w:t>5</w:t>
      </w:r>
      <w:r>
        <w:t xml:space="preserve">.2.3 </w:t>
      </w:r>
      <w:r>
        <w:rPr>
          <w:rFonts w:hint="eastAsia"/>
        </w:rPr>
        <w:t>非热量单位可按公式（15）、公式（16）换算为热量单位：</w:t>
      </w:r>
    </w:p>
    <w:p w14:paraId="1E557997">
      <w:pPr>
        <w:pStyle w:val="151"/>
        <w:snapToGrid w:val="0"/>
        <w:spacing w:after="0" w:line="360" w:lineRule="auto"/>
        <w:ind w:firstLine="420" w:firstLineChars="200"/>
        <w:jc w:val="both"/>
        <w:rPr>
          <w:rFonts w:ascii="Times New Roman" w:hAnsi="Times New Roman"/>
          <w:szCs w:val="21"/>
          <w:lang w:val="en-US" w:eastAsia="zh-CN"/>
        </w:rPr>
      </w:pPr>
      <w:r>
        <w:rPr>
          <w:rFonts w:ascii="Times New Roman" w:hAnsi="Times New Roman"/>
        </w:rPr>
        <w:t xml:space="preserve">1) </w:t>
      </w:r>
      <w:r>
        <w:rPr>
          <w:rFonts w:hint="eastAsia" w:ascii="Times New Roman" w:hAnsi="Times New Roman"/>
          <w:szCs w:val="21"/>
          <w:lang w:val="en-US" w:eastAsia="zh-CN"/>
        </w:rPr>
        <w:t>以质量单位计量的蒸汽可按式（</w:t>
      </w:r>
      <w:r>
        <w:rPr>
          <w:rFonts w:ascii="Times New Roman" w:hAnsi="Times New Roman"/>
          <w:szCs w:val="21"/>
          <w:lang w:val="en-US" w:eastAsia="zh-CN"/>
        </w:rPr>
        <w:t>15）转换为热量</w:t>
      </w:r>
      <w:r>
        <w:rPr>
          <w:rFonts w:hint="eastAsia" w:ascii="Times New Roman" w:hAnsi="Times New Roman"/>
          <w:szCs w:val="21"/>
          <w:lang w:val="en-US" w:eastAsia="zh-CN"/>
        </w:rPr>
        <w:t>单位</w:t>
      </w:r>
      <w:r>
        <w:rPr>
          <w:rFonts w:ascii="Times New Roman" w:hAnsi="Times New Roman"/>
          <w:szCs w:val="21"/>
          <w:lang w:val="en-US" w:eastAsia="zh-CN"/>
        </w:rPr>
        <w:t>。</w:t>
      </w:r>
    </w:p>
    <w:p w14:paraId="1D7F279B">
      <w:pPr>
        <w:pStyle w:val="149"/>
        <w:tabs>
          <w:tab w:val="right" w:leader="dot" w:pos="8706"/>
        </w:tabs>
        <w:snapToGrid w:val="0"/>
        <w:spacing w:line="360" w:lineRule="auto"/>
        <w:jc w:val="right"/>
        <w:rPr>
          <w:szCs w:val="21"/>
          <w:lang w:eastAsia="zh-TW"/>
        </w:rPr>
      </w:pPr>
      <m:oMath>
        <m:sSub>
          <m:sSubPr>
            <m:ctrlPr>
              <w:rPr>
                <w:rFonts w:ascii="Cambria Math" w:hAnsi="Cambria Math" w:cs="宋体"/>
                <w:i/>
                <w:szCs w:val="21"/>
                <w:lang w:val="zh-TW" w:eastAsia="zh-TW" w:bidi="zh-TW"/>
              </w:rPr>
            </m:ctrlPr>
          </m:sSubPr>
          <m:e>
            <m:r>
              <m:rPr/>
              <w:rPr>
                <w:rFonts w:cs="宋体"/>
                <w:szCs w:val="21"/>
                <w:lang w:bidi="zh-TW"/>
              </w:rPr>
              <m:t>AD</m:t>
            </m:r>
            <m:ctrlPr>
              <w:rPr>
                <w:rFonts w:ascii="Cambria Math" w:hAnsi="Cambria Math" w:cs="宋体"/>
                <w:i/>
                <w:szCs w:val="21"/>
                <w:lang w:val="zh-TW" w:eastAsia="zh-TW" w:bidi="zh-TW"/>
              </w:rPr>
            </m:ctrlPr>
          </m:e>
          <m:sub>
            <m:r>
              <m:rPr>
                <m:sty m:val="p"/>
              </m:rPr>
              <w:rPr>
                <w:szCs w:val="21"/>
              </w:rPr>
              <m:t>st</m:t>
            </m:r>
            <m:ctrlPr>
              <w:rPr>
                <w:rFonts w:ascii="Cambria Math" w:hAnsi="Cambria Math" w:cs="宋体"/>
                <w:i/>
                <w:szCs w:val="21"/>
                <w:lang w:val="zh-TW" w:eastAsia="zh-TW" w:bidi="zh-TW"/>
              </w:rPr>
            </m:ctrlPr>
          </m:sub>
        </m:sSub>
        <m:r>
          <m:rPr/>
          <w:rPr>
            <w:szCs w:val="21"/>
            <w:lang w:eastAsia="zh-TW"/>
          </w:rPr>
          <m:t>=</m:t>
        </m:r>
        <m:r>
          <m:rPr/>
          <w:rPr>
            <w:szCs w:val="21"/>
          </w:rPr>
          <m:t>M</m:t>
        </m:r>
        <m:sSub>
          <m:sSubPr>
            <m:ctrlPr>
              <w:rPr>
                <w:rFonts w:ascii="Cambria Math" w:hAnsi="Cambria Math" w:cs="宋体"/>
                <w:i/>
                <w:szCs w:val="21"/>
                <w:lang w:val="zh-TW" w:eastAsia="zh-TW" w:bidi="zh-TW"/>
              </w:rPr>
            </m:ctrlPr>
          </m:sSubPr>
          <m:e>
            <m:r>
              <m:rPr/>
              <w:rPr>
                <w:rFonts w:cs="宋体"/>
                <w:szCs w:val="21"/>
                <w:lang w:bidi="zh-TW"/>
              </w:rPr>
              <m:t>A</m:t>
            </m:r>
            <m:ctrlPr>
              <w:rPr>
                <w:rFonts w:ascii="Cambria Math" w:hAnsi="Cambria Math" w:cs="宋体"/>
                <w:i/>
                <w:szCs w:val="21"/>
                <w:lang w:val="zh-TW" w:eastAsia="zh-TW" w:bidi="zh-TW"/>
              </w:rPr>
            </m:ctrlPr>
          </m:e>
          <m:sub>
            <m:r>
              <m:rPr/>
              <w:rPr>
                <w:rFonts w:cs="宋体"/>
                <w:szCs w:val="21"/>
                <w:lang w:bidi="zh-TW"/>
              </w:rPr>
              <m:t>st</m:t>
            </m:r>
            <m:ctrlPr>
              <w:rPr>
                <w:rFonts w:ascii="Cambria Math" w:hAnsi="Cambria Math" w:cs="宋体"/>
                <w:szCs w:val="21"/>
                <w:lang w:bidi="zh-TW"/>
              </w:rPr>
            </m:ctrlPr>
          </m:sub>
        </m:sSub>
        <m:r>
          <m:rPr/>
          <w:rPr>
            <w:szCs w:val="21"/>
            <w:lang w:eastAsia="zh-TW"/>
          </w:rPr>
          <m:t>×</m:t>
        </m:r>
        <m:r>
          <m:rPr/>
          <w:rPr>
            <w:szCs w:val="21"/>
          </w:rPr>
          <m:t>(</m:t>
        </m:r>
        <m:r>
          <m:rPr/>
          <w:rPr>
            <w:szCs w:val="21"/>
            <w:lang w:eastAsia="zh-TW"/>
          </w:rPr>
          <m:t>E</m:t>
        </m:r>
        <m:sSub>
          <m:sSubPr>
            <m:ctrlPr>
              <w:rPr>
                <w:rFonts w:ascii="Cambria Math" w:hAnsi="Cambria Math" w:cs="宋体"/>
                <w:i/>
                <w:szCs w:val="21"/>
                <w:lang w:val="zh-TW" w:eastAsia="zh-TW" w:bidi="zh-TW"/>
              </w:rPr>
            </m:ctrlPr>
          </m:sSubPr>
          <m:e>
            <m:r>
              <m:rPr/>
              <w:rPr>
                <w:rFonts w:cs="宋体"/>
                <w:szCs w:val="21"/>
                <w:lang w:bidi="zh-TW"/>
              </w:rPr>
              <m:t>n</m:t>
            </m:r>
            <m:ctrlPr>
              <w:rPr>
                <w:rFonts w:ascii="Cambria Math" w:hAnsi="Cambria Math" w:cs="宋体"/>
                <w:i/>
                <w:szCs w:val="21"/>
                <w:lang w:val="zh-TW" w:eastAsia="zh-TW" w:bidi="zh-TW"/>
              </w:rPr>
            </m:ctrlPr>
          </m:e>
          <m:sub>
            <m:r>
              <m:rPr/>
              <w:rPr>
                <w:rFonts w:cs="宋体"/>
                <w:szCs w:val="21"/>
                <w:lang w:bidi="zh-TW"/>
              </w:rPr>
              <m:t>st</m:t>
            </m:r>
            <m:ctrlPr>
              <w:rPr>
                <w:rFonts w:ascii="Cambria Math" w:hAnsi="Cambria Math" w:cs="宋体"/>
                <w:i/>
                <w:szCs w:val="21"/>
                <w:lang w:val="zh-TW" w:eastAsia="zh-TW" w:bidi="zh-TW"/>
              </w:rPr>
            </m:ctrlPr>
          </m:sub>
        </m:sSub>
        <m:r>
          <m:rPr/>
          <w:rPr>
            <w:rFonts w:cs="宋体"/>
            <w:szCs w:val="21"/>
            <w:lang w:bidi="zh-TW"/>
          </w:rPr>
          <m:t>−83.74)</m:t>
        </m:r>
        <m:r>
          <m:rPr/>
          <w:rPr>
            <w:rFonts w:cs="Cambria Math"/>
            <w:szCs w:val="21"/>
            <w:lang w:bidi="zh-TW"/>
          </w:rPr>
          <m:t>×</m:t>
        </m:r>
        <m:sSup>
          <m:sSupPr>
            <m:ctrlPr>
              <w:rPr>
                <w:rFonts w:ascii="Cambria Math" w:hAnsi="Cambria Math" w:cs="宋体"/>
                <w:i/>
                <w:szCs w:val="21"/>
                <w:lang w:bidi="zh-TW"/>
              </w:rPr>
            </m:ctrlPr>
          </m:sSupPr>
          <m:e>
            <m:r>
              <m:rPr/>
              <w:rPr>
                <w:rFonts w:cs="宋体"/>
                <w:szCs w:val="21"/>
                <w:lang w:bidi="zh-TW"/>
              </w:rPr>
              <m:t>10</m:t>
            </m:r>
            <m:ctrlPr>
              <w:rPr>
                <w:rFonts w:ascii="Cambria Math" w:hAnsi="Cambria Math" w:cs="宋体"/>
                <w:i/>
                <w:szCs w:val="21"/>
                <w:lang w:bidi="zh-TW"/>
              </w:rPr>
            </m:ctrlPr>
          </m:e>
          <m:sup>
            <m:r>
              <m:rPr/>
              <w:rPr>
                <w:rFonts w:cs="宋体"/>
                <w:szCs w:val="21"/>
                <w:lang w:bidi="zh-TW"/>
              </w:rPr>
              <m:t>−3</m:t>
            </m:r>
            <m:ctrlPr>
              <w:rPr>
                <w:rFonts w:ascii="Cambria Math" w:hAnsi="Cambria Math" w:cs="宋体"/>
                <w:i/>
                <w:szCs w:val="21"/>
                <w:lang w:bidi="zh-TW"/>
              </w:rPr>
            </m:ctrlPr>
          </m:sup>
        </m:sSup>
      </m:oMath>
      <w:r>
        <w:rPr>
          <w:szCs w:val="21"/>
          <w:lang w:eastAsia="zh-TW"/>
        </w:rPr>
        <w:t xml:space="preserve"> </w:t>
      </w:r>
      <w:r>
        <w:rPr>
          <w:szCs w:val="21"/>
        </w:rPr>
        <w:t xml:space="preserve">  </w:t>
      </w:r>
      <w:r>
        <w:rPr>
          <w:rFonts w:hint="eastAsia"/>
        </w:rPr>
        <w:t>·····（</w:t>
      </w:r>
      <w:r>
        <w:t>1</w:t>
      </w:r>
      <w:r>
        <w:rPr>
          <w:rFonts w:hint="eastAsia"/>
        </w:rPr>
        <w:t>5）</w:t>
      </w:r>
    </w:p>
    <w:p w14:paraId="0A72348D">
      <w:pPr>
        <w:pStyle w:val="151"/>
        <w:snapToGrid w:val="0"/>
        <w:spacing w:after="0" w:line="360" w:lineRule="auto"/>
        <w:ind w:firstLine="420" w:firstLineChars="200"/>
        <w:jc w:val="both"/>
        <w:rPr>
          <w:rFonts w:ascii="Times New Roman" w:hAnsi="Times New Roman"/>
          <w:szCs w:val="21"/>
        </w:rPr>
      </w:pPr>
      <w:r>
        <w:rPr>
          <w:rFonts w:ascii="Times New Roman" w:hAnsi="Times New Roman"/>
          <w:szCs w:val="21"/>
        </w:rPr>
        <w:t>式中：</w:t>
      </w:r>
    </w:p>
    <w:p w14:paraId="46EBDFD7">
      <w:pPr>
        <w:pStyle w:val="151"/>
        <w:snapToGrid w:val="0"/>
        <w:spacing w:after="0" w:line="360" w:lineRule="auto"/>
        <w:ind w:left="399" w:leftChars="190" w:firstLine="0"/>
        <w:jc w:val="both"/>
        <w:rPr>
          <w:rFonts w:ascii="Times New Roman" w:hAnsi="Times New Roman"/>
          <w:szCs w:val="21"/>
          <w:lang w:val="en-US" w:eastAsia="zh-CN"/>
        </w:rPr>
      </w:pPr>
      <m:oMath>
        <m:sSub>
          <m:sSubPr>
            <m:ctrlPr>
              <w:rPr>
                <w:rFonts w:ascii="Cambria Math" w:hAnsi="Cambria Math"/>
                <w:i/>
                <w:szCs w:val="21"/>
              </w:rPr>
            </m:ctrlPr>
          </m:sSubPr>
          <m:e>
            <m:r>
              <m:rPr/>
              <w:rPr>
                <w:rFonts w:ascii="Times New Roman" w:hAnsi="Times New Roman"/>
                <w:szCs w:val="21"/>
                <w:lang w:val="en-US" w:eastAsia="zh-CN"/>
              </w:rPr>
              <m:t>AD</m:t>
            </m:r>
            <m:ctrlPr>
              <w:rPr>
                <w:rFonts w:ascii="Cambria Math" w:hAnsi="Cambria Math"/>
                <w:i/>
                <w:szCs w:val="21"/>
              </w:rPr>
            </m:ctrlPr>
          </m:e>
          <m:sub>
            <m:r>
              <m:rPr>
                <m:sty m:val="p"/>
              </m:rPr>
              <w:rPr>
                <w:rFonts w:ascii="Times New Roman" w:hAnsi="Times New Roman"/>
                <w:szCs w:val="21"/>
                <w:lang w:val="en-US" w:eastAsia="zh-CN"/>
              </w:rPr>
              <m:t>st</m:t>
            </m:r>
            <m:ctrlPr>
              <w:rPr>
                <w:rFonts w:ascii="Cambria Math" w:hAnsi="Cambria Math"/>
                <w:i/>
                <w:szCs w:val="21"/>
              </w:rPr>
            </m:ctrlPr>
          </m:sub>
        </m:sSub>
      </m:oMath>
      <w:r>
        <w:rPr>
          <w:rFonts w:ascii="Times New Roman" w:hAnsi="Times New Roman"/>
          <w:szCs w:val="21"/>
        </w:rPr>
        <w:t>——</w:t>
      </w:r>
      <w:r>
        <w:rPr>
          <w:rFonts w:hint="eastAsia" w:ascii="Times New Roman" w:hAnsi="Times New Roman"/>
          <w:szCs w:val="21"/>
          <w:lang w:val="en-US" w:eastAsia="zh-CN"/>
        </w:rPr>
        <w:t>蒸汽的热量，单位为吉焦(</w:t>
      </w:r>
      <w:r>
        <w:rPr>
          <w:rFonts w:ascii="Times New Roman" w:hAnsi="Times New Roman"/>
          <w:szCs w:val="21"/>
          <w:lang w:val="en-US" w:eastAsia="zh-CN"/>
        </w:rPr>
        <w:t>GJ</w:t>
      </w:r>
      <w:r>
        <w:rPr>
          <w:rFonts w:hint="eastAsia" w:ascii="Times New Roman" w:hAnsi="Times New Roman"/>
          <w:szCs w:val="21"/>
          <w:lang w:val="en-US" w:eastAsia="zh-CN"/>
        </w:rPr>
        <w:t>)</w:t>
      </w:r>
      <w:r>
        <w:rPr>
          <w:rFonts w:ascii="Times New Roman" w:hAnsi="Times New Roman"/>
          <w:szCs w:val="21"/>
          <w:lang w:val="en-US" w:eastAsia="zh-CN"/>
        </w:rPr>
        <w:t>；</w:t>
      </w:r>
    </w:p>
    <w:p w14:paraId="43F1CCA6">
      <w:pPr>
        <w:pStyle w:val="151"/>
        <w:snapToGrid w:val="0"/>
        <w:spacing w:after="0" w:line="360" w:lineRule="auto"/>
        <w:ind w:left="399" w:leftChars="190" w:firstLine="0"/>
        <w:jc w:val="both"/>
        <w:rPr>
          <w:rFonts w:ascii="Times New Roman" w:hAnsi="Times New Roman"/>
          <w:szCs w:val="21"/>
        </w:rPr>
      </w:pPr>
      <m:oMath>
        <m:r>
          <m:rPr/>
          <w:rPr>
            <w:rFonts w:ascii="Times New Roman" w:hAnsi="Times New Roman"/>
            <w:szCs w:val="21"/>
            <w:lang w:val="en-US" w:eastAsia="zh-CN"/>
          </w:rPr>
          <m:t>M</m:t>
        </m:r>
        <m:sSub>
          <m:sSubPr>
            <m:ctrlPr>
              <w:rPr>
                <w:rFonts w:ascii="Cambria Math" w:hAnsi="Cambria Math"/>
                <w:i/>
                <w:szCs w:val="21"/>
              </w:rPr>
            </m:ctrlPr>
          </m:sSubPr>
          <m:e>
            <m:r>
              <m:rPr/>
              <w:rPr>
                <w:rFonts w:ascii="Times New Roman" w:hAnsi="Times New Roman"/>
                <w:szCs w:val="21"/>
                <w:lang w:val="en-US" w:eastAsia="zh-CN"/>
              </w:rPr>
              <m:t>A</m:t>
            </m:r>
            <m:ctrlPr>
              <w:rPr>
                <w:rFonts w:ascii="Cambria Math" w:hAnsi="Cambria Math"/>
                <w:i/>
                <w:szCs w:val="21"/>
              </w:rPr>
            </m:ctrlPr>
          </m:e>
          <m:sub>
            <m:r>
              <m:rPr/>
              <w:rPr>
                <w:rFonts w:ascii="Times New Roman" w:hAnsi="Times New Roman"/>
                <w:szCs w:val="21"/>
                <w:lang w:val="en-US" w:eastAsia="zh-CN"/>
              </w:rPr>
              <m:t>st</m:t>
            </m:r>
            <m:ctrlPr>
              <w:rPr>
                <w:rFonts w:ascii="Cambria Math" w:hAnsi="Cambria Math"/>
                <w:i/>
                <w:szCs w:val="21"/>
              </w:rPr>
            </m:ctrlPr>
          </m:sub>
        </m:sSub>
      </m:oMath>
      <w:r>
        <w:rPr>
          <w:rFonts w:ascii="Times New Roman" w:hAnsi="Times New Roman"/>
          <w:szCs w:val="21"/>
        </w:rPr>
        <w:t>——</w:t>
      </w:r>
      <w:r>
        <w:rPr>
          <w:rFonts w:hint="eastAsia" w:ascii="Times New Roman" w:hAnsi="Times New Roman"/>
          <w:szCs w:val="21"/>
          <w:lang w:val="en-US" w:eastAsia="zh-CN"/>
        </w:rPr>
        <w:t>蒸汽的质量</w:t>
      </w:r>
      <w:r>
        <w:rPr>
          <w:rFonts w:ascii="Times New Roman" w:hAnsi="Times New Roman"/>
          <w:szCs w:val="21"/>
        </w:rPr>
        <w:t>，单位为</w:t>
      </w:r>
      <w:r>
        <w:rPr>
          <w:rFonts w:hint="eastAsia" w:ascii="Times New Roman" w:hAnsi="Times New Roman"/>
          <w:szCs w:val="21"/>
          <w:lang w:val="en-US" w:eastAsia="zh-CN"/>
        </w:rPr>
        <w:t>吨</w:t>
      </w:r>
      <w:r>
        <w:rPr>
          <w:rFonts w:ascii="Times New Roman" w:hAnsi="Times New Roman" w:cs="Times New Roman"/>
          <w:szCs w:val="21"/>
          <w:lang w:val="en-US" w:eastAsia="zh-CN" w:bidi="en-US"/>
        </w:rPr>
        <w:t>(t)</w:t>
      </w:r>
      <w:r>
        <w:rPr>
          <w:rFonts w:ascii="Times New Roman" w:hAnsi="Times New Roman"/>
          <w:szCs w:val="21"/>
        </w:rPr>
        <w:t>；</w:t>
      </w:r>
    </w:p>
    <w:p w14:paraId="3156A441">
      <w:pPr>
        <w:pStyle w:val="151"/>
        <w:snapToGrid w:val="0"/>
        <w:spacing w:after="0" w:line="360" w:lineRule="auto"/>
        <w:ind w:left="399" w:leftChars="190" w:firstLine="0"/>
        <w:jc w:val="both"/>
        <w:rPr>
          <w:rFonts w:ascii="Times New Roman" w:hAnsi="Times New Roman"/>
          <w:szCs w:val="21"/>
          <w:lang w:val="en-US" w:eastAsia="zh-CN" w:bidi="en-US"/>
        </w:rPr>
      </w:pPr>
      <m:oMath>
        <m:sSub>
          <m:sSubPr>
            <m:ctrlPr>
              <w:rPr>
                <w:rFonts w:ascii="Cambria Math" w:hAnsi="Cambria Math"/>
                <w:i/>
                <w:szCs w:val="21"/>
              </w:rPr>
            </m:ctrlPr>
          </m:sSubPr>
          <m:e>
            <m:r>
              <m:rPr/>
              <w:rPr>
                <w:rFonts w:ascii="Times New Roman" w:hAnsi="Times New Roman"/>
                <w:szCs w:val="21"/>
                <w:lang w:val="en-US" w:eastAsia="zh-CN"/>
              </w:rPr>
              <m:t>En</m:t>
            </m:r>
            <m:ctrlPr>
              <w:rPr>
                <w:rFonts w:ascii="Cambria Math" w:hAnsi="Cambria Math"/>
                <w:i/>
                <w:szCs w:val="21"/>
              </w:rPr>
            </m:ctrlPr>
          </m:e>
          <m:sub>
            <m:r>
              <m:rPr>
                <m:sty m:val="p"/>
              </m:rPr>
              <w:rPr>
                <w:rFonts w:ascii="Times New Roman" w:hAnsi="Times New Roman"/>
                <w:szCs w:val="21"/>
                <w:lang w:val="en-US" w:eastAsia="zh-CN"/>
              </w:rPr>
              <m:t>st</m:t>
            </m:r>
            <m:ctrlPr>
              <w:rPr>
                <w:rFonts w:ascii="Cambria Math" w:hAnsi="Cambria Math"/>
                <w:i/>
                <w:szCs w:val="21"/>
              </w:rPr>
            </m:ctrlPr>
          </m:sub>
        </m:sSub>
      </m:oMath>
      <w:r>
        <w:rPr>
          <w:rFonts w:ascii="Times New Roman" w:hAnsi="Times New Roman"/>
          <w:szCs w:val="21"/>
        </w:rPr>
        <w:t>——</w:t>
      </w:r>
      <w:r>
        <w:rPr>
          <w:rFonts w:hint="eastAsia" w:ascii="Times New Roman" w:hAnsi="Times New Roman"/>
          <w:szCs w:val="21"/>
          <w:lang w:val="en-US" w:eastAsia="zh-CN"/>
        </w:rPr>
        <w:t>蒸汽所对应的温度、压力下每千克蒸汽的焓值，单位为千焦每千克(</w:t>
      </w:r>
      <w:r>
        <w:rPr>
          <w:rFonts w:ascii="Times New Roman" w:hAnsi="Times New Roman"/>
          <w:szCs w:val="21"/>
          <w:lang w:val="en-US" w:eastAsia="zh-CN"/>
        </w:rPr>
        <w:t>kJ/kg</w:t>
      </w:r>
      <w:r>
        <w:rPr>
          <w:rFonts w:hint="eastAsia" w:ascii="Times New Roman" w:hAnsi="Times New Roman"/>
          <w:szCs w:val="21"/>
          <w:lang w:val="en-US" w:eastAsia="zh-CN"/>
        </w:rPr>
        <w:t>)，饱和蒸汽和过热蒸汽的热焓可分别查阅附录</w:t>
      </w:r>
      <w:r>
        <w:rPr>
          <w:rFonts w:ascii="Times New Roman" w:hAnsi="Times New Roman"/>
          <w:szCs w:val="21"/>
          <w:lang w:val="en-US" w:eastAsia="zh-CN"/>
        </w:rPr>
        <w:t>B中表B.</w:t>
      </w:r>
      <w:r>
        <w:rPr>
          <w:rFonts w:hint="eastAsia" w:ascii="Times New Roman" w:hAnsi="Times New Roman"/>
          <w:szCs w:val="21"/>
          <w:lang w:val="en-US" w:eastAsia="zh-CN"/>
        </w:rPr>
        <w:t>4和</w:t>
      </w:r>
      <w:r>
        <w:rPr>
          <w:rFonts w:ascii="Times New Roman" w:hAnsi="Times New Roman"/>
          <w:szCs w:val="21"/>
          <w:lang w:val="en-US" w:eastAsia="zh-CN"/>
        </w:rPr>
        <w:t>B.</w:t>
      </w:r>
      <w:r>
        <w:rPr>
          <w:rFonts w:hint="eastAsia" w:ascii="Times New Roman" w:hAnsi="Times New Roman"/>
          <w:szCs w:val="21"/>
          <w:lang w:val="en-US" w:eastAsia="zh-CN"/>
        </w:rPr>
        <w:t>5。表中未列明的温度、压力状态下的蒸汽热焓可参考邻近温度、压力下的蒸汽热焓采用内插法计算。</w:t>
      </w:r>
    </w:p>
    <w:p w14:paraId="3EB0870D">
      <w:pPr>
        <w:pStyle w:val="151"/>
        <w:snapToGrid w:val="0"/>
        <w:spacing w:after="0" w:line="360" w:lineRule="auto"/>
        <w:ind w:left="399" w:leftChars="190" w:firstLine="0"/>
        <w:jc w:val="both"/>
        <w:rPr>
          <w:rFonts w:ascii="Times New Roman" w:hAnsi="Times New Roman"/>
          <w:szCs w:val="21"/>
          <w:lang w:val="en-US"/>
        </w:rPr>
      </w:pPr>
      <w:r>
        <w:rPr>
          <w:rFonts w:ascii="Times New Roman" w:hAnsi="Times New Roman"/>
          <w:szCs w:val="21"/>
          <w:lang w:val="en-US" w:eastAsia="zh-CN" w:bidi="en-US"/>
        </w:rPr>
        <w:t>83.74</w:t>
      </w:r>
      <w:r>
        <w:rPr>
          <w:rFonts w:ascii="Times New Roman" w:hAnsi="Times New Roman"/>
          <w:szCs w:val="21"/>
        </w:rPr>
        <w:t xml:space="preserve"> ——</w:t>
      </w:r>
      <w:r>
        <w:rPr>
          <w:rFonts w:hint="eastAsia" w:ascii="Times New Roman" w:hAnsi="Times New Roman"/>
          <w:szCs w:val="21"/>
          <w:lang w:val="en-US" w:eastAsia="zh-CN"/>
        </w:rPr>
        <w:t>水温为</w:t>
      </w:r>
      <w:r>
        <w:rPr>
          <w:rFonts w:ascii="Times New Roman" w:hAnsi="Times New Roman"/>
          <w:szCs w:val="21"/>
          <w:lang w:val="en-US" w:eastAsia="zh-CN"/>
        </w:rPr>
        <w:t>20℃时的焓值，单位为千焦每千克</w:t>
      </w:r>
      <w:r>
        <w:rPr>
          <w:rFonts w:hint="eastAsia" w:ascii="Times New Roman" w:hAnsi="Times New Roman"/>
          <w:szCs w:val="21"/>
          <w:lang w:val="en-US" w:eastAsia="zh-CN"/>
        </w:rPr>
        <w:t>(</w:t>
      </w:r>
      <w:r>
        <w:rPr>
          <w:rFonts w:ascii="Times New Roman" w:hAnsi="Times New Roman"/>
          <w:szCs w:val="21"/>
          <w:lang w:val="en-US" w:eastAsia="zh-CN"/>
        </w:rPr>
        <w:t>kJ/kg</w:t>
      </w:r>
      <w:r>
        <w:rPr>
          <w:rFonts w:hint="eastAsia" w:ascii="Times New Roman" w:hAnsi="Times New Roman"/>
          <w:szCs w:val="21"/>
          <w:lang w:val="en-US" w:eastAsia="zh-CN"/>
        </w:rPr>
        <w:t>)</w:t>
      </w:r>
      <w:r>
        <w:rPr>
          <w:rFonts w:ascii="Times New Roman" w:hAnsi="Times New Roman"/>
          <w:szCs w:val="21"/>
          <w:lang w:val="en-US" w:eastAsia="zh-CN"/>
        </w:rPr>
        <w:t>。</w:t>
      </w:r>
    </w:p>
    <w:p w14:paraId="353A0D58">
      <w:pPr>
        <w:pStyle w:val="151"/>
        <w:snapToGrid w:val="0"/>
        <w:spacing w:after="0" w:line="360" w:lineRule="auto"/>
        <w:ind w:firstLine="420" w:firstLineChars="200"/>
        <w:jc w:val="both"/>
        <w:rPr>
          <w:rFonts w:ascii="Times New Roman" w:hAnsi="Times New Roman"/>
          <w:szCs w:val="21"/>
          <w:lang w:val="en-US" w:eastAsia="zh-CN"/>
        </w:rPr>
      </w:pPr>
      <w:r>
        <w:rPr>
          <w:rFonts w:ascii="Times New Roman" w:hAnsi="Times New Roman"/>
          <w:lang w:val="en-US" w:eastAsia="zh-CN"/>
        </w:rPr>
        <w:t>2</w:t>
      </w:r>
      <w:r>
        <w:rPr>
          <w:rFonts w:ascii="Times New Roman" w:hAnsi="Times New Roman"/>
        </w:rPr>
        <w:t>)</w:t>
      </w:r>
      <w:r>
        <w:rPr>
          <w:rFonts w:hint="eastAsia" w:ascii="Times New Roman" w:hAnsi="Times New Roman"/>
          <w:lang w:val="en-US" w:eastAsia="zh-CN"/>
        </w:rPr>
        <w:t xml:space="preserve"> </w:t>
      </w:r>
      <w:r>
        <w:rPr>
          <w:rFonts w:hint="eastAsia" w:ascii="Times New Roman" w:hAnsi="Times New Roman"/>
          <w:szCs w:val="21"/>
          <w:lang w:val="en-US" w:eastAsia="zh-CN"/>
        </w:rPr>
        <w:t>以质量单位计量的热水可按式（</w:t>
      </w:r>
      <w:r>
        <w:rPr>
          <w:rFonts w:ascii="Times New Roman" w:hAnsi="Times New Roman"/>
          <w:szCs w:val="21"/>
          <w:lang w:val="en-US" w:eastAsia="zh-CN"/>
        </w:rPr>
        <w:t>16）转换为热量</w:t>
      </w:r>
      <w:r>
        <w:rPr>
          <w:rFonts w:hint="eastAsia" w:ascii="Times New Roman" w:hAnsi="Times New Roman"/>
          <w:szCs w:val="21"/>
          <w:lang w:val="en-US" w:eastAsia="zh-CN"/>
        </w:rPr>
        <w:t>单位</w:t>
      </w:r>
      <w:r>
        <w:rPr>
          <w:rFonts w:ascii="Times New Roman" w:hAnsi="Times New Roman"/>
          <w:szCs w:val="21"/>
          <w:lang w:val="en-US" w:eastAsia="zh-CN"/>
        </w:rPr>
        <w:t>。</w:t>
      </w:r>
    </w:p>
    <w:p w14:paraId="1F82C7D9">
      <w:pPr>
        <w:pStyle w:val="149"/>
        <w:tabs>
          <w:tab w:val="right" w:leader="dot" w:pos="8706"/>
        </w:tabs>
        <w:snapToGrid w:val="0"/>
        <w:spacing w:line="360" w:lineRule="auto"/>
        <w:ind w:firstLine="0"/>
        <w:jc w:val="right"/>
        <w:rPr>
          <w:szCs w:val="21"/>
          <w:lang w:eastAsia="zh-TW"/>
        </w:rPr>
      </w:pPr>
      <m:oMath>
        <m:sSub>
          <m:sSubPr>
            <m:ctrlPr>
              <w:rPr>
                <w:rFonts w:ascii="Cambria Math" w:hAnsi="Cambria Math" w:cs="宋体"/>
                <w:i/>
                <w:szCs w:val="21"/>
                <w:lang w:val="zh-TW" w:eastAsia="zh-TW" w:bidi="zh-TW"/>
              </w:rPr>
            </m:ctrlPr>
          </m:sSubPr>
          <m:e>
            <m:r>
              <m:rPr/>
              <w:rPr>
                <w:rFonts w:cs="宋体"/>
                <w:szCs w:val="21"/>
                <w:lang w:bidi="zh-TW"/>
              </w:rPr>
              <m:t>AD</m:t>
            </m:r>
            <m:ctrlPr>
              <w:rPr>
                <w:rFonts w:ascii="Cambria Math" w:hAnsi="Cambria Math" w:cs="宋体"/>
                <w:i/>
                <w:szCs w:val="21"/>
                <w:lang w:val="zh-TW" w:eastAsia="zh-TW" w:bidi="zh-TW"/>
              </w:rPr>
            </m:ctrlPr>
          </m:e>
          <m:sub>
            <m:r>
              <m:rPr/>
              <w:rPr>
                <w:rFonts w:cs="宋体"/>
                <w:szCs w:val="21"/>
                <w:lang w:bidi="zh-TW"/>
              </w:rPr>
              <m:t>w</m:t>
            </m:r>
            <m:ctrlPr>
              <w:rPr>
                <w:rFonts w:ascii="Cambria Math" w:hAnsi="Cambria Math" w:cs="宋体"/>
                <w:i/>
                <w:szCs w:val="21"/>
                <w:lang w:val="zh-TW" w:eastAsia="zh-TW" w:bidi="zh-TW"/>
              </w:rPr>
            </m:ctrlPr>
          </m:sub>
        </m:sSub>
        <m:r>
          <m:rPr/>
          <w:rPr>
            <w:szCs w:val="21"/>
            <w:lang w:eastAsia="zh-TW"/>
          </w:rPr>
          <m:t>=</m:t>
        </m:r>
        <m:r>
          <m:rPr/>
          <w:rPr>
            <w:szCs w:val="21"/>
          </w:rPr>
          <m:t>M</m:t>
        </m:r>
        <m:sSub>
          <m:sSubPr>
            <m:ctrlPr>
              <w:rPr>
                <w:rFonts w:ascii="Cambria Math" w:hAnsi="Cambria Math" w:cs="宋体"/>
                <w:i/>
                <w:szCs w:val="21"/>
                <w:lang w:val="zh-TW" w:eastAsia="zh-TW" w:bidi="zh-TW"/>
              </w:rPr>
            </m:ctrlPr>
          </m:sSubPr>
          <m:e>
            <m:r>
              <m:rPr/>
              <w:rPr>
                <w:rFonts w:cs="宋体"/>
                <w:szCs w:val="21"/>
                <w:lang w:bidi="zh-TW"/>
              </w:rPr>
              <m:t>a</m:t>
            </m:r>
            <m:ctrlPr>
              <w:rPr>
                <w:rFonts w:ascii="Cambria Math" w:hAnsi="Cambria Math" w:cs="宋体"/>
                <w:i/>
                <w:szCs w:val="21"/>
                <w:lang w:val="zh-TW" w:eastAsia="zh-TW" w:bidi="zh-TW"/>
              </w:rPr>
            </m:ctrlPr>
          </m:e>
          <m:sub>
            <m:r>
              <m:rPr/>
              <w:rPr>
                <w:rFonts w:cs="宋体"/>
                <w:szCs w:val="21"/>
                <w:lang w:bidi="zh-TW"/>
              </w:rPr>
              <m:t>w</m:t>
            </m:r>
            <m:ctrlPr>
              <w:rPr>
                <w:rFonts w:ascii="Cambria Math" w:hAnsi="Cambria Math" w:cs="宋体"/>
                <w:szCs w:val="21"/>
                <w:lang w:bidi="zh-TW"/>
              </w:rPr>
            </m:ctrlPr>
          </m:sub>
        </m:sSub>
        <m:r>
          <m:rPr/>
          <w:rPr>
            <w:szCs w:val="21"/>
            <w:lang w:eastAsia="zh-TW"/>
          </w:rPr>
          <m:t>×</m:t>
        </m:r>
        <m:r>
          <m:rPr/>
          <w:rPr>
            <w:szCs w:val="21"/>
          </w:rPr>
          <m:t>(</m:t>
        </m:r>
        <m:sSub>
          <m:sSubPr>
            <m:ctrlPr>
              <w:rPr>
                <w:rFonts w:ascii="Cambria Math" w:hAnsi="Cambria Math" w:cs="宋体"/>
                <w:i/>
                <w:szCs w:val="21"/>
                <w:lang w:val="zh-TW" w:eastAsia="zh-TW" w:bidi="zh-TW"/>
              </w:rPr>
            </m:ctrlPr>
          </m:sSubPr>
          <m:e>
            <m:r>
              <m:rPr/>
              <w:rPr>
                <w:rFonts w:cs="宋体"/>
                <w:szCs w:val="21"/>
                <w:lang w:bidi="zh-TW"/>
              </w:rPr>
              <m:t>T</m:t>
            </m:r>
            <m:ctrlPr>
              <w:rPr>
                <w:rFonts w:ascii="Cambria Math" w:hAnsi="Cambria Math" w:cs="宋体"/>
                <w:i/>
                <w:szCs w:val="21"/>
                <w:lang w:val="zh-TW" w:eastAsia="zh-TW" w:bidi="zh-TW"/>
              </w:rPr>
            </m:ctrlPr>
          </m:e>
          <m:sub>
            <m:r>
              <m:rPr/>
              <w:rPr>
                <w:rFonts w:cs="宋体"/>
                <w:szCs w:val="21"/>
                <w:lang w:bidi="zh-TW"/>
              </w:rPr>
              <m:t>w</m:t>
            </m:r>
            <m:ctrlPr>
              <w:rPr>
                <w:rFonts w:ascii="Cambria Math" w:hAnsi="Cambria Math" w:cs="宋体"/>
                <w:i/>
                <w:szCs w:val="21"/>
                <w:lang w:val="zh-TW" w:eastAsia="zh-TW" w:bidi="zh-TW"/>
              </w:rPr>
            </m:ctrlPr>
          </m:sub>
        </m:sSub>
        <m:r>
          <m:rPr/>
          <w:rPr>
            <w:rFonts w:cs="宋体"/>
            <w:szCs w:val="21"/>
            <w:lang w:bidi="zh-TW"/>
          </w:rPr>
          <m:t>−20)</m:t>
        </m:r>
        <m:r>
          <m:rPr/>
          <w:rPr>
            <w:rFonts w:cs="Cambria Math"/>
            <w:szCs w:val="21"/>
            <w:lang w:bidi="zh-TW"/>
          </w:rPr>
          <m:t>×4.1868×</m:t>
        </m:r>
        <m:sSup>
          <m:sSupPr>
            <m:ctrlPr>
              <w:rPr>
                <w:rFonts w:ascii="Cambria Math" w:hAnsi="Cambria Math" w:cs="宋体"/>
                <w:i/>
                <w:szCs w:val="21"/>
                <w:lang w:bidi="zh-TW"/>
              </w:rPr>
            </m:ctrlPr>
          </m:sSupPr>
          <m:e>
            <m:r>
              <m:rPr/>
              <w:rPr>
                <w:rFonts w:cs="宋体"/>
                <w:szCs w:val="21"/>
                <w:lang w:bidi="zh-TW"/>
              </w:rPr>
              <m:t>10</m:t>
            </m:r>
            <m:ctrlPr>
              <w:rPr>
                <w:rFonts w:ascii="Cambria Math" w:hAnsi="Cambria Math" w:cs="宋体"/>
                <w:i/>
                <w:szCs w:val="21"/>
                <w:lang w:bidi="zh-TW"/>
              </w:rPr>
            </m:ctrlPr>
          </m:e>
          <m:sup>
            <m:r>
              <m:rPr/>
              <w:rPr>
                <w:rFonts w:cs="宋体"/>
                <w:szCs w:val="21"/>
                <w:lang w:bidi="zh-TW"/>
              </w:rPr>
              <m:t>−3</m:t>
            </m:r>
            <m:ctrlPr>
              <w:rPr>
                <w:rFonts w:ascii="Cambria Math" w:hAnsi="Cambria Math" w:cs="宋体"/>
                <w:i/>
                <w:szCs w:val="21"/>
                <w:lang w:bidi="zh-TW"/>
              </w:rPr>
            </m:ctrlPr>
          </m:sup>
        </m:sSup>
      </m:oMath>
      <w:r>
        <w:rPr>
          <w:szCs w:val="21"/>
          <w:lang w:eastAsia="zh-TW"/>
        </w:rPr>
        <w:t xml:space="preserve"> </w:t>
      </w:r>
      <w:r>
        <w:rPr>
          <w:szCs w:val="21"/>
        </w:rPr>
        <w:t xml:space="preserve"> </w:t>
      </w:r>
      <w:r>
        <w:rPr>
          <w:rFonts w:hint="eastAsia"/>
        </w:rPr>
        <w:t>·····（16）</w:t>
      </w:r>
    </w:p>
    <w:p w14:paraId="72B51B3A">
      <w:pPr>
        <w:pStyle w:val="151"/>
        <w:snapToGrid w:val="0"/>
        <w:spacing w:after="0" w:line="360" w:lineRule="auto"/>
        <w:ind w:firstLine="420" w:firstLineChars="200"/>
        <w:jc w:val="both"/>
        <w:rPr>
          <w:rFonts w:ascii="Times New Roman" w:hAnsi="Times New Roman"/>
          <w:szCs w:val="21"/>
        </w:rPr>
      </w:pPr>
      <w:r>
        <w:rPr>
          <w:rFonts w:ascii="Times New Roman" w:hAnsi="Times New Roman"/>
          <w:szCs w:val="21"/>
        </w:rPr>
        <w:t>式中：</w:t>
      </w:r>
    </w:p>
    <w:p w14:paraId="0E782C0D">
      <w:pPr>
        <w:pStyle w:val="151"/>
        <w:snapToGrid w:val="0"/>
        <w:spacing w:after="0" w:line="360" w:lineRule="auto"/>
        <w:ind w:left="399" w:leftChars="190" w:firstLine="0"/>
        <w:jc w:val="both"/>
        <w:rPr>
          <w:rFonts w:ascii="Times New Roman" w:hAnsi="Times New Roman"/>
          <w:szCs w:val="21"/>
          <w:lang w:val="en-US" w:eastAsia="zh-CN"/>
        </w:rPr>
      </w:pPr>
      <m:oMath>
        <m:sSub>
          <m:sSubPr>
            <m:ctrlPr>
              <w:rPr>
                <w:rFonts w:ascii="Cambria Math" w:hAnsi="Cambria Math"/>
                <w:i/>
                <w:szCs w:val="21"/>
              </w:rPr>
            </m:ctrlPr>
          </m:sSubPr>
          <m:e>
            <m:r>
              <m:rPr/>
              <w:rPr>
                <w:rFonts w:ascii="Times New Roman" w:hAnsi="Times New Roman"/>
                <w:szCs w:val="21"/>
                <w:lang w:val="en-US" w:eastAsia="zh-CN"/>
              </w:rPr>
              <m:t>AD</m:t>
            </m:r>
            <m:ctrlPr>
              <w:rPr>
                <w:rFonts w:ascii="Cambria Math" w:hAnsi="Cambria Math"/>
                <w:i/>
                <w:szCs w:val="21"/>
              </w:rPr>
            </m:ctrlPr>
          </m:e>
          <m:sub>
            <m:r>
              <m:rPr>
                <m:sty m:val="p"/>
              </m:rPr>
              <w:rPr>
                <w:rFonts w:ascii="Times New Roman" w:hAnsi="Times New Roman"/>
                <w:szCs w:val="21"/>
                <w:lang w:val="en-US" w:eastAsia="zh-CN"/>
              </w:rPr>
              <m:t>w</m:t>
            </m:r>
            <m:ctrlPr>
              <w:rPr>
                <w:rFonts w:ascii="Cambria Math" w:hAnsi="Cambria Math"/>
                <w:i/>
                <w:szCs w:val="21"/>
              </w:rPr>
            </m:ctrlPr>
          </m:sub>
        </m:sSub>
      </m:oMath>
      <w:r>
        <w:rPr>
          <w:rFonts w:ascii="Times New Roman" w:hAnsi="Times New Roman"/>
          <w:szCs w:val="21"/>
        </w:rPr>
        <w:t>——</w:t>
      </w:r>
      <w:r>
        <w:rPr>
          <w:rFonts w:hint="eastAsia" w:ascii="Times New Roman" w:hAnsi="Times New Roman"/>
          <w:szCs w:val="21"/>
          <w:lang w:val="en-US" w:eastAsia="zh-CN"/>
        </w:rPr>
        <w:t>热水的热量，单位为吉焦（</w:t>
      </w:r>
      <w:r>
        <w:rPr>
          <w:rFonts w:ascii="Times New Roman" w:hAnsi="Times New Roman"/>
          <w:szCs w:val="21"/>
          <w:lang w:val="en-US" w:eastAsia="zh-CN"/>
        </w:rPr>
        <w:t>GJ）；</w:t>
      </w:r>
    </w:p>
    <w:p w14:paraId="45FD7788">
      <w:pPr>
        <w:pStyle w:val="151"/>
        <w:snapToGrid w:val="0"/>
        <w:spacing w:after="0" w:line="360" w:lineRule="auto"/>
        <w:ind w:left="399" w:leftChars="190" w:firstLine="0"/>
        <w:jc w:val="both"/>
        <w:rPr>
          <w:rFonts w:ascii="Times New Roman" w:hAnsi="Times New Roman"/>
          <w:szCs w:val="21"/>
        </w:rPr>
      </w:pPr>
      <m:oMath>
        <m:r>
          <m:rPr/>
          <w:rPr>
            <w:rFonts w:ascii="Times New Roman" w:hAnsi="Times New Roman"/>
            <w:szCs w:val="21"/>
            <w:lang w:val="en-US" w:eastAsia="zh-CN"/>
          </w:rPr>
          <m:t>M</m:t>
        </m:r>
        <m:sSub>
          <m:sSubPr>
            <m:ctrlPr>
              <w:rPr>
                <w:rFonts w:ascii="Cambria Math" w:hAnsi="Cambria Math"/>
                <w:i/>
                <w:szCs w:val="21"/>
              </w:rPr>
            </m:ctrlPr>
          </m:sSubPr>
          <m:e>
            <m:r>
              <m:rPr/>
              <w:rPr>
                <w:rFonts w:ascii="Times New Roman" w:hAnsi="Times New Roman"/>
                <w:szCs w:val="21"/>
                <w:lang w:val="en-US" w:eastAsia="zh-CN"/>
              </w:rPr>
              <m:t>a</m:t>
            </m:r>
            <m:ctrlPr>
              <w:rPr>
                <w:rFonts w:ascii="Cambria Math" w:hAnsi="Cambria Math"/>
                <w:i/>
                <w:szCs w:val="21"/>
              </w:rPr>
            </m:ctrlPr>
          </m:e>
          <m:sub>
            <m:r>
              <m:rPr/>
              <w:rPr>
                <w:rFonts w:ascii="Times New Roman" w:hAnsi="Times New Roman"/>
                <w:szCs w:val="21"/>
                <w:lang w:val="en-US" w:eastAsia="zh-CN"/>
              </w:rPr>
              <m:t>w</m:t>
            </m:r>
            <m:ctrlPr>
              <w:rPr>
                <w:rFonts w:ascii="Cambria Math" w:hAnsi="Cambria Math"/>
                <w:i/>
                <w:szCs w:val="21"/>
              </w:rPr>
            </m:ctrlPr>
          </m:sub>
        </m:sSub>
      </m:oMath>
      <w:r>
        <w:rPr>
          <w:rFonts w:ascii="Times New Roman" w:hAnsi="Times New Roman"/>
          <w:szCs w:val="21"/>
        </w:rPr>
        <w:t>——</w:t>
      </w:r>
      <w:r>
        <w:rPr>
          <w:rFonts w:hint="eastAsia" w:ascii="Times New Roman" w:hAnsi="Times New Roman"/>
          <w:szCs w:val="21"/>
          <w:lang w:val="en-US" w:eastAsia="zh-CN"/>
        </w:rPr>
        <w:t>热水的质量</w:t>
      </w:r>
      <w:r>
        <w:rPr>
          <w:rFonts w:ascii="Times New Roman" w:hAnsi="Times New Roman"/>
          <w:szCs w:val="21"/>
        </w:rPr>
        <w:t>，单位为</w:t>
      </w:r>
      <w:r>
        <w:rPr>
          <w:rFonts w:hint="eastAsia" w:ascii="Times New Roman" w:hAnsi="Times New Roman"/>
          <w:szCs w:val="21"/>
          <w:lang w:val="en-US" w:eastAsia="zh-CN"/>
        </w:rPr>
        <w:t>吨</w:t>
      </w:r>
      <w:r>
        <w:rPr>
          <w:rFonts w:ascii="Times New Roman" w:hAnsi="Times New Roman" w:cs="Times New Roman"/>
          <w:szCs w:val="21"/>
          <w:lang w:val="en-US" w:eastAsia="zh-CN" w:bidi="en-US"/>
        </w:rPr>
        <w:t>(t)</w:t>
      </w:r>
      <w:r>
        <w:rPr>
          <w:rFonts w:ascii="Times New Roman" w:hAnsi="Times New Roman"/>
          <w:szCs w:val="21"/>
        </w:rPr>
        <w:t>；</w:t>
      </w:r>
    </w:p>
    <w:p w14:paraId="38580080">
      <w:pPr>
        <w:pStyle w:val="151"/>
        <w:snapToGrid w:val="0"/>
        <w:spacing w:after="0" w:line="360" w:lineRule="auto"/>
        <w:ind w:left="399" w:leftChars="190" w:firstLine="0"/>
        <w:jc w:val="both"/>
        <w:rPr>
          <w:rFonts w:ascii="Times New Roman" w:hAnsi="Times New Roman"/>
          <w:szCs w:val="21"/>
          <w:lang w:val="en-US" w:eastAsia="zh-CN"/>
        </w:rPr>
      </w:pPr>
      <m:oMath>
        <m:sSub>
          <m:sSubPr>
            <m:ctrlPr>
              <w:rPr>
                <w:rFonts w:ascii="Cambria Math" w:hAnsi="Cambria Math"/>
                <w:i/>
                <w:szCs w:val="21"/>
              </w:rPr>
            </m:ctrlPr>
          </m:sSubPr>
          <m:e>
            <m:r>
              <m:rPr/>
              <w:rPr>
                <w:rFonts w:ascii="Times New Roman" w:hAnsi="Times New Roman"/>
                <w:szCs w:val="21"/>
                <w:lang w:val="en-US" w:eastAsia="zh-CN"/>
              </w:rPr>
              <m:t>T</m:t>
            </m:r>
            <m:ctrlPr>
              <w:rPr>
                <w:rFonts w:ascii="Cambria Math" w:hAnsi="Cambria Math"/>
                <w:i/>
                <w:szCs w:val="21"/>
              </w:rPr>
            </m:ctrlPr>
          </m:e>
          <m:sub>
            <m:r>
              <m:rPr/>
              <w:rPr>
                <w:rFonts w:ascii="Times New Roman" w:hAnsi="Times New Roman"/>
                <w:szCs w:val="21"/>
                <w:lang w:val="en-US" w:eastAsia="zh-CN"/>
              </w:rPr>
              <m:t>w</m:t>
            </m:r>
            <m:ctrlPr>
              <w:rPr>
                <w:rFonts w:ascii="Cambria Math" w:hAnsi="Cambria Math"/>
                <w:i/>
                <w:szCs w:val="21"/>
              </w:rPr>
            </m:ctrlPr>
          </m:sub>
        </m:sSub>
      </m:oMath>
      <w:r>
        <w:rPr>
          <w:rFonts w:ascii="Times New Roman" w:hAnsi="Times New Roman"/>
          <w:szCs w:val="21"/>
          <w:lang w:val="en-US" w:eastAsia="zh-CN"/>
        </w:rPr>
        <w:t xml:space="preserve">  </w:t>
      </w:r>
      <w:r>
        <w:rPr>
          <w:rFonts w:ascii="Times New Roman" w:hAnsi="Times New Roman"/>
          <w:szCs w:val="21"/>
        </w:rPr>
        <w:t>——</w:t>
      </w:r>
      <w:r>
        <w:rPr>
          <w:rFonts w:hint="eastAsia" w:ascii="Times New Roman" w:hAnsi="Times New Roman"/>
          <w:szCs w:val="21"/>
          <w:lang w:val="en-US" w:eastAsia="zh-CN"/>
        </w:rPr>
        <w:t>热水的温度，单位为摄氏度(℃)；</w:t>
      </w:r>
    </w:p>
    <w:p w14:paraId="1D5D58D1">
      <w:pPr>
        <w:pStyle w:val="151"/>
        <w:snapToGrid w:val="0"/>
        <w:spacing w:after="0" w:line="360" w:lineRule="auto"/>
        <w:ind w:left="399" w:leftChars="190" w:firstLine="0"/>
        <w:jc w:val="both"/>
        <w:rPr>
          <w:rFonts w:ascii="Times New Roman" w:hAnsi="Times New Roman"/>
          <w:szCs w:val="21"/>
          <w:lang w:val="en-US" w:eastAsia="zh-CN"/>
        </w:rPr>
      </w:pPr>
      <w:r>
        <w:rPr>
          <w:rFonts w:ascii="Times New Roman" w:hAnsi="Times New Roman"/>
          <w:szCs w:val="21"/>
          <w:lang w:val="en-US" w:eastAsia="zh-CN"/>
        </w:rPr>
        <w:t xml:space="preserve">20  </w:t>
      </w:r>
      <w:r>
        <w:rPr>
          <w:rFonts w:hint="eastAsia" w:ascii="Times New Roman" w:hAnsi="Times New Roman"/>
          <w:szCs w:val="21"/>
          <w:lang w:val="en-US" w:eastAsia="zh-CN"/>
        </w:rPr>
        <w:t>——常温下水的温度，单位为摄氏度(℃)；</w:t>
      </w:r>
    </w:p>
    <w:p w14:paraId="2341AC51">
      <w:pPr>
        <w:pStyle w:val="151"/>
        <w:snapToGrid w:val="0"/>
        <w:spacing w:after="0" w:line="360" w:lineRule="auto"/>
        <w:ind w:left="399" w:leftChars="190" w:firstLine="0"/>
        <w:jc w:val="both"/>
        <w:rPr>
          <w:rFonts w:ascii="Times New Roman" w:hAnsi="Times New Roman"/>
          <w:szCs w:val="21"/>
          <w:lang w:val="en-US" w:eastAsia="zh-CN"/>
        </w:rPr>
      </w:pPr>
      <w:r>
        <w:rPr>
          <w:rFonts w:ascii="Times New Roman" w:hAnsi="Times New Roman"/>
          <w:szCs w:val="21"/>
          <w:lang w:val="en-US" w:eastAsia="zh-CN"/>
        </w:rPr>
        <w:t>4.1868——水在常温常压下的比热</w:t>
      </w:r>
      <w:r>
        <w:rPr>
          <w:rFonts w:hint="eastAsia" w:ascii="Times New Roman" w:hAnsi="Times New Roman"/>
          <w:szCs w:val="21"/>
          <w:lang w:val="en-US" w:eastAsia="zh-CN"/>
        </w:rPr>
        <w:t>容，单位为千焦每千克摄氏度</w:t>
      </w:r>
      <w:r>
        <w:rPr>
          <w:rFonts w:ascii="Times New Roman" w:hAnsi="Times New Roman"/>
          <w:szCs w:val="21"/>
          <w:lang w:val="en-US" w:eastAsia="zh-CN"/>
        </w:rPr>
        <w:t>[kJ/(kg·℃</w:t>
      </w:r>
      <w:r>
        <w:rPr>
          <w:rFonts w:hint="eastAsia" w:ascii="Times New Roman" w:hAnsi="Times New Roman"/>
          <w:szCs w:val="21"/>
          <w:lang w:val="en-US" w:eastAsia="zh-CN"/>
        </w:rPr>
        <w:t>)]</w:t>
      </w:r>
      <w:r>
        <w:rPr>
          <w:rFonts w:ascii="Times New Roman" w:hAnsi="Times New Roman"/>
          <w:szCs w:val="21"/>
          <w:lang w:val="en-US" w:eastAsia="zh-CN"/>
        </w:rPr>
        <w:t>。</w:t>
      </w:r>
    </w:p>
    <w:p w14:paraId="25C2F2DF">
      <w:pPr>
        <w:spacing w:line="360" w:lineRule="auto"/>
        <w:rPr>
          <w:rFonts w:eastAsia="黑体"/>
        </w:rPr>
      </w:pPr>
      <w:r>
        <w:rPr>
          <w:rFonts w:eastAsia="黑体"/>
        </w:rPr>
        <w:t>6.2.5.3</w:t>
      </w:r>
      <w:r>
        <w:rPr>
          <w:rFonts w:hint="eastAsia" w:eastAsia="黑体"/>
        </w:rPr>
        <w:t>排放因子数据获取</w:t>
      </w:r>
    </w:p>
    <w:p w14:paraId="5CCF51CC">
      <w:pPr>
        <w:spacing w:line="360" w:lineRule="auto"/>
      </w:pPr>
      <w:r>
        <w:t>6.2.</w:t>
      </w:r>
      <w:r>
        <w:rPr>
          <w:rFonts w:hint="eastAsia"/>
        </w:rPr>
        <w:t>5</w:t>
      </w:r>
      <w:r>
        <w:t>.3.1</w:t>
      </w:r>
      <w:r>
        <w:rPr>
          <w:rFonts w:hint="eastAsia"/>
        </w:rPr>
        <w:t>电力排放因子和热力排放因子缺省值见附录</w:t>
      </w:r>
      <w:r>
        <w:t>B</w:t>
      </w:r>
      <w:r>
        <w:rPr>
          <w:rFonts w:hint="eastAsia"/>
        </w:rPr>
        <w:t>中表B</w:t>
      </w:r>
      <w:r>
        <w:t>.</w:t>
      </w:r>
      <w:r>
        <w:rPr>
          <w:rFonts w:hint="eastAsia"/>
        </w:rPr>
        <w:t>4。如果涉及使用外购非化石能源电力，其排放因子的取值原则及证明文件应按照附录C的要求进行；如果不涉及使用外购非化石能源电力，应根据报告主体生产所在区域对应的国家主管部门最近年份公布的相应区域电网排放因子。</w:t>
      </w:r>
    </w:p>
    <w:p w14:paraId="104049FA">
      <w:pPr>
        <w:spacing w:line="360" w:lineRule="auto"/>
      </w:pPr>
      <w:r>
        <w:t>6.2.</w:t>
      </w:r>
      <w:r>
        <w:rPr>
          <w:rFonts w:hint="eastAsia"/>
        </w:rPr>
        <w:t>5</w:t>
      </w:r>
      <w:r>
        <w:t>.3.2 热力排放因子优先采用供热单位的实测值</w:t>
      </w:r>
      <w:r>
        <w:rPr>
          <w:rFonts w:hint="eastAsia"/>
        </w:rPr>
        <w:t>，</w:t>
      </w:r>
      <w:r>
        <w:t>也可按推荐值0.11 tCO</w:t>
      </w:r>
      <w:r>
        <w:rPr>
          <w:vertAlign w:val="subscript"/>
        </w:rPr>
        <w:t>2</w:t>
      </w:r>
      <w:r>
        <w:t>/GJ计算。</w:t>
      </w:r>
    </w:p>
    <w:p w14:paraId="790EC489">
      <w:pPr>
        <w:spacing w:before="120" w:beforeLines="50" w:after="120" w:afterLines="50" w:line="360" w:lineRule="auto"/>
        <w:outlineLvl w:val="0"/>
        <w:rPr>
          <w:rFonts w:eastAsia="黑体"/>
          <w:bCs/>
        </w:rPr>
      </w:pPr>
      <w:bookmarkStart w:id="26" w:name="_Toc210116173"/>
      <w:r>
        <w:rPr>
          <w:rFonts w:eastAsia="黑体"/>
          <w:bCs/>
        </w:rPr>
        <w:t xml:space="preserve">7 </w:t>
      </w:r>
      <w:r>
        <w:rPr>
          <w:rFonts w:hint="eastAsia" w:eastAsia="黑体"/>
          <w:bCs/>
        </w:rPr>
        <w:t>数据质量管理</w:t>
      </w:r>
      <w:bookmarkEnd w:id="26"/>
    </w:p>
    <w:p w14:paraId="7BBA27BB">
      <w:pPr>
        <w:widowControl/>
        <w:shd w:val="clear" w:color="auto" w:fill="FFFFFF"/>
        <w:spacing w:line="360" w:lineRule="auto"/>
        <w:ind w:firstLine="420"/>
      </w:pPr>
      <w:r>
        <w:rPr>
          <w:rFonts w:hint="eastAsia"/>
        </w:rPr>
        <w:t>报告主体应加强温室气体</w:t>
      </w:r>
      <w:r>
        <w:rPr>
          <w:rFonts w:hint="eastAsia"/>
          <w:lang w:val="en-US" w:eastAsia="zh-CN"/>
        </w:rPr>
        <w:t>排放</w:t>
      </w:r>
      <w:r>
        <w:rPr>
          <w:rFonts w:hint="eastAsia"/>
        </w:rPr>
        <w:t>数据质量管理工作，包括但不限于：</w:t>
      </w:r>
    </w:p>
    <w:p w14:paraId="02510B43">
      <w:pPr>
        <w:widowControl/>
        <w:shd w:val="clear" w:color="auto" w:fill="FFFFFF"/>
        <w:spacing w:line="360" w:lineRule="auto"/>
        <w:ind w:firstLine="420"/>
      </w:pPr>
      <w:r>
        <w:t xml:space="preserve">a) </w:t>
      </w:r>
      <w:r>
        <w:rPr>
          <w:rFonts w:hint="eastAsia"/>
        </w:rPr>
        <w:t>建立企业温室气体排放核算与报告的规章制度，包括负责机构和人员、工作流程和内容、工作周期和时间节点等；指定专职人员负责企业温室气体排放核算与报告工作；</w:t>
      </w:r>
    </w:p>
    <w:p w14:paraId="2B57EB21">
      <w:pPr>
        <w:widowControl/>
        <w:shd w:val="clear" w:color="auto" w:fill="FFFFFF"/>
        <w:spacing w:line="360" w:lineRule="auto"/>
        <w:ind w:firstLine="420"/>
      </w:pPr>
      <w:r>
        <w:t xml:space="preserve">b) </w:t>
      </w:r>
      <w:r>
        <w:rPr>
          <w:rFonts w:hint="eastAsia"/>
        </w:rPr>
        <w:t>根据各种类型的温室气体排放源的重要程度对其进行等级划分，并建立企业温室气体排放源一览表，对于不同等级的排放源的活动数据和排放因子数据的获取提出相应的要求；</w:t>
      </w:r>
    </w:p>
    <w:p w14:paraId="0BA8CEC4">
      <w:pPr>
        <w:widowControl/>
        <w:shd w:val="clear" w:color="auto" w:fill="FFFFFF"/>
        <w:spacing w:line="360" w:lineRule="auto"/>
        <w:ind w:firstLine="420"/>
      </w:pPr>
      <w:r>
        <w:t xml:space="preserve">c) </w:t>
      </w:r>
      <w:r>
        <w:rPr>
          <w:rFonts w:hint="eastAsia"/>
        </w:rPr>
        <w:t>依照G</w:t>
      </w:r>
      <w:r>
        <w:t>B 17167</w:t>
      </w:r>
      <w:r>
        <w:rPr>
          <w:rFonts w:hint="eastAsia"/>
        </w:rPr>
        <w:t>对现有监测条件进行评估，不断提高自身监测能力，并制定相应的监测计划</w:t>
      </w:r>
      <w:r>
        <w:t>,</w:t>
      </w:r>
      <w:r>
        <w:rPr>
          <w:rFonts w:hint="eastAsia"/>
        </w:rPr>
        <w:t>包括对活动数据的监测和对燃料低位发热量等参数的监测；定期对计量器具、检测设备和在线监测仪表进行维护管理，并记录存档；</w:t>
      </w:r>
    </w:p>
    <w:p w14:paraId="771FD8BA">
      <w:pPr>
        <w:widowControl/>
        <w:shd w:val="clear" w:color="auto" w:fill="FFFFFF"/>
        <w:spacing w:line="360" w:lineRule="auto"/>
        <w:ind w:firstLine="420"/>
      </w:pPr>
      <w:r>
        <w:t xml:space="preserve">d) </w:t>
      </w:r>
      <w:r>
        <w:rPr>
          <w:rFonts w:hint="eastAsia"/>
        </w:rPr>
        <w:t>建立健全温室气体数据记录管理体系，包括数据来源、数据获取时间及相关责任人等信息的记录管理；</w:t>
      </w:r>
    </w:p>
    <w:p w14:paraId="5A85F4E6">
      <w:pPr>
        <w:spacing w:line="360" w:lineRule="auto"/>
        <w:ind w:firstLine="420" w:firstLineChars="200"/>
      </w:pPr>
      <w:r>
        <w:t xml:space="preserve">e) </w:t>
      </w:r>
      <w:r>
        <w:rPr>
          <w:rFonts w:hint="eastAsia"/>
        </w:rPr>
        <w:t>建立企业温室气体排放报告内部审核制度。定期对温室气体排放数据进行交叉校验</w:t>
      </w:r>
      <w:r>
        <w:t>,</w:t>
      </w:r>
      <w:r>
        <w:rPr>
          <w:rFonts w:hint="eastAsia"/>
        </w:rPr>
        <w:t>对可能产生的数据误差风险进行识别</w:t>
      </w:r>
      <w:r>
        <w:t>,</w:t>
      </w:r>
      <w:r>
        <w:rPr>
          <w:rFonts w:hint="eastAsia"/>
        </w:rPr>
        <w:t>并提出相应的解决方案。</w:t>
      </w:r>
    </w:p>
    <w:p w14:paraId="5EC3DDB0">
      <w:pPr>
        <w:spacing w:before="120" w:beforeLines="50" w:after="120" w:afterLines="50" w:line="360" w:lineRule="auto"/>
        <w:outlineLvl w:val="0"/>
        <w:rPr>
          <w:rFonts w:eastAsia="黑体"/>
          <w:bCs/>
        </w:rPr>
      </w:pPr>
      <w:bookmarkStart w:id="27" w:name="_Hlk75550192"/>
      <w:r>
        <w:rPr>
          <w:rFonts w:hint="eastAsia" w:eastAsia="黑体"/>
          <w:bCs/>
        </w:rPr>
        <w:t>8 报告内容和格式</w:t>
      </w:r>
    </w:p>
    <w:p w14:paraId="715DAFF7">
      <w:pPr>
        <w:spacing w:line="360" w:lineRule="auto"/>
        <w:rPr>
          <w:rFonts w:eastAsia="黑体"/>
        </w:rPr>
      </w:pPr>
      <w:r>
        <w:rPr>
          <w:rFonts w:hint="eastAsia" w:eastAsia="黑体"/>
        </w:rPr>
        <w:t>8</w:t>
      </w:r>
      <w:r>
        <w:rPr>
          <w:rFonts w:eastAsia="黑体"/>
        </w:rPr>
        <w:t xml:space="preserve">.1  </w:t>
      </w:r>
      <w:r>
        <w:rPr>
          <w:rFonts w:hint="eastAsia" w:eastAsia="黑体"/>
        </w:rPr>
        <w:t>通则</w:t>
      </w:r>
    </w:p>
    <w:p w14:paraId="4347A179">
      <w:pPr>
        <w:widowControl/>
        <w:shd w:val="clear" w:color="auto" w:fill="FFFFFF"/>
        <w:spacing w:line="360" w:lineRule="auto"/>
        <w:ind w:firstLine="420"/>
      </w:pPr>
      <w:r>
        <w:rPr>
          <w:rFonts w:hint="eastAsia" w:ascii="宋体" w:hAnsi="宋体"/>
        </w:rPr>
        <w:t>报告内容应包括报告主体基本信息、温室气体排放量、活动数据及其来源和排放因子及其来源，</w:t>
      </w:r>
      <w:r>
        <w:rPr>
          <w:rFonts w:hint="eastAsia"/>
        </w:rPr>
        <w:t>其报告格式模板见附录</w:t>
      </w:r>
      <w:r>
        <w:t>D</w:t>
      </w:r>
      <w:r>
        <w:rPr>
          <w:rFonts w:hint="eastAsia"/>
        </w:rPr>
        <w:t>。</w:t>
      </w:r>
    </w:p>
    <w:p w14:paraId="14B59181">
      <w:pPr>
        <w:spacing w:line="360" w:lineRule="auto"/>
        <w:rPr>
          <w:rFonts w:eastAsia="黑体"/>
        </w:rPr>
      </w:pPr>
      <w:r>
        <w:rPr>
          <w:rFonts w:hint="eastAsia" w:eastAsia="黑体"/>
        </w:rPr>
        <w:t>8</w:t>
      </w:r>
      <w:r>
        <w:rPr>
          <w:rFonts w:eastAsia="黑体"/>
        </w:rPr>
        <w:t xml:space="preserve">.2 </w:t>
      </w:r>
      <w:r>
        <w:rPr>
          <w:rFonts w:hint="eastAsia" w:eastAsia="黑体"/>
        </w:rPr>
        <w:t>报告主体基本信息</w:t>
      </w:r>
    </w:p>
    <w:p w14:paraId="3EC23C93">
      <w:pPr>
        <w:widowControl/>
        <w:shd w:val="clear" w:color="auto" w:fill="FFFFFF"/>
        <w:spacing w:line="360" w:lineRule="auto"/>
      </w:pPr>
      <w:r>
        <w:t xml:space="preserve">8.2.1 </w:t>
      </w:r>
      <w:r>
        <w:rPr>
          <w:rFonts w:hint="eastAsia"/>
        </w:rPr>
        <w:t>报告主体基本信息应包括报告主体名称、单位性质、报告年度、所属行业、统一社会信用代码、法定代表人、填报负责人和联系人信息等。</w:t>
      </w:r>
    </w:p>
    <w:p w14:paraId="7FAE5E53">
      <w:pPr>
        <w:widowControl/>
        <w:shd w:val="clear" w:color="auto" w:fill="FFFFFF"/>
        <w:spacing w:line="360" w:lineRule="auto"/>
        <w:rPr>
          <w:rFonts w:ascii="宋体" w:hAnsi="宋体"/>
        </w:rPr>
      </w:pPr>
      <w:r>
        <w:t>8.2.2</w:t>
      </w:r>
      <w:r>
        <w:rPr>
          <w:rFonts w:hint="eastAsia"/>
        </w:rPr>
        <w:t>报告主体基本信息还应包括企业核算边界、主营产品、工艺流程及排放源识别情况的详细说明（必要时附表和附图）。</w:t>
      </w:r>
    </w:p>
    <w:p w14:paraId="4496253B">
      <w:pPr>
        <w:spacing w:line="360" w:lineRule="auto"/>
        <w:rPr>
          <w:rFonts w:eastAsia="黑体"/>
        </w:rPr>
      </w:pPr>
      <w:r>
        <w:rPr>
          <w:rFonts w:hint="eastAsia" w:eastAsia="黑体"/>
        </w:rPr>
        <w:t>8.</w:t>
      </w:r>
      <w:r>
        <w:rPr>
          <w:rFonts w:eastAsia="黑体"/>
        </w:rPr>
        <w:t>3</w:t>
      </w:r>
      <w:r>
        <w:rPr>
          <w:rFonts w:hint="eastAsia" w:eastAsia="黑体"/>
        </w:rPr>
        <w:t xml:space="preserve"> 温室气体排放量</w:t>
      </w:r>
    </w:p>
    <w:p w14:paraId="6ED44B41">
      <w:pPr>
        <w:spacing w:line="360" w:lineRule="auto"/>
        <w:ind w:firstLine="420" w:firstLineChars="200"/>
        <w:rPr>
          <w:rFonts w:ascii="宋体" w:hAnsi="宋体"/>
        </w:rPr>
      </w:pPr>
      <w:r>
        <w:rPr>
          <w:rFonts w:hint="eastAsia" w:ascii="宋体" w:hAnsi="宋体"/>
        </w:rPr>
        <w:t>报告主体应报告企业年度温室气体碳排放总量，并分别报告燃料燃烧排放量、过程排放量、废弃物处理处置排放量（如有）、购入电力、购入热力产生的排放量以及输出电力、输出热力产生的排放量。</w:t>
      </w:r>
    </w:p>
    <w:p w14:paraId="783D9A49">
      <w:pPr>
        <w:spacing w:line="360" w:lineRule="auto"/>
        <w:rPr>
          <w:rFonts w:eastAsia="黑体"/>
        </w:rPr>
      </w:pPr>
      <w:r>
        <w:rPr>
          <w:rFonts w:eastAsia="黑体"/>
        </w:rPr>
        <w:t>8.4</w:t>
      </w:r>
      <w:r>
        <w:rPr>
          <w:rFonts w:hint="eastAsia" w:eastAsia="黑体"/>
        </w:rPr>
        <w:t xml:space="preserve"> 活动数据及来源</w:t>
      </w:r>
    </w:p>
    <w:bookmarkEnd w:id="27"/>
    <w:p w14:paraId="3A4745ED">
      <w:pPr>
        <w:spacing w:line="360" w:lineRule="auto"/>
        <w:ind w:firstLine="420" w:firstLineChars="200"/>
        <w:rPr>
          <w:rFonts w:ascii="宋体" w:hAnsi="宋体"/>
        </w:rPr>
      </w:pPr>
      <w:r>
        <w:rPr>
          <w:rFonts w:hint="eastAsia" w:ascii="宋体" w:hAnsi="宋体"/>
        </w:rPr>
        <w:t>报告主体应报告企业在报告年度或核算周期内用于工业生产的各种燃料的净消耗量和相应的低位发热量，各类沉淀剂、含碳稀土前驱体、添加剂及其他含碳原料消耗量；原料有效组分质量分数、碳酸盐/草酸盐组分质量分数；沉淀反应转化比例、前驱体焙烧分解比例等工艺参数；购入及输出电力、热力活动数据，并逐一说明数据获取来源。</w:t>
      </w:r>
    </w:p>
    <w:p w14:paraId="64467AAB">
      <w:pPr>
        <w:spacing w:line="360" w:lineRule="auto"/>
        <w:rPr>
          <w:rFonts w:eastAsia="黑体"/>
        </w:rPr>
      </w:pPr>
      <w:r>
        <w:rPr>
          <w:rFonts w:hint="eastAsia" w:eastAsia="黑体"/>
        </w:rPr>
        <w:t>8</w:t>
      </w:r>
      <w:r>
        <w:rPr>
          <w:rFonts w:eastAsia="黑体"/>
        </w:rPr>
        <w:t>.5 排放因子数据及来源</w:t>
      </w:r>
    </w:p>
    <w:p w14:paraId="6C6C3D35">
      <w:pPr>
        <w:spacing w:line="360" w:lineRule="auto"/>
        <w:ind w:firstLine="420" w:firstLineChars="200"/>
        <w:rPr>
          <w:rFonts w:ascii="宋体" w:hAnsi="宋体"/>
        </w:rPr>
      </w:pPr>
      <w:r>
        <w:rPr>
          <w:rFonts w:ascii="宋体" w:hAnsi="宋体"/>
        </w:rPr>
        <w:t>报告主体应分别报告</w:t>
      </w:r>
      <w:r>
        <w:rPr>
          <w:rFonts w:hint="eastAsia" w:ascii="宋体" w:hAnsi="宋体"/>
        </w:rPr>
        <w:t>报告年度内使用的所有排放因子及数据来源（</w:t>
      </w:r>
      <w:r>
        <w:rPr>
          <w:rFonts w:ascii="宋体" w:hAnsi="宋体"/>
        </w:rPr>
        <w:t>参考出处、相关假设及其理由</w:t>
      </w:r>
      <w:r>
        <w:rPr>
          <w:rFonts w:hint="eastAsia" w:ascii="宋体" w:hAnsi="宋体"/>
        </w:rPr>
        <w:t>），包括：</w:t>
      </w:r>
    </w:p>
    <w:p w14:paraId="271185CA">
      <w:pPr>
        <w:numPr>
          <w:ilvl w:val="0"/>
          <w:numId w:val="14"/>
        </w:numPr>
        <w:spacing w:line="360" w:lineRule="auto"/>
        <w:ind w:firstLine="420" w:firstLineChars="200"/>
        <w:rPr>
          <w:rFonts w:ascii="宋体" w:hAnsi="宋体"/>
        </w:rPr>
      </w:pPr>
      <w:r>
        <w:rPr>
          <w:rFonts w:hint="eastAsia" w:ascii="宋体" w:hAnsi="宋体"/>
        </w:rPr>
        <w:t>各类化石燃料的单位热值含碳量、碳氧化率数据；</w:t>
      </w:r>
    </w:p>
    <w:p w14:paraId="2F1144E7">
      <w:pPr>
        <w:numPr>
          <w:ilvl w:val="0"/>
          <w:numId w:val="14"/>
        </w:numPr>
        <w:spacing w:line="360" w:lineRule="auto"/>
        <w:ind w:firstLine="420" w:firstLineChars="200"/>
        <w:rPr>
          <w:rFonts w:ascii="宋体" w:hAnsi="宋体"/>
        </w:rPr>
      </w:pPr>
      <w:r>
        <w:rPr>
          <w:rFonts w:hint="eastAsia" w:ascii="宋体" w:hAnsi="宋体"/>
        </w:rPr>
        <w:t>各类沉淀剂、含碳稀土前驱体、其他含碳原料、废弃物治理碳酸盐药剂的二氧化碳排放因子及取值来源；</w:t>
      </w:r>
    </w:p>
    <w:p w14:paraId="4FB93233">
      <w:pPr>
        <w:numPr>
          <w:ilvl w:val="0"/>
          <w:numId w:val="14"/>
        </w:numPr>
        <w:spacing w:line="360" w:lineRule="auto"/>
        <w:ind w:firstLine="420" w:firstLineChars="200"/>
        <w:rPr>
          <w:rFonts w:ascii="宋体" w:hAnsi="宋体"/>
        </w:rPr>
      </w:pPr>
      <w:r>
        <w:rPr>
          <w:rFonts w:hint="eastAsia" w:ascii="宋体" w:hAnsi="宋体"/>
        </w:rPr>
        <w:t>电力二氧化碳排放因子和热力二氧化碳排放因子数据。</w:t>
      </w:r>
    </w:p>
    <w:p w14:paraId="7055A67E">
      <w:pPr>
        <w:numPr>
          <w:ilvl w:val="255"/>
          <w:numId w:val="0"/>
        </w:numPr>
        <w:spacing w:line="360" w:lineRule="auto"/>
        <w:ind w:firstLine="420" w:firstLineChars="200"/>
        <w:rPr>
          <w:rFonts w:ascii="宋体" w:hAnsi="宋体"/>
        </w:rPr>
      </w:pPr>
      <w:r>
        <w:rPr>
          <w:rFonts w:hint="eastAsia" w:ascii="宋体" w:hAnsi="宋体"/>
        </w:rPr>
        <w:t>报告主体若还从事稀土抛光粉生产以外的其它产品生产活动，并存在本文件未涵盖的温室气体排放环节，则应按照其他相关行业的企业温室气体排放核算和报告要求，一并报告其排放因子数据及来源。</w:t>
      </w:r>
    </w:p>
    <w:p w14:paraId="5C1027BF">
      <w:pPr>
        <w:snapToGrid w:val="0"/>
        <w:spacing w:line="360" w:lineRule="exact"/>
      </w:pPr>
    </w:p>
    <w:p w14:paraId="6ADB3C0B">
      <w:pPr>
        <w:spacing w:line="360" w:lineRule="exact"/>
        <w:jc w:val="center"/>
        <w:rPr>
          <w:rFonts w:hAnsi="黑体" w:cs="黑体"/>
          <w:bCs/>
        </w:rPr>
      </w:pPr>
      <w:r>
        <w:rPr>
          <w:rFonts w:hint="eastAsia"/>
        </w:rPr>
        <w:br w:type="page"/>
      </w:r>
      <w:bookmarkEnd w:id="6"/>
      <w:r>
        <w:rPr>
          <w:rFonts w:hint="eastAsia" w:ascii="黑体" w:hAnsi="黑体" w:eastAsia="黑体" w:cs="黑体"/>
          <w:bCs/>
        </w:rPr>
        <w:t>附</w:t>
      </w:r>
      <w:r>
        <w:rPr>
          <w:rFonts w:ascii="黑体" w:hAnsi="黑体" w:eastAsia="黑体" w:cs="黑体"/>
          <w:bCs/>
        </w:rPr>
        <w:t xml:space="preserve"> 录 A</w:t>
      </w:r>
    </w:p>
    <w:p w14:paraId="1EB3C1AF">
      <w:pPr>
        <w:spacing w:line="360" w:lineRule="exact"/>
        <w:jc w:val="center"/>
        <w:rPr>
          <w:rFonts w:hAnsi="黑体" w:cs="黑体"/>
          <w:bCs/>
        </w:rPr>
      </w:pPr>
      <w:r>
        <w:rPr>
          <w:rFonts w:ascii="黑体" w:hAnsi="黑体" w:eastAsia="黑体" w:cs="黑体"/>
          <w:bCs/>
        </w:rPr>
        <w:t>(资料性</w:t>
      </w:r>
      <w:r>
        <w:rPr>
          <w:rFonts w:hint="eastAsia" w:ascii="黑体" w:hAnsi="黑体" w:eastAsia="黑体" w:cs="黑体"/>
          <w:bCs/>
        </w:rPr>
        <w:t>）</w:t>
      </w:r>
    </w:p>
    <w:p w14:paraId="1D4DCA6F">
      <w:pPr>
        <w:spacing w:before="240" w:beforeLines="100" w:after="240" w:afterLines="100"/>
        <w:jc w:val="center"/>
        <w:rPr>
          <w:rFonts w:hAnsi="黑体" w:cs="黑体"/>
          <w:bCs/>
        </w:rPr>
      </w:pPr>
      <w:r>
        <w:rPr>
          <w:rFonts w:hint="eastAsia" w:ascii="黑体" w:hAnsi="黑体" w:eastAsia="黑体" w:cs="黑体"/>
          <w:bCs/>
        </w:rPr>
        <w:t>稀土抛光粉生产企业温室气体排放核算边界示意图</w:t>
      </w:r>
    </w:p>
    <w:p w14:paraId="2EF9A8B2">
      <w:pPr>
        <w:spacing w:before="120" w:beforeLines="50" w:after="120" w:afterLines="50"/>
        <w:ind w:firstLine="420" w:firstLineChars="200"/>
        <w:jc w:val="left"/>
      </w:pPr>
      <w:r>
        <w:rPr>
          <w:rFonts w:hint="eastAsia"/>
        </w:rPr>
        <w:t>稀土抛光粉生产企业温室气体排放核算边界示意图如图A.1所示。</w:t>
      </w:r>
    </w:p>
    <w:p w14:paraId="334094BF">
      <w:pPr>
        <w:jc w:val="center"/>
        <w:rPr>
          <w:rFonts w:ascii="黑体" w:hAnsi="黑体" w:eastAsia="黑体"/>
        </w:rPr>
      </w:pPr>
    </w:p>
    <w:p w14:paraId="6DD1317D">
      <w:pPr>
        <w:jc w:val="center"/>
      </w:pPr>
      <w:r>
        <w:drawing>
          <wp:inline distT="0" distB="0" distL="114300" distR="114300">
            <wp:extent cx="5189220" cy="5480685"/>
            <wp:effectExtent l="0" t="0" r="5080"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5189220" cy="5480685"/>
                    </a:xfrm>
                    <a:prstGeom prst="rect">
                      <a:avLst/>
                    </a:prstGeom>
                  </pic:spPr>
                </pic:pic>
              </a:graphicData>
            </a:graphic>
          </wp:inline>
        </w:drawing>
      </w:r>
    </w:p>
    <w:p w14:paraId="52479895">
      <w:pPr>
        <w:jc w:val="center"/>
        <w:rPr>
          <w:rFonts w:ascii="黑体" w:hAnsi="黑体" w:eastAsia="黑体"/>
        </w:rPr>
      </w:pPr>
    </w:p>
    <w:p w14:paraId="6E551C23">
      <w:pPr>
        <w:jc w:val="center"/>
        <w:rPr>
          <w:rFonts w:hAnsi="黑体"/>
        </w:rPr>
      </w:pPr>
      <w:r>
        <w:rPr>
          <w:rFonts w:hint="eastAsia" w:ascii="黑体" w:hAnsi="黑体" w:eastAsia="黑体"/>
        </w:rPr>
        <w:t>图A.1 稀土抛光粉生产企业温室气体排放核算边界示意图</w:t>
      </w:r>
    </w:p>
    <w:p w14:paraId="72398465">
      <w:pPr>
        <w:spacing w:before="420" w:after="1840"/>
        <w:jc w:val="center"/>
      </w:pPr>
    </w:p>
    <w:p w14:paraId="18A9397B">
      <w:pPr>
        <w:keepNext/>
        <w:keepLines/>
        <w:spacing w:before="340"/>
        <w:jc w:val="center"/>
        <w:outlineLvl w:val="0"/>
        <w:rPr>
          <w:rFonts w:eastAsia="黑体"/>
          <w:bCs/>
          <w:kern w:val="44"/>
          <w:szCs w:val="21"/>
        </w:rPr>
      </w:pPr>
      <w:bookmarkStart w:id="28" w:name="_Toc210116178"/>
      <w:r>
        <w:rPr>
          <w:rFonts w:eastAsia="黑体"/>
          <w:bCs/>
          <w:kern w:val="44"/>
          <w:szCs w:val="21"/>
        </w:rPr>
        <w:t>附录B</w:t>
      </w:r>
      <w:bookmarkEnd w:id="28"/>
    </w:p>
    <w:p w14:paraId="6A95210E">
      <w:pPr>
        <w:keepNext/>
        <w:keepLines/>
        <w:jc w:val="center"/>
        <w:outlineLvl w:val="0"/>
        <w:rPr>
          <w:rFonts w:ascii="黑体" w:hAnsi="黑体" w:eastAsia="黑体"/>
          <w:sz w:val="18"/>
          <w:szCs w:val="18"/>
        </w:rPr>
      </w:pPr>
      <w:bookmarkStart w:id="29" w:name="_Toc210116179"/>
      <w:r>
        <w:rPr>
          <w:rFonts w:hint="eastAsia" w:ascii="黑体" w:hAnsi="黑体" w:eastAsia="黑体"/>
          <w:sz w:val="18"/>
          <w:szCs w:val="18"/>
        </w:rPr>
        <w:t>（资料性）</w:t>
      </w:r>
      <w:bookmarkEnd w:id="29"/>
    </w:p>
    <w:p w14:paraId="6DED72D4">
      <w:pPr>
        <w:keepNext/>
        <w:keepLines/>
        <w:spacing w:after="120" w:afterLines="50"/>
        <w:jc w:val="center"/>
        <w:outlineLvl w:val="0"/>
        <w:rPr>
          <w:rFonts w:eastAsia="黑体"/>
          <w:bCs/>
          <w:kern w:val="44"/>
          <w:szCs w:val="21"/>
        </w:rPr>
      </w:pPr>
      <w:bookmarkStart w:id="30" w:name="_Toc210116180"/>
      <w:r>
        <w:rPr>
          <w:rFonts w:hint="eastAsia" w:eastAsia="黑体"/>
          <w:bCs/>
          <w:kern w:val="44"/>
          <w:szCs w:val="21"/>
        </w:rPr>
        <w:t>相关参数缺省值</w:t>
      </w:r>
      <w:bookmarkEnd w:id="30"/>
    </w:p>
    <w:p w14:paraId="07F9311C">
      <w:pPr>
        <w:ind w:firstLine="486"/>
        <w:rPr>
          <w:rFonts w:hAnsi="宋体"/>
          <w:sz w:val="24"/>
        </w:rPr>
      </w:pPr>
      <w:r>
        <w:rPr>
          <w:rFonts w:hint="eastAsia" w:hAnsi="宋体"/>
          <w:sz w:val="24"/>
        </w:rPr>
        <w:t>相关参数缺省值见表B</w:t>
      </w:r>
      <w:r>
        <w:rPr>
          <w:rFonts w:hAnsi="宋体"/>
          <w:sz w:val="24"/>
        </w:rPr>
        <w:t>.1~</w:t>
      </w:r>
      <w:r>
        <w:rPr>
          <w:rFonts w:hint="eastAsia" w:hAnsi="宋体"/>
          <w:sz w:val="24"/>
        </w:rPr>
        <w:t>表</w:t>
      </w:r>
      <w:r>
        <w:rPr>
          <w:rFonts w:hAnsi="宋体"/>
          <w:sz w:val="24"/>
        </w:rPr>
        <w:t>B.</w:t>
      </w:r>
      <w:r>
        <w:rPr>
          <w:rFonts w:hint="eastAsia" w:hAnsi="宋体"/>
          <w:sz w:val="24"/>
        </w:rPr>
        <w:t>6。</w:t>
      </w:r>
    </w:p>
    <w:tbl>
      <w:tblPr>
        <w:tblStyle w:val="35"/>
        <w:tblpPr w:leftFromText="180" w:rightFromText="180" w:vertAnchor="text" w:horzAnchor="margin" w:tblpXSpec="center" w:tblpY="538"/>
        <w:tblOverlap w:val="never"/>
        <w:tblW w:w="8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559"/>
        <w:gridCol w:w="1012"/>
        <w:gridCol w:w="2248"/>
        <w:gridCol w:w="1701"/>
        <w:gridCol w:w="1407"/>
      </w:tblGrid>
      <w:tr w14:paraId="0246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7" w:type="dxa"/>
            <w:gridSpan w:val="2"/>
            <w:shd w:val="clear" w:color="000000" w:fill="auto"/>
            <w:vAlign w:val="center"/>
          </w:tcPr>
          <w:p w14:paraId="1A34BC12">
            <w:pPr>
              <w:kinsoku w:val="0"/>
              <w:overflowPunct w:val="0"/>
              <w:autoSpaceDE w:val="0"/>
              <w:autoSpaceDN w:val="0"/>
              <w:adjustRightInd w:val="0"/>
              <w:snapToGrid w:val="0"/>
              <w:jc w:val="center"/>
              <w:rPr>
                <w:kern w:val="0"/>
                <w:sz w:val="18"/>
                <w:szCs w:val="18"/>
              </w:rPr>
            </w:pPr>
            <w:r>
              <w:rPr>
                <w:kern w:val="0"/>
                <w:sz w:val="18"/>
                <w:szCs w:val="18"/>
              </w:rPr>
              <w:t>燃料品种</w:t>
            </w:r>
          </w:p>
        </w:tc>
        <w:tc>
          <w:tcPr>
            <w:tcW w:w="1012" w:type="dxa"/>
            <w:shd w:val="clear" w:color="000000" w:fill="auto"/>
            <w:vAlign w:val="center"/>
          </w:tcPr>
          <w:p w14:paraId="63476BC1">
            <w:pPr>
              <w:kinsoku w:val="0"/>
              <w:overflowPunct w:val="0"/>
              <w:autoSpaceDE w:val="0"/>
              <w:autoSpaceDN w:val="0"/>
              <w:adjustRightInd w:val="0"/>
              <w:snapToGrid w:val="0"/>
              <w:jc w:val="center"/>
              <w:rPr>
                <w:kern w:val="0"/>
                <w:sz w:val="18"/>
                <w:szCs w:val="18"/>
              </w:rPr>
            </w:pPr>
            <w:r>
              <w:rPr>
                <w:kern w:val="0"/>
                <w:sz w:val="18"/>
                <w:szCs w:val="18"/>
              </w:rPr>
              <w:t>计量单位</w:t>
            </w:r>
          </w:p>
        </w:tc>
        <w:tc>
          <w:tcPr>
            <w:tcW w:w="2248" w:type="dxa"/>
            <w:shd w:val="clear" w:color="000000" w:fill="auto"/>
            <w:vAlign w:val="center"/>
          </w:tcPr>
          <w:p w14:paraId="6B8473AF">
            <w:pPr>
              <w:kinsoku w:val="0"/>
              <w:overflowPunct w:val="0"/>
              <w:autoSpaceDE w:val="0"/>
              <w:autoSpaceDN w:val="0"/>
              <w:adjustRightInd w:val="0"/>
              <w:snapToGrid w:val="0"/>
              <w:jc w:val="center"/>
              <w:rPr>
                <w:kern w:val="0"/>
                <w:sz w:val="18"/>
                <w:szCs w:val="18"/>
              </w:rPr>
            </w:pPr>
            <w:r>
              <w:rPr>
                <w:kern w:val="0"/>
                <w:sz w:val="18"/>
                <w:szCs w:val="18"/>
              </w:rPr>
              <w:t>低位发热量</w:t>
            </w:r>
            <w:r>
              <w:rPr>
                <w:rFonts w:hint="eastAsia"/>
                <w:kern w:val="0"/>
                <w:sz w:val="18"/>
                <w:szCs w:val="18"/>
              </w:rPr>
              <w:t xml:space="preserve"> </w:t>
            </w:r>
          </w:p>
          <w:p w14:paraId="3BD5399C">
            <w:pPr>
              <w:kinsoku w:val="0"/>
              <w:overflowPunct w:val="0"/>
              <w:autoSpaceDE w:val="0"/>
              <w:autoSpaceDN w:val="0"/>
              <w:adjustRightInd w:val="0"/>
              <w:snapToGrid w:val="0"/>
              <w:jc w:val="center"/>
              <w:rPr>
                <w:kern w:val="0"/>
                <w:sz w:val="18"/>
                <w:szCs w:val="18"/>
              </w:rPr>
            </w:pPr>
            <w:r>
              <w:rPr>
                <w:bCs/>
                <w:kern w:val="24"/>
                <w:szCs w:val="21"/>
              </w:rPr>
              <w:t>GJ/t或GJ/10</w:t>
            </w:r>
            <w:r>
              <w:rPr>
                <w:bCs/>
                <w:kern w:val="24"/>
                <w:szCs w:val="21"/>
                <w:vertAlign w:val="superscript"/>
              </w:rPr>
              <w:t>4</w:t>
            </w:r>
            <w:r>
              <w:rPr>
                <w:rFonts w:hint="eastAsia"/>
                <w:bCs/>
                <w:kern w:val="24"/>
                <w:szCs w:val="21"/>
                <w:vertAlign w:val="superscript"/>
              </w:rPr>
              <w:t xml:space="preserve"> </w:t>
            </w:r>
            <w:r>
              <w:rPr>
                <w:bCs/>
                <w:kern w:val="24"/>
                <w:szCs w:val="21"/>
              </w:rPr>
              <w:t>Nm</w:t>
            </w:r>
            <w:r>
              <w:rPr>
                <w:bCs/>
                <w:kern w:val="24"/>
                <w:szCs w:val="21"/>
                <w:vertAlign w:val="superscript"/>
              </w:rPr>
              <w:t>3</w:t>
            </w:r>
          </w:p>
        </w:tc>
        <w:tc>
          <w:tcPr>
            <w:tcW w:w="1701" w:type="dxa"/>
            <w:shd w:val="clear" w:color="000000" w:fill="auto"/>
            <w:vAlign w:val="center"/>
          </w:tcPr>
          <w:p w14:paraId="1A00C10F">
            <w:pPr>
              <w:kinsoku w:val="0"/>
              <w:overflowPunct w:val="0"/>
              <w:autoSpaceDE w:val="0"/>
              <w:autoSpaceDN w:val="0"/>
              <w:adjustRightInd w:val="0"/>
              <w:snapToGrid w:val="0"/>
              <w:jc w:val="center"/>
              <w:rPr>
                <w:kern w:val="0"/>
                <w:sz w:val="18"/>
                <w:szCs w:val="18"/>
              </w:rPr>
            </w:pPr>
            <w:r>
              <w:rPr>
                <w:kern w:val="0"/>
                <w:sz w:val="18"/>
                <w:szCs w:val="18"/>
              </w:rPr>
              <w:t>单位热值含碳量tC/GJ</w:t>
            </w:r>
          </w:p>
        </w:tc>
        <w:tc>
          <w:tcPr>
            <w:tcW w:w="1407" w:type="dxa"/>
            <w:shd w:val="clear" w:color="000000" w:fill="auto"/>
            <w:vAlign w:val="center"/>
          </w:tcPr>
          <w:p w14:paraId="17BE6BE8">
            <w:pPr>
              <w:kinsoku w:val="0"/>
              <w:overflowPunct w:val="0"/>
              <w:autoSpaceDE w:val="0"/>
              <w:autoSpaceDN w:val="0"/>
              <w:adjustRightInd w:val="0"/>
              <w:snapToGrid w:val="0"/>
              <w:jc w:val="center"/>
              <w:rPr>
                <w:kern w:val="0"/>
                <w:sz w:val="18"/>
                <w:szCs w:val="18"/>
              </w:rPr>
            </w:pPr>
            <w:r>
              <w:rPr>
                <w:kern w:val="0"/>
                <w:sz w:val="18"/>
                <w:szCs w:val="18"/>
              </w:rPr>
              <w:t>燃料碳氧化率</w:t>
            </w:r>
            <w:r>
              <w:rPr>
                <w:rFonts w:hint="eastAsia"/>
                <w:kern w:val="0"/>
                <w:sz w:val="18"/>
                <w:szCs w:val="18"/>
              </w:rPr>
              <w:t xml:space="preserve"> %</w:t>
            </w:r>
          </w:p>
        </w:tc>
      </w:tr>
      <w:tr w14:paraId="6E3E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restart"/>
            <w:vAlign w:val="center"/>
          </w:tcPr>
          <w:p w14:paraId="49CE5EA5">
            <w:pPr>
              <w:kinsoku w:val="0"/>
              <w:overflowPunct w:val="0"/>
              <w:autoSpaceDE w:val="0"/>
              <w:autoSpaceDN w:val="0"/>
              <w:adjustRightInd w:val="0"/>
              <w:snapToGrid w:val="0"/>
              <w:rPr>
                <w:kern w:val="0"/>
                <w:sz w:val="18"/>
                <w:szCs w:val="18"/>
              </w:rPr>
            </w:pPr>
            <w:r>
              <w:rPr>
                <w:kern w:val="0"/>
                <w:sz w:val="18"/>
                <w:szCs w:val="18"/>
              </w:rPr>
              <w:t>固体燃料</w:t>
            </w:r>
          </w:p>
        </w:tc>
        <w:tc>
          <w:tcPr>
            <w:tcW w:w="1559" w:type="dxa"/>
            <w:vAlign w:val="center"/>
          </w:tcPr>
          <w:p w14:paraId="0DE8C56F">
            <w:pPr>
              <w:kinsoku w:val="0"/>
              <w:overflowPunct w:val="0"/>
              <w:autoSpaceDE w:val="0"/>
              <w:autoSpaceDN w:val="0"/>
              <w:adjustRightInd w:val="0"/>
              <w:snapToGrid w:val="0"/>
              <w:jc w:val="center"/>
              <w:rPr>
                <w:kern w:val="0"/>
                <w:sz w:val="18"/>
                <w:szCs w:val="18"/>
              </w:rPr>
            </w:pPr>
            <w:r>
              <w:rPr>
                <w:kern w:val="0"/>
                <w:sz w:val="18"/>
                <w:szCs w:val="18"/>
              </w:rPr>
              <w:t>无烟煤</w:t>
            </w:r>
          </w:p>
        </w:tc>
        <w:tc>
          <w:tcPr>
            <w:tcW w:w="1012" w:type="dxa"/>
            <w:vAlign w:val="center"/>
          </w:tcPr>
          <w:p w14:paraId="59675916">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200CEB18">
            <w:pPr>
              <w:kinsoku w:val="0"/>
              <w:overflowPunct w:val="0"/>
              <w:autoSpaceDE w:val="0"/>
              <w:autoSpaceDN w:val="0"/>
              <w:adjustRightInd w:val="0"/>
              <w:snapToGrid w:val="0"/>
              <w:jc w:val="center"/>
              <w:rPr>
                <w:kern w:val="0"/>
                <w:sz w:val="18"/>
                <w:szCs w:val="18"/>
              </w:rPr>
            </w:pPr>
            <w:r>
              <w:rPr>
                <w:kern w:val="0"/>
                <w:sz w:val="18"/>
                <w:szCs w:val="18"/>
              </w:rPr>
              <w:t>26.7</w:t>
            </w:r>
            <w:r>
              <w:rPr>
                <w:rFonts w:hint="eastAsia"/>
                <w:kern w:val="0"/>
                <w:sz w:val="18"/>
                <w:szCs w:val="18"/>
                <w:vertAlign w:val="superscript"/>
              </w:rPr>
              <w:t>c</w:t>
            </w:r>
          </w:p>
        </w:tc>
        <w:tc>
          <w:tcPr>
            <w:tcW w:w="1701" w:type="dxa"/>
            <w:shd w:val="clear" w:color="auto" w:fill="auto"/>
            <w:vAlign w:val="center"/>
          </w:tcPr>
          <w:p w14:paraId="18BD9FE4">
            <w:pPr>
              <w:kinsoku w:val="0"/>
              <w:overflowPunct w:val="0"/>
              <w:autoSpaceDE w:val="0"/>
              <w:autoSpaceDN w:val="0"/>
              <w:adjustRightInd w:val="0"/>
              <w:snapToGrid w:val="0"/>
              <w:jc w:val="center"/>
              <w:rPr>
                <w:kern w:val="0"/>
                <w:sz w:val="18"/>
                <w:szCs w:val="18"/>
              </w:rPr>
            </w:pPr>
            <w:r>
              <w:rPr>
                <w:kern w:val="0"/>
                <w:sz w:val="18"/>
                <w:szCs w:val="18"/>
              </w:rPr>
              <w:t>27.4</w:t>
            </w:r>
            <w:r>
              <w:rPr>
                <w:rFonts w:hint="eastAsia"/>
                <w:kern w:val="0"/>
                <w:sz w:val="18"/>
                <w:szCs w:val="18"/>
                <w:vertAlign w:val="superscript"/>
              </w:rPr>
              <w:t>b</w:t>
            </w:r>
            <w:r>
              <w:rPr>
                <w:kern w:val="0"/>
                <w:sz w:val="18"/>
                <w:szCs w:val="18"/>
              </w:rPr>
              <w:t>×10</w:t>
            </w:r>
            <w:r>
              <w:rPr>
                <w:kern w:val="0"/>
                <w:sz w:val="18"/>
                <w:szCs w:val="18"/>
                <w:vertAlign w:val="superscript"/>
              </w:rPr>
              <w:t>-3</w:t>
            </w:r>
            <w:r>
              <w:rPr>
                <w:rFonts w:hint="eastAsia"/>
                <w:kern w:val="0"/>
                <w:sz w:val="18"/>
                <w:szCs w:val="18"/>
                <w:vertAlign w:val="superscript"/>
              </w:rPr>
              <w:t xml:space="preserve"> </w:t>
            </w:r>
          </w:p>
        </w:tc>
        <w:tc>
          <w:tcPr>
            <w:tcW w:w="1407" w:type="dxa"/>
            <w:vAlign w:val="center"/>
          </w:tcPr>
          <w:p w14:paraId="2C6917B5">
            <w:pPr>
              <w:kinsoku w:val="0"/>
              <w:overflowPunct w:val="0"/>
              <w:autoSpaceDE w:val="0"/>
              <w:autoSpaceDN w:val="0"/>
              <w:adjustRightInd w:val="0"/>
              <w:snapToGrid w:val="0"/>
              <w:jc w:val="center"/>
              <w:rPr>
                <w:kern w:val="0"/>
                <w:sz w:val="18"/>
                <w:szCs w:val="18"/>
              </w:rPr>
            </w:pPr>
            <w:r>
              <w:rPr>
                <w:kern w:val="0"/>
                <w:sz w:val="18"/>
                <w:szCs w:val="18"/>
              </w:rPr>
              <w:t>9</w:t>
            </w:r>
            <w:r>
              <w:rPr>
                <w:rFonts w:hint="eastAsia"/>
                <w:kern w:val="0"/>
                <w:sz w:val="18"/>
                <w:szCs w:val="18"/>
              </w:rPr>
              <w:t>4</w:t>
            </w:r>
            <w:r>
              <w:rPr>
                <w:rFonts w:hint="eastAsia"/>
                <w:kern w:val="0"/>
                <w:sz w:val="18"/>
                <w:szCs w:val="18"/>
                <w:vertAlign w:val="superscript"/>
              </w:rPr>
              <w:t>b</w:t>
            </w:r>
          </w:p>
        </w:tc>
      </w:tr>
      <w:tr w14:paraId="7F62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0C381CB3">
            <w:pPr>
              <w:kinsoku w:val="0"/>
              <w:overflowPunct w:val="0"/>
              <w:autoSpaceDE w:val="0"/>
              <w:autoSpaceDN w:val="0"/>
              <w:adjustRightInd w:val="0"/>
              <w:snapToGrid w:val="0"/>
              <w:jc w:val="center"/>
              <w:rPr>
                <w:kern w:val="0"/>
                <w:sz w:val="18"/>
                <w:szCs w:val="18"/>
              </w:rPr>
            </w:pPr>
          </w:p>
        </w:tc>
        <w:tc>
          <w:tcPr>
            <w:tcW w:w="1559" w:type="dxa"/>
            <w:vAlign w:val="center"/>
          </w:tcPr>
          <w:p w14:paraId="19AD534D">
            <w:pPr>
              <w:kinsoku w:val="0"/>
              <w:overflowPunct w:val="0"/>
              <w:autoSpaceDE w:val="0"/>
              <w:autoSpaceDN w:val="0"/>
              <w:adjustRightInd w:val="0"/>
              <w:snapToGrid w:val="0"/>
              <w:jc w:val="center"/>
              <w:rPr>
                <w:kern w:val="0"/>
                <w:sz w:val="18"/>
                <w:szCs w:val="18"/>
              </w:rPr>
            </w:pPr>
            <w:r>
              <w:rPr>
                <w:kern w:val="0"/>
                <w:sz w:val="18"/>
                <w:szCs w:val="18"/>
              </w:rPr>
              <w:t>烟煤</w:t>
            </w:r>
          </w:p>
        </w:tc>
        <w:tc>
          <w:tcPr>
            <w:tcW w:w="1012" w:type="dxa"/>
            <w:vAlign w:val="center"/>
          </w:tcPr>
          <w:p w14:paraId="396191FA">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1004C20B">
            <w:pPr>
              <w:kinsoku w:val="0"/>
              <w:overflowPunct w:val="0"/>
              <w:autoSpaceDE w:val="0"/>
              <w:autoSpaceDN w:val="0"/>
              <w:adjustRightInd w:val="0"/>
              <w:snapToGrid w:val="0"/>
              <w:jc w:val="center"/>
              <w:rPr>
                <w:kern w:val="0"/>
                <w:sz w:val="18"/>
                <w:szCs w:val="18"/>
              </w:rPr>
            </w:pPr>
            <w:r>
              <w:rPr>
                <w:kern w:val="0"/>
                <w:sz w:val="18"/>
                <w:szCs w:val="18"/>
              </w:rPr>
              <w:t>19.570</w:t>
            </w:r>
            <w:r>
              <w:rPr>
                <w:rFonts w:hint="eastAsia"/>
                <w:kern w:val="0"/>
                <w:sz w:val="18"/>
                <w:szCs w:val="18"/>
                <w:vertAlign w:val="superscript"/>
              </w:rPr>
              <w:t>d</w:t>
            </w:r>
          </w:p>
        </w:tc>
        <w:tc>
          <w:tcPr>
            <w:tcW w:w="1701" w:type="dxa"/>
            <w:shd w:val="clear" w:color="auto" w:fill="auto"/>
            <w:vAlign w:val="center"/>
          </w:tcPr>
          <w:p w14:paraId="4ABFF08F">
            <w:pPr>
              <w:kinsoku w:val="0"/>
              <w:overflowPunct w:val="0"/>
              <w:autoSpaceDE w:val="0"/>
              <w:autoSpaceDN w:val="0"/>
              <w:adjustRightInd w:val="0"/>
              <w:snapToGrid w:val="0"/>
              <w:jc w:val="center"/>
              <w:rPr>
                <w:kern w:val="0"/>
                <w:sz w:val="18"/>
                <w:szCs w:val="18"/>
              </w:rPr>
            </w:pPr>
            <w:r>
              <w:rPr>
                <w:kern w:val="0"/>
                <w:sz w:val="18"/>
                <w:szCs w:val="18"/>
              </w:rPr>
              <w:t>26.1</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1726FD41">
            <w:pPr>
              <w:kinsoku w:val="0"/>
              <w:overflowPunct w:val="0"/>
              <w:autoSpaceDE w:val="0"/>
              <w:autoSpaceDN w:val="0"/>
              <w:adjustRightInd w:val="0"/>
              <w:snapToGrid w:val="0"/>
              <w:jc w:val="center"/>
              <w:rPr>
                <w:kern w:val="0"/>
                <w:sz w:val="18"/>
                <w:szCs w:val="18"/>
              </w:rPr>
            </w:pPr>
            <w:r>
              <w:rPr>
                <w:kern w:val="0"/>
                <w:sz w:val="18"/>
                <w:szCs w:val="18"/>
              </w:rPr>
              <w:t>93</w:t>
            </w:r>
            <w:r>
              <w:rPr>
                <w:rFonts w:hint="eastAsia"/>
                <w:kern w:val="0"/>
                <w:sz w:val="18"/>
                <w:szCs w:val="18"/>
                <w:vertAlign w:val="superscript"/>
              </w:rPr>
              <w:t>b</w:t>
            </w:r>
          </w:p>
        </w:tc>
      </w:tr>
      <w:tr w14:paraId="687B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58F7BFB1">
            <w:pPr>
              <w:kinsoku w:val="0"/>
              <w:overflowPunct w:val="0"/>
              <w:autoSpaceDE w:val="0"/>
              <w:autoSpaceDN w:val="0"/>
              <w:adjustRightInd w:val="0"/>
              <w:snapToGrid w:val="0"/>
              <w:jc w:val="center"/>
              <w:rPr>
                <w:kern w:val="0"/>
                <w:sz w:val="18"/>
                <w:szCs w:val="18"/>
              </w:rPr>
            </w:pPr>
          </w:p>
        </w:tc>
        <w:tc>
          <w:tcPr>
            <w:tcW w:w="1559" w:type="dxa"/>
            <w:vAlign w:val="center"/>
          </w:tcPr>
          <w:p w14:paraId="0D1EF130">
            <w:pPr>
              <w:kinsoku w:val="0"/>
              <w:overflowPunct w:val="0"/>
              <w:autoSpaceDE w:val="0"/>
              <w:autoSpaceDN w:val="0"/>
              <w:adjustRightInd w:val="0"/>
              <w:snapToGrid w:val="0"/>
              <w:jc w:val="center"/>
              <w:rPr>
                <w:kern w:val="0"/>
                <w:sz w:val="18"/>
                <w:szCs w:val="18"/>
              </w:rPr>
            </w:pPr>
            <w:r>
              <w:rPr>
                <w:kern w:val="0"/>
                <w:sz w:val="18"/>
                <w:szCs w:val="18"/>
              </w:rPr>
              <w:t>褐煤</w:t>
            </w:r>
          </w:p>
        </w:tc>
        <w:tc>
          <w:tcPr>
            <w:tcW w:w="1012" w:type="dxa"/>
            <w:vAlign w:val="center"/>
          </w:tcPr>
          <w:p w14:paraId="001164F9">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6A050054">
            <w:pPr>
              <w:kinsoku w:val="0"/>
              <w:overflowPunct w:val="0"/>
              <w:autoSpaceDE w:val="0"/>
              <w:autoSpaceDN w:val="0"/>
              <w:adjustRightInd w:val="0"/>
              <w:snapToGrid w:val="0"/>
              <w:jc w:val="center"/>
              <w:rPr>
                <w:kern w:val="0"/>
                <w:sz w:val="18"/>
                <w:szCs w:val="18"/>
              </w:rPr>
            </w:pPr>
            <w:r>
              <w:rPr>
                <w:kern w:val="0"/>
                <w:sz w:val="18"/>
                <w:szCs w:val="18"/>
              </w:rPr>
              <w:t>11.9</w:t>
            </w:r>
            <w:r>
              <w:rPr>
                <w:rFonts w:hint="eastAsia"/>
                <w:kern w:val="0"/>
                <w:sz w:val="18"/>
                <w:szCs w:val="18"/>
                <w:vertAlign w:val="superscript"/>
              </w:rPr>
              <w:t>c</w:t>
            </w:r>
          </w:p>
        </w:tc>
        <w:tc>
          <w:tcPr>
            <w:tcW w:w="1701" w:type="dxa"/>
            <w:vAlign w:val="center"/>
          </w:tcPr>
          <w:p w14:paraId="4332DDBA">
            <w:pPr>
              <w:kinsoku w:val="0"/>
              <w:overflowPunct w:val="0"/>
              <w:autoSpaceDE w:val="0"/>
              <w:autoSpaceDN w:val="0"/>
              <w:adjustRightInd w:val="0"/>
              <w:snapToGrid w:val="0"/>
              <w:jc w:val="center"/>
              <w:rPr>
                <w:kern w:val="0"/>
                <w:sz w:val="18"/>
                <w:szCs w:val="18"/>
              </w:rPr>
            </w:pPr>
            <w:r>
              <w:rPr>
                <w:kern w:val="0"/>
                <w:sz w:val="18"/>
                <w:szCs w:val="18"/>
              </w:rPr>
              <w:t>28</w:t>
            </w:r>
            <w:r>
              <w:rPr>
                <w:rFonts w:hint="eastAsia"/>
                <w:kern w:val="0"/>
                <w:sz w:val="18"/>
                <w:szCs w:val="18"/>
              </w:rPr>
              <w:t>.0</w:t>
            </w:r>
            <w:r>
              <w:rPr>
                <w:rFonts w:hint="eastAsia"/>
                <w:kern w:val="0"/>
                <w:sz w:val="18"/>
                <w:szCs w:val="18"/>
                <w:vertAlign w:val="superscript"/>
              </w:rPr>
              <w:t>b</w:t>
            </w:r>
            <w:r>
              <w:rPr>
                <w:kern w:val="0"/>
                <w:sz w:val="18"/>
                <w:szCs w:val="18"/>
              </w:rPr>
              <w:t>×10</w:t>
            </w:r>
            <w:r>
              <w:rPr>
                <w:kern w:val="0"/>
                <w:sz w:val="18"/>
                <w:szCs w:val="18"/>
                <w:vertAlign w:val="superscript"/>
              </w:rPr>
              <w:t>-3</w:t>
            </w:r>
            <w:r>
              <w:rPr>
                <w:rFonts w:hint="eastAsia"/>
                <w:kern w:val="0"/>
                <w:sz w:val="18"/>
                <w:szCs w:val="18"/>
                <w:vertAlign w:val="superscript"/>
              </w:rPr>
              <w:t xml:space="preserve"> </w:t>
            </w:r>
          </w:p>
        </w:tc>
        <w:tc>
          <w:tcPr>
            <w:tcW w:w="1407" w:type="dxa"/>
            <w:vAlign w:val="center"/>
          </w:tcPr>
          <w:p w14:paraId="06439373">
            <w:pPr>
              <w:kinsoku w:val="0"/>
              <w:overflowPunct w:val="0"/>
              <w:autoSpaceDE w:val="0"/>
              <w:autoSpaceDN w:val="0"/>
              <w:adjustRightInd w:val="0"/>
              <w:snapToGrid w:val="0"/>
              <w:jc w:val="center"/>
              <w:rPr>
                <w:kern w:val="0"/>
                <w:sz w:val="18"/>
                <w:szCs w:val="18"/>
              </w:rPr>
            </w:pPr>
            <w:r>
              <w:rPr>
                <w:kern w:val="0"/>
                <w:sz w:val="18"/>
                <w:szCs w:val="18"/>
              </w:rPr>
              <w:t>96</w:t>
            </w:r>
            <w:r>
              <w:rPr>
                <w:rFonts w:hint="eastAsia"/>
                <w:kern w:val="0"/>
                <w:sz w:val="18"/>
                <w:szCs w:val="18"/>
                <w:vertAlign w:val="superscript"/>
              </w:rPr>
              <w:t>b</w:t>
            </w:r>
          </w:p>
        </w:tc>
      </w:tr>
      <w:tr w14:paraId="4ADE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4BB20B54">
            <w:pPr>
              <w:jc w:val="center"/>
              <w:rPr>
                <w:kern w:val="0"/>
                <w:sz w:val="18"/>
                <w:szCs w:val="18"/>
              </w:rPr>
            </w:pPr>
          </w:p>
        </w:tc>
        <w:tc>
          <w:tcPr>
            <w:tcW w:w="1559" w:type="dxa"/>
            <w:vAlign w:val="center"/>
          </w:tcPr>
          <w:p w14:paraId="524057D0">
            <w:pPr>
              <w:kinsoku w:val="0"/>
              <w:overflowPunct w:val="0"/>
              <w:autoSpaceDE w:val="0"/>
              <w:autoSpaceDN w:val="0"/>
              <w:adjustRightInd w:val="0"/>
              <w:snapToGrid w:val="0"/>
              <w:jc w:val="center"/>
              <w:rPr>
                <w:kern w:val="0"/>
                <w:sz w:val="18"/>
                <w:szCs w:val="18"/>
              </w:rPr>
            </w:pPr>
            <w:r>
              <w:rPr>
                <w:kern w:val="0"/>
                <w:sz w:val="18"/>
                <w:szCs w:val="18"/>
              </w:rPr>
              <w:t>洗精煤</w:t>
            </w:r>
          </w:p>
        </w:tc>
        <w:tc>
          <w:tcPr>
            <w:tcW w:w="1012" w:type="dxa"/>
            <w:vAlign w:val="center"/>
          </w:tcPr>
          <w:p w14:paraId="2FC9A229">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540C9A42">
            <w:pPr>
              <w:jc w:val="center"/>
              <w:rPr>
                <w:kern w:val="0"/>
                <w:sz w:val="18"/>
                <w:szCs w:val="18"/>
              </w:rPr>
            </w:pPr>
            <w:r>
              <w:rPr>
                <w:kern w:val="0"/>
                <w:sz w:val="18"/>
                <w:szCs w:val="18"/>
              </w:rPr>
              <w:t>26.3</w:t>
            </w:r>
            <w:r>
              <w:rPr>
                <w:rFonts w:hint="eastAsia"/>
                <w:kern w:val="0"/>
                <w:sz w:val="18"/>
                <w:szCs w:val="18"/>
              </w:rPr>
              <w:t>4</w:t>
            </w:r>
            <w:r>
              <w:rPr>
                <w:kern w:val="0"/>
                <w:sz w:val="18"/>
                <w:szCs w:val="18"/>
              </w:rPr>
              <w:t>4</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3A207331">
            <w:pPr>
              <w:jc w:val="center"/>
              <w:rPr>
                <w:kern w:val="0"/>
                <w:sz w:val="18"/>
                <w:szCs w:val="18"/>
              </w:rPr>
            </w:pPr>
            <w:r>
              <w:rPr>
                <w:kern w:val="0"/>
                <w:sz w:val="18"/>
                <w:szCs w:val="18"/>
              </w:rPr>
              <w:t>25.41</w:t>
            </w:r>
            <w:r>
              <w:rPr>
                <w:rFonts w:hint="eastAsia"/>
                <w:kern w:val="0"/>
                <w:sz w:val="18"/>
                <w:szCs w:val="18"/>
                <w:vertAlign w:val="superscript"/>
              </w:rPr>
              <w:t>b</w:t>
            </w:r>
            <w:r>
              <w:rPr>
                <w:kern w:val="0"/>
                <w:sz w:val="18"/>
                <w:szCs w:val="18"/>
              </w:rPr>
              <w:t>×10</w:t>
            </w:r>
            <w:r>
              <w:rPr>
                <w:kern w:val="0"/>
                <w:sz w:val="18"/>
                <w:szCs w:val="18"/>
                <w:vertAlign w:val="superscript"/>
              </w:rPr>
              <w:t>-3</w:t>
            </w:r>
            <w:r>
              <w:rPr>
                <w:rFonts w:hint="eastAsia"/>
                <w:kern w:val="0"/>
                <w:sz w:val="18"/>
                <w:szCs w:val="18"/>
                <w:vertAlign w:val="superscript"/>
              </w:rPr>
              <w:t xml:space="preserve"> </w:t>
            </w:r>
          </w:p>
        </w:tc>
        <w:tc>
          <w:tcPr>
            <w:tcW w:w="1407" w:type="dxa"/>
            <w:vAlign w:val="center"/>
          </w:tcPr>
          <w:p w14:paraId="089796ED">
            <w:pPr>
              <w:jc w:val="center"/>
              <w:rPr>
                <w:kern w:val="0"/>
                <w:sz w:val="18"/>
                <w:szCs w:val="18"/>
              </w:rPr>
            </w:pPr>
            <w:r>
              <w:rPr>
                <w:kern w:val="0"/>
                <w:sz w:val="18"/>
                <w:szCs w:val="18"/>
              </w:rPr>
              <w:t>90</w:t>
            </w:r>
            <w:r>
              <w:rPr>
                <w:rFonts w:hint="eastAsia"/>
                <w:kern w:val="0"/>
                <w:sz w:val="18"/>
                <w:szCs w:val="18"/>
                <w:vertAlign w:val="superscript"/>
              </w:rPr>
              <w:t>d</w:t>
            </w:r>
          </w:p>
        </w:tc>
      </w:tr>
      <w:tr w14:paraId="4D1E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0E3C2A0F">
            <w:pPr>
              <w:jc w:val="center"/>
              <w:rPr>
                <w:kern w:val="0"/>
                <w:sz w:val="18"/>
                <w:szCs w:val="18"/>
              </w:rPr>
            </w:pPr>
          </w:p>
        </w:tc>
        <w:tc>
          <w:tcPr>
            <w:tcW w:w="1559" w:type="dxa"/>
            <w:vAlign w:val="center"/>
          </w:tcPr>
          <w:p w14:paraId="119483DD">
            <w:pPr>
              <w:kinsoku w:val="0"/>
              <w:overflowPunct w:val="0"/>
              <w:autoSpaceDE w:val="0"/>
              <w:autoSpaceDN w:val="0"/>
              <w:adjustRightInd w:val="0"/>
              <w:snapToGrid w:val="0"/>
              <w:jc w:val="center"/>
              <w:rPr>
                <w:kern w:val="0"/>
                <w:sz w:val="18"/>
                <w:szCs w:val="18"/>
              </w:rPr>
            </w:pPr>
            <w:r>
              <w:rPr>
                <w:kern w:val="0"/>
                <w:sz w:val="18"/>
                <w:szCs w:val="18"/>
              </w:rPr>
              <w:t>其他洗煤</w:t>
            </w:r>
          </w:p>
        </w:tc>
        <w:tc>
          <w:tcPr>
            <w:tcW w:w="1012" w:type="dxa"/>
            <w:vAlign w:val="center"/>
          </w:tcPr>
          <w:p w14:paraId="0E4CB286">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5B1BD2A4">
            <w:pPr>
              <w:jc w:val="center"/>
              <w:rPr>
                <w:kern w:val="0"/>
                <w:sz w:val="18"/>
                <w:szCs w:val="18"/>
              </w:rPr>
            </w:pPr>
            <w:r>
              <w:rPr>
                <w:kern w:val="0"/>
                <w:sz w:val="18"/>
                <w:szCs w:val="18"/>
              </w:rPr>
              <w:t>12.545</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4CC70C67">
            <w:pPr>
              <w:jc w:val="center"/>
              <w:rPr>
                <w:kern w:val="0"/>
                <w:sz w:val="18"/>
                <w:szCs w:val="18"/>
              </w:rPr>
            </w:pPr>
            <w:r>
              <w:rPr>
                <w:kern w:val="0"/>
                <w:sz w:val="18"/>
                <w:szCs w:val="18"/>
              </w:rPr>
              <w:t>25.41</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14BA93EC">
            <w:pPr>
              <w:jc w:val="center"/>
              <w:rPr>
                <w:kern w:val="0"/>
                <w:sz w:val="18"/>
                <w:szCs w:val="18"/>
              </w:rPr>
            </w:pPr>
            <w:r>
              <w:rPr>
                <w:kern w:val="0"/>
                <w:sz w:val="18"/>
                <w:szCs w:val="18"/>
              </w:rPr>
              <w:t>90</w:t>
            </w:r>
            <w:r>
              <w:rPr>
                <w:rFonts w:hint="eastAsia"/>
                <w:kern w:val="0"/>
                <w:sz w:val="18"/>
                <w:szCs w:val="18"/>
                <w:vertAlign w:val="superscript"/>
              </w:rPr>
              <w:t>d</w:t>
            </w:r>
          </w:p>
        </w:tc>
      </w:tr>
      <w:tr w14:paraId="7A5D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45DC9BCB">
            <w:pPr>
              <w:jc w:val="center"/>
              <w:rPr>
                <w:kern w:val="0"/>
                <w:sz w:val="18"/>
                <w:szCs w:val="18"/>
              </w:rPr>
            </w:pPr>
          </w:p>
        </w:tc>
        <w:tc>
          <w:tcPr>
            <w:tcW w:w="1559" w:type="dxa"/>
            <w:vAlign w:val="center"/>
          </w:tcPr>
          <w:p w14:paraId="25A76EEA">
            <w:pPr>
              <w:kinsoku w:val="0"/>
              <w:overflowPunct w:val="0"/>
              <w:autoSpaceDE w:val="0"/>
              <w:autoSpaceDN w:val="0"/>
              <w:adjustRightInd w:val="0"/>
              <w:snapToGrid w:val="0"/>
              <w:jc w:val="center"/>
              <w:rPr>
                <w:kern w:val="0"/>
                <w:sz w:val="18"/>
                <w:szCs w:val="18"/>
              </w:rPr>
            </w:pPr>
            <w:r>
              <w:rPr>
                <w:kern w:val="0"/>
                <w:sz w:val="18"/>
                <w:szCs w:val="18"/>
              </w:rPr>
              <w:t>石油焦</w:t>
            </w:r>
          </w:p>
        </w:tc>
        <w:tc>
          <w:tcPr>
            <w:tcW w:w="1012" w:type="dxa"/>
            <w:vAlign w:val="center"/>
          </w:tcPr>
          <w:p w14:paraId="02455357">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28056F6F">
            <w:pPr>
              <w:jc w:val="center"/>
              <w:rPr>
                <w:kern w:val="0"/>
                <w:sz w:val="18"/>
                <w:szCs w:val="18"/>
              </w:rPr>
            </w:pPr>
            <w:r>
              <w:rPr>
                <w:kern w:val="0"/>
                <w:sz w:val="18"/>
                <w:szCs w:val="18"/>
              </w:rPr>
              <w:t>32.5</w:t>
            </w:r>
            <w:r>
              <w:rPr>
                <w:rFonts w:hint="eastAsia"/>
                <w:kern w:val="0"/>
                <w:sz w:val="18"/>
                <w:szCs w:val="18"/>
                <w:vertAlign w:val="superscript"/>
              </w:rPr>
              <w:t>c</w:t>
            </w:r>
          </w:p>
        </w:tc>
        <w:tc>
          <w:tcPr>
            <w:tcW w:w="1701" w:type="dxa"/>
            <w:vAlign w:val="center"/>
          </w:tcPr>
          <w:p w14:paraId="4F07DB03">
            <w:pPr>
              <w:jc w:val="center"/>
              <w:rPr>
                <w:kern w:val="0"/>
                <w:sz w:val="18"/>
                <w:szCs w:val="18"/>
              </w:rPr>
            </w:pPr>
            <w:r>
              <w:rPr>
                <w:kern w:val="0"/>
                <w:sz w:val="18"/>
                <w:szCs w:val="18"/>
              </w:rPr>
              <w:t>27.5</w:t>
            </w:r>
            <w:r>
              <w:rPr>
                <w:rFonts w:hint="eastAsia"/>
                <w:kern w:val="0"/>
                <w:sz w:val="18"/>
                <w:szCs w:val="18"/>
              </w:rPr>
              <w:t>0</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6BCBA391">
            <w:pPr>
              <w:jc w:val="center"/>
              <w:rPr>
                <w:kern w:val="0"/>
                <w:sz w:val="18"/>
                <w:szCs w:val="18"/>
              </w:rPr>
            </w:pPr>
            <w:r>
              <w:rPr>
                <w:kern w:val="0"/>
                <w:sz w:val="18"/>
                <w:szCs w:val="18"/>
              </w:rPr>
              <w:t>98</w:t>
            </w:r>
            <w:r>
              <w:rPr>
                <w:rFonts w:hint="eastAsia"/>
                <w:kern w:val="0"/>
                <w:sz w:val="18"/>
                <w:szCs w:val="18"/>
                <w:vertAlign w:val="superscript"/>
              </w:rPr>
              <w:t>b</w:t>
            </w:r>
          </w:p>
        </w:tc>
      </w:tr>
      <w:tr w14:paraId="4F4F8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78863548">
            <w:pPr>
              <w:jc w:val="center"/>
              <w:rPr>
                <w:kern w:val="0"/>
                <w:sz w:val="18"/>
                <w:szCs w:val="18"/>
              </w:rPr>
            </w:pPr>
          </w:p>
        </w:tc>
        <w:tc>
          <w:tcPr>
            <w:tcW w:w="1559" w:type="dxa"/>
            <w:vAlign w:val="center"/>
          </w:tcPr>
          <w:p w14:paraId="762E7514">
            <w:pPr>
              <w:kinsoku w:val="0"/>
              <w:overflowPunct w:val="0"/>
              <w:autoSpaceDE w:val="0"/>
              <w:autoSpaceDN w:val="0"/>
              <w:adjustRightInd w:val="0"/>
              <w:snapToGrid w:val="0"/>
              <w:jc w:val="center"/>
              <w:rPr>
                <w:kern w:val="0"/>
                <w:sz w:val="18"/>
                <w:szCs w:val="18"/>
              </w:rPr>
            </w:pPr>
            <w:r>
              <w:rPr>
                <w:kern w:val="0"/>
                <w:sz w:val="18"/>
                <w:szCs w:val="18"/>
              </w:rPr>
              <w:t>其他煤制品</w:t>
            </w:r>
          </w:p>
        </w:tc>
        <w:tc>
          <w:tcPr>
            <w:tcW w:w="1012" w:type="dxa"/>
            <w:vAlign w:val="center"/>
          </w:tcPr>
          <w:p w14:paraId="39296A12">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7B5F52B7">
            <w:pPr>
              <w:jc w:val="center"/>
              <w:rPr>
                <w:kern w:val="0"/>
                <w:sz w:val="18"/>
                <w:szCs w:val="18"/>
              </w:rPr>
            </w:pPr>
            <w:r>
              <w:rPr>
                <w:kern w:val="0"/>
                <w:sz w:val="18"/>
                <w:szCs w:val="18"/>
              </w:rPr>
              <w:t>17.460</w:t>
            </w:r>
            <w:r>
              <w:rPr>
                <w:rFonts w:hint="eastAsia"/>
                <w:kern w:val="0"/>
                <w:sz w:val="18"/>
                <w:szCs w:val="18"/>
                <w:vertAlign w:val="superscript"/>
              </w:rPr>
              <w:t>d</w:t>
            </w:r>
          </w:p>
        </w:tc>
        <w:tc>
          <w:tcPr>
            <w:tcW w:w="1701" w:type="dxa"/>
            <w:vAlign w:val="center"/>
          </w:tcPr>
          <w:p w14:paraId="42A5D68B">
            <w:pPr>
              <w:jc w:val="center"/>
              <w:rPr>
                <w:kern w:val="0"/>
                <w:sz w:val="18"/>
                <w:szCs w:val="18"/>
              </w:rPr>
            </w:pPr>
            <w:r>
              <w:rPr>
                <w:kern w:val="0"/>
                <w:sz w:val="18"/>
                <w:szCs w:val="18"/>
              </w:rPr>
              <w:t>33.6</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5B6BF81B">
            <w:pPr>
              <w:jc w:val="center"/>
              <w:rPr>
                <w:kern w:val="0"/>
                <w:sz w:val="18"/>
                <w:szCs w:val="18"/>
              </w:rPr>
            </w:pPr>
            <w:r>
              <w:rPr>
                <w:kern w:val="0"/>
                <w:sz w:val="18"/>
                <w:szCs w:val="18"/>
              </w:rPr>
              <w:t>98</w:t>
            </w:r>
            <w:r>
              <w:rPr>
                <w:rFonts w:hint="eastAsia"/>
                <w:kern w:val="0"/>
                <w:sz w:val="18"/>
                <w:szCs w:val="18"/>
                <w:vertAlign w:val="superscript"/>
              </w:rPr>
              <w:t>b</w:t>
            </w:r>
          </w:p>
        </w:tc>
      </w:tr>
      <w:tr w14:paraId="3F44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18E6D520">
            <w:pPr>
              <w:jc w:val="center"/>
              <w:rPr>
                <w:kern w:val="0"/>
                <w:sz w:val="18"/>
                <w:szCs w:val="18"/>
              </w:rPr>
            </w:pPr>
          </w:p>
        </w:tc>
        <w:tc>
          <w:tcPr>
            <w:tcW w:w="1559" w:type="dxa"/>
            <w:vAlign w:val="center"/>
          </w:tcPr>
          <w:p w14:paraId="4ED580F4">
            <w:pPr>
              <w:kinsoku w:val="0"/>
              <w:overflowPunct w:val="0"/>
              <w:autoSpaceDE w:val="0"/>
              <w:autoSpaceDN w:val="0"/>
              <w:adjustRightInd w:val="0"/>
              <w:snapToGrid w:val="0"/>
              <w:jc w:val="center"/>
              <w:rPr>
                <w:kern w:val="0"/>
                <w:sz w:val="18"/>
                <w:szCs w:val="18"/>
              </w:rPr>
            </w:pPr>
            <w:r>
              <w:rPr>
                <w:kern w:val="0"/>
                <w:sz w:val="18"/>
                <w:szCs w:val="18"/>
              </w:rPr>
              <w:t>焦炭</w:t>
            </w:r>
          </w:p>
        </w:tc>
        <w:tc>
          <w:tcPr>
            <w:tcW w:w="1012" w:type="dxa"/>
            <w:vAlign w:val="center"/>
          </w:tcPr>
          <w:p w14:paraId="0B9D2D36">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614FC711">
            <w:pPr>
              <w:jc w:val="center"/>
              <w:rPr>
                <w:kern w:val="0"/>
                <w:sz w:val="18"/>
                <w:szCs w:val="18"/>
              </w:rPr>
            </w:pPr>
            <w:r>
              <w:rPr>
                <w:kern w:val="0"/>
                <w:sz w:val="18"/>
                <w:szCs w:val="18"/>
              </w:rPr>
              <w:t>28.435</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026661D0">
            <w:pPr>
              <w:jc w:val="center"/>
              <w:rPr>
                <w:kern w:val="0"/>
                <w:sz w:val="18"/>
                <w:szCs w:val="18"/>
              </w:rPr>
            </w:pPr>
            <w:r>
              <w:rPr>
                <w:kern w:val="0"/>
                <w:sz w:val="18"/>
                <w:szCs w:val="18"/>
              </w:rPr>
              <w:t>29.5</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1CE7BCD3">
            <w:pPr>
              <w:jc w:val="center"/>
              <w:rPr>
                <w:kern w:val="0"/>
                <w:sz w:val="18"/>
                <w:szCs w:val="18"/>
              </w:rPr>
            </w:pPr>
            <w:r>
              <w:rPr>
                <w:kern w:val="0"/>
                <w:sz w:val="18"/>
                <w:szCs w:val="18"/>
              </w:rPr>
              <w:t>93</w:t>
            </w:r>
            <w:r>
              <w:rPr>
                <w:rFonts w:hint="eastAsia"/>
                <w:kern w:val="0"/>
                <w:sz w:val="18"/>
                <w:szCs w:val="18"/>
                <w:vertAlign w:val="superscript"/>
              </w:rPr>
              <w:t>b</w:t>
            </w:r>
          </w:p>
        </w:tc>
      </w:tr>
      <w:tr w14:paraId="0DA23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restart"/>
            <w:vAlign w:val="center"/>
          </w:tcPr>
          <w:p w14:paraId="221CD327">
            <w:pPr>
              <w:rPr>
                <w:kern w:val="0"/>
                <w:sz w:val="18"/>
                <w:szCs w:val="18"/>
              </w:rPr>
            </w:pPr>
            <w:r>
              <w:rPr>
                <w:kern w:val="0"/>
                <w:sz w:val="18"/>
                <w:szCs w:val="18"/>
              </w:rPr>
              <w:t>液体燃料</w:t>
            </w:r>
          </w:p>
        </w:tc>
        <w:tc>
          <w:tcPr>
            <w:tcW w:w="1559" w:type="dxa"/>
            <w:vAlign w:val="center"/>
          </w:tcPr>
          <w:p w14:paraId="4B230B40">
            <w:pPr>
              <w:kinsoku w:val="0"/>
              <w:overflowPunct w:val="0"/>
              <w:autoSpaceDE w:val="0"/>
              <w:autoSpaceDN w:val="0"/>
              <w:adjustRightInd w:val="0"/>
              <w:snapToGrid w:val="0"/>
              <w:jc w:val="center"/>
              <w:rPr>
                <w:kern w:val="0"/>
                <w:sz w:val="18"/>
                <w:szCs w:val="18"/>
              </w:rPr>
            </w:pPr>
            <w:r>
              <w:rPr>
                <w:kern w:val="0"/>
                <w:sz w:val="18"/>
                <w:szCs w:val="18"/>
              </w:rPr>
              <w:t>原油</w:t>
            </w:r>
          </w:p>
        </w:tc>
        <w:tc>
          <w:tcPr>
            <w:tcW w:w="1012" w:type="dxa"/>
            <w:vAlign w:val="center"/>
          </w:tcPr>
          <w:p w14:paraId="6AAA3797">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27533FF8">
            <w:pPr>
              <w:jc w:val="center"/>
              <w:rPr>
                <w:kern w:val="0"/>
                <w:sz w:val="18"/>
                <w:szCs w:val="18"/>
              </w:rPr>
            </w:pPr>
            <w:r>
              <w:rPr>
                <w:kern w:val="0"/>
                <w:sz w:val="18"/>
                <w:szCs w:val="18"/>
              </w:rPr>
              <w:t>41.816</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72401F5C">
            <w:pPr>
              <w:jc w:val="center"/>
              <w:rPr>
                <w:kern w:val="0"/>
                <w:sz w:val="18"/>
                <w:szCs w:val="18"/>
              </w:rPr>
            </w:pPr>
            <w:r>
              <w:rPr>
                <w:kern w:val="0"/>
                <w:sz w:val="18"/>
                <w:szCs w:val="18"/>
              </w:rPr>
              <w:t>20.1</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274D2E53">
            <w:pPr>
              <w:jc w:val="center"/>
              <w:rPr>
                <w:kern w:val="0"/>
                <w:sz w:val="18"/>
                <w:szCs w:val="18"/>
              </w:rPr>
            </w:pPr>
            <w:r>
              <w:rPr>
                <w:kern w:val="0"/>
                <w:sz w:val="18"/>
                <w:szCs w:val="18"/>
              </w:rPr>
              <w:t>98</w:t>
            </w:r>
            <w:r>
              <w:rPr>
                <w:rFonts w:hint="eastAsia"/>
                <w:kern w:val="0"/>
                <w:sz w:val="18"/>
                <w:szCs w:val="18"/>
                <w:vertAlign w:val="superscript"/>
              </w:rPr>
              <w:t>b</w:t>
            </w:r>
          </w:p>
        </w:tc>
      </w:tr>
      <w:tr w14:paraId="4A87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0745BDF8">
            <w:pPr>
              <w:jc w:val="center"/>
              <w:rPr>
                <w:kern w:val="0"/>
                <w:sz w:val="18"/>
                <w:szCs w:val="18"/>
              </w:rPr>
            </w:pPr>
          </w:p>
        </w:tc>
        <w:tc>
          <w:tcPr>
            <w:tcW w:w="1559" w:type="dxa"/>
            <w:vAlign w:val="center"/>
          </w:tcPr>
          <w:p w14:paraId="262CFAC5">
            <w:pPr>
              <w:kinsoku w:val="0"/>
              <w:overflowPunct w:val="0"/>
              <w:autoSpaceDE w:val="0"/>
              <w:autoSpaceDN w:val="0"/>
              <w:adjustRightInd w:val="0"/>
              <w:snapToGrid w:val="0"/>
              <w:jc w:val="center"/>
              <w:rPr>
                <w:kern w:val="0"/>
                <w:sz w:val="18"/>
                <w:szCs w:val="18"/>
              </w:rPr>
            </w:pPr>
            <w:r>
              <w:rPr>
                <w:kern w:val="0"/>
                <w:sz w:val="18"/>
                <w:szCs w:val="18"/>
              </w:rPr>
              <w:t>燃料油</w:t>
            </w:r>
          </w:p>
        </w:tc>
        <w:tc>
          <w:tcPr>
            <w:tcW w:w="1012" w:type="dxa"/>
            <w:vAlign w:val="center"/>
          </w:tcPr>
          <w:p w14:paraId="6D15A381">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2628D176">
            <w:pPr>
              <w:jc w:val="center"/>
              <w:rPr>
                <w:kern w:val="0"/>
                <w:sz w:val="18"/>
                <w:szCs w:val="18"/>
              </w:rPr>
            </w:pPr>
            <w:r>
              <w:rPr>
                <w:kern w:val="0"/>
                <w:sz w:val="18"/>
                <w:szCs w:val="18"/>
              </w:rPr>
              <w:t>41.816</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2C75A4A1">
            <w:pPr>
              <w:jc w:val="center"/>
              <w:rPr>
                <w:kern w:val="0"/>
                <w:sz w:val="18"/>
                <w:szCs w:val="18"/>
              </w:rPr>
            </w:pPr>
            <w:r>
              <w:rPr>
                <w:kern w:val="0"/>
                <w:sz w:val="18"/>
                <w:szCs w:val="18"/>
              </w:rPr>
              <w:t>21.1</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7BFA9C01">
            <w:pPr>
              <w:jc w:val="center"/>
              <w:rPr>
                <w:kern w:val="0"/>
                <w:sz w:val="18"/>
                <w:szCs w:val="18"/>
              </w:rPr>
            </w:pPr>
            <w:r>
              <w:rPr>
                <w:kern w:val="0"/>
                <w:sz w:val="18"/>
                <w:szCs w:val="18"/>
              </w:rPr>
              <w:t>98</w:t>
            </w:r>
            <w:r>
              <w:rPr>
                <w:rFonts w:hint="eastAsia"/>
                <w:kern w:val="0"/>
                <w:sz w:val="18"/>
                <w:szCs w:val="18"/>
                <w:vertAlign w:val="superscript"/>
              </w:rPr>
              <w:t>b</w:t>
            </w:r>
          </w:p>
        </w:tc>
      </w:tr>
      <w:tr w14:paraId="3C74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667510F6">
            <w:pPr>
              <w:jc w:val="center"/>
              <w:rPr>
                <w:kern w:val="0"/>
                <w:sz w:val="18"/>
                <w:szCs w:val="18"/>
              </w:rPr>
            </w:pPr>
          </w:p>
        </w:tc>
        <w:tc>
          <w:tcPr>
            <w:tcW w:w="1559" w:type="dxa"/>
            <w:vAlign w:val="center"/>
          </w:tcPr>
          <w:p w14:paraId="770888A4">
            <w:pPr>
              <w:kinsoku w:val="0"/>
              <w:overflowPunct w:val="0"/>
              <w:autoSpaceDE w:val="0"/>
              <w:autoSpaceDN w:val="0"/>
              <w:adjustRightInd w:val="0"/>
              <w:snapToGrid w:val="0"/>
              <w:jc w:val="center"/>
              <w:rPr>
                <w:kern w:val="0"/>
                <w:sz w:val="18"/>
                <w:szCs w:val="18"/>
              </w:rPr>
            </w:pPr>
            <w:r>
              <w:rPr>
                <w:kern w:val="0"/>
                <w:sz w:val="18"/>
                <w:szCs w:val="18"/>
              </w:rPr>
              <w:t>汽油</w:t>
            </w:r>
          </w:p>
        </w:tc>
        <w:tc>
          <w:tcPr>
            <w:tcW w:w="1012" w:type="dxa"/>
            <w:vAlign w:val="center"/>
          </w:tcPr>
          <w:p w14:paraId="014EEAAB">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7A01C57A">
            <w:pPr>
              <w:jc w:val="center"/>
              <w:rPr>
                <w:kern w:val="0"/>
                <w:sz w:val="18"/>
                <w:szCs w:val="18"/>
              </w:rPr>
            </w:pPr>
            <w:r>
              <w:rPr>
                <w:kern w:val="0"/>
                <w:sz w:val="18"/>
                <w:szCs w:val="18"/>
              </w:rPr>
              <w:t>43.070</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43F5D337">
            <w:pPr>
              <w:jc w:val="center"/>
              <w:rPr>
                <w:kern w:val="0"/>
                <w:sz w:val="18"/>
                <w:szCs w:val="18"/>
              </w:rPr>
            </w:pPr>
            <w:r>
              <w:rPr>
                <w:kern w:val="0"/>
                <w:sz w:val="18"/>
                <w:szCs w:val="18"/>
              </w:rPr>
              <w:t>18.9</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1F4478F3">
            <w:pPr>
              <w:jc w:val="center"/>
              <w:rPr>
                <w:kern w:val="0"/>
                <w:sz w:val="18"/>
                <w:szCs w:val="18"/>
              </w:rPr>
            </w:pPr>
            <w:r>
              <w:rPr>
                <w:kern w:val="0"/>
                <w:sz w:val="18"/>
                <w:szCs w:val="18"/>
              </w:rPr>
              <w:t>98</w:t>
            </w:r>
            <w:r>
              <w:rPr>
                <w:rFonts w:hint="eastAsia"/>
                <w:kern w:val="0"/>
                <w:sz w:val="18"/>
                <w:szCs w:val="18"/>
                <w:vertAlign w:val="superscript"/>
              </w:rPr>
              <w:t>b</w:t>
            </w:r>
          </w:p>
        </w:tc>
      </w:tr>
      <w:tr w14:paraId="7E1D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7181171E">
            <w:pPr>
              <w:jc w:val="center"/>
              <w:rPr>
                <w:kern w:val="0"/>
                <w:sz w:val="18"/>
                <w:szCs w:val="18"/>
              </w:rPr>
            </w:pPr>
          </w:p>
        </w:tc>
        <w:tc>
          <w:tcPr>
            <w:tcW w:w="1559" w:type="dxa"/>
            <w:vAlign w:val="center"/>
          </w:tcPr>
          <w:p w14:paraId="2B757D99">
            <w:pPr>
              <w:kinsoku w:val="0"/>
              <w:overflowPunct w:val="0"/>
              <w:autoSpaceDE w:val="0"/>
              <w:autoSpaceDN w:val="0"/>
              <w:adjustRightInd w:val="0"/>
              <w:snapToGrid w:val="0"/>
              <w:jc w:val="center"/>
              <w:rPr>
                <w:kern w:val="0"/>
                <w:sz w:val="18"/>
                <w:szCs w:val="18"/>
              </w:rPr>
            </w:pPr>
            <w:r>
              <w:rPr>
                <w:kern w:val="0"/>
                <w:sz w:val="18"/>
                <w:szCs w:val="18"/>
              </w:rPr>
              <w:t>柴油</w:t>
            </w:r>
          </w:p>
        </w:tc>
        <w:tc>
          <w:tcPr>
            <w:tcW w:w="1012" w:type="dxa"/>
            <w:vAlign w:val="center"/>
          </w:tcPr>
          <w:p w14:paraId="18BE88EC">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0D247BD4">
            <w:pPr>
              <w:jc w:val="center"/>
              <w:rPr>
                <w:kern w:val="0"/>
                <w:sz w:val="18"/>
                <w:szCs w:val="18"/>
              </w:rPr>
            </w:pPr>
            <w:r>
              <w:rPr>
                <w:kern w:val="0"/>
                <w:sz w:val="18"/>
                <w:szCs w:val="18"/>
              </w:rPr>
              <w:t>42.652</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52A2F418">
            <w:pPr>
              <w:jc w:val="center"/>
              <w:rPr>
                <w:kern w:val="0"/>
                <w:sz w:val="18"/>
                <w:szCs w:val="18"/>
              </w:rPr>
            </w:pPr>
            <w:r>
              <w:rPr>
                <w:kern w:val="0"/>
                <w:sz w:val="18"/>
                <w:szCs w:val="18"/>
              </w:rPr>
              <w:t>20.2</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1C6DD1B6">
            <w:pPr>
              <w:jc w:val="center"/>
              <w:rPr>
                <w:kern w:val="0"/>
                <w:sz w:val="18"/>
                <w:szCs w:val="18"/>
              </w:rPr>
            </w:pPr>
            <w:r>
              <w:rPr>
                <w:kern w:val="0"/>
                <w:sz w:val="18"/>
                <w:szCs w:val="18"/>
              </w:rPr>
              <w:t>98</w:t>
            </w:r>
            <w:r>
              <w:rPr>
                <w:rFonts w:hint="eastAsia"/>
                <w:kern w:val="0"/>
                <w:sz w:val="18"/>
                <w:szCs w:val="18"/>
                <w:vertAlign w:val="superscript"/>
              </w:rPr>
              <w:t>b</w:t>
            </w:r>
          </w:p>
        </w:tc>
      </w:tr>
      <w:tr w14:paraId="11DC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263CA3E7">
            <w:pPr>
              <w:jc w:val="center"/>
              <w:rPr>
                <w:kern w:val="0"/>
                <w:sz w:val="18"/>
                <w:szCs w:val="18"/>
              </w:rPr>
            </w:pPr>
          </w:p>
        </w:tc>
        <w:tc>
          <w:tcPr>
            <w:tcW w:w="1559" w:type="dxa"/>
            <w:vAlign w:val="center"/>
          </w:tcPr>
          <w:p w14:paraId="4BEAC6A1">
            <w:pPr>
              <w:kinsoku w:val="0"/>
              <w:overflowPunct w:val="0"/>
              <w:autoSpaceDE w:val="0"/>
              <w:autoSpaceDN w:val="0"/>
              <w:adjustRightInd w:val="0"/>
              <w:snapToGrid w:val="0"/>
              <w:jc w:val="center"/>
              <w:rPr>
                <w:kern w:val="0"/>
                <w:sz w:val="18"/>
                <w:szCs w:val="18"/>
              </w:rPr>
            </w:pPr>
            <w:r>
              <w:rPr>
                <w:kern w:val="0"/>
                <w:sz w:val="18"/>
                <w:szCs w:val="18"/>
              </w:rPr>
              <w:t>煤油</w:t>
            </w:r>
          </w:p>
        </w:tc>
        <w:tc>
          <w:tcPr>
            <w:tcW w:w="1012" w:type="dxa"/>
            <w:vAlign w:val="center"/>
          </w:tcPr>
          <w:p w14:paraId="0DFC2C0A">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17D2ED78">
            <w:pPr>
              <w:jc w:val="center"/>
              <w:rPr>
                <w:kern w:val="0"/>
                <w:sz w:val="18"/>
                <w:szCs w:val="18"/>
              </w:rPr>
            </w:pPr>
            <w:r>
              <w:rPr>
                <w:kern w:val="0"/>
                <w:sz w:val="18"/>
                <w:szCs w:val="18"/>
              </w:rPr>
              <w:t>43.070</w:t>
            </w:r>
            <w:r>
              <w:rPr>
                <w:rFonts w:hint="eastAsia"/>
                <w:kern w:val="0"/>
                <w:sz w:val="18"/>
                <w:szCs w:val="18"/>
                <w:vertAlign w:val="superscript"/>
              </w:rPr>
              <w:t>a</w:t>
            </w:r>
          </w:p>
        </w:tc>
        <w:tc>
          <w:tcPr>
            <w:tcW w:w="1701" w:type="dxa"/>
            <w:vAlign w:val="center"/>
          </w:tcPr>
          <w:p w14:paraId="1C506586">
            <w:pPr>
              <w:jc w:val="center"/>
              <w:rPr>
                <w:kern w:val="0"/>
                <w:sz w:val="18"/>
                <w:szCs w:val="18"/>
              </w:rPr>
            </w:pPr>
            <w:r>
              <w:rPr>
                <w:kern w:val="0"/>
                <w:sz w:val="18"/>
                <w:szCs w:val="18"/>
              </w:rPr>
              <w:t>19.6</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564F4502">
            <w:pPr>
              <w:jc w:val="center"/>
              <w:rPr>
                <w:kern w:val="0"/>
                <w:sz w:val="18"/>
                <w:szCs w:val="18"/>
              </w:rPr>
            </w:pPr>
            <w:r>
              <w:rPr>
                <w:kern w:val="0"/>
                <w:sz w:val="18"/>
                <w:szCs w:val="18"/>
              </w:rPr>
              <w:t>98</w:t>
            </w:r>
            <w:r>
              <w:rPr>
                <w:rFonts w:hint="eastAsia"/>
                <w:kern w:val="0"/>
                <w:sz w:val="18"/>
                <w:szCs w:val="18"/>
                <w:vertAlign w:val="superscript"/>
              </w:rPr>
              <w:t>b</w:t>
            </w:r>
          </w:p>
        </w:tc>
      </w:tr>
      <w:tr w14:paraId="5EC3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exact"/>
          <w:jc w:val="center"/>
        </w:trPr>
        <w:tc>
          <w:tcPr>
            <w:tcW w:w="988" w:type="dxa"/>
            <w:vMerge w:val="continue"/>
            <w:vAlign w:val="center"/>
          </w:tcPr>
          <w:p w14:paraId="548725E7">
            <w:pPr>
              <w:jc w:val="center"/>
              <w:rPr>
                <w:kern w:val="0"/>
                <w:sz w:val="18"/>
                <w:szCs w:val="18"/>
              </w:rPr>
            </w:pPr>
          </w:p>
        </w:tc>
        <w:tc>
          <w:tcPr>
            <w:tcW w:w="1559" w:type="dxa"/>
            <w:vAlign w:val="center"/>
          </w:tcPr>
          <w:p w14:paraId="07051A49">
            <w:pPr>
              <w:kinsoku w:val="0"/>
              <w:overflowPunct w:val="0"/>
              <w:autoSpaceDE w:val="0"/>
              <w:autoSpaceDN w:val="0"/>
              <w:adjustRightInd w:val="0"/>
              <w:snapToGrid w:val="0"/>
              <w:jc w:val="center"/>
              <w:rPr>
                <w:kern w:val="0"/>
                <w:sz w:val="18"/>
                <w:szCs w:val="18"/>
              </w:rPr>
            </w:pPr>
            <w:r>
              <w:rPr>
                <w:kern w:val="0"/>
                <w:sz w:val="18"/>
                <w:szCs w:val="18"/>
              </w:rPr>
              <w:t>液化天然气</w:t>
            </w:r>
          </w:p>
        </w:tc>
        <w:tc>
          <w:tcPr>
            <w:tcW w:w="1012" w:type="dxa"/>
            <w:vAlign w:val="center"/>
          </w:tcPr>
          <w:p w14:paraId="7CEED66F">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1F358556">
            <w:pPr>
              <w:jc w:val="center"/>
              <w:rPr>
                <w:kern w:val="0"/>
                <w:sz w:val="18"/>
                <w:szCs w:val="18"/>
              </w:rPr>
            </w:pPr>
            <w:r>
              <w:rPr>
                <w:rFonts w:hint="eastAsia"/>
                <w:kern w:val="0"/>
                <w:sz w:val="18"/>
                <w:szCs w:val="18"/>
              </w:rPr>
              <w:t xml:space="preserve"> 51.498</w:t>
            </w:r>
            <w:r>
              <w:rPr>
                <w:rFonts w:hint="eastAsia"/>
                <w:kern w:val="0"/>
                <w:sz w:val="18"/>
                <w:szCs w:val="18"/>
                <w:vertAlign w:val="superscript"/>
              </w:rPr>
              <w:t>e</w:t>
            </w:r>
          </w:p>
        </w:tc>
        <w:tc>
          <w:tcPr>
            <w:tcW w:w="1701" w:type="dxa"/>
            <w:vAlign w:val="center"/>
          </w:tcPr>
          <w:p w14:paraId="720BF001">
            <w:pPr>
              <w:jc w:val="center"/>
              <w:rPr>
                <w:kern w:val="0"/>
                <w:sz w:val="18"/>
                <w:szCs w:val="18"/>
              </w:rPr>
            </w:pPr>
            <w:r>
              <w:rPr>
                <w:rFonts w:hint="eastAsia"/>
                <w:kern w:val="0"/>
                <w:sz w:val="18"/>
                <w:szCs w:val="18"/>
              </w:rPr>
              <w:t>15.3</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0957DC47">
            <w:pPr>
              <w:jc w:val="center"/>
              <w:rPr>
                <w:kern w:val="0"/>
                <w:sz w:val="18"/>
                <w:szCs w:val="18"/>
              </w:rPr>
            </w:pPr>
            <w:r>
              <w:rPr>
                <w:kern w:val="0"/>
                <w:sz w:val="18"/>
                <w:szCs w:val="18"/>
              </w:rPr>
              <w:t>98</w:t>
            </w:r>
            <w:r>
              <w:rPr>
                <w:rFonts w:hint="eastAsia"/>
                <w:kern w:val="0"/>
                <w:sz w:val="18"/>
                <w:szCs w:val="18"/>
                <w:vertAlign w:val="superscript"/>
              </w:rPr>
              <w:t>b</w:t>
            </w:r>
          </w:p>
        </w:tc>
      </w:tr>
      <w:tr w14:paraId="25F7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exact"/>
          <w:jc w:val="center"/>
        </w:trPr>
        <w:tc>
          <w:tcPr>
            <w:tcW w:w="988" w:type="dxa"/>
            <w:vMerge w:val="continue"/>
            <w:vAlign w:val="center"/>
          </w:tcPr>
          <w:p w14:paraId="047FA381">
            <w:pPr>
              <w:jc w:val="center"/>
              <w:rPr>
                <w:kern w:val="0"/>
                <w:sz w:val="18"/>
                <w:szCs w:val="18"/>
              </w:rPr>
            </w:pPr>
          </w:p>
        </w:tc>
        <w:tc>
          <w:tcPr>
            <w:tcW w:w="1559" w:type="dxa"/>
            <w:vAlign w:val="center"/>
          </w:tcPr>
          <w:p w14:paraId="091125E4">
            <w:pPr>
              <w:kinsoku w:val="0"/>
              <w:overflowPunct w:val="0"/>
              <w:autoSpaceDE w:val="0"/>
              <w:autoSpaceDN w:val="0"/>
              <w:adjustRightInd w:val="0"/>
              <w:snapToGrid w:val="0"/>
              <w:jc w:val="center"/>
              <w:rPr>
                <w:kern w:val="0"/>
                <w:sz w:val="18"/>
                <w:szCs w:val="18"/>
              </w:rPr>
            </w:pPr>
            <w:r>
              <w:rPr>
                <w:kern w:val="0"/>
                <w:sz w:val="18"/>
                <w:szCs w:val="18"/>
              </w:rPr>
              <w:t>液化石油气</w:t>
            </w:r>
          </w:p>
        </w:tc>
        <w:tc>
          <w:tcPr>
            <w:tcW w:w="1012" w:type="dxa"/>
            <w:vAlign w:val="center"/>
          </w:tcPr>
          <w:p w14:paraId="66F23422">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29A59CB3">
            <w:pPr>
              <w:jc w:val="center"/>
              <w:rPr>
                <w:kern w:val="0"/>
                <w:sz w:val="18"/>
                <w:szCs w:val="18"/>
              </w:rPr>
            </w:pPr>
            <w:r>
              <w:rPr>
                <w:kern w:val="0"/>
                <w:sz w:val="18"/>
                <w:szCs w:val="18"/>
              </w:rPr>
              <w:t>50.179</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5A12E563">
            <w:pPr>
              <w:jc w:val="center"/>
              <w:rPr>
                <w:kern w:val="0"/>
                <w:sz w:val="18"/>
                <w:szCs w:val="18"/>
              </w:rPr>
            </w:pPr>
            <w:r>
              <w:rPr>
                <w:kern w:val="0"/>
                <w:sz w:val="18"/>
                <w:szCs w:val="18"/>
              </w:rPr>
              <w:t>17.2</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5A32398F">
            <w:pPr>
              <w:jc w:val="center"/>
              <w:rPr>
                <w:kern w:val="0"/>
                <w:sz w:val="18"/>
                <w:szCs w:val="18"/>
              </w:rPr>
            </w:pPr>
            <w:r>
              <w:rPr>
                <w:kern w:val="0"/>
                <w:sz w:val="18"/>
                <w:szCs w:val="18"/>
              </w:rPr>
              <w:t>98</w:t>
            </w:r>
            <w:r>
              <w:rPr>
                <w:rFonts w:hint="eastAsia"/>
                <w:kern w:val="0"/>
                <w:sz w:val="18"/>
                <w:szCs w:val="18"/>
                <w:vertAlign w:val="superscript"/>
              </w:rPr>
              <w:t>b</w:t>
            </w:r>
          </w:p>
        </w:tc>
      </w:tr>
      <w:tr w14:paraId="0105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3ECD497D">
            <w:pPr>
              <w:jc w:val="center"/>
              <w:rPr>
                <w:kern w:val="0"/>
                <w:sz w:val="18"/>
                <w:szCs w:val="18"/>
              </w:rPr>
            </w:pPr>
          </w:p>
        </w:tc>
        <w:tc>
          <w:tcPr>
            <w:tcW w:w="1559" w:type="dxa"/>
            <w:vAlign w:val="center"/>
          </w:tcPr>
          <w:p w14:paraId="4FF27C94">
            <w:pPr>
              <w:kinsoku w:val="0"/>
              <w:overflowPunct w:val="0"/>
              <w:autoSpaceDE w:val="0"/>
              <w:autoSpaceDN w:val="0"/>
              <w:adjustRightInd w:val="0"/>
              <w:snapToGrid w:val="0"/>
              <w:jc w:val="center"/>
              <w:rPr>
                <w:kern w:val="0"/>
                <w:sz w:val="18"/>
                <w:szCs w:val="18"/>
              </w:rPr>
            </w:pPr>
            <w:r>
              <w:rPr>
                <w:rFonts w:hint="eastAsia"/>
                <w:kern w:val="0"/>
                <w:sz w:val="18"/>
                <w:szCs w:val="18"/>
              </w:rPr>
              <w:t>焦油</w:t>
            </w:r>
          </w:p>
        </w:tc>
        <w:tc>
          <w:tcPr>
            <w:tcW w:w="1012" w:type="dxa"/>
            <w:vAlign w:val="center"/>
          </w:tcPr>
          <w:p w14:paraId="4BE458F0">
            <w:pPr>
              <w:kinsoku w:val="0"/>
              <w:overflowPunct w:val="0"/>
              <w:autoSpaceDE w:val="0"/>
              <w:autoSpaceDN w:val="0"/>
              <w:adjustRightInd w:val="0"/>
              <w:snapToGrid w:val="0"/>
              <w:jc w:val="center"/>
              <w:rPr>
                <w:kern w:val="0"/>
                <w:sz w:val="18"/>
                <w:szCs w:val="18"/>
              </w:rPr>
            </w:pPr>
            <w:r>
              <w:rPr>
                <w:kern w:val="0"/>
                <w:sz w:val="18"/>
                <w:szCs w:val="18"/>
              </w:rPr>
              <w:t>t</w:t>
            </w:r>
          </w:p>
        </w:tc>
        <w:tc>
          <w:tcPr>
            <w:tcW w:w="2248" w:type="dxa"/>
            <w:vAlign w:val="center"/>
          </w:tcPr>
          <w:p w14:paraId="5D17972E">
            <w:pPr>
              <w:jc w:val="center"/>
              <w:rPr>
                <w:kern w:val="0"/>
                <w:sz w:val="18"/>
                <w:szCs w:val="18"/>
              </w:rPr>
            </w:pPr>
            <w:r>
              <w:rPr>
                <w:rFonts w:hint="eastAsia"/>
                <w:kern w:val="0"/>
                <w:sz w:val="18"/>
                <w:szCs w:val="18"/>
              </w:rPr>
              <w:t>33.453</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036ADB7C">
            <w:pPr>
              <w:jc w:val="center"/>
              <w:rPr>
                <w:kern w:val="0"/>
                <w:sz w:val="18"/>
                <w:szCs w:val="18"/>
              </w:rPr>
            </w:pPr>
            <w:r>
              <w:rPr>
                <w:rFonts w:hint="eastAsia"/>
                <w:kern w:val="0"/>
                <w:sz w:val="18"/>
                <w:szCs w:val="18"/>
              </w:rPr>
              <w:t>22.0</w:t>
            </w:r>
            <w:r>
              <w:rPr>
                <w:rFonts w:hint="eastAsia"/>
                <w:kern w:val="0"/>
                <w:sz w:val="18"/>
                <w:szCs w:val="18"/>
                <w:vertAlign w:val="superscript"/>
              </w:rPr>
              <w:t>c</w:t>
            </w:r>
            <w:r>
              <w:rPr>
                <w:kern w:val="0"/>
                <w:sz w:val="18"/>
                <w:szCs w:val="18"/>
              </w:rPr>
              <w:t>×10</w:t>
            </w:r>
            <w:r>
              <w:rPr>
                <w:kern w:val="0"/>
                <w:sz w:val="18"/>
                <w:szCs w:val="18"/>
                <w:vertAlign w:val="superscript"/>
              </w:rPr>
              <w:t>-3</w:t>
            </w:r>
          </w:p>
        </w:tc>
        <w:tc>
          <w:tcPr>
            <w:tcW w:w="1407" w:type="dxa"/>
            <w:vAlign w:val="center"/>
          </w:tcPr>
          <w:p w14:paraId="4410D11B">
            <w:pPr>
              <w:jc w:val="center"/>
              <w:rPr>
                <w:kern w:val="0"/>
                <w:sz w:val="18"/>
                <w:szCs w:val="18"/>
              </w:rPr>
            </w:pPr>
            <w:r>
              <w:rPr>
                <w:kern w:val="0"/>
                <w:sz w:val="18"/>
                <w:szCs w:val="18"/>
              </w:rPr>
              <w:t>98</w:t>
            </w:r>
            <w:r>
              <w:rPr>
                <w:rFonts w:hint="eastAsia"/>
                <w:kern w:val="0"/>
                <w:sz w:val="18"/>
                <w:szCs w:val="18"/>
                <w:vertAlign w:val="superscript"/>
              </w:rPr>
              <w:t>b</w:t>
            </w:r>
          </w:p>
        </w:tc>
      </w:tr>
      <w:tr w14:paraId="0286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restart"/>
            <w:vAlign w:val="center"/>
          </w:tcPr>
          <w:p w14:paraId="518BE90E">
            <w:pPr>
              <w:rPr>
                <w:kern w:val="0"/>
                <w:sz w:val="18"/>
                <w:szCs w:val="18"/>
              </w:rPr>
            </w:pPr>
            <w:r>
              <w:rPr>
                <w:kern w:val="0"/>
                <w:sz w:val="18"/>
                <w:szCs w:val="18"/>
              </w:rPr>
              <w:t>气体燃料</w:t>
            </w:r>
          </w:p>
        </w:tc>
        <w:tc>
          <w:tcPr>
            <w:tcW w:w="1559" w:type="dxa"/>
            <w:vAlign w:val="center"/>
          </w:tcPr>
          <w:p w14:paraId="474E3484">
            <w:pPr>
              <w:kinsoku w:val="0"/>
              <w:overflowPunct w:val="0"/>
              <w:autoSpaceDE w:val="0"/>
              <w:autoSpaceDN w:val="0"/>
              <w:adjustRightInd w:val="0"/>
              <w:snapToGrid w:val="0"/>
              <w:jc w:val="center"/>
              <w:rPr>
                <w:kern w:val="0"/>
                <w:sz w:val="18"/>
                <w:szCs w:val="18"/>
              </w:rPr>
            </w:pPr>
            <w:r>
              <w:rPr>
                <w:kern w:val="0"/>
                <w:sz w:val="18"/>
                <w:szCs w:val="18"/>
              </w:rPr>
              <w:t>天然气</w:t>
            </w:r>
          </w:p>
        </w:tc>
        <w:tc>
          <w:tcPr>
            <w:tcW w:w="1012" w:type="dxa"/>
            <w:vAlign w:val="center"/>
          </w:tcPr>
          <w:p w14:paraId="10A596DA">
            <w:pPr>
              <w:jc w:val="center"/>
              <w:rPr>
                <w:kern w:val="0"/>
                <w:sz w:val="18"/>
                <w:szCs w:val="18"/>
              </w:rPr>
            </w:pPr>
            <w:r>
              <w:rPr>
                <w:kern w:val="0"/>
                <w:sz w:val="18"/>
                <w:szCs w:val="18"/>
              </w:rPr>
              <w:t>10</w:t>
            </w:r>
            <w:r>
              <w:rPr>
                <w:kern w:val="0"/>
                <w:sz w:val="18"/>
                <w:szCs w:val="18"/>
                <w:vertAlign w:val="superscript"/>
              </w:rPr>
              <w:t xml:space="preserve">4 </w:t>
            </w:r>
            <w:r>
              <w:rPr>
                <w:kern w:val="0"/>
                <w:sz w:val="18"/>
                <w:szCs w:val="18"/>
              </w:rPr>
              <w:t>Nm</w:t>
            </w:r>
            <w:r>
              <w:rPr>
                <w:kern w:val="0"/>
                <w:sz w:val="18"/>
                <w:szCs w:val="18"/>
                <w:vertAlign w:val="superscript"/>
              </w:rPr>
              <w:t>3</w:t>
            </w:r>
          </w:p>
        </w:tc>
        <w:tc>
          <w:tcPr>
            <w:tcW w:w="2248" w:type="dxa"/>
            <w:vAlign w:val="center"/>
          </w:tcPr>
          <w:p w14:paraId="24D7F7C0">
            <w:pPr>
              <w:jc w:val="center"/>
              <w:rPr>
                <w:kern w:val="0"/>
                <w:sz w:val="18"/>
                <w:szCs w:val="18"/>
              </w:rPr>
            </w:pPr>
            <w:r>
              <w:rPr>
                <w:kern w:val="0"/>
                <w:sz w:val="18"/>
                <w:szCs w:val="18"/>
              </w:rPr>
              <w:t>389.31</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58E565B1">
            <w:pPr>
              <w:jc w:val="center"/>
              <w:rPr>
                <w:kern w:val="0"/>
                <w:sz w:val="18"/>
                <w:szCs w:val="18"/>
              </w:rPr>
            </w:pPr>
            <w:r>
              <w:rPr>
                <w:kern w:val="0"/>
                <w:sz w:val="18"/>
                <w:szCs w:val="18"/>
              </w:rPr>
              <w:t>15.3</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418F900D">
            <w:pPr>
              <w:jc w:val="center"/>
              <w:rPr>
                <w:kern w:val="0"/>
                <w:sz w:val="18"/>
                <w:szCs w:val="18"/>
              </w:rPr>
            </w:pPr>
            <w:r>
              <w:rPr>
                <w:kern w:val="0"/>
                <w:sz w:val="18"/>
                <w:szCs w:val="18"/>
              </w:rPr>
              <w:t>99</w:t>
            </w:r>
            <w:r>
              <w:rPr>
                <w:rFonts w:hint="eastAsia"/>
                <w:kern w:val="0"/>
                <w:sz w:val="18"/>
                <w:szCs w:val="18"/>
                <w:vertAlign w:val="superscript"/>
              </w:rPr>
              <w:t>b</w:t>
            </w:r>
          </w:p>
        </w:tc>
      </w:tr>
      <w:tr w14:paraId="4A3D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704E2F0C">
            <w:pPr>
              <w:jc w:val="center"/>
              <w:rPr>
                <w:kern w:val="0"/>
                <w:sz w:val="18"/>
                <w:szCs w:val="18"/>
              </w:rPr>
            </w:pPr>
          </w:p>
        </w:tc>
        <w:tc>
          <w:tcPr>
            <w:tcW w:w="1559" w:type="dxa"/>
            <w:vAlign w:val="center"/>
          </w:tcPr>
          <w:p w14:paraId="5F04F2BF">
            <w:pPr>
              <w:kinsoku w:val="0"/>
              <w:overflowPunct w:val="0"/>
              <w:autoSpaceDE w:val="0"/>
              <w:autoSpaceDN w:val="0"/>
              <w:adjustRightInd w:val="0"/>
              <w:snapToGrid w:val="0"/>
              <w:jc w:val="center"/>
              <w:rPr>
                <w:kern w:val="0"/>
                <w:sz w:val="18"/>
                <w:szCs w:val="18"/>
              </w:rPr>
            </w:pPr>
            <w:r>
              <w:rPr>
                <w:kern w:val="0"/>
                <w:sz w:val="18"/>
                <w:szCs w:val="18"/>
              </w:rPr>
              <w:t>焦炉煤气</w:t>
            </w:r>
          </w:p>
        </w:tc>
        <w:tc>
          <w:tcPr>
            <w:tcW w:w="1012" w:type="dxa"/>
            <w:vAlign w:val="center"/>
          </w:tcPr>
          <w:p w14:paraId="58943F95">
            <w:pPr>
              <w:jc w:val="center"/>
              <w:rPr>
                <w:kern w:val="0"/>
                <w:sz w:val="18"/>
                <w:szCs w:val="18"/>
              </w:rPr>
            </w:pPr>
            <w:r>
              <w:rPr>
                <w:kern w:val="0"/>
                <w:sz w:val="18"/>
                <w:szCs w:val="18"/>
              </w:rPr>
              <w:t>10</w:t>
            </w:r>
            <w:r>
              <w:rPr>
                <w:kern w:val="0"/>
                <w:sz w:val="18"/>
                <w:szCs w:val="18"/>
                <w:vertAlign w:val="superscript"/>
              </w:rPr>
              <w:t xml:space="preserve">4 </w:t>
            </w:r>
            <w:r>
              <w:rPr>
                <w:kern w:val="0"/>
                <w:sz w:val="18"/>
                <w:szCs w:val="18"/>
              </w:rPr>
              <w:t>Nm</w:t>
            </w:r>
            <w:r>
              <w:rPr>
                <w:kern w:val="0"/>
                <w:sz w:val="18"/>
                <w:szCs w:val="18"/>
                <w:vertAlign w:val="superscript"/>
              </w:rPr>
              <w:t>3</w:t>
            </w:r>
          </w:p>
        </w:tc>
        <w:tc>
          <w:tcPr>
            <w:tcW w:w="2248" w:type="dxa"/>
            <w:vAlign w:val="center"/>
          </w:tcPr>
          <w:p w14:paraId="463328EB">
            <w:pPr>
              <w:jc w:val="center"/>
              <w:rPr>
                <w:kern w:val="0"/>
                <w:sz w:val="18"/>
                <w:szCs w:val="18"/>
              </w:rPr>
            </w:pPr>
            <w:r>
              <w:rPr>
                <w:kern w:val="0"/>
                <w:sz w:val="18"/>
                <w:szCs w:val="18"/>
              </w:rPr>
              <w:t>179.81</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4DB42570">
            <w:pPr>
              <w:jc w:val="center"/>
              <w:rPr>
                <w:kern w:val="0"/>
                <w:sz w:val="18"/>
                <w:szCs w:val="18"/>
              </w:rPr>
            </w:pPr>
            <w:r>
              <w:rPr>
                <w:kern w:val="0"/>
                <w:sz w:val="18"/>
                <w:szCs w:val="18"/>
              </w:rPr>
              <w:t>13.58</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5647A6BA">
            <w:pPr>
              <w:jc w:val="center"/>
              <w:rPr>
                <w:kern w:val="0"/>
                <w:sz w:val="18"/>
                <w:szCs w:val="18"/>
              </w:rPr>
            </w:pPr>
            <w:r>
              <w:rPr>
                <w:kern w:val="0"/>
                <w:sz w:val="18"/>
                <w:szCs w:val="18"/>
              </w:rPr>
              <w:t>99</w:t>
            </w:r>
            <w:r>
              <w:rPr>
                <w:rFonts w:hint="eastAsia"/>
                <w:kern w:val="0"/>
                <w:sz w:val="18"/>
                <w:szCs w:val="18"/>
                <w:vertAlign w:val="superscript"/>
              </w:rPr>
              <w:t>b</w:t>
            </w:r>
          </w:p>
        </w:tc>
      </w:tr>
      <w:tr w14:paraId="3BAE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15E0016F">
            <w:pPr>
              <w:jc w:val="center"/>
              <w:rPr>
                <w:kern w:val="0"/>
                <w:sz w:val="18"/>
                <w:szCs w:val="18"/>
              </w:rPr>
            </w:pPr>
          </w:p>
        </w:tc>
        <w:tc>
          <w:tcPr>
            <w:tcW w:w="1559" w:type="dxa"/>
            <w:vAlign w:val="center"/>
          </w:tcPr>
          <w:p w14:paraId="3E35D968">
            <w:pPr>
              <w:kinsoku w:val="0"/>
              <w:overflowPunct w:val="0"/>
              <w:autoSpaceDE w:val="0"/>
              <w:autoSpaceDN w:val="0"/>
              <w:adjustRightInd w:val="0"/>
              <w:snapToGrid w:val="0"/>
              <w:jc w:val="center"/>
              <w:rPr>
                <w:kern w:val="0"/>
                <w:sz w:val="18"/>
                <w:szCs w:val="18"/>
              </w:rPr>
            </w:pPr>
            <w:r>
              <w:rPr>
                <w:kern w:val="0"/>
                <w:sz w:val="18"/>
                <w:szCs w:val="18"/>
              </w:rPr>
              <w:t>高炉煤气</w:t>
            </w:r>
          </w:p>
        </w:tc>
        <w:tc>
          <w:tcPr>
            <w:tcW w:w="1012" w:type="dxa"/>
            <w:vAlign w:val="center"/>
          </w:tcPr>
          <w:p w14:paraId="59A15896">
            <w:pPr>
              <w:jc w:val="center"/>
              <w:rPr>
                <w:kern w:val="0"/>
                <w:sz w:val="18"/>
                <w:szCs w:val="18"/>
              </w:rPr>
            </w:pPr>
            <w:r>
              <w:rPr>
                <w:kern w:val="0"/>
                <w:sz w:val="18"/>
                <w:szCs w:val="18"/>
              </w:rPr>
              <w:t>10</w:t>
            </w:r>
            <w:r>
              <w:rPr>
                <w:kern w:val="0"/>
                <w:sz w:val="18"/>
                <w:szCs w:val="18"/>
                <w:vertAlign w:val="superscript"/>
              </w:rPr>
              <w:t xml:space="preserve">4 </w:t>
            </w:r>
            <w:r>
              <w:rPr>
                <w:kern w:val="0"/>
                <w:sz w:val="18"/>
                <w:szCs w:val="18"/>
              </w:rPr>
              <w:t>Nm</w:t>
            </w:r>
            <w:r>
              <w:rPr>
                <w:kern w:val="0"/>
                <w:sz w:val="18"/>
                <w:szCs w:val="18"/>
                <w:vertAlign w:val="superscript"/>
              </w:rPr>
              <w:t>3</w:t>
            </w:r>
          </w:p>
        </w:tc>
        <w:tc>
          <w:tcPr>
            <w:tcW w:w="2248" w:type="dxa"/>
            <w:vAlign w:val="center"/>
          </w:tcPr>
          <w:p w14:paraId="70CE3865">
            <w:pPr>
              <w:jc w:val="center"/>
              <w:rPr>
                <w:kern w:val="0"/>
                <w:sz w:val="18"/>
                <w:szCs w:val="18"/>
              </w:rPr>
            </w:pPr>
            <w:r>
              <w:rPr>
                <w:kern w:val="0"/>
                <w:sz w:val="18"/>
                <w:szCs w:val="18"/>
              </w:rPr>
              <w:t>33.00</w:t>
            </w:r>
            <w:r>
              <w:rPr>
                <w:rFonts w:hint="eastAsia"/>
                <w:kern w:val="0"/>
                <w:sz w:val="18"/>
                <w:szCs w:val="18"/>
                <w:vertAlign w:val="superscript"/>
              </w:rPr>
              <w:t>d</w:t>
            </w:r>
          </w:p>
        </w:tc>
        <w:tc>
          <w:tcPr>
            <w:tcW w:w="1701" w:type="dxa"/>
            <w:vAlign w:val="center"/>
          </w:tcPr>
          <w:p w14:paraId="33834BAB">
            <w:pPr>
              <w:jc w:val="center"/>
              <w:rPr>
                <w:kern w:val="0"/>
                <w:sz w:val="18"/>
                <w:szCs w:val="18"/>
              </w:rPr>
            </w:pPr>
            <w:r>
              <w:rPr>
                <w:kern w:val="0"/>
                <w:sz w:val="18"/>
                <w:szCs w:val="18"/>
              </w:rPr>
              <w:t>70.8</w:t>
            </w:r>
            <w:r>
              <w:rPr>
                <w:rFonts w:hint="eastAsia"/>
                <w:kern w:val="0"/>
                <w:sz w:val="18"/>
                <w:szCs w:val="18"/>
                <w:vertAlign w:val="superscript"/>
              </w:rPr>
              <w:t>c</w:t>
            </w:r>
            <w:r>
              <w:rPr>
                <w:kern w:val="0"/>
                <w:sz w:val="18"/>
                <w:szCs w:val="18"/>
              </w:rPr>
              <w:t>×10</w:t>
            </w:r>
            <w:r>
              <w:rPr>
                <w:kern w:val="0"/>
                <w:sz w:val="18"/>
                <w:szCs w:val="18"/>
                <w:vertAlign w:val="superscript"/>
              </w:rPr>
              <w:t>-</w:t>
            </w:r>
            <w:r>
              <w:rPr>
                <w:rFonts w:hint="eastAsia"/>
                <w:kern w:val="0"/>
                <w:sz w:val="18"/>
                <w:szCs w:val="18"/>
                <w:vertAlign w:val="superscript"/>
              </w:rPr>
              <w:t>3</w:t>
            </w:r>
          </w:p>
        </w:tc>
        <w:tc>
          <w:tcPr>
            <w:tcW w:w="1407" w:type="dxa"/>
            <w:vAlign w:val="center"/>
          </w:tcPr>
          <w:p w14:paraId="493AAD05">
            <w:pPr>
              <w:jc w:val="center"/>
              <w:rPr>
                <w:kern w:val="0"/>
                <w:sz w:val="18"/>
                <w:szCs w:val="18"/>
              </w:rPr>
            </w:pPr>
            <w:r>
              <w:rPr>
                <w:kern w:val="0"/>
                <w:sz w:val="18"/>
                <w:szCs w:val="18"/>
              </w:rPr>
              <w:t>99</w:t>
            </w:r>
            <w:r>
              <w:rPr>
                <w:rFonts w:hint="eastAsia"/>
                <w:kern w:val="0"/>
                <w:sz w:val="18"/>
                <w:szCs w:val="18"/>
                <w:vertAlign w:val="superscript"/>
              </w:rPr>
              <w:t>b</w:t>
            </w:r>
          </w:p>
        </w:tc>
      </w:tr>
      <w:tr w14:paraId="1C5C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35951149">
            <w:pPr>
              <w:jc w:val="center"/>
              <w:rPr>
                <w:kern w:val="0"/>
                <w:sz w:val="18"/>
                <w:szCs w:val="18"/>
              </w:rPr>
            </w:pPr>
          </w:p>
        </w:tc>
        <w:tc>
          <w:tcPr>
            <w:tcW w:w="1559" w:type="dxa"/>
            <w:vAlign w:val="center"/>
          </w:tcPr>
          <w:p w14:paraId="740B7763">
            <w:pPr>
              <w:kinsoku w:val="0"/>
              <w:overflowPunct w:val="0"/>
              <w:autoSpaceDE w:val="0"/>
              <w:autoSpaceDN w:val="0"/>
              <w:adjustRightInd w:val="0"/>
              <w:snapToGrid w:val="0"/>
              <w:jc w:val="center"/>
              <w:rPr>
                <w:kern w:val="0"/>
                <w:sz w:val="18"/>
                <w:szCs w:val="18"/>
              </w:rPr>
            </w:pPr>
            <w:r>
              <w:rPr>
                <w:rFonts w:hint="eastAsia"/>
                <w:kern w:val="0"/>
                <w:sz w:val="18"/>
                <w:szCs w:val="18"/>
              </w:rPr>
              <w:t>炼厂干气</w:t>
            </w:r>
          </w:p>
        </w:tc>
        <w:tc>
          <w:tcPr>
            <w:tcW w:w="1012" w:type="dxa"/>
            <w:vAlign w:val="center"/>
          </w:tcPr>
          <w:p w14:paraId="622791F1">
            <w:pPr>
              <w:jc w:val="center"/>
              <w:rPr>
                <w:kern w:val="0"/>
                <w:sz w:val="18"/>
                <w:szCs w:val="18"/>
              </w:rPr>
            </w:pPr>
            <w:r>
              <w:rPr>
                <w:rFonts w:hint="eastAsia"/>
                <w:kern w:val="0"/>
                <w:sz w:val="18"/>
                <w:szCs w:val="18"/>
              </w:rPr>
              <w:t>t</w:t>
            </w:r>
          </w:p>
        </w:tc>
        <w:tc>
          <w:tcPr>
            <w:tcW w:w="2248" w:type="dxa"/>
            <w:vAlign w:val="center"/>
          </w:tcPr>
          <w:p w14:paraId="69FD1B6A">
            <w:pPr>
              <w:jc w:val="center"/>
              <w:rPr>
                <w:kern w:val="0"/>
                <w:sz w:val="18"/>
                <w:szCs w:val="18"/>
              </w:rPr>
            </w:pPr>
            <w:r>
              <w:rPr>
                <w:rFonts w:hint="eastAsia"/>
                <w:kern w:val="0"/>
                <w:sz w:val="18"/>
                <w:szCs w:val="18"/>
              </w:rPr>
              <w:t>45.998</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1378307C">
            <w:pPr>
              <w:jc w:val="center"/>
              <w:rPr>
                <w:kern w:val="0"/>
                <w:sz w:val="18"/>
                <w:szCs w:val="18"/>
              </w:rPr>
            </w:pPr>
            <w:r>
              <w:rPr>
                <w:rFonts w:hint="eastAsia"/>
                <w:kern w:val="0"/>
                <w:sz w:val="18"/>
                <w:szCs w:val="18"/>
              </w:rPr>
              <w:t>18.2</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64013413">
            <w:pPr>
              <w:jc w:val="center"/>
              <w:rPr>
                <w:kern w:val="0"/>
                <w:sz w:val="18"/>
                <w:szCs w:val="18"/>
              </w:rPr>
            </w:pPr>
            <w:r>
              <w:rPr>
                <w:kern w:val="0"/>
                <w:sz w:val="18"/>
                <w:szCs w:val="18"/>
              </w:rPr>
              <w:t>99</w:t>
            </w:r>
            <w:r>
              <w:rPr>
                <w:rFonts w:hint="eastAsia"/>
                <w:kern w:val="0"/>
                <w:sz w:val="18"/>
                <w:szCs w:val="18"/>
                <w:vertAlign w:val="superscript"/>
              </w:rPr>
              <w:t>b</w:t>
            </w:r>
          </w:p>
        </w:tc>
      </w:tr>
      <w:tr w14:paraId="710B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504687AD">
            <w:pPr>
              <w:jc w:val="center"/>
              <w:rPr>
                <w:kern w:val="0"/>
                <w:sz w:val="18"/>
                <w:szCs w:val="18"/>
              </w:rPr>
            </w:pPr>
          </w:p>
        </w:tc>
        <w:tc>
          <w:tcPr>
            <w:tcW w:w="1559" w:type="dxa"/>
            <w:vAlign w:val="center"/>
          </w:tcPr>
          <w:p w14:paraId="291883D8">
            <w:pPr>
              <w:kinsoku w:val="0"/>
              <w:overflowPunct w:val="0"/>
              <w:autoSpaceDE w:val="0"/>
              <w:autoSpaceDN w:val="0"/>
              <w:adjustRightInd w:val="0"/>
              <w:snapToGrid w:val="0"/>
              <w:jc w:val="center"/>
              <w:rPr>
                <w:kern w:val="0"/>
                <w:sz w:val="18"/>
                <w:szCs w:val="18"/>
              </w:rPr>
            </w:pPr>
            <w:r>
              <w:rPr>
                <w:kern w:val="0"/>
                <w:sz w:val="18"/>
                <w:szCs w:val="18"/>
              </w:rPr>
              <w:t>转炉煤气</w:t>
            </w:r>
          </w:p>
        </w:tc>
        <w:tc>
          <w:tcPr>
            <w:tcW w:w="1012" w:type="dxa"/>
            <w:vAlign w:val="center"/>
          </w:tcPr>
          <w:p w14:paraId="0F40153B">
            <w:pPr>
              <w:jc w:val="center"/>
              <w:rPr>
                <w:kern w:val="0"/>
                <w:sz w:val="18"/>
                <w:szCs w:val="18"/>
              </w:rPr>
            </w:pPr>
            <w:r>
              <w:rPr>
                <w:kern w:val="0"/>
                <w:sz w:val="18"/>
                <w:szCs w:val="18"/>
              </w:rPr>
              <w:t>10</w:t>
            </w:r>
            <w:r>
              <w:rPr>
                <w:kern w:val="0"/>
                <w:sz w:val="18"/>
                <w:szCs w:val="18"/>
                <w:vertAlign w:val="superscript"/>
              </w:rPr>
              <w:t xml:space="preserve">4 </w:t>
            </w:r>
            <w:r>
              <w:rPr>
                <w:kern w:val="0"/>
                <w:sz w:val="18"/>
                <w:szCs w:val="18"/>
              </w:rPr>
              <w:t>Nm</w:t>
            </w:r>
            <w:r>
              <w:rPr>
                <w:kern w:val="0"/>
                <w:sz w:val="18"/>
                <w:szCs w:val="18"/>
                <w:vertAlign w:val="superscript"/>
              </w:rPr>
              <w:t>3</w:t>
            </w:r>
          </w:p>
        </w:tc>
        <w:tc>
          <w:tcPr>
            <w:tcW w:w="2248" w:type="dxa"/>
            <w:vAlign w:val="center"/>
          </w:tcPr>
          <w:p w14:paraId="36D99CC0">
            <w:pPr>
              <w:jc w:val="center"/>
              <w:rPr>
                <w:kern w:val="0"/>
                <w:sz w:val="18"/>
                <w:szCs w:val="18"/>
              </w:rPr>
            </w:pPr>
            <w:r>
              <w:rPr>
                <w:kern w:val="0"/>
                <w:sz w:val="18"/>
                <w:szCs w:val="18"/>
              </w:rPr>
              <w:t>84.00</w:t>
            </w:r>
            <w:r>
              <w:rPr>
                <w:rFonts w:hint="eastAsia"/>
                <w:kern w:val="0"/>
                <w:sz w:val="18"/>
                <w:szCs w:val="18"/>
                <w:vertAlign w:val="superscript"/>
              </w:rPr>
              <w:t>d</w:t>
            </w:r>
          </w:p>
        </w:tc>
        <w:tc>
          <w:tcPr>
            <w:tcW w:w="1701" w:type="dxa"/>
            <w:vAlign w:val="center"/>
          </w:tcPr>
          <w:p w14:paraId="483E3C59">
            <w:pPr>
              <w:jc w:val="center"/>
              <w:rPr>
                <w:kern w:val="0"/>
                <w:sz w:val="18"/>
                <w:szCs w:val="18"/>
              </w:rPr>
            </w:pPr>
            <w:r>
              <w:rPr>
                <w:kern w:val="0"/>
                <w:sz w:val="18"/>
                <w:szCs w:val="18"/>
              </w:rPr>
              <w:t>49.60</w:t>
            </w:r>
            <w:r>
              <w:rPr>
                <w:rFonts w:hint="eastAsia"/>
                <w:kern w:val="0"/>
                <w:sz w:val="18"/>
                <w:szCs w:val="18"/>
                <w:vertAlign w:val="superscript"/>
              </w:rPr>
              <w:t>d</w:t>
            </w:r>
            <w:r>
              <w:rPr>
                <w:kern w:val="0"/>
                <w:sz w:val="18"/>
                <w:szCs w:val="18"/>
              </w:rPr>
              <w:t>×10</w:t>
            </w:r>
            <w:r>
              <w:rPr>
                <w:kern w:val="0"/>
                <w:sz w:val="18"/>
                <w:szCs w:val="18"/>
                <w:vertAlign w:val="superscript"/>
              </w:rPr>
              <w:t>-3</w:t>
            </w:r>
          </w:p>
        </w:tc>
        <w:tc>
          <w:tcPr>
            <w:tcW w:w="1407" w:type="dxa"/>
            <w:vAlign w:val="center"/>
          </w:tcPr>
          <w:p w14:paraId="4BF0C6B6">
            <w:pPr>
              <w:jc w:val="center"/>
              <w:rPr>
                <w:kern w:val="0"/>
                <w:sz w:val="18"/>
                <w:szCs w:val="18"/>
              </w:rPr>
            </w:pPr>
            <w:r>
              <w:rPr>
                <w:kern w:val="0"/>
                <w:sz w:val="18"/>
                <w:szCs w:val="18"/>
              </w:rPr>
              <w:t>99</w:t>
            </w:r>
            <w:r>
              <w:rPr>
                <w:rFonts w:hint="eastAsia"/>
                <w:kern w:val="0"/>
                <w:sz w:val="18"/>
                <w:szCs w:val="18"/>
                <w:vertAlign w:val="superscript"/>
              </w:rPr>
              <w:t>b</w:t>
            </w:r>
          </w:p>
        </w:tc>
      </w:tr>
      <w:tr w14:paraId="1F17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88" w:type="dxa"/>
            <w:vMerge w:val="continue"/>
            <w:vAlign w:val="center"/>
          </w:tcPr>
          <w:p w14:paraId="5ECE3B25">
            <w:pPr>
              <w:jc w:val="center"/>
              <w:rPr>
                <w:kern w:val="0"/>
                <w:sz w:val="18"/>
                <w:szCs w:val="18"/>
              </w:rPr>
            </w:pPr>
          </w:p>
        </w:tc>
        <w:tc>
          <w:tcPr>
            <w:tcW w:w="1559" w:type="dxa"/>
            <w:vAlign w:val="center"/>
          </w:tcPr>
          <w:p w14:paraId="4EBFC1AB">
            <w:pPr>
              <w:kinsoku w:val="0"/>
              <w:overflowPunct w:val="0"/>
              <w:autoSpaceDE w:val="0"/>
              <w:autoSpaceDN w:val="0"/>
              <w:adjustRightInd w:val="0"/>
              <w:snapToGrid w:val="0"/>
              <w:jc w:val="center"/>
              <w:rPr>
                <w:kern w:val="0"/>
                <w:sz w:val="18"/>
                <w:szCs w:val="18"/>
              </w:rPr>
            </w:pPr>
            <w:r>
              <w:rPr>
                <w:kern w:val="0"/>
                <w:sz w:val="18"/>
                <w:szCs w:val="18"/>
              </w:rPr>
              <w:t>其</w:t>
            </w:r>
            <w:r>
              <w:rPr>
                <w:rFonts w:hint="eastAsia"/>
                <w:kern w:val="0"/>
                <w:sz w:val="18"/>
                <w:szCs w:val="18"/>
              </w:rPr>
              <w:t>他</w:t>
            </w:r>
            <w:r>
              <w:rPr>
                <w:kern w:val="0"/>
                <w:sz w:val="18"/>
                <w:szCs w:val="18"/>
              </w:rPr>
              <w:t>煤气</w:t>
            </w:r>
          </w:p>
        </w:tc>
        <w:tc>
          <w:tcPr>
            <w:tcW w:w="1012" w:type="dxa"/>
            <w:vAlign w:val="center"/>
          </w:tcPr>
          <w:p w14:paraId="3E2ADD2D">
            <w:pPr>
              <w:jc w:val="center"/>
              <w:rPr>
                <w:kern w:val="0"/>
                <w:sz w:val="18"/>
                <w:szCs w:val="18"/>
              </w:rPr>
            </w:pPr>
            <w:r>
              <w:rPr>
                <w:kern w:val="0"/>
                <w:sz w:val="18"/>
                <w:szCs w:val="18"/>
              </w:rPr>
              <w:t>10</w:t>
            </w:r>
            <w:r>
              <w:rPr>
                <w:kern w:val="0"/>
                <w:sz w:val="18"/>
                <w:szCs w:val="18"/>
                <w:vertAlign w:val="superscript"/>
              </w:rPr>
              <w:t xml:space="preserve">4 </w:t>
            </w:r>
            <w:r>
              <w:rPr>
                <w:kern w:val="0"/>
                <w:sz w:val="18"/>
                <w:szCs w:val="18"/>
              </w:rPr>
              <w:t>Nm</w:t>
            </w:r>
            <w:r>
              <w:rPr>
                <w:kern w:val="0"/>
                <w:sz w:val="18"/>
                <w:szCs w:val="18"/>
                <w:vertAlign w:val="superscript"/>
              </w:rPr>
              <w:t>3</w:t>
            </w:r>
          </w:p>
        </w:tc>
        <w:tc>
          <w:tcPr>
            <w:tcW w:w="2248" w:type="dxa"/>
            <w:vAlign w:val="center"/>
          </w:tcPr>
          <w:p w14:paraId="3F74D71A">
            <w:pPr>
              <w:jc w:val="center"/>
              <w:rPr>
                <w:kern w:val="0"/>
                <w:sz w:val="18"/>
                <w:szCs w:val="18"/>
              </w:rPr>
            </w:pPr>
            <w:r>
              <w:rPr>
                <w:kern w:val="0"/>
                <w:sz w:val="18"/>
                <w:szCs w:val="18"/>
              </w:rPr>
              <w:t>52.270</w:t>
            </w:r>
            <w:r>
              <w:rPr>
                <w:rFonts w:hint="eastAsia"/>
                <w:kern w:val="0"/>
                <w:sz w:val="18"/>
                <w:szCs w:val="18"/>
                <w:vertAlign w:val="superscript"/>
              </w:rPr>
              <w:t>a</w:t>
            </w:r>
            <w:r>
              <w:rPr>
                <w:rFonts w:hint="eastAsia"/>
                <w:kern w:val="0"/>
                <w:sz w:val="18"/>
                <w:szCs w:val="18"/>
              </w:rPr>
              <w:t xml:space="preserve"> </w:t>
            </w:r>
          </w:p>
        </w:tc>
        <w:tc>
          <w:tcPr>
            <w:tcW w:w="1701" w:type="dxa"/>
            <w:vAlign w:val="center"/>
          </w:tcPr>
          <w:p w14:paraId="130DF8A0">
            <w:pPr>
              <w:jc w:val="center"/>
              <w:rPr>
                <w:kern w:val="0"/>
                <w:sz w:val="18"/>
                <w:szCs w:val="18"/>
              </w:rPr>
            </w:pPr>
            <w:r>
              <w:rPr>
                <w:kern w:val="0"/>
                <w:sz w:val="18"/>
                <w:szCs w:val="18"/>
              </w:rPr>
              <w:t>12.2</w:t>
            </w:r>
            <w:r>
              <w:rPr>
                <w:rFonts w:hint="eastAsia"/>
                <w:kern w:val="0"/>
                <w:sz w:val="18"/>
                <w:szCs w:val="18"/>
                <w:vertAlign w:val="superscript"/>
              </w:rPr>
              <w:t>b</w:t>
            </w:r>
            <w:r>
              <w:rPr>
                <w:kern w:val="0"/>
                <w:sz w:val="18"/>
                <w:szCs w:val="18"/>
              </w:rPr>
              <w:t>×10</w:t>
            </w:r>
            <w:r>
              <w:rPr>
                <w:kern w:val="0"/>
                <w:sz w:val="18"/>
                <w:szCs w:val="18"/>
                <w:vertAlign w:val="superscript"/>
              </w:rPr>
              <w:t>-3</w:t>
            </w:r>
          </w:p>
        </w:tc>
        <w:tc>
          <w:tcPr>
            <w:tcW w:w="1407" w:type="dxa"/>
            <w:vAlign w:val="center"/>
          </w:tcPr>
          <w:p w14:paraId="4F26E8D5">
            <w:pPr>
              <w:jc w:val="center"/>
              <w:rPr>
                <w:kern w:val="0"/>
                <w:sz w:val="18"/>
                <w:szCs w:val="18"/>
              </w:rPr>
            </w:pPr>
            <w:r>
              <w:rPr>
                <w:kern w:val="0"/>
                <w:sz w:val="18"/>
                <w:szCs w:val="18"/>
              </w:rPr>
              <w:t>99</w:t>
            </w:r>
            <w:r>
              <w:rPr>
                <w:rFonts w:hint="eastAsia"/>
                <w:kern w:val="0"/>
                <w:sz w:val="18"/>
                <w:szCs w:val="18"/>
                <w:vertAlign w:val="superscript"/>
              </w:rPr>
              <w:t>b</w:t>
            </w:r>
          </w:p>
        </w:tc>
      </w:tr>
      <w:tr w14:paraId="58EB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exact"/>
          <w:jc w:val="center"/>
        </w:trPr>
        <w:tc>
          <w:tcPr>
            <w:tcW w:w="8915" w:type="dxa"/>
            <w:gridSpan w:val="6"/>
            <w:vAlign w:val="center"/>
          </w:tcPr>
          <w:p w14:paraId="4BEA8D7A">
            <w:pPr>
              <w:rPr>
                <w:kern w:val="0"/>
                <w:sz w:val="18"/>
                <w:szCs w:val="18"/>
              </w:rPr>
            </w:pPr>
            <w:r>
              <w:rPr>
                <w:rFonts w:hint="eastAsia"/>
                <w:kern w:val="0"/>
                <w:sz w:val="18"/>
                <w:szCs w:val="18"/>
                <w:vertAlign w:val="superscript"/>
              </w:rPr>
              <w:t>a</w:t>
            </w:r>
            <w:r>
              <w:rPr>
                <w:rFonts w:hint="eastAsia"/>
                <w:kern w:val="0"/>
                <w:sz w:val="18"/>
                <w:szCs w:val="18"/>
              </w:rPr>
              <w:t xml:space="preserve"> 数据取值来源为《中国能源统计年鉴 2023》（统计年鉴有更新时，使用其最新数值）。</w:t>
            </w:r>
          </w:p>
          <w:p w14:paraId="0C8B3927">
            <w:pPr>
              <w:rPr>
                <w:kern w:val="0"/>
                <w:sz w:val="18"/>
                <w:szCs w:val="18"/>
              </w:rPr>
            </w:pPr>
            <w:r>
              <w:rPr>
                <w:rFonts w:hint="eastAsia"/>
                <w:kern w:val="0"/>
                <w:sz w:val="18"/>
                <w:szCs w:val="18"/>
                <w:vertAlign w:val="superscript"/>
              </w:rPr>
              <w:t>b</w:t>
            </w:r>
            <w:r>
              <w:rPr>
                <w:rFonts w:hint="eastAsia"/>
                <w:kern w:val="0"/>
                <w:sz w:val="18"/>
                <w:szCs w:val="18"/>
              </w:rPr>
              <w:t xml:space="preserve"> 数据取值来源为《省级温室气体清单编制指南（试行）》。</w:t>
            </w:r>
          </w:p>
          <w:p w14:paraId="71515A34">
            <w:pPr>
              <w:rPr>
                <w:kern w:val="0"/>
                <w:sz w:val="18"/>
                <w:szCs w:val="18"/>
              </w:rPr>
            </w:pPr>
            <w:r>
              <w:rPr>
                <w:rFonts w:hint="eastAsia"/>
                <w:kern w:val="0"/>
                <w:sz w:val="18"/>
                <w:szCs w:val="18"/>
                <w:vertAlign w:val="superscript"/>
              </w:rPr>
              <w:t>c</w:t>
            </w:r>
            <w:r>
              <w:rPr>
                <w:rFonts w:hint="eastAsia"/>
                <w:kern w:val="0"/>
                <w:sz w:val="18"/>
                <w:szCs w:val="18"/>
              </w:rPr>
              <w:t xml:space="preserve"> 数据取值来源为《2006年 IPCC国家温室气体清单指南》及其2019年修订版。</w:t>
            </w:r>
          </w:p>
          <w:p w14:paraId="485904CA">
            <w:pPr>
              <w:rPr>
                <w:kern w:val="0"/>
                <w:sz w:val="18"/>
                <w:szCs w:val="18"/>
              </w:rPr>
            </w:pPr>
            <w:r>
              <w:rPr>
                <w:rFonts w:hint="eastAsia"/>
                <w:kern w:val="0"/>
                <w:sz w:val="18"/>
                <w:szCs w:val="18"/>
                <w:vertAlign w:val="superscript"/>
              </w:rPr>
              <w:t>d</w:t>
            </w:r>
            <w:r>
              <w:rPr>
                <w:rFonts w:hint="eastAsia"/>
                <w:kern w:val="0"/>
                <w:sz w:val="18"/>
                <w:szCs w:val="18"/>
              </w:rPr>
              <w:t xml:space="preserve"> 数据取值来源为《2005年中国温室气体清单研究》。 </w:t>
            </w:r>
          </w:p>
          <w:p w14:paraId="61FAA707">
            <w:pPr>
              <w:rPr>
                <w:kern w:val="0"/>
                <w:sz w:val="18"/>
                <w:szCs w:val="18"/>
              </w:rPr>
            </w:pPr>
            <w:r>
              <w:rPr>
                <w:rFonts w:hint="eastAsia"/>
                <w:kern w:val="0"/>
                <w:sz w:val="18"/>
                <w:szCs w:val="18"/>
                <w:vertAlign w:val="superscript"/>
              </w:rPr>
              <w:t>e</w:t>
            </w:r>
            <w:r>
              <w:rPr>
                <w:rFonts w:hint="eastAsia"/>
                <w:kern w:val="0"/>
                <w:sz w:val="18"/>
                <w:szCs w:val="18"/>
              </w:rPr>
              <w:t xml:space="preserve"> 数据取值来源为 GB/T</w:t>
            </w:r>
            <w:r>
              <w:rPr>
                <w:kern w:val="0"/>
                <w:sz w:val="18"/>
                <w:szCs w:val="18"/>
              </w:rPr>
              <w:t xml:space="preserve"> </w:t>
            </w:r>
            <w:r>
              <w:rPr>
                <w:rFonts w:hint="eastAsia"/>
                <w:kern w:val="0"/>
                <w:sz w:val="18"/>
                <w:szCs w:val="18"/>
              </w:rPr>
              <w:t>2589。</w:t>
            </w:r>
          </w:p>
          <w:p w14:paraId="5E942895">
            <w:pPr>
              <w:rPr>
                <w:kern w:val="0"/>
                <w:sz w:val="18"/>
                <w:szCs w:val="18"/>
              </w:rPr>
            </w:pPr>
          </w:p>
          <w:p w14:paraId="199F0665">
            <w:pPr>
              <w:rPr>
                <w:kern w:val="0"/>
                <w:sz w:val="18"/>
                <w:szCs w:val="18"/>
              </w:rPr>
            </w:pPr>
          </w:p>
          <w:p w14:paraId="450CB591">
            <w:pPr>
              <w:rPr>
                <w:kern w:val="0"/>
                <w:sz w:val="18"/>
                <w:szCs w:val="18"/>
              </w:rPr>
            </w:pPr>
          </w:p>
          <w:p w14:paraId="21839967">
            <w:pPr>
              <w:rPr>
                <w:kern w:val="0"/>
                <w:sz w:val="18"/>
                <w:szCs w:val="18"/>
              </w:rPr>
            </w:pPr>
          </w:p>
          <w:p w14:paraId="0A81C346">
            <w:pPr>
              <w:rPr>
                <w:kern w:val="0"/>
                <w:sz w:val="18"/>
                <w:szCs w:val="18"/>
              </w:rPr>
            </w:pPr>
          </w:p>
          <w:p w14:paraId="30A3CCDF">
            <w:pPr>
              <w:rPr>
                <w:kern w:val="0"/>
                <w:sz w:val="18"/>
                <w:szCs w:val="18"/>
              </w:rPr>
            </w:pPr>
          </w:p>
          <w:p w14:paraId="503BB074">
            <w:pPr>
              <w:rPr>
                <w:kern w:val="0"/>
                <w:sz w:val="18"/>
                <w:szCs w:val="18"/>
              </w:rPr>
            </w:pPr>
          </w:p>
          <w:p w14:paraId="37362E04">
            <w:pPr>
              <w:rPr>
                <w:kern w:val="0"/>
                <w:sz w:val="18"/>
                <w:szCs w:val="18"/>
              </w:rPr>
            </w:pPr>
          </w:p>
          <w:p w14:paraId="05AA3A0C">
            <w:pPr>
              <w:rPr>
                <w:kern w:val="0"/>
                <w:sz w:val="18"/>
                <w:szCs w:val="18"/>
              </w:rPr>
            </w:pPr>
          </w:p>
          <w:p w14:paraId="7F092DB8">
            <w:pPr>
              <w:widowControl/>
              <w:jc w:val="left"/>
            </w:pPr>
            <w:r>
              <w:rPr>
                <w:rFonts w:hint="eastAsia" w:hAnsi="宋体" w:cs="宋体"/>
                <w:kern w:val="0"/>
                <w:sz w:val="16"/>
                <w:szCs w:val="16"/>
                <w:lang w:bidi="ar"/>
              </w:rPr>
              <w:t>数据取值来源为《中国温室气体清单研究》。</w:t>
            </w:r>
          </w:p>
          <w:p w14:paraId="3FC568F9">
            <w:pPr>
              <w:rPr>
                <w:kern w:val="0"/>
                <w:sz w:val="18"/>
                <w:szCs w:val="18"/>
              </w:rPr>
            </w:pPr>
          </w:p>
          <w:p w14:paraId="2741977E">
            <w:pPr>
              <w:rPr>
                <w:kern w:val="0"/>
                <w:sz w:val="18"/>
                <w:szCs w:val="18"/>
              </w:rPr>
            </w:pPr>
          </w:p>
          <w:p w14:paraId="6895D959">
            <w:pPr>
              <w:rPr>
                <w:kern w:val="0"/>
                <w:sz w:val="18"/>
                <w:szCs w:val="18"/>
              </w:rPr>
            </w:pPr>
          </w:p>
          <w:p w14:paraId="3A9FC5B9">
            <w:pPr>
              <w:rPr>
                <w:kern w:val="0"/>
                <w:sz w:val="18"/>
                <w:szCs w:val="18"/>
              </w:rPr>
            </w:pPr>
          </w:p>
          <w:p w14:paraId="3295E30B">
            <w:pPr>
              <w:rPr>
                <w:kern w:val="0"/>
                <w:sz w:val="18"/>
                <w:szCs w:val="18"/>
              </w:rPr>
            </w:pPr>
          </w:p>
        </w:tc>
      </w:tr>
    </w:tbl>
    <w:p w14:paraId="4FBC4515">
      <w:pPr>
        <w:widowControl/>
        <w:jc w:val="center"/>
        <w:rPr>
          <w:rFonts w:eastAsia="黑体"/>
          <w:bCs/>
          <w:szCs w:val="21"/>
        </w:rPr>
      </w:pPr>
      <w:r>
        <w:rPr>
          <w:rFonts w:hint="eastAsia" w:eastAsia="黑体"/>
        </w:rPr>
        <w:t xml:space="preserve">表 </w:t>
      </w:r>
      <w:r>
        <w:rPr>
          <w:rFonts w:eastAsia="黑体"/>
        </w:rPr>
        <w:t xml:space="preserve">B.1 </w:t>
      </w:r>
      <w:r>
        <w:rPr>
          <w:rFonts w:hint="eastAsia" w:eastAsia="黑体"/>
        </w:rPr>
        <w:t>常用燃料相关参数的缺省值</w:t>
      </w:r>
    </w:p>
    <w:p w14:paraId="252D9095">
      <w:pPr>
        <w:rPr>
          <w:rFonts w:eastAsia="黑体"/>
          <w:bCs/>
          <w:szCs w:val="21"/>
        </w:rPr>
      </w:pPr>
    </w:p>
    <w:p w14:paraId="343B0907">
      <w:pPr>
        <w:rPr>
          <w:rFonts w:eastAsia="黑体"/>
          <w:bCs/>
          <w:szCs w:val="21"/>
        </w:rPr>
      </w:pPr>
    </w:p>
    <w:p w14:paraId="586B8C34">
      <w:pPr>
        <w:ind w:firstLine="2310" w:firstLineChars="1100"/>
        <w:rPr>
          <w:rFonts w:eastAsia="黑体"/>
          <w:bCs/>
          <w:szCs w:val="21"/>
        </w:rPr>
      </w:pPr>
      <w:r>
        <w:rPr>
          <w:rFonts w:eastAsia="黑体"/>
          <w:bCs/>
          <w:szCs w:val="21"/>
        </w:rPr>
        <w:t>表</w:t>
      </w:r>
      <w:r>
        <w:rPr>
          <w:rFonts w:hint="eastAsia" w:eastAsia="黑体"/>
          <w:bCs/>
          <w:szCs w:val="21"/>
          <w:lang w:bidi="en-US"/>
        </w:rPr>
        <w:t>B</w:t>
      </w:r>
      <w:r>
        <w:rPr>
          <w:rFonts w:eastAsia="黑体"/>
          <w:bCs/>
          <w:szCs w:val="21"/>
          <w:lang w:bidi="en-US"/>
        </w:rPr>
        <w:t>.2常见</w:t>
      </w:r>
      <w:r>
        <w:rPr>
          <w:rFonts w:hint="eastAsia" w:eastAsia="黑体"/>
          <w:bCs/>
          <w:szCs w:val="21"/>
          <w:lang w:bidi="en-US"/>
        </w:rPr>
        <w:t>含碳稀土前驱体的二氧化碳理论质量分数</w:t>
      </w:r>
    </w:p>
    <w:tbl>
      <w:tblPr>
        <w:tblStyle w:val="35"/>
        <w:tblpPr w:leftFromText="180" w:rightFromText="180" w:vertAnchor="text" w:horzAnchor="margin" w:tblpX="1" w:tblpY="109"/>
        <w:tblOverlap w:val="never"/>
        <w:tblW w:w="5060" w:type="pct"/>
        <w:tblInd w:w="0" w:type="dxa"/>
        <w:tblLayout w:type="autofit"/>
        <w:tblCellMar>
          <w:top w:w="0" w:type="dxa"/>
          <w:left w:w="10" w:type="dxa"/>
          <w:bottom w:w="0" w:type="dxa"/>
          <w:right w:w="10" w:type="dxa"/>
        </w:tblCellMar>
      </w:tblPr>
      <w:tblGrid>
        <w:gridCol w:w="2959"/>
        <w:gridCol w:w="2083"/>
        <w:gridCol w:w="2083"/>
        <w:gridCol w:w="2250"/>
      </w:tblGrid>
      <w:tr w14:paraId="43382A9A">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0415CF7E">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物质名称</w:t>
            </w:r>
          </w:p>
        </w:tc>
        <w:tc>
          <w:tcPr>
            <w:tcW w:w="1111" w:type="pct"/>
            <w:tcBorders>
              <w:top w:val="single" w:color="auto" w:sz="4" w:space="0"/>
              <w:left w:val="single" w:color="auto" w:sz="4" w:space="0"/>
              <w:right w:val="single" w:color="auto" w:sz="4" w:space="0"/>
            </w:tcBorders>
            <w:shd w:val="clear" w:color="auto" w:fill="FFFFFF"/>
            <w:vAlign w:val="center"/>
          </w:tcPr>
          <w:p w14:paraId="674EB906">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分子式</w:t>
            </w:r>
          </w:p>
        </w:tc>
        <w:tc>
          <w:tcPr>
            <w:tcW w:w="1111" w:type="pct"/>
            <w:tcBorders>
              <w:top w:val="single" w:color="auto" w:sz="4" w:space="0"/>
              <w:left w:val="single" w:color="auto" w:sz="4" w:space="0"/>
              <w:right w:val="single" w:color="auto" w:sz="4" w:space="0"/>
            </w:tcBorders>
            <w:shd w:val="clear" w:color="auto" w:fill="FFFFFF"/>
            <w:vAlign w:val="center"/>
          </w:tcPr>
          <w:p w14:paraId="615F9D7E">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摩尔质量</w:t>
            </w:r>
          </w:p>
          <w:p w14:paraId="11CD6804">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g/mol</w:t>
            </w:r>
          </w:p>
        </w:tc>
        <w:tc>
          <w:tcPr>
            <w:tcW w:w="1199" w:type="pct"/>
            <w:tcBorders>
              <w:top w:val="single" w:color="auto" w:sz="4" w:space="0"/>
              <w:left w:val="single" w:color="auto" w:sz="4" w:space="0"/>
              <w:right w:val="single" w:color="auto" w:sz="4" w:space="0"/>
            </w:tcBorders>
            <w:shd w:val="clear" w:color="auto" w:fill="FFFFFF"/>
            <w:vAlign w:val="center"/>
          </w:tcPr>
          <w:p w14:paraId="44B55481">
            <w:pPr>
              <w:jc w:val="center"/>
              <w:rPr>
                <w:rFonts w:ascii="Times New Roman" w:hAnsi="Times New Roman"/>
                <w:sz w:val="18"/>
                <w:szCs w:val="18"/>
              </w:rPr>
            </w:pPr>
            <w:r>
              <w:rPr>
                <w:rFonts w:hint="eastAsia" w:ascii="Times New Roman" w:hAnsi="Times New Roman"/>
                <w:sz w:val="18"/>
                <w:szCs w:val="18"/>
              </w:rPr>
              <w:t>二氧化碳质量分数</w:t>
            </w:r>
          </w:p>
          <w:p w14:paraId="5FF2190C">
            <w:pPr>
              <w:jc w:val="center"/>
              <w:rPr>
                <w:rFonts w:ascii="Times New Roman" w:hAnsi="Times New Roman"/>
                <w:sz w:val="18"/>
                <w:szCs w:val="18"/>
              </w:rPr>
            </w:pPr>
            <w:r>
              <w:rPr>
                <w:rFonts w:hint="eastAsia" w:ascii="Times New Roman" w:hAnsi="Times New Roman"/>
                <w:sz w:val="18"/>
                <w:szCs w:val="18"/>
              </w:rPr>
              <w:t>tCO</w:t>
            </w:r>
            <w:r>
              <w:rPr>
                <w:rFonts w:ascii="Times New Roman" w:hAnsi="Times New Roman"/>
                <w:sz w:val="18"/>
                <w:szCs w:val="18"/>
                <w:vertAlign w:val="subscript"/>
              </w:rPr>
              <w:t>2</w:t>
            </w:r>
            <w:r>
              <w:rPr>
                <w:rFonts w:hint="eastAsia" w:ascii="Times New Roman" w:hAnsi="Times New Roman"/>
                <w:sz w:val="18"/>
                <w:szCs w:val="18"/>
              </w:rPr>
              <w:t>/t</w:t>
            </w:r>
          </w:p>
        </w:tc>
      </w:tr>
      <w:tr w14:paraId="63FE18BD">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0A1E430E">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lang w:val="zh-TW" w:eastAsia="zh-TW" w:bidi="zh-TW"/>
              </w:rPr>
              <w:t>八水合碳酸铈 (Ⅲ)</w:t>
            </w:r>
          </w:p>
        </w:tc>
        <w:tc>
          <w:tcPr>
            <w:tcW w:w="1111" w:type="pct"/>
            <w:tcBorders>
              <w:top w:val="single" w:color="auto" w:sz="4" w:space="0"/>
              <w:left w:val="single" w:color="auto" w:sz="4" w:space="0"/>
              <w:right w:val="single" w:color="auto" w:sz="4" w:space="0"/>
            </w:tcBorders>
            <w:shd w:val="clear" w:color="auto" w:fill="FFFFFF"/>
            <w:vAlign w:val="center"/>
          </w:tcPr>
          <w:p w14:paraId="4E4D4F88">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Ce</w:t>
            </w:r>
            <w:r>
              <w:rPr>
                <w:rFonts w:hint="eastAsia" w:ascii="Times New Roman" w:hAnsi="Times New Roman"/>
                <w:sz w:val="18"/>
                <w:szCs w:val="18"/>
                <w:vertAlign w:val="subscript"/>
                <w:lang w:bidi="zh-TW"/>
              </w:rPr>
              <w:t>2</w:t>
            </w:r>
            <w:r>
              <w:rPr>
                <w:rFonts w:hint="eastAsia" w:ascii="Times New Roman" w:hAnsi="Times New Roman"/>
                <w:sz w:val="18"/>
                <w:szCs w:val="18"/>
                <w:vertAlign w:val="baseline"/>
                <w:lang w:val="en-US" w:eastAsia="zh-CN" w:bidi="zh-TW"/>
              </w:rPr>
              <w:t>(</w:t>
            </w:r>
            <w:r>
              <w:rPr>
                <w:rFonts w:hint="eastAsia" w:ascii="Times New Roman" w:hAnsi="Times New Roman"/>
                <w:sz w:val="18"/>
                <w:szCs w:val="18"/>
                <w:lang w:bidi="zh-TW"/>
              </w:rPr>
              <w:t>CO</w:t>
            </w:r>
            <w:r>
              <w:rPr>
                <w:rFonts w:hint="eastAsia" w:ascii="Times New Roman" w:hAnsi="Times New Roman"/>
                <w:sz w:val="18"/>
                <w:szCs w:val="18"/>
                <w:vertAlign w:val="subscript"/>
                <w:lang w:bidi="zh-TW"/>
              </w:rPr>
              <w:t>3</w:t>
            </w:r>
            <w:r>
              <w:rPr>
                <w:rFonts w:hint="eastAsia" w:ascii="Times New Roman" w:hAnsi="Times New Roman"/>
                <w:sz w:val="18"/>
                <w:szCs w:val="18"/>
                <w:lang w:val="en-US" w:eastAsia="zh-CN" w:bidi="zh-TW"/>
              </w:rPr>
              <w:t>)</w:t>
            </w:r>
            <w:r>
              <w:rPr>
                <w:rFonts w:hint="eastAsia" w:ascii="Times New Roman" w:hAnsi="Times New Roman"/>
                <w:sz w:val="18"/>
                <w:szCs w:val="18"/>
                <w:vertAlign w:val="subscript"/>
                <w:lang w:bidi="zh-TW"/>
              </w:rPr>
              <w:t>3</w:t>
            </w:r>
            <w:r>
              <w:rPr>
                <w:rFonts w:hint="eastAsia" w:ascii="Times New Roman" w:hAnsi="Times New Roman"/>
                <w:sz w:val="18"/>
                <w:szCs w:val="18"/>
                <w:lang w:bidi="zh-TW"/>
              </w:rPr>
              <w:t>·8H</w:t>
            </w:r>
            <w:r>
              <w:rPr>
                <w:rFonts w:hint="eastAsia" w:ascii="Times New Roman" w:hAnsi="Times New Roman"/>
                <w:sz w:val="18"/>
                <w:szCs w:val="18"/>
                <w:vertAlign w:val="subscript"/>
                <w:lang w:bidi="zh-TW"/>
              </w:rPr>
              <w:t>2</w:t>
            </w:r>
            <w:r>
              <w:rPr>
                <w:rFonts w:hint="eastAsia" w:ascii="Times New Roman" w:hAnsi="Times New Roman"/>
                <w:sz w:val="18"/>
                <w:szCs w:val="18"/>
                <w:lang w:bidi="zh-TW"/>
              </w:rPr>
              <w:t>O</w:t>
            </w:r>
          </w:p>
        </w:tc>
        <w:tc>
          <w:tcPr>
            <w:tcW w:w="1111" w:type="pct"/>
            <w:tcBorders>
              <w:top w:val="single" w:color="auto" w:sz="4" w:space="0"/>
              <w:left w:val="single" w:color="auto" w:sz="4" w:space="0"/>
              <w:right w:val="single" w:color="auto" w:sz="4" w:space="0"/>
            </w:tcBorders>
            <w:shd w:val="clear" w:color="auto" w:fill="FFFFFF"/>
            <w:vAlign w:val="center"/>
          </w:tcPr>
          <w:p w14:paraId="7775A451">
            <w:pPr>
              <w:pStyle w:val="153"/>
              <w:spacing w:after="0" w:line="240" w:lineRule="auto"/>
              <w:ind w:firstLine="0"/>
              <w:jc w:val="center"/>
              <w:rPr>
                <w:rFonts w:ascii="Times New Roman" w:hAnsi="Times New Roman"/>
                <w:sz w:val="18"/>
                <w:szCs w:val="18"/>
                <w:lang w:val="zh-TW" w:eastAsia="zh-TW" w:bidi="zh-TW"/>
              </w:rPr>
            </w:pPr>
            <w:r>
              <w:rPr>
                <w:rFonts w:hint="eastAsia" w:ascii="Times New Roman" w:hAnsi="Times New Roman"/>
                <w:sz w:val="18"/>
                <w:szCs w:val="18"/>
              </w:rPr>
              <w:t>604.37</w:t>
            </w:r>
          </w:p>
        </w:tc>
        <w:tc>
          <w:tcPr>
            <w:tcW w:w="1199" w:type="pct"/>
            <w:tcBorders>
              <w:top w:val="single" w:color="auto" w:sz="4" w:space="0"/>
              <w:left w:val="single" w:color="auto" w:sz="4" w:space="0"/>
              <w:right w:val="single" w:color="auto" w:sz="4" w:space="0"/>
            </w:tcBorders>
            <w:shd w:val="clear" w:color="auto" w:fill="FFFFFF"/>
            <w:vAlign w:val="center"/>
          </w:tcPr>
          <w:p w14:paraId="0B3D2DCE">
            <w:pPr>
              <w:jc w:val="center"/>
              <w:rPr>
                <w:rFonts w:ascii="Times New Roman" w:hAnsi="Times New Roman" w:cs="宋体"/>
                <w:sz w:val="18"/>
                <w:szCs w:val="18"/>
              </w:rPr>
            </w:pPr>
            <w:r>
              <w:rPr>
                <w:rFonts w:hint="eastAsia" w:ascii="Times New Roman" w:hAnsi="Times New Roman" w:cs="宋体"/>
                <w:sz w:val="18"/>
                <w:szCs w:val="18"/>
              </w:rPr>
              <w:t>0.2185</w:t>
            </w:r>
          </w:p>
        </w:tc>
      </w:tr>
      <w:tr w14:paraId="0C521ADE">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2DAA2F47">
            <w:pPr>
              <w:pStyle w:val="153"/>
              <w:spacing w:after="0" w:line="240" w:lineRule="auto"/>
              <w:ind w:firstLine="0"/>
              <w:jc w:val="center"/>
              <w:rPr>
                <w:rFonts w:ascii="Times New Roman" w:hAnsi="Times New Roman"/>
                <w:sz w:val="18"/>
                <w:szCs w:val="18"/>
                <w:lang w:val="zh-TW" w:eastAsia="zh-TW" w:bidi="zh-TW"/>
              </w:rPr>
            </w:pPr>
            <w:r>
              <w:rPr>
                <w:rFonts w:hint="eastAsia" w:ascii="Times New Roman" w:hAnsi="Times New Roman"/>
                <w:sz w:val="18"/>
                <w:szCs w:val="18"/>
                <w:lang w:val="zh-TW" w:eastAsia="zh-TW" w:bidi="zh-TW"/>
              </w:rPr>
              <w:t>十水合草酸铈（Ⅲ）</w:t>
            </w:r>
          </w:p>
        </w:tc>
        <w:tc>
          <w:tcPr>
            <w:tcW w:w="1111" w:type="pct"/>
            <w:tcBorders>
              <w:top w:val="single" w:color="auto" w:sz="4" w:space="0"/>
              <w:left w:val="single" w:color="auto" w:sz="4" w:space="0"/>
              <w:right w:val="single" w:color="auto" w:sz="4" w:space="0"/>
            </w:tcBorders>
            <w:shd w:val="clear" w:color="auto" w:fill="FFFFFF"/>
            <w:vAlign w:val="center"/>
          </w:tcPr>
          <w:p w14:paraId="3CDEDE41">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Ce</w:t>
            </w:r>
            <w:r>
              <w:rPr>
                <w:rFonts w:hint="eastAsia" w:ascii="Times New Roman" w:hAnsi="Times New Roman"/>
                <w:sz w:val="18"/>
                <w:szCs w:val="18"/>
                <w:vertAlign w:val="subscript"/>
                <w:lang w:bidi="zh-TW"/>
              </w:rPr>
              <w:t>2</w:t>
            </w:r>
            <w:r>
              <w:rPr>
                <w:rFonts w:hint="eastAsia" w:ascii="Times New Roman" w:hAnsi="Times New Roman"/>
                <w:sz w:val="18"/>
                <w:szCs w:val="18"/>
                <w:vertAlign w:val="baseline"/>
                <w:lang w:val="en-US" w:eastAsia="zh-CN" w:bidi="zh-TW"/>
              </w:rPr>
              <w:t>(</w:t>
            </w:r>
            <w:r>
              <w:rPr>
                <w:rFonts w:hint="eastAsia" w:ascii="Times New Roman" w:hAnsi="Times New Roman"/>
                <w:sz w:val="18"/>
                <w:szCs w:val="18"/>
                <w:lang w:bidi="zh-TW"/>
              </w:rPr>
              <w:t>C</w:t>
            </w:r>
            <w:r>
              <w:rPr>
                <w:rFonts w:ascii="Times New Roman" w:hAnsi="Times New Roman"/>
                <w:sz w:val="18"/>
                <w:szCs w:val="18"/>
                <w:vertAlign w:val="subscript"/>
                <w:lang w:bidi="zh-TW"/>
              </w:rPr>
              <w:t>2</w:t>
            </w:r>
            <w:r>
              <w:rPr>
                <w:rFonts w:hint="eastAsia" w:ascii="Times New Roman" w:hAnsi="Times New Roman"/>
                <w:sz w:val="18"/>
                <w:szCs w:val="18"/>
                <w:lang w:bidi="zh-TW"/>
              </w:rPr>
              <w:t>O</w:t>
            </w:r>
            <w:r>
              <w:rPr>
                <w:rFonts w:hint="eastAsia" w:ascii="Times New Roman" w:hAnsi="Times New Roman"/>
                <w:sz w:val="18"/>
                <w:szCs w:val="18"/>
                <w:vertAlign w:val="subscript"/>
                <w:lang w:bidi="zh-TW"/>
              </w:rPr>
              <w:t>4</w:t>
            </w:r>
            <w:r>
              <w:rPr>
                <w:rFonts w:hint="eastAsia" w:ascii="Times New Roman" w:hAnsi="Times New Roman"/>
                <w:sz w:val="18"/>
                <w:szCs w:val="18"/>
                <w:lang w:val="en-US" w:eastAsia="zh-CN" w:bidi="zh-TW"/>
              </w:rPr>
              <w:t>)</w:t>
            </w:r>
            <w:r>
              <w:rPr>
                <w:rFonts w:hint="eastAsia" w:ascii="Times New Roman" w:hAnsi="Times New Roman"/>
                <w:sz w:val="18"/>
                <w:szCs w:val="18"/>
                <w:vertAlign w:val="subscript"/>
                <w:lang w:bidi="zh-TW"/>
              </w:rPr>
              <w:t>3</w:t>
            </w:r>
            <w:r>
              <w:rPr>
                <w:rFonts w:hint="eastAsia" w:ascii="Times New Roman" w:hAnsi="Times New Roman"/>
                <w:sz w:val="18"/>
                <w:szCs w:val="18"/>
                <w:lang w:bidi="zh-TW"/>
              </w:rPr>
              <w:t>·10H</w:t>
            </w:r>
            <w:r>
              <w:rPr>
                <w:rFonts w:hint="eastAsia" w:ascii="Times New Roman" w:hAnsi="Times New Roman"/>
                <w:sz w:val="18"/>
                <w:szCs w:val="18"/>
                <w:vertAlign w:val="subscript"/>
                <w:lang w:bidi="zh-TW"/>
              </w:rPr>
              <w:t>2</w:t>
            </w:r>
            <w:r>
              <w:rPr>
                <w:rFonts w:hint="eastAsia" w:ascii="Times New Roman" w:hAnsi="Times New Roman"/>
                <w:sz w:val="18"/>
                <w:szCs w:val="18"/>
                <w:lang w:bidi="zh-TW"/>
              </w:rPr>
              <w:t>O</w:t>
            </w:r>
          </w:p>
        </w:tc>
        <w:tc>
          <w:tcPr>
            <w:tcW w:w="1111" w:type="pct"/>
            <w:tcBorders>
              <w:top w:val="single" w:color="auto" w:sz="4" w:space="0"/>
              <w:left w:val="single" w:color="auto" w:sz="4" w:space="0"/>
              <w:right w:val="single" w:color="auto" w:sz="4" w:space="0"/>
            </w:tcBorders>
            <w:shd w:val="clear" w:color="auto" w:fill="FFFFFF"/>
            <w:vAlign w:val="center"/>
          </w:tcPr>
          <w:p w14:paraId="6D8AF328">
            <w:pPr>
              <w:pStyle w:val="153"/>
              <w:spacing w:after="0" w:line="240" w:lineRule="auto"/>
              <w:ind w:firstLine="0"/>
              <w:jc w:val="center"/>
              <w:rPr>
                <w:rFonts w:ascii="Times New Roman" w:hAnsi="Times New Roman"/>
                <w:sz w:val="18"/>
                <w:szCs w:val="18"/>
              </w:rPr>
            </w:pPr>
            <w:r>
              <w:rPr>
                <w:rFonts w:ascii="Times New Roman" w:hAnsi="Times New Roman"/>
                <w:sz w:val="18"/>
                <w:szCs w:val="18"/>
              </w:rPr>
              <w:t>704.47</w:t>
            </w:r>
          </w:p>
        </w:tc>
        <w:tc>
          <w:tcPr>
            <w:tcW w:w="1199" w:type="pct"/>
            <w:tcBorders>
              <w:top w:val="single" w:color="auto" w:sz="4" w:space="0"/>
              <w:left w:val="single" w:color="auto" w:sz="4" w:space="0"/>
              <w:right w:val="single" w:color="auto" w:sz="4" w:space="0"/>
            </w:tcBorders>
            <w:shd w:val="clear" w:color="auto" w:fill="FFFFFF"/>
            <w:vAlign w:val="center"/>
          </w:tcPr>
          <w:p w14:paraId="1DBB5921">
            <w:pPr>
              <w:jc w:val="center"/>
              <w:rPr>
                <w:rFonts w:ascii="Times New Roman" w:hAnsi="Times New Roman" w:cs="宋体"/>
                <w:sz w:val="18"/>
                <w:szCs w:val="18"/>
              </w:rPr>
            </w:pPr>
            <w:r>
              <w:rPr>
                <w:rFonts w:ascii="Times New Roman" w:hAnsi="Times New Roman" w:cs="宋体"/>
                <w:sz w:val="18"/>
                <w:szCs w:val="18"/>
              </w:rPr>
              <w:t>0.2499</w:t>
            </w:r>
          </w:p>
        </w:tc>
      </w:tr>
      <w:tr w14:paraId="221110F8">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0A4E5DE9">
            <w:pPr>
              <w:pStyle w:val="153"/>
              <w:spacing w:after="0" w:line="240" w:lineRule="auto"/>
              <w:ind w:firstLine="0"/>
              <w:jc w:val="center"/>
              <w:rPr>
                <w:rFonts w:ascii="Times New Roman" w:hAnsi="Times New Roman"/>
                <w:sz w:val="18"/>
                <w:szCs w:val="18"/>
                <w:lang w:val="zh-TW" w:eastAsia="zh-TW" w:bidi="zh-TW"/>
              </w:rPr>
            </w:pPr>
            <w:r>
              <w:rPr>
                <w:rFonts w:hint="eastAsia" w:ascii="Times New Roman" w:hAnsi="Times New Roman"/>
                <w:sz w:val="18"/>
                <w:szCs w:val="18"/>
                <w:lang w:bidi="zh-TW"/>
              </w:rPr>
              <w:t>无水</w:t>
            </w:r>
            <w:r>
              <w:rPr>
                <w:rFonts w:hint="eastAsia" w:ascii="Times New Roman" w:hAnsi="Times New Roman"/>
                <w:sz w:val="18"/>
                <w:szCs w:val="18"/>
                <w:lang w:val="zh-TW" w:eastAsia="zh-TW" w:bidi="zh-TW"/>
              </w:rPr>
              <w:t>碳酸铈 (Ⅲ)</w:t>
            </w:r>
          </w:p>
        </w:tc>
        <w:tc>
          <w:tcPr>
            <w:tcW w:w="1111" w:type="pct"/>
            <w:tcBorders>
              <w:top w:val="single" w:color="auto" w:sz="4" w:space="0"/>
              <w:left w:val="single" w:color="auto" w:sz="4" w:space="0"/>
              <w:right w:val="single" w:color="auto" w:sz="4" w:space="0"/>
            </w:tcBorders>
            <w:shd w:val="clear" w:color="auto" w:fill="FFFFFF"/>
            <w:vAlign w:val="center"/>
          </w:tcPr>
          <w:p w14:paraId="6DF16C4E">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Ce</w:t>
            </w:r>
            <w:r>
              <w:rPr>
                <w:rFonts w:hint="eastAsia" w:ascii="Times New Roman" w:hAnsi="Times New Roman"/>
                <w:sz w:val="18"/>
                <w:szCs w:val="18"/>
                <w:vertAlign w:val="subscript"/>
                <w:lang w:bidi="zh-TW"/>
              </w:rPr>
              <w:t>2</w:t>
            </w:r>
            <w:r>
              <w:rPr>
                <w:rFonts w:hint="eastAsia" w:ascii="Times New Roman" w:hAnsi="Times New Roman"/>
                <w:sz w:val="18"/>
                <w:szCs w:val="18"/>
                <w:vertAlign w:val="baseline"/>
                <w:lang w:val="en-US" w:eastAsia="zh-CN" w:bidi="zh-TW"/>
              </w:rPr>
              <w:t>(</w:t>
            </w:r>
            <w:r>
              <w:rPr>
                <w:rFonts w:hint="eastAsia" w:ascii="Times New Roman" w:hAnsi="Times New Roman"/>
                <w:sz w:val="18"/>
                <w:szCs w:val="18"/>
                <w:lang w:bidi="zh-TW"/>
              </w:rPr>
              <w:t>CO</w:t>
            </w:r>
            <w:r>
              <w:rPr>
                <w:rFonts w:hint="eastAsia" w:ascii="Times New Roman" w:hAnsi="Times New Roman"/>
                <w:sz w:val="18"/>
                <w:szCs w:val="18"/>
                <w:vertAlign w:val="subscript"/>
                <w:lang w:bidi="zh-TW"/>
              </w:rPr>
              <w:t>3</w:t>
            </w:r>
            <w:r>
              <w:rPr>
                <w:rFonts w:hint="eastAsia" w:ascii="Times New Roman" w:hAnsi="Times New Roman"/>
                <w:sz w:val="18"/>
                <w:szCs w:val="18"/>
                <w:lang w:val="en-US" w:eastAsia="zh-CN" w:bidi="zh-TW"/>
              </w:rPr>
              <w:t>)</w:t>
            </w:r>
            <w:r>
              <w:rPr>
                <w:rFonts w:hint="eastAsia" w:ascii="Times New Roman" w:hAnsi="Times New Roman"/>
                <w:sz w:val="18"/>
                <w:szCs w:val="18"/>
                <w:vertAlign w:val="subscript"/>
                <w:lang w:bidi="zh-TW"/>
              </w:rPr>
              <w:t>3</w:t>
            </w:r>
          </w:p>
        </w:tc>
        <w:tc>
          <w:tcPr>
            <w:tcW w:w="1111" w:type="pct"/>
            <w:tcBorders>
              <w:top w:val="single" w:color="auto" w:sz="4" w:space="0"/>
              <w:left w:val="single" w:color="auto" w:sz="4" w:space="0"/>
              <w:right w:val="single" w:color="auto" w:sz="4" w:space="0"/>
            </w:tcBorders>
            <w:shd w:val="clear" w:color="auto" w:fill="FFFFFF"/>
            <w:vAlign w:val="center"/>
          </w:tcPr>
          <w:p w14:paraId="14B9E112">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rPr>
              <w:t>460.25</w:t>
            </w:r>
          </w:p>
        </w:tc>
        <w:tc>
          <w:tcPr>
            <w:tcW w:w="1199" w:type="pct"/>
            <w:tcBorders>
              <w:top w:val="single" w:color="auto" w:sz="4" w:space="0"/>
              <w:left w:val="single" w:color="auto" w:sz="4" w:space="0"/>
              <w:right w:val="single" w:color="auto" w:sz="4" w:space="0"/>
            </w:tcBorders>
            <w:shd w:val="clear" w:color="auto" w:fill="FFFFFF"/>
            <w:vAlign w:val="center"/>
          </w:tcPr>
          <w:p w14:paraId="1804D00A">
            <w:pPr>
              <w:jc w:val="center"/>
              <w:rPr>
                <w:rFonts w:ascii="Times New Roman" w:hAnsi="Times New Roman" w:cs="宋体"/>
                <w:sz w:val="18"/>
                <w:szCs w:val="18"/>
              </w:rPr>
            </w:pPr>
            <w:r>
              <w:rPr>
                <w:rFonts w:hint="eastAsia" w:ascii="Times New Roman" w:hAnsi="Times New Roman" w:cs="宋体"/>
                <w:sz w:val="18"/>
                <w:szCs w:val="18"/>
              </w:rPr>
              <w:t>0.2869</w:t>
            </w:r>
          </w:p>
        </w:tc>
      </w:tr>
      <w:tr w14:paraId="249C542E">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5BEC8499">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rPr>
              <w:t>无水碳酸镧</w:t>
            </w:r>
          </w:p>
        </w:tc>
        <w:tc>
          <w:tcPr>
            <w:tcW w:w="1111" w:type="pct"/>
            <w:tcBorders>
              <w:top w:val="single" w:color="auto" w:sz="4" w:space="0"/>
              <w:left w:val="single" w:color="auto" w:sz="4" w:space="0"/>
              <w:right w:val="single" w:color="auto" w:sz="4" w:space="0"/>
            </w:tcBorders>
            <w:shd w:val="clear" w:color="auto" w:fill="FFFFFF"/>
            <w:vAlign w:val="center"/>
          </w:tcPr>
          <w:p w14:paraId="72AFB4BE">
            <w:pPr>
              <w:pStyle w:val="153"/>
              <w:spacing w:after="0" w:line="240" w:lineRule="auto"/>
              <w:ind w:firstLine="0"/>
              <w:jc w:val="center"/>
              <w:rPr>
                <w:rFonts w:ascii="Times New Roman" w:hAnsi="Times New Roman"/>
                <w:sz w:val="18"/>
                <w:szCs w:val="18"/>
                <w:lang w:val="zh-TW" w:eastAsia="zh-TW" w:bidi="zh-TW"/>
              </w:rPr>
            </w:pPr>
            <w:r>
              <w:rPr>
                <w:rFonts w:hint="eastAsia" w:ascii="Times New Roman" w:hAnsi="Times New Roman"/>
                <w:sz w:val="18"/>
                <w:szCs w:val="18"/>
                <w:lang w:bidi="zh-TW"/>
              </w:rPr>
              <w:t>La</w:t>
            </w:r>
            <w:r>
              <w:rPr>
                <w:rFonts w:hint="eastAsia" w:ascii="Times New Roman" w:hAnsi="Times New Roman"/>
                <w:sz w:val="18"/>
                <w:szCs w:val="18"/>
                <w:vertAlign w:val="subscript"/>
                <w:lang w:bidi="zh-TW"/>
              </w:rPr>
              <w:t>2</w:t>
            </w:r>
            <w:r>
              <w:rPr>
                <w:rFonts w:hint="eastAsia" w:ascii="Times New Roman" w:hAnsi="Times New Roman"/>
                <w:sz w:val="18"/>
                <w:szCs w:val="18"/>
                <w:vertAlign w:val="baseline"/>
                <w:lang w:val="en-US" w:eastAsia="zh-CN" w:bidi="zh-TW"/>
              </w:rPr>
              <w:t>(</w:t>
            </w:r>
            <w:r>
              <w:rPr>
                <w:rFonts w:hint="eastAsia" w:ascii="Times New Roman" w:hAnsi="Times New Roman"/>
                <w:sz w:val="18"/>
                <w:szCs w:val="18"/>
                <w:lang w:bidi="zh-TW"/>
              </w:rPr>
              <w:t>CO</w:t>
            </w:r>
            <w:r>
              <w:rPr>
                <w:rFonts w:hint="eastAsia" w:ascii="Times New Roman" w:hAnsi="Times New Roman"/>
                <w:sz w:val="18"/>
                <w:szCs w:val="18"/>
                <w:vertAlign w:val="subscript"/>
                <w:lang w:bidi="zh-TW"/>
              </w:rPr>
              <w:t>3</w:t>
            </w:r>
            <w:r>
              <w:rPr>
                <w:rFonts w:hint="eastAsia" w:ascii="Times New Roman" w:hAnsi="Times New Roman"/>
                <w:sz w:val="18"/>
                <w:szCs w:val="18"/>
                <w:lang w:val="en-US" w:eastAsia="zh-CN" w:bidi="zh-TW"/>
              </w:rPr>
              <w:t>)</w:t>
            </w:r>
            <w:r>
              <w:rPr>
                <w:rFonts w:hint="eastAsia" w:ascii="Times New Roman" w:hAnsi="Times New Roman"/>
                <w:sz w:val="18"/>
                <w:szCs w:val="18"/>
                <w:vertAlign w:val="subscript"/>
                <w:lang w:bidi="zh-TW"/>
              </w:rPr>
              <w:t>3</w:t>
            </w:r>
          </w:p>
        </w:tc>
        <w:tc>
          <w:tcPr>
            <w:tcW w:w="1111" w:type="pct"/>
            <w:tcBorders>
              <w:top w:val="single" w:color="auto" w:sz="4" w:space="0"/>
              <w:left w:val="single" w:color="auto" w:sz="4" w:space="0"/>
              <w:right w:val="single" w:color="auto" w:sz="4" w:space="0"/>
            </w:tcBorders>
            <w:shd w:val="clear" w:color="auto" w:fill="FFFFFF"/>
            <w:vAlign w:val="center"/>
          </w:tcPr>
          <w:p w14:paraId="7A0A80E5">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457.84</w:t>
            </w:r>
          </w:p>
        </w:tc>
        <w:tc>
          <w:tcPr>
            <w:tcW w:w="1199" w:type="pct"/>
            <w:tcBorders>
              <w:top w:val="single" w:color="auto" w:sz="4" w:space="0"/>
              <w:left w:val="single" w:color="auto" w:sz="4" w:space="0"/>
              <w:right w:val="single" w:color="auto" w:sz="4" w:space="0"/>
            </w:tcBorders>
            <w:shd w:val="clear" w:color="auto" w:fill="FFFFFF"/>
            <w:vAlign w:val="center"/>
          </w:tcPr>
          <w:p w14:paraId="1D21C5E2">
            <w:pPr>
              <w:jc w:val="center"/>
              <w:rPr>
                <w:rFonts w:ascii="Times New Roman" w:hAnsi="Times New Roman" w:cs="宋体"/>
                <w:sz w:val="18"/>
                <w:szCs w:val="18"/>
              </w:rPr>
            </w:pPr>
            <w:r>
              <w:rPr>
                <w:rFonts w:hint="eastAsia" w:ascii="Times New Roman" w:hAnsi="Times New Roman" w:cs="宋体"/>
                <w:sz w:val="18"/>
                <w:szCs w:val="18"/>
              </w:rPr>
              <w:t>0.2884</w:t>
            </w:r>
          </w:p>
        </w:tc>
      </w:tr>
      <w:tr w14:paraId="085A1CAC">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09C3FC46">
            <w:pPr>
              <w:pStyle w:val="153"/>
              <w:spacing w:after="0" w:line="240" w:lineRule="auto"/>
              <w:ind w:firstLine="0"/>
              <w:jc w:val="center"/>
              <w:rPr>
                <w:rFonts w:hint="eastAsia" w:ascii="Times New Roman" w:hAnsi="Times New Roman" w:eastAsia="宋体"/>
                <w:sz w:val="18"/>
                <w:szCs w:val="18"/>
                <w:lang w:val="en-US" w:eastAsia="zh-CN"/>
              </w:rPr>
            </w:pPr>
            <w:r>
              <w:rPr>
                <w:rFonts w:hint="eastAsia" w:ascii="Times New Roman" w:hAnsi="Times New Roman"/>
                <w:sz w:val="18"/>
                <w:szCs w:val="18"/>
                <w:lang w:val="zh-TW" w:eastAsia="zh-TW" w:bidi="zh-TW"/>
              </w:rPr>
              <w:t>八水合碳酸</w:t>
            </w:r>
            <w:r>
              <w:rPr>
                <w:rFonts w:hint="eastAsia" w:ascii="Times New Roman" w:hAnsi="Times New Roman"/>
                <w:sz w:val="18"/>
                <w:szCs w:val="18"/>
                <w:lang w:val="en-US" w:eastAsia="zh-CN" w:bidi="zh-TW"/>
              </w:rPr>
              <w:t>镧</w:t>
            </w:r>
          </w:p>
        </w:tc>
        <w:tc>
          <w:tcPr>
            <w:tcW w:w="1111" w:type="pct"/>
            <w:tcBorders>
              <w:top w:val="single" w:color="auto" w:sz="4" w:space="0"/>
              <w:left w:val="single" w:color="auto" w:sz="4" w:space="0"/>
              <w:right w:val="single" w:color="auto" w:sz="4" w:space="0"/>
            </w:tcBorders>
            <w:shd w:val="clear" w:color="auto" w:fill="FFFFFF"/>
            <w:vAlign w:val="center"/>
          </w:tcPr>
          <w:p w14:paraId="12D90695">
            <w:pPr>
              <w:pStyle w:val="153"/>
              <w:spacing w:after="0" w:line="240" w:lineRule="auto"/>
              <w:ind w:firstLine="0"/>
              <w:jc w:val="center"/>
              <w:rPr>
                <w:rFonts w:hint="eastAsia" w:ascii="Times New Roman" w:hAnsi="Times New Roman"/>
                <w:sz w:val="18"/>
                <w:szCs w:val="18"/>
                <w:lang w:bidi="zh-TW"/>
              </w:rPr>
            </w:pPr>
            <w:r>
              <w:rPr>
                <w:rFonts w:hint="eastAsia" w:ascii="Times New Roman" w:hAnsi="Times New Roman"/>
                <w:sz w:val="18"/>
                <w:szCs w:val="18"/>
                <w:lang w:bidi="zh-TW"/>
              </w:rPr>
              <w:t>La</w:t>
            </w:r>
            <w:r>
              <w:rPr>
                <w:rFonts w:hint="eastAsia" w:ascii="Times New Roman" w:hAnsi="Times New Roman"/>
                <w:sz w:val="18"/>
                <w:szCs w:val="18"/>
                <w:vertAlign w:val="subscript"/>
                <w:lang w:bidi="zh-TW"/>
              </w:rPr>
              <w:t>2</w:t>
            </w:r>
            <w:r>
              <w:rPr>
                <w:rFonts w:hint="eastAsia" w:ascii="Times New Roman" w:hAnsi="Times New Roman"/>
                <w:sz w:val="18"/>
                <w:szCs w:val="18"/>
                <w:vertAlign w:val="baseline"/>
                <w:lang w:val="en-US" w:eastAsia="zh-CN" w:bidi="zh-TW"/>
              </w:rPr>
              <w:t>(</w:t>
            </w:r>
            <w:r>
              <w:rPr>
                <w:rFonts w:hint="eastAsia" w:ascii="Times New Roman" w:hAnsi="Times New Roman"/>
                <w:sz w:val="18"/>
                <w:szCs w:val="18"/>
                <w:lang w:bidi="zh-TW"/>
              </w:rPr>
              <w:t>CO</w:t>
            </w:r>
            <w:r>
              <w:rPr>
                <w:rFonts w:hint="eastAsia" w:ascii="Times New Roman" w:hAnsi="Times New Roman"/>
                <w:sz w:val="18"/>
                <w:szCs w:val="18"/>
                <w:vertAlign w:val="subscript"/>
                <w:lang w:bidi="zh-TW"/>
              </w:rPr>
              <w:t>3</w:t>
            </w:r>
            <w:r>
              <w:rPr>
                <w:rFonts w:hint="eastAsia" w:ascii="Times New Roman" w:hAnsi="Times New Roman"/>
                <w:sz w:val="18"/>
                <w:szCs w:val="18"/>
                <w:lang w:val="en-US" w:eastAsia="zh-CN" w:bidi="zh-TW"/>
              </w:rPr>
              <w:t>)</w:t>
            </w:r>
            <w:r>
              <w:rPr>
                <w:rFonts w:hint="eastAsia" w:ascii="Times New Roman" w:hAnsi="Times New Roman"/>
                <w:sz w:val="18"/>
                <w:szCs w:val="18"/>
                <w:vertAlign w:val="subscript"/>
                <w:lang w:bidi="zh-TW"/>
              </w:rPr>
              <w:t>3</w:t>
            </w:r>
            <w:r>
              <w:rPr>
                <w:rFonts w:hint="eastAsia" w:ascii="Times New Roman" w:hAnsi="Times New Roman"/>
                <w:sz w:val="18"/>
                <w:szCs w:val="18"/>
                <w:lang w:bidi="zh-TW"/>
              </w:rPr>
              <w:t>·8H</w:t>
            </w:r>
            <w:r>
              <w:rPr>
                <w:rFonts w:hint="eastAsia" w:ascii="Times New Roman" w:hAnsi="Times New Roman"/>
                <w:sz w:val="18"/>
                <w:szCs w:val="18"/>
                <w:vertAlign w:val="subscript"/>
                <w:lang w:bidi="zh-TW"/>
              </w:rPr>
              <w:t>2</w:t>
            </w:r>
            <w:r>
              <w:rPr>
                <w:rFonts w:hint="eastAsia" w:ascii="Times New Roman" w:hAnsi="Times New Roman"/>
                <w:sz w:val="18"/>
                <w:szCs w:val="18"/>
                <w:lang w:bidi="zh-TW"/>
              </w:rPr>
              <w:t>O</w:t>
            </w:r>
          </w:p>
        </w:tc>
        <w:tc>
          <w:tcPr>
            <w:tcW w:w="1111" w:type="pct"/>
            <w:tcBorders>
              <w:top w:val="single" w:color="auto" w:sz="4" w:space="0"/>
              <w:left w:val="single" w:color="auto" w:sz="4" w:space="0"/>
              <w:right w:val="single" w:color="auto" w:sz="4" w:space="0"/>
            </w:tcBorders>
            <w:shd w:val="clear" w:color="auto" w:fill="FFFFFF"/>
            <w:vAlign w:val="center"/>
          </w:tcPr>
          <w:p w14:paraId="5D666270">
            <w:pPr>
              <w:pStyle w:val="153"/>
              <w:spacing w:after="0" w:line="240" w:lineRule="auto"/>
              <w:ind w:firstLine="0"/>
              <w:jc w:val="center"/>
              <w:rPr>
                <w:rFonts w:hint="default" w:ascii="Times New Roman" w:hAnsi="Times New Roman" w:eastAsia="宋体"/>
                <w:sz w:val="18"/>
                <w:szCs w:val="18"/>
                <w:lang w:val="en-US" w:eastAsia="zh-CN" w:bidi="zh-TW"/>
              </w:rPr>
            </w:pPr>
            <w:r>
              <w:rPr>
                <w:rFonts w:hint="eastAsia" w:ascii="Times New Roman" w:hAnsi="Times New Roman"/>
                <w:sz w:val="18"/>
                <w:szCs w:val="18"/>
                <w:lang w:val="en-US" w:eastAsia="zh-CN" w:bidi="zh-TW"/>
              </w:rPr>
              <w:t>601.96</w:t>
            </w:r>
          </w:p>
        </w:tc>
        <w:tc>
          <w:tcPr>
            <w:tcW w:w="1199" w:type="pct"/>
            <w:tcBorders>
              <w:top w:val="single" w:color="auto" w:sz="4" w:space="0"/>
              <w:left w:val="single" w:color="auto" w:sz="4" w:space="0"/>
              <w:right w:val="single" w:color="auto" w:sz="4" w:space="0"/>
            </w:tcBorders>
            <w:shd w:val="clear" w:color="auto" w:fill="FFFFFF"/>
            <w:vAlign w:val="center"/>
          </w:tcPr>
          <w:p w14:paraId="0936F387">
            <w:pPr>
              <w:jc w:val="center"/>
              <w:rPr>
                <w:rFonts w:hint="default" w:ascii="Times New Roman" w:hAnsi="Times New Roman" w:eastAsia="宋体" w:cs="宋体"/>
                <w:sz w:val="18"/>
                <w:szCs w:val="18"/>
                <w:lang w:val="en-US" w:eastAsia="zh-CN"/>
              </w:rPr>
            </w:pPr>
            <w:r>
              <w:rPr>
                <w:rFonts w:hint="eastAsia" w:cs="宋体"/>
                <w:sz w:val="18"/>
                <w:szCs w:val="18"/>
                <w:lang w:val="en-US" w:eastAsia="zh-CN"/>
              </w:rPr>
              <w:t>0.2193</w:t>
            </w:r>
          </w:p>
        </w:tc>
      </w:tr>
      <w:tr w14:paraId="1CCFC718">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69AAE007">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无水碳酸镨</w:t>
            </w:r>
          </w:p>
        </w:tc>
        <w:tc>
          <w:tcPr>
            <w:tcW w:w="1111" w:type="pct"/>
            <w:tcBorders>
              <w:top w:val="single" w:color="auto" w:sz="4" w:space="0"/>
              <w:left w:val="single" w:color="auto" w:sz="4" w:space="0"/>
              <w:right w:val="single" w:color="auto" w:sz="4" w:space="0"/>
            </w:tcBorders>
            <w:shd w:val="clear" w:color="auto" w:fill="FFFFFF"/>
            <w:vAlign w:val="center"/>
          </w:tcPr>
          <w:p w14:paraId="76C66CB1">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Pr</w:t>
            </w:r>
            <w:r>
              <w:rPr>
                <w:rFonts w:hint="eastAsia" w:ascii="Times New Roman" w:hAnsi="Times New Roman"/>
                <w:sz w:val="18"/>
                <w:szCs w:val="18"/>
                <w:vertAlign w:val="subscript"/>
                <w:lang w:bidi="zh-TW"/>
              </w:rPr>
              <w:t>2</w:t>
            </w:r>
            <w:r>
              <w:rPr>
                <w:rFonts w:hint="eastAsia" w:ascii="Times New Roman" w:hAnsi="Times New Roman"/>
                <w:sz w:val="18"/>
                <w:szCs w:val="18"/>
                <w:vertAlign w:val="baseline"/>
                <w:lang w:val="en-US" w:eastAsia="zh-CN" w:bidi="zh-TW"/>
              </w:rPr>
              <w:t>(</w:t>
            </w:r>
            <w:r>
              <w:rPr>
                <w:rFonts w:hint="eastAsia" w:ascii="Times New Roman" w:hAnsi="Times New Roman"/>
                <w:sz w:val="18"/>
                <w:szCs w:val="18"/>
                <w:lang w:bidi="zh-TW"/>
              </w:rPr>
              <w:t>CO</w:t>
            </w:r>
            <w:r>
              <w:rPr>
                <w:rFonts w:hint="eastAsia" w:ascii="Times New Roman" w:hAnsi="Times New Roman"/>
                <w:sz w:val="18"/>
                <w:szCs w:val="18"/>
                <w:vertAlign w:val="subscript"/>
                <w:lang w:bidi="zh-TW"/>
              </w:rPr>
              <w:t>3</w:t>
            </w:r>
            <w:r>
              <w:rPr>
                <w:rFonts w:hint="eastAsia" w:ascii="Times New Roman" w:hAnsi="Times New Roman"/>
                <w:sz w:val="18"/>
                <w:szCs w:val="18"/>
                <w:lang w:val="en-US" w:eastAsia="zh-CN" w:bidi="zh-TW"/>
              </w:rPr>
              <w:t>)</w:t>
            </w:r>
            <w:r>
              <w:rPr>
                <w:rFonts w:hint="eastAsia" w:ascii="Times New Roman" w:hAnsi="Times New Roman"/>
                <w:sz w:val="18"/>
                <w:szCs w:val="18"/>
                <w:vertAlign w:val="subscript"/>
                <w:lang w:bidi="zh-TW"/>
              </w:rPr>
              <w:t>3</w:t>
            </w:r>
          </w:p>
        </w:tc>
        <w:tc>
          <w:tcPr>
            <w:tcW w:w="1111" w:type="pct"/>
            <w:tcBorders>
              <w:top w:val="single" w:color="auto" w:sz="4" w:space="0"/>
              <w:left w:val="single" w:color="auto" w:sz="4" w:space="0"/>
              <w:right w:val="single" w:color="auto" w:sz="4" w:space="0"/>
            </w:tcBorders>
            <w:shd w:val="clear" w:color="auto" w:fill="FFFFFF"/>
            <w:vAlign w:val="center"/>
          </w:tcPr>
          <w:p w14:paraId="2D509246">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464.83</w:t>
            </w:r>
          </w:p>
        </w:tc>
        <w:tc>
          <w:tcPr>
            <w:tcW w:w="1199" w:type="pct"/>
            <w:tcBorders>
              <w:top w:val="single" w:color="auto" w:sz="4" w:space="0"/>
              <w:left w:val="single" w:color="auto" w:sz="4" w:space="0"/>
              <w:right w:val="single" w:color="auto" w:sz="4" w:space="0"/>
            </w:tcBorders>
            <w:shd w:val="clear" w:color="auto" w:fill="FFFFFF"/>
            <w:vAlign w:val="center"/>
          </w:tcPr>
          <w:p w14:paraId="04FCB810">
            <w:pPr>
              <w:jc w:val="center"/>
              <w:rPr>
                <w:rFonts w:ascii="Times New Roman" w:hAnsi="Times New Roman" w:cs="宋体"/>
                <w:sz w:val="18"/>
                <w:szCs w:val="18"/>
              </w:rPr>
            </w:pPr>
            <w:r>
              <w:rPr>
                <w:rFonts w:hint="eastAsia" w:ascii="Times New Roman" w:hAnsi="Times New Roman" w:cs="宋体"/>
                <w:sz w:val="18"/>
                <w:szCs w:val="18"/>
              </w:rPr>
              <w:t>0.2840</w:t>
            </w:r>
          </w:p>
        </w:tc>
      </w:tr>
      <w:tr w14:paraId="6443731C">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bottom w:val="single" w:color="auto" w:sz="4" w:space="0"/>
            </w:tcBorders>
            <w:shd w:val="clear" w:color="auto" w:fill="FFFFFF"/>
            <w:vAlign w:val="center"/>
          </w:tcPr>
          <w:p w14:paraId="772BC77A">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lang w:bidi="zh-TW"/>
              </w:rPr>
              <w:t>无水碳酸钕</w:t>
            </w:r>
          </w:p>
        </w:tc>
        <w:tc>
          <w:tcPr>
            <w:tcW w:w="1111" w:type="pct"/>
            <w:tcBorders>
              <w:top w:val="single" w:color="auto" w:sz="4" w:space="0"/>
              <w:left w:val="single" w:color="auto" w:sz="4" w:space="0"/>
              <w:bottom w:val="single" w:color="auto" w:sz="4" w:space="0"/>
              <w:right w:val="single" w:color="auto" w:sz="4" w:space="0"/>
            </w:tcBorders>
            <w:shd w:val="clear" w:color="auto" w:fill="FFFFFF"/>
            <w:vAlign w:val="center"/>
          </w:tcPr>
          <w:p w14:paraId="0BF6871B">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Nd</w:t>
            </w:r>
            <w:r>
              <w:rPr>
                <w:rFonts w:hint="eastAsia" w:ascii="Times New Roman" w:hAnsi="Times New Roman"/>
                <w:sz w:val="18"/>
                <w:szCs w:val="18"/>
                <w:vertAlign w:val="subscript"/>
                <w:lang w:bidi="zh-TW"/>
              </w:rPr>
              <w:t>2</w:t>
            </w:r>
            <w:r>
              <w:rPr>
                <w:rFonts w:hint="eastAsia" w:ascii="Times New Roman" w:hAnsi="Times New Roman"/>
                <w:sz w:val="18"/>
                <w:szCs w:val="18"/>
                <w:vertAlign w:val="baseline"/>
                <w:lang w:val="en-US" w:eastAsia="zh-CN" w:bidi="zh-TW"/>
              </w:rPr>
              <w:t>(</w:t>
            </w:r>
            <w:r>
              <w:rPr>
                <w:rFonts w:hint="eastAsia" w:ascii="Times New Roman" w:hAnsi="Times New Roman"/>
                <w:sz w:val="18"/>
                <w:szCs w:val="18"/>
                <w:lang w:bidi="zh-TW"/>
              </w:rPr>
              <w:t>CO</w:t>
            </w:r>
            <w:r>
              <w:rPr>
                <w:rFonts w:hint="eastAsia" w:ascii="Times New Roman" w:hAnsi="Times New Roman"/>
                <w:sz w:val="18"/>
                <w:szCs w:val="18"/>
                <w:vertAlign w:val="subscript"/>
                <w:lang w:bidi="zh-TW"/>
              </w:rPr>
              <w:t>3</w:t>
            </w:r>
            <w:r>
              <w:rPr>
                <w:rFonts w:hint="eastAsia" w:ascii="Times New Roman" w:hAnsi="Times New Roman"/>
                <w:sz w:val="18"/>
                <w:szCs w:val="18"/>
                <w:lang w:val="en-US" w:eastAsia="zh-CN" w:bidi="zh-TW"/>
              </w:rPr>
              <w:t>)</w:t>
            </w:r>
            <w:r>
              <w:rPr>
                <w:rFonts w:hint="eastAsia" w:ascii="Times New Roman" w:hAnsi="Times New Roman"/>
                <w:sz w:val="18"/>
                <w:szCs w:val="18"/>
                <w:vertAlign w:val="subscript"/>
                <w:lang w:bidi="zh-TW"/>
              </w:rPr>
              <w:t>3</w:t>
            </w:r>
          </w:p>
        </w:tc>
        <w:tc>
          <w:tcPr>
            <w:tcW w:w="1111" w:type="pct"/>
            <w:tcBorders>
              <w:top w:val="single" w:color="auto" w:sz="4" w:space="0"/>
              <w:left w:val="single" w:color="auto" w:sz="4" w:space="0"/>
              <w:bottom w:val="single" w:color="auto" w:sz="4" w:space="0"/>
              <w:right w:val="single" w:color="auto" w:sz="4" w:space="0"/>
            </w:tcBorders>
            <w:shd w:val="clear" w:color="auto" w:fill="FFFFFF"/>
            <w:vAlign w:val="center"/>
          </w:tcPr>
          <w:p w14:paraId="0151C1D2">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468.51</w:t>
            </w:r>
          </w:p>
        </w:tc>
        <w:tc>
          <w:tcPr>
            <w:tcW w:w="1199" w:type="pct"/>
            <w:tcBorders>
              <w:top w:val="single" w:color="auto" w:sz="4" w:space="0"/>
              <w:left w:val="single" w:color="auto" w:sz="4" w:space="0"/>
              <w:bottom w:val="single" w:color="auto" w:sz="4" w:space="0"/>
              <w:right w:val="single" w:color="auto" w:sz="4" w:space="0"/>
            </w:tcBorders>
            <w:shd w:val="clear" w:color="auto" w:fill="FFFFFF"/>
            <w:vAlign w:val="center"/>
          </w:tcPr>
          <w:p w14:paraId="2263E888">
            <w:pPr>
              <w:jc w:val="center"/>
              <w:rPr>
                <w:rFonts w:ascii="Times New Roman" w:hAnsi="Times New Roman" w:cs="宋体"/>
                <w:sz w:val="18"/>
                <w:szCs w:val="18"/>
              </w:rPr>
            </w:pPr>
            <w:r>
              <w:rPr>
                <w:rFonts w:hint="eastAsia" w:ascii="Times New Roman" w:hAnsi="Times New Roman" w:cs="宋体"/>
                <w:sz w:val="18"/>
                <w:szCs w:val="18"/>
              </w:rPr>
              <w:t>0.2818</w:t>
            </w:r>
          </w:p>
        </w:tc>
      </w:tr>
      <w:tr w14:paraId="4A867A4A">
        <w:tblPrEx>
          <w:tblCellMar>
            <w:top w:w="0" w:type="dxa"/>
            <w:left w:w="10" w:type="dxa"/>
            <w:bottom w:w="0" w:type="dxa"/>
            <w:right w:w="10" w:type="dxa"/>
          </w:tblCellMar>
        </w:tblPrEx>
        <w:trPr>
          <w:trHeight w:val="1506" w:hRule="exact"/>
        </w:trPr>
        <w:tc>
          <w:tcPr>
            <w:tcW w:w="5000"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E427C3A">
            <w:pPr>
              <w:rPr>
                <w:rFonts w:ascii="Times New Roman" w:hAnsi="Times New Roman" w:cs="宋体"/>
                <w:sz w:val="18"/>
                <w:szCs w:val="18"/>
                <w:lang w:bidi="zh-TW"/>
              </w:rPr>
            </w:pPr>
            <w:r>
              <w:rPr>
                <w:rFonts w:hint="eastAsia" w:ascii="Times New Roman" w:hAnsi="Times New Roman" w:cs="宋体"/>
                <w:sz w:val="18"/>
                <w:szCs w:val="18"/>
                <w:vertAlign w:val="superscript"/>
                <w:lang w:bidi="zh-TW"/>
              </w:rPr>
              <w:t>a</w:t>
            </w:r>
            <w:r>
              <w:rPr>
                <w:rFonts w:hint="eastAsia" w:ascii="Times New Roman" w:hAnsi="Times New Roman" w:cs="宋体"/>
                <w:sz w:val="18"/>
                <w:szCs w:val="18"/>
                <w:lang w:bidi="zh-TW"/>
              </w:rPr>
              <w:t>当物料带有其他结晶水数目，应根据实际结晶水摩尔数重新计算二氧化碳质量分数；</w:t>
            </w:r>
          </w:p>
          <w:p w14:paraId="55DA7CA6">
            <w:pPr>
              <w:jc w:val="left"/>
              <w:rPr>
                <w:rFonts w:ascii="Times New Roman" w:hAnsi="Times New Roman" w:cs="宋体"/>
                <w:sz w:val="18"/>
                <w:szCs w:val="18"/>
                <w:lang w:bidi="zh-TW"/>
              </w:rPr>
            </w:pPr>
            <w:r>
              <w:rPr>
                <w:rFonts w:hint="eastAsia" w:ascii="Times New Roman" w:hAnsi="Times New Roman" w:cs="宋体"/>
                <w:sz w:val="18"/>
                <w:szCs w:val="18"/>
                <w:vertAlign w:val="superscript"/>
                <w:lang w:bidi="zh-TW"/>
              </w:rPr>
              <w:t>b</w:t>
            </w:r>
            <w:r>
              <w:rPr>
                <w:rFonts w:hint="eastAsia" w:ascii="Times New Roman" w:hAnsi="Times New Roman" w:cs="宋体"/>
                <w:sz w:val="18"/>
                <w:szCs w:val="18"/>
                <w:lang w:bidi="zh-TW"/>
              </w:rPr>
              <w:t>表格给出的是二氧化碳理论质量分数（理论化学值）；实际核算的二氧化碳排放因子为本表数值乘以其分解比例；</w:t>
            </w:r>
          </w:p>
          <w:p w14:paraId="172F667F">
            <w:pPr>
              <w:jc w:val="left"/>
              <w:rPr>
                <w:rFonts w:hint="eastAsia" w:ascii="Times New Roman" w:hAnsi="Times New Roman" w:cs="宋体"/>
                <w:sz w:val="18"/>
                <w:szCs w:val="18"/>
                <w:lang w:bidi="zh-TW"/>
              </w:rPr>
            </w:pPr>
            <w:r>
              <w:rPr>
                <w:rFonts w:hint="eastAsia" w:ascii="Times New Roman" w:hAnsi="Times New Roman" w:cs="宋体"/>
                <w:sz w:val="18"/>
                <w:szCs w:val="18"/>
                <w:vertAlign w:val="superscript"/>
                <w:lang w:bidi="zh-TW"/>
              </w:rPr>
              <w:t>c</w:t>
            </w:r>
            <w:r>
              <w:rPr>
                <w:rFonts w:hint="eastAsia" w:ascii="Times New Roman" w:hAnsi="Times New Roman" w:cs="宋体"/>
                <w:sz w:val="18"/>
                <w:szCs w:val="18"/>
                <w:lang w:bidi="zh-TW"/>
              </w:rPr>
              <w:t>混合碳酸稀土按照各组分质量分数加权求取综合二氧化碳质量分数。</w:t>
            </w:r>
          </w:p>
          <w:p w14:paraId="42DD1DE0">
            <w:pPr>
              <w:jc w:val="left"/>
              <w:rPr>
                <w:rFonts w:hint="eastAsia" w:ascii="Times New Roman" w:hAnsi="Times New Roman" w:cs="宋体"/>
                <w:sz w:val="18"/>
                <w:szCs w:val="18"/>
                <w:lang w:bidi="zh-TW"/>
              </w:rPr>
            </w:pPr>
            <w:r>
              <w:rPr>
                <w:rFonts w:hint="eastAsia" w:ascii="Times New Roman" w:hAnsi="Times New Roman" w:cs="宋体"/>
                <w:sz w:val="18"/>
                <w:szCs w:val="18"/>
                <w:lang w:bidi="zh-TW"/>
              </w:rPr>
              <w:t>示例：某混合碳酸稀土，含八水合碳酸铈(III) 60%、八水合碳酸镧40%（质量分数）；查表 B.2，八水合碳酸铈 (III) 二氧化碳质量分数 0.2185 </w:t>
            </w:r>
            <w:r>
              <w:rPr>
                <w:rFonts w:hint="eastAsia" w:ascii="Times New Roman" w:hAnsi="Times New Roman"/>
                <w:sz w:val="18"/>
                <w:szCs w:val="18"/>
              </w:rPr>
              <w:t>tCO</w:t>
            </w:r>
            <w:r>
              <w:rPr>
                <w:rFonts w:ascii="Times New Roman" w:hAnsi="Times New Roman"/>
                <w:sz w:val="18"/>
                <w:szCs w:val="18"/>
                <w:vertAlign w:val="subscript"/>
              </w:rPr>
              <w:t>2</w:t>
            </w:r>
            <w:r>
              <w:rPr>
                <w:rFonts w:hint="eastAsia" w:ascii="Times New Roman" w:hAnsi="Times New Roman"/>
                <w:sz w:val="18"/>
                <w:szCs w:val="18"/>
              </w:rPr>
              <w:t>/t</w:t>
            </w:r>
            <w:r>
              <w:rPr>
                <w:rFonts w:hint="eastAsia" w:ascii="Times New Roman" w:hAnsi="Times New Roman" w:cs="宋体"/>
                <w:sz w:val="18"/>
                <w:szCs w:val="18"/>
                <w:lang w:bidi="zh-TW"/>
              </w:rPr>
              <w:t>，八水合碳酸镧 0.2193 </w:t>
            </w:r>
            <w:r>
              <w:rPr>
                <w:rFonts w:hint="eastAsia" w:ascii="Times New Roman" w:hAnsi="Times New Roman"/>
                <w:sz w:val="18"/>
                <w:szCs w:val="18"/>
              </w:rPr>
              <w:t>tCO</w:t>
            </w:r>
            <w:r>
              <w:rPr>
                <w:rFonts w:ascii="Times New Roman" w:hAnsi="Times New Roman"/>
                <w:sz w:val="18"/>
                <w:szCs w:val="18"/>
                <w:vertAlign w:val="subscript"/>
              </w:rPr>
              <w:t>2</w:t>
            </w:r>
            <w:r>
              <w:rPr>
                <w:rFonts w:hint="eastAsia" w:ascii="Times New Roman" w:hAnsi="Times New Roman"/>
                <w:sz w:val="18"/>
                <w:szCs w:val="18"/>
              </w:rPr>
              <w:t>/t</w:t>
            </w:r>
            <w:r>
              <w:rPr>
                <w:rFonts w:hint="eastAsia" w:ascii="Times New Roman" w:hAnsi="Times New Roman" w:cs="宋体"/>
                <w:sz w:val="18"/>
                <w:szCs w:val="18"/>
                <w:lang w:bidi="zh-TW"/>
              </w:rPr>
              <w:t>。综合二氧化碳质量分数 = 0.60</w:t>
            </w:r>
            <w:r>
              <w:rPr>
                <w:rFonts w:hint="eastAsia" w:cs="宋体"/>
                <w:sz w:val="18"/>
                <w:szCs w:val="18"/>
                <w:lang w:val="en-US" w:eastAsia="zh-CN" w:bidi="zh-TW"/>
              </w:rPr>
              <w:t>×</w:t>
            </w:r>
            <w:r>
              <w:rPr>
                <w:rFonts w:hint="eastAsia" w:ascii="Times New Roman" w:hAnsi="Times New Roman" w:cs="宋体"/>
                <w:sz w:val="18"/>
                <w:szCs w:val="18"/>
                <w:lang w:bidi="zh-TW"/>
              </w:rPr>
              <w:t>0.2185 + 0.40</w:t>
            </w:r>
            <w:r>
              <w:rPr>
                <w:rFonts w:hint="eastAsia" w:cs="宋体"/>
                <w:sz w:val="18"/>
                <w:szCs w:val="18"/>
                <w:lang w:val="en-US" w:eastAsia="zh-CN" w:bidi="zh-TW"/>
              </w:rPr>
              <w:t>×</w:t>
            </w:r>
            <w:r>
              <w:rPr>
                <w:rFonts w:hint="eastAsia" w:ascii="Times New Roman" w:hAnsi="Times New Roman" w:cs="宋体"/>
                <w:sz w:val="18"/>
                <w:szCs w:val="18"/>
                <w:lang w:bidi="zh-TW"/>
              </w:rPr>
              <w:t>0.2193=0.2188</w:t>
            </w:r>
            <w:r>
              <w:rPr>
                <w:rFonts w:hint="eastAsia" w:cs="宋体"/>
                <w:sz w:val="18"/>
                <w:szCs w:val="18"/>
                <w:lang w:val="en-US" w:eastAsia="zh-CN" w:bidi="zh-TW"/>
              </w:rPr>
              <w:t xml:space="preserve"> </w:t>
            </w:r>
            <w:r>
              <w:rPr>
                <w:rFonts w:hint="eastAsia" w:ascii="Times New Roman" w:hAnsi="Times New Roman"/>
                <w:sz w:val="18"/>
                <w:szCs w:val="18"/>
              </w:rPr>
              <w:t>tCO</w:t>
            </w:r>
            <w:r>
              <w:rPr>
                <w:rFonts w:ascii="Times New Roman" w:hAnsi="Times New Roman"/>
                <w:sz w:val="18"/>
                <w:szCs w:val="18"/>
                <w:vertAlign w:val="subscript"/>
              </w:rPr>
              <w:t>2</w:t>
            </w:r>
            <w:r>
              <w:rPr>
                <w:rFonts w:hint="eastAsia" w:ascii="Times New Roman" w:hAnsi="Times New Roman"/>
                <w:sz w:val="18"/>
                <w:szCs w:val="18"/>
              </w:rPr>
              <w:t>/t</w:t>
            </w:r>
            <w:r>
              <w:rPr>
                <w:rFonts w:hint="eastAsia" w:ascii="Times New Roman" w:hAnsi="Times New Roman" w:cs="宋体"/>
                <w:sz w:val="18"/>
                <w:szCs w:val="18"/>
                <w:lang w:bidi="zh-TW"/>
              </w:rPr>
              <w:t>。</w:t>
            </w:r>
          </w:p>
        </w:tc>
      </w:tr>
    </w:tbl>
    <w:p w14:paraId="7FE4BD72">
      <w:pPr>
        <w:ind w:firstLine="3152" w:firstLineChars="1501"/>
        <w:rPr>
          <w:rFonts w:hint="eastAsia" w:ascii="Times New Roman" w:hAnsi="Times New Roman" w:eastAsia="黑体"/>
          <w:bCs/>
          <w:szCs w:val="21"/>
        </w:rPr>
      </w:pPr>
    </w:p>
    <w:p w14:paraId="60D1A6F6">
      <w:pPr>
        <w:ind w:firstLine="3152" w:firstLineChars="1501"/>
        <w:rPr>
          <w:rFonts w:hint="eastAsia" w:ascii="Times New Roman" w:hAnsi="Times New Roman" w:eastAsia="黑体"/>
          <w:bCs/>
          <w:szCs w:val="21"/>
        </w:rPr>
      </w:pPr>
    </w:p>
    <w:p w14:paraId="6AEEEAEF">
      <w:pPr>
        <w:ind w:firstLine="3152" w:firstLineChars="1501"/>
        <w:rPr>
          <w:rFonts w:hint="eastAsia" w:ascii="Times New Roman" w:hAnsi="Times New Roman" w:eastAsia="黑体"/>
          <w:bCs/>
          <w:szCs w:val="21"/>
        </w:rPr>
      </w:pPr>
    </w:p>
    <w:p w14:paraId="71D57D7E">
      <w:pPr>
        <w:ind w:firstLine="3152" w:firstLineChars="1501"/>
        <w:rPr>
          <w:rFonts w:ascii="Times New Roman" w:hAnsi="Times New Roman" w:eastAsia="黑体"/>
          <w:bCs/>
          <w:szCs w:val="21"/>
        </w:rPr>
      </w:pPr>
      <w:r>
        <w:rPr>
          <w:rFonts w:hint="eastAsia" w:ascii="Times New Roman" w:hAnsi="Times New Roman" w:eastAsia="黑体"/>
          <w:bCs/>
          <w:szCs w:val="21"/>
        </w:rPr>
        <w:t>表</w:t>
      </w:r>
      <w:r>
        <w:rPr>
          <w:rFonts w:hint="eastAsia" w:ascii="Times New Roman" w:hAnsi="Times New Roman" w:eastAsia="黑体"/>
          <w:bCs/>
          <w:szCs w:val="21"/>
          <w:lang w:bidi="en-US"/>
        </w:rPr>
        <w:t>B</w:t>
      </w:r>
      <w:r>
        <w:rPr>
          <w:rFonts w:ascii="Times New Roman" w:hAnsi="Times New Roman" w:eastAsia="黑体"/>
          <w:bCs/>
          <w:szCs w:val="21"/>
          <w:lang w:bidi="en-US"/>
        </w:rPr>
        <w:t>.3</w:t>
      </w:r>
      <w:r>
        <w:rPr>
          <w:rFonts w:hint="eastAsia" w:ascii="Times New Roman" w:hAnsi="Times New Roman" w:eastAsia="黑体"/>
          <w:bCs/>
          <w:szCs w:val="21"/>
          <w:lang w:bidi="en-US"/>
        </w:rPr>
        <w:t>常见碳酸盐的二氧化碳理论质量分数</w:t>
      </w:r>
    </w:p>
    <w:tbl>
      <w:tblPr>
        <w:tblStyle w:val="35"/>
        <w:tblpPr w:leftFromText="180" w:rightFromText="180" w:vertAnchor="text" w:horzAnchor="margin" w:tblpX="1" w:tblpY="109"/>
        <w:tblOverlap w:val="never"/>
        <w:tblW w:w="5049" w:type="pct"/>
        <w:tblInd w:w="0" w:type="dxa"/>
        <w:tblLayout w:type="autofit"/>
        <w:tblCellMar>
          <w:top w:w="0" w:type="dxa"/>
          <w:left w:w="10" w:type="dxa"/>
          <w:bottom w:w="0" w:type="dxa"/>
          <w:right w:w="10" w:type="dxa"/>
        </w:tblCellMar>
      </w:tblPr>
      <w:tblGrid>
        <w:gridCol w:w="2952"/>
        <w:gridCol w:w="2077"/>
        <w:gridCol w:w="2077"/>
        <w:gridCol w:w="2249"/>
      </w:tblGrid>
      <w:tr w14:paraId="2FD8C753">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19606703">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物质名称</w:t>
            </w:r>
          </w:p>
        </w:tc>
        <w:tc>
          <w:tcPr>
            <w:tcW w:w="1110" w:type="pct"/>
            <w:tcBorders>
              <w:top w:val="single" w:color="auto" w:sz="4" w:space="0"/>
              <w:left w:val="single" w:color="auto" w:sz="4" w:space="0"/>
              <w:right w:val="single" w:color="auto" w:sz="4" w:space="0"/>
            </w:tcBorders>
            <w:shd w:val="clear" w:color="auto" w:fill="FFFFFF"/>
            <w:vAlign w:val="center"/>
          </w:tcPr>
          <w:p w14:paraId="0B28436F">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分子式</w:t>
            </w:r>
          </w:p>
        </w:tc>
        <w:tc>
          <w:tcPr>
            <w:tcW w:w="1110" w:type="pct"/>
            <w:tcBorders>
              <w:top w:val="single" w:color="auto" w:sz="4" w:space="0"/>
              <w:left w:val="single" w:color="auto" w:sz="4" w:space="0"/>
              <w:right w:val="single" w:color="auto" w:sz="4" w:space="0"/>
            </w:tcBorders>
            <w:shd w:val="clear" w:color="auto" w:fill="FFFFFF"/>
            <w:vAlign w:val="center"/>
          </w:tcPr>
          <w:p w14:paraId="48B0E371">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摩尔质量</w:t>
            </w:r>
          </w:p>
          <w:p w14:paraId="375EDA85">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g/mol</w:t>
            </w:r>
          </w:p>
        </w:tc>
        <w:tc>
          <w:tcPr>
            <w:tcW w:w="1200" w:type="pct"/>
            <w:tcBorders>
              <w:top w:val="single" w:color="auto" w:sz="4" w:space="0"/>
              <w:left w:val="single" w:color="auto" w:sz="4" w:space="0"/>
              <w:right w:val="single" w:color="auto" w:sz="4" w:space="0"/>
            </w:tcBorders>
            <w:shd w:val="clear" w:color="auto" w:fill="FFFFFF"/>
            <w:vAlign w:val="center"/>
          </w:tcPr>
          <w:p w14:paraId="59D2372E">
            <w:pPr>
              <w:jc w:val="center"/>
              <w:rPr>
                <w:rFonts w:ascii="Times New Roman" w:hAnsi="Times New Roman" w:cs="宋体"/>
                <w:sz w:val="18"/>
                <w:szCs w:val="18"/>
              </w:rPr>
            </w:pPr>
            <w:r>
              <w:rPr>
                <w:rFonts w:hint="eastAsia" w:ascii="Times New Roman" w:hAnsi="Times New Roman" w:cs="宋体"/>
                <w:sz w:val="18"/>
                <w:szCs w:val="18"/>
              </w:rPr>
              <w:t>二氧化碳质量分数</w:t>
            </w:r>
          </w:p>
          <w:p w14:paraId="12F2FB77">
            <w:pPr>
              <w:jc w:val="center"/>
              <w:rPr>
                <w:rFonts w:ascii="Times New Roman" w:hAnsi="Times New Roman" w:cs="宋体"/>
                <w:sz w:val="18"/>
                <w:szCs w:val="18"/>
              </w:rPr>
            </w:pPr>
            <w:r>
              <w:rPr>
                <w:rFonts w:hint="eastAsia" w:ascii="Times New Roman" w:hAnsi="Times New Roman" w:cs="宋体"/>
                <w:sz w:val="18"/>
                <w:szCs w:val="18"/>
              </w:rPr>
              <w:t>tCO</w:t>
            </w:r>
            <w:r>
              <w:rPr>
                <w:rFonts w:hint="eastAsia" w:ascii="Times New Roman" w:hAnsi="Times New Roman" w:cs="宋体"/>
                <w:sz w:val="18"/>
                <w:szCs w:val="18"/>
                <w:vertAlign w:val="subscript"/>
              </w:rPr>
              <w:t>2</w:t>
            </w:r>
            <w:r>
              <w:rPr>
                <w:rFonts w:hint="eastAsia" w:ascii="Times New Roman" w:hAnsi="Times New Roman" w:cs="宋体"/>
                <w:sz w:val="18"/>
                <w:szCs w:val="18"/>
              </w:rPr>
              <w:t>/t</w:t>
            </w:r>
          </w:p>
        </w:tc>
      </w:tr>
      <w:tr w14:paraId="732FC9F4">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1877495E">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lang w:bidi="zh-TW"/>
              </w:rPr>
              <w:t>碳酸钙</w:t>
            </w:r>
          </w:p>
        </w:tc>
        <w:tc>
          <w:tcPr>
            <w:tcW w:w="1110" w:type="pct"/>
            <w:tcBorders>
              <w:top w:val="single" w:color="auto" w:sz="4" w:space="0"/>
              <w:left w:val="single" w:color="auto" w:sz="4" w:space="0"/>
              <w:right w:val="single" w:color="auto" w:sz="4" w:space="0"/>
            </w:tcBorders>
            <w:shd w:val="clear" w:color="auto" w:fill="FFFFFF"/>
            <w:vAlign w:val="center"/>
          </w:tcPr>
          <w:p w14:paraId="1A898886">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CaCO</w:t>
            </w:r>
            <w:r>
              <w:rPr>
                <w:rFonts w:hint="eastAsia" w:ascii="Times New Roman" w:hAnsi="Times New Roman"/>
                <w:sz w:val="18"/>
                <w:szCs w:val="18"/>
                <w:vertAlign w:val="subscript"/>
                <w:lang w:bidi="zh-TW"/>
              </w:rPr>
              <w:t>3</w:t>
            </w:r>
          </w:p>
        </w:tc>
        <w:tc>
          <w:tcPr>
            <w:tcW w:w="1110" w:type="pct"/>
            <w:tcBorders>
              <w:top w:val="single" w:color="auto" w:sz="4" w:space="0"/>
              <w:left w:val="single" w:color="auto" w:sz="4" w:space="0"/>
              <w:right w:val="single" w:color="auto" w:sz="4" w:space="0"/>
            </w:tcBorders>
            <w:shd w:val="clear" w:color="auto" w:fill="FFFFFF"/>
            <w:vAlign w:val="center"/>
          </w:tcPr>
          <w:p w14:paraId="310250D6">
            <w:pPr>
              <w:pStyle w:val="153"/>
              <w:spacing w:after="0" w:line="240" w:lineRule="auto"/>
              <w:ind w:firstLine="0"/>
              <w:jc w:val="center"/>
              <w:rPr>
                <w:rFonts w:ascii="Times New Roman" w:hAnsi="Times New Roman"/>
                <w:sz w:val="18"/>
                <w:szCs w:val="18"/>
                <w:lang w:val="zh-TW" w:eastAsia="zh-TW" w:bidi="zh-TW"/>
              </w:rPr>
            </w:pPr>
            <w:r>
              <w:rPr>
                <w:rFonts w:hint="eastAsia" w:ascii="Times New Roman" w:hAnsi="Times New Roman"/>
                <w:sz w:val="18"/>
                <w:szCs w:val="18"/>
                <w:lang w:val="zh-TW" w:eastAsia="zh-TW" w:bidi="zh-TW"/>
              </w:rPr>
              <w:t>100.09</w:t>
            </w:r>
          </w:p>
        </w:tc>
        <w:tc>
          <w:tcPr>
            <w:tcW w:w="1200" w:type="pct"/>
            <w:tcBorders>
              <w:top w:val="single" w:color="auto" w:sz="4" w:space="0"/>
              <w:left w:val="single" w:color="auto" w:sz="4" w:space="0"/>
              <w:right w:val="single" w:color="auto" w:sz="4" w:space="0"/>
            </w:tcBorders>
            <w:shd w:val="clear" w:color="auto" w:fill="FFFFFF"/>
            <w:vAlign w:val="center"/>
          </w:tcPr>
          <w:p w14:paraId="3675B7A8">
            <w:pPr>
              <w:jc w:val="center"/>
              <w:rPr>
                <w:rFonts w:ascii="Times New Roman" w:hAnsi="Times New Roman" w:cs="宋体"/>
                <w:sz w:val="18"/>
                <w:szCs w:val="18"/>
              </w:rPr>
            </w:pPr>
            <w:r>
              <w:rPr>
                <w:rFonts w:hint="eastAsia" w:ascii="Times New Roman" w:hAnsi="Times New Roman" w:cs="宋体"/>
                <w:sz w:val="18"/>
                <w:szCs w:val="18"/>
              </w:rPr>
              <w:t>0.4397</w:t>
            </w:r>
          </w:p>
        </w:tc>
      </w:tr>
      <w:tr w14:paraId="432DCFC7">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123E50A1">
            <w:pPr>
              <w:pStyle w:val="153"/>
              <w:spacing w:after="0" w:line="240" w:lineRule="auto"/>
              <w:ind w:firstLine="0"/>
              <w:jc w:val="center"/>
              <w:rPr>
                <w:rFonts w:ascii="Times New Roman" w:hAnsi="Times New Roman"/>
                <w:sz w:val="18"/>
                <w:szCs w:val="18"/>
                <w:lang w:val="zh-TW" w:eastAsia="zh-TW" w:bidi="zh-TW"/>
              </w:rPr>
            </w:pPr>
            <w:r>
              <w:rPr>
                <w:rFonts w:hint="eastAsia" w:ascii="Times New Roman" w:hAnsi="Times New Roman"/>
                <w:sz w:val="18"/>
                <w:szCs w:val="18"/>
                <w:lang w:bidi="zh-TW"/>
              </w:rPr>
              <w:t>碳酸镁</w:t>
            </w:r>
          </w:p>
        </w:tc>
        <w:tc>
          <w:tcPr>
            <w:tcW w:w="1110" w:type="pct"/>
            <w:tcBorders>
              <w:top w:val="single" w:color="auto" w:sz="4" w:space="0"/>
              <w:left w:val="single" w:color="auto" w:sz="4" w:space="0"/>
              <w:right w:val="single" w:color="auto" w:sz="4" w:space="0"/>
            </w:tcBorders>
            <w:shd w:val="clear" w:color="auto" w:fill="FFFFFF"/>
            <w:vAlign w:val="center"/>
          </w:tcPr>
          <w:p w14:paraId="31E819D3">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MgCO</w:t>
            </w:r>
            <w:r>
              <w:rPr>
                <w:rFonts w:hint="eastAsia" w:ascii="Times New Roman" w:hAnsi="Times New Roman"/>
                <w:sz w:val="18"/>
                <w:szCs w:val="18"/>
                <w:vertAlign w:val="subscript"/>
                <w:lang w:bidi="zh-TW"/>
              </w:rPr>
              <w:t>3</w:t>
            </w:r>
          </w:p>
        </w:tc>
        <w:tc>
          <w:tcPr>
            <w:tcW w:w="1110" w:type="pct"/>
            <w:tcBorders>
              <w:top w:val="single" w:color="auto" w:sz="4" w:space="0"/>
              <w:left w:val="single" w:color="auto" w:sz="4" w:space="0"/>
              <w:right w:val="single" w:color="auto" w:sz="4" w:space="0"/>
            </w:tcBorders>
            <w:shd w:val="clear" w:color="auto" w:fill="FFFFFF"/>
            <w:vAlign w:val="center"/>
          </w:tcPr>
          <w:p w14:paraId="4B66C929">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rPr>
              <w:t>84.31</w:t>
            </w:r>
          </w:p>
        </w:tc>
        <w:tc>
          <w:tcPr>
            <w:tcW w:w="1200" w:type="pct"/>
            <w:tcBorders>
              <w:top w:val="single" w:color="auto" w:sz="4" w:space="0"/>
              <w:left w:val="single" w:color="auto" w:sz="4" w:space="0"/>
              <w:right w:val="single" w:color="auto" w:sz="4" w:space="0"/>
            </w:tcBorders>
            <w:shd w:val="clear" w:color="auto" w:fill="FFFFFF"/>
            <w:vAlign w:val="center"/>
          </w:tcPr>
          <w:p w14:paraId="42736006">
            <w:pPr>
              <w:jc w:val="center"/>
              <w:rPr>
                <w:rFonts w:ascii="Times New Roman" w:hAnsi="Times New Roman" w:cs="宋体"/>
                <w:sz w:val="18"/>
                <w:szCs w:val="18"/>
              </w:rPr>
            </w:pPr>
            <w:r>
              <w:rPr>
                <w:rFonts w:hint="eastAsia" w:ascii="Times New Roman" w:hAnsi="Times New Roman" w:cs="宋体"/>
                <w:sz w:val="18"/>
                <w:szCs w:val="18"/>
              </w:rPr>
              <w:t>0.5220</w:t>
            </w:r>
          </w:p>
        </w:tc>
      </w:tr>
      <w:tr w14:paraId="10EDBFF8">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716AA895">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rPr>
              <w:t>碳酸钠</w:t>
            </w:r>
          </w:p>
        </w:tc>
        <w:tc>
          <w:tcPr>
            <w:tcW w:w="1110" w:type="pct"/>
            <w:tcBorders>
              <w:top w:val="single" w:color="auto" w:sz="4" w:space="0"/>
              <w:left w:val="single" w:color="auto" w:sz="4" w:space="0"/>
              <w:right w:val="single" w:color="auto" w:sz="4" w:space="0"/>
            </w:tcBorders>
            <w:shd w:val="clear" w:color="auto" w:fill="FFFFFF"/>
            <w:vAlign w:val="center"/>
          </w:tcPr>
          <w:p w14:paraId="432C55A5">
            <w:pPr>
              <w:pStyle w:val="153"/>
              <w:spacing w:after="0" w:line="240" w:lineRule="auto"/>
              <w:ind w:firstLine="0"/>
              <w:jc w:val="center"/>
              <w:rPr>
                <w:rFonts w:ascii="Times New Roman" w:hAnsi="Times New Roman"/>
                <w:sz w:val="18"/>
                <w:szCs w:val="18"/>
                <w:lang w:val="zh-TW" w:eastAsia="zh-TW" w:bidi="zh-TW"/>
              </w:rPr>
            </w:pPr>
            <w:r>
              <w:rPr>
                <w:rFonts w:hint="eastAsia" w:ascii="Times New Roman" w:hAnsi="Times New Roman"/>
                <w:sz w:val="18"/>
                <w:szCs w:val="18"/>
                <w:lang w:bidi="zh-TW"/>
              </w:rPr>
              <w:t>Na</w:t>
            </w:r>
            <w:r>
              <w:rPr>
                <w:rFonts w:hint="eastAsia" w:ascii="Times New Roman" w:hAnsi="Times New Roman"/>
                <w:sz w:val="18"/>
                <w:szCs w:val="18"/>
                <w:vertAlign w:val="subscript"/>
                <w:lang w:bidi="zh-TW"/>
              </w:rPr>
              <w:t>2</w:t>
            </w:r>
            <w:r>
              <w:rPr>
                <w:rFonts w:hint="eastAsia" w:ascii="Times New Roman" w:hAnsi="Times New Roman"/>
                <w:sz w:val="18"/>
                <w:szCs w:val="18"/>
                <w:lang w:bidi="zh-TW"/>
              </w:rPr>
              <w:t>CO</w:t>
            </w:r>
            <w:r>
              <w:rPr>
                <w:rFonts w:hint="eastAsia" w:ascii="Times New Roman" w:hAnsi="Times New Roman"/>
                <w:sz w:val="18"/>
                <w:szCs w:val="18"/>
                <w:vertAlign w:val="subscript"/>
                <w:lang w:bidi="zh-TW"/>
              </w:rPr>
              <w:t>3</w:t>
            </w:r>
          </w:p>
        </w:tc>
        <w:tc>
          <w:tcPr>
            <w:tcW w:w="1110" w:type="pct"/>
            <w:tcBorders>
              <w:top w:val="single" w:color="auto" w:sz="4" w:space="0"/>
              <w:left w:val="single" w:color="auto" w:sz="4" w:space="0"/>
              <w:right w:val="single" w:color="auto" w:sz="4" w:space="0"/>
            </w:tcBorders>
            <w:shd w:val="clear" w:color="auto" w:fill="FFFFFF"/>
            <w:vAlign w:val="center"/>
          </w:tcPr>
          <w:p w14:paraId="446BA77B">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105.99</w:t>
            </w:r>
          </w:p>
        </w:tc>
        <w:tc>
          <w:tcPr>
            <w:tcW w:w="1200" w:type="pct"/>
            <w:tcBorders>
              <w:top w:val="single" w:color="auto" w:sz="4" w:space="0"/>
              <w:left w:val="single" w:color="auto" w:sz="4" w:space="0"/>
              <w:right w:val="single" w:color="auto" w:sz="4" w:space="0"/>
            </w:tcBorders>
            <w:shd w:val="clear" w:color="auto" w:fill="FFFFFF"/>
            <w:vAlign w:val="center"/>
          </w:tcPr>
          <w:p w14:paraId="2F8967E4">
            <w:pPr>
              <w:jc w:val="center"/>
              <w:rPr>
                <w:rFonts w:ascii="Times New Roman" w:hAnsi="Times New Roman" w:cs="宋体"/>
                <w:sz w:val="18"/>
                <w:szCs w:val="18"/>
              </w:rPr>
            </w:pPr>
            <w:r>
              <w:rPr>
                <w:rFonts w:hint="eastAsia" w:ascii="Times New Roman" w:hAnsi="Times New Roman" w:cs="宋体"/>
                <w:sz w:val="18"/>
                <w:szCs w:val="18"/>
              </w:rPr>
              <w:t>0.4149</w:t>
            </w:r>
          </w:p>
        </w:tc>
      </w:tr>
      <w:tr w14:paraId="233AFFBD">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tcBorders>
            <w:shd w:val="clear" w:color="auto" w:fill="FFFFFF"/>
            <w:vAlign w:val="center"/>
          </w:tcPr>
          <w:p w14:paraId="521BB43B">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碳酸氢钠</w:t>
            </w:r>
          </w:p>
        </w:tc>
        <w:tc>
          <w:tcPr>
            <w:tcW w:w="1110" w:type="pct"/>
            <w:tcBorders>
              <w:top w:val="single" w:color="auto" w:sz="4" w:space="0"/>
              <w:left w:val="single" w:color="auto" w:sz="4" w:space="0"/>
              <w:right w:val="single" w:color="auto" w:sz="4" w:space="0"/>
            </w:tcBorders>
            <w:shd w:val="clear" w:color="auto" w:fill="FFFFFF"/>
            <w:vAlign w:val="center"/>
          </w:tcPr>
          <w:p w14:paraId="6CBE8B68">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NaHCO</w:t>
            </w:r>
            <w:r>
              <w:rPr>
                <w:rFonts w:hint="eastAsia" w:ascii="Times New Roman" w:hAnsi="Times New Roman"/>
                <w:sz w:val="18"/>
                <w:szCs w:val="18"/>
                <w:vertAlign w:val="subscript"/>
                <w:lang w:bidi="zh-TW"/>
              </w:rPr>
              <w:t>3</w:t>
            </w:r>
          </w:p>
        </w:tc>
        <w:tc>
          <w:tcPr>
            <w:tcW w:w="1110" w:type="pct"/>
            <w:tcBorders>
              <w:top w:val="single" w:color="auto" w:sz="4" w:space="0"/>
              <w:left w:val="single" w:color="auto" w:sz="4" w:space="0"/>
              <w:right w:val="single" w:color="auto" w:sz="4" w:space="0"/>
            </w:tcBorders>
            <w:shd w:val="clear" w:color="auto" w:fill="FFFFFF"/>
            <w:vAlign w:val="center"/>
          </w:tcPr>
          <w:p w14:paraId="45AE7C2C">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84.01</w:t>
            </w:r>
          </w:p>
        </w:tc>
        <w:tc>
          <w:tcPr>
            <w:tcW w:w="1200" w:type="pct"/>
            <w:tcBorders>
              <w:top w:val="single" w:color="auto" w:sz="4" w:space="0"/>
              <w:left w:val="single" w:color="auto" w:sz="4" w:space="0"/>
              <w:right w:val="single" w:color="auto" w:sz="4" w:space="0"/>
            </w:tcBorders>
            <w:shd w:val="clear" w:color="auto" w:fill="FFFFFF"/>
            <w:vAlign w:val="center"/>
          </w:tcPr>
          <w:p w14:paraId="62836D03">
            <w:pPr>
              <w:jc w:val="center"/>
              <w:rPr>
                <w:rFonts w:ascii="Times New Roman" w:hAnsi="Times New Roman" w:cs="宋体"/>
                <w:sz w:val="18"/>
                <w:szCs w:val="18"/>
              </w:rPr>
            </w:pPr>
            <w:r>
              <w:rPr>
                <w:rFonts w:hint="eastAsia" w:ascii="Times New Roman" w:hAnsi="Times New Roman" w:cs="宋体"/>
                <w:sz w:val="18"/>
                <w:szCs w:val="18"/>
              </w:rPr>
              <w:t>0.5237</w:t>
            </w:r>
          </w:p>
        </w:tc>
      </w:tr>
      <w:tr w14:paraId="116FCDCE">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bottom w:val="single" w:color="auto" w:sz="4" w:space="0"/>
            </w:tcBorders>
            <w:shd w:val="clear" w:color="auto" w:fill="FFFFFF"/>
            <w:vAlign w:val="center"/>
          </w:tcPr>
          <w:p w14:paraId="1376137D">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lang w:bidi="zh-TW"/>
              </w:rPr>
              <w:t>碳酸钾</w:t>
            </w:r>
          </w:p>
        </w:tc>
        <w:tc>
          <w:tcPr>
            <w:tcW w:w="1110" w:type="pct"/>
            <w:tcBorders>
              <w:top w:val="single" w:color="auto" w:sz="4" w:space="0"/>
              <w:left w:val="single" w:color="auto" w:sz="4" w:space="0"/>
              <w:bottom w:val="single" w:color="auto" w:sz="4" w:space="0"/>
              <w:right w:val="single" w:color="auto" w:sz="4" w:space="0"/>
            </w:tcBorders>
            <w:shd w:val="clear" w:color="auto" w:fill="FFFFFF"/>
            <w:vAlign w:val="center"/>
          </w:tcPr>
          <w:p w14:paraId="09CCA2A2">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K</w:t>
            </w:r>
            <w:r>
              <w:rPr>
                <w:rFonts w:hint="eastAsia" w:ascii="Times New Roman" w:hAnsi="Times New Roman"/>
                <w:sz w:val="18"/>
                <w:szCs w:val="18"/>
                <w:vertAlign w:val="subscript"/>
                <w:lang w:bidi="zh-TW"/>
              </w:rPr>
              <w:t>2</w:t>
            </w:r>
            <w:r>
              <w:rPr>
                <w:rFonts w:hint="eastAsia" w:ascii="Times New Roman" w:hAnsi="Times New Roman"/>
                <w:sz w:val="18"/>
                <w:szCs w:val="18"/>
                <w:lang w:bidi="zh-TW"/>
              </w:rPr>
              <w:t>CO</w:t>
            </w:r>
            <w:r>
              <w:rPr>
                <w:rFonts w:hint="eastAsia" w:ascii="Times New Roman" w:hAnsi="Times New Roman"/>
                <w:sz w:val="18"/>
                <w:szCs w:val="18"/>
                <w:vertAlign w:val="subscript"/>
                <w:lang w:bidi="zh-TW"/>
              </w:rPr>
              <w:t>3</w:t>
            </w:r>
          </w:p>
        </w:tc>
        <w:tc>
          <w:tcPr>
            <w:tcW w:w="1110" w:type="pct"/>
            <w:tcBorders>
              <w:top w:val="single" w:color="auto" w:sz="4" w:space="0"/>
              <w:left w:val="single" w:color="auto" w:sz="4" w:space="0"/>
              <w:bottom w:val="single" w:color="auto" w:sz="4" w:space="0"/>
              <w:right w:val="single" w:color="auto" w:sz="4" w:space="0"/>
            </w:tcBorders>
            <w:shd w:val="clear" w:color="auto" w:fill="FFFFFF"/>
            <w:vAlign w:val="center"/>
          </w:tcPr>
          <w:p w14:paraId="0304DF8A">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138.21</w:t>
            </w:r>
          </w:p>
        </w:tc>
        <w:tc>
          <w:tcPr>
            <w:tcW w:w="1200" w:type="pct"/>
            <w:tcBorders>
              <w:top w:val="single" w:color="auto" w:sz="4" w:space="0"/>
              <w:left w:val="single" w:color="auto" w:sz="4" w:space="0"/>
              <w:bottom w:val="single" w:color="auto" w:sz="4" w:space="0"/>
              <w:right w:val="single" w:color="auto" w:sz="4" w:space="0"/>
            </w:tcBorders>
            <w:shd w:val="clear" w:color="auto" w:fill="FFFFFF"/>
            <w:vAlign w:val="center"/>
          </w:tcPr>
          <w:p w14:paraId="6C4D1717">
            <w:pPr>
              <w:jc w:val="center"/>
              <w:rPr>
                <w:rFonts w:ascii="Times New Roman" w:hAnsi="Times New Roman" w:cs="宋体"/>
                <w:sz w:val="18"/>
                <w:szCs w:val="18"/>
              </w:rPr>
            </w:pPr>
            <w:r>
              <w:rPr>
                <w:rFonts w:hint="eastAsia" w:ascii="Times New Roman" w:hAnsi="Times New Roman" w:cs="宋体"/>
                <w:sz w:val="18"/>
                <w:szCs w:val="18"/>
              </w:rPr>
              <w:t>0.3184</w:t>
            </w:r>
          </w:p>
        </w:tc>
      </w:tr>
      <w:tr w14:paraId="24881204">
        <w:tblPrEx>
          <w:tblCellMar>
            <w:top w:w="0" w:type="dxa"/>
            <w:left w:w="10" w:type="dxa"/>
            <w:bottom w:w="0" w:type="dxa"/>
            <w:right w:w="10" w:type="dxa"/>
          </w:tblCellMar>
        </w:tblPrEx>
        <w:trPr>
          <w:trHeight w:val="567" w:hRule="exact"/>
        </w:trPr>
        <w:tc>
          <w:tcPr>
            <w:tcW w:w="1578" w:type="pct"/>
            <w:tcBorders>
              <w:top w:val="single" w:color="auto" w:sz="4" w:space="0"/>
              <w:left w:val="single" w:color="auto" w:sz="4" w:space="0"/>
              <w:bottom w:val="single" w:color="auto" w:sz="4" w:space="0"/>
            </w:tcBorders>
            <w:shd w:val="clear" w:color="auto" w:fill="FFFFFF"/>
            <w:vAlign w:val="center"/>
          </w:tcPr>
          <w:p w14:paraId="752E8A77">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碳酸钡</w:t>
            </w:r>
          </w:p>
        </w:tc>
        <w:tc>
          <w:tcPr>
            <w:tcW w:w="1110" w:type="pct"/>
            <w:tcBorders>
              <w:top w:val="single" w:color="auto" w:sz="4" w:space="0"/>
              <w:left w:val="single" w:color="auto" w:sz="4" w:space="0"/>
              <w:bottom w:val="single" w:color="auto" w:sz="4" w:space="0"/>
              <w:right w:val="single" w:color="auto" w:sz="4" w:space="0"/>
            </w:tcBorders>
            <w:shd w:val="clear" w:color="auto" w:fill="FFFFFF"/>
            <w:vAlign w:val="center"/>
          </w:tcPr>
          <w:p w14:paraId="193D7699">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BaCO</w:t>
            </w:r>
            <w:r>
              <w:rPr>
                <w:rFonts w:hint="eastAsia" w:ascii="Times New Roman" w:hAnsi="Times New Roman"/>
                <w:sz w:val="18"/>
                <w:szCs w:val="18"/>
                <w:vertAlign w:val="subscript"/>
                <w:lang w:bidi="zh-TW"/>
              </w:rPr>
              <w:t>3</w:t>
            </w:r>
          </w:p>
        </w:tc>
        <w:tc>
          <w:tcPr>
            <w:tcW w:w="1110" w:type="pct"/>
            <w:tcBorders>
              <w:top w:val="single" w:color="auto" w:sz="4" w:space="0"/>
              <w:left w:val="single" w:color="auto" w:sz="4" w:space="0"/>
              <w:bottom w:val="single" w:color="auto" w:sz="4" w:space="0"/>
              <w:right w:val="single" w:color="auto" w:sz="4" w:space="0"/>
            </w:tcBorders>
            <w:shd w:val="clear" w:color="auto" w:fill="FFFFFF"/>
            <w:vAlign w:val="center"/>
          </w:tcPr>
          <w:p w14:paraId="0B093C55">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197.34</w:t>
            </w:r>
          </w:p>
        </w:tc>
        <w:tc>
          <w:tcPr>
            <w:tcW w:w="1200" w:type="pct"/>
            <w:tcBorders>
              <w:top w:val="single" w:color="auto" w:sz="4" w:space="0"/>
              <w:left w:val="single" w:color="auto" w:sz="4" w:space="0"/>
              <w:bottom w:val="single" w:color="auto" w:sz="4" w:space="0"/>
              <w:right w:val="single" w:color="auto" w:sz="4" w:space="0"/>
            </w:tcBorders>
            <w:shd w:val="clear" w:color="auto" w:fill="FFFFFF"/>
            <w:vAlign w:val="center"/>
          </w:tcPr>
          <w:p w14:paraId="2E6A3FB6">
            <w:pPr>
              <w:jc w:val="center"/>
              <w:rPr>
                <w:rFonts w:ascii="Times New Roman" w:hAnsi="Times New Roman" w:cs="宋体"/>
                <w:sz w:val="18"/>
                <w:szCs w:val="18"/>
              </w:rPr>
            </w:pPr>
            <w:r>
              <w:rPr>
                <w:rFonts w:hint="eastAsia" w:ascii="Times New Roman" w:hAnsi="Times New Roman" w:cs="宋体"/>
                <w:sz w:val="18"/>
                <w:szCs w:val="18"/>
              </w:rPr>
              <w:t>0.2230</w:t>
            </w:r>
          </w:p>
        </w:tc>
      </w:tr>
      <w:tr w14:paraId="21212C6A">
        <w:tblPrEx>
          <w:tblCellMar>
            <w:top w:w="0" w:type="dxa"/>
            <w:left w:w="10" w:type="dxa"/>
            <w:bottom w:w="0" w:type="dxa"/>
            <w:right w:w="10" w:type="dxa"/>
          </w:tblCellMar>
        </w:tblPrEx>
        <w:trPr>
          <w:trHeight w:val="567" w:hRule="exact"/>
        </w:trPr>
        <w:tc>
          <w:tcPr>
            <w:tcW w:w="5000"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7E8527D3">
            <w:pPr>
              <w:jc w:val="left"/>
              <w:rPr>
                <w:rFonts w:ascii="Times New Roman" w:hAnsi="Times New Roman" w:cs="宋体"/>
                <w:sz w:val="18"/>
                <w:szCs w:val="18"/>
              </w:rPr>
            </w:pPr>
            <w:r>
              <w:rPr>
                <w:rFonts w:hint="eastAsia" w:ascii="Times New Roman" w:hAnsi="Times New Roman" w:cs="宋体"/>
                <w:sz w:val="18"/>
                <w:szCs w:val="18"/>
                <w:vertAlign w:val="superscript"/>
                <w:lang w:bidi="zh-TW"/>
              </w:rPr>
              <w:t>a</w:t>
            </w:r>
            <w:r>
              <w:rPr>
                <w:rFonts w:hint="eastAsia" w:ascii="Times New Roman" w:hAnsi="Times New Roman" w:cs="宋体"/>
                <w:sz w:val="18"/>
                <w:szCs w:val="18"/>
                <w:lang w:bidi="zh-TW"/>
              </w:rPr>
              <w:t>表格给出的是二氧化碳理论质量分数（理论化学值）；实际核算的二氧化碳排放因子为本表数值乘以其分解比例。</w:t>
            </w:r>
          </w:p>
        </w:tc>
      </w:tr>
    </w:tbl>
    <w:p w14:paraId="6F2564DE">
      <w:pPr>
        <w:pStyle w:val="151"/>
        <w:spacing w:after="220" w:line="240" w:lineRule="auto"/>
        <w:ind w:firstLine="0"/>
        <w:jc w:val="center"/>
        <w:rPr>
          <w:szCs w:val="21"/>
        </w:rPr>
        <w:sectPr>
          <w:footerReference r:id="rId7" w:type="default"/>
          <w:pgSz w:w="11900" w:h="16840"/>
          <w:pgMar w:top="2139" w:right="1228" w:bottom="1244" w:left="1408" w:header="1304" w:footer="1361" w:gutter="0"/>
          <w:pgNumType w:start="1"/>
          <w:cols w:space="720" w:num="1"/>
          <w:docGrid w:linePitch="360" w:charSpace="0"/>
        </w:sectPr>
      </w:pPr>
    </w:p>
    <w:p w14:paraId="3F51A874">
      <w:pPr>
        <w:ind w:firstLine="426"/>
        <w:jc w:val="center"/>
        <w:rPr>
          <w:rFonts w:eastAsia="黑体"/>
          <w:bCs/>
          <w:szCs w:val="21"/>
        </w:rPr>
      </w:pPr>
      <w:r>
        <w:rPr>
          <w:rFonts w:eastAsia="黑体"/>
          <w:bCs/>
          <w:szCs w:val="21"/>
        </w:rPr>
        <w:t>表B.</w:t>
      </w:r>
      <w:r>
        <w:rPr>
          <w:rFonts w:hint="eastAsia" w:eastAsia="黑体"/>
          <w:bCs/>
          <w:szCs w:val="21"/>
        </w:rPr>
        <w:t>4</w:t>
      </w:r>
      <w:r>
        <w:rPr>
          <w:rFonts w:eastAsia="黑体"/>
          <w:bCs/>
          <w:szCs w:val="21"/>
        </w:rPr>
        <w:t xml:space="preserve"> </w:t>
      </w:r>
      <w:r>
        <w:rPr>
          <w:rFonts w:hint="eastAsia" w:eastAsia="黑体"/>
          <w:bCs/>
          <w:szCs w:val="21"/>
        </w:rPr>
        <w:t>电力、</w:t>
      </w:r>
      <w:r>
        <w:rPr>
          <w:rFonts w:eastAsia="黑体"/>
          <w:bCs/>
          <w:szCs w:val="21"/>
        </w:rPr>
        <w:t>热力排放因子缺省值</w:t>
      </w:r>
    </w:p>
    <w:tbl>
      <w:tblPr>
        <w:tblStyle w:val="35"/>
        <w:tblpPr w:leftFromText="180" w:rightFromText="180" w:vertAnchor="text" w:tblpXSpec="center" w:tblpY="1"/>
        <w:tblOverlap w:val="never"/>
        <w:tblW w:w="89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8"/>
        <w:gridCol w:w="1334"/>
        <w:gridCol w:w="5681"/>
      </w:tblGrid>
      <w:tr w14:paraId="1741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65" w:type="pct"/>
            <w:vAlign w:val="center"/>
          </w:tcPr>
          <w:p w14:paraId="7B8C2583">
            <w:pPr>
              <w:jc w:val="center"/>
              <w:rPr>
                <w:kern w:val="0"/>
                <w:sz w:val="18"/>
                <w:szCs w:val="18"/>
              </w:rPr>
            </w:pPr>
            <w:r>
              <w:rPr>
                <w:rFonts w:hint="eastAsia"/>
                <w:kern w:val="0"/>
                <w:sz w:val="18"/>
                <w:szCs w:val="18"/>
              </w:rPr>
              <w:t>参数名称</w:t>
            </w:r>
          </w:p>
        </w:tc>
        <w:tc>
          <w:tcPr>
            <w:tcW w:w="748" w:type="pct"/>
            <w:vAlign w:val="center"/>
          </w:tcPr>
          <w:p w14:paraId="5416B011">
            <w:pPr>
              <w:jc w:val="center"/>
              <w:rPr>
                <w:kern w:val="0"/>
                <w:sz w:val="18"/>
                <w:szCs w:val="18"/>
              </w:rPr>
            </w:pPr>
            <w:r>
              <w:rPr>
                <w:kern w:val="0"/>
                <w:sz w:val="18"/>
                <w:szCs w:val="18"/>
              </w:rPr>
              <w:t>单位</w:t>
            </w:r>
          </w:p>
        </w:tc>
        <w:tc>
          <w:tcPr>
            <w:tcW w:w="3186" w:type="pct"/>
            <w:vAlign w:val="center"/>
          </w:tcPr>
          <w:p w14:paraId="7215A619">
            <w:pPr>
              <w:jc w:val="center"/>
              <w:rPr>
                <w:kern w:val="0"/>
                <w:sz w:val="18"/>
                <w:szCs w:val="18"/>
              </w:rPr>
            </w:pPr>
            <w:r>
              <w:rPr>
                <w:rFonts w:hint="eastAsia"/>
                <w:kern w:val="0"/>
                <w:sz w:val="18"/>
                <w:szCs w:val="18"/>
              </w:rPr>
              <w:t>二氧化</w:t>
            </w:r>
            <w:r>
              <w:rPr>
                <w:kern w:val="0"/>
                <w:sz w:val="18"/>
                <w:szCs w:val="18"/>
              </w:rPr>
              <w:t>碳排放因子</w:t>
            </w:r>
          </w:p>
        </w:tc>
      </w:tr>
      <w:tr w14:paraId="1AAA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exact"/>
        </w:trPr>
        <w:tc>
          <w:tcPr>
            <w:tcW w:w="1065" w:type="pct"/>
            <w:vAlign w:val="center"/>
          </w:tcPr>
          <w:p w14:paraId="7503D5CB">
            <w:pPr>
              <w:jc w:val="center"/>
              <w:rPr>
                <w:kern w:val="0"/>
                <w:sz w:val="18"/>
                <w:szCs w:val="18"/>
              </w:rPr>
            </w:pPr>
            <w:r>
              <w:rPr>
                <w:rFonts w:hint="eastAsia"/>
                <w:kern w:val="0"/>
                <w:sz w:val="18"/>
                <w:szCs w:val="18"/>
              </w:rPr>
              <w:t>电力排放因子</w:t>
            </w:r>
          </w:p>
        </w:tc>
        <w:tc>
          <w:tcPr>
            <w:tcW w:w="748" w:type="pct"/>
            <w:vAlign w:val="center"/>
          </w:tcPr>
          <w:p w14:paraId="24AF5079">
            <w:pPr>
              <w:jc w:val="center"/>
              <w:rPr>
                <w:kern w:val="0"/>
                <w:sz w:val="18"/>
                <w:szCs w:val="18"/>
              </w:rPr>
            </w:pPr>
            <w:r>
              <w:rPr>
                <w:rFonts w:hint="eastAsia"/>
                <w:kern w:val="0"/>
                <w:sz w:val="18"/>
                <w:szCs w:val="18"/>
              </w:rPr>
              <w:t>tCO</w:t>
            </w:r>
            <w:r>
              <w:rPr>
                <w:rFonts w:hint="eastAsia"/>
                <w:kern w:val="0"/>
                <w:sz w:val="18"/>
                <w:szCs w:val="18"/>
                <w:vertAlign w:val="subscript"/>
              </w:rPr>
              <w:t>2</w:t>
            </w:r>
            <w:r>
              <w:rPr>
                <w:rFonts w:hint="eastAsia"/>
                <w:kern w:val="0"/>
                <w:sz w:val="18"/>
                <w:szCs w:val="18"/>
              </w:rPr>
              <w:t>/MWh</w:t>
            </w:r>
          </w:p>
        </w:tc>
        <w:tc>
          <w:tcPr>
            <w:tcW w:w="3186" w:type="pct"/>
            <w:vAlign w:val="center"/>
          </w:tcPr>
          <w:p w14:paraId="21BF5A3D">
            <w:pPr>
              <w:jc w:val="left"/>
              <w:rPr>
                <w:kern w:val="0"/>
                <w:sz w:val="18"/>
                <w:szCs w:val="18"/>
              </w:rPr>
            </w:pPr>
            <w:r>
              <w:rPr>
                <w:rFonts w:hint="eastAsia"/>
                <w:kern w:val="0"/>
                <w:sz w:val="18"/>
                <w:szCs w:val="18"/>
              </w:rPr>
              <w:t>报告主体如果涉及使用外购非化石能源电力，其排放因子的取值原则及证明文件应按照附录C的要求进行；如果不涉及使用外购非化石能源电力，应选用最新发布的全国电力平均二氧化碳排放因子。</w:t>
            </w:r>
          </w:p>
        </w:tc>
      </w:tr>
      <w:tr w14:paraId="5934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trPr>
        <w:tc>
          <w:tcPr>
            <w:tcW w:w="1065" w:type="pct"/>
            <w:vAlign w:val="center"/>
          </w:tcPr>
          <w:p w14:paraId="04E04A93">
            <w:pPr>
              <w:jc w:val="center"/>
              <w:rPr>
                <w:kern w:val="0"/>
                <w:sz w:val="18"/>
                <w:szCs w:val="18"/>
              </w:rPr>
            </w:pPr>
            <w:r>
              <w:rPr>
                <w:rFonts w:hint="eastAsia"/>
                <w:kern w:val="0"/>
                <w:sz w:val="18"/>
                <w:szCs w:val="18"/>
              </w:rPr>
              <w:t>热力排放因子</w:t>
            </w:r>
          </w:p>
        </w:tc>
        <w:tc>
          <w:tcPr>
            <w:tcW w:w="748" w:type="pct"/>
            <w:vAlign w:val="center"/>
          </w:tcPr>
          <w:p w14:paraId="3A9BE6CE">
            <w:pPr>
              <w:jc w:val="center"/>
              <w:rPr>
                <w:kern w:val="0"/>
                <w:sz w:val="18"/>
                <w:szCs w:val="18"/>
              </w:rPr>
            </w:pPr>
            <w:r>
              <w:rPr>
                <w:rFonts w:hint="eastAsia"/>
                <w:kern w:val="0"/>
                <w:sz w:val="18"/>
                <w:szCs w:val="18"/>
              </w:rPr>
              <w:t>tCO</w:t>
            </w:r>
            <w:r>
              <w:rPr>
                <w:rFonts w:hint="eastAsia"/>
                <w:kern w:val="0"/>
                <w:sz w:val="18"/>
                <w:szCs w:val="18"/>
                <w:vertAlign w:val="subscript"/>
              </w:rPr>
              <w:t>2</w:t>
            </w:r>
            <w:r>
              <w:rPr>
                <w:rFonts w:hint="eastAsia"/>
                <w:kern w:val="0"/>
                <w:sz w:val="18"/>
                <w:szCs w:val="18"/>
              </w:rPr>
              <w:t>/</w:t>
            </w:r>
            <w:r>
              <w:rPr>
                <w:kern w:val="0"/>
                <w:sz w:val="18"/>
                <w:szCs w:val="18"/>
              </w:rPr>
              <w:t>GJ</w:t>
            </w:r>
          </w:p>
        </w:tc>
        <w:tc>
          <w:tcPr>
            <w:tcW w:w="3186" w:type="pct"/>
            <w:vAlign w:val="center"/>
          </w:tcPr>
          <w:p w14:paraId="23EAF823">
            <w:pPr>
              <w:jc w:val="center"/>
              <w:rPr>
                <w:kern w:val="0"/>
                <w:sz w:val="18"/>
                <w:szCs w:val="18"/>
              </w:rPr>
            </w:pPr>
            <w:r>
              <w:rPr>
                <w:rFonts w:hint="eastAsia"/>
                <w:kern w:val="0"/>
                <w:sz w:val="18"/>
                <w:szCs w:val="18"/>
              </w:rPr>
              <w:t>0.11</w:t>
            </w:r>
          </w:p>
        </w:tc>
      </w:tr>
    </w:tbl>
    <w:p w14:paraId="39F474FE">
      <w:pPr>
        <w:spacing w:before="159" w:beforeLines="50" w:line="360" w:lineRule="auto"/>
        <w:jc w:val="center"/>
        <w:rPr>
          <w:rFonts w:eastAsia="黑体"/>
        </w:rPr>
      </w:pPr>
    </w:p>
    <w:p w14:paraId="4C784D2F">
      <w:pPr>
        <w:spacing w:before="159" w:beforeLines="50" w:line="360" w:lineRule="auto"/>
        <w:jc w:val="center"/>
        <w:rPr>
          <w:rFonts w:eastAsia="黑体"/>
        </w:rPr>
      </w:pPr>
    </w:p>
    <w:p w14:paraId="02AFC0A2">
      <w:pPr>
        <w:spacing w:before="159" w:beforeLines="50" w:line="360" w:lineRule="auto"/>
        <w:jc w:val="center"/>
        <w:rPr>
          <w:rFonts w:eastAsia="黑体"/>
        </w:rPr>
      </w:pPr>
    </w:p>
    <w:p w14:paraId="411D19F8">
      <w:pPr>
        <w:spacing w:before="159" w:beforeLines="50" w:line="360" w:lineRule="auto"/>
        <w:jc w:val="center"/>
        <w:rPr>
          <w:rFonts w:eastAsia="黑体"/>
        </w:rPr>
      </w:pPr>
    </w:p>
    <w:p w14:paraId="3456397A">
      <w:pPr>
        <w:spacing w:before="159" w:beforeLines="50" w:line="360" w:lineRule="auto"/>
        <w:jc w:val="center"/>
        <w:rPr>
          <w:rFonts w:eastAsia="黑体"/>
        </w:rPr>
      </w:pPr>
    </w:p>
    <w:p w14:paraId="07A52F23">
      <w:pPr>
        <w:spacing w:before="159" w:beforeLines="50" w:line="360" w:lineRule="auto"/>
        <w:jc w:val="center"/>
        <w:rPr>
          <w:rFonts w:eastAsia="黑体"/>
        </w:rPr>
      </w:pPr>
    </w:p>
    <w:p w14:paraId="7EFAC6B1">
      <w:pPr>
        <w:spacing w:before="159" w:beforeLines="50" w:line="360" w:lineRule="auto"/>
        <w:jc w:val="center"/>
        <w:rPr>
          <w:rFonts w:eastAsia="黑体"/>
        </w:rPr>
      </w:pPr>
    </w:p>
    <w:p w14:paraId="37270393">
      <w:pPr>
        <w:spacing w:before="159" w:beforeLines="50" w:line="360" w:lineRule="auto"/>
        <w:jc w:val="center"/>
        <w:rPr>
          <w:rFonts w:eastAsia="黑体"/>
        </w:rPr>
      </w:pPr>
    </w:p>
    <w:p w14:paraId="0F200206">
      <w:pPr>
        <w:spacing w:before="159" w:beforeLines="50" w:line="360" w:lineRule="auto"/>
        <w:jc w:val="center"/>
        <w:rPr>
          <w:rFonts w:eastAsia="黑体"/>
        </w:rPr>
      </w:pPr>
    </w:p>
    <w:p w14:paraId="7D2786A4">
      <w:pPr>
        <w:spacing w:before="159" w:beforeLines="50" w:line="360" w:lineRule="auto"/>
        <w:jc w:val="center"/>
        <w:rPr>
          <w:rFonts w:eastAsia="黑体"/>
        </w:rPr>
      </w:pPr>
    </w:p>
    <w:p w14:paraId="47F7F31D">
      <w:pPr>
        <w:spacing w:before="159" w:beforeLines="50" w:line="360" w:lineRule="auto"/>
        <w:jc w:val="center"/>
        <w:rPr>
          <w:rFonts w:eastAsia="黑体"/>
        </w:rPr>
      </w:pPr>
    </w:p>
    <w:p w14:paraId="67B19212">
      <w:pPr>
        <w:spacing w:before="159" w:beforeLines="50" w:line="360" w:lineRule="auto"/>
        <w:jc w:val="center"/>
        <w:rPr>
          <w:rFonts w:eastAsia="黑体"/>
        </w:rPr>
      </w:pPr>
    </w:p>
    <w:p w14:paraId="086FDF0E">
      <w:pPr>
        <w:spacing w:before="159" w:beforeLines="50" w:line="360" w:lineRule="auto"/>
        <w:jc w:val="center"/>
        <w:rPr>
          <w:rFonts w:eastAsia="黑体"/>
        </w:rPr>
      </w:pPr>
    </w:p>
    <w:p w14:paraId="0B8B5179">
      <w:pPr>
        <w:spacing w:before="159" w:beforeLines="50" w:line="360" w:lineRule="auto"/>
        <w:jc w:val="center"/>
        <w:rPr>
          <w:rFonts w:eastAsia="黑体"/>
        </w:rPr>
      </w:pPr>
    </w:p>
    <w:p w14:paraId="57D29C28">
      <w:pPr>
        <w:spacing w:before="159" w:beforeLines="50" w:line="360" w:lineRule="auto"/>
        <w:jc w:val="center"/>
        <w:rPr>
          <w:rFonts w:eastAsia="黑体"/>
        </w:rPr>
      </w:pPr>
    </w:p>
    <w:p w14:paraId="3E026155">
      <w:pPr>
        <w:spacing w:before="159" w:beforeLines="50" w:line="360" w:lineRule="auto"/>
        <w:jc w:val="center"/>
        <w:rPr>
          <w:rFonts w:eastAsia="黑体"/>
        </w:rPr>
      </w:pPr>
    </w:p>
    <w:p w14:paraId="7B55638D">
      <w:pPr>
        <w:spacing w:before="159" w:beforeLines="50" w:line="360" w:lineRule="auto"/>
        <w:jc w:val="center"/>
        <w:rPr>
          <w:rFonts w:eastAsia="黑体"/>
        </w:rPr>
      </w:pPr>
    </w:p>
    <w:p w14:paraId="6335DA64">
      <w:pPr>
        <w:spacing w:before="159" w:beforeLines="50" w:line="360" w:lineRule="auto"/>
        <w:jc w:val="center"/>
        <w:rPr>
          <w:rFonts w:eastAsia="黑体"/>
        </w:rPr>
      </w:pPr>
    </w:p>
    <w:p w14:paraId="7D29CFB8">
      <w:pPr>
        <w:spacing w:before="159" w:beforeLines="50" w:line="360" w:lineRule="auto"/>
        <w:jc w:val="center"/>
        <w:rPr>
          <w:rFonts w:eastAsia="黑体"/>
        </w:rPr>
      </w:pPr>
      <w:r>
        <w:rPr>
          <w:rFonts w:hint="eastAsia" w:eastAsia="黑体"/>
        </w:rPr>
        <w:t>表</w:t>
      </w:r>
      <w:r>
        <w:rPr>
          <w:rFonts w:eastAsia="黑体"/>
        </w:rPr>
        <w:t>B.</w:t>
      </w:r>
      <w:r>
        <w:rPr>
          <w:rFonts w:hint="eastAsia" w:eastAsia="黑体"/>
        </w:rPr>
        <w:t>5</w:t>
      </w:r>
      <w:r>
        <w:rPr>
          <w:rFonts w:eastAsia="黑体"/>
        </w:rPr>
        <w:t xml:space="preserve"> </w:t>
      </w:r>
      <w:r>
        <w:rPr>
          <w:rFonts w:hint="eastAsia" w:eastAsia="黑体"/>
        </w:rPr>
        <w:t>饱和蒸汽焓值表</w:t>
      </w:r>
    </w:p>
    <w:tbl>
      <w:tblPr>
        <w:tblStyle w:val="36"/>
        <w:tblpPr w:leftFromText="180" w:rightFromText="180" w:vertAnchor="text" w:tblpXSpec="center" w:tblpY="1"/>
        <w:tblOverlap w:val="never"/>
        <w:tblW w:w="89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1417"/>
        <w:gridCol w:w="1417"/>
        <w:gridCol w:w="1415"/>
        <w:gridCol w:w="1418"/>
        <w:gridCol w:w="1648"/>
      </w:tblGrid>
      <w:tr w14:paraId="3D08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0AD5A7AE">
            <w:pPr>
              <w:ind w:firstLine="362"/>
              <w:rPr>
                <w:rFonts w:eastAsiaTheme="minorEastAsia"/>
                <w:spacing w:val="-1"/>
                <w:sz w:val="18"/>
                <w:szCs w:val="18"/>
              </w:rPr>
            </w:pPr>
            <w:r>
              <w:rPr>
                <w:rFonts w:eastAsiaTheme="minorEastAsia"/>
                <w:spacing w:val="-1"/>
                <w:sz w:val="18"/>
                <w:szCs w:val="18"/>
              </w:rPr>
              <w:t>压力</w:t>
            </w:r>
          </w:p>
          <w:p w14:paraId="4C619F8F">
            <w:pPr>
              <w:ind w:firstLine="362"/>
              <w:rPr>
                <w:rFonts w:eastAsiaTheme="minorEastAsia"/>
                <w:spacing w:val="-1"/>
                <w:sz w:val="18"/>
                <w:szCs w:val="18"/>
              </w:rPr>
            </w:pPr>
            <w:r>
              <w:rPr>
                <w:rFonts w:eastAsiaTheme="minorEastAsia"/>
                <w:spacing w:val="-1"/>
                <w:sz w:val="18"/>
                <w:szCs w:val="18"/>
              </w:rPr>
              <w:t>MPa</w:t>
            </w:r>
          </w:p>
        </w:tc>
        <w:tc>
          <w:tcPr>
            <w:tcW w:w="1417" w:type="dxa"/>
          </w:tcPr>
          <w:p w14:paraId="27F0E8BB">
            <w:pPr>
              <w:ind w:firstLine="362"/>
              <w:rPr>
                <w:rFonts w:eastAsiaTheme="minorEastAsia"/>
                <w:spacing w:val="-1"/>
                <w:sz w:val="18"/>
                <w:szCs w:val="18"/>
              </w:rPr>
            </w:pPr>
            <w:r>
              <w:rPr>
                <w:rFonts w:eastAsiaTheme="minorEastAsia"/>
                <w:spacing w:val="-1"/>
                <w:sz w:val="18"/>
                <w:szCs w:val="18"/>
              </w:rPr>
              <w:t>温度</w:t>
            </w:r>
          </w:p>
          <w:p w14:paraId="74E65B95">
            <w:pPr>
              <w:ind w:firstLine="452" w:firstLineChars="250"/>
              <w:rPr>
                <w:rFonts w:eastAsiaTheme="minorEastAsia"/>
                <w:spacing w:val="-1"/>
                <w:sz w:val="18"/>
                <w:szCs w:val="18"/>
              </w:rPr>
            </w:pPr>
            <w:r>
              <w:rPr>
                <w:rFonts w:eastAsiaTheme="minorEastAsia"/>
                <w:spacing w:val="-1"/>
                <w:sz w:val="18"/>
                <w:szCs w:val="18"/>
              </w:rPr>
              <w:t>℃</w:t>
            </w:r>
          </w:p>
        </w:tc>
        <w:tc>
          <w:tcPr>
            <w:tcW w:w="1417" w:type="dxa"/>
          </w:tcPr>
          <w:p w14:paraId="6C11F648">
            <w:pPr>
              <w:ind w:firstLine="452" w:firstLineChars="250"/>
              <w:rPr>
                <w:rFonts w:eastAsiaTheme="minorEastAsia"/>
                <w:spacing w:val="-1"/>
                <w:sz w:val="18"/>
                <w:szCs w:val="18"/>
              </w:rPr>
            </w:pPr>
            <w:r>
              <w:rPr>
                <w:rFonts w:eastAsiaTheme="minorEastAsia"/>
                <w:spacing w:val="-1"/>
                <w:sz w:val="18"/>
                <w:szCs w:val="18"/>
              </w:rPr>
              <w:t>焓</w:t>
            </w:r>
          </w:p>
          <w:p w14:paraId="43BF4535">
            <w:pPr>
              <w:ind w:firstLine="362"/>
              <w:rPr>
                <w:rFonts w:eastAsiaTheme="minorEastAsia"/>
                <w:spacing w:val="-1"/>
                <w:sz w:val="18"/>
                <w:szCs w:val="18"/>
              </w:rPr>
            </w:pPr>
            <w:r>
              <w:rPr>
                <w:rFonts w:eastAsiaTheme="minorEastAsia"/>
                <w:spacing w:val="-1"/>
                <w:sz w:val="18"/>
                <w:szCs w:val="18"/>
              </w:rPr>
              <w:t>kJ/kg</w:t>
            </w:r>
          </w:p>
        </w:tc>
        <w:tc>
          <w:tcPr>
            <w:tcW w:w="1415" w:type="dxa"/>
          </w:tcPr>
          <w:p w14:paraId="752506E2">
            <w:pPr>
              <w:ind w:firstLine="362"/>
              <w:rPr>
                <w:rFonts w:eastAsiaTheme="minorEastAsia"/>
                <w:spacing w:val="-1"/>
                <w:sz w:val="18"/>
                <w:szCs w:val="18"/>
              </w:rPr>
            </w:pPr>
            <w:r>
              <w:rPr>
                <w:rFonts w:eastAsiaTheme="minorEastAsia"/>
                <w:spacing w:val="-1"/>
                <w:sz w:val="18"/>
                <w:szCs w:val="18"/>
              </w:rPr>
              <w:t>压力</w:t>
            </w:r>
          </w:p>
          <w:p w14:paraId="314A3E6B">
            <w:pPr>
              <w:ind w:firstLine="362"/>
              <w:rPr>
                <w:rFonts w:eastAsiaTheme="minorEastAsia"/>
                <w:spacing w:val="-1"/>
                <w:sz w:val="18"/>
                <w:szCs w:val="18"/>
              </w:rPr>
            </w:pPr>
            <w:r>
              <w:rPr>
                <w:rFonts w:eastAsiaTheme="minorEastAsia"/>
                <w:spacing w:val="-1"/>
                <w:sz w:val="18"/>
                <w:szCs w:val="18"/>
              </w:rPr>
              <w:t>MPa</w:t>
            </w:r>
          </w:p>
        </w:tc>
        <w:tc>
          <w:tcPr>
            <w:tcW w:w="1418" w:type="dxa"/>
          </w:tcPr>
          <w:p w14:paraId="1A1CDAB5">
            <w:pPr>
              <w:ind w:firstLine="362"/>
              <w:rPr>
                <w:rFonts w:eastAsiaTheme="minorEastAsia"/>
                <w:spacing w:val="-1"/>
                <w:sz w:val="18"/>
                <w:szCs w:val="18"/>
              </w:rPr>
            </w:pPr>
            <w:r>
              <w:rPr>
                <w:rFonts w:eastAsiaTheme="minorEastAsia"/>
                <w:spacing w:val="-1"/>
                <w:sz w:val="18"/>
                <w:szCs w:val="18"/>
              </w:rPr>
              <w:t>温度</w:t>
            </w:r>
          </w:p>
          <w:p w14:paraId="25ED3F18">
            <w:pPr>
              <w:ind w:firstLine="452" w:firstLineChars="250"/>
              <w:rPr>
                <w:rFonts w:eastAsiaTheme="minorEastAsia"/>
                <w:spacing w:val="-1"/>
                <w:sz w:val="18"/>
                <w:szCs w:val="18"/>
              </w:rPr>
            </w:pPr>
            <w:r>
              <w:rPr>
                <w:rFonts w:eastAsiaTheme="minorEastAsia"/>
                <w:spacing w:val="-1"/>
                <w:sz w:val="18"/>
                <w:szCs w:val="18"/>
              </w:rPr>
              <w:t>℃</w:t>
            </w:r>
          </w:p>
        </w:tc>
        <w:tc>
          <w:tcPr>
            <w:tcW w:w="1648" w:type="dxa"/>
          </w:tcPr>
          <w:p w14:paraId="4C5FDB8D">
            <w:pPr>
              <w:ind w:firstLine="452" w:firstLineChars="250"/>
              <w:rPr>
                <w:rFonts w:eastAsiaTheme="minorEastAsia"/>
                <w:spacing w:val="-1"/>
                <w:sz w:val="18"/>
                <w:szCs w:val="18"/>
              </w:rPr>
            </w:pPr>
            <w:r>
              <w:rPr>
                <w:rFonts w:eastAsiaTheme="minorEastAsia"/>
                <w:spacing w:val="-1"/>
                <w:sz w:val="18"/>
                <w:szCs w:val="18"/>
              </w:rPr>
              <w:t>焓</w:t>
            </w:r>
          </w:p>
          <w:p w14:paraId="76DF6927">
            <w:pPr>
              <w:ind w:firstLine="362"/>
              <w:rPr>
                <w:rFonts w:eastAsiaTheme="minorEastAsia"/>
                <w:spacing w:val="-1"/>
                <w:sz w:val="18"/>
                <w:szCs w:val="18"/>
              </w:rPr>
            </w:pPr>
            <w:r>
              <w:rPr>
                <w:rFonts w:eastAsiaTheme="minorEastAsia"/>
                <w:spacing w:val="-1"/>
                <w:sz w:val="18"/>
                <w:szCs w:val="18"/>
              </w:rPr>
              <w:t>kJ/kg</w:t>
            </w:r>
          </w:p>
        </w:tc>
      </w:tr>
      <w:tr w14:paraId="243F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04DC2AF7">
            <w:pPr>
              <w:ind w:firstLine="426"/>
              <w:rPr>
                <w:rFonts w:eastAsia="黑体"/>
                <w:bCs/>
                <w:szCs w:val="21"/>
              </w:rPr>
            </w:pPr>
            <w:r>
              <w:rPr>
                <w:rFonts w:hint="eastAsia" w:eastAsia="黑体"/>
                <w:bCs/>
                <w:szCs w:val="21"/>
              </w:rPr>
              <w:t>0.001</w:t>
            </w:r>
          </w:p>
        </w:tc>
        <w:tc>
          <w:tcPr>
            <w:tcW w:w="1417" w:type="dxa"/>
          </w:tcPr>
          <w:p w14:paraId="3E3D0B38">
            <w:pPr>
              <w:ind w:firstLine="426"/>
              <w:rPr>
                <w:rFonts w:eastAsia="黑体"/>
                <w:bCs/>
                <w:szCs w:val="21"/>
              </w:rPr>
            </w:pPr>
            <w:r>
              <w:rPr>
                <w:rFonts w:hint="eastAsia" w:eastAsia="黑体"/>
                <w:bCs/>
                <w:szCs w:val="21"/>
              </w:rPr>
              <w:t>6.98</w:t>
            </w:r>
          </w:p>
        </w:tc>
        <w:tc>
          <w:tcPr>
            <w:tcW w:w="1417" w:type="dxa"/>
          </w:tcPr>
          <w:p w14:paraId="06A17CE9">
            <w:pPr>
              <w:ind w:firstLine="426"/>
              <w:rPr>
                <w:rFonts w:eastAsia="黑体"/>
                <w:bCs/>
                <w:szCs w:val="21"/>
              </w:rPr>
            </w:pPr>
            <w:r>
              <w:rPr>
                <w:rFonts w:hint="eastAsia" w:eastAsia="黑体"/>
                <w:bCs/>
                <w:szCs w:val="21"/>
              </w:rPr>
              <w:t>2513.8</w:t>
            </w:r>
          </w:p>
        </w:tc>
        <w:tc>
          <w:tcPr>
            <w:tcW w:w="1415" w:type="dxa"/>
          </w:tcPr>
          <w:p w14:paraId="45533FB6">
            <w:pPr>
              <w:ind w:firstLine="426"/>
              <w:rPr>
                <w:rFonts w:eastAsia="黑体"/>
                <w:bCs/>
                <w:szCs w:val="21"/>
              </w:rPr>
            </w:pPr>
            <w:r>
              <w:rPr>
                <w:rFonts w:hint="eastAsia" w:eastAsia="黑体"/>
                <w:bCs/>
                <w:szCs w:val="21"/>
              </w:rPr>
              <w:t>0.050</w:t>
            </w:r>
          </w:p>
        </w:tc>
        <w:tc>
          <w:tcPr>
            <w:tcW w:w="1418" w:type="dxa"/>
          </w:tcPr>
          <w:p w14:paraId="6226E1E8">
            <w:pPr>
              <w:ind w:firstLine="426"/>
              <w:rPr>
                <w:rFonts w:eastAsia="黑体"/>
                <w:bCs/>
                <w:szCs w:val="21"/>
              </w:rPr>
            </w:pPr>
            <w:r>
              <w:rPr>
                <w:rFonts w:hint="eastAsia" w:eastAsia="黑体"/>
                <w:bCs/>
                <w:szCs w:val="21"/>
              </w:rPr>
              <w:t>81.35</w:t>
            </w:r>
          </w:p>
        </w:tc>
        <w:tc>
          <w:tcPr>
            <w:tcW w:w="1648" w:type="dxa"/>
          </w:tcPr>
          <w:p w14:paraId="061669EB">
            <w:pPr>
              <w:ind w:firstLine="426"/>
              <w:rPr>
                <w:rFonts w:eastAsia="黑体"/>
                <w:bCs/>
                <w:szCs w:val="21"/>
              </w:rPr>
            </w:pPr>
            <w:r>
              <w:rPr>
                <w:rFonts w:hint="eastAsia" w:eastAsia="黑体"/>
                <w:bCs/>
                <w:szCs w:val="21"/>
              </w:rPr>
              <w:t>2645.0</w:t>
            </w:r>
          </w:p>
        </w:tc>
      </w:tr>
      <w:tr w14:paraId="44DE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685CF77B">
            <w:pPr>
              <w:ind w:firstLine="426"/>
              <w:rPr>
                <w:rFonts w:eastAsia="黑体"/>
                <w:bCs/>
                <w:szCs w:val="21"/>
              </w:rPr>
            </w:pPr>
            <w:r>
              <w:rPr>
                <w:rFonts w:hint="eastAsia" w:eastAsia="黑体"/>
                <w:bCs/>
                <w:szCs w:val="21"/>
              </w:rPr>
              <w:t>0.002</w:t>
            </w:r>
          </w:p>
        </w:tc>
        <w:tc>
          <w:tcPr>
            <w:tcW w:w="1417" w:type="dxa"/>
          </w:tcPr>
          <w:p w14:paraId="4B0204E5">
            <w:pPr>
              <w:ind w:firstLine="426"/>
              <w:rPr>
                <w:rFonts w:eastAsia="黑体"/>
                <w:bCs/>
                <w:szCs w:val="21"/>
              </w:rPr>
            </w:pPr>
            <w:r>
              <w:rPr>
                <w:rFonts w:hint="eastAsia" w:eastAsia="黑体"/>
                <w:bCs/>
                <w:szCs w:val="21"/>
              </w:rPr>
              <w:t>17.51</w:t>
            </w:r>
          </w:p>
        </w:tc>
        <w:tc>
          <w:tcPr>
            <w:tcW w:w="1417" w:type="dxa"/>
          </w:tcPr>
          <w:p w14:paraId="63F96CB1">
            <w:pPr>
              <w:ind w:firstLine="426"/>
              <w:rPr>
                <w:rFonts w:eastAsia="黑体"/>
                <w:bCs/>
                <w:szCs w:val="21"/>
              </w:rPr>
            </w:pPr>
            <w:r>
              <w:rPr>
                <w:rFonts w:hint="eastAsia" w:eastAsia="黑体"/>
                <w:bCs/>
                <w:szCs w:val="21"/>
              </w:rPr>
              <w:t>2533.2</w:t>
            </w:r>
          </w:p>
        </w:tc>
        <w:tc>
          <w:tcPr>
            <w:tcW w:w="1415" w:type="dxa"/>
          </w:tcPr>
          <w:p w14:paraId="3649E53A">
            <w:pPr>
              <w:ind w:firstLine="426"/>
              <w:rPr>
                <w:rFonts w:eastAsia="黑体"/>
                <w:bCs/>
                <w:szCs w:val="21"/>
              </w:rPr>
            </w:pPr>
            <w:r>
              <w:rPr>
                <w:rFonts w:hint="eastAsia" w:eastAsia="黑体"/>
                <w:bCs/>
                <w:szCs w:val="21"/>
              </w:rPr>
              <w:t>0.060</w:t>
            </w:r>
          </w:p>
        </w:tc>
        <w:tc>
          <w:tcPr>
            <w:tcW w:w="1418" w:type="dxa"/>
          </w:tcPr>
          <w:p w14:paraId="170599AD">
            <w:pPr>
              <w:ind w:firstLine="426"/>
              <w:rPr>
                <w:rFonts w:eastAsia="黑体"/>
                <w:bCs/>
                <w:szCs w:val="21"/>
              </w:rPr>
            </w:pPr>
            <w:r>
              <w:rPr>
                <w:rFonts w:hint="eastAsia" w:eastAsia="黑体"/>
                <w:bCs/>
                <w:szCs w:val="21"/>
              </w:rPr>
              <w:t>85.95</w:t>
            </w:r>
          </w:p>
        </w:tc>
        <w:tc>
          <w:tcPr>
            <w:tcW w:w="1648" w:type="dxa"/>
          </w:tcPr>
          <w:p w14:paraId="5BCACDE5">
            <w:pPr>
              <w:ind w:firstLine="426"/>
              <w:rPr>
                <w:rFonts w:eastAsia="黑体"/>
                <w:bCs/>
                <w:szCs w:val="21"/>
              </w:rPr>
            </w:pPr>
            <w:r>
              <w:rPr>
                <w:rFonts w:hint="eastAsia" w:eastAsia="黑体"/>
                <w:bCs/>
                <w:szCs w:val="21"/>
              </w:rPr>
              <w:t>2653.6</w:t>
            </w:r>
          </w:p>
        </w:tc>
      </w:tr>
      <w:tr w14:paraId="7A9F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4E0D8512">
            <w:pPr>
              <w:ind w:firstLine="426"/>
              <w:rPr>
                <w:rFonts w:eastAsia="黑体"/>
                <w:bCs/>
                <w:szCs w:val="21"/>
              </w:rPr>
            </w:pPr>
            <w:r>
              <w:rPr>
                <w:rFonts w:hint="eastAsia" w:eastAsia="黑体"/>
                <w:bCs/>
                <w:szCs w:val="21"/>
              </w:rPr>
              <w:t>0.003</w:t>
            </w:r>
          </w:p>
        </w:tc>
        <w:tc>
          <w:tcPr>
            <w:tcW w:w="1417" w:type="dxa"/>
          </w:tcPr>
          <w:p w14:paraId="00A6D171">
            <w:pPr>
              <w:ind w:firstLine="426"/>
              <w:rPr>
                <w:rFonts w:eastAsia="黑体"/>
                <w:bCs/>
                <w:szCs w:val="21"/>
              </w:rPr>
            </w:pPr>
            <w:r>
              <w:rPr>
                <w:rFonts w:hint="eastAsia" w:eastAsia="黑体"/>
                <w:bCs/>
                <w:szCs w:val="21"/>
              </w:rPr>
              <w:t>24.10</w:t>
            </w:r>
          </w:p>
        </w:tc>
        <w:tc>
          <w:tcPr>
            <w:tcW w:w="1417" w:type="dxa"/>
          </w:tcPr>
          <w:p w14:paraId="492B783D">
            <w:pPr>
              <w:ind w:firstLine="426"/>
              <w:rPr>
                <w:rFonts w:eastAsia="黑体"/>
                <w:bCs/>
                <w:szCs w:val="21"/>
              </w:rPr>
            </w:pPr>
            <w:r>
              <w:rPr>
                <w:rFonts w:hint="eastAsia" w:eastAsia="黑体"/>
                <w:bCs/>
                <w:szCs w:val="21"/>
              </w:rPr>
              <w:t>2545.2</w:t>
            </w:r>
          </w:p>
        </w:tc>
        <w:tc>
          <w:tcPr>
            <w:tcW w:w="1415" w:type="dxa"/>
          </w:tcPr>
          <w:p w14:paraId="68F28FA0">
            <w:pPr>
              <w:ind w:firstLine="426"/>
              <w:rPr>
                <w:rFonts w:eastAsia="黑体"/>
                <w:bCs/>
                <w:szCs w:val="21"/>
              </w:rPr>
            </w:pPr>
            <w:r>
              <w:rPr>
                <w:rFonts w:hint="eastAsia" w:eastAsia="黑体"/>
                <w:bCs/>
                <w:szCs w:val="21"/>
              </w:rPr>
              <w:t>0.070</w:t>
            </w:r>
          </w:p>
        </w:tc>
        <w:tc>
          <w:tcPr>
            <w:tcW w:w="1418" w:type="dxa"/>
          </w:tcPr>
          <w:p w14:paraId="493EDD3D">
            <w:pPr>
              <w:ind w:firstLine="426"/>
              <w:rPr>
                <w:rFonts w:eastAsia="黑体"/>
                <w:bCs/>
                <w:szCs w:val="21"/>
              </w:rPr>
            </w:pPr>
            <w:r>
              <w:rPr>
                <w:rFonts w:hint="eastAsia" w:eastAsia="黑体"/>
                <w:bCs/>
                <w:szCs w:val="21"/>
              </w:rPr>
              <w:t>89.96</w:t>
            </w:r>
          </w:p>
        </w:tc>
        <w:tc>
          <w:tcPr>
            <w:tcW w:w="1648" w:type="dxa"/>
          </w:tcPr>
          <w:p w14:paraId="133C78B6">
            <w:pPr>
              <w:ind w:firstLine="426"/>
              <w:rPr>
                <w:rFonts w:eastAsia="黑体"/>
                <w:bCs/>
                <w:szCs w:val="21"/>
              </w:rPr>
            </w:pPr>
            <w:r>
              <w:rPr>
                <w:rFonts w:hint="eastAsia" w:eastAsia="黑体"/>
                <w:bCs/>
                <w:szCs w:val="21"/>
              </w:rPr>
              <w:t>2660.2</w:t>
            </w:r>
          </w:p>
        </w:tc>
      </w:tr>
      <w:tr w14:paraId="4D3B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35878F29">
            <w:pPr>
              <w:ind w:firstLine="426"/>
              <w:rPr>
                <w:rFonts w:eastAsia="黑体"/>
                <w:bCs/>
                <w:szCs w:val="21"/>
              </w:rPr>
            </w:pPr>
            <w:r>
              <w:rPr>
                <w:rFonts w:hint="eastAsia" w:eastAsia="黑体"/>
                <w:bCs/>
                <w:szCs w:val="21"/>
              </w:rPr>
              <w:t>0.004</w:t>
            </w:r>
          </w:p>
        </w:tc>
        <w:tc>
          <w:tcPr>
            <w:tcW w:w="1417" w:type="dxa"/>
          </w:tcPr>
          <w:p w14:paraId="2A010B86">
            <w:pPr>
              <w:ind w:firstLine="426"/>
              <w:rPr>
                <w:rFonts w:eastAsia="黑体"/>
                <w:bCs/>
                <w:szCs w:val="21"/>
              </w:rPr>
            </w:pPr>
            <w:r>
              <w:rPr>
                <w:rFonts w:hint="eastAsia" w:eastAsia="黑体"/>
                <w:bCs/>
                <w:szCs w:val="21"/>
              </w:rPr>
              <w:t>28.98</w:t>
            </w:r>
          </w:p>
        </w:tc>
        <w:tc>
          <w:tcPr>
            <w:tcW w:w="1417" w:type="dxa"/>
          </w:tcPr>
          <w:p w14:paraId="19855904">
            <w:pPr>
              <w:ind w:firstLine="426"/>
              <w:rPr>
                <w:rFonts w:eastAsia="黑体"/>
                <w:bCs/>
                <w:szCs w:val="21"/>
              </w:rPr>
            </w:pPr>
            <w:r>
              <w:rPr>
                <w:rFonts w:hint="eastAsia" w:eastAsia="黑体"/>
                <w:bCs/>
                <w:szCs w:val="21"/>
              </w:rPr>
              <w:t>2554.1</w:t>
            </w:r>
          </w:p>
        </w:tc>
        <w:tc>
          <w:tcPr>
            <w:tcW w:w="1415" w:type="dxa"/>
          </w:tcPr>
          <w:p w14:paraId="1A4A7EB6">
            <w:pPr>
              <w:ind w:firstLine="426"/>
              <w:rPr>
                <w:rFonts w:eastAsia="黑体"/>
                <w:bCs/>
                <w:szCs w:val="21"/>
              </w:rPr>
            </w:pPr>
            <w:r>
              <w:rPr>
                <w:rFonts w:hint="eastAsia" w:eastAsia="黑体"/>
                <w:bCs/>
                <w:szCs w:val="21"/>
              </w:rPr>
              <w:t>0.080</w:t>
            </w:r>
          </w:p>
        </w:tc>
        <w:tc>
          <w:tcPr>
            <w:tcW w:w="1418" w:type="dxa"/>
          </w:tcPr>
          <w:p w14:paraId="3080F1B9">
            <w:pPr>
              <w:ind w:firstLine="426"/>
              <w:rPr>
                <w:rFonts w:eastAsia="黑体"/>
                <w:bCs/>
                <w:szCs w:val="21"/>
              </w:rPr>
            </w:pPr>
            <w:r>
              <w:rPr>
                <w:rFonts w:hint="eastAsia" w:eastAsia="黑体"/>
                <w:bCs/>
                <w:szCs w:val="21"/>
              </w:rPr>
              <w:t>93.51</w:t>
            </w:r>
          </w:p>
        </w:tc>
        <w:tc>
          <w:tcPr>
            <w:tcW w:w="1648" w:type="dxa"/>
          </w:tcPr>
          <w:p w14:paraId="598F8B63">
            <w:pPr>
              <w:ind w:firstLine="426"/>
              <w:rPr>
                <w:rFonts w:eastAsia="黑体"/>
                <w:bCs/>
                <w:szCs w:val="21"/>
              </w:rPr>
            </w:pPr>
            <w:r>
              <w:rPr>
                <w:rFonts w:hint="eastAsia" w:eastAsia="黑体"/>
                <w:bCs/>
                <w:szCs w:val="21"/>
              </w:rPr>
              <w:t>2666.0</w:t>
            </w:r>
          </w:p>
        </w:tc>
      </w:tr>
      <w:tr w14:paraId="2DDB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23027E1C">
            <w:pPr>
              <w:ind w:firstLine="426"/>
              <w:rPr>
                <w:rFonts w:eastAsia="黑体"/>
                <w:bCs/>
                <w:szCs w:val="21"/>
              </w:rPr>
            </w:pPr>
            <w:r>
              <w:rPr>
                <w:rFonts w:hint="eastAsia" w:eastAsia="黑体"/>
                <w:bCs/>
                <w:szCs w:val="21"/>
              </w:rPr>
              <w:t>0.005</w:t>
            </w:r>
          </w:p>
        </w:tc>
        <w:tc>
          <w:tcPr>
            <w:tcW w:w="1417" w:type="dxa"/>
          </w:tcPr>
          <w:p w14:paraId="635402A5">
            <w:pPr>
              <w:ind w:firstLine="426"/>
              <w:rPr>
                <w:rFonts w:eastAsia="黑体"/>
                <w:bCs/>
                <w:szCs w:val="21"/>
              </w:rPr>
            </w:pPr>
            <w:r>
              <w:rPr>
                <w:rFonts w:hint="eastAsia" w:eastAsia="黑体"/>
                <w:bCs/>
                <w:szCs w:val="21"/>
              </w:rPr>
              <w:t>32.90</w:t>
            </w:r>
          </w:p>
        </w:tc>
        <w:tc>
          <w:tcPr>
            <w:tcW w:w="1417" w:type="dxa"/>
          </w:tcPr>
          <w:p w14:paraId="2AA39D38">
            <w:pPr>
              <w:ind w:firstLine="426"/>
              <w:rPr>
                <w:rFonts w:eastAsia="黑体"/>
                <w:bCs/>
                <w:szCs w:val="21"/>
              </w:rPr>
            </w:pPr>
            <w:r>
              <w:rPr>
                <w:rFonts w:hint="eastAsia" w:eastAsia="黑体"/>
                <w:bCs/>
                <w:szCs w:val="21"/>
              </w:rPr>
              <w:t>2561.2</w:t>
            </w:r>
          </w:p>
        </w:tc>
        <w:tc>
          <w:tcPr>
            <w:tcW w:w="1415" w:type="dxa"/>
          </w:tcPr>
          <w:p w14:paraId="074A37E8">
            <w:pPr>
              <w:ind w:firstLine="426"/>
              <w:rPr>
                <w:rFonts w:eastAsia="黑体"/>
                <w:bCs/>
                <w:szCs w:val="21"/>
              </w:rPr>
            </w:pPr>
            <w:r>
              <w:rPr>
                <w:rFonts w:hint="eastAsia" w:eastAsia="黑体"/>
                <w:bCs/>
                <w:szCs w:val="21"/>
              </w:rPr>
              <w:t>0.090</w:t>
            </w:r>
          </w:p>
        </w:tc>
        <w:tc>
          <w:tcPr>
            <w:tcW w:w="1418" w:type="dxa"/>
          </w:tcPr>
          <w:p w14:paraId="04173D34">
            <w:pPr>
              <w:ind w:firstLine="426"/>
              <w:rPr>
                <w:rFonts w:eastAsia="黑体"/>
                <w:bCs/>
                <w:szCs w:val="21"/>
              </w:rPr>
            </w:pPr>
            <w:r>
              <w:rPr>
                <w:rFonts w:hint="eastAsia" w:eastAsia="黑体"/>
                <w:bCs/>
                <w:szCs w:val="21"/>
              </w:rPr>
              <w:t>96.71</w:t>
            </w:r>
          </w:p>
        </w:tc>
        <w:tc>
          <w:tcPr>
            <w:tcW w:w="1648" w:type="dxa"/>
          </w:tcPr>
          <w:p w14:paraId="60BEB35A">
            <w:pPr>
              <w:ind w:firstLine="426"/>
              <w:rPr>
                <w:rFonts w:eastAsia="黑体"/>
                <w:bCs/>
                <w:szCs w:val="21"/>
              </w:rPr>
            </w:pPr>
            <w:r>
              <w:rPr>
                <w:rFonts w:hint="eastAsia" w:eastAsia="黑体"/>
                <w:bCs/>
                <w:szCs w:val="21"/>
              </w:rPr>
              <w:t>2671.1</w:t>
            </w:r>
          </w:p>
        </w:tc>
      </w:tr>
      <w:tr w14:paraId="66FE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698FCCA8">
            <w:pPr>
              <w:ind w:firstLine="426"/>
              <w:rPr>
                <w:rFonts w:eastAsia="黑体"/>
                <w:bCs/>
                <w:szCs w:val="21"/>
              </w:rPr>
            </w:pPr>
            <w:r>
              <w:rPr>
                <w:rFonts w:hint="eastAsia" w:eastAsia="黑体"/>
                <w:bCs/>
                <w:szCs w:val="21"/>
              </w:rPr>
              <w:t>0.006</w:t>
            </w:r>
          </w:p>
        </w:tc>
        <w:tc>
          <w:tcPr>
            <w:tcW w:w="1417" w:type="dxa"/>
          </w:tcPr>
          <w:p w14:paraId="1A9C70CA">
            <w:pPr>
              <w:ind w:firstLine="426"/>
              <w:rPr>
                <w:rFonts w:eastAsia="黑体"/>
                <w:bCs/>
                <w:szCs w:val="21"/>
              </w:rPr>
            </w:pPr>
            <w:r>
              <w:rPr>
                <w:rFonts w:hint="eastAsia" w:eastAsia="黑体"/>
                <w:bCs/>
                <w:szCs w:val="21"/>
              </w:rPr>
              <w:t>36.18</w:t>
            </w:r>
          </w:p>
        </w:tc>
        <w:tc>
          <w:tcPr>
            <w:tcW w:w="1417" w:type="dxa"/>
          </w:tcPr>
          <w:p w14:paraId="05CAB1EC">
            <w:pPr>
              <w:ind w:firstLine="426"/>
              <w:rPr>
                <w:rFonts w:eastAsia="黑体"/>
                <w:bCs/>
                <w:szCs w:val="21"/>
              </w:rPr>
            </w:pPr>
            <w:r>
              <w:rPr>
                <w:rFonts w:hint="eastAsia" w:eastAsia="黑体"/>
                <w:bCs/>
                <w:szCs w:val="21"/>
              </w:rPr>
              <w:t>2567.1</w:t>
            </w:r>
          </w:p>
        </w:tc>
        <w:tc>
          <w:tcPr>
            <w:tcW w:w="1415" w:type="dxa"/>
          </w:tcPr>
          <w:p w14:paraId="420CA20F">
            <w:pPr>
              <w:ind w:firstLine="426"/>
              <w:rPr>
                <w:rFonts w:eastAsia="黑体"/>
                <w:bCs/>
                <w:szCs w:val="21"/>
              </w:rPr>
            </w:pPr>
            <w:r>
              <w:rPr>
                <w:rFonts w:hint="eastAsia" w:eastAsia="黑体"/>
                <w:bCs/>
                <w:szCs w:val="21"/>
              </w:rPr>
              <w:t>0.10</w:t>
            </w:r>
          </w:p>
        </w:tc>
        <w:tc>
          <w:tcPr>
            <w:tcW w:w="1418" w:type="dxa"/>
          </w:tcPr>
          <w:p w14:paraId="07C0F752">
            <w:pPr>
              <w:ind w:firstLine="426"/>
              <w:rPr>
                <w:rFonts w:eastAsia="黑体"/>
                <w:bCs/>
                <w:szCs w:val="21"/>
              </w:rPr>
            </w:pPr>
            <w:r>
              <w:rPr>
                <w:rFonts w:hint="eastAsia" w:eastAsia="黑体"/>
                <w:bCs/>
                <w:szCs w:val="21"/>
              </w:rPr>
              <w:t>99.63</w:t>
            </w:r>
          </w:p>
        </w:tc>
        <w:tc>
          <w:tcPr>
            <w:tcW w:w="1648" w:type="dxa"/>
          </w:tcPr>
          <w:p w14:paraId="59ADA6D0">
            <w:pPr>
              <w:ind w:firstLine="426"/>
              <w:rPr>
                <w:rFonts w:eastAsia="黑体"/>
                <w:bCs/>
                <w:szCs w:val="21"/>
              </w:rPr>
            </w:pPr>
            <w:r>
              <w:rPr>
                <w:rFonts w:hint="eastAsia" w:eastAsia="黑体"/>
                <w:bCs/>
                <w:szCs w:val="21"/>
              </w:rPr>
              <w:t>2675.7</w:t>
            </w:r>
          </w:p>
        </w:tc>
      </w:tr>
      <w:tr w14:paraId="1E00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21831313">
            <w:pPr>
              <w:ind w:firstLine="426"/>
              <w:rPr>
                <w:rFonts w:eastAsia="黑体"/>
                <w:bCs/>
                <w:szCs w:val="21"/>
              </w:rPr>
            </w:pPr>
            <w:r>
              <w:rPr>
                <w:rFonts w:hint="eastAsia" w:eastAsia="黑体"/>
                <w:bCs/>
                <w:szCs w:val="21"/>
              </w:rPr>
              <w:t>0.007</w:t>
            </w:r>
          </w:p>
        </w:tc>
        <w:tc>
          <w:tcPr>
            <w:tcW w:w="1417" w:type="dxa"/>
          </w:tcPr>
          <w:p w14:paraId="206A8F44">
            <w:pPr>
              <w:ind w:firstLine="426"/>
              <w:rPr>
                <w:rFonts w:eastAsia="黑体"/>
                <w:bCs/>
                <w:szCs w:val="21"/>
              </w:rPr>
            </w:pPr>
            <w:r>
              <w:rPr>
                <w:rFonts w:hint="eastAsia" w:eastAsia="黑体"/>
                <w:bCs/>
                <w:szCs w:val="21"/>
              </w:rPr>
              <w:t>39.02</w:t>
            </w:r>
          </w:p>
        </w:tc>
        <w:tc>
          <w:tcPr>
            <w:tcW w:w="1417" w:type="dxa"/>
          </w:tcPr>
          <w:p w14:paraId="67475D63">
            <w:pPr>
              <w:ind w:firstLine="426"/>
              <w:rPr>
                <w:rFonts w:eastAsia="黑体"/>
                <w:bCs/>
                <w:szCs w:val="21"/>
              </w:rPr>
            </w:pPr>
            <w:r>
              <w:rPr>
                <w:rFonts w:hint="eastAsia" w:eastAsia="黑体"/>
                <w:bCs/>
                <w:szCs w:val="21"/>
              </w:rPr>
              <w:t>2572.2</w:t>
            </w:r>
          </w:p>
        </w:tc>
        <w:tc>
          <w:tcPr>
            <w:tcW w:w="1415" w:type="dxa"/>
          </w:tcPr>
          <w:p w14:paraId="65FEFB06">
            <w:pPr>
              <w:ind w:firstLine="426"/>
              <w:rPr>
                <w:rFonts w:eastAsia="黑体"/>
                <w:bCs/>
                <w:szCs w:val="21"/>
              </w:rPr>
            </w:pPr>
            <w:r>
              <w:rPr>
                <w:rFonts w:hint="eastAsia" w:eastAsia="黑体"/>
                <w:bCs/>
                <w:szCs w:val="21"/>
              </w:rPr>
              <w:t>0.12</w:t>
            </w:r>
          </w:p>
        </w:tc>
        <w:tc>
          <w:tcPr>
            <w:tcW w:w="1418" w:type="dxa"/>
          </w:tcPr>
          <w:p w14:paraId="19CE6039">
            <w:pPr>
              <w:ind w:firstLine="426"/>
              <w:rPr>
                <w:rFonts w:eastAsia="黑体"/>
                <w:bCs/>
                <w:szCs w:val="21"/>
              </w:rPr>
            </w:pPr>
            <w:r>
              <w:rPr>
                <w:rFonts w:hint="eastAsia" w:eastAsia="黑体"/>
                <w:bCs/>
                <w:szCs w:val="21"/>
              </w:rPr>
              <w:t>104.81</w:t>
            </w:r>
          </w:p>
        </w:tc>
        <w:tc>
          <w:tcPr>
            <w:tcW w:w="1648" w:type="dxa"/>
          </w:tcPr>
          <w:p w14:paraId="7BF1C5C9">
            <w:pPr>
              <w:ind w:firstLine="426"/>
              <w:rPr>
                <w:rFonts w:eastAsia="黑体"/>
                <w:bCs/>
                <w:szCs w:val="21"/>
              </w:rPr>
            </w:pPr>
            <w:r>
              <w:rPr>
                <w:rFonts w:hint="eastAsia" w:eastAsia="黑体"/>
                <w:bCs/>
                <w:szCs w:val="21"/>
              </w:rPr>
              <w:t>2683.8</w:t>
            </w:r>
          </w:p>
        </w:tc>
      </w:tr>
      <w:tr w14:paraId="1E6A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554B1CE7">
            <w:pPr>
              <w:ind w:firstLine="426"/>
              <w:rPr>
                <w:rFonts w:eastAsia="黑体"/>
                <w:bCs/>
                <w:szCs w:val="21"/>
              </w:rPr>
            </w:pPr>
            <w:r>
              <w:rPr>
                <w:rFonts w:hint="eastAsia" w:eastAsia="黑体"/>
                <w:bCs/>
                <w:szCs w:val="21"/>
              </w:rPr>
              <w:t>0.008</w:t>
            </w:r>
          </w:p>
        </w:tc>
        <w:tc>
          <w:tcPr>
            <w:tcW w:w="1417" w:type="dxa"/>
          </w:tcPr>
          <w:p w14:paraId="7BF56D08">
            <w:pPr>
              <w:ind w:firstLine="426"/>
              <w:rPr>
                <w:rFonts w:eastAsia="黑体"/>
                <w:bCs/>
                <w:szCs w:val="21"/>
              </w:rPr>
            </w:pPr>
            <w:r>
              <w:rPr>
                <w:rFonts w:hint="eastAsia" w:eastAsia="黑体"/>
                <w:bCs/>
                <w:szCs w:val="21"/>
              </w:rPr>
              <w:t>41.53</w:t>
            </w:r>
          </w:p>
        </w:tc>
        <w:tc>
          <w:tcPr>
            <w:tcW w:w="1417" w:type="dxa"/>
          </w:tcPr>
          <w:p w14:paraId="7AEF9B0D">
            <w:pPr>
              <w:ind w:firstLine="426"/>
              <w:rPr>
                <w:rFonts w:eastAsia="黑体"/>
                <w:bCs/>
                <w:szCs w:val="21"/>
              </w:rPr>
            </w:pPr>
            <w:r>
              <w:rPr>
                <w:rFonts w:hint="eastAsia" w:eastAsia="黑体"/>
                <w:bCs/>
                <w:szCs w:val="21"/>
              </w:rPr>
              <w:t>2576.7</w:t>
            </w:r>
          </w:p>
        </w:tc>
        <w:tc>
          <w:tcPr>
            <w:tcW w:w="1415" w:type="dxa"/>
          </w:tcPr>
          <w:p w14:paraId="04692589">
            <w:pPr>
              <w:ind w:firstLine="426"/>
              <w:rPr>
                <w:rFonts w:eastAsia="黑体"/>
                <w:bCs/>
                <w:szCs w:val="21"/>
              </w:rPr>
            </w:pPr>
            <w:r>
              <w:rPr>
                <w:rFonts w:hint="eastAsia" w:eastAsia="黑体"/>
                <w:bCs/>
                <w:szCs w:val="21"/>
              </w:rPr>
              <w:t>0.14</w:t>
            </w:r>
          </w:p>
        </w:tc>
        <w:tc>
          <w:tcPr>
            <w:tcW w:w="1418" w:type="dxa"/>
          </w:tcPr>
          <w:p w14:paraId="63466F6B">
            <w:pPr>
              <w:ind w:firstLine="426"/>
              <w:rPr>
                <w:rFonts w:eastAsia="黑体"/>
                <w:bCs/>
                <w:szCs w:val="21"/>
              </w:rPr>
            </w:pPr>
            <w:r>
              <w:rPr>
                <w:rFonts w:hint="eastAsia" w:eastAsia="黑体"/>
                <w:bCs/>
                <w:szCs w:val="21"/>
              </w:rPr>
              <w:t>109.32</w:t>
            </w:r>
          </w:p>
        </w:tc>
        <w:tc>
          <w:tcPr>
            <w:tcW w:w="1648" w:type="dxa"/>
          </w:tcPr>
          <w:p w14:paraId="63B63C93">
            <w:pPr>
              <w:ind w:firstLine="426"/>
              <w:rPr>
                <w:rFonts w:eastAsia="黑体"/>
                <w:bCs/>
                <w:szCs w:val="21"/>
              </w:rPr>
            </w:pPr>
            <w:r>
              <w:rPr>
                <w:rFonts w:hint="eastAsia" w:eastAsia="黑体"/>
                <w:bCs/>
                <w:szCs w:val="21"/>
              </w:rPr>
              <w:t>2690.8</w:t>
            </w:r>
          </w:p>
        </w:tc>
      </w:tr>
      <w:tr w14:paraId="7900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559B0C37">
            <w:pPr>
              <w:ind w:firstLine="426"/>
              <w:rPr>
                <w:rFonts w:eastAsia="黑体"/>
                <w:bCs/>
                <w:szCs w:val="21"/>
              </w:rPr>
            </w:pPr>
            <w:r>
              <w:rPr>
                <w:rFonts w:hint="eastAsia" w:eastAsia="黑体"/>
                <w:bCs/>
                <w:szCs w:val="21"/>
              </w:rPr>
              <w:t>0.009</w:t>
            </w:r>
          </w:p>
        </w:tc>
        <w:tc>
          <w:tcPr>
            <w:tcW w:w="1417" w:type="dxa"/>
          </w:tcPr>
          <w:p w14:paraId="64BB3664">
            <w:pPr>
              <w:ind w:firstLine="426"/>
              <w:rPr>
                <w:rFonts w:eastAsia="黑体"/>
                <w:bCs/>
                <w:szCs w:val="21"/>
              </w:rPr>
            </w:pPr>
            <w:r>
              <w:rPr>
                <w:rFonts w:hint="eastAsia" w:eastAsia="黑体"/>
                <w:bCs/>
                <w:szCs w:val="21"/>
              </w:rPr>
              <w:t>43.79</w:t>
            </w:r>
          </w:p>
        </w:tc>
        <w:tc>
          <w:tcPr>
            <w:tcW w:w="1417" w:type="dxa"/>
          </w:tcPr>
          <w:p w14:paraId="0E05C401">
            <w:pPr>
              <w:ind w:firstLine="426"/>
              <w:rPr>
                <w:rFonts w:eastAsia="黑体"/>
                <w:bCs/>
                <w:szCs w:val="21"/>
              </w:rPr>
            </w:pPr>
            <w:r>
              <w:rPr>
                <w:rFonts w:hint="eastAsia" w:eastAsia="黑体"/>
                <w:bCs/>
                <w:szCs w:val="21"/>
              </w:rPr>
              <w:t>2580.8</w:t>
            </w:r>
          </w:p>
        </w:tc>
        <w:tc>
          <w:tcPr>
            <w:tcW w:w="1415" w:type="dxa"/>
          </w:tcPr>
          <w:p w14:paraId="6AE03FEE">
            <w:pPr>
              <w:ind w:firstLine="426"/>
              <w:rPr>
                <w:rFonts w:eastAsia="黑体"/>
                <w:bCs/>
                <w:szCs w:val="21"/>
              </w:rPr>
            </w:pPr>
            <w:r>
              <w:rPr>
                <w:rFonts w:hint="eastAsia" w:eastAsia="黑体"/>
                <w:bCs/>
                <w:szCs w:val="21"/>
              </w:rPr>
              <w:t>0.16</w:t>
            </w:r>
          </w:p>
        </w:tc>
        <w:tc>
          <w:tcPr>
            <w:tcW w:w="1418" w:type="dxa"/>
          </w:tcPr>
          <w:p w14:paraId="456E399B">
            <w:pPr>
              <w:ind w:firstLine="426"/>
              <w:rPr>
                <w:rFonts w:eastAsia="黑体"/>
                <w:bCs/>
                <w:szCs w:val="21"/>
              </w:rPr>
            </w:pPr>
            <w:r>
              <w:rPr>
                <w:rFonts w:hint="eastAsia" w:eastAsia="黑体"/>
                <w:bCs/>
                <w:szCs w:val="21"/>
              </w:rPr>
              <w:t>113.32</w:t>
            </w:r>
          </w:p>
        </w:tc>
        <w:tc>
          <w:tcPr>
            <w:tcW w:w="1648" w:type="dxa"/>
          </w:tcPr>
          <w:p w14:paraId="0975B8C6">
            <w:pPr>
              <w:ind w:firstLine="426"/>
              <w:rPr>
                <w:rFonts w:eastAsia="黑体"/>
                <w:bCs/>
                <w:szCs w:val="21"/>
              </w:rPr>
            </w:pPr>
            <w:r>
              <w:rPr>
                <w:rFonts w:hint="eastAsia" w:eastAsia="黑体"/>
                <w:bCs/>
                <w:szCs w:val="21"/>
              </w:rPr>
              <w:t>2696.8</w:t>
            </w:r>
          </w:p>
        </w:tc>
      </w:tr>
      <w:tr w14:paraId="41D0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768AC031">
            <w:pPr>
              <w:ind w:firstLine="426"/>
              <w:rPr>
                <w:rFonts w:eastAsia="黑体"/>
                <w:bCs/>
                <w:szCs w:val="21"/>
              </w:rPr>
            </w:pPr>
            <w:r>
              <w:rPr>
                <w:rFonts w:hint="eastAsia" w:eastAsia="黑体"/>
                <w:bCs/>
                <w:szCs w:val="21"/>
              </w:rPr>
              <w:t>0.010</w:t>
            </w:r>
          </w:p>
        </w:tc>
        <w:tc>
          <w:tcPr>
            <w:tcW w:w="1417" w:type="dxa"/>
          </w:tcPr>
          <w:p w14:paraId="6752C93D">
            <w:pPr>
              <w:ind w:firstLine="426"/>
              <w:rPr>
                <w:rFonts w:eastAsia="黑体"/>
                <w:bCs/>
                <w:szCs w:val="21"/>
              </w:rPr>
            </w:pPr>
            <w:r>
              <w:rPr>
                <w:rFonts w:hint="eastAsia" w:eastAsia="黑体"/>
                <w:bCs/>
                <w:szCs w:val="21"/>
              </w:rPr>
              <w:t>45.83</w:t>
            </w:r>
          </w:p>
        </w:tc>
        <w:tc>
          <w:tcPr>
            <w:tcW w:w="1417" w:type="dxa"/>
          </w:tcPr>
          <w:p w14:paraId="60060484">
            <w:pPr>
              <w:ind w:firstLine="426"/>
              <w:rPr>
                <w:rFonts w:eastAsia="黑体"/>
                <w:bCs/>
                <w:szCs w:val="21"/>
              </w:rPr>
            </w:pPr>
            <w:r>
              <w:rPr>
                <w:rFonts w:hint="eastAsia" w:eastAsia="黑体"/>
                <w:bCs/>
                <w:szCs w:val="21"/>
              </w:rPr>
              <w:t>2584.4</w:t>
            </w:r>
          </w:p>
        </w:tc>
        <w:tc>
          <w:tcPr>
            <w:tcW w:w="1415" w:type="dxa"/>
          </w:tcPr>
          <w:p w14:paraId="710976FD">
            <w:pPr>
              <w:ind w:firstLine="426"/>
              <w:rPr>
                <w:rFonts w:eastAsia="黑体"/>
                <w:bCs/>
                <w:szCs w:val="21"/>
              </w:rPr>
            </w:pPr>
            <w:r>
              <w:rPr>
                <w:rFonts w:hint="eastAsia" w:eastAsia="黑体"/>
                <w:bCs/>
                <w:szCs w:val="21"/>
              </w:rPr>
              <w:t>0.18</w:t>
            </w:r>
          </w:p>
        </w:tc>
        <w:tc>
          <w:tcPr>
            <w:tcW w:w="1418" w:type="dxa"/>
          </w:tcPr>
          <w:p w14:paraId="40308402">
            <w:pPr>
              <w:ind w:firstLine="426"/>
              <w:rPr>
                <w:rFonts w:eastAsia="黑体"/>
                <w:bCs/>
                <w:szCs w:val="21"/>
              </w:rPr>
            </w:pPr>
            <w:r>
              <w:rPr>
                <w:rFonts w:hint="eastAsia" w:eastAsia="黑体"/>
                <w:bCs/>
                <w:szCs w:val="21"/>
              </w:rPr>
              <w:t>116.93</w:t>
            </w:r>
          </w:p>
        </w:tc>
        <w:tc>
          <w:tcPr>
            <w:tcW w:w="1648" w:type="dxa"/>
          </w:tcPr>
          <w:p w14:paraId="3DA132F5">
            <w:pPr>
              <w:ind w:firstLine="426"/>
              <w:rPr>
                <w:rFonts w:eastAsia="黑体"/>
                <w:bCs/>
                <w:szCs w:val="21"/>
              </w:rPr>
            </w:pPr>
            <w:r>
              <w:rPr>
                <w:rFonts w:hint="eastAsia" w:eastAsia="黑体"/>
                <w:bCs/>
                <w:szCs w:val="21"/>
              </w:rPr>
              <w:t>2702.1</w:t>
            </w:r>
          </w:p>
        </w:tc>
      </w:tr>
      <w:tr w14:paraId="380D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7AB5791C">
            <w:pPr>
              <w:ind w:firstLine="426"/>
              <w:rPr>
                <w:rFonts w:eastAsia="黑体"/>
                <w:bCs/>
                <w:szCs w:val="21"/>
              </w:rPr>
            </w:pPr>
            <w:r>
              <w:rPr>
                <w:rFonts w:hint="eastAsia" w:eastAsia="黑体"/>
                <w:bCs/>
                <w:szCs w:val="21"/>
              </w:rPr>
              <w:t>0.015</w:t>
            </w:r>
          </w:p>
        </w:tc>
        <w:tc>
          <w:tcPr>
            <w:tcW w:w="1417" w:type="dxa"/>
          </w:tcPr>
          <w:p w14:paraId="59049AC8">
            <w:pPr>
              <w:ind w:firstLine="426"/>
              <w:rPr>
                <w:rFonts w:eastAsia="黑体"/>
                <w:bCs/>
                <w:szCs w:val="21"/>
              </w:rPr>
            </w:pPr>
            <w:r>
              <w:rPr>
                <w:rFonts w:hint="eastAsia" w:eastAsia="黑体"/>
                <w:bCs/>
                <w:szCs w:val="21"/>
              </w:rPr>
              <w:t>54.00</w:t>
            </w:r>
          </w:p>
        </w:tc>
        <w:tc>
          <w:tcPr>
            <w:tcW w:w="1417" w:type="dxa"/>
          </w:tcPr>
          <w:p w14:paraId="1688D4AB">
            <w:pPr>
              <w:ind w:firstLine="426"/>
              <w:rPr>
                <w:rFonts w:eastAsia="黑体"/>
                <w:bCs/>
                <w:szCs w:val="21"/>
              </w:rPr>
            </w:pPr>
            <w:r>
              <w:rPr>
                <w:rFonts w:hint="eastAsia" w:eastAsia="黑体"/>
                <w:bCs/>
                <w:szCs w:val="21"/>
              </w:rPr>
              <w:t>2598.9</w:t>
            </w:r>
          </w:p>
        </w:tc>
        <w:tc>
          <w:tcPr>
            <w:tcW w:w="1415" w:type="dxa"/>
          </w:tcPr>
          <w:p w14:paraId="146A8164">
            <w:pPr>
              <w:ind w:firstLine="426"/>
              <w:rPr>
                <w:rFonts w:eastAsia="黑体"/>
                <w:bCs/>
                <w:szCs w:val="21"/>
              </w:rPr>
            </w:pPr>
            <w:r>
              <w:rPr>
                <w:rFonts w:hint="eastAsia" w:eastAsia="黑体"/>
                <w:bCs/>
                <w:szCs w:val="21"/>
              </w:rPr>
              <w:t>0.20</w:t>
            </w:r>
          </w:p>
        </w:tc>
        <w:tc>
          <w:tcPr>
            <w:tcW w:w="1418" w:type="dxa"/>
          </w:tcPr>
          <w:p w14:paraId="41C52222">
            <w:pPr>
              <w:ind w:firstLine="426"/>
              <w:rPr>
                <w:rFonts w:eastAsia="黑体"/>
                <w:bCs/>
                <w:szCs w:val="21"/>
              </w:rPr>
            </w:pPr>
            <w:r>
              <w:rPr>
                <w:rFonts w:hint="eastAsia" w:eastAsia="黑体"/>
                <w:bCs/>
                <w:szCs w:val="21"/>
              </w:rPr>
              <w:t>120.23</w:t>
            </w:r>
          </w:p>
        </w:tc>
        <w:tc>
          <w:tcPr>
            <w:tcW w:w="1648" w:type="dxa"/>
          </w:tcPr>
          <w:p w14:paraId="2F962B3F">
            <w:pPr>
              <w:ind w:firstLine="426"/>
              <w:rPr>
                <w:rFonts w:eastAsia="黑体"/>
                <w:bCs/>
                <w:szCs w:val="21"/>
              </w:rPr>
            </w:pPr>
            <w:r>
              <w:rPr>
                <w:rFonts w:hint="eastAsia" w:eastAsia="黑体"/>
                <w:bCs/>
                <w:szCs w:val="21"/>
              </w:rPr>
              <w:t>2706.9</w:t>
            </w:r>
          </w:p>
        </w:tc>
      </w:tr>
      <w:tr w14:paraId="60C1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0353AE88">
            <w:pPr>
              <w:ind w:firstLine="426"/>
              <w:rPr>
                <w:rFonts w:eastAsia="黑体"/>
                <w:bCs/>
                <w:szCs w:val="21"/>
              </w:rPr>
            </w:pPr>
            <w:r>
              <w:rPr>
                <w:rFonts w:hint="eastAsia" w:eastAsia="黑体"/>
                <w:bCs/>
                <w:szCs w:val="21"/>
              </w:rPr>
              <w:t>0.020</w:t>
            </w:r>
          </w:p>
        </w:tc>
        <w:tc>
          <w:tcPr>
            <w:tcW w:w="1417" w:type="dxa"/>
          </w:tcPr>
          <w:p w14:paraId="1B17319F">
            <w:pPr>
              <w:ind w:firstLine="426"/>
              <w:rPr>
                <w:rFonts w:eastAsia="黑体"/>
                <w:bCs/>
                <w:szCs w:val="21"/>
              </w:rPr>
            </w:pPr>
            <w:r>
              <w:rPr>
                <w:rFonts w:hint="eastAsia" w:eastAsia="黑体"/>
                <w:bCs/>
                <w:szCs w:val="21"/>
              </w:rPr>
              <w:t>60.09</w:t>
            </w:r>
          </w:p>
        </w:tc>
        <w:tc>
          <w:tcPr>
            <w:tcW w:w="1417" w:type="dxa"/>
          </w:tcPr>
          <w:p w14:paraId="56BB708B">
            <w:pPr>
              <w:ind w:firstLine="426"/>
              <w:rPr>
                <w:rFonts w:eastAsia="黑体"/>
                <w:bCs/>
                <w:szCs w:val="21"/>
              </w:rPr>
            </w:pPr>
            <w:r>
              <w:rPr>
                <w:rFonts w:hint="eastAsia" w:eastAsia="黑体"/>
                <w:bCs/>
                <w:szCs w:val="21"/>
              </w:rPr>
              <w:t>2609.6</w:t>
            </w:r>
          </w:p>
        </w:tc>
        <w:tc>
          <w:tcPr>
            <w:tcW w:w="1415" w:type="dxa"/>
          </w:tcPr>
          <w:p w14:paraId="560E503E">
            <w:pPr>
              <w:ind w:firstLine="426"/>
              <w:rPr>
                <w:rFonts w:eastAsia="黑体"/>
                <w:bCs/>
                <w:szCs w:val="21"/>
              </w:rPr>
            </w:pPr>
            <w:r>
              <w:rPr>
                <w:rFonts w:hint="eastAsia" w:eastAsia="黑体"/>
                <w:bCs/>
                <w:szCs w:val="21"/>
              </w:rPr>
              <w:t>0.25</w:t>
            </w:r>
          </w:p>
        </w:tc>
        <w:tc>
          <w:tcPr>
            <w:tcW w:w="1418" w:type="dxa"/>
          </w:tcPr>
          <w:p w14:paraId="6FF8D9D2">
            <w:pPr>
              <w:ind w:firstLine="426"/>
              <w:rPr>
                <w:rFonts w:eastAsia="黑体"/>
                <w:bCs/>
                <w:szCs w:val="21"/>
              </w:rPr>
            </w:pPr>
            <w:r>
              <w:rPr>
                <w:rFonts w:hint="eastAsia" w:eastAsia="黑体"/>
                <w:bCs/>
                <w:szCs w:val="21"/>
              </w:rPr>
              <w:t>127.43</w:t>
            </w:r>
          </w:p>
        </w:tc>
        <w:tc>
          <w:tcPr>
            <w:tcW w:w="1648" w:type="dxa"/>
          </w:tcPr>
          <w:p w14:paraId="6991D084">
            <w:pPr>
              <w:ind w:firstLine="426"/>
              <w:rPr>
                <w:rFonts w:eastAsia="黑体"/>
                <w:bCs/>
                <w:szCs w:val="21"/>
              </w:rPr>
            </w:pPr>
            <w:r>
              <w:rPr>
                <w:rFonts w:hint="eastAsia" w:eastAsia="黑体"/>
                <w:bCs/>
                <w:szCs w:val="21"/>
              </w:rPr>
              <w:t>2717.2</w:t>
            </w:r>
          </w:p>
        </w:tc>
      </w:tr>
      <w:tr w14:paraId="188B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3AE3466F">
            <w:pPr>
              <w:ind w:firstLine="426"/>
              <w:rPr>
                <w:rFonts w:eastAsia="黑体"/>
                <w:bCs/>
                <w:szCs w:val="21"/>
              </w:rPr>
            </w:pPr>
            <w:r>
              <w:rPr>
                <w:rFonts w:hint="eastAsia" w:eastAsia="黑体"/>
                <w:bCs/>
                <w:szCs w:val="21"/>
              </w:rPr>
              <w:t>0.025</w:t>
            </w:r>
          </w:p>
        </w:tc>
        <w:tc>
          <w:tcPr>
            <w:tcW w:w="1417" w:type="dxa"/>
          </w:tcPr>
          <w:p w14:paraId="1EFAA298">
            <w:pPr>
              <w:ind w:firstLine="426"/>
              <w:rPr>
                <w:rFonts w:eastAsia="黑体"/>
                <w:bCs/>
                <w:szCs w:val="21"/>
              </w:rPr>
            </w:pPr>
            <w:r>
              <w:rPr>
                <w:rFonts w:hint="eastAsia" w:eastAsia="黑体"/>
                <w:bCs/>
                <w:szCs w:val="21"/>
              </w:rPr>
              <w:t>64.99</w:t>
            </w:r>
          </w:p>
        </w:tc>
        <w:tc>
          <w:tcPr>
            <w:tcW w:w="1417" w:type="dxa"/>
          </w:tcPr>
          <w:p w14:paraId="0F6AD1FD">
            <w:pPr>
              <w:ind w:firstLine="426"/>
              <w:rPr>
                <w:rFonts w:eastAsia="黑体"/>
                <w:bCs/>
                <w:szCs w:val="21"/>
              </w:rPr>
            </w:pPr>
            <w:r>
              <w:rPr>
                <w:rFonts w:hint="eastAsia" w:eastAsia="黑体"/>
                <w:bCs/>
                <w:szCs w:val="21"/>
              </w:rPr>
              <w:t>2618.1</w:t>
            </w:r>
          </w:p>
        </w:tc>
        <w:tc>
          <w:tcPr>
            <w:tcW w:w="1415" w:type="dxa"/>
          </w:tcPr>
          <w:p w14:paraId="1C021E7A">
            <w:pPr>
              <w:ind w:firstLine="426"/>
              <w:rPr>
                <w:rFonts w:eastAsia="黑体"/>
                <w:bCs/>
                <w:szCs w:val="21"/>
              </w:rPr>
            </w:pPr>
            <w:r>
              <w:rPr>
                <w:rFonts w:hint="eastAsia" w:eastAsia="黑体"/>
                <w:bCs/>
                <w:szCs w:val="21"/>
              </w:rPr>
              <w:t>0.30</w:t>
            </w:r>
          </w:p>
        </w:tc>
        <w:tc>
          <w:tcPr>
            <w:tcW w:w="1418" w:type="dxa"/>
          </w:tcPr>
          <w:p w14:paraId="3EFCB529">
            <w:pPr>
              <w:ind w:firstLine="426"/>
              <w:rPr>
                <w:rFonts w:eastAsia="黑体"/>
                <w:bCs/>
                <w:szCs w:val="21"/>
              </w:rPr>
            </w:pPr>
            <w:r>
              <w:rPr>
                <w:rFonts w:hint="eastAsia" w:eastAsia="黑体"/>
                <w:bCs/>
                <w:szCs w:val="21"/>
              </w:rPr>
              <w:t>133.54</w:t>
            </w:r>
          </w:p>
        </w:tc>
        <w:tc>
          <w:tcPr>
            <w:tcW w:w="1648" w:type="dxa"/>
          </w:tcPr>
          <w:p w14:paraId="6F298671">
            <w:pPr>
              <w:ind w:firstLine="426"/>
              <w:rPr>
                <w:rFonts w:eastAsia="黑体"/>
                <w:bCs/>
                <w:szCs w:val="21"/>
              </w:rPr>
            </w:pPr>
            <w:r>
              <w:rPr>
                <w:rFonts w:hint="eastAsia" w:eastAsia="黑体"/>
                <w:bCs/>
                <w:szCs w:val="21"/>
              </w:rPr>
              <w:t>2725.5</w:t>
            </w:r>
          </w:p>
        </w:tc>
      </w:tr>
      <w:tr w14:paraId="2609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2DA74310">
            <w:pPr>
              <w:ind w:firstLine="426"/>
              <w:rPr>
                <w:rFonts w:eastAsia="黑体"/>
                <w:bCs/>
                <w:szCs w:val="21"/>
              </w:rPr>
            </w:pPr>
            <w:r>
              <w:rPr>
                <w:rFonts w:hint="eastAsia" w:eastAsia="黑体"/>
                <w:bCs/>
                <w:szCs w:val="21"/>
              </w:rPr>
              <w:t>0.030</w:t>
            </w:r>
          </w:p>
        </w:tc>
        <w:tc>
          <w:tcPr>
            <w:tcW w:w="1417" w:type="dxa"/>
          </w:tcPr>
          <w:p w14:paraId="651A3075">
            <w:pPr>
              <w:ind w:firstLine="426"/>
              <w:rPr>
                <w:rFonts w:eastAsia="黑体"/>
                <w:bCs/>
                <w:szCs w:val="21"/>
              </w:rPr>
            </w:pPr>
            <w:r>
              <w:rPr>
                <w:rFonts w:hint="eastAsia" w:eastAsia="黑体"/>
                <w:bCs/>
                <w:szCs w:val="21"/>
              </w:rPr>
              <w:t>69.12</w:t>
            </w:r>
          </w:p>
        </w:tc>
        <w:tc>
          <w:tcPr>
            <w:tcW w:w="1417" w:type="dxa"/>
          </w:tcPr>
          <w:p w14:paraId="55A0F332">
            <w:pPr>
              <w:ind w:firstLine="426"/>
              <w:rPr>
                <w:rFonts w:eastAsia="黑体"/>
                <w:bCs/>
                <w:szCs w:val="21"/>
              </w:rPr>
            </w:pPr>
            <w:r>
              <w:rPr>
                <w:rFonts w:hint="eastAsia" w:eastAsia="黑体"/>
                <w:bCs/>
                <w:szCs w:val="21"/>
              </w:rPr>
              <w:t>2625.3</w:t>
            </w:r>
          </w:p>
        </w:tc>
        <w:tc>
          <w:tcPr>
            <w:tcW w:w="1415" w:type="dxa"/>
          </w:tcPr>
          <w:p w14:paraId="5EAB9612">
            <w:pPr>
              <w:ind w:firstLine="426"/>
              <w:rPr>
                <w:rFonts w:eastAsia="黑体"/>
                <w:bCs/>
                <w:szCs w:val="21"/>
              </w:rPr>
            </w:pPr>
            <w:r>
              <w:rPr>
                <w:rFonts w:hint="eastAsia" w:eastAsia="黑体"/>
                <w:bCs/>
                <w:szCs w:val="21"/>
              </w:rPr>
              <w:t>0.35</w:t>
            </w:r>
          </w:p>
        </w:tc>
        <w:tc>
          <w:tcPr>
            <w:tcW w:w="1418" w:type="dxa"/>
          </w:tcPr>
          <w:p w14:paraId="25DC88DF">
            <w:pPr>
              <w:ind w:firstLine="426"/>
              <w:rPr>
                <w:rFonts w:eastAsia="黑体"/>
                <w:bCs/>
                <w:szCs w:val="21"/>
              </w:rPr>
            </w:pPr>
            <w:r>
              <w:rPr>
                <w:rFonts w:hint="eastAsia" w:eastAsia="黑体"/>
                <w:bCs/>
                <w:szCs w:val="21"/>
              </w:rPr>
              <w:t>138.88</w:t>
            </w:r>
          </w:p>
        </w:tc>
        <w:tc>
          <w:tcPr>
            <w:tcW w:w="1648" w:type="dxa"/>
          </w:tcPr>
          <w:p w14:paraId="3D16A779">
            <w:pPr>
              <w:ind w:firstLine="426"/>
              <w:rPr>
                <w:rFonts w:eastAsia="黑体"/>
                <w:bCs/>
                <w:szCs w:val="21"/>
              </w:rPr>
            </w:pPr>
            <w:r>
              <w:rPr>
                <w:rFonts w:hint="eastAsia" w:eastAsia="黑体"/>
                <w:bCs/>
                <w:szCs w:val="21"/>
              </w:rPr>
              <w:t>2732.5</w:t>
            </w:r>
          </w:p>
        </w:tc>
      </w:tr>
      <w:tr w14:paraId="234C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46284D44">
            <w:pPr>
              <w:ind w:firstLine="426"/>
              <w:rPr>
                <w:rFonts w:eastAsia="黑体"/>
                <w:bCs/>
                <w:szCs w:val="21"/>
              </w:rPr>
            </w:pPr>
            <w:r>
              <w:rPr>
                <w:rFonts w:hint="eastAsia" w:eastAsia="黑体"/>
                <w:bCs/>
                <w:szCs w:val="21"/>
              </w:rPr>
              <w:t>0.04</w:t>
            </w:r>
          </w:p>
        </w:tc>
        <w:tc>
          <w:tcPr>
            <w:tcW w:w="1417" w:type="dxa"/>
          </w:tcPr>
          <w:p w14:paraId="19D1123E">
            <w:pPr>
              <w:ind w:firstLine="426"/>
              <w:rPr>
                <w:rFonts w:eastAsia="黑体"/>
                <w:bCs/>
                <w:szCs w:val="21"/>
              </w:rPr>
            </w:pPr>
            <w:r>
              <w:rPr>
                <w:rFonts w:hint="eastAsia" w:eastAsia="黑体"/>
                <w:bCs/>
                <w:szCs w:val="21"/>
              </w:rPr>
              <w:t>75.89</w:t>
            </w:r>
          </w:p>
        </w:tc>
        <w:tc>
          <w:tcPr>
            <w:tcW w:w="1417" w:type="dxa"/>
          </w:tcPr>
          <w:p w14:paraId="4A6DE8D2">
            <w:pPr>
              <w:ind w:firstLine="426"/>
              <w:rPr>
                <w:rFonts w:eastAsia="黑体"/>
                <w:bCs/>
                <w:szCs w:val="21"/>
              </w:rPr>
            </w:pPr>
            <w:r>
              <w:rPr>
                <w:rFonts w:hint="eastAsia" w:eastAsia="黑体"/>
                <w:bCs/>
                <w:szCs w:val="21"/>
              </w:rPr>
              <w:t>2636.8</w:t>
            </w:r>
          </w:p>
        </w:tc>
        <w:tc>
          <w:tcPr>
            <w:tcW w:w="1415" w:type="dxa"/>
          </w:tcPr>
          <w:p w14:paraId="19A0977D">
            <w:pPr>
              <w:ind w:firstLine="426"/>
              <w:rPr>
                <w:rFonts w:eastAsia="黑体"/>
                <w:bCs/>
                <w:szCs w:val="21"/>
              </w:rPr>
            </w:pPr>
            <w:r>
              <w:rPr>
                <w:rFonts w:hint="eastAsia" w:eastAsia="黑体"/>
                <w:bCs/>
                <w:szCs w:val="21"/>
              </w:rPr>
              <w:t>0.40</w:t>
            </w:r>
          </w:p>
        </w:tc>
        <w:tc>
          <w:tcPr>
            <w:tcW w:w="1418" w:type="dxa"/>
          </w:tcPr>
          <w:p w14:paraId="07BA061E">
            <w:pPr>
              <w:ind w:firstLine="426"/>
              <w:rPr>
                <w:rFonts w:eastAsia="黑体"/>
                <w:bCs/>
                <w:szCs w:val="21"/>
              </w:rPr>
            </w:pPr>
            <w:r>
              <w:rPr>
                <w:rFonts w:hint="eastAsia" w:eastAsia="黑体"/>
                <w:bCs/>
                <w:szCs w:val="21"/>
              </w:rPr>
              <w:t>143.65</w:t>
            </w:r>
          </w:p>
        </w:tc>
        <w:tc>
          <w:tcPr>
            <w:tcW w:w="1648" w:type="dxa"/>
          </w:tcPr>
          <w:p w14:paraId="0A9A2459">
            <w:pPr>
              <w:ind w:firstLine="426"/>
              <w:rPr>
                <w:rFonts w:eastAsia="黑体"/>
                <w:bCs/>
                <w:szCs w:val="21"/>
              </w:rPr>
            </w:pPr>
            <w:r>
              <w:rPr>
                <w:rFonts w:hint="eastAsia" w:eastAsia="黑体"/>
                <w:bCs/>
                <w:szCs w:val="21"/>
              </w:rPr>
              <w:t>2738.5</w:t>
            </w:r>
          </w:p>
        </w:tc>
      </w:tr>
      <w:tr w14:paraId="0D0E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2D8B8DD9">
            <w:pPr>
              <w:ind w:firstLine="426"/>
              <w:rPr>
                <w:rFonts w:eastAsia="黑体"/>
                <w:bCs/>
                <w:szCs w:val="21"/>
              </w:rPr>
            </w:pPr>
            <w:r>
              <w:rPr>
                <w:rFonts w:hint="eastAsia" w:eastAsia="黑体"/>
                <w:bCs/>
                <w:szCs w:val="21"/>
              </w:rPr>
              <w:t>0.45</w:t>
            </w:r>
          </w:p>
        </w:tc>
        <w:tc>
          <w:tcPr>
            <w:tcW w:w="1417" w:type="dxa"/>
          </w:tcPr>
          <w:p w14:paraId="698912AC">
            <w:pPr>
              <w:ind w:firstLine="426"/>
              <w:rPr>
                <w:rFonts w:eastAsia="黑体"/>
                <w:bCs/>
                <w:szCs w:val="21"/>
              </w:rPr>
            </w:pPr>
            <w:r>
              <w:rPr>
                <w:rFonts w:hint="eastAsia" w:eastAsia="黑体"/>
                <w:bCs/>
                <w:szCs w:val="21"/>
              </w:rPr>
              <w:t>147.92</w:t>
            </w:r>
          </w:p>
        </w:tc>
        <w:tc>
          <w:tcPr>
            <w:tcW w:w="1417" w:type="dxa"/>
          </w:tcPr>
          <w:p w14:paraId="631F7547">
            <w:pPr>
              <w:ind w:firstLine="426"/>
              <w:rPr>
                <w:rFonts w:eastAsia="黑体"/>
                <w:bCs/>
                <w:szCs w:val="21"/>
              </w:rPr>
            </w:pPr>
            <w:r>
              <w:rPr>
                <w:rFonts w:hint="eastAsia" w:eastAsia="黑体"/>
                <w:bCs/>
                <w:szCs w:val="21"/>
              </w:rPr>
              <w:t>2743.8</w:t>
            </w:r>
          </w:p>
        </w:tc>
        <w:tc>
          <w:tcPr>
            <w:tcW w:w="1415" w:type="dxa"/>
          </w:tcPr>
          <w:p w14:paraId="61CA6501">
            <w:pPr>
              <w:ind w:firstLine="426"/>
              <w:rPr>
                <w:rFonts w:eastAsia="黑体"/>
                <w:bCs/>
                <w:szCs w:val="21"/>
              </w:rPr>
            </w:pPr>
            <w:r>
              <w:rPr>
                <w:rFonts w:hint="eastAsia" w:eastAsia="黑体"/>
                <w:bCs/>
                <w:szCs w:val="21"/>
              </w:rPr>
              <w:t>3.00</w:t>
            </w:r>
          </w:p>
        </w:tc>
        <w:tc>
          <w:tcPr>
            <w:tcW w:w="1418" w:type="dxa"/>
          </w:tcPr>
          <w:p w14:paraId="1B89BBC3">
            <w:pPr>
              <w:ind w:firstLine="426"/>
              <w:rPr>
                <w:rFonts w:eastAsia="黑体"/>
                <w:bCs/>
                <w:szCs w:val="21"/>
              </w:rPr>
            </w:pPr>
            <w:r>
              <w:rPr>
                <w:rFonts w:hint="eastAsia" w:eastAsia="黑体"/>
                <w:bCs/>
                <w:szCs w:val="21"/>
              </w:rPr>
              <w:t>233.84</w:t>
            </w:r>
          </w:p>
        </w:tc>
        <w:tc>
          <w:tcPr>
            <w:tcW w:w="1648" w:type="dxa"/>
          </w:tcPr>
          <w:p w14:paraId="1671F12C">
            <w:pPr>
              <w:ind w:firstLine="426"/>
              <w:rPr>
                <w:rFonts w:eastAsia="黑体"/>
                <w:bCs/>
                <w:szCs w:val="21"/>
              </w:rPr>
            </w:pPr>
            <w:r>
              <w:rPr>
                <w:rFonts w:hint="eastAsia" w:eastAsia="黑体"/>
                <w:bCs/>
                <w:szCs w:val="21"/>
              </w:rPr>
              <w:t>2801.9</w:t>
            </w:r>
          </w:p>
        </w:tc>
      </w:tr>
      <w:tr w14:paraId="7D9A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3269A8D7">
            <w:pPr>
              <w:ind w:firstLine="426"/>
              <w:rPr>
                <w:rFonts w:eastAsia="黑体"/>
                <w:bCs/>
                <w:szCs w:val="21"/>
              </w:rPr>
            </w:pPr>
            <w:r>
              <w:rPr>
                <w:rFonts w:hint="eastAsia" w:eastAsia="黑体"/>
                <w:bCs/>
                <w:szCs w:val="21"/>
              </w:rPr>
              <w:t>0.50</w:t>
            </w:r>
          </w:p>
        </w:tc>
        <w:tc>
          <w:tcPr>
            <w:tcW w:w="1417" w:type="dxa"/>
          </w:tcPr>
          <w:p w14:paraId="7D96BC4E">
            <w:pPr>
              <w:ind w:firstLine="426"/>
              <w:rPr>
                <w:rFonts w:eastAsia="黑体"/>
                <w:bCs/>
                <w:szCs w:val="21"/>
              </w:rPr>
            </w:pPr>
            <w:r>
              <w:rPr>
                <w:rFonts w:hint="eastAsia" w:eastAsia="黑体"/>
                <w:bCs/>
                <w:szCs w:val="21"/>
              </w:rPr>
              <w:t>151.85</w:t>
            </w:r>
          </w:p>
        </w:tc>
        <w:tc>
          <w:tcPr>
            <w:tcW w:w="1417" w:type="dxa"/>
          </w:tcPr>
          <w:p w14:paraId="64E35683">
            <w:pPr>
              <w:ind w:firstLine="426"/>
              <w:rPr>
                <w:rFonts w:eastAsia="黑体"/>
                <w:bCs/>
                <w:szCs w:val="21"/>
              </w:rPr>
            </w:pPr>
            <w:r>
              <w:rPr>
                <w:rFonts w:hint="eastAsia" w:eastAsia="黑体"/>
                <w:bCs/>
                <w:szCs w:val="21"/>
              </w:rPr>
              <w:t>2748.5</w:t>
            </w:r>
          </w:p>
        </w:tc>
        <w:tc>
          <w:tcPr>
            <w:tcW w:w="1415" w:type="dxa"/>
          </w:tcPr>
          <w:p w14:paraId="3CA1E4E4">
            <w:pPr>
              <w:ind w:firstLine="426"/>
              <w:rPr>
                <w:rFonts w:eastAsia="黑体"/>
                <w:bCs/>
                <w:szCs w:val="21"/>
              </w:rPr>
            </w:pPr>
            <w:r>
              <w:rPr>
                <w:rFonts w:hint="eastAsia" w:eastAsia="黑体"/>
                <w:bCs/>
                <w:szCs w:val="21"/>
              </w:rPr>
              <w:t>3.50</w:t>
            </w:r>
          </w:p>
        </w:tc>
        <w:tc>
          <w:tcPr>
            <w:tcW w:w="1418" w:type="dxa"/>
          </w:tcPr>
          <w:p w14:paraId="7E6E8760">
            <w:pPr>
              <w:ind w:firstLine="426"/>
              <w:rPr>
                <w:rFonts w:eastAsia="黑体"/>
                <w:bCs/>
                <w:szCs w:val="21"/>
              </w:rPr>
            </w:pPr>
            <w:r>
              <w:rPr>
                <w:rFonts w:hint="eastAsia" w:eastAsia="黑体"/>
                <w:bCs/>
                <w:szCs w:val="21"/>
              </w:rPr>
              <w:t>242.54</w:t>
            </w:r>
          </w:p>
        </w:tc>
        <w:tc>
          <w:tcPr>
            <w:tcW w:w="1648" w:type="dxa"/>
          </w:tcPr>
          <w:p w14:paraId="381DEDDC">
            <w:pPr>
              <w:ind w:firstLine="426"/>
              <w:rPr>
                <w:rFonts w:eastAsia="黑体"/>
                <w:bCs/>
                <w:szCs w:val="21"/>
              </w:rPr>
            </w:pPr>
            <w:r>
              <w:rPr>
                <w:rFonts w:hint="eastAsia" w:eastAsia="黑体"/>
                <w:bCs/>
                <w:szCs w:val="21"/>
              </w:rPr>
              <w:t>2801.3</w:t>
            </w:r>
          </w:p>
        </w:tc>
      </w:tr>
      <w:tr w14:paraId="42D4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3940877E">
            <w:pPr>
              <w:ind w:firstLine="426"/>
              <w:rPr>
                <w:rFonts w:eastAsia="黑体"/>
                <w:bCs/>
                <w:szCs w:val="21"/>
              </w:rPr>
            </w:pPr>
            <w:r>
              <w:rPr>
                <w:rFonts w:hint="eastAsia" w:eastAsia="黑体"/>
                <w:bCs/>
                <w:szCs w:val="21"/>
              </w:rPr>
              <w:t>0.60</w:t>
            </w:r>
          </w:p>
        </w:tc>
        <w:tc>
          <w:tcPr>
            <w:tcW w:w="1417" w:type="dxa"/>
          </w:tcPr>
          <w:p w14:paraId="145194B9">
            <w:pPr>
              <w:ind w:firstLine="426"/>
              <w:rPr>
                <w:rFonts w:eastAsia="黑体"/>
                <w:bCs/>
                <w:szCs w:val="21"/>
              </w:rPr>
            </w:pPr>
            <w:r>
              <w:rPr>
                <w:rFonts w:hint="eastAsia" w:eastAsia="黑体"/>
                <w:bCs/>
                <w:szCs w:val="21"/>
              </w:rPr>
              <w:t>158.84</w:t>
            </w:r>
          </w:p>
        </w:tc>
        <w:tc>
          <w:tcPr>
            <w:tcW w:w="1417" w:type="dxa"/>
          </w:tcPr>
          <w:p w14:paraId="286F28C7">
            <w:pPr>
              <w:ind w:firstLine="426"/>
              <w:rPr>
                <w:rFonts w:eastAsia="黑体"/>
                <w:bCs/>
                <w:szCs w:val="21"/>
              </w:rPr>
            </w:pPr>
            <w:r>
              <w:rPr>
                <w:rFonts w:hint="eastAsia" w:eastAsia="黑体"/>
                <w:bCs/>
                <w:szCs w:val="21"/>
              </w:rPr>
              <w:t>2756.4</w:t>
            </w:r>
          </w:p>
        </w:tc>
        <w:tc>
          <w:tcPr>
            <w:tcW w:w="1415" w:type="dxa"/>
          </w:tcPr>
          <w:p w14:paraId="4266A918">
            <w:pPr>
              <w:ind w:firstLine="426"/>
              <w:rPr>
                <w:rFonts w:eastAsia="黑体"/>
                <w:bCs/>
                <w:szCs w:val="21"/>
              </w:rPr>
            </w:pPr>
            <w:r>
              <w:rPr>
                <w:rFonts w:hint="eastAsia" w:eastAsia="黑体"/>
                <w:bCs/>
                <w:szCs w:val="21"/>
              </w:rPr>
              <w:t>4.00</w:t>
            </w:r>
          </w:p>
        </w:tc>
        <w:tc>
          <w:tcPr>
            <w:tcW w:w="1418" w:type="dxa"/>
          </w:tcPr>
          <w:p w14:paraId="07596D79">
            <w:pPr>
              <w:ind w:firstLine="426"/>
              <w:rPr>
                <w:rFonts w:eastAsia="黑体"/>
                <w:bCs/>
                <w:szCs w:val="21"/>
              </w:rPr>
            </w:pPr>
            <w:r>
              <w:rPr>
                <w:rFonts w:hint="eastAsia" w:eastAsia="黑体"/>
                <w:bCs/>
                <w:szCs w:val="21"/>
              </w:rPr>
              <w:t>250.33</w:t>
            </w:r>
          </w:p>
        </w:tc>
        <w:tc>
          <w:tcPr>
            <w:tcW w:w="1648" w:type="dxa"/>
          </w:tcPr>
          <w:p w14:paraId="188E5202">
            <w:pPr>
              <w:ind w:firstLine="426"/>
              <w:rPr>
                <w:rFonts w:eastAsia="黑体"/>
                <w:bCs/>
                <w:szCs w:val="21"/>
              </w:rPr>
            </w:pPr>
            <w:r>
              <w:rPr>
                <w:rFonts w:hint="eastAsia" w:eastAsia="黑体"/>
                <w:bCs/>
                <w:szCs w:val="21"/>
              </w:rPr>
              <w:t>2799.4</w:t>
            </w:r>
          </w:p>
        </w:tc>
      </w:tr>
      <w:tr w14:paraId="3FE5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66BB795A">
            <w:pPr>
              <w:ind w:firstLine="426"/>
              <w:rPr>
                <w:rFonts w:eastAsia="黑体"/>
                <w:bCs/>
                <w:szCs w:val="21"/>
              </w:rPr>
            </w:pPr>
            <w:r>
              <w:rPr>
                <w:rFonts w:hint="eastAsia" w:eastAsia="黑体"/>
                <w:bCs/>
                <w:szCs w:val="21"/>
              </w:rPr>
              <w:t>0.70</w:t>
            </w:r>
          </w:p>
        </w:tc>
        <w:tc>
          <w:tcPr>
            <w:tcW w:w="1417" w:type="dxa"/>
          </w:tcPr>
          <w:p w14:paraId="69258D5B">
            <w:pPr>
              <w:ind w:firstLine="426"/>
              <w:rPr>
                <w:rFonts w:eastAsia="黑体"/>
                <w:bCs/>
                <w:szCs w:val="21"/>
              </w:rPr>
            </w:pPr>
            <w:r>
              <w:rPr>
                <w:rFonts w:hint="eastAsia" w:eastAsia="黑体"/>
                <w:bCs/>
                <w:szCs w:val="21"/>
              </w:rPr>
              <w:t>164.96</w:t>
            </w:r>
          </w:p>
        </w:tc>
        <w:tc>
          <w:tcPr>
            <w:tcW w:w="1417" w:type="dxa"/>
          </w:tcPr>
          <w:p w14:paraId="38ACF578">
            <w:pPr>
              <w:ind w:firstLine="426"/>
              <w:rPr>
                <w:rFonts w:eastAsia="黑体"/>
                <w:bCs/>
                <w:szCs w:val="21"/>
              </w:rPr>
            </w:pPr>
            <w:r>
              <w:rPr>
                <w:rFonts w:hint="eastAsia" w:eastAsia="黑体"/>
                <w:bCs/>
                <w:szCs w:val="21"/>
              </w:rPr>
              <w:t>2762.9</w:t>
            </w:r>
          </w:p>
        </w:tc>
        <w:tc>
          <w:tcPr>
            <w:tcW w:w="1415" w:type="dxa"/>
          </w:tcPr>
          <w:p w14:paraId="03BD3AE3">
            <w:pPr>
              <w:ind w:firstLine="426"/>
              <w:rPr>
                <w:rFonts w:eastAsia="黑体"/>
                <w:bCs/>
                <w:szCs w:val="21"/>
              </w:rPr>
            </w:pPr>
            <w:r>
              <w:rPr>
                <w:rFonts w:hint="eastAsia" w:eastAsia="黑体"/>
                <w:bCs/>
                <w:szCs w:val="21"/>
              </w:rPr>
              <w:t>5.00</w:t>
            </w:r>
          </w:p>
        </w:tc>
        <w:tc>
          <w:tcPr>
            <w:tcW w:w="1418" w:type="dxa"/>
          </w:tcPr>
          <w:p w14:paraId="17DDE61A">
            <w:pPr>
              <w:ind w:firstLine="426"/>
              <w:rPr>
                <w:rFonts w:eastAsia="黑体"/>
                <w:bCs/>
                <w:szCs w:val="21"/>
              </w:rPr>
            </w:pPr>
            <w:r>
              <w:rPr>
                <w:rFonts w:hint="eastAsia" w:eastAsia="黑体"/>
                <w:bCs/>
                <w:szCs w:val="21"/>
              </w:rPr>
              <w:t>263.92</w:t>
            </w:r>
          </w:p>
        </w:tc>
        <w:tc>
          <w:tcPr>
            <w:tcW w:w="1648" w:type="dxa"/>
          </w:tcPr>
          <w:p w14:paraId="71AB6847">
            <w:pPr>
              <w:ind w:firstLine="426"/>
              <w:rPr>
                <w:rFonts w:eastAsia="黑体"/>
                <w:bCs/>
                <w:szCs w:val="21"/>
              </w:rPr>
            </w:pPr>
            <w:r>
              <w:rPr>
                <w:rFonts w:hint="eastAsia" w:eastAsia="黑体"/>
                <w:bCs/>
                <w:szCs w:val="21"/>
              </w:rPr>
              <w:t>2792.8</w:t>
            </w:r>
          </w:p>
        </w:tc>
      </w:tr>
      <w:tr w14:paraId="4C87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2E0E2970">
            <w:pPr>
              <w:ind w:firstLine="426"/>
              <w:rPr>
                <w:rFonts w:eastAsia="黑体"/>
                <w:bCs/>
                <w:szCs w:val="21"/>
              </w:rPr>
            </w:pPr>
            <w:r>
              <w:rPr>
                <w:rFonts w:hint="eastAsia" w:eastAsia="黑体"/>
                <w:bCs/>
                <w:szCs w:val="21"/>
              </w:rPr>
              <w:t>0.80</w:t>
            </w:r>
          </w:p>
        </w:tc>
        <w:tc>
          <w:tcPr>
            <w:tcW w:w="1417" w:type="dxa"/>
          </w:tcPr>
          <w:p w14:paraId="6557E438">
            <w:pPr>
              <w:ind w:firstLine="426"/>
              <w:rPr>
                <w:rFonts w:eastAsia="黑体"/>
                <w:bCs/>
                <w:szCs w:val="21"/>
              </w:rPr>
            </w:pPr>
            <w:r>
              <w:rPr>
                <w:rFonts w:hint="eastAsia" w:eastAsia="黑体"/>
                <w:bCs/>
                <w:szCs w:val="21"/>
              </w:rPr>
              <w:t>170.42</w:t>
            </w:r>
          </w:p>
        </w:tc>
        <w:tc>
          <w:tcPr>
            <w:tcW w:w="1417" w:type="dxa"/>
          </w:tcPr>
          <w:p w14:paraId="130B02A5">
            <w:pPr>
              <w:ind w:firstLine="426"/>
              <w:rPr>
                <w:rFonts w:eastAsia="黑体"/>
                <w:bCs/>
                <w:szCs w:val="21"/>
              </w:rPr>
            </w:pPr>
            <w:r>
              <w:rPr>
                <w:rFonts w:hint="eastAsia" w:eastAsia="黑体"/>
                <w:bCs/>
                <w:szCs w:val="21"/>
              </w:rPr>
              <w:t>2768.4</w:t>
            </w:r>
          </w:p>
        </w:tc>
        <w:tc>
          <w:tcPr>
            <w:tcW w:w="1415" w:type="dxa"/>
          </w:tcPr>
          <w:p w14:paraId="5EDF7EE6">
            <w:pPr>
              <w:ind w:firstLine="426"/>
              <w:rPr>
                <w:rFonts w:eastAsia="黑体"/>
                <w:bCs/>
                <w:szCs w:val="21"/>
              </w:rPr>
            </w:pPr>
            <w:r>
              <w:rPr>
                <w:rFonts w:hint="eastAsia" w:eastAsia="黑体"/>
                <w:bCs/>
                <w:szCs w:val="21"/>
              </w:rPr>
              <w:t>6.00</w:t>
            </w:r>
          </w:p>
        </w:tc>
        <w:tc>
          <w:tcPr>
            <w:tcW w:w="1418" w:type="dxa"/>
          </w:tcPr>
          <w:p w14:paraId="3DD61E8D">
            <w:pPr>
              <w:ind w:firstLine="426"/>
              <w:rPr>
                <w:rFonts w:eastAsia="黑体"/>
                <w:bCs/>
                <w:szCs w:val="21"/>
              </w:rPr>
            </w:pPr>
            <w:r>
              <w:rPr>
                <w:rFonts w:hint="eastAsia" w:eastAsia="黑体"/>
                <w:bCs/>
                <w:szCs w:val="21"/>
              </w:rPr>
              <w:t>275.56</w:t>
            </w:r>
          </w:p>
        </w:tc>
        <w:tc>
          <w:tcPr>
            <w:tcW w:w="1648" w:type="dxa"/>
          </w:tcPr>
          <w:p w14:paraId="7278E369">
            <w:pPr>
              <w:ind w:firstLine="426"/>
              <w:rPr>
                <w:rFonts w:eastAsia="黑体"/>
                <w:bCs/>
                <w:szCs w:val="21"/>
              </w:rPr>
            </w:pPr>
            <w:r>
              <w:rPr>
                <w:rFonts w:hint="eastAsia" w:eastAsia="黑体"/>
                <w:bCs/>
                <w:szCs w:val="21"/>
              </w:rPr>
              <w:t>2783.3</w:t>
            </w:r>
          </w:p>
        </w:tc>
      </w:tr>
      <w:tr w14:paraId="7EB1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008D1E1A">
            <w:pPr>
              <w:ind w:firstLine="426"/>
              <w:rPr>
                <w:rFonts w:eastAsia="黑体"/>
                <w:bCs/>
                <w:szCs w:val="21"/>
              </w:rPr>
            </w:pPr>
            <w:r>
              <w:rPr>
                <w:rFonts w:hint="eastAsia" w:eastAsia="黑体"/>
                <w:bCs/>
                <w:szCs w:val="21"/>
              </w:rPr>
              <w:t>0.90</w:t>
            </w:r>
          </w:p>
        </w:tc>
        <w:tc>
          <w:tcPr>
            <w:tcW w:w="1417" w:type="dxa"/>
          </w:tcPr>
          <w:p w14:paraId="2DC69794">
            <w:pPr>
              <w:ind w:firstLine="426"/>
              <w:rPr>
                <w:rFonts w:eastAsia="黑体"/>
                <w:bCs/>
                <w:szCs w:val="21"/>
              </w:rPr>
            </w:pPr>
            <w:r>
              <w:rPr>
                <w:rFonts w:hint="eastAsia" w:eastAsia="黑体"/>
                <w:bCs/>
                <w:szCs w:val="21"/>
              </w:rPr>
              <w:t>175.36</w:t>
            </w:r>
          </w:p>
        </w:tc>
        <w:tc>
          <w:tcPr>
            <w:tcW w:w="1417" w:type="dxa"/>
          </w:tcPr>
          <w:p w14:paraId="7C0F9CEC">
            <w:pPr>
              <w:ind w:firstLine="426"/>
              <w:rPr>
                <w:rFonts w:eastAsia="黑体"/>
                <w:bCs/>
                <w:szCs w:val="21"/>
              </w:rPr>
            </w:pPr>
            <w:r>
              <w:rPr>
                <w:rFonts w:hint="eastAsia" w:eastAsia="黑体"/>
                <w:bCs/>
                <w:szCs w:val="21"/>
              </w:rPr>
              <w:t>2773.0</w:t>
            </w:r>
          </w:p>
        </w:tc>
        <w:tc>
          <w:tcPr>
            <w:tcW w:w="1415" w:type="dxa"/>
          </w:tcPr>
          <w:p w14:paraId="6F535D23">
            <w:pPr>
              <w:ind w:firstLine="426"/>
              <w:rPr>
                <w:rFonts w:eastAsia="黑体"/>
                <w:bCs/>
                <w:szCs w:val="21"/>
              </w:rPr>
            </w:pPr>
            <w:r>
              <w:rPr>
                <w:rFonts w:hint="eastAsia" w:eastAsia="黑体"/>
                <w:bCs/>
                <w:szCs w:val="21"/>
              </w:rPr>
              <w:t>7.00</w:t>
            </w:r>
          </w:p>
        </w:tc>
        <w:tc>
          <w:tcPr>
            <w:tcW w:w="1418" w:type="dxa"/>
          </w:tcPr>
          <w:p w14:paraId="490ACBAD">
            <w:pPr>
              <w:ind w:firstLine="426"/>
              <w:rPr>
                <w:rFonts w:eastAsia="黑体"/>
                <w:bCs/>
                <w:szCs w:val="21"/>
              </w:rPr>
            </w:pPr>
            <w:r>
              <w:rPr>
                <w:rFonts w:hint="eastAsia" w:eastAsia="黑体"/>
                <w:bCs/>
                <w:szCs w:val="21"/>
              </w:rPr>
              <w:t>285.8</w:t>
            </w:r>
          </w:p>
        </w:tc>
        <w:tc>
          <w:tcPr>
            <w:tcW w:w="1648" w:type="dxa"/>
          </w:tcPr>
          <w:p w14:paraId="054D56A4">
            <w:pPr>
              <w:ind w:firstLine="426"/>
              <w:rPr>
                <w:rFonts w:eastAsia="黑体"/>
                <w:bCs/>
                <w:szCs w:val="21"/>
              </w:rPr>
            </w:pPr>
            <w:r>
              <w:rPr>
                <w:rFonts w:hint="eastAsia" w:eastAsia="黑体"/>
                <w:bCs/>
                <w:szCs w:val="21"/>
              </w:rPr>
              <w:t>2771.4</w:t>
            </w:r>
          </w:p>
        </w:tc>
      </w:tr>
      <w:tr w14:paraId="35D1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502260D9">
            <w:pPr>
              <w:ind w:firstLine="426"/>
              <w:rPr>
                <w:rFonts w:eastAsia="黑体"/>
                <w:bCs/>
                <w:szCs w:val="21"/>
              </w:rPr>
            </w:pPr>
            <w:r>
              <w:rPr>
                <w:rFonts w:hint="eastAsia" w:eastAsia="黑体"/>
                <w:bCs/>
                <w:szCs w:val="21"/>
              </w:rPr>
              <w:t>1.00</w:t>
            </w:r>
          </w:p>
        </w:tc>
        <w:tc>
          <w:tcPr>
            <w:tcW w:w="1417" w:type="dxa"/>
          </w:tcPr>
          <w:p w14:paraId="5A416B6C">
            <w:pPr>
              <w:ind w:firstLine="426"/>
              <w:rPr>
                <w:rFonts w:eastAsia="黑体"/>
                <w:bCs/>
                <w:szCs w:val="21"/>
              </w:rPr>
            </w:pPr>
            <w:r>
              <w:rPr>
                <w:rFonts w:hint="eastAsia" w:eastAsia="黑体"/>
                <w:bCs/>
                <w:szCs w:val="21"/>
              </w:rPr>
              <w:t>179.88</w:t>
            </w:r>
          </w:p>
        </w:tc>
        <w:tc>
          <w:tcPr>
            <w:tcW w:w="1417" w:type="dxa"/>
          </w:tcPr>
          <w:p w14:paraId="6CACCA00">
            <w:pPr>
              <w:ind w:firstLine="426"/>
              <w:rPr>
                <w:rFonts w:eastAsia="黑体"/>
                <w:bCs/>
                <w:szCs w:val="21"/>
              </w:rPr>
            </w:pPr>
            <w:r>
              <w:rPr>
                <w:rFonts w:hint="eastAsia" w:eastAsia="黑体"/>
                <w:bCs/>
                <w:szCs w:val="21"/>
              </w:rPr>
              <w:t>2777.0</w:t>
            </w:r>
          </w:p>
        </w:tc>
        <w:tc>
          <w:tcPr>
            <w:tcW w:w="1415" w:type="dxa"/>
          </w:tcPr>
          <w:p w14:paraId="3461C193">
            <w:pPr>
              <w:ind w:firstLine="426"/>
              <w:rPr>
                <w:rFonts w:eastAsia="黑体"/>
                <w:bCs/>
                <w:szCs w:val="21"/>
              </w:rPr>
            </w:pPr>
            <w:r>
              <w:rPr>
                <w:rFonts w:hint="eastAsia" w:eastAsia="黑体"/>
                <w:bCs/>
                <w:szCs w:val="21"/>
              </w:rPr>
              <w:t>8.00</w:t>
            </w:r>
          </w:p>
        </w:tc>
        <w:tc>
          <w:tcPr>
            <w:tcW w:w="1418" w:type="dxa"/>
          </w:tcPr>
          <w:p w14:paraId="36000673">
            <w:pPr>
              <w:ind w:firstLine="426"/>
              <w:rPr>
                <w:rFonts w:eastAsia="黑体"/>
                <w:bCs/>
                <w:szCs w:val="21"/>
              </w:rPr>
            </w:pPr>
            <w:r>
              <w:rPr>
                <w:rFonts w:hint="eastAsia" w:eastAsia="黑体"/>
                <w:bCs/>
                <w:szCs w:val="21"/>
              </w:rPr>
              <w:t>294.98</w:t>
            </w:r>
          </w:p>
        </w:tc>
        <w:tc>
          <w:tcPr>
            <w:tcW w:w="1648" w:type="dxa"/>
          </w:tcPr>
          <w:p w14:paraId="0300DB6E">
            <w:pPr>
              <w:ind w:firstLine="426"/>
              <w:rPr>
                <w:rFonts w:eastAsia="黑体"/>
                <w:bCs/>
                <w:szCs w:val="21"/>
              </w:rPr>
            </w:pPr>
            <w:r>
              <w:rPr>
                <w:rFonts w:hint="eastAsia" w:eastAsia="黑体"/>
                <w:bCs/>
                <w:szCs w:val="21"/>
              </w:rPr>
              <w:t>2757.5</w:t>
            </w:r>
          </w:p>
        </w:tc>
      </w:tr>
      <w:tr w14:paraId="3900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tcPr>
          <w:p w14:paraId="0A2D4538">
            <w:pPr>
              <w:ind w:firstLine="426"/>
              <w:rPr>
                <w:rFonts w:eastAsia="黑体"/>
                <w:bCs/>
                <w:szCs w:val="21"/>
              </w:rPr>
            </w:pPr>
            <w:r>
              <w:rPr>
                <w:rFonts w:hint="eastAsia" w:eastAsia="黑体"/>
                <w:bCs/>
                <w:szCs w:val="21"/>
              </w:rPr>
              <w:t>1.10</w:t>
            </w:r>
          </w:p>
        </w:tc>
        <w:tc>
          <w:tcPr>
            <w:tcW w:w="1417" w:type="dxa"/>
          </w:tcPr>
          <w:p w14:paraId="18667BDA">
            <w:pPr>
              <w:ind w:firstLine="426"/>
              <w:rPr>
                <w:rFonts w:eastAsia="黑体"/>
                <w:bCs/>
                <w:szCs w:val="21"/>
              </w:rPr>
            </w:pPr>
            <w:r>
              <w:rPr>
                <w:rFonts w:hint="eastAsia" w:eastAsia="黑体"/>
                <w:bCs/>
                <w:szCs w:val="21"/>
              </w:rPr>
              <w:t>184.06</w:t>
            </w:r>
          </w:p>
        </w:tc>
        <w:tc>
          <w:tcPr>
            <w:tcW w:w="1417" w:type="dxa"/>
          </w:tcPr>
          <w:p w14:paraId="4E097829">
            <w:pPr>
              <w:ind w:firstLine="426"/>
              <w:rPr>
                <w:rFonts w:eastAsia="黑体"/>
                <w:bCs/>
                <w:szCs w:val="21"/>
              </w:rPr>
            </w:pPr>
            <w:r>
              <w:rPr>
                <w:rFonts w:hint="eastAsia" w:eastAsia="黑体"/>
                <w:bCs/>
                <w:szCs w:val="21"/>
              </w:rPr>
              <w:t>2780.4</w:t>
            </w:r>
          </w:p>
        </w:tc>
        <w:tc>
          <w:tcPr>
            <w:tcW w:w="1415" w:type="dxa"/>
          </w:tcPr>
          <w:p w14:paraId="752E8107">
            <w:pPr>
              <w:ind w:firstLine="426"/>
              <w:rPr>
                <w:rFonts w:eastAsia="黑体"/>
                <w:bCs/>
                <w:szCs w:val="21"/>
              </w:rPr>
            </w:pPr>
            <w:r>
              <w:rPr>
                <w:rFonts w:hint="eastAsia" w:eastAsia="黑体"/>
                <w:bCs/>
                <w:szCs w:val="21"/>
              </w:rPr>
              <w:t>9.00</w:t>
            </w:r>
          </w:p>
        </w:tc>
        <w:tc>
          <w:tcPr>
            <w:tcW w:w="1418" w:type="dxa"/>
          </w:tcPr>
          <w:p w14:paraId="1036761B">
            <w:pPr>
              <w:ind w:firstLine="426"/>
              <w:rPr>
                <w:rFonts w:eastAsia="黑体"/>
                <w:bCs/>
                <w:szCs w:val="21"/>
              </w:rPr>
            </w:pPr>
            <w:r>
              <w:rPr>
                <w:rFonts w:hint="eastAsia" w:eastAsia="黑体"/>
                <w:bCs/>
                <w:szCs w:val="21"/>
              </w:rPr>
              <w:t>303.31</w:t>
            </w:r>
          </w:p>
        </w:tc>
        <w:tc>
          <w:tcPr>
            <w:tcW w:w="1648" w:type="dxa"/>
          </w:tcPr>
          <w:p w14:paraId="530CCD83">
            <w:pPr>
              <w:ind w:firstLine="426"/>
              <w:rPr>
                <w:rFonts w:eastAsia="黑体"/>
                <w:bCs/>
                <w:szCs w:val="21"/>
              </w:rPr>
            </w:pPr>
            <w:r>
              <w:rPr>
                <w:rFonts w:hint="eastAsia" w:eastAsia="黑体"/>
                <w:bCs/>
                <w:szCs w:val="21"/>
              </w:rPr>
              <w:t>2741.8</w:t>
            </w:r>
          </w:p>
        </w:tc>
      </w:tr>
      <w:tr w14:paraId="01DF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shd w:val="clear" w:color="auto" w:fill="auto"/>
          </w:tcPr>
          <w:p w14:paraId="1F7C3AA0">
            <w:pPr>
              <w:ind w:firstLine="426"/>
              <w:rPr>
                <w:rFonts w:eastAsia="黑体"/>
                <w:bCs/>
                <w:szCs w:val="21"/>
              </w:rPr>
            </w:pPr>
            <w:r>
              <w:rPr>
                <w:rFonts w:hint="eastAsia" w:eastAsia="黑体"/>
                <w:bCs/>
                <w:szCs w:val="21"/>
              </w:rPr>
              <w:t>1.20</w:t>
            </w:r>
          </w:p>
        </w:tc>
        <w:tc>
          <w:tcPr>
            <w:tcW w:w="1417" w:type="dxa"/>
            <w:shd w:val="clear" w:color="auto" w:fill="auto"/>
          </w:tcPr>
          <w:p w14:paraId="5B21D497">
            <w:pPr>
              <w:ind w:firstLine="426"/>
              <w:rPr>
                <w:rFonts w:eastAsia="黑体"/>
                <w:bCs/>
                <w:szCs w:val="21"/>
              </w:rPr>
            </w:pPr>
            <w:r>
              <w:rPr>
                <w:rFonts w:hint="eastAsia" w:eastAsia="黑体"/>
                <w:bCs/>
                <w:szCs w:val="21"/>
              </w:rPr>
              <w:t>187.96</w:t>
            </w:r>
          </w:p>
        </w:tc>
        <w:tc>
          <w:tcPr>
            <w:tcW w:w="1417" w:type="dxa"/>
            <w:shd w:val="clear" w:color="auto" w:fill="auto"/>
          </w:tcPr>
          <w:p w14:paraId="6321ABBC">
            <w:pPr>
              <w:ind w:firstLine="426"/>
              <w:rPr>
                <w:rFonts w:eastAsia="黑体"/>
                <w:bCs/>
                <w:szCs w:val="21"/>
              </w:rPr>
            </w:pPr>
            <w:r>
              <w:rPr>
                <w:rFonts w:hint="eastAsia" w:eastAsia="黑体"/>
                <w:bCs/>
                <w:szCs w:val="21"/>
              </w:rPr>
              <w:t>2783.4</w:t>
            </w:r>
          </w:p>
        </w:tc>
        <w:tc>
          <w:tcPr>
            <w:tcW w:w="1415" w:type="dxa"/>
            <w:shd w:val="clear" w:color="auto" w:fill="auto"/>
          </w:tcPr>
          <w:p w14:paraId="365787C4">
            <w:pPr>
              <w:ind w:firstLine="426"/>
              <w:rPr>
                <w:rFonts w:eastAsia="黑体"/>
                <w:bCs/>
                <w:szCs w:val="21"/>
              </w:rPr>
            </w:pPr>
            <w:r>
              <w:rPr>
                <w:rFonts w:hint="eastAsia" w:eastAsia="黑体"/>
                <w:bCs/>
                <w:szCs w:val="21"/>
              </w:rPr>
              <w:t>10.0</w:t>
            </w:r>
          </w:p>
        </w:tc>
        <w:tc>
          <w:tcPr>
            <w:tcW w:w="1418" w:type="dxa"/>
            <w:shd w:val="clear" w:color="auto" w:fill="auto"/>
          </w:tcPr>
          <w:p w14:paraId="531777A3">
            <w:pPr>
              <w:ind w:firstLine="426"/>
              <w:rPr>
                <w:rFonts w:eastAsia="黑体"/>
                <w:bCs/>
                <w:szCs w:val="21"/>
              </w:rPr>
            </w:pPr>
            <w:r>
              <w:rPr>
                <w:rFonts w:hint="eastAsia" w:eastAsia="黑体"/>
                <w:bCs/>
                <w:szCs w:val="21"/>
              </w:rPr>
              <w:t>310.96</w:t>
            </w:r>
          </w:p>
        </w:tc>
        <w:tc>
          <w:tcPr>
            <w:tcW w:w="1648" w:type="dxa"/>
            <w:shd w:val="clear" w:color="auto" w:fill="auto"/>
          </w:tcPr>
          <w:p w14:paraId="1D417BB4">
            <w:pPr>
              <w:ind w:firstLine="426"/>
              <w:rPr>
                <w:rFonts w:eastAsia="黑体"/>
                <w:bCs/>
                <w:szCs w:val="21"/>
              </w:rPr>
            </w:pPr>
            <w:r>
              <w:rPr>
                <w:rFonts w:hint="eastAsia" w:eastAsia="黑体"/>
                <w:bCs/>
                <w:szCs w:val="21"/>
              </w:rPr>
              <w:t>2724.4</w:t>
            </w:r>
          </w:p>
        </w:tc>
      </w:tr>
      <w:tr w14:paraId="159F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shd w:val="clear" w:color="auto" w:fill="auto"/>
          </w:tcPr>
          <w:p w14:paraId="3B8F2B52">
            <w:pPr>
              <w:ind w:firstLine="426"/>
              <w:rPr>
                <w:rFonts w:eastAsia="黑体"/>
                <w:bCs/>
                <w:szCs w:val="21"/>
              </w:rPr>
            </w:pPr>
            <w:r>
              <w:rPr>
                <w:rFonts w:hint="eastAsia" w:eastAsia="黑体"/>
                <w:bCs/>
                <w:szCs w:val="21"/>
              </w:rPr>
              <w:t>1.30</w:t>
            </w:r>
          </w:p>
        </w:tc>
        <w:tc>
          <w:tcPr>
            <w:tcW w:w="1417" w:type="dxa"/>
            <w:shd w:val="clear" w:color="auto" w:fill="auto"/>
          </w:tcPr>
          <w:p w14:paraId="7AFE387A">
            <w:pPr>
              <w:ind w:firstLine="426"/>
              <w:rPr>
                <w:rFonts w:eastAsia="黑体"/>
                <w:bCs/>
                <w:szCs w:val="21"/>
              </w:rPr>
            </w:pPr>
            <w:r>
              <w:rPr>
                <w:rFonts w:hint="eastAsia" w:eastAsia="黑体"/>
                <w:bCs/>
                <w:szCs w:val="21"/>
              </w:rPr>
              <w:t>191.6</w:t>
            </w:r>
          </w:p>
        </w:tc>
        <w:tc>
          <w:tcPr>
            <w:tcW w:w="1417" w:type="dxa"/>
            <w:shd w:val="clear" w:color="auto" w:fill="auto"/>
          </w:tcPr>
          <w:p w14:paraId="6C45A2AD">
            <w:pPr>
              <w:ind w:firstLine="426"/>
              <w:rPr>
                <w:rFonts w:eastAsia="黑体"/>
                <w:bCs/>
                <w:szCs w:val="21"/>
              </w:rPr>
            </w:pPr>
            <w:r>
              <w:rPr>
                <w:rFonts w:hint="eastAsia" w:eastAsia="黑体"/>
                <w:bCs/>
                <w:szCs w:val="21"/>
              </w:rPr>
              <w:t>2786.0</w:t>
            </w:r>
          </w:p>
        </w:tc>
        <w:tc>
          <w:tcPr>
            <w:tcW w:w="1415" w:type="dxa"/>
            <w:shd w:val="clear" w:color="auto" w:fill="auto"/>
          </w:tcPr>
          <w:p w14:paraId="47A277C5">
            <w:pPr>
              <w:ind w:firstLine="426"/>
              <w:rPr>
                <w:rFonts w:eastAsia="黑体"/>
                <w:bCs/>
                <w:szCs w:val="21"/>
              </w:rPr>
            </w:pPr>
            <w:r>
              <w:rPr>
                <w:rFonts w:hint="eastAsia" w:eastAsia="黑体"/>
                <w:bCs/>
                <w:szCs w:val="21"/>
              </w:rPr>
              <w:t>11.0</w:t>
            </w:r>
          </w:p>
        </w:tc>
        <w:tc>
          <w:tcPr>
            <w:tcW w:w="1418" w:type="dxa"/>
            <w:shd w:val="clear" w:color="auto" w:fill="auto"/>
          </w:tcPr>
          <w:p w14:paraId="1E0B9A85">
            <w:pPr>
              <w:ind w:firstLine="426"/>
              <w:rPr>
                <w:rFonts w:eastAsia="黑体"/>
                <w:bCs/>
                <w:szCs w:val="21"/>
              </w:rPr>
            </w:pPr>
            <w:r>
              <w:rPr>
                <w:rFonts w:hint="eastAsia" w:eastAsia="黑体"/>
                <w:bCs/>
                <w:szCs w:val="21"/>
              </w:rPr>
              <w:t>318.04</w:t>
            </w:r>
          </w:p>
        </w:tc>
        <w:tc>
          <w:tcPr>
            <w:tcW w:w="1648" w:type="dxa"/>
            <w:shd w:val="clear" w:color="auto" w:fill="auto"/>
          </w:tcPr>
          <w:p w14:paraId="1B6A8790">
            <w:pPr>
              <w:ind w:firstLine="426"/>
              <w:rPr>
                <w:rFonts w:eastAsia="黑体"/>
                <w:bCs/>
                <w:szCs w:val="21"/>
              </w:rPr>
            </w:pPr>
            <w:r>
              <w:rPr>
                <w:rFonts w:hint="eastAsia" w:eastAsia="黑体"/>
                <w:bCs/>
                <w:szCs w:val="21"/>
              </w:rPr>
              <w:t>2705.4</w:t>
            </w:r>
          </w:p>
        </w:tc>
      </w:tr>
      <w:tr w14:paraId="7045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42FAC5AB">
            <w:pPr>
              <w:ind w:firstLine="426"/>
              <w:rPr>
                <w:rFonts w:eastAsia="黑体"/>
                <w:bCs/>
                <w:szCs w:val="21"/>
              </w:rPr>
            </w:pPr>
            <w:r>
              <w:rPr>
                <w:rFonts w:hint="eastAsia" w:eastAsia="黑体"/>
                <w:bCs/>
                <w:szCs w:val="21"/>
              </w:rPr>
              <w:t>1.40</w:t>
            </w:r>
          </w:p>
        </w:tc>
        <w:tc>
          <w:tcPr>
            <w:tcW w:w="0" w:type="auto"/>
            <w:shd w:val="clear" w:color="auto" w:fill="auto"/>
          </w:tcPr>
          <w:p w14:paraId="7B6B125E">
            <w:pPr>
              <w:ind w:firstLine="426"/>
              <w:rPr>
                <w:rFonts w:eastAsia="黑体"/>
                <w:bCs/>
                <w:szCs w:val="21"/>
              </w:rPr>
            </w:pPr>
            <w:r>
              <w:rPr>
                <w:rFonts w:hint="eastAsia" w:eastAsia="黑体"/>
                <w:bCs/>
                <w:szCs w:val="21"/>
              </w:rPr>
              <w:t>195.04</w:t>
            </w:r>
          </w:p>
        </w:tc>
        <w:tc>
          <w:tcPr>
            <w:tcW w:w="0" w:type="auto"/>
            <w:shd w:val="clear" w:color="auto" w:fill="auto"/>
          </w:tcPr>
          <w:p w14:paraId="60AE1C26">
            <w:pPr>
              <w:ind w:firstLine="426"/>
              <w:rPr>
                <w:rFonts w:eastAsia="黑体"/>
                <w:bCs/>
                <w:szCs w:val="21"/>
              </w:rPr>
            </w:pPr>
            <w:r>
              <w:rPr>
                <w:rFonts w:hint="eastAsia" w:eastAsia="黑体"/>
                <w:bCs/>
                <w:szCs w:val="21"/>
              </w:rPr>
              <w:t>2788.4</w:t>
            </w:r>
          </w:p>
        </w:tc>
        <w:tc>
          <w:tcPr>
            <w:tcW w:w="0" w:type="auto"/>
            <w:shd w:val="clear" w:color="auto" w:fill="auto"/>
          </w:tcPr>
          <w:p w14:paraId="4FB33164">
            <w:pPr>
              <w:ind w:firstLine="426"/>
              <w:rPr>
                <w:rFonts w:eastAsia="黑体"/>
                <w:bCs/>
                <w:szCs w:val="21"/>
              </w:rPr>
            </w:pPr>
            <w:r>
              <w:rPr>
                <w:rFonts w:hint="eastAsia" w:eastAsia="黑体"/>
                <w:bCs/>
                <w:szCs w:val="21"/>
              </w:rPr>
              <w:t>12.0</w:t>
            </w:r>
          </w:p>
        </w:tc>
        <w:tc>
          <w:tcPr>
            <w:tcW w:w="0" w:type="auto"/>
            <w:shd w:val="clear" w:color="auto" w:fill="auto"/>
          </w:tcPr>
          <w:p w14:paraId="3B2AC9E2">
            <w:pPr>
              <w:ind w:firstLine="426"/>
              <w:rPr>
                <w:rFonts w:eastAsia="黑体"/>
                <w:bCs/>
                <w:szCs w:val="21"/>
              </w:rPr>
            </w:pPr>
            <w:r>
              <w:rPr>
                <w:rFonts w:hint="eastAsia" w:eastAsia="黑体"/>
                <w:bCs/>
                <w:szCs w:val="21"/>
              </w:rPr>
              <w:t>324.64</w:t>
            </w:r>
          </w:p>
        </w:tc>
        <w:tc>
          <w:tcPr>
            <w:tcW w:w="0" w:type="auto"/>
            <w:shd w:val="clear" w:color="auto" w:fill="auto"/>
          </w:tcPr>
          <w:p w14:paraId="1659950F">
            <w:pPr>
              <w:ind w:firstLine="426"/>
              <w:rPr>
                <w:rFonts w:eastAsia="黑体"/>
                <w:bCs/>
                <w:szCs w:val="21"/>
              </w:rPr>
            </w:pPr>
            <w:r>
              <w:rPr>
                <w:rFonts w:hint="eastAsia" w:eastAsia="黑体"/>
                <w:bCs/>
                <w:szCs w:val="21"/>
              </w:rPr>
              <w:t>2684.8</w:t>
            </w:r>
          </w:p>
        </w:tc>
      </w:tr>
      <w:tr w14:paraId="07CB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6DEBCFA1">
            <w:pPr>
              <w:ind w:firstLine="426"/>
              <w:rPr>
                <w:rFonts w:eastAsia="黑体"/>
                <w:bCs/>
                <w:szCs w:val="21"/>
              </w:rPr>
            </w:pPr>
            <w:r>
              <w:rPr>
                <w:rFonts w:hint="eastAsia" w:eastAsia="黑体"/>
                <w:bCs/>
                <w:szCs w:val="21"/>
              </w:rPr>
              <w:t>1.50</w:t>
            </w:r>
          </w:p>
        </w:tc>
        <w:tc>
          <w:tcPr>
            <w:tcW w:w="0" w:type="auto"/>
            <w:shd w:val="clear" w:color="auto" w:fill="auto"/>
          </w:tcPr>
          <w:p w14:paraId="1CD044EF">
            <w:pPr>
              <w:ind w:firstLine="426"/>
              <w:rPr>
                <w:rFonts w:eastAsia="黑体"/>
                <w:bCs/>
                <w:szCs w:val="21"/>
              </w:rPr>
            </w:pPr>
            <w:r>
              <w:rPr>
                <w:rFonts w:hint="eastAsia" w:eastAsia="黑体"/>
                <w:bCs/>
                <w:szCs w:val="21"/>
              </w:rPr>
              <w:t>198.28</w:t>
            </w:r>
          </w:p>
        </w:tc>
        <w:tc>
          <w:tcPr>
            <w:tcW w:w="0" w:type="auto"/>
            <w:shd w:val="clear" w:color="auto" w:fill="auto"/>
          </w:tcPr>
          <w:p w14:paraId="0031CF9A">
            <w:pPr>
              <w:ind w:firstLine="426"/>
              <w:rPr>
                <w:rFonts w:eastAsia="黑体"/>
                <w:bCs/>
                <w:szCs w:val="21"/>
              </w:rPr>
            </w:pPr>
            <w:r>
              <w:rPr>
                <w:rFonts w:hint="eastAsia" w:eastAsia="黑体"/>
                <w:bCs/>
                <w:szCs w:val="21"/>
              </w:rPr>
              <w:t>2790.4</w:t>
            </w:r>
          </w:p>
        </w:tc>
        <w:tc>
          <w:tcPr>
            <w:tcW w:w="0" w:type="auto"/>
            <w:shd w:val="clear" w:color="auto" w:fill="auto"/>
          </w:tcPr>
          <w:p w14:paraId="5811EEE7">
            <w:pPr>
              <w:ind w:firstLine="426"/>
              <w:rPr>
                <w:rFonts w:eastAsia="黑体"/>
                <w:bCs/>
                <w:szCs w:val="21"/>
              </w:rPr>
            </w:pPr>
            <w:r>
              <w:rPr>
                <w:rFonts w:hint="eastAsia" w:eastAsia="黑体"/>
                <w:bCs/>
                <w:szCs w:val="21"/>
              </w:rPr>
              <w:t>13.0</w:t>
            </w:r>
          </w:p>
        </w:tc>
        <w:tc>
          <w:tcPr>
            <w:tcW w:w="0" w:type="auto"/>
            <w:shd w:val="clear" w:color="auto" w:fill="auto"/>
          </w:tcPr>
          <w:p w14:paraId="77CBAC3B">
            <w:pPr>
              <w:ind w:firstLine="426"/>
              <w:rPr>
                <w:rFonts w:eastAsia="黑体"/>
                <w:bCs/>
                <w:szCs w:val="21"/>
              </w:rPr>
            </w:pPr>
            <w:r>
              <w:rPr>
                <w:rFonts w:hint="eastAsia" w:eastAsia="黑体"/>
                <w:bCs/>
                <w:szCs w:val="21"/>
              </w:rPr>
              <w:t>330.81</w:t>
            </w:r>
          </w:p>
        </w:tc>
        <w:tc>
          <w:tcPr>
            <w:tcW w:w="0" w:type="auto"/>
            <w:shd w:val="clear" w:color="auto" w:fill="auto"/>
          </w:tcPr>
          <w:p w14:paraId="26016B9E">
            <w:pPr>
              <w:ind w:firstLine="426"/>
              <w:rPr>
                <w:rFonts w:eastAsia="黑体"/>
                <w:bCs/>
                <w:szCs w:val="21"/>
              </w:rPr>
            </w:pPr>
            <w:r>
              <w:rPr>
                <w:rFonts w:hint="eastAsia" w:eastAsia="黑体"/>
                <w:bCs/>
                <w:szCs w:val="21"/>
              </w:rPr>
              <w:t>2662.4</w:t>
            </w:r>
          </w:p>
        </w:tc>
      </w:tr>
      <w:tr w14:paraId="7D4A9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65357723">
            <w:pPr>
              <w:ind w:firstLine="426"/>
              <w:rPr>
                <w:rFonts w:eastAsia="黑体"/>
                <w:bCs/>
                <w:szCs w:val="21"/>
              </w:rPr>
            </w:pPr>
            <w:r>
              <w:rPr>
                <w:rFonts w:hint="eastAsia" w:eastAsia="黑体"/>
                <w:bCs/>
                <w:szCs w:val="21"/>
              </w:rPr>
              <w:t>1.60</w:t>
            </w:r>
          </w:p>
        </w:tc>
        <w:tc>
          <w:tcPr>
            <w:tcW w:w="0" w:type="auto"/>
            <w:shd w:val="clear" w:color="auto" w:fill="auto"/>
          </w:tcPr>
          <w:p w14:paraId="3F39F0C2">
            <w:pPr>
              <w:ind w:firstLine="426"/>
              <w:rPr>
                <w:rFonts w:eastAsia="黑体"/>
                <w:bCs/>
                <w:szCs w:val="21"/>
              </w:rPr>
            </w:pPr>
            <w:r>
              <w:rPr>
                <w:rFonts w:hint="eastAsia" w:eastAsia="黑体"/>
                <w:bCs/>
                <w:szCs w:val="21"/>
              </w:rPr>
              <w:t>201.37</w:t>
            </w:r>
          </w:p>
        </w:tc>
        <w:tc>
          <w:tcPr>
            <w:tcW w:w="0" w:type="auto"/>
            <w:shd w:val="clear" w:color="auto" w:fill="auto"/>
          </w:tcPr>
          <w:p w14:paraId="3AB58559">
            <w:pPr>
              <w:ind w:firstLine="426"/>
              <w:rPr>
                <w:rFonts w:eastAsia="黑体"/>
                <w:bCs/>
                <w:szCs w:val="21"/>
              </w:rPr>
            </w:pPr>
            <w:r>
              <w:rPr>
                <w:rFonts w:hint="eastAsia" w:eastAsia="黑体"/>
                <w:bCs/>
                <w:szCs w:val="21"/>
              </w:rPr>
              <w:t>2792.2</w:t>
            </w:r>
          </w:p>
        </w:tc>
        <w:tc>
          <w:tcPr>
            <w:tcW w:w="0" w:type="auto"/>
            <w:shd w:val="clear" w:color="auto" w:fill="auto"/>
          </w:tcPr>
          <w:p w14:paraId="7F2B4671">
            <w:pPr>
              <w:ind w:firstLine="426"/>
              <w:rPr>
                <w:rFonts w:eastAsia="黑体"/>
                <w:bCs/>
                <w:szCs w:val="21"/>
              </w:rPr>
            </w:pPr>
            <w:r>
              <w:rPr>
                <w:rFonts w:hint="eastAsia" w:eastAsia="黑体"/>
                <w:bCs/>
                <w:szCs w:val="21"/>
              </w:rPr>
              <w:t>14.0</w:t>
            </w:r>
          </w:p>
        </w:tc>
        <w:tc>
          <w:tcPr>
            <w:tcW w:w="0" w:type="auto"/>
            <w:shd w:val="clear" w:color="auto" w:fill="auto"/>
          </w:tcPr>
          <w:p w14:paraId="22B13497">
            <w:pPr>
              <w:ind w:firstLine="426"/>
              <w:rPr>
                <w:rFonts w:eastAsia="黑体"/>
                <w:bCs/>
                <w:szCs w:val="21"/>
              </w:rPr>
            </w:pPr>
            <w:r>
              <w:rPr>
                <w:rFonts w:hint="eastAsia" w:eastAsia="黑体"/>
                <w:bCs/>
                <w:szCs w:val="21"/>
              </w:rPr>
              <w:t>336.63</w:t>
            </w:r>
          </w:p>
        </w:tc>
        <w:tc>
          <w:tcPr>
            <w:tcW w:w="0" w:type="auto"/>
            <w:shd w:val="clear" w:color="auto" w:fill="auto"/>
          </w:tcPr>
          <w:p w14:paraId="11866E40">
            <w:pPr>
              <w:ind w:firstLine="426"/>
              <w:rPr>
                <w:rFonts w:eastAsia="黑体"/>
                <w:bCs/>
                <w:szCs w:val="21"/>
              </w:rPr>
            </w:pPr>
            <w:r>
              <w:rPr>
                <w:rFonts w:hint="eastAsia" w:eastAsia="黑体"/>
                <w:bCs/>
                <w:szCs w:val="21"/>
              </w:rPr>
              <w:t>2638.3</w:t>
            </w:r>
          </w:p>
        </w:tc>
      </w:tr>
      <w:tr w14:paraId="33DA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0DA6420A">
            <w:pPr>
              <w:ind w:firstLine="426"/>
              <w:rPr>
                <w:rFonts w:eastAsia="黑体"/>
                <w:bCs/>
                <w:szCs w:val="21"/>
              </w:rPr>
            </w:pPr>
            <w:r>
              <w:rPr>
                <w:rFonts w:hint="eastAsia" w:eastAsia="黑体"/>
                <w:bCs/>
                <w:szCs w:val="21"/>
              </w:rPr>
              <w:t>1.40</w:t>
            </w:r>
          </w:p>
        </w:tc>
        <w:tc>
          <w:tcPr>
            <w:tcW w:w="0" w:type="auto"/>
            <w:shd w:val="clear" w:color="auto" w:fill="auto"/>
          </w:tcPr>
          <w:p w14:paraId="4E9D2396">
            <w:pPr>
              <w:ind w:firstLine="426"/>
              <w:rPr>
                <w:rFonts w:eastAsia="黑体"/>
                <w:bCs/>
                <w:szCs w:val="21"/>
              </w:rPr>
            </w:pPr>
            <w:r>
              <w:rPr>
                <w:rFonts w:hint="eastAsia" w:eastAsia="黑体"/>
                <w:bCs/>
                <w:szCs w:val="21"/>
              </w:rPr>
              <w:t>204.3</w:t>
            </w:r>
          </w:p>
        </w:tc>
        <w:tc>
          <w:tcPr>
            <w:tcW w:w="0" w:type="auto"/>
            <w:shd w:val="clear" w:color="auto" w:fill="auto"/>
          </w:tcPr>
          <w:p w14:paraId="66C47A86">
            <w:pPr>
              <w:ind w:firstLine="426"/>
              <w:rPr>
                <w:rFonts w:eastAsia="黑体"/>
                <w:bCs/>
                <w:szCs w:val="21"/>
              </w:rPr>
            </w:pPr>
            <w:r>
              <w:rPr>
                <w:rFonts w:hint="eastAsia" w:eastAsia="黑体"/>
                <w:bCs/>
                <w:szCs w:val="21"/>
              </w:rPr>
              <w:t>2793.8</w:t>
            </w:r>
          </w:p>
        </w:tc>
        <w:tc>
          <w:tcPr>
            <w:tcW w:w="0" w:type="auto"/>
            <w:shd w:val="clear" w:color="auto" w:fill="auto"/>
          </w:tcPr>
          <w:p w14:paraId="64F3C558">
            <w:pPr>
              <w:ind w:firstLine="426"/>
              <w:rPr>
                <w:rFonts w:eastAsia="黑体"/>
                <w:bCs/>
                <w:szCs w:val="21"/>
              </w:rPr>
            </w:pPr>
            <w:r>
              <w:rPr>
                <w:rFonts w:hint="eastAsia" w:eastAsia="黑体"/>
                <w:bCs/>
                <w:szCs w:val="21"/>
              </w:rPr>
              <w:t>15.0</w:t>
            </w:r>
          </w:p>
        </w:tc>
        <w:tc>
          <w:tcPr>
            <w:tcW w:w="0" w:type="auto"/>
            <w:shd w:val="clear" w:color="auto" w:fill="auto"/>
          </w:tcPr>
          <w:p w14:paraId="7F3DFDDF">
            <w:pPr>
              <w:ind w:firstLine="426"/>
              <w:rPr>
                <w:rFonts w:eastAsia="黑体"/>
                <w:bCs/>
                <w:szCs w:val="21"/>
              </w:rPr>
            </w:pPr>
            <w:r>
              <w:rPr>
                <w:rFonts w:hint="eastAsia" w:eastAsia="黑体"/>
                <w:bCs/>
                <w:szCs w:val="21"/>
              </w:rPr>
              <w:t>342.12</w:t>
            </w:r>
          </w:p>
        </w:tc>
        <w:tc>
          <w:tcPr>
            <w:tcW w:w="0" w:type="auto"/>
            <w:shd w:val="clear" w:color="auto" w:fill="auto"/>
          </w:tcPr>
          <w:p w14:paraId="188E138C">
            <w:pPr>
              <w:ind w:firstLine="426"/>
              <w:rPr>
                <w:rFonts w:eastAsia="黑体"/>
                <w:bCs/>
                <w:szCs w:val="21"/>
              </w:rPr>
            </w:pPr>
            <w:r>
              <w:rPr>
                <w:rFonts w:hint="eastAsia" w:eastAsia="黑体"/>
                <w:bCs/>
                <w:szCs w:val="21"/>
              </w:rPr>
              <w:t>2611.6</w:t>
            </w:r>
          </w:p>
        </w:tc>
      </w:tr>
      <w:tr w14:paraId="58EAD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5C643893">
            <w:pPr>
              <w:ind w:firstLine="426"/>
              <w:rPr>
                <w:rFonts w:eastAsia="黑体"/>
                <w:bCs/>
                <w:szCs w:val="21"/>
              </w:rPr>
            </w:pPr>
            <w:r>
              <w:rPr>
                <w:rFonts w:hint="eastAsia" w:eastAsia="黑体"/>
                <w:bCs/>
                <w:szCs w:val="21"/>
              </w:rPr>
              <w:t>1.50</w:t>
            </w:r>
          </w:p>
        </w:tc>
        <w:tc>
          <w:tcPr>
            <w:tcW w:w="0" w:type="auto"/>
            <w:shd w:val="clear" w:color="auto" w:fill="auto"/>
          </w:tcPr>
          <w:p w14:paraId="33D676FD">
            <w:pPr>
              <w:ind w:firstLine="426"/>
              <w:rPr>
                <w:rFonts w:eastAsia="黑体"/>
                <w:bCs/>
                <w:szCs w:val="21"/>
              </w:rPr>
            </w:pPr>
            <w:r>
              <w:rPr>
                <w:rFonts w:hint="eastAsia" w:eastAsia="黑体"/>
                <w:bCs/>
                <w:szCs w:val="21"/>
              </w:rPr>
              <w:t>207.1</w:t>
            </w:r>
          </w:p>
        </w:tc>
        <w:tc>
          <w:tcPr>
            <w:tcW w:w="0" w:type="auto"/>
            <w:shd w:val="clear" w:color="auto" w:fill="auto"/>
          </w:tcPr>
          <w:p w14:paraId="57EB4F93">
            <w:pPr>
              <w:ind w:firstLine="426"/>
              <w:rPr>
                <w:rFonts w:eastAsia="黑体"/>
                <w:bCs/>
                <w:szCs w:val="21"/>
              </w:rPr>
            </w:pPr>
            <w:r>
              <w:rPr>
                <w:rFonts w:hint="eastAsia" w:eastAsia="黑体"/>
                <w:bCs/>
                <w:szCs w:val="21"/>
              </w:rPr>
              <w:t>2795.1</w:t>
            </w:r>
          </w:p>
        </w:tc>
        <w:tc>
          <w:tcPr>
            <w:tcW w:w="0" w:type="auto"/>
            <w:shd w:val="clear" w:color="auto" w:fill="auto"/>
          </w:tcPr>
          <w:p w14:paraId="418B1F24">
            <w:pPr>
              <w:ind w:firstLine="426"/>
              <w:rPr>
                <w:rFonts w:eastAsia="黑体"/>
                <w:bCs/>
                <w:szCs w:val="21"/>
              </w:rPr>
            </w:pPr>
            <w:r>
              <w:rPr>
                <w:rFonts w:hint="eastAsia" w:eastAsia="黑体"/>
                <w:bCs/>
                <w:szCs w:val="21"/>
              </w:rPr>
              <w:t>16.0</w:t>
            </w:r>
          </w:p>
        </w:tc>
        <w:tc>
          <w:tcPr>
            <w:tcW w:w="0" w:type="auto"/>
            <w:shd w:val="clear" w:color="auto" w:fill="auto"/>
          </w:tcPr>
          <w:p w14:paraId="73A8E414">
            <w:pPr>
              <w:ind w:firstLine="426"/>
              <w:rPr>
                <w:rFonts w:eastAsia="黑体"/>
                <w:bCs/>
                <w:szCs w:val="21"/>
              </w:rPr>
            </w:pPr>
            <w:r>
              <w:rPr>
                <w:rFonts w:hint="eastAsia" w:eastAsia="黑体"/>
                <w:bCs/>
                <w:szCs w:val="21"/>
              </w:rPr>
              <w:t>347.32</w:t>
            </w:r>
          </w:p>
        </w:tc>
        <w:tc>
          <w:tcPr>
            <w:tcW w:w="0" w:type="auto"/>
            <w:shd w:val="clear" w:color="auto" w:fill="auto"/>
          </w:tcPr>
          <w:p w14:paraId="51D2E26B">
            <w:pPr>
              <w:ind w:firstLine="426"/>
              <w:rPr>
                <w:rFonts w:eastAsia="黑体"/>
                <w:bCs/>
                <w:szCs w:val="21"/>
              </w:rPr>
            </w:pPr>
            <w:r>
              <w:rPr>
                <w:rFonts w:hint="eastAsia" w:eastAsia="黑体"/>
                <w:bCs/>
                <w:szCs w:val="21"/>
              </w:rPr>
              <w:t>2582.7</w:t>
            </w:r>
          </w:p>
        </w:tc>
      </w:tr>
      <w:tr w14:paraId="7E6D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2305EB23">
            <w:pPr>
              <w:ind w:firstLine="426"/>
              <w:rPr>
                <w:rFonts w:eastAsia="黑体"/>
                <w:bCs/>
                <w:szCs w:val="21"/>
              </w:rPr>
            </w:pPr>
            <w:r>
              <w:rPr>
                <w:rFonts w:hint="eastAsia" w:eastAsia="黑体"/>
                <w:bCs/>
                <w:szCs w:val="21"/>
              </w:rPr>
              <w:t>1.90</w:t>
            </w:r>
          </w:p>
        </w:tc>
        <w:tc>
          <w:tcPr>
            <w:tcW w:w="0" w:type="auto"/>
            <w:shd w:val="clear" w:color="auto" w:fill="auto"/>
          </w:tcPr>
          <w:p w14:paraId="7BBA9E83">
            <w:pPr>
              <w:ind w:firstLine="426"/>
              <w:rPr>
                <w:rFonts w:eastAsia="黑体"/>
                <w:bCs/>
                <w:szCs w:val="21"/>
              </w:rPr>
            </w:pPr>
            <w:r>
              <w:rPr>
                <w:rFonts w:hint="eastAsia" w:eastAsia="黑体"/>
                <w:bCs/>
                <w:szCs w:val="21"/>
              </w:rPr>
              <w:t>209.79</w:t>
            </w:r>
          </w:p>
        </w:tc>
        <w:tc>
          <w:tcPr>
            <w:tcW w:w="0" w:type="auto"/>
            <w:shd w:val="clear" w:color="auto" w:fill="auto"/>
          </w:tcPr>
          <w:p w14:paraId="40CCE7BB">
            <w:pPr>
              <w:ind w:firstLine="426"/>
              <w:rPr>
                <w:rFonts w:eastAsia="黑体"/>
                <w:bCs/>
                <w:szCs w:val="21"/>
              </w:rPr>
            </w:pPr>
            <w:r>
              <w:rPr>
                <w:rFonts w:hint="eastAsia" w:eastAsia="黑体"/>
                <w:bCs/>
                <w:szCs w:val="21"/>
              </w:rPr>
              <w:t>2796.4</w:t>
            </w:r>
          </w:p>
        </w:tc>
        <w:tc>
          <w:tcPr>
            <w:tcW w:w="0" w:type="auto"/>
            <w:shd w:val="clear" w:color="auto" w:fill="auto"/>
          </w:tcPr>
          <w:p w14:paraId="4F9BBD43">
            <w:pPr>
              <w:ind w:firstLine="426"/>
              <w:rPr>
                <w:rFonts w:eastAsia="黑体"/>
                <w:bCs/>
                <w:szCs w:val="21"/>
              </w:rPr>
            </w:pPr>
            <w:r>
              <w:rPr>
                <w:rFonts w:hint="eastAsia" w:eastAsia="黑体"/>
                <w:bCs/>
                <w:szCs w:val="21"/>
              </w:rPr>
              <w:t>17.0</w:t>
            </w:r>
          </w:p>
        </w:tc>
        <w:tc>
          <w:tcPr>
            <w:tcW w:w="0" w:type="auto"/>
            <w:shd w:val="clear" w:color="auto" w:fill="auto"/>
          </w:tcPr>
          <w:p w14:paraId="3C3D9573">
            <w:pPr>
              <w:ind w:firstLine="426"/>
              <w:rPr>
                <w:rFonts w:eastAsia="黑体"/>
                <w:bCs/>
                <w:szCs w:val="21"/>
              </w:rPr>
            </w:pPr>
            <w:r>
              <w:rPr>
                <w:rFonts w:hint="eastAsia" w:eastAsia="黑体"/>
                <w:bCs/>
                <w:szCs w:val="21"/>
              </w:rPr>
              <w:t>352.26</w:t>
            </w:r>
          </w:p>
        </w:tc>
        <w:tc>
          <w:tcPr>
            <w:tcW w:w="0" w:type="auto"/>
            <w:shd w:val="clear" w:color="auto" w:fill="auto"/>
          </w:tcPr>
          <w:p w14:paraId="79CFC014">
            <w:pPr>
              <w:ind w:firstLine="426"/>
              <w:rPr>
                <w:rFonts w:eastAsia="黑体"/>
                <w:bCs/>
                <w:szCs w:val="21"/>
              </w:rPr>
            </w:pPr>
            <w:r>
              <w:rPr>
                <w:rFonts w:hint="eastAsia" w:eastAsia="黑体"/>
                <w:bCs/>
                <w:szCs w:val="21"/>
              </w:rPr>
              <w:t>2550.8</w:t>
            </w:r>
          </w:p>
        </w:tc>
      </w:tr>
      <w:tr w14:paraId="112D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5AE7DB19">
            <w:pPr>
              <w:ind w:firstLine="426"/>
              <w:rPr>
                <w:rFonts w:eastAsia="黑体"/>
                <w:bCs/>
                <w:szCs w:val="21"/>
              </w:rPr>
            </w:pPr>
            <w:r>
              <w:rPr>
                <w:rFonts w:hint="eastAsia" w:eastAsia="黑体"/>
                <w:bCs/>
                <w:szCs w:val="21"/>
              </w:rPr>
              <w:t>2.00</w:t>
            </w:r>
          </w:p>
        </w:tc>
        <w:tc>
          <w:tcPr>
            <w:tcW w:w="0" w:type="auto"/>
            <w:shd w:val="clear" w:color="auto" w:fill="auto"/>
          </w:tcPr>
          <w:p w14:paraId="1AEA5BB4">
            <w:pPr>
              <w:ind w:firstLine="426"/>
              <w:rPr>
                <w:rFonts w:eastAsia="黑体"/>
                <w:bCs/>
                <w:szCs w:val="21"/>
              </w:rPr>
            </w:pPr>
            <w:r>
              <w:rPr>
                <w:rFonts w:hint="eastAsia" w:eastAsia="黑体"/>
                <w:bCs/>
                <w:szCs w:val="21"/>
              </w:rPr>
              <w:t>212.37</w:t>
            </w:r>
          </w:p>
        </w:tc>
        <w:tc>
          <w:tcPr>
            <w:tcW w:w="0" w:type="auto"/>
            <w:shd w:val="clear" w:color="auto" w:fill="auto"/>
          </w:tcPr>
          <w:p w14:paraId="189D0D31">
            <w:pPr>
              <w:ind w:firstLine="426"/>
              <w:rPr>
                <w:rFonts w:eastAsia="黑体"/>
                <w:bCs/>
                <w:szCs w:val="21"/>
              </w:rPr>
            </w:pPr>
            <w:r>
              <w:rPr>
                <w:rFonts w:hint="eastAsia" w:eastAsia="黑体"/>
                <w:bCs/>
                <w:szCs w:val="21"/>
              </w:rPr>
              <w:t>2797.4</w:t>
            </w:r>
          </w:p>
        </w:tc>
        <w:tc>
          <w:tcPr>
            <w:tcW w:w="0" w:type="auto"/>
            <w:shd w:val="clear" w:color="auto" w:fill="auto"/>
          </w:tcPr>
          <w:p w14:paraId="49ACFD6D">
            <w:pPr>
              <w:ind w:firstLine="426"/>
              <w:rPr>
                <w:rFonts w:eastAsia="黑体"/>
                <w:bCs/>
                <w:szCs w:val="21"/>
              </w:rPr>
            </w:pPr>
            <w:r>
              <w:rPr>
                <w:rFonts w:hint="eastAsia" w:eastAsia="黑体"/>
                <w:bCs/>
                <w:szCs w:val="21"/>
              </w:rPr>
              <w:t>18.0</w:t>
            </w:r>
          </w:p>
        </w:tc>
        <w:tc>
          <w:tcPr>
            <w:tcW w:w="0" w:type="auto"/>
            <w:shd w:val="clear" w:color="auto" w:fill="auto"/>
          </w:tcPr>
          <w:p w14:paraId="506C35CC">
            <w:pPr>
              <w:ind w:firstLine="426"/>
              <w:rPr>
                <w:rFonts w:eastAsia="黑体"/>
                <w:bCs/>
                <w:szCs w:val="21"/>
              </w:rPr>
            </w:pPr>
            <w:r>
              <w:rPr>
                <w:rFonts w:hint="eastAsia" w:eastAsia="黑体"/>
                <w:bCs/>
                <w:szCs w:val="21"/>
              </w:rPr>
              <w:t>356.96</w:t>
            </w:r>
          </w:p>
        </w:tc>
        <w:tc>
          <w:tcPr>
            <w:tcW w:w="0" w:type="auto"/>
            <w:shd w:val="clear" w:color="auto" w:fill="auto"/>
          </w:tcPr>
          <w:p w14:paraId="2BA34383">
            <w:pPr>
              <w:ind w:firstLine="426"/>
              <w:rPr>
                <w:rFonts w:eastAsia="黑体"/>
                <w:bCs/>
                <w:szCs w:val="21"/>
              </w:rPr>
            </w:pPr>
            <w:r>
              <w:rPr>
                <w:rFonts w:hint="eastAsia" w:eastAsia="黑体"/>
                <w:bCs/>
                <w:szCs w:val="21"/>
              </w:rPr>
              <w:t>2514.4</w:t>
            </w:r>
          </w:p>
        </w:tc>
      </w:tr>
      <w:tr w14:paraId="1A26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0CD61D2A">
            <w:pPr>
              <w:ind w:firstLine="426"/>
              <w:rPr>
                <w:rFonts w:eastAsia="黑体"/>
                <w:bCs/>
                <w:szCs w:val="21"/>
              </w:rPr>
            </w:pPr>
            <w:r>
              <w:rPr>
                <w:rFonts w:hint="eastAsia" w:eastAsia="黑体"/>
                <w:bCs/>
                <w:szCs w:val="21"/>
              </w:rPr>
              <w:t>2.20</w:t>
            </w:r>
          </w:p>
        </w:tc>
        <w:tc>
          <w:tcPr>
            <w:tcW w:w="0" w:type="auto"/>
            <w:shd w:val="clear" w:color="auto" w:fill="auto"/>
          </w:tcPr>
          <w:p w14:paraId="6C7B79E3">
            <w:pPr>
              <w:ind w:firstLine="426"/>
              <w:rPr>
                <w:rFonts w:eastAsia="黑体"/>
                <w:bCs/>
                <w:szCs w:val="21"/>
              </w:rPr>
            </w:pPr>
            <w:r>
              <w:rPr>
                <w:rFonts w:hint="eastAsia" w:eastAsia="黑体"/>
                <w:bCs/>
                <w:szCs w:val="21"/>
              </w:rPr>
              <w:t>217.24</w:t>
            </w:r>
          </w:p>
        </w:tc>
        <w:tc>
          <w:tcPr>
            <w:tcW w:w="0" w:type="auto"/>
            <w:shd w:val="clear" w:color="auto" w:fill="auto"/>
          </w:tcPr>
          <w:p w14:paraId="6B1C0AE2">
            <w:pPr>
              <w:ind w:firstLine="426"/>
              <w:rPr>
                <w:rFonts w:eastAsia="黑体"/>
                <w:bCs/>
                <w:szCs w:val="21"/>
              </w:rPr>
            </w:pPr>
            <w:r>
              <w:rPr>
                <w:rFonts w:hint="eastAsia" w:eastAsia="黑体"/>
                <w:bCs/>
                <w:szCs w:val="21"/>
              </w:rPr>
              <w:t>2799.1</w:t>
            </w:r>
          </w:p>
        </w:tc>
        <w:tc>
          <w:tcPr>
            <w:tcW w:w="0" w:type="auto"/>
            <w:shd w:val="clear" w:color="auto" w:fill="auto"/>
          </w:tcPr>
          <w:p w14:paraId="7FEF9C48">
            <w:pPr>
              <w:ind w:firstLine="426"/>
              <w:rPr>
                <w:rFonts w:eastAsia="黑体"/>
                <w:bCs/>
                <w:szCs w:val="21"/>
              </w:rPr>
            </w:pPr>
            <w:r>
              <w:rPr>
                <w:rFonts w:hint="eastAsia" w:eastAsia="黑体"/>
                <w:bCs/>
                <w:szCs w:val="21"/>
              </w:rPr>
              <w:t>19.0</w:t>
            </w:r>
          </w:p>
        </w:tc>
        <w:tc>
          <w:tcPr>
            <w:tcW w:w="0" w:type="auto"/>
            <w:shd w:val="clear" w:color="auto" w:fill="auto"/>
          </w:tcPr>
          <w:p w14:paraId="46AD6A88">
            <w:pPr>
              <w:ind w:firstLine="426"/>
              <w:rPr>
                <w:rFonts w:eastAsia="黑体"/>
                <w:bCs/>
                <w:szCs w:val="21"/>
              </w:rPr>
            </w:pPr>
            <w:r>
              <w:rPr>
                <w:rFonts w:hint="eastAsia" w:eastAsia="黑体"/>
                <w:bCs/>
                <w:szCs w:val="21"/>
              </w:rPr>
              <w:t>361.44</w:t>
            </w:r>
          </w:p>
        </w:tc>
        <w:tc>
          <w:tcPr>
            <w:tcW w:w="0" w:type="auto"/>
            <w:shd w:val="clear" w:color="auto" w:fill="auto"/>
          </w:tcPr>
          <w:p w14:paraId="1635DD66">
            <w:pPr>
              <w:ind w:firstLine="426"/>
              <w:rPr>
                <w:rFonts w:eastAsia="黑体"/>
                <w:bCs/>
                <w:szCs w:val="21"/>
              </w:rPr>
            </w:pPr>
            <w:r>
              <w:rPr>
                <w:rFonts w:hint="eastAsia" w:eastAsia="黑体"/>
                <w:bCs/>
                <w:szCs w:val="21"/>
              </w:rPr>
              <w:t>2470.1</w:t>
            </w:r>
          </w:p>
        </w:tc>
      </w:tr>
      <w:tr w14:paraId="4637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2F11EE50">
            <w:pPr>
              <w:ind w:firstLine="426"/>
              <w:rPr>
                <w:rFonts w:eastAsia="黑体"/>
                <w:bCs/>
                <w:szCs w:val="21"/>
              </w:rPr>
            </w:pPr>
            <w:r>
              <w:rPr>
                <w:rFonts w:hint="eastAsia" w:eastAsia="黑体"/>
                <w:bCs/>
                <w:szCs w:val="21"/>
              </w:rPr>
              <w:t>2.40</w:t>
            </w:r>
          </w:p>
        </w:tc>
        <w:tc>
          <w:tcPr>
            <w:tcW w:w="0" w:type="auto"/>
            <w:shd w:val="clear" w:color="auto" w:fill="auto"/>
          </w:tcPr>
          <w:p w14:paraId="16E382A1">
            <w:pPr>
              <w:ind w:firstLine="426"/>
              <w:rPr>
                <w:rFonts w:eastAsia="黑体"/>
                <w:bCs/>
                <w:szCs w:val="21"/>
              </w:rPr>
            </w:pPr>
            <w:r>
              <w:rPr>
                <w:rFonts w:hint="eastAsia" w:eastAsia="黑体"/>
                <w:bCs/>
                <w:szCs w:val="21"/>
              </w:rPr>
              <w:t>221.78</w:t>
            </w:r>
          </w:p>
        </w:tc>
        <w:tc>
          <w:tcPr>
            <w:tcW w:w="0" w:type="auto"/>
            <w:shd w:val="clear" w:color="auto" w:fill="auto"/>
          </w:tcPr>
          <w:p w14:paraId="343C7C57">
            <w:pPr>
              <w:ind w:firstLine="426"/>
              <w:rPr>
                <w:rFonts w:eastAsia="黑体"/>
                <w:bCs/>
                <w:szCs w:val="21"/>
              </w:rPr>
            </w:pPr>
            <w:r>
              <w:rPr>
                <w:rFonts w:hint="eastAsia" w:eastAsia="黑体"/>
                <w:bCs/>
                <w:szCs w:val="21"/>
              </w:rPr>
              <w:t>2800.4</w:t>
            </w:r>
          </w:p>
        </w:tc>
        <w:tc>
          <w:tcPr>
            <w:tcW w:w="0" w:type="auto"/>
            <w:shd w:val="clear" w:color="auto" w:fill="auto"/>
          </w:tcPr>
          <w:p w14:paraId="02E25640">
            <w:pPr>
              <w:ind w:firstLine="426"/>
              <w:rPr>
                <w:rFonts w:eastAsia="黑体"/>
                <w:bCs/>
                <w:szCs w:val="21"/>
              </w:rPr>
            </w:pPr>
            <w:r>
              <w:rPr>
                <w:rFonts w:hint="eastAsia" w:eastAsia="黑体"/>
                <w:bCs/>
                <w:szCs w:val="21"/>
              </w:rPr>
              <w:t>20.0</w:t>
            </w:r>
          </w:p>
        </w:tc>
        <w:tc>
          <w:tcPr>
            <w:tcW w:w="0" w:type="auto"/>
            <w:shd w:val="clear" w:color="auto" w:fill="auto"/>
          </w:tcPr>
          <w:p w14:paraId="45B8D5B4">
            <w:pPr>
              <w:ind w:firstLine="426"/>
              <w:rPr>
                <w:rFonts w:eastAsia="黑体"/>
                <w:bCs/>
                <w:szCs w:val="21"/>
              </w:rPr>
            </w:pPr>
            <w:r>
              <w:rPr>
                <w:rFonts w:hint="eastAsia" w:eastAsia="黑体"/>
                <w:bCs/>
                <w:szCs w:val="21"/>
              </w:rPr>
              <w:t>365.71</w:t>
            </w:r>
          </w:p>
        </w:tc>
        <w:tc>
          <w:tcPr>
            <w:tcW w:w="0" w:type="auto"/>
            <w:shd w:val="clear" w:color="auto" w:fill="auto"/>
          </w:tcPr>
          <w:p w14:paraId="6F1C07B4">
            <w:pPr>
              <w:ind w:firstLine="426"/>
              <w:rPr>
                <w:rFonts w:eastAsia="黑体"/>
                <w:bCs/>
                <w:szCs w:val="21"/>
              </w:rPr>
            </w:pPr>
            <w:r>
              <w:rPr>
                <w:rFonts w:hint="eastAsia" w:eastAsia="黑体"/>
                <w:bCs/>
                <w:szCs w:val="21"/>
              </w:rPr>
              <w:t>2413.9</w:t>
            </w:r>
          </w:p>
        </w:tc>
      </w:tr>
      <w:tr w14:paraId="61EA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523CAADB">
            <w:pPr>
              <w:ind w:firstLine="426"/>
              <w:rPr>
                <w:rFonts w:eastAsia="黑体"/>
                <w:bCs/>
                <w:szCs w:val="21"/>
              </w:rPr>
            </w:pPr>
            <w:r>
              <w:rPr>
                <w:rFonts w:hint="eastAsia" w:eastAsia="黑体"/>
                <w:bCs/>
                <w:szCs w:val="21"/>
              </w:rPr>
              <w:t>2.60</w:t>
            </w:r>
          </w:p>
        </w:tc>
        <w:tc>
          <w:tcPr>
            <w:tcW w:w="0" w:type="auto"/>
            <w:shd w:val="clear" w:color="auto" w:fill="auto"/>
          </w:tcPr>
          <w:p w14:paraId="1549176A">
            <w:pPr>
              <w:ind w:firstLine="426"/>
              <w:rPr>
                <w:rFonts w:eastAsia="黑体"/>
                <w:bCs/>
                <w:szCs w:val="21"/>
              </w:rPr>
            </w:pPr>
            <w:r>
              <w:rPr>
                <w:rFonts w:hint="eastAsia" w:eastAsia="黑体"/>
                <w:bCs/>
                <w:szCs w:val="21"/>
              </w:rPr>
              <w:t>226.03</w:t>
            </w:r>
          </w:p>
        </w:tc>
        <w:tc>
          <w:tcPr>
            <w:tcW w:w="0" w:type="auto"/>
            <w:shd w:val="clear" w:color="auto" w:fill="auto"/>
          </w:tcPr>
          <w:p w14:paraId="70929684">
            <w:pPr>
              <w:ind w:firstLine="426"/>
              <w:rPr>
                <w:rFonts w:eastAsia="黑体"/>
                <w:bCs/>
                <w:szCs w:val="21"/>
              </w:rPr>
            </w:pPr>
            <w:r>
              <w:rPr>
                <w:rFonts w:hint="eastAsia" w:eastAsia="黑体"/>
                <w:bCs/>
                <w:szCs w:val="21"/>
              </w:rPr>
              <w:t>2801.2</w:t>
            </w:r>
          </w:p>
        </w:tc>
        <w:tc>
          <w:tcPr>
            <w:tcW w:w="0" w:type="auto"/>
            <w:shd w:val="clear" w:color="auto" w:fill="auto"/>
          </w:tcPr>
          <w:p w14:paraId="4005D2CE">
            <w:pPr>
              <w:ind w:firstLine="426"/>
              <w:rPr>
                <w:rFonts w:eastAsia="黑体"/>
                <w:bCs/>
                <w:szCs w:val="21"/>
              </w:rPr>
            </w:pPr>
            <w:r>
              <w:rPr>
                <w:rFonts w:hint="eastAsia" w:eastAsia="黑体"/>
                <w:bCs/>
                <w:szCs w:val="21"/>
              </w:rPr>
              <w:t>21.0</w:t>
            </w:r>
          </w:p>
        </w:tc>
        <w:tc>
          <w:tcPr>
            <w:tcW w:w="0" w:type="auto"/>
            <w:shd w:val="clear" w:color="auto" w:fill="auto"/>
          </w:tcPr>
          <w:p w14:paraId="7B505EE9">
            <w:pPr>
              <w:ind w:firstLine="426"/>
              <w:rPr>
                <w:rFonts w:eastAsia="黑体"/>
                <w:bCs/>
                <w:szCs w:val="21"/>
              </w:rPr>
            </w:pPr>
            <w:r>
              <w:rPr>
                <w:rFonts w:hint="eastAsia" w:eastAsia="黑体"/>
                <w:bCs/>
                <w:szCs w:val="21"/>
              </w:rPr>
              <w:t>369.79</w:t>
            </w:r>
          </w:p>
        </w:tc>
        <w:tc>
          <w:tcPr>
            <w:tcW w:w="0" w:type="auto"/>
            <w:shd w:val="clear" w:color="auto" w:fill="auto"/>
          </w:tcPr>
          <w:p w14:paraId="06429B47">
            <w:pPr>
              <w:ind w:firstLine="426"/>
              <w:rPr>
                <w:rFonts w:eastAsia="黑体"/>
                <w:bCs/>
                <w:szCs w:val="21"/>
              </w:rPr>
            </w:pPr>
            <w:r>
              <w:rPr>
                <w:rFonts w:hint="eastAsia" w:eastAsia="黑体"/>
                <w:bCs/>
                <w:szCs w:val="21"/>
              </w:rPr>
              <w:t>2340.2</w:t>
            </w:r>
          </w:p>
        </w:tc>
      </w:tr>
      <w:tr w14:paraId="43C7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tcPr>
          <w:p w14:paraId="238F0A94">
            <w:pPr>
              <w:ind w:firstLine="426"/>
              <w:rPr>
                <w:rFonts w:eastAsia="黑体"/>
                <w:bCs/>
                <w:szCs w:val="21"/>
              </w:rPr>
            </w:pPr>
            <w:r>
              <w:rPr>
                <w:rFonts w:hint="eastAsia" w:eastAsia="黑体"/>
                <w:bCs/>
                <w:szCs w:val="21"/>
              </w:rPr>
              <w:t>2.80</w:t>
            </w:r>
          </w:p>
        </w:tc>
        <w:tc>
          <w:tcPr>
            <w:tcW w:w="0" w:type="auto"/>
            <w:shd w:val="clear" w:color="auto" w:fill="auto"/>
          </w:tcPr>
          <w:p w14:paraId="7D9EFF24">
            <w:pPr>
              <w:ind w:firstLine="426"/>
              <w:rPr>
                <w:rFonts w:eastAsia="黑体"/>
                <w:bCs/>
                <w:szCs w:val="21"/>
              </w:rPr>
            </w:pPr>
            <w:r>
              <w:rPr>
                <w:rFonts w:hint="eastAsia" w:eastAsia="黑体"/>
                <w:bCs/>
                <w:szCs w:val="21"/>
              </w:rPr>
              <w:t>230.04</w:t>
            </w:r>
          </w:p>
        </w:tc>
        <w:tc>
          <w:tcPr>
            <w:tcW w:w="0" w:type="auto"/>
            <w:shd w:val="clear" w:color="auto" w:fill="auto"/>
          </w:tcPr>
          <w:p w14:paraId="3D67E5FF">
            <w:pPr>
              <w:ind w:firstLine="426"/>
              <w:rPr>
                <w:rFonts w:eastAsia="黑体"/>
                <w:bCs/>
                <w:szCs w:val="21"/>
              </w:rPr>
            </w:pPr>
            <w:r>
              <w:rPr>
                <w:rFonts w:hint="eastAsia" w:eastAsia="黑体"/>
                <w:bCs/>
                <w:szCs w:val="21"/>
              </w:rPr>
              <w:t>2801.7</w:t>
            </w:r>
          </w:p>
        </w:tc>
        <w:tc>
          <w:tcPr>
            <w:tcW w:w="0" w:type="auto"/>
            <w:shd w:val="clear" w:color="auto" w:fill="auto"/>
          </w:tcPr>
          <w:p w14:paraId="2C3DAC6B">
            <w:pPr>
              <w:ind w:firstLine="426"/>
              <w:rPr>
                <w:rFonts w:eastAsia="黑体"/>
                <w:bCs/>
                <w:szCs w:val="21"/>
              </w:rPr>
            </w:pPr>
            <w:r>
              <w:rPr>
                <w:rFonts w:hint="eastAsia" w:eastAsia="黑体"/>
                <w:bCs/>
                <w:szCs w:val="21"/>
              </w:rPr>
              <w:t>22.0</w:t>
            </w:r>
          </w:p>
        </w:tc>
        <w:tc>
          <w:tcPr>
            <w:tcW w:w="0" w:type="auto"/>
            <w:shd w:val="clear" w:color="auto" w:fill="auto"/>
          </w:tcPr>
          <w:p w14:paraId="2A5FBE8F">
            <w:pPr>
              <w:ind w:firstLine="426"/>
              <w:rPr>
                <w:rFonts w:eastAsia="黑体"/>
                <w:bCs/>
                <w:szCs w:val="21"/>
              </w:rPr>
            </w:pPr>
            <w:r>
              <w:rPr>
                <w:rFonts w:hint="eastAsia" w:eastAsia="黑体"/>
                <w:bCs/>
                <w:szCs w:val="21"/>
              </w:rPr>
              <w:t>373.68</w:t>
            </w:r>
          </w:p>
        </w:tc>
        <w:tc>
          <w:tcPr>
            <w:tcW w:w="0" w:type="auto"/>
            <w:shd w:val="clear" w:color="auto" w:fill="auto"/>
          </w:tcPr>
          <w:p w14:paraId="6E79DDA4">
            <w:pPr>
              <w:ind w:firstLine="426"/>
              <w:rPr>
                <w:rFonts w:eastAsia="黑体"/>
                <w:bCs/>
                <w:szCs w:val="21"/>
              </w:rPr>
            </w:pPr>
            <w:r>
              <w:rPr>
                <w:rFonts w:hint="eastAsia" w:eastAsia="黑体"/>
                <w:bCs/>
                <w:szCs w:val="21"/>
              </w:rPr>
              <w:t>2192.5</w:t>
            </w:r>
          </w:p>
        </w:tc>
      </w:tr>
    </w:tbl>
    <w:p w14:paraId="7699D650">
      <w:pPr>
        <w:spacing w:before="159" w:beforeLines="50" w:line="360" w:lineRule="auto"/>
        <w:jc w:val="center"/>
        <w:rPr>
          <w:rFonts w:eastAsia="黑体"/>
        </w:rPr>
      </w:pPr>
    </w:p>
    <w:p w14:paraId="04088B47">
      <w:pPr>
        <w:spacing w:before="159" w:beforeLines="50" w:line="360" w:lineRule="auto"/>
        <w:jc w:val="center"/>
        <w:rPr>
          <w:rFonts w:eastAsia="黑体"/>
        </w:rPr>
      </w:pPr>
      <w:r>
        <w:rPr>
          <w:rFonts w:hint="eastAsia" w:eastAsia="黑体"/>
        </w:rPr>
        <w:t>表</w:t>
      </w:r>
      <w:r>
        <w:rPr>
          <w:rFonts w:eastAsia="黑体"/>
        </w:rPr>
        <w:t>B.</w:t>
      </w:r>
      <w:r>
        <w:rPr>
          <w:rFonts w:hint="eastAsia" w:eastAsia="黑体"/>
        </w:rPr>
        <w:t>6</w:t>
      </w:r>
      <w:r>
        <w:rPr>
          <w:rFonts w:eastAsia="黑体"/>
        </w:rPr>
        <w:t xml:space="preserve"> </w:t>
      </w:r>
      <w:r>
        <w:rPr>
          <w:rFonts w:hint="eastAsia" w:eastAsia="黑体"/>
        </w:rPr>
        <w:t>过热蒸汽焓值表</w:t>
      </w:r>
    </w:p>
    <w:p w14:paraId="36B6196B">
      <w:pPr>
        <w:jc w:val="right"/>
        <w:rPr>
          <w:sz w:val="18"/>
          <w:szCs w:val="18"/>
        </w:rPr>
      </w:pPr>
      <w:r>
        <w:rPr>
          <w:rFonts w:hint="eastAsia"/>
          <w:sz w:val="18"/>
          <w:szCs w:val="18"/>
        </w:rPr>
        <w:t>单位：千焦每千克（</w:t>
      </w:r>
      <w:r>
        <w:rPr>
          <w:rFonts w:eastAsiaTheme="minorEastAsia"/>
          <w:spacing w:val="-1"/>
          <w:sz w:val="18"/>
          <w:szCs w:val="18"/>
        </w:rPr>
        <w:t>kJ/kg</w:t>
      </w:r>
      <w:r>
        <w:rPr>
          <w:rFonts w:hint="eastAsia"/>
          <w:sz w:val="18"/>
          <w:szCs w:val="18"/>
        </w:rPr>
        <w:t>）</w:t>
      </w:r>
    </w:p>
    <w:tbl>
      <w:tblPr>
        <w:tblStyle w:val="36"/>
        <w:tblpPr w:leftFromText="180" w:rightFromText="180" w:vertAnchor="text" w:tblpXSpec="center" w:tblpY="1"/>
        <w:tblOverlap w:val="never"/>
        <w:tblW w:w="111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993"/>
        <w:gridCol w:w="849"/>
        <w:gridCol w:w="850"/>
        <w:gridCol w:w="853"/>
        <w:gridCol w:w="850"/>
        <w:gridCol w:w="851"/>
        <w:gridCol w:w="850"/>
        <w:gridCol w:w="851"/>
        <w:gridCol w:w="850"/>
        <w:gridCol w:w="851"/>
        <w:gridCol w:w="850"/>
        <w:gridCol w:w="851"/>
      </w:tblGrid>
      <w:tr w14:paraId="78B1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Merge w:val="restart"/>
            <w:vAlign w:val="center"/>
          </w:tcPr>
          <w:p w14:paraId="7FC56EAB">
            <w:pPr>
              <w:rPr>
                <w:rFonts w:eastAsia="黑体"/>
                <w:bCs/>
                <w:sz w:val="18"/>
                <w:szCs w:val="18"/>
              </w:rPr>
            </w:pPr>
            <w:r>
              <w:rPr>
                <w:rFonts w:eastAsia="黑体"/>
                <w:bCs/>
                <w:sz w:val="18"/>
                <w:szCs w:val="18"/>
              </w:rPr>
              <w:t>温度</w:t>
            </w:r>
          </w:p>
        </w:tc>
        <w:tc>
          <w:tcPr>
            <w:tcW w:w="10349" w:type="dxa"/>
            <w:gridSpan w:val="12"/>
            <w:vAlign w:val="center"/>
          </w:tcPr>
          <w:p w14:paraId="4541E0C0">
            <w:pPr>
              <w:ind w:left="2159" w:leftChars="1014" w:firstLine="2159" w:firstLineChars="1180"/>
              <w:rPr>
                <w:rFonts w:eastAsia="黑体"/>
                <w:bCs/>
                <w:sz w:val="18"/>
                <w:szCs w:val="18"/>
              </w:rPr>
            </w:pPr>
            <w:r>
              <w:rPr>
                <w:rFonts w:eastAsia="黑体"/>
                <w:bCs/>
                <w:sz w:val="18"/>
                <w:szCs w:val="18"/>
              </w:rPr>
              <w:t>压力</w:t>
            </w:r>
          </w:p>
        </w:tc>
      </w:tr>
      <w:tr w14:paraId="72A6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Merge w:val="continue"/>
            <w:vAlign w:val="center"/>
          </w:tcPr>
          <w:p w14:paraId="7146EAA9">
            <w:pPr>
              <w:rPr>
                <w:rFonts w:eastAsia="黑体"/>
                <w:bCs/>
                <w:sz w:val="18"/>
                <w:szCs w:val="18"/>
              </w:rPr>
            </w:pPr>
          </w:p>
        </w:tc>
        <w:tc>
          <w:tcPr>
            <w:tcW w:w="993" w:type="dxa"/>
            <w:vAlign w:val="center"/>
          </w:tcPr>
          <w:p w14:paraId="36335254">
            <w:pPr>
              <w:rPr>
                <w:rFonts w:eastAsia="黑体"/>
                <w:bCs/>
                <w:sz w:val="18"/>
                <w:szCs w:val="18"/>
              </w:rPr>
            </w:pPr>
            <w:r>
              <w:rPr>
                <w:rFonts w:eastAsia="黑体"/>
                <w:bCs/>
                <w:sz w:val="18"/>
                <w:szCs w:val="18"/>
              </w:rPr>
              <w:t>0.01</w:t>
            </w:r>
            <w:r>
              <w:rPr>
                <w:rFonts w:hint="eastAsia" w:eastAsia="黑体"/>
                <w:bCs/>
                <w:sz w:val="18"/>
                <w:szCs w:val="18"/>
              </w:rPr>
              <w:t xml:space="preserve"> </w:t>
            </w:r>
            <w:r>
              <w:rPr>
                <w:rFonts w:eastAsia="黑体"/>
                <w:bCs/>
                <w:sz w:val="18"/>
                <w:szCs w:val="18"/>
              </w:rPr>
              <w:t>MPa</w:t>
            </w:r>
          </w:p>
        </w:tc>
        <w:tc>
          <w:tcPr>
            <w:tcW w:w="849" w:type="dxa"/>
            <w:vAlign w:val="center"/>
          </w:tcPr>
          <w:p w14:paraId="1B38B55E">
            <w:pPr>
              <w:rPr>
                <w:rFonts w:eastAsia="黑体"/>
                <w:bCs/>
                <w:sz w:val="18"/>
                <w:szCs w:val="18"/>
              </w:rPr>
            </w:pPr>
            <w:r>
              <w:rPr>
                <w:rFonts w:eastAsia="黑体"/>
                <w:bCs/>
                <w:sz w:val="18"/>
                <w:szCs w:val="18"/>
              </w:rPr>
              <w:t>0.1</w:t>
            </w:r>
            <w:r>
              <w:rPr>
                <w:rFonts w:hint="eastAsia" w:eastAsia="黑体"/>
                <w:bCs/>
                <w:sz w:val="18"/>
                <w:szCs w:val="18"/>
              </w:rPr>
              <w:t xml:space="preserve"> </w:t>
            </w:r>
            <w:r>
              <w:rPr>
                <w:rFonts w:eastAsia="黑体"/>
                <w:bCs/>
                <w:sz w:val="18"/>
                <w:szCs w:val="18"/>
              </w:rPr>
              <w:t>MPa</w:t>
            </w:r>
          </w:p>
        </w:tc>
        <w:tc>
          <w:tcPr>
            <w:tcW w:w="850" w:type="dxa"/>
            <w:vAlign w:val="center"/>
          </w:tcPr>
          <w:p w14:paraId="5220D811">
            <w:pPr>
              <w:rPr>
                <w:rFonts w:eastAsia="黑体"/>
                <w:bCs/>
                <w:sz w:val="18"/>
                <w:szCs w:val="18"/>
              </w:rPr>
            </w:pPr>
            <w:r>
              <w:rPr>
                <w:rFonts w:eastAsia="黑体"/>
                <w:bCs/>
                <w:sz w:val="18"/>
                <w:szCs w:val="18"/>
              </w:rPr>
              <w:t>0.5</w:t>
            </w:r>
            <w:r>
              <w:rPr>
                <w:rFonts w:hint="eastAsia" w:eastAsia="黑体"/>
                <w:bCs/>
                <w:sz w:val="18"/>
                <w:szCs w:val="18"/>
              </w:rPr>
              <w:t xml:space="preserve"> </w:t>
            </w:r>
            <w:r>
              <w:rPr>
                <w:rFonts w:eastAsia="黑体"/>
                <w:bCs/>
                <w:sz w:val="18"/>
                <w:szCs w:val="18"/>
              </w:rPr>
              <w:t>MPa</w:t>
            </w:r>
          </w:p>
        </w:tc>
        <w:tc>
          <w:tcPr>
            <w:tcW w:w="853" w:type="dxa"/>
            <w:vAlign w:val="center"/>
          </w:tcPr>
          <w:p w14:paraId="3155E936">
            <w:pPr>
              <w:rPr>
                <w:rFonts w:eastAsia="黑体"/>
                <w:bCs/>
                <w:sz w:val="18"/>
                <w:szCs w:val="18"/>
              </w:rPr>
            </w:pPr>
            <w:r>
              <w:rPr>
                <w:rFonts w:eastAsia="黑体"/>
                <w:bCs/>
                <w:sz w:val="18"/>
                <w:szCs w:val="18"/>
              </w:rPr>
              <w:t>1</w:t>
            </w:r>
            <w:r>
              <w:rPr>
                <w:rFonts w:hint="eastAsia" w:eastAsia="黑体"/>
                <w:bCs/>
                <w:sz w:val="18"/>
                <w:szCs w:val="18"/>
              </w:rPr>
              <w:t xml:space="preserve"> </w:t>
            </w:r>
            <w:r>
              <w:rPr>
                <w:rFonts w:eastAsia="黑体"/>
                <w:bCs/>
                <w:sz w:val="18"/>
                <w:szCs w:val="18"/>
              </w:rPr>
              <w:t>MPa</w:t>
            </w:r>
          </w:p>
        </w:tc>
        <w:tc>
          <w:tcPr>
            <w:tcW w:w="850" w:type="dxa"/>
            <w:vAlign w:val="center"/>
          </w:tcPr>
          <w:p w14:paraId="6BC60F63">
            <w:pPr>
              <w:jc w:val="center"/>
              <w:rPr>
                <w:rFonts w:eastAsia="黑体"/>
                <w:bCs/>
                <w:sz w:val="18"/>
                <w:szCs w:val="18"/>
              </w:rPr>
            </w:pPr>
            <w:r>
              <w:rPr>
                <w:rFonts w:eastAsia="黑体"/>
                <w:bCs/>
                <w:sz w:val="18"/>
                <w:szCs w:val="18"/>
              </w:rPr>
              <w:t>3</w:t>
            </w:r>
            <w:r>
              <w:rPr>
                <w:rFonts w:hint="eastAsia" w:eastAsia="黑体"/>
                <w:bCs/>
                <w:sz w:val="18"/>
                <w:szCs w:val="18"/>
              </w:rPr>
              <w:t xml:space="preserve"> </w:t>
            </w:r>
            <w:r>
              <w:rPr>
                <w:rFonts w:eastAsia="黑体"/>
                <w:bCs/>
                <w:sz w:val="18"/>
                <w:szCs w:val="18"/>
              </w:rPr>
              <w:t>MPa</w:t>
            </w:r>
          </w:p>
        </w:tc>
        <w:tc>
          <w:tcPr>
            <w:tcW w:w="851" w:type="dxa"/>
            <w:vAlign w:val="center"/>
          </w:tcPr>
          <w:p w14:paraId="1E8394D7">
            <w:pPr>
              <w:rPr>
                <w:rFonts w:eastAsia="黑体"/>
                <w:bCs/>
                <w:sz w:val="18"/>
                <w:szCs w:val="18"/>
              </w:rPr>
            </w:pPr>
            <w:r>
              <w:rPr>
                <w:rFonts w:eastAsia="黑体"/>
                <w:bCs/>
                <w:sz w:val="18"/>
                <w:szCs w:val="18"/>
              </w:rPr>
              <w:t>5</w:t>
            </w:r>
            <w:r>
              <w:rPr>
                <w:rFonts w:hint="eastAsia" w:eastAsia="黑体"/>
                <w:bCs/>
                <w:sz w:val="18"/>
                <w:szCs w:val="18"/>
              </w:rPr>
              <w:t xml:space="preserve"> </w:t>
            </w:r>
            <w:r>
              <w:rPr>
                <w:rFonts w:eastAsia="黑体"/>
                <w:bCs/>
                <w:sz w:val="18"/>
                <w:szCs w:val="18"/>
              </w:rPr>
              <w:t>MPa</w:t>
            </w:r>
          </w:p>
        </w:tc>
        <w:tc>
          <w:tcPr>
            <w:tcW w:w="850" w:type="dxa"/>
            <w:vAlign w:val="center"/>
          </w:tcPr>
          <w:p w14:paraId="3C567632">
            <w:pPr>
              <w:jc w:val="center"/>
              <w:rPr>
                <w:rFonts w:eastAsia="黑体"/>
                <w:bCs/>
                <w:sz w:val="18"/>
                <w:szCs w:val="18"/>
              </w:rPr>
            </w:pPr>
            <w:r>
              <w:rPr>
                <w:rFonts w:eastAsia="黑体"/>
                <w:bCs/>
                <w:sz w:val="18"/>
                <w:szCs w:val="18"/>
              </w:rPr>
              <w:t>7</w:t>
            </w:r>
            <w:r>
              <w:rPr>
                <w:rFonts w:hint="eastAsia" w:eastAsia="黑体"/>
                <w:bCs/>
                <w:sz w:val="18"/>
                <w:szCs w:val="18"/>
              </w:rPr>
              <w:t xml:space="preserve"> </w:t>
            </w:r>
            <w:r>
              <w:rPr>
                <w:rFonts w:eastAsia="黑体"/>
                <w:bCs/>
                <w:sz w:val="18"/>
                <w:szCs w:val="18"/>
              </w:rPr>
              <w:t>MPa</w:t>
            </w:r>
          </w:p>
        </w:tc>
        <w:tc>
          <w:tcPr>
            <w:tcW w:w="851" w:type="dxa"/>
            <w:vAlign w:val="center"/>
          </w:tcPr>
          <w:p w14:paraId="4F2139BE">
            <w:pPr>
              <w:jc w:val="center"/>
              <w:rPr>
                <w:rFonts w:eastAsia="黑体"/>
                <w:bCs/>
                <w:sz w:val="18"/>
                <w:szCs w:val="18"/>
              </w:rPr>
            </w:pPr>
            <w:r>
              <w:rPr>
                <w:rFonts w:eastAsia="黑体"/>
                <w:bCs/>
                <w:sz w:val="18"/>
                <w:szCs w:val="18"/>
              </w:rPr>
              <w:t>10</w:t>
            </w:r>
            <w:r>
              <w:rPr>
                <w:rFonts w:hint="eastAsia" w:eastAsia="黑体"/>
                <w:bCs/>
                <w:sz w:val="18"/>
                <w:szCs w:val="18"/>
              </w:rPr>
              <w:t xml:space="preserve"> </w:t>
            </w:r>
            <w:r>
              <w:rPr>
                <w:rFonts w:eastAsia="黑体"/>
                <w:bCs/>
                <w:sz w:val="18"/>
                <w:szCs w:val="18"/>
              </w:rPr>
              <w:t>MPa</w:t>
            </w:r>
          </w:p>
        </w:tc>
        <w:tc>
          <w:tcPr>
            <w:tcW w:w="850" w:type="dxa"/>
            <w:vAlign w:val="center"/>
          </w:tcPr>
          <w:p w14:paraId="6462B15D">
            <w:pPr>
              <w:jc w:val="center"/>
              <w:rPr>
                <w:rFonts w:eastAsia="黑体"/>
                <w:bCs/>
                <w:sz w:val="18"/>
                <w:szCs w:val="18"/>
              </w:rPr>
            </w:pPr>
            <w:r>
              <w:rPr>
                <w:rFonts w:eastAsia="黑体"/>
                <w:bCs/>
                <w:sz w:val="18"/>
                <w:szCs w:val="18"/>
              </w:rPr>
              <w:t>14</w:t>
            </w:r>
            <w:r>
              <w:rPr>
                <w:rFonts w:hint="eastAsia" w:eastAsia="黑体"/>
                <w:bCs/>
                <w:sz w:val="18"/>
                <w:szCs w:val="18"/>
              </w:rPr>
              <w:t xml:space="preserve"> </w:t>
            </w:r>
            <w:r>
              <w:rPr>
                <w:rFonts w:eastAsia="黑体"/>
                <w:bCs/>
                <w:sz w:val="18"/>
                <w:szCs w:val="18"/>
              </w:rPr>
              <w:t>MPa</w:t>
            </w:r>
          </w:p>
        </w:tc>
        <w:tc>
          <w:tcPr>
            <w:tcW w:w="851" w:type="dxa"/>
            <w:vAlign w:val="center"/>
          </w:tcPr>
          <w:p w14:paraId="30C845B9">
            <w:pPr>
              <w:jc w:val="center"/>
              <w:rPr>
                <w:rFonts w:eastAsia="黑体"/>
                <w:bCs/>
                <w:sz w:val="18"/>
                <w:szCs w:val="18"/>
              </w:rPr>
            </w:pPr>
            <w:r>
              <w:rPr>
                <w:rFonts w:eastAsia="黑体"/>
                <w:bCs/>
                <w:sz w:val="18"/>
                <w:szCs w:val="18"/>
              </w:rPr>
              <w:t>20</w:t>
            </w:r>
            <w:r>
              <w:rPr>
                <w:rFonts w:hint="eastAsia" w:eastAsia="黑体"/>
                <w:bCs/>
                <w:sz w:val="18"/>
                <w:szCs w:val="18"/>
              </w:rPr>
              <w:t xml:space="preserve"> </w:t>
            </w:r>
            <w:r>
              <w:rPr>
                <w:rFonts w:eastAsia="黑体"/>
                <w:bCs/>
                <w:sz w:val="18"/>
                <w:szCs w:val="18"/>
              </w:rPr>
              <w:t>MPa</w:t>
            </w:r>
          </w:p>
        </w:tc>
        <w:tc>
          <w:tcPr>
            <w:tcW w:w="850" w:type="dxa"/>
            <w:vAlign w:val="center"/>
          </w:tcPr>
          <w:p w14:paraId="42FE7950">
            <w:pPr>
              <w:jc w:val="center"/>
              <w:rPr>
                <w:rFonts w:eastAsia="黑体"/>
                <w:bCs/>
                <w:sz w:val="18"/>
                <w:szCs w:val="18"/>
              </w:rPr>
            </w:pPr>
            <w:r>
              <w:rPr>
                <w:rFonts w:eastAsia="黑体"/>
                <w:bCs/>
                <w:sz w:val="18"/>
                <w:szCs w:val="18"/>
              </w:rPr>
              <w:t>25</w:t>
            </w:r>
            <w:r>
              <w:rPr>
                <w:rFonts w:hint="eastAsia" w:eastAsia="黑体"/>
                <w:bCs/>
                <w:sz w:val="18"/>
                <w:szCs w:val="18"/>
              </w:rPr>
              <w:t xml:space="preserve"> </w:t>
            </w:r>
            <w:r>
              <w:rPr>
                <w:rFonts w:eastAsia="黑体"/>
                <w:bCs/>
                <w:sz w:val="18"/>
                <w:szCs w:val="18"/>
              </w:rPr>
              <w:t>MPa</w:t>
            </w:r>
          </w:p>
        </w:tc>
        <w:tc>
          <w:tcPr>
            <w:tcW w:w="851" w:type="dxa"/>
            <w:vAlign w:val="center"/>
          </w:tcPr>
          <w:p w14:paraId="3EC981EA">
            <w:pPr>
              <w:jc w:val="center"/>
              <w:rPr>
                <w:rFonts w:eastAsia="黑体"/>
                <w:bCs/>
                <w:sz w:val="18"/>
                <w:szCs w:val="18"/>
              </w:rPr>
            </w:pPr>
            <w:r>
              <w:rPr>
                <w:rFonts w:eastAsia="黑体"/>
                <w:bCs/>
                <w:sz w:val="18"/>
                <w:szCs w:val="18"/>
              </w:rPr>
              <w:t>30</w:t>
            </w:r>
            <w:r>
              <w:rPr>
                <w:rFonts w:hint="eastAsia" w:eastAsia="黑体"/>
                <w:bCs/>
                <w:sz w:val="18"/>
                <w:szCs w:val="18"/>
              </w:rPr>
              <w:t xml:space="preserve"> </w:t>
            </w:r>
            <w:r>
              <w:rPr>
                <w:rFonts w:eastAsia="黑体"/>
                <w:bCs/>
                <w:sz w:val="18"/>
                <w:szCs w:val="18"/>
              </w:rPr>
              <w:t>MPa</w:t>
            </w:r>
          </w:p>
        </w:tc>
      </w:tr>
      <w:tr w14:paraId="729B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Align w:val="center"/>
          </w:tcPr>
          <w:p w14:paraId="48B5F0FA">
            <w:pPr>
              <w:rPr>
                <w:rFonts w:eastAsia="黑体"/>
                <w:bCs/>
                <w:sz w:val="18"/>
                <w:szCs w:val="18"/>
              </w:rPr>
            </w:pPr>
            <w:r>
              <w:rPr>
                <w:rFonts w:eastAsia="黑体"/>
                <w:bCs/>
                <w:sz w:val="18"/>
                <w:szCs w:val="18"/>
              </w:rPr>
              <w:t>0</w:t>
            </w:r>
            <w:r>
              <w:rPr>
                <w:rFonts w:hint="eastAsia" w:eastAsia="黑体"/>
                <w:bCs/>
                <w:sz w:val="18"/>
                <w:szCs w:val="18"/>
              </w:rPr>
              <w:t xml:space="preserve"> </w:t>
            </w:r>
            <w:r>
              <w:rPr>
                <w:rFonts w:eastAsia="黑体"/>
                <w:bCs/>
                <w:sz w:val="18"/>
                <w:szCs w:val="18"/>
              </w:rPr>
              <w:t>℃</w:t>
            </w:r>
          </w:p>
        </w:tc>
        <w:tc>
          <w:tcPr>
            <w:tcW w:w="993" w:type="dxa"/>
            <w:vAlign w:val="center"/>
          </w:tcPr>
          <w:p w14:paraId="62896B6E">
            <w:pPr>
              <w:rPr>
                <w:rFonts w:eastAsia="黑体"/>
                <w:bCs/>
                <w:sz w:val="18"/>
                <w:szCs w:val="18"/>
              </w:rPr>
            </w:pPr>
            <w:r>
              <w:rPr>
                <w:rFonts w:eastAsia="黑体"/>
                <w:bCs/>
                <w:sz w:val="18"/>
                <w:szCs w:val="18"/>
              </w:rPr>
              <w:t>0</w:t>
            </w:r>
          </w:p>
        </w:tc>
        <w:tc>
          <w:tcPr>
            <w:tcW w:w="849" w:type="dxa"/>
            <w:vAlign w:val="center"/>
          </w:tcPr>
          <w:p w14:paraId="35F34D88">
            <w:pPr>
              <w:jc w:val="center"/>
              <w:rPr>
                <w:rFonts w:eastAsia="黑体"/>
                <w:bCs/>
                <w:sz w:val="18"/>
                <w:szCs w:val="18"/>
              </w:rPr>
            </w:pPr>
            <w:r>
              <w:rPr>
                <w:rFonts w:eastAsia="黑体"/>
                <w:bCs/>
                <w:sz w:val="18"/>
                <w:szCs w:val="18"/>
              </w:rPr>
              <w:t>0.1</w:t>
            </w:r>
          </w:p>
        </w:tc>
        <w:tc>
          <w:tcPr>
            <w:tcW w:w="850" w:type="dxa"/>
            <w:vAlign w:val="center"/>
          </w:tcPr>
          <w:p w14:paraId="67C2A6A2">
            <w:pPr>
              <w:ind w:firstLine="199" w:firstLineChars="109"/>
              <w:jc w:val="center"/>
              <w:rPr>
                <w:rFonts w:eastAsia="黑体"/>
                <w:bCs/>
                <w:sz w:val="18"/>
                <w:szCs w:val="18"/>
              </w:rPr>
            </w:pPr>
            <w:r>
              <w:rPr>
                <w:rFonts w:eastAsia="黑体"/>
                <w:bCs/>
                <w:sz w:val="18"/>
                <w:szCs w:val="18"/>
              </w:rPr>
              <w:t>0.5</w:t>
            </w:r>
          </w:p>
        </w:tc>
        <w:tc>
          <w:tcPr>
            <w:tcW w:w="853" w:type="dxa"/>
            <w:vAlign w:val="center"/>
          </w:tcPr>
          <w:p w14:paraId="1C78057D">
            <w:pPr>
              <w:ind w:firstLine="183" w:firstLineChars="100"/>
              <w:jc w:val="center"/>
              <w:rPr>
                <w:rFonts w:eastAsia="黑体"/>
                <w:bCs/>
                <w:sz w:val="18"/>
                <w:szCs w:val="18"/>
              </w:rPr>
            </w:pPr>
            <w:r>
              <w:rPr>
                <w:rFonts w:eastAsia="黑体"/>
                <w:bCs/>
                <w:sz w:val="18"/>
                <w:szCs w:val="18"/>
              </w:rPr>
              <w:t>1</w:t>
            </w:r>
          </w:p>
        </w:tc>
        <w:tc>
          <w:tcPr>
            <w:tcW w:w="850" w:type="dxa"/>
            <w:vAlign w:val="center"/>
          </w:tcPr>
          <w:p w14:paraId="29C7C519">
            <w:pPr>
              <w:ind w:firstLine="199" w:firstLineChars="109"/>
              <w:rPr>
                <w:rFonts w:eastAsia="黑体"/>
                <w:bCs/>
                <w:sz w:val="18"/>
                <w:szCs w:val="18"/>
              </w:rPr>
            </w:pPr>
            <w:r>
              <w:rPr>
                <w:rFonts w:eastAsia="黑体"/>
                <w:bCs/>
                <w:sz w:val="18"/>
                <w:szCs w:val="18"/>
              </w:rPr>
              <w:t>3</w:t>
            </w:r>
          </w:p>
        </w:tc>
        <w:tc>
          <w:tcPr>
            <w:tcW w:w="851" w:type="dxa"/>
            <w:vAlign w:val="center"/>
          </w:tcPr>
          <w:p w14:paraId="7DCEA615">
            <w:pPr>
              <w:rPr>
                <w:rFonts w:eastAsia="黑体"/>
                <w:bCs/>
                <w:sz w:val="18"/>
                <w:szCs w:val="18"/>
              </w:rPr>
            </w:pPr>
            <w:r>
              <w:rPr>
                <w:rFonts w:eastAsia="黑体"/>
                <w:bCs/>
                <w:sz w:val="18"/>
                <w:szCs w:val="18"/>
              </w:rPr>
              <w:t>5</w:t>
            </w:r>
          </w:p>
        </w:tc>
        <w:tc>
          <w:tcPr>
            <w:tcW w:w="850" w:type="dxa"/>
            <w:vAlign w:val="center"/>
          </w:tcPr>
          <w:p w14:paraId="0334E673">
            <w:pPr>
              <w:jc w:val="center"/>
              <w:rPr>
                <w:rFonts w:eastAsia="黑体"/>
                <w:bCs/>
                <w:sz w:val="18"/>
                <w:szCs w:val="18"/>
              </w:rPr>
            </w:pPr>
            <w:r>
              <w:rPr>
                <w:rFonts w:eastAsia="黑体"/>
                <w:bCs/>
                <w:sz w:val="18"/>
                <w:szCs w:val="18"/>
              </w:rPr>
              <w:t>7.1</w:t>
            </w:r>
          </w:p>
        </w:tc>
        <w:tc>
          <w:tcPr>
            <w:tcW w:w="851" w:type="dxa"/>
            <w:vAlign w:val="center"/>
          </w:tcPr>
          <w:p w14:paraId="2D05F297">
            <w:pPr>
              <w:rPr>
                <w:rFonts w:eastAsia="黑体"/>
                <w:bCs/>
                <w:sz w:val="18"/>
                <w:szCs w:val="18"/>
              </w:rPr>
            </w:pPr>
            <w:r>
              <w:rPr>
                <w:rFonts w:eastAsia="黑体"/>
                <w:bCs/>
                <w:sz w:val="18"/>
                <w:szCs w:val="18"/>
              </w:rPr>
              <w:t>10.1</w:t>
            </w:r>
          </w:p>
        </w:tc>
        <w:tc>
          <w:tcPr>
            <w:tcW w:w="850" w:type="dxa"/>
            <w:vAlign w:val="center"/>
          </w:tcPr>
          <w:p w14:paraId="43D79B3A">
            <w:pPr>
              <w:rPr>
                <w:rFonts w:eastAsia="黑体"/>
                <w:bCs/>
                <w:sz w:val="18"/>
                <w:szCs w:val="18"/>
              </w:rPr>
            </w:pPr>
            <w:r>
              <w:rPr>
                <w:rFonts w:eastAsia="黑体"/>
                <w:bCs/>
                <w:sz w:val="18"/>
                <w:szCs w:val="18"/>
              </w:rPr>
              <w:t>14.1</w:t>
            </w:r>
          </w:p>
        </w:tc>
        <w:tc>
          <w:tcPr>
            <w:tcW w:w="851" w:type="dxa"/>
            <w:vAlign w:val="center"/>
          </w:tcPr>
          <w:p w14:paraId="18F65C8D">
            <w:pPr>
              <w:rPr>
                <w:rFonts w:eastAsia="黑体"/>
                <w:bCs/>
                <w:sz w:val="18"/>
                <w:szCs w:val="18"/>
              </w:rPr>
            </w:pPr>
            <w:r>
              <w:rPr>
                <w:rFonts w:eastAsia="黑体"/>
                <w:bCs/>
                <w:sz w:val="18"/>
                <w:szCs w:val="18"/>
              </w:rPr>
              <w:t>20.1</w:t>
            </w:r>
          </w:p>
        </w:tc>
        <w:tc>
          <w:tcPr>
            <w:tcW w:w="850" w:type="dxa"/>
            <w:vAlign w:val="center"/>
          </w:tcPr>
          <w:p w14:paraId="3DBF4E64">
            <w:pPr>
              <w:rPr>
                <w:rFonts w:eastAsia="黑体"/>
                <w:bCs/>
                <w:sz w:val="18"/>
                <w:szCs w:val="18"/>
              </w:rPr>
            </w:pPr>
            <w:r>
              <w:rPr>
                <w:rFonts w:eastAsia="黑体"/>
                <w:bCs/>
                <w:sz w:val="18"/>
                <w:szCs w:val="18"/>
              </w:rPr>
              <w:t>25.1</w:t>
            </w:r>
          </w:p>
        </w:tc>
        <w:tc>
          <w:tcPr>
            <w:tcW w:w="851" w:type="dxa"/>
            <w:vAlign w:val="center"/>
          </w:tcPr>
          <w:p w14:paraId="0F304401">
            <w:pPr>
              <w:rPr>
                <w:rFonts w:eastAsia="黑体"/>
                <w:bCs/>
                <w:sz w:val="18"/>
                <w:szCs w:val="18"/>
              </w:rPr>
            </w:pPr>
            <w:r>
              <w:rPr>
                <w:rFonts w:eastAsia="黑体"/>
                <w:bCs/>
                <w:sz w:val="18"/>
                <w:szCs w:val="18"/>
              </w:rPr>
              <w:t>30</w:t>
            </w:r>
          </w:p>
        </w:tc>
      </w:tr>
      <w:tr w14:paraId="69A4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Align w:val="center"/>
          </w:tcPr>
          <w:p w14:paraId="44E9040C">
            <w:pPr>
              <w:rPr>
                <w:rFonts w:eastAsia="黑体"/>
                <w:bCs/>
                <w:sz w:val="18"/>
                <w:szCs w:val="18"/>
              </w:rPr>
            </w:pPr>
            <w:r>
              <w:rPr>
                <w:rFonts w:eastAsia="黑体"/>
                <w:bCs/>
                <w:sz w:val="18"/>
                <w:szCs w:val="18"/>
              </w:rPr>
              <w:t>10</w:t>
            </w:r>
            <w:r>
              <w:rPr>
                <w:rFonts w:hint="eastAsia" w:eastAsia="黑体"/>
                <w:bCs/>
                <w:sz w:val="18"/>
                <w:szCs w:val="18"/>
              </w:rPr>
              <w:t xml:space="preserve"> </w:t>
            </w:r>
            <w:r>
              <w:rPr>
                <w:rFonts w:eastAsia="黑体"/>
                <w:bCs/>
                <w:sz w:val="18"/>
                <w:szCs w:val="18"/>
              </w:rPr>
              <w:t>℃</w:t>
            </w:r>
          </w:p>
        </w:tc>
        <w:tc>
          <w:tcPr>
            <w:tcW w:w="993" w:type="dxa"/>
            <w:vAlign w:val="center"/>
          </w:tcPr>
          <w:p w14:paraId="31C52AD2">
            <w:pPr>
              <w:rPr>
                <w:rFonts w:eastAsia="黑体"/>
                <w:bCs/>
                <w:sz w:val="18"/>
                <w:szCs w:val="18"/>
              </w:rPr>
            </w:pPr>
            <w:r>
              <w:rPr>
                <w:rFonts w:eastAsia="黑体"/>
                <w:bCs/>
                <w:sz w:val="18"/>
                <w:szCs w:val="18"/>
              </w:rPr>
              <w:t>42</w:t>
            </w:r>
          </w:p>
        </w:tc>
        <w:tc>
          <w:tcPr>
            <w:tcW w:w="849" w:type="dxa"/>
            <w:vAlign w:val="center"/>
          </w:tcPr>
          <w:p w14:paraId="0CEC0B35">
            <w:pPr>
              <w:jc w:val="center"/>
              <w:rPr>
                <w:rFonts w:eastAsia="黑体"/>
                <w:bCs/>
                <w:sz w:val="18"/>
                <w:szCs w:val="18"/>
              </w:rPr>
            </w:pPr>
            <w:r>
              <w:rPr>
                <w:rFonts w:eastAsia="黑体"/>
                <w:bCs/>
                <w:sz w:val="18"/>
                <w:szCs w:val="18"/>
              </w:rPr>
              <w:t>42.1</w:t>
            </w:r>
          </w:p>
        </w:tc>
        <w:tc>
          <w:tcPr>
            <w:tcW w:w="850" w:type="dxa"/>
            <w:vAlign w:val="center"/>
          </w:tcPr>
          <w:p w14:paraId="36973CA4">
            <w:pPr>
              <w:jc w:val="center"/>
              <w:rPr>
                <w:rFonts w:eastAsia="黑体"/>
                <w:bCs/>
                <w:sz w:val="18"/>
                <w:szCs w:val="18"/>
              </w:rPr>
            </w:pPr>
            <w:r>
              <w:rPr>
                <w:rFonts w:eastAsia="黑体"/>
                <w:bCs/>
                <w:sz w:val="18"/>
                <w:szCs w:val="18"/>
              </w:rPr>
              <w:t>42.5</w:t>
            </w:r>
          </w:p>
        </w:tc>
        <w:tc>
          <w:tcPr>
            <w:tcW w:w="853" w:type="dxa"/>
            <w:vAlign w:val="center"/>
          </w:tcPr>
          <w:p w14:paraId="2AC46676">
            <w:pPr>
              <w:jc w:val="center"/>
              <w:rPr>
                <w:rFonts w:eastAsia="黑体"/>
                <w:bCs/>
                <w:sz w:val="18"/>
                <w:szCs w:val="18"/>
              </w:rPr>
            </w:pPr>
            <w:r>
              <w:rPr>
                <w:rFonts w:eastAsia="黑体"/>
                <w:bCs/>
                <w:sz w:val="18"/>
                <w:szCs w:val="18"/>
              </w:rPr>
              <w:t>43</w:t>
            </w:r>
          </w:p>
        </w:tc>
        <w:tc>
          <w:tcPr>
            <w:tcW w:w="850" w:type="dxa"/>
            <w:vAlign w:val="center"/>
          </w:tcPr>
          <w:p w14:paraId="091A5619">
            <w:pPr>
              <w:rPr>
                <w:rFonts w:eastAsia="黑体"/>
                <w:bCs/>
                <w:sz w:val="18"/>
                <w:szCs w:val="18"/>
              </w:rPr>
            </w:pPr>
            <w:r>
              <w:rPr>
                <w:rFonts w:eastAsia="黑体"/>
                <w:bCs/>
                <w:sz w:val="18"/>
                <w:szCs w:val="18"/>
              </w:rPr>
              <w:t>44.9</w:t>
            </w:r>
          </w:p>
        </w:tc>
        <w:tc>
          <w:tcPr>
            <w:tcW w:w="851" w:type="dxa"/>
            <w:vAlign w:val="center"/>
          </w:tcPr>
          <w:p w14:paraId="5B15ECA8">
            <w:pPr>
              <w:rPr>
                <w:rFonts w:eastAsia="黑体"/>
                <w:bCs/>
                <w:sz w:val="18"/>
                <w:szCs w:val="18"/>
              </w:rPr>
            </w:pPr>
            <w:r>
              <w:rPr>
                <w:rFonts w:eastAsia="黑体"/>
                <w:bCs/>
                <w:sz w:val="18"/>
                <w:szCs w:val="18"/>
              </w:rPr>
              <w:t>46.9</w:t>
            </w:r>
          </w:p>
        </w:tc>
        <w:tc>
          <w:tcPr>
            <w:tcW w:w="850" w:type="dxa"/>
            <w:vAlign w:val="center"/>
          </w:tcPr>
          <w:p w14:paraId="429393E9">
            <w:pPr>
              <w:jc w:val="center"/>
              <w:rPr>
                <w:rFonts w:eastAsia="黑体"/>
                <w:bCs/>
                <w:sz w:val="18"/>
                <w:szCs w:val="18"/>
              </w:rPr>
            </w:pPr>
            <w:r>
              <w:rPr>
                <w:rFonts w:eastAsia="黑体"/>
                <w:bCs/>
                <w:sz w:val="18"/>
                <w:szCs w:val="18"/>
              </w:rPr>
              <w:t>48.80</w:t>
            </w:r>
          </w:p>
        </w:tc>
        <w:tc>
          <w:tcPr>
            <w:tcW w:w="851" w:type="dxa"/>
            <w:vAlign w:val="center"/>
          </w:tcPr>
          <w:p w14:paraId="459151ED">
            <w:pPr>
              <w:rPr>
                <w:rFonts w:eastAsia="黑体"/>
                <w:bCs/>
                <w:sz w:val="18"/>
                <w:szCs w:val="18"/>
              </w:rPr>
            </w:pPr>
            <w:r>
              <w:rPr>
                <w:rFonts w:eastAsia="黑体"/>
                <w:bCs/>
                <w:sz w:val="18"/>
                <w:szCs w:val="18"/>
              </w:rPr>
              <w:t>51.7</w:t>
            </w:r>
          </w:p>
        </w:tc>
        <w:tc>
          <w:tcPr>
            <w:tcW w:w="850" w:type="dxa"/>
            <w:vAlign w:val="center"/>
          </w:tcPr>
          <w:p w14:paraId="5E14E93C">
            <w:pPr>
              <w:rPr>
                <w:rFonts w:eastAsia="黑体"/>
                <w:bCs/>
                <w:sz w:val="18"/>
                <w:szCs w:val="18"/>
              </w:rPr>
            </w:pPr>
            <w:r>
              <w:rPr>
                <w:rFonts w:eastAsia="黑体"/>
                <w:bCs/>
                <w:sz w:val="18"/>
                <w:szCs w:val="18"/>
              </w:rPr>
              <w:t>55.6</w:t>
            </w:r>
          </w:p>
        </w:tc>
        <w:tc>
          <w:tcPr>
            <w:tcW w:w="851" w:type="dxa"/>
            <w:vAlign w:val="center"/>
          </w:tcPr>
          <w:p w14:paraId="72692C71">
            <w:pPr>
              <w:rPr>
                <w:rFonts w:eastAsia="黑体"/>
                <w:bCs/>
                <w:sz w:val="18"/>
                <w:szCs w:val="18"/>
              </w:rPr>
            </w:pPr>
            <w:r>
              <w:rPr>
                <w:rFonts w:eastAsia="黑体"/>
                <w:bCs/>
                <w:sz w:val="18"/>
                <w:szCs w:val="18"/>
              </w:rPr>
              <w:t>61.3</w:t>
            </w:r>
          </w:p>
        </w:tc>
        <w:tc>
          <w:tcPr>
            <w:tcW w:w="850" w:type="dxa"/>
            <w:vAlign w:val="center"/>
          </w:tcPr>
          <w:p w14:paraId="45E649A8">
            <w:pPr>
              <w:rPr>
                <w:rFonts w:eastAsia="黑体"/>
                <w:bCs/>
                <w:sz w:val="18"/>
                <w:szCs w:val="18"/>
              </w:rPr>
            </w:pPr>
            <w:r>
              <w:rPr>
                <w:rFonts w:eastAsia="黑体"/>
                <w:bCs/>
                <w:sz w:val="18"/>
                <w:szCs w:val="18"/>
              </w:rPr>
              <w:t>66.1</w:t>
            </w:r>
          </w:p>
        </w:tc>
        <w:tc>
          <w:tcPr>
            <w:tcW w:w="851" w:type="dxa"/>
            <w:vAlign w:val="center"/>
          </w:tcPr>
          <w:p w14:paraId="642D9AC9">
            <w:pPr>
              <w:rPr>
                <w:rFonts w:eastAsia="黑体"/>
                <w:bCs/>
                <w:sz w:val="18"/>
                <w:szCs w:val="18"/>
              </w:rPr>
            </w:pPr>
            <w:r>
              <w:rPr>
                <w:rFonts w:eastAsia="黑体"/>
                <w:bCs/>
                <w:sz w:val="18"/>
                <w:szCs w:val="18"/>
              </w:rPr>
              <w:t>70.8</w:t>
            </w:r>
          </w:p>
        </w:tc>
      </w:tr>
      <w:tr w14:paraId="21BC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Align w:val="center"/>
          </w:tcPr>
          <w:p w14:paraId="34C550DD">
            <w:pPr>
              <w:rPr>
                <w:rFonts w:eastAsia="黑体"/>
                <w:bCs/>
                <w:sz w:val="18"/>
                <w:szCs w:val="18"/>
              </w:rPr>
            </w:pPr>
            <w:r>
              <w:rPr>
                <w:rFonts w:eastAsia="黑体"/>
                <w:bCs/>
                <w:sz w:val="18"/>
                <w:szCs w:val="18"/>
              </w:rPr>
              <w:t>20</w:t>
            </w:r>
            <w:r>
              <w:rPr>
                <w:rFonts w:hint="eastAsia" w:eastAsia="黑体"/>
                <w:bCs/>
                <w:sz w:val="18"/>
                <w:szCs w:val="18"/>
              </w:rPr>
              <w:t xml:space="preserve"> </w:t>
            </w:r>
            <w:r>
              <w:rPr>
                <w:rFonts w:eastAsia="黑体"/>
                <w:bCs/>
                <w:sz w:val="18"/>
                <w:szCs w:val="18"/>
              </w:rPr>
              <w:t>℃</w:t>
            </w:r>
          </w:p>
        </w:tc>
        <w:tc>
          <w:tcPr>
            <w:tcW w:w="993" w:type="dxa"/>
            <w:vAlign w:val="center"/>
          </w:tcPr>
          <w:p w14:paraId="683E3F73">
            <w:pPr>
              <w:rPr>
                <w:rFonts w:eastAsia="黑体"/>
                <w:bCs/>
                <w:sz w:val="18"/>
                <w:szCs w:val="18"/>
              </w:rPr>
            </w:pPr>
            <w:r>
              <w:rPr>
                <w:rFonts w:eastAsia="黑体"/>
                <w:bCs/>
                <w:sz w:val="18"/>
                <w:szCs w:val="18"/>
              </w:rPr>
              <w:t>83.9</w:t>
            </w:r>
          </w:p>
        </w:tc>
        <w:tc>
          <w:tcPr>
            <w:tcW w:w="849" w:type="dxa"/>
            <w:vAlign w:val="center"/>
          </w:tcPr>
          <w:p w14:paraId="7CA309FC">
            <w:pPr>
              <w:jc w:val="center"/>
              <w:rPr>
                <w:rFonts w:eastAsia="黑体"/>
                <w:bCs/>
                <w:sz w:val="18"/>
                <w:szCs w:val="18"/>
              </w:rPr>
            </w:pPr>
            <w:r>
              <w:rPr>
                <w:rFonts w:eastAsia="黑体"/>
                <w:bCs/>
                <w:sz w:val="18"/>
                <w:szCs w:val="18"/>
              </w:rPr>
              <w:t>84</w:t>
            </w:r>
          </w:p>
        </w:tc>
        <w:tc>
          <w:tcPr>
            <w:tcW w:w="850" w:type="dxa"/>
            <w:vAlign w:val="center"/>
          </w:tcPr>
          <w:p w14:paraId="0CEE281E">
            <w:pPr>
              <w:jc w:val="center"/>
              <w:rPr>
                <w:rFonts w:eastAsia="黑体"/>
                <w:bCs/>
                <w:sz w:val="18"/>
                <w:szCs w:val="18"/>
              </w:rPr>
            </w:pPr>
            <w:r>
              <w:rPr>
                <w:rFonts w:eastAsia="黑体"/>
                <w:bCs/>
                <w:sz w:val="18"/>
                <w:szCs w:val="18"/>
              </w:rPr>
              <w:t>84.3</w:t>
            </w:r>
          </w:p>
        </w:tc>
        <w:tc>
          <w:tcPr>
            <w:tcW w:w="853" w:type="dxa"/>
            <w:vAlign w:val="center"/>
          </w:tcPr>
          <w:p w14:paraId="529E0192">
            <w:pPr>
              <w:jc w:val="center"/>
              <w:rPr>
                <w:rFonts w:eastAsia="黑体"/>
                <w:bCs/>
                <w:sz w:val="18"/>
                <w:szCs w:val="18"/>
              </w:rPr>
            </w:pPr>
            <w:r>
              <w:rPr>
                <w:rFonts w:eastAsia="黑体"/>
                <w:bCs/>
                <w:sz w:val="18"/>
                <w:szCs w:val="18"/>
              </w:rPr>
              <w:t>84.8</w:t>
            </w:r>
          </w:p>
        </w:tc>
        <w:tc>
          <w:tcPr>
            <w:tcW w:w="850" w:type="dxa"/>
            <w:vAlign w:val="center"/>
          </w:tcPr>
          <w:p w14:paraId="59B19C9F">
            <w:pPr>
              <w:rPr>
                <w:rFonts w:eastAsia="黑体"/>
                <w:bCs/>
                <w:sz w:val="18"/>
                <w:szCs w:val="18"/>
              </w:rPr>
            </w:pPr>
            <w:r>
              <w:rPr>
                <w:rFonts w:eastAsia="黑体"/>
                <w:bCs/>
                <w:sz w:val="18"/>
                <w:szCs w:val="18"/>
              </w:rPr>
              <w:t>86.7</w:t>
            </w:r>
          </w:p>
        </w:tc>
        <w:tc>
          <w:tcPr>
            <w:tcW w:w="851" w:type="dxa"/>
            <w:vAlign w:val="center"/>
          </w:tcPr>
          <w:p w14:paraId="1D15B08F">
            <w:pPr>
              <w:rPr>
                <w:rFonts w:eastAsia="黑体"/>
                <w:bCs/>
                <w:sz w:val="18"/>
                <w:szCs w:val="18"/>
              </w:rPr>
            </w:pPr>
            <w:r>
              <w:rPr>
                <w:rFonts w:eastAsia="黑体"/>
                <w:bCs/>
                <w:sz w:val="18"/>
                <w:szCs w:val="18"/>
              </w:rPr>
              <w:t>88.6</w:t>
            </w:r>
          </w:p>
        </w:tc>
        <w:tc>
          <w:tcPr>
            <w:tcW w:w="850" w:type="dxa"/>
            <w:vAlign w:val="center"/>
          </w:tcPr>
          <w:p w14:paraId="20F8906F">
            <w:pPr>
              <w:jc w:val="center"/>
              <w:rPr>
                <w:rFonts w:eastAsia="黑体"/>
                <w:bCs/>
                <w:sz w:val="18"/>
                <w:szCs w:val="18"/>
              </w:rPr>
            </w:pPr>
            <w:r>
              <w:rPr>
                <w:rFonts w:eastAsia="黑体"/>
                <w:bCs/>
                <w:sz w:val="18"/>
                <w:szCs w:val="18"/>
              </w:rPr>
              <w:t>90.40</w:t>
            </w:r>
          </w:p>
        </w:tc>
        <w:tc>
          <w:tcPr>
            <w:tcW w:w="851" w:type="dxa"/>
            <w:vAlign w:val="center"/>
          </w:tcPr>
          <w:p w14:paraId="7B7596F6">
            <w:pPr>
              <w:rPr>
                <w:rFonts w:eastAsia="黑体"/>
                <w:bCs/>
                <w:sz w:val="18"/>
                <w:szCs w:val="18"/>
              </w:rPr>
            </w:pPr>
            <w:r>
              <w:rPr>
                <w:rFonts w:eastAsia="黑体"/>
                <w:bCs/>
                <w:sz w:val="18"/>
                <w:szCs w:val="18"/>
              </w:rPr>
              <w:t>93.2</w:t>
            </w:r>
          </w:p>
        </w:tc>
        <w:tc>
          <w:tcPr>
            <w:tcW w:w="850" w:type="dxa"/>
            <w:vAlign w:val="center"/>
          </w:tcPr>
          <w:p w14:paraId="4486C6ED">
            <w:pPr>
              <w:rPr>
                <w:rFonts w:eastAsia="黑体"/>
                <w:bCs/>
                <w:sz w:val="18"/>
                <w:szCs w:val="18"/>
              </w:rPr>
            </w:pPr>
            <w:r>
              <w:rPr>
                <w:rFonts w:eastAsia="黑体"/>
                <w:bCs/>
                <w:sz w:val="18"/>
                <w:szCs w:val="18"/>
              </w:rPr>
              <w:t>97</w:t>
            </w:r>
          </w:p>
        </w:tc>
        <w:tc>
          <w:tcPr>
            <w:tcW w:w="851" w:type="dxa"/>
            <w:vAlign w:val="center"/>
          </w:tcPr>
          <w:p w14:paraId="5EFCAE4A">
            <w:pPr>
              <w:rPr>
                <w:rFonts w:eastAsia="黑体"/>
                <w:bCs/>
                <w:sz w:val="18"/>
                <w:szCs w:val="18"/>
              </w:rPr>
            </w:pPr>
            <w:r>
              <w:rPr>
                <w:rFonts w:eastAsia="黑体"/>
                <w:bCs/>
                <w:sz w:val="18"/>
                <w:szCs w:val="18"/>
              </w:rPr>
              <w:t>102.5</w:t>
            </w:r>
          </w:p>
        </w:tc>
        <w:tc>
          <w:tcPr>
            <w:tcW w:w="850" w:type="dxa"/>
            <w:vAlign w:val="center"/>
          </w:tcPr>
          <w:p w14:paraId="4E2E0CF5">
            <w:pPr>
              <w:rPr>
                <w:rFonts w:eastAsia="黑体"/>
                <w:bCs/>
                <w:sz w:val="18"/>
                <w:szCs w:val="18"/>
              </w:rPr>
            </w:pPr>
            <w:r>
              <w:rPr>
                <w:rFonts w:eastAsia="黑体"/>
                <w:bCs/>
                <w:sz w:val="18"/>
                <w:szCs w:val="18"/>
              </w:rPr>
              <w:t>107.1</w:t>
            </w:r>
          </w:p>
        </w:tc>
        <w:tc>
          <w:tcPr>
            <w:tcW w:w="851" w:type="dxa"/>
            <w:vAlign w:val="center"/>
          </w:tcPr>
          <w:p w14:paraId="063B7EED">
            <w:pPr>
              <w:rPr>
                <w:rFonts w:eastAsia="黑体"/>
                <w:bCs/>
                <w:sz w:val="18"/>
                <w:szCs w:val="18"/>
              </w:rPr>
            </w:pPr>
            <w:r>
              <w:rPr>
                <w:rFonts w:eastAsia="黑体"/>
                <w:bCs/>
                <w:sz w:val="18"/>
                <w:szCs w:val="18"/>
              </w:rPr>
              <w:t>111.7</w:t>
            </w:r>
          </w:p>
        </w:tc>
      </w:tr>
      <w:tr w14:paraId="1195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Align w:val="center"/>
          </w:tcPr>
          <w:p w14:paraId="1010E14F">
            <w:pPr>
              <w:rPr>
                <w:rFonts w:eastAsia="黑体"/>
                <w:bCs/>
                <w:sz w:val="18"/>
                <w:szCs w:val="18"/>
              </w:rPr>
            </w:pPr>
            <w:r>
              <w:rPr>
                <w:rFonts w:eastAsia="黑体"/>
                <w:bCs/>
                <w:sz w:val="18"/>
                <w:szCs w:val="18"/>
              </w:rPr>
              <w:t>40</w:t>
            </w:r>
            <w:r>
              <w:rPr>
                <w:rFonts w:hint="eastAsia" w:eastAsia="黑体"/>
                <w:bCs/>
                <w:sz w:val="18"/>
                <w:szCs w:val="18"/>
              </w:rPr>
              <w:t xml:space="preserve"> </w:t>
            </w:r>
            <w:r>
              <w:rPr>
                <w:rFonts w:eastAsia="黑体"/>
                <w:bCs/>
                <w:sz w:val="18"/>
                <w:szCs w:val="18"/>
              </w:rPr>
              <w:t>℃</w:t>
            </w:r>
          </w:p>
        </w:tc>
        <w:tc>
          <w:tcPr>
            <w:tcW w:w="993" w:type="dxa"/>
            <w:vAlign w:val="center"/>
          </w:tcPr>
          <w:p w14:paraId="209BFE57">
            <w:pPr>
              <w:rPr>
                <w:rFonts w:eastAsia="黑体"/>
                <w:bCs/>
                <w:sz w:val="18"/>
                <w:szCs w:val="18"/>
              </w:rPr>
            </w:pPr>
            <w:r>
              <w:rPr>
                <w:rFonts w:eastAsia="黑体"/>
                <w:bCs/>
                <w:sz w:val="18"/>
                <w:szCs w:val="18"/>
              </w:rPr>
              <w:t>167.4</w:t>
            </w:r>
          </w:p>
        </w:tc>
        <w:tc>
          <w:tcPr>
            <w:tcW w:w="849" w:type="dxa"/>
            <w:vAlign w:val="center"/>
          </w:tcPr>
          <w:p w14:paraId="7FA768AE">
            <w:pPr>
              <w:jc w:val="center"/>
              <w:rPr>
                <w:rFonts w:eastAsia="黑体"/>
                <w:bCs/>
                <w:sz w:val="18"/>
                <w:szCs w:val="18"/>
              </w:rPr>
            </w:pPr>
            <w:r>
              <w:rPr>
                <w:rFonts w:eastAsia="黑体"/>
                <w:bCs/>
                <w:sz w:val="18"/>
                <w:szCs w:val="18"/>
              </w:rPr>
              <w:t>167.5</w:t>
            </w:r>
          </w:p>
        </w:tc>
        <w:tc>
          <w:tcPr>
            <w:tcW w:w="850" w:type="dxa"/>
            <w:vAlign w:val="center"/>
          </w:tcPr>
          <w:p w14:paraId="3BF2D137">
            <w:pPr>
              <w:jc w:val="center"/>
              <w:rPr>
                <w:rFonts w:eastAsia="黑体"/>
                <w:bCs/>
                <w:sz w:val="18"/>
                <w:szCs w:val="18"/>
              </w:rPr>
            </w:pPr>
            <w:r>
              <w:rPr>
                <w:rFonts w:eastAsia="黑体"/>
                <w:bCs/>
                <w:sz w:val="18"/>
                <w:szCs w:val="18"/>
              </w:rPr>
              <w:t>167.9</w:t>
            </w:r>
          </w:p>
        </w:tc>
        <w:tc>
          <w:tcPr>
            <w:tcW w:w="853" w:type="dxa"/>
            <w:vAlign w:val="center"/>
          </w:tcPr>
          <w:p w14:paraId="01621E57">
            <w:pPr>
              <w:jc w:val="center"/>
              <w:rPr>
                <w:rFonts w:eastAsia="黑体"/>
                <w:bCs/>
                <w:sz w:val="18"/>
                <w:szCs w:val="18"/>
              </w:rPr>
            </w:pPr>
            <w:r>
              <w:rPr>
                <w:rFonts w:eastAsia="黑体"/>
                <w:bCs/>
                <w:sz w:val="18"/>
                <w:szCs w:val="18"/>
              </w:rPr>
              <w:t>168.3</w:t>
            </w:r>
          </w:p>
        </w:tc>
        <w:tc>
          <w:tcPr>
            <w:tcW w:w="850" w:type="dxa"/>
            <w:vAlign w:val="center"/>
          </w:tcPr>
          <w:p w14:paraId="39877118">
            <w:pPr>
              <w:rPr>
                <w:rFonts w:eastAsia="黑体"/>
                <w:bCs/>
                <w:sz w:val="18"/>
                <w:szCs w:val="18"/>
              </w:rPr>
            </w:pPr>
            <w:r>
              <w:rPr>
                <w:rFonts w:eastAsia="黑体"/>
                <w:bCs/>
                <w:sz w:val="18"/>
                <w:szCs w:val="18"/>
              </w:rPr>
              <w:t>170.1</w:t>
            </w:r>
          </w:p>
        </w:tc>
        <w:tc>
          <w:tcPr>
            <w:tcW w:w="851" w:type="dxa"/>
            <w:vAlign w:val="center"/>
          </w:tcPr>
          <w:p w14:paraId="4615A671">
            <w:pPr>
              <w:rPr>
                <w:rFonts w:eastAsia="黑体"/>
                <w:bCs/>
                <w:sz w:val="18"/>
                <w:szCs w:val="18"/>
              </w:rPr>
            </w:pPr>
            <w:r>
              <w:rPr>
                <w:rFonts w:eastAsia="黑体"/>
                <w:bCs/>
                <w:sz w:val="18"/>
                <w:szCs w:val="18"/>
              </w:rPr>
              <w:t>171.9</w:t>
            </w:r>
          </w:p>
        </w:tc>
        <w:tc>
          <w:tcPr>
            <w:tcW w:w="850" w:type="dxa"/>
            <w:vAlign w:val="center"/>
          </w:tcPr>
          <w:p w14:paraId="5F8CCB5E">
            <w:pPr>
              <w:jc w:val="center"/>
              <w:rPr>
                <w:rFonts w:eastAsia="黑体"/>
                <w:bCs/>
                <w:sz w:val="18"/>
                <w:szCs w:val="18"/>
              </w:rPr>
            </w:pPr>
            <w:r>
              <w:rPr>
                <w:rFonts w:eastAsia="黑体"/>
                <w:bCs/>
                <w:sz w:val="18"/>
                <w:szCs w:val="18"/>
              </w:rPr>
              <w:t>173.6</w:t>
            </w:r>
          </w:p>
        </w:tc>
        <w:tc>
          <w:tcPr>
            <w:tcW w:w="851" w:type="dxa"/>
            <w:vAlign w:val="center"/>
          </w:tcPr>
          <w:p w14:paraId="5FB5851B">
            <w:pPr>
              <w:rPr>
                <w:rFonts w:eastAsia="黑体"/>
                <w:bCs/>
                <w:sz w:val="18"/>
                <w:szCs w:val="18"/>
              </w:rPr>
            </w:pPr>
            <w:r>
              <w:rPr>
                <w:rFonts w:eastAsia="黑体"/>
                <w:bCs/>
                <w:sz w:val="18"/>
                <w:szCs w:val="18"/>
              </w:rPr>
              <w:t>176.3</w:t>
            </w:r>
          </w:p>
        </w:tc>
        <w:tc>
          <w:tcPr>
            <w:tcW w:w="850" w:type="dxa"/>
            <w:vAlign w:val="center"/>
          </w:tcPr>
          <w:p w14:paraId="4F639C0B">
            <w:pPr>
              <w:rPr>
                <w:rFonts w:eastAsia="黑体"/>
                <w:bCs/>
                <w:sz w:val="18"/>
                <w:szCs w:val="18"/>
              </w:rPr>
            </w:pPr>
            <w:r>
              <w:rPr>
                <w:rFonts w:eastAsia="黑体"/>
                <w:bCs/>
                <w:sz w:val="18"/>
                <w:szCs w:val="18"/>
              </w:rPr>
              <w:t>179.8</w:t>
            </w:r>
          </w:p>
        </w:tc>
        <w:tc>
          <w:tcPr>
            <w:tcW w:w="851" w:type="dxa"/>
            <w:vAlign w:val="center"/>
          </w:tcPr>
          <w:p w14:paraId="72DF2B39">
            <w:pPr>
              <w:rPr>
                <w:rFonts w:eastAsia="黑体"/>
                <w:bCs/>
                <w:sz w:val="18"/>
                <w:szCs w:val="18"/>
              </w:rPr>
            </w:pPr>
            <w:r>
              <w:rPr>
                <w:rFonts w:eastAsia="黑体"/>
                <w:bCs/>
                <w:sz w:val="18"/>
                <w:szCs w:val="18"/>
              </w:rPr>
              <w:t>185.1</w:t>
            </w:r>
          </w:p>
        </w:tc>
        <w:tc>
          <w:tcPr>
            <w:tcW w:w="850" w:type="dxa"/>
            <w:vAlign w:val="center"/>
          </w:tcPr>
          <w:p w14:paraId="5C11DB0F">
            <w:pPr>
              <w:rPr>
                <w:rFonts w:eastAsia="黑体"/>
                <w:bCs/>
                <w:sz w:val="18"/>
                <w:szCs w:val="18"/>
              </w:rPr>
            </w:pPr>
            <w:r>
              <w:rPr>
                <w:rFonts w:eastAsia="黑体"/>
                <w:bCs/>
                <w:sz w:val="18"/>
                <w:szCs w:val="18"/>
              </w:rPr>
              <w:t>189.4</w:t>
            </w:r>
          </w:p>
        </w:tc>
        <w:tc>
          <w:tcPr>
            <w:tcW w:w="851" w:type="dxa"/>
            <w:vAlign w:val="center"/>
          </w:tcPr>
          <w:p w14:paraId="7DA6A492">
            <w:pPr>
              <w:rPr>
                <w:rFonts w:eastAsia="黑体"/>
                <w:bCs/>
                <w:sz w:val="18"/>
                <w:szCs w:val="18"/>
              </w:rPr>
            </w:pPr>
            <w:r>
              <w:rPr>
                <w:rFonts w:eastAsia="黑体"/>
                <w:bCs/>
                <w:sz w:val="18"/>
                <w:szCs w:val="18"/>
              </w:rPr>
              <w:t>193.8</w:t>
            </w:r>
          </w:p>
        </w:tc>
      </w:tr>
      <w:tr w14:paraId="71034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Align w:val="center"/>
          </w:tcPr>
          <w:p w14:paraId="162CAFD9">
            <w:pPr>
              <w:rPr>
                <w:rFonts w:eastAsia="黑体"/>
                <w:bCs/>
                <w:sz w:val="18"/>
                <w:szCs w:val="18"/>
              </w:rPr>
            </w:pPr>
            <w:r>
              <w:rPr>
                <w:rFonts w:eastAsia="黑体"/>
                <w:bCs/>
                <w:sz w:val="18"/>
                <w:szCs w:val="18"/>
              </w:rPr>
              <w:t>60</w:t>
            </w:r>
            <w:r>
              <w:rPr>
                <w:rFonts w:hint="eastAsia" w:eastAsia="黑体"/>
                <w:bCs/>
                <w:sz w:val="18"/>
                <w:szCs w:val="18"/>
              </w:rPr>
              <w:t xml:space="preserve"> </w:t>
            </w:r>
            <w:r>
              <w:rPr>
                <w:rFonts w:eastAsia="黑体"/>
                <w:bCs/>
                <w:sz w:val="18"/>
                <w:szCs w:val="18"/>
              </w:rPr>
              <w:t>℃</w:t>
            </w:r>
          </w:p>
        </w:tc>
        <w:tc>
          <w:tcPr>
            <w:tcW w:w="993" w:type="dxa"/>
            <w:vAlign w:val="center"/>
          </w:tcPr>
          <w:p w14:paraId="61EAC6A1">
            <w:pPr>
              <w:rPr>
                <w:rFonts w:eastAsia="黑体"/>
                <w:bCs/>
                <w:sz w:val="18"/>
                <w:szCs w:val="18"/>
              </w:rPr>
            </w:pPr>
            <w:r>
              <w:rPr>
                <w:rFonts w:eastAsia="黑体"/>
                <w:bCs/>
                <w:sz w:val="18"/>
                <w:szCs w:val="18"/>
              </w:rPr>
              <w:t>2611.3</w:t>
            </w:r>
          </w:p>
        </w:tc>
        <w:tc>
          <w:tcPr>
            <w:tcW w:w="849" w:type="dxa"/>
            <w:vAlign w:val="center"/>
          </w:tcPr>
          <w:p w14:paraId="0F50840F">
            <w:pPr>
              <w:jc w:val="center"/>
              <w:rPr>
                <w:rFonts w:eastAsia="黑体"/>
                <w:bCs/>
                <w:sz w:val="18"/>
                <w:szCs w:val="18"/>
              </w:rPr>
            </w:pPr>
            <w:r>
              <w:rPr>
                <w:rFonts w:eastAsia="黑体"/>
                <w:bCs/>
                <w:sz w:val="18"/>
                <w:szCs w:val="18"/>
              </w:rPr>
              <w:t>251.2</w:t>
            </w:r>
          </w:p>
        </w:tc>
        <w:tc>
          <w:tcPr>
            <w:tcW w:w="850" w:type="dxa"/>
            <w:vAlign w:val="center"/>
          </w:tcPr>
          <w:p w14:paraId="15035F27">
            <w:pPr>
              <w:jc w:val="center"/>
              <w:rPr>
                <w:rFonts w:eastAsia="黑体"/>
                <w:bCs/>
                <w:sz w:val="18"/>
                <w:szCs w:val="18"/>
              </w:rPr>
            </w:pPr>
            <w:r>
              <w:rPr>
                <w:rFonts w:eastAsia="黑体"/>
                <w:bCs/>
                <w:sz w:val="18"/>
                <w:szCs w:val="18"/>
              </w:rPr>
              <w:t>251.2</w:t>
            </w:r>
          </w:p>
        </w:tc>
        <w:tc>
          <w:tcPr>
            <w:tcW w:w="853" w:type="dxa"/>
            <w:vAlign w:val="center"/>
          </w:tcPr>
          <w:p w14:paraId="44ABB069">
            <w:pPr>
              <w:jc w:val="center"/>
              <w:rPr>
                <w:rFonts w:eastAsia="黑体"/>
                <w:bCs/>
                <w:sz w:val="18"/>
                <w:szCs w:val="18"/>
              </w:rPr>
            </w:pPr>
            <w:r>
              <w:rPr>
                <w:rFonts w:eastAsia="黑体"/>
                <w:bCs/>
                <w:sz w:val="18"/>
                <w:szCs w:val="18"/>
              </w:rPr>
              <w:t>251.9</w:t>
            </w:r>
          </w:p>
        </w:tc>
        <w:tc>
          <w:tcPr>
            <w:tcW w:w="850" w:type="dxa"/>
            <w:vAlign w:val="center"/>
          </w:tcPr>
          <w:p w14:paraId="14F6E29D">
            <w:pPr>
              <w:rPr>
                <w:rFonts w:eastAsia="黑体"/>
                <w:bCs/>
                <w:sz w:val="18"/>
                <w:szCs w:val="18"/>
              </w:rPr>
            </w:pPr>
            <w:r>
              <w:rPr>
                <w:rFonts w:eastAsia="黑体"/>
                <w:bCs/>
                <w:sz w:val="18"/>
                <w:szCs w:val="18"/>
              </w:rPr>
              <w:t>253.6</w:t>
            </w:r>
          </w:p>
        </w:tc>
        <w:tc>
          <w:tcPr>
            <w:tcW w:w="851" w:type="dxa"/>
            <w:vAlign w:val="center"/>
          </w:tcPr>
          <w:p w14:paraId="2A91808F">
            <w:pPr>
              <w:rPr>
                <w:rFonts w:eastAsia="黑体"/>
                <w:bCs/>
                <w:sz w:val="18"/>
                <w:szCs w:val="18"/>
              </w:rPr>
            </w:pPr>
            <w:r>
              <w:rPr>
                <w:rFonts w:eastAsia="黑体"/>
                <w:bCs/>
                <w:sz w:val="18"/>
                <w:szCs w:val="18"/>
              </w:rPr>
              <w:t>255.3</w:t>
            </w:r>
          </w:p>
        </w:tc>
        <w:tc>
          <w:tcPr>
            <w:tcW w:w="850" w:type="dxa"/>
            <w:vAlign w:val="center"/>
          </w:tcPr>
          <w:p w14:paraId="0344C676">
            <w:pPr>
              <w:jc w:val="center"/>
              <w:rPr>
                <w:rFonts w:eastAsia="黑体"/>
                <w:bCs/>
                <w:sz w:val="18"/>
                <w:szCs w:val="18"/>
              </w:rPr>
            </w:pPr>
            <w:r>
              <w:rPr>
                <w:rFonts w:eastAsia="黑体"/>
                <w:bCs/>
                <w:sz w:val="18"/>
                <w:szCs w:val="18"/>
              </w:rPr>
              <w:t>256.9</w:t>
            </w:r>
          </w:p>
        </w:tc>
        <w:tc>
          <w:tcPr>
            <w:tcW w:w="851" w:type="dxa"/>
            <w:vAlign w:val="center"/>
          </w:tcPr>
          <w:p w14:paraId="6351416D">
            <w:pPr>
              <w:rPr>
                <w:rFonts w:eastAsia="黑体"/>
                <w:bCs/>
                <w:sz w:val="18"/>
                <w:szCs w:val="18"/>
              </w:rPr>
            </w:pPr>
            <w:r>
              <w:rPr>
                <w:rFonts w:eastAsia="黑体"/>
                <w:bCs/>
                <w:sz w:val="18"/>
                <w:szCs w:val="18"/>
              </w:rPr>
              <w:t>259.4</w:t>
            </w:r>
          </w:p>
        </w:tc>
        <w:tc>
          <w:tcPr>
            <w:tcW w:w="850" w:type="dxa"/>
            <w:vAlign w:val="center"/>
          </w:tcPr>
          <w:p w14:paraId="53BB0D95">
            <w:pPr>
              <w:rPr>
                <w:rFonts w:eastAsia="黑体"/>
                <w:bCs/>
                <w:sz w:val="18"/>
                <w:szCs w:val="18"/>
              </w:rPr>
            </w:pPr>
            <w:r>
              <w:rPr>
                <w:rFonts w:eastAsia="黑体"/>
                <w:bCs/>
                <w:sz w:val="18"/>
                <w:szCs w:val="18"/>
              </w:rPr>
              <w:t>262.8</w:t>
            </w:r>
          </w:p>
        </w:tc>
        <w:tc>
          <w:tcPr>
            <w:tcW w:w="851" w:type="dxa"/>
            <w:vAlign w:val="center"/>
          </w:tcPr>
          <w:p w14:paraId="55A4AEBB">
            <w:pPr>
              <w:rPr>
                <w:rFonts w:eastAsia="黑体"/>
                <w:bCs/>
                <w:sz w:val="18"/>
                <w:szCs w:val="18"/>
              </w:rPr>
            </w:pPr>
            <w:r>
              <w:rPr>
                <w:rFonts w:eastAsia="黑体"/>
                <w:bCs/>
                <w:sz w:val="18"/>
                <w:szCs w:val="18"/>
              </w:rPr>
              <w:t>267.8</w:t>
            </w:r>
          </w:p>
        </w:tc>
        <w:tc>
          <w:tcPr>
            <w:tcW w:w="850" w:type="dxa"/>
            <w:vAlign w:val="center"/>
          </w:tcPr>
          <w:p w14:paraId="1F36E156">
            <w:pPr>
              <w:rPr>
                <w:rFonts w:eastAsia="黑体"/>
                <w:bCs/>
                <w:sz w:val="18"/>
                <w:szCs w:val="18"/>
              </w:rPr>
            </w:pPr>
            <w:r>
              <w:rPr>
                <w:rFonts w:eastAsia="黑体"/>
                <w:bCs/>
                <w:sz w:val="18"/>
                <w:szCs w:val="18"/>
              </w:rPr>
              <w:t>272</w:t>
            </w:r>
          </w:p>
        </w:tc>
        <w:tc>
          <w:tcPr>
            <w:tcW w:w="851" w:type="dxa"/>
            <w:vAlign w:val="center"/>
          </w:tcPr>
          <w:p w14:paraId="53344A72">
            <w:pPr>
              <w:rPr>
                <w:rFonts w:eastAsia="黑体"/>
                <w:bCs/>
                <w:sz w:val="18"/>
                <w:szCs w:val="18"/>
              </w:rPr>
            </w:pPr>
            <w:r>
              <w:rPr>
                <w:rFonts w:eastAsia="黑体"/>
                <w:bCs/>
                <w:sz w:val="18"/>
                <w:szCs w:val="18"/>
              </w:rPr>
              <w:t>276.1</w:t>
            </w:r>
          </w:p>
        </w:tc>
      </w:tr>
      <w:tr w14:paraId="1A83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Align w:val="center"/>
          </w:tcPr>
          <w:p w14:paraId="657AA290">
            <w:pPr>
              <w:rPr>
                <w:rFonts w:eastAsia="黑体"/>
                <w:bCs/>
                <w:sz w:val="18"/>
                <w:szCs w:val="18"/>
              </w:rPr>
            </w:pPr>
            <w:r>
              <w:rPr>
                <w:rFonts w:eastAsia="黑体"/>
                <w:bCs/>
                <w:sz w:val="18"/>
                <w:szCs w:val="18"/>
              </w:rPr>
              <w:t>80</w:t>
            </w:r>
            <w:r>
              <w:rPr>
                <w:rFonts w:hint="eastAsia" w:eastAsia="黑体"/>
                <w:bCs/>
                <w:sz w:val="18"/>
                <w:szCs w:val="18"/>
              </w:rPr>
              <w:t xml:space="preserve"> </w:t>
            </w:r>
            <w:r>
              <w:rPr>
                <w:rFonts w:eastAsia="黑体"/>
                <w:bCs/>
                <w:sz w:val="18"/>
                <w:szCs w:val="18"/>
              </w:rPr>
              <w:t>℃</w:t>
            </w:r>
          </w:p>
        </w:tc>
        <w:tc>
          <w:tcPr>
            <w:tcW w:w="993" w:type="dxa"/>
            <w:vAlign w:val="center"/>
          </w:tcPr>
          <w:p w14:paraId="70D710DC">
            <w:pPr>
              <w:rPr>
                <w:rFonts w:eastAsia="黑体"/>
                <w:bCs/>
                <w:sz w:val="18"/>
                <w:szCs w:val="18"/>
              </w:rPr>
            </w:pPr>
            <w:r>
              <w:rPr>
                <w:rFonts w:eastAsia="黑体"/>
                <w:bCs/>
                <w:sz w:val="18"/>
                <w:szCs w:val="18"/>
              </w:rPr>
              <w:t>2649.3</w:t>
            </w:r>
          </w:p>
        </w:tc>
        <w:tc>
          <w:tcPr>
            <w:tcW w:w="849" w:type="dxa"/>
            <w:vAlign w:val="center"/>
          </w:tcPr>
          <w:p w14:paraId="6464B74D">
            <w:pPr>
              <w:jc w:val="center"/>
              <w:rPr>
                <w:rFonts w:eastAsia="黑体"/>
                <w:bCs/>
                <w:sz w:val="18"/>
                <w:szCs w:val="18"/>
              </w:rPr>
            </w:pPr>
            <w:r>
              <w:rPr>
                <w:rFonts w:eastAsia="黑体"/>
                <w:bCs/>
                <w:sz w:val="18"/>
                <w:szCs w:val="18"/>
              </w:rPr>
              <w:t>335</w:t>
            </w:r>
          </w:p>
        </w:tc>
        <w:tc>
          <w:tcPr>
            <w:tcW w:w="850" w:type="dxa"/>
            <w:vAlign w:val="center"/>
          </w:tcPr>
          <w:p w14:paraId="1B411939">
            <w:pPr>
              <w:jc w:val="center"/>
              <w:rPr>
                <w:rFonts w:eastAsia="黑体"/>
                <w:bCs/>
                <w:sz w:val="18"/>
                <w:szCs w:val="18"/>
              </w:rPr>
            </w:pPr>
            <w:r>
              <w:rPr>
                <w:rFonts w:eastAsia="黑体"/>
                <w:bCs/>
                <w:sz w:val="18"/>
                <w:szCs w:val="18"/>
              </w:rPr>
              <w:t>335.3</w:t>
            </w:r>
          </w:p>
        </w:tc>
        <w:tc>
          <w:tcPr>
            <w:tcW w:w="853" w:type="dxa"/>
            <w:vAlign w:val="center"/>
          </w:tcPr>
          <w:p w14:paraId="69E4E7C2">
            <w:pPr>
              <w:jc w:val="center"/>
              <w:rPr>
                <w:rFonts w:eastAsia="黑体"/>
                <w:bCs/>
                <w:sz w:val="18"/>
                <w:szCs w:val="18"/>
              </w:rPr>
            </w:pPr>
            <w:r>
              <w:rPr>
                <w:rFonts w:eastAsia="黑体"/>
                <w:bCs/>
                <w:sz w:val="18"/>
                <w:szCs w:val="18"/>
              </w:rPr>
              <w:t>335.7</w:t>
            </w:r>
          </w:p>
        </w:tc>
        <w:tc>
          <w:tcPr>
            <w:tcW w:w="850" w:type="dxa"/>
            <w:vAlign w:val="center"/>
          </w:tcPr>
          <w:p w14:paraId="0E8D14CF">
            <w:pPr>
              <w:rPr>
                <w:rFonts w:eastAsia="黑体"/>
                <w:bCs/>
                <w:sz w:val="18"/>
                <w:szCs w:val="18"/>
              </w:rPr>
            </w:pPr>
            <w:r>
              <w:rPr>
                <w:rFonts w:eastAsia="黑体"/>
                <w:bCs/>
                <w:sz w:val="18"/>
                <w:szCs w:val="18"/>
              </w:rPr>
              <w:t>337.3</w:t>
            </w:r>
          </w:p>
        </w:tc>
        <w:tc>
          <w:tcPr>
            <w:tcW w:w="851" w:type="dxa"/>
            <w:vAlign w:val="center"/>
          </w:tcPr>
          <w:p w14:paraId="4353DCA0">
            <w:pPr>
              <w:rPr>
                <w:rFonts w:eastAsia="黑体"/>
                <w:bCs/>
                <w:sz w:val="18"/>
                <w:szCs w:val="18"/>
              </w:rPr>
            </w:pPr>
            <w:r>
              <w:rPr>
                <w:rFonts w:eastAsia="黑体"/>
                <w:bCs/>
                <w:sz w:val="18"/>
                <w:szCs w:val="18"/>
              </w:rPr>
              <w:t>338.8</w:t>
            </w:r>
          </w:p>
        </w:tc>
        <w:tc>
          <w:tcPr>
            <w:tcW w:w="850" w:type="dxa"/>
            <w:vAlign w:val="center"/>
          </w:tcPr>
          <w:p w14:paraId="39720391">
            <w:pPr>
              <w:jc w:val="center"/>
              <w:rPr>
                <w:rFonts w:eastAsia="黑体"/>
                <w:bCs/>
                <w:sz w:val="18"/>
                <w:szCs w:val="18"/>
              </w:rPr>
            </w:pPr>
            <w:r>
              <w:rPr>
                <w:rFonts w:eastAsia="黑体"/>
                <w:bCs/>
                <w:sz w:val="18"/>
                <w:szCs w:val="18"/>
              </w:rPr>
              <w:t>340.4</w:t>
            </w:r>
          </w:p>
        </w:tc>
        <w:tc>
          <w:tcPr>
            <w:tcW w:w="851" w:type="dxa"/>
            <w:vAlign w:val="center"/>
          </w:tcPr>
          <w:p w14:paraId="584CD592">
            <w:pPr>
              <w:rPr>
                <w:rFonts w:eastAsia="黑体"/>
                <w:bCs/>
                <w:sz w:val="18"/>
                <w:szCs w:val="18"/>
              </w:rPr>
            </w:pPr>
            <w:r>
              <w:rPr>
                <w:rFonts w:eastAsia="黑体"/>
                <w:bCs/>
                <w:sz w:val="18"/>
                <w:szCs w:val="18"/>
              </w:rPr>
              <w:t>342.8</w:t>
            </w:r>
          </w:p>
        </w:tc>
        <w:tc>
          <w:tcPr>
            <w:tcW w:w="850" w:type="dxa"/>
            <w:vAlign w:val="center"/>
          </w:tcPr>
          <w:p w14:paraId="570D117A">
            <w:pPr>
              <w:rPr>
                <w:rFonts w:eastAsia="黑体"/>
                <w:bCs/>
                <w:sz w:val="18"/>
                <w:szCs w:val="18"/>
              </w:rPr>
            </w:pPr>
            <w:r>
              <w:rPr>
                <w:rFonts w:eastAsia="黑体"/>
                <w:bCs/>
                <w:sz w:val="18"/>
                <w:szCs w:val="18"/>
              </w:rPr>
              <w:t>346</w:t>
            </w:r>
          </w:p>
        </w:tc>
        <w:tc>
          <w:tcPr>
            <w:tcW w:w="851" w:type="dxa"/>
            <w:vAlign w:val="center"/>
          </w:tcPr>
          <w:p w14:paraId="1F59B410">
            <w:pPr>
              <w:rPr>
                <w:rFonts w:eastAsia="黑体"/>
                <w:bCs/>
                <w:sz w:val="18"/>
                <w:szCs w:val="18"/>
              </w:rPr>
            </w:pPr>
            <w:r>
              <w:rPr>
                <w:rFonts w:eastAsia="黑体"/>
                <w:bCs/>
                <w:sz w:val="18"/>
                <w:szCs w:val="18"/>
              </w:rPr>
              <w:t>350.8</w:t>
            </w:r>
          </w:p>
        </w:tc>
        <w:tc>
          <w:tcPr>
            <w:tcW w:w="850" w:type="dxa"/>
            <w:vAlign w:val="center"/>
          </w:tcPr>
          <w:p w14:paraId="3D941435">
            <w:pPr>
              <w:rPr>
                <w:rFonts w:eastAsia="黑体"/>
                <w:bCs/>
                <w:sz w:val="18"/>
                <w:szCs w:val="18"/>
              </w:rPr>
            </w:pPr>
            <w:r>
              <w:rPr>
                <w:rFonts w:eastAsia="黑体"/>
                <w:bCs/>
                <w:sz w:val="18"/>
                <w:szCs w:val="18"/>
              </w:rPr>
              <w:t>354.8</w:t>
            </w:r>
          </w:p>
        </w:tc>
        <w:tc>
          <w:tcPr>
            <w:tcW w:w="851" w:type="dxa"/>
            <w:vAlign w:val="center"/>
          </w:tcPr>
          <w:p w14:paraId="2CDC0117">
            <w:pPr>
              <w:rPr>
                <w:rFonts w:eastAsia="黑体"/>
                <w:bCs/>
                <w:sz w:val="18"/>
                <w:szCs w:val="18"/>
              </w:rPr>
            </w:pPr>
            <w:r>
              <w:rPr>
                <w:rFonts w:eastAsia="黑体"/>
                <w:bCs/>
                <w:sz w:val="18"/>
                <w:szCs w:val="18"/>
              </w:rPr>
              <w:t>358.7</w:t>
            </w:r>
          </w:p>
        </w:tc>
      </w:tr>
      <w:tr w14:paraId="795A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Align w:val="center"/>
          </w:tcPr>
          <w:p w14:paraId="629FFAEF">
            <w:pPr>
              <w:rPr>
                <w:rFonts w:eastAsia="黑体"/>
                <w:bCs/>
                <w:sz w:val="18"/>
                <w:szCs w:val="18"/>
              </w:rPr>
            </w:pPr>
            <w:r>
              <w:rPr>
                <w:rFonts w:eastAsia="黑体"/>
                <w:bCs/>
                <w:sz w:val="18"/>
                <w:szCs w:val="18"/>
              </w:rPr>
              <w:t>100</w:t>
            </w:r>
            <w:r>
              <w:rPr>
                <w:rFonts w:hint="eastAsia" w:eastAsia="黑体"/>
                <w:bCs/>
                <w:sz w:val="18"/>
                <w:szCs w:val="18"/>
              </w:rPr>
              <w:t xml:space="preserve"> </w:t>
            </w:r>
            <w:r>
              <w:rPr>
                <w:rFonts w:eastAsia="黑体"/>
                <w:bCs/>
                <w:sz w:val="18"/>
                <w:szCs w:val="18"/>
              </w:rPr>
              <w:t>℃</w:t>
            </w:r>
          </w:p>
        </w:tc>
        <w:tc>
          <w:tcPr>
            <w:tcW w:w="993" w:type="dxa"/>
            <w:vAlign w:val="center"/>
          </w:tcPr>
          <w:p w14:paraId="7D83A32E">
            <w:pPr>
              <w:rPr>
                <w:rFonts w:eastAsia="黑体"/>
                <w:bCs/>
                <w:sz w:val="18"/>
                <w:szCs w:val="18"/>
              </w:rPr>
            </w:pPr>
            <w:r>
              <w:rPr>
                <w:rFonts w:eastAsia="黑体"/>
                <w:bCs/>
                <w:sz w:val="18"/>
                <w:szCs w:val="18"/>
              </w:rPr>
              <w:t>2687.3</w:t>
            </w:r>
          </w:p>
        </w:tc>
        <w:tc>
          <w:tcPr>
            <w:tcW w:w="849" w:type="dxa"/>
            <w:vAlign w:val="center"/>
          </w:tcPr>
          <w:p w14:paraId="1E60090B">
            <w:pPr>
              <w:jc w:val="center"/>
              <w:rPr>
                <w:rFonts w:eastAsia="黑体"/>
                <w:bCs/>
                <w:sz w:val="18"/>
                <w:szCs w:val="18"/>
              </w:rPr>
            </w:pPr>
            <w:r>
              <w:rPr>
                <w:rFonts w:eastAsia="黑体"/>
                <w:bCs/>
                <w:sz w:val="18"/>
                <w:szCs w:val="18"/>
              </w:rPr>
              <w:t>2676.5</w:t>
            </w:r>
          </w:p>
        </w:tc>
        <w:tc>
          <w:tcPr>
            <w:tcW w:w="850" w:type="dxa"/>
            <w:vAlign w:val="center"/>
          </w:tcPr>
          <w:p w14:paraId="01A752DA">
            <w:pPr>
              <w:jc w:val="center"/>
              <w:rPr>
                <w:rFonts w:eastAsia="黑体"/>
                <w:bCs/>
                <w:sz w:val="18"/>
                <w:szCs w:val="18"/>
              </w:rPr>
            </w:pPr>
            <w:r>
              <w:rPr>
                <w:rFonts w:eastAsia="黑体"/>
                <w:bCs/>
                <w:sz w:val="18"/>
                <w:szCs w:val="18"/>
              </w:rPr>
              <w:t>419.4</w:t>
            </w:r>
          </w:p>
        </w:tc>
        <w:tc>
          <w:tcPr>
            <w:tcW w:w="853" w:type="dxa"/>
            <w:vAlign w:val="center"/>
          </w:tcPr>
          <w:p w14:paraId="2E419B58">
            <w:pPr>
              <w:jc w:val="center"/>
              <w:rPr>
                <w:rFonts w:eastAsia="黑体"/>
                <w:bCs/>
                <w:sz w:val="18"/>
                <w:szCs w:val="18"/>
              </w:rPr>
            </w:pPr>
            <w:r>
              <w:rPr>
                <w:rFonts w:eastAsia="黑体"/>
                <w:bCs/>
                <w:sz w:val="18"/>
                <w:szCs w:val="18"/>
              </w:rPr>
              <w:t>419.7</w:t>
            </w:r>
          </w:p>
        </w:tc>
        <w:tc>
          <w:tcPr>
            <w:tcW w:w="850" w:type="dxa"/>
            <w:vAlign w:val="center"/>
          </w:tcPr>
          <w:p w14:paraId="44BEA476">
            <w:pPr>
              <w:rPr>
                <w:rFonts w:eastAsia="黑体"/>
                <w:bCs/>
                <w:sz w:val="18"/>
                <w:szCs w:val="18"/>
              </w:rPr>
            </w:pPr>
            <w:r>
              <w:rPr>
                <w:rFonts w:eastAsia="黑体"/>
                <w:bCs/>
                <w:sz w:val="18"/>
                <w:szCs w:val="18"/>
              </w:rPr>
              <w:t>421.2</w:t>
            </w:r>
          </w:p>
        </w:tc>
        <w:tc>
          <w:tcPr>
            <w:tcW w:w="851" w:type="dxa"/>
            <w:vAlign w:val="center"/>
          </w:tcPr>
          <w:p w14:paraId="4E328DF6">
            <w:pPr>
              <w:rPr>
                <w:rFonts w:eastAsia="黑体"/>
                <w:bCs/>
                <w:sz w:val="18"/>
                <w:szCs w:val="18"/>
              </w:rPr>
            </w:pPr>
            <w:r>
              <w:rPr>
                <w:rFonts w:eastAsia="黑体"/>
                <w:bCs/>
                <w:sz w:val="18"/>
                <w:szCs w:val="18"/>
              </w:rPr>
              <w:t>422.7</w:t>
            </w:r>
          </w:p>
        </w:tc>
        <w:tc>
          <w:tcPr>
            <w:tcW w:w="850" w:type="dxa"/>
            <w:vAlign w:val="center"/>
          </w:tcPr>
          <w:p w14:paraId="3764A1B1">
            <w:pPr>
              <w:jc w:val="center"/>
              <w:rPr>
                <w:rFonts w:eastAsia="黑体"/>
                <w:bCs/>
                <w:sz w:val="18"/>
                <w:szCs w:val="18"/>
              </w:rPr>
            </w:pPr>
            <w:r>
              <w:rPr>
                <w:rFonts w:eastAsia="黑体"/>
                <w:bCs/>
                <w:sz w:val="18"/>
                <w:szCs w:val="18"/>
              </w:rPr>
              <w:t>424.2</w:t>
            </w:r>
          </w:p>
        </w:tc>
        <w:tc>
          <w:tcPr>
            <w:tcW w:w="851" w:type="dxa"/>
            <w:vAlign w:val="center"/>
          </w:tcPr>
          <w:p w14:paraId="26C9FAB6">
            <w:pPr>
              <w:rPr>
                <w:rFonts w:eastAsia="黑体"/>
                <w:bCs/>
                <w:sz w:val="18"/>
                <w:szCs w:val="18"/>
              </w:rPr>
            </w:pPr>
            <w:r>
              <w:rPr>
                <w:rFonts w:eastAsia="黑体"/>
                <w:bCs/>
                <w:sz w:val="18"/>
                <w:szCs w:val="18"/>
              </w:rPr>
              <w:t>426.5</w:t>
            </w:r>
          </w:p>
        </w:tc>
        <w:tc>
          <w:tcPr>
            <w:tcW w:w="850" w:type="dxa"/>
            <w:vAlign w:val="center"/>
          </w:tcPr>
          <w:p w14:paraId="387B8849">
            <w:pPr>
              <w:rPr>
                <w:rFonts w:eastAsia="黑体"/>
                <w:bCs/>
                <w:sz w:val="18"/>
                <w:szCs w:val="18"/>
              </w:rPr>
            </w:pPr>
            <w:r>
              <w:rPr>
                <w:rFonts w:eastAsia="黑体"/>
                <w:bCs/>
                <w:sz w:val="18"/>
                <w:szCs w:val="18"/>
              </w:rPr>
              <w:t>429.5</w:t>
            </w:r>
          </w:p>
        </w:tc>
        <w:tc>
          <w:tcPr>
            <w:tcW w:w="851" w:type="dxa"/>
            <w:vAlign w:val="center"/>
          </w:tcPr>
          <w:p w14:paraId="57EAD544">
            <w:pPr>
              <w:rPr>
                <w:rFonts w:eastAsia="黑体"/>
                <w:bCs/>
                <w:sz w:val="18"/>
                <w:szCs w:val="18"/>
              </w:rPr>
            </w:pPr>
            <w:r>
              <w:rPr>
                <w:rFonts w:eastAsia="黑体"/>
                <w:bCs/>
                <w:sz w:val="18"/>
                <w:szCs w:val="18"/>
              </w:rPr>
              <w:t>434</w:t>
            </w:r>
          </w:p>
        </w:tc>
        <w:tc>
          <w:tcPr>
            <w:tcW w:w="850" w:type="dxa"/>
            <w:vAlign w:val="center"/>
          </w:tcPr>
          <w:p w14:paraId="17469863">
            <w:pPr>
              <w:rPr>
                <w:rFonts w:eastAsia="黑体"/>
                <w:bCs/>
                <w:sz w:val="18"/>
                <w:szCs w:val="18"/>
              </w:rPr>
            </w:pPr>
            <w:r>
              <w:rPr>
                <w:rFonts w:eastAsia="黑体"/>
                <w:bCs/>
                <w:sz w:val="18"/>
                <w:szCs w:val="18"/>
              </w:rPr>
              <w:t>437.8</w:t>
            </w:r>
          </w:p>
        </w:tc>
        <w:tc>
          <w:tcPr>
            <w:tcW w:w="851" w:type="dxa"/>
            <w:vAlign w:val="center"/>
          </w:tcPr>
          <w:p w14:paraId="2E0DE14B">
            <w:pPr>
              <w:rPr>
                <w:rFonts w:eastAsia="黑体"/>
                <w:bCs/>
                <w:sz w:val="18"/>
                <w:szCs w:val="18"/>
              </w:rPr>
            </w:pPr>
            <w:r>
              <w:rPr>
                <w:rFonts w:eastAsia="黑体"/>
                <w:bCs/>
                <w:sz w:val="18"/>
                <w:szCs w:val="18"/>
              </w:rPr>
              <w:t>441.6</w:t>
            </w:r>
          </w:p>
        </w:tc>
      </w:tr>
      <w:tr w14:paraId="66A3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Align w:val="center"/>
          </w:tcPr>
          <w:p w14:paraId="493596E7">
            <w:pPr>
              <w:rPr>
                <w:rFonts w:eastAsia="黑体"/>
                <w:bCs/>
                <w:sz w:val="18"/>
                <w:szCs w:val="18"/>
              </w:rPr>
            </w:pPr>
            <w:r>
              <w:rPr>
                <w:rFonts w:eastAsia="黑体"/>
                <w:bCs/>
                <w:sz w:val="18"/>
                <w:szCs w:val="18"/>
              </w:rPr>
              <w:t>120</w:t>
            </w:r>
            <w:r>
              <w:rPr>
                <w:rFonts w:hint="eastAsia" w:eastAsia="黑体"/>
                <w:bCs/>
                <w:sz w:val="18"/>
                <w:szCs w:val="18"/>
              </w:rPr>
              <w:t xml:space="preserve"> </w:t>
            </w:r>
            <w:r>
              <w:rPr>
                <w:rFonts w:eastAsia="黑体"/>
                <w:bCs/>
                <w:sz w:val="18"/>
                <w:szCs w:val="18"/>
              </w:rPr>
              <w:t>℃</w:t>
            </w:r>
          </w:p>
        </w:tc>
        <w:tc>
          <w:tcPr>
            <w:tcW w:w="993" w:type="dxa"/>
            <w:vAlign w:val="center"/>
          </w:tcPr>
          <w:p w14:paraId="54A03D5D">
            <w:pPr>
              <w:rPr>
                <w:rFonts w:eastAsia="黑体"/>
                <w:bCs/>
                <w:sz w:val="18"/>
                <w:szCs w:val="18"/>
              </w:rPr>
            </w:pPr>
            <w:r>
              <w:rPr>
                <w:rFonts w:eastAsia="黑体"/>
                <w:bCs/>
                <w:sz w:val="18"/>
                <w:szCs w:val="18"/>
              </w:rPr>
              <w:t>2725.4</w:t>
            </w:r>
          </w:p>
        </w:tc>
        <w:tc>
          <w:tcPr>
            <w:tcW w:w="849" w:type="dxa"/>
            <w:vAlign w:val="center"/>
          </w:tcPr>
          <w:p w14:paraId="58BE5237">
            <w:pPr>
              <w:jc w:val="center"/>
              <w:rPr>
                <w:rFonts w:eastAsia="黑体"/>
                <w:bCs/>
                <w:sz w:val="18"/>
                <w:szCs w:val="18"/>
              </w:rPr>
            </w:pPr>
            <w:r>
              <w:rPr>
                <w:rFonts w:eastAsia="黑体"/>
                <w:bCs/>
                <w:sz w:val="18"/>
                <w:szCs w:val="18"/>
              </w:rPr>
              <w:t>2716.8</w:t>
            </w:r>
          </w:p>
        </w:tc>
        <w:tc>
          <w:tcPr>
            <w:tcW w:w="850" w:type="dxa"/>
            <w:vAlign w:val="center"/>
          </w:tcPr>
          <w:p w14:paraId="3AF70566">
            <w:pPr>
              <w:jc w:val="center"/>
              <w:rPr>
                <w:rFonts w:eastAsia="黑体"/>
                <w:bCs/>
                <w:sz w:val="18"/>
                <w:szCs w:val="18"/>
              </w:rPr>
            </w:pPr>
            <w:r>
              <w:rPr>
                <w:rFonts w:eastAsia="黑体"/>
                <w:bCs/>
                <w:sz w:val="18"/>
                <w:szCs w:val="18"/>
              </w:rPr>
              <w:t>503.9</w:t>
            </w:r>
          </w:p>
        </w:tc>
        <w:tc>
          <w:tcPr>
            <w:tcW w:w="853" w:type="dxa"/>
            <w:vAlign w:val="center"/>
          </w:tcPr>
          <w:p w14:paraId="79E0B242">
            <w:pPr>
              <w:jc w:val="center"/>
              <w:rPr>
                <w:rFonts w:eastAsia="黑体"/>
                <w:bCs/>
                <w:sz w:val="18"/>
                <w:szCs w:val="18"/>
              </w:rPr>
            </w:pPr>
            <w:r>
              <w:rPr>
                <w:rFonts w:eastAsia="黑体"/>
                <w:bCs/>
                <w:sz w:val="18"/>
                <w:szCs w:val="18"/>
              </w:rPr>
              <w:t>504.3</w:t>
            </w:r>
          </w:p>
        </w:tc>
        <w:tc>
          <w:tcPr>
            <w:tcW w:w="850" w:type="dxa"/>
            <w:vAlign w:val="center"/>
          </w:tcPr>
          <w:p w14:paraId="11670451">
            <w:pPr>
              <w:rPr>
                <w:rFonts w:eastAsia="黑体"/>
                <w:bCs/>
                <w:sz w:val="18"/>
                <w:szCs w:val="18"/>
              </w:rPr>
            </w:pPr>
            <w:r>
              <w:rPr>
                <w:rFonts w:eastAsia="黑体"/>
                <w:bCs/>
                <w:sz w:val="18"/>
                <w:szCs w:val="18"/>
              </w:rPr>
              <w:t>505.7</w:t>
            </w:r>
          </w:p>
        </w:tc>
        <w:tc>
          <w:tcPr>
            <w:tcW w:w="851" w:type="dxa"/>
            <w:vAlign w:val="center"/>
          </w:tcPr>
          <w:p w14:paraId="5F700A7A">
            <w:pPr>
              <w:rPr>
                <w:rFonts w:eastAsia="黑体"/>
                <w:bCs/>
                <w:sz w:val="18"/>
                <w:szCs w:val="18"/>
              </w:rPr>
            </w:pPr>
            <w:r>
              <w:rPr>
                <w:rFonts w:eastAsia="黑体"/>
                <w:bCs/>
                <w:sz w:val="18"/>
                <w:szCs w:val="18"/>
              </w:rPr>
              <w:t>507.1</w:t>
            </w:r>
          </w:p>
        </w:tc>
        <w:tc>
          <w:tcPr>
            <w:tcW w:w="850" w:type="dxa"/>
            <w:vAlign w:val="center"/>
          </w:tcPr>
          <w:p w14:paraId="42314425">
            <w:pPr>
              <w:jc w:val="center"/>
              <w:rPr>
                <w:rFonts w:eastAsia="黑体"/>
                <w:bCs/>
                <w:sz w:val="18"/>
                <w:szCs w:val="18"/>
              </w:rPr>
            </w:pPr>
            <w:r>
              <w:rPr>
                <w:rFonts w:eastAsia="黑体"/>
                <w:bCs/>
                <w:sz w:val="18"/>
                <w:szCs w:val="18"/>
              </w:rPr>
              <w:t>508.5</w:t>
            </w:r>
          </w:p>
        </w:tc>
        <w:tc>
          <w:tcPr>
            <w:tcW w:w="851" w:type="dxa"/>
            <w:vAlign w:val="center"/>
          </w:tcPr>
          <w:p w14:paraId="4CB74DC6">
            <w:pPr>
              <w:rPr>
                <w:rFonts w:eastAsia="黑体"/>
                <w:bCs/>
                <w:sz w:val="18"/>
                <w:szCs w:val="18"/>
              </w:rPr>
            </w:pPr>
            <w:r>
              <w:rPr>
                <w:rFonts w:eastAsia="黑体"/>
                <w:bCs/>
                <w:sz w:val="18"/>
                <w:szCs w:val="18"/>
              </w:rPr>
              <w:t>510.6</w:t>
            </w:r>
          </w:p>
        </w:tc>
        <w:tc>
          <w:tcPr>
            <w:tcW w:w="850" w:type="dxa"/>
            <w:vAlign w:val="center"/>
          </w:tcPr>
          <w:p w14:paraId="53056784">
            <w:pPr>
              <w:rPr>
                <w:rFonts w:eastAsia="黑体"/>
                <w:bCs/>
                <w:sz w:val="18"/>
                <w:szCs w:val="18"/>
              </w:rPr>
            </w:pPr>
            <w:r>
              <w:rPr>
                <w:rFonts w:eastAsia="黑体"/>
                <w:bCs/>
                <w:sz w:val="18"/>
                <w:szCs w:val="18"/>
              </w:rPr>
              <w:t>513.5</w:t>
            </w:r>
          </w:p>
        </w:tc>
        <w:tc>
          <w:tcPr>
            <w:tcW w:w="851" w:type="dxa"/>
            <w:vAlign w:val="center"/>
          </w:tcPr>
          <w:p w14:paraId="5E5F48E6">
            <w:pPr>
              <w:rPr>
                <w:rFonts w:eastAsia="黑体"/>
                <w:bCs/>
                <w:sz w:val="18"/>
                <w:szCs w:val="18"/>
              </w:rPr>
            </w:pPr>
            <w:r>
              <w:rPr>
                <w:rFonts w:eastAsia="黑体"/>
                <w:bCs/>
                <w:sz w:val="18"/>
                <w:szCs w:val="18"/>
              </w:rPr>
              <w:t>517.7</w:t>
            </w:r>
          </w:p>
        </w:tc>
        <w:tc>
          <w:tcPr>
            <w:tcW w:w="850" w:type="dxa"/>
            <w:vAlign w:val="center"/>
          </w:tcPr>
          <w:p w14:paraId="3B76921E">
            <w:pPr>
              <w:rPr>
                <w:rFonts w:eastAsia="黑体"/>
                <w:bCs/>
                <w:sz w:val="18"/>
                <w:szCs w:val="18"/>
              </w:rPr>
            </w:pPr>
            <w:r>
              <w:rPr>
                <w:rFonts w:eastAsia="黑体"/>
                <w:bCs/>
                <w:sz w:val="18"/>
                <w:szCs w:val="18"/>
              </w:rPr>
              <w:t>521.3</w:t>
            </w:r>
          </w:p>
        </w:tc>
        <w:tc>
          <w:tcPr>
            <w:tcW w:w="851" w:type="dxa"/>
            <w:vAlign w:val="center"/>
          </w:tcPr>
          <w:p w14:paraId="1267AA24">
            <w:pPr>
              <w:rPr>
                <w:rFonts w:eastAsia="黑体"/>
                <w:bCs/>
                <w:sz w:val="18"/>
                <w:szCs w:val="18"/>
              </w:rPr>
            </w:pPr>
            <w:r>
              <w:rPr>
                <w:rFonts w:eastAsia="黑体"/>
                <w:bCs/>
                <w:sz w:val="18"/>
                <w:szCs w:val="18"/>
              </w:rPr>
              <w:t>524.9</w:t>
            </w:r>
          </w:p>
        </w:tc>
      </w:tr>
      <w:tr w14:paraId="1289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Align w:val="center"/>
          </w:tcPr>
          <w:p w14:paraId="6120B510">
            <w:pPr>
              <w:rPr>
                <w:rFonts w:eastAsia="黑体"/>
                <w:bCs/>
                <w:sz w:val="18"/>
                <w:szCs w:val="18"/>
              </w:rPr>
            </w:pPr>
            <w:r>
              <w:rPr>
                <w:rFonts w:eastAsia="黑体"/>
                <w:bCs/>
                <w:sz w:val="18"/>
                <w:szCs w:val="18"/>
              </w:rPr>
              <w:t>140</w:t>
            </w:r>
            <w:r>
              <w:rPr>
                <w:rFonts w:hint="eastAsia" w:eastAsia="黑体"/>
                <w:bCs/>
                <w:sz w:val="18"/>
                <w:szCs w:val="18"/>
              </w:rPr>
              <w:t xml:space="preserve"> </w:t>
            </w:r>
            <w:r>
              <w:rPr>
                <w:rFonts w:eastAsia="黑体"/>
                <w:bCs/>
                <w:sz w:val="18"/>
                <w:szCs w:val="18"/>
              </w:rPr>
              <w:t>℃</w:t>
            </w:r>
          </w:p>
        </w:tc>
        <w:tc>
          <w:tcPr>
            <w:tcW w:w="993" w:type="dxa"/>
            <w:vAlign w:val="center"/>
          </w:tcPr>
          <w:p w14:paraId="35BB3873">
            <w:pPr>
              <w:rPr>
                <w:rFonts w:eastAsia="黑体"/>
                <w:bCs/>
                <w:sz w:val="18"/>
                <w:szCs w:val="18"/>
              </w:rPr>
            </w:pPr>
            <w:r>
              <w:rPr>
                <w:rFonts w:eastAsia="黑体"/>
                <w:bCs/>
                <w:sz w:val="18"/>
                <w:szCs w:val="18"/>
              </w:rPr>
              <w:t>2763.6</w:t>
            </w:r>
          </w:p>
        </w:tc>
        <w:tc>
          <w:tcPr>
            <w:tcW w:w="849" w:type="dxa"/>
            <w:vAlign w:val="center"/>
          </w:tcPr>
          <w:p w14:paraId="23650E8C">
            <w:pPr>
              <w:jc w:val="center"/>
              <w:rPr>
                <w:rFonts w:eastAsia="黑体"/>
                <w:bCs/>
                <w:sz w:val="18"/>
                <w:szCs w:val="18"/>
              </w:rPr>
            </w:pPr>
            <w:r>
              <w:rPr>
                <w:rFonts w:eastAsia="黑体"/>
                <w:bCs/>
                <w:sz w:val="18"/>
                <w:szCs w:val="18"/>
              </w:rPr>
              <w:t>2756.6</w:t>
            </w:r>
          </w:p>
        </w:tc>
        <w:tc>
          <w:tcPr>
            <w:tcW w:w="850" w:type="dxa"/>
            <w:vAlign w:val="center"/>
          </w:tcPr>
          <w:p w14:paraId="36535354">
            <w:pPr>
              <w:jc w:val="center"/>
              <w:rPr>
                <w:rFonts w:eastAsia="黑体"/>
                <w:bCs/>
                <w:sz w:val="18"/>
                <w:szCs w:val="18"/>
              </w:rPr>
            </w:pPr>
            <w:r>
              <w:rPr>
                <w:rFonts w:eastAsia="黑体"/>
                <w:bCs/>
                <w:sz w:val="18"/>
                <w:szCs w:val="18"/>
              </w:rPr>
              <w:t>589.2</w:t>
            </w:r>
          </w:p>
        </w:tc>
        <w:tc>
          <w:tcPr>
            <w:tcW w:w="853" w:type="dxa"/>
            <w:vAlign w:val="center"/>
          </w:tcPr>
          <w:p w14:paraId="470A0734">
            <w:pPr>
              <w:jc w:val="center"/>
              <w:rPr>
                <w:rFonts w:eastAsia="黑体"/>
                <w:bCs/>
                <w:sz w:val="18"/>
                <w:szCs w:val="18"/>
              </w:rPr>
            </w:pPr>
            <w:r>
              <w:rPr>
                <w:rFonts w:eastAsia="黑体"/>
                <w:bCs/>
                <w:sz w:val="18"/>
                <w:szCs w:val="18"/>
              </w:rPr>
              <w:t>589.5</w:t>
            </w:r>
          </w:p>
        </w:tc>
        <w:tc>
          <w:tcPr>
            <w:tcW w:w="850" w:type="dxa"/>
            <w:vAlign w:val="center"/>
          </w:tcPr>
          <w:p w14:paraId="73157783">
            <w:pPr>
              <w:rPr>
                <w:rFonts w:eastAsia="黑体"/>
                <w:bCs/>
                <w:sz w:val="18"/>
                <w:szCs w:val="18"/>
              </w:rPr>
            </w:pPr>
            <w:r>
              <w:rPr>
                <w:rFonts w:eastAsia="黑体"/>
                <w:bCs/>
                <w:sz w:val="18"/>
                <w:szCs w:val="18"/>
              </w:rPr>
              <w:t>590.8</w:t>
            </w:r>
          </w:p>
        </w:tc>
        <w:tc>
          <w:tcPr>
            <w:tcW w:w="851" w:type="dxa"/>
            <w:vAlign w:val="center"/>
          </w:tcPr>
          <w:p w14:paraId="1BC1D86D">
            <w:pPr>
              <w:rPr>
                <w:rFonts w:eastAsia="黑体"/>
                <w:bCs/>
                <w:sz w:val="18"/>
                <w:szCs w:val="18"/>
              </w:rPr>
            </w:pPr>
            <w:r>
              <w:rPr>
                <w:rFonts w:eastAsia="黑体"/>
                <w:bCs/>
                <w:sz w:val="18"/>
                <w:szCs w:val="18"/>
              </w:rPr>
              <w:t>592.1</w:t>
            </w:r>
          </w:p>
        </w:tc>
        <w:tc>
          <w:tcPr>
            <w:tcW w:w="850" w:type="dxa"/>
            <w:vAlign w:val="center"/>
          </w:tcPr>
          <w:p w14:paraId="429F826D">
            <w:pPr>
              <w:jc w:val="center"/>
              <w:rPr>
                <w:rFonts w:eastAsia="黑体"/>
                <w:bCs/>
                <w:sz w:val="18"/>
                <w:szCs w:val="18"/>
              </w:rPr>
            </w:pPr>
            <w:r>
              <w:rPr>
                <w:rFonts w:eastAsia="黑体"/>
                <w:bCs/>
                <w:sz w:val="18"/>
                <w:szCs w:val="18"/>
              </w:rPr>
              <w:t>593.4</w:t>
            </w:r>
          </w:p>
        </w:tc>
        <w:tc>
          <w:tcPr>
            <w:tcW w:w="851" w:type="dxa"/>
            <w:vAlign w:val="center"/>
          </w:tcPr>
          <w:p w14:paraId="01DD62CC">
            <w:pPr>
              <w:rPr>
                <w:rFonts w:eastAsia="黑体"/>
                <w:bCs/>
                <w:sz w:val="18"/>
                <w:szCs w:val="18"/>
              </w:rPr>
            </w:pPr>
            <w:r>
              <w:rPr>
                <w:rFonts w:eastAsia="黑体"/>
                <w:bCs/>
                <w:sz w:val="18"/>
                <w:szCs w:val="18"/>
              </w:rPr>
              <w:t>595.4</w:t>
            </w:r>
          </w:p>
        </w:tc>
        <w:tc>
          <w:tcPr>
            <w:tcW w:w="850" w:type="dxa"/>
            <w:vAlign w:val="center"/>
          </w:tcPr>
          <w:p w14:paraId="36651CA4">
            <w:pPr>
              <w:rPr>
                <w:rFonts w:eastAsia="黑体"/>
                <w:bCs/>
                <w:sz w:val="18"/>
                <w:szCs w:val="18"/>
              </w:rPr>
            </w:pPr>
            <w:r>
              <w:rPr>
                <w:rFonts w:eastAsia="黑体"/>
                <w:bCs/>
                <w:sz w:val="18"/>
                <w:szCs w:val="18"/>
              </w:rPr>
              <w:t>598</w:t>
            </w:r>
          </w:p>
        </w:tc>
        <w:tc>
          <w:tcPr>
            <w:tcW w:w="851" w:type="dxa"/>
            <w:vAlign w:val="center"/>
          </w:tcPr>
          <w:p w14:paraId="5AB85076">
            <w:pPr>
              <w:rPr>
                <w:rFonts w:eastAsia="黑体"/>
                <w:bCs/>
                <w:sz w:val="18"/>
                <w:szCs w:val="18"/>
              </w:rPr>
            </w:pPr>
            <w:r>
              <w:rPr>
                <w:rFonts w:eastAsia="黑体"/>
                <w:bCs/>
                <w:sz w:val="18"/>
                <w:szCs w:val="18"/>
              </w:rPr>
              <w:t>602</w:t>
            </w:r>
          </w:p>
        </w:tc>
        <w:tc>
          <w:tcPr>
            <w:tcW w:w="850" w:type="dxa"/>
            <w:vAlign w:val="center"/>
          </w:tcPr>
          <w:p w14:paraId="7849294F">
            <w:pPr>
              <w:rPr>
                <w:rFonts w:eastAsia="黑体"/>
                <w:bCs/>
                <w:sz w:val="18"/>
                <w:szCs w:val="18"/>
              </w:rPr>
            </w:pPr>
            <w:r>
              <w:rPr>
                <w:rFonts w:eastAsia="黑体"/>
                <w:bCs/>
                <w:sz w:val="18"/>
                <w:szCs w:val="18"/>
              </w:rPr>
              <w:t>605.4</w:t>
            </w:r>
          </w:p>
        </w:tc>
        <w:tc>
          <w:tcPr>
            <w:tcW w:w="851" w:type="dxa"/>
            <w:vAlign w:val="center"/>
          </w:tcPr>
          <w:p w14:paraId="39BA37FF">
            <w:pPr>
              <w:rPr>
                <w:rFonts w:eastAsia="黑体"/>
                <w:bCs/>
                <w:sz w:val="18"/>
                <w:szCs w:val="18"/>
              </w:rPr>
            </w:pPr>
            <w:r>
              <w:rPr>
                <w:rFonts w:eastAsia="黑体"/>
                <w:bCs/>
                <w:sz w:val="18"/>
                <w:szCs w:val="18"/>
              </w:rPr>
              <w:t>603.1</w:t>
            </w:r>
          </w:p>
        </w:tc>
      </w:tr>
      <w:tr w14:paraId="1C48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vAlign w:val="center"/>
          </w:tcPr>
          <w:p w14:paraId="75D90F33">
            <w:pPr>
              <w:rPr>
                <w:rFonts w:eastAsia="黑体"/>
                <w:bCs/>
                <w:sz w:val="18"/>
                <w:szCs w:val="18"/>
              </w:rPr>
            </w:pPr>
            <w:r>
              <w:rPr>
                <w:rFonts w:eastAsia="黑体"/>
                <w:bCs/>
                <w:sz w:val="18"/>
                <w:szCs w:val="18"/>
              </w:rPr>
              <w:t>160</w:t>
            </w:r>
            <w:r>
              <w:rPr>
                <w:rFonts w:hint="eastAsia" w:eastAsia="黑体"/>
                <w:bCs/>
                <w:sz w:val="18"/>
                <w:szCs w:val="18"/>
              </w:rPr>
              <w:t xml:space="preserve"> </w:t>
            </w:r>
            <w:r>
              <w:rPr>
                <w:rFonts w:eastAsia="黑体"/>
                <w:bCs/>
                <w:sz w:val="18"/>
                <w:szCs w:val="18"/>
              </w:rPr>
              <w:t>℃</w:t>
            </w:r>
          </w:p>
        </w:tc>
        <w:tc>
          <w:tcPr>
            <w:tcW w:w="993" w:type="dxa"/>
            <w:vAlign w:val="center"/>
          </w:tcPr>
          <w:p w14:paraId="471C388C">
            <w:pPr>
              <w:rPr>
                <w:rFonts w:eastAsia="黑体"/>
                <w:bCs/>
                <w:sz w:val="18"/>
                <w:szCs w:val="18"/>
              </w:rPr>
            </w:pPr>
            <w:r>
              <w:rPr>
                <w:rFonts w:eastAsia="黑体"/>
                <w:bCs/>
                <w:sz w:val="18"/>
                <w:szCs w:val="18"/>
              </w:rPr>
              <w:t>2802</w:t>
            </w:r>
          </w:p>
        </w:tc>
        <w:tc>
          <w:tcPr>
            <w:tcW w:w="849" w:type="dxa"/>
            <w:vAlign w:val="center"/>
          </w:tcPr>
          <w:p w14:paraId="44735F40">
            <w:pPr>
              <w:jc w:val="center"/>
              <w:rPr>
                <w:rFonts w:eastAsia="黑体"/>
                <w:bCs/>
                <w:sz w:val="18"/>
                <w:szCs w:val="18"/>
              </w:rPr>
            </w:pPr>
            <w:r>
              <w:rPr>
                <w:rFonts w:eastAsia="黑体"/>
                <w:bCs/>
                <w:sz w:val="18"/>
                <w:szCs w:val="18"/>
              </w:rPr>
              <w:t>2796.2</w:t>
            </w:r>
          </w:p>
        </w:tc>
        <w:tc>
          <w:tcPr>
            <w:tcW w:w="850" w:type="dxa"/>
            <w:vAlign w:val="center"/>
          </w:tcPr>
          <w:p w14:paraId="27505144">
            <w:pPr>
              <w:jc w:val="center"/>
              <w:rPr>
                <w:rFonts w:eastAsia="黑体"/>
                <w:bCs/>
                <w:sz w:val="18"/>
                <w:szCs w:val="18"/>
              </w:rPr>
            </w:pPr>
            <w:r>
              <w:rPr>
                <w:rFonts w:eastAsia="黑体"/>
                <w:bCs/>
                <w:sz w:val="18"/>
                <w:szCs w:val="18"/>
              </w:rPr>
              <w:t>2767.3</w:t>
            </w:r>
          </w:p>
        </w:tc>
        <w:tc>
          <w:tcPr>
            <w:tcW w:w="853" w:type="dxa"/>
            <w:vAlign w:val="center"/>
          </w:tcPr>
          <w:p w14:paraId="33C40702">
            <w:pPr>
              <w:jc w:val="center"/>
              <w:rPr>
                <w:rFonts w:eastAsia="黑体"/>
                <w:bCs/>
                <w:sz w:val="18"/>
                <w:szCs w:val="18"/>
              </w:rPr>
            </w:pPr>
            <w:r>
              <w:rPr>
                <w:rFonts w:eastAsia="黑体"/>
                <w:bCs/>
                <w:sz w:val="18"/>
                <w:szCs w:val="18"/>
              </w:rPr>
              <w:t>675.7</w:t>
            </w:r>
          </w:p>
        </w:tc>
        <w:tc>
          <w:tcPr>
            <w:tcW w:w="850" w:type="dxa"/>
            <w:vAlign w:val="center"/>
          </w:tcPr>
          <w:p w14:paraId="50AF6A96">
            <w:pPr>
              <w:rPr>
                <w:rFonts w:eastAsia="黑体"/>
                <w:bCs/>
                <w:sz w:val="18"/>
                <w:szCs w:val="18"/>
              </w:rPr>
            </w:pPr>
            <w:r>
              <w:rPr>
                <w:rFonts w:eastAsia="黑体"/>
                <w:bCs/>
                <w:sz w:val="18"/>
                <w:szCs w:val="18"/>
              </w:rPr>
              <w:t>676.9</w:t>
            </w:r>
          </w:p>
        </w:tc>
        <w:tc>
          <w:tcPr>
            <w:tcW w:w="851" w:type="dxa"/>
            <w:vAlign w:val="center"/>
          </w:tcPr>
          <w:p w14:paraId="6A1AE6F8">
            <w:pPr>
              <w:rPr>
                <w:rFonts w:eastAsia="黑体"/>
                <w:bCs/>
                <w:sz w:val="18"/>
                <w:szCs w:val="18"/>
              </w:rPr>
            </w:pPr>
            <w:r>
              <w:rPr>
                <w:rFonts w:eastAsia="黑体"/>
                <w:bCs/>
                <w:sz w:val="18"/>
                <w:szCs w:val="18"/>
              </w:rPr>
              <w:t>678</w:t>
            </w:r>
          </w:p>
        </w:tc>
        <w:tc>
          <w:tcPr>
            <w:tcW w:w="850" w:type="dxa"/>
            <w:vAlign w:val="center"/>
          </w:tcPr>
          <w:p w14:paraId="0AB2243B">
            <w:pPr>
              <w:jc w:val="center"/>
              <w:rPr>
                <w:rFonts w:eastAsia="黑体"/>
                <w:bCs/>
                <w:sz w:val="18"/>
                <w:szCs w:val="18"/>
              </w:rPr>
            </w:pPr>
            <w:r>
              <w:rPr>
                <w:rFonts w:eastAsia="黑体"/>
                <w:bCs/>
                <w:sz w:val="18"/>
                <w:szCs w:val="18"/>
              </w:rPr>
              <w:t>679.2</w:t>
            </w:r>
          </w:p>
        </w:tc>
        <w:tc>
          <w:tcPr>
            <w:tcW w:w="851" w:type="dxa"/>
            <w:vAlign w:val="center"/>
          </w:tcPr>
          <w:p w14:paraId="50F207FF">
            <w:pPr>
              <w:rPr>
                <w:rFonts w:eastAsia="黑体"/>
                <w:bCs/>
                <w:sz w:val="18"/>
                <w:szCs w:val="18"/>
              </w:rPr>
            </w:pPr>
            <w:r>
              <w:rPr>
                <w:rFonts w:eastAsia="黑体"/>
                <w:bCs/>
                <w:sz w:val="18"/>
                <w:szCs w:val="18"/>
              </w:rPr>
              <w:t>681</w:t>
            </w:r>
          </w:p>
        </w:tc>
        <w:tc>
          <w:tcPr>
            <w:tcW w:w="850" w:type="dxa"/>
            <w:vAlign w:val="center"/>
          </w:tcPr>
          <w:p w14:paraId="27716A4B">
            <w:pPr>
              <w:rPr>
                <w:rFonts w:eastAsia="黑体"/>
                <w:bCs/>
                <w:sz w:val="18"/>
                <w:szCs w:val="18"/>
              </w:rPr>
            </w:pPr>
            <w:r>
              <w:rPr>
                <w:rFonts w:eastAsia="黑体"/>
                <w:bCs/>
                <w:sz w:val="18"/>
                <w:szCs w:val="18"/>
              </w:rPr>
              <w:t>683.4</w:t>
            </w:r>
          </w:p>
        </w:tc>
        <w:tc>
          <w:tcPr>
            <w:tcW w:w="851" w:type="dxa"/>
            <w:vAlign w:val="center"/>
          </w:tcPr>
          <w:p w14:paraId="7DB3BCE7">
            <w:pPr>
              <w:rPr>
                <w:rFonts w:eastAsia="黑体"/>
                <w:bCs/>
                <w:sz w:val="18"/>
                <w:szCs w:val="18"/>
              </w:rPr>
            </w:pPr>
            <w:r>
              <w:rPr>
                <w:rFonts w:eastAsia="黑体"/>
                <w:bCs/>
                <w:sz w:val="18"/>
                <w:szCs w:val="18"/>
              </w:rPr>
              <w:t>687.1</w:t>
            </w:r>
          </w:p>
        </w:tc>
        <w:tc>
          <w:tcPr>
            <w:tcW w:w="850" w:type="dxa"/>
            <w:vAlign w:val="center"/>
          </w:tcPr>
          <w:p w14:paraId="0F0B076A">
            <w:pPr>
              <w:rPr>
                <w:rFonts w:eastAsia="黑体"/>
                <w:bCs/>
                <w:sz w:val="18"/>
                <w:szCs w:val="18"/>
              </w:rPr>
            </w:pPr>
            <w:r>
              <w:rPr>
                <w:rFonts w:eastAsia="黑体"/>
                <w:bCs/>
                <w:sz w:val="18"/>
                <w:szCs w:val="18"/>
              </w:rPr>
              <w:t>690.2</w:t>
            </w:r>
          </w:p>
        </w:tc>
        <w:tc>
          <w:tcPr>
            <w:tcW w:w="851" w:type="dxa"/>
            <w:vAlign w:val="center"/>
          </w:tcPr>
          <w:p w14:paraId="4464C7B3">
            <w:pPr>
              <w:rPr>
                <w:rFonts w:eastAsia="黑体"/>
                <w:bCs/>
                <w:sz w:val="18"/>
                <w:szCs w:val="18"/>
              </w:rPr>
            </w:pPr>
            <w:r>
              <w:rPr>
                <w:rFonts w:eastAsia="黑体"/>
                <w:bCs/>
                <w:sz w:val="18"/>
                <w:szCs w:val="18"/>
              </w:rPr>
              <w:t>693.3</w:t>
            </w:r>
          </w:p>
        </w:tc>
      </w:tr>
      <w:tr w14:paraId="0C51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61DDBF7D">
            <w:pPr>
              <w:rPr>
                <w:rFonts w:eastAsia="黑体"/>
                <w:bCs/>
                <w:sz w:val="18"/>
                <w:szCs w:val="18"/>
              </w:rPr>
            </w:pPr>
            <w:r>
              <w:rPr>
                <w:rFonts w:eastAsia="黑体"/>
                <w:bCs/>
                <w:sz w:val="18"/>
                <w:szCs w:val="18"/>
              </w:rPr>
              <w:t>180</w:t>
            </w:r>
            <w:r>
              <w:rPr>
                <w:rFonts w:hint="eastAsia" w:eastAsia="黑体"/>
                <w:bCs/>
                <w:sz w:val="18"/>
                <w:szCs w:val="18"/>
              </w:rPr>
              <w:t xml:space="preserve"> </w:t>
            </w:r>
            <w:r>
              <w:rPr>
                <w:rFonts w:eastAsia="黑体"/>
                <w:bCs/>
                <w:sz w:val="18"/>
                <w:szCs w:val="18"/>
              </w:rPr>
              <w:t>℃</w:t>
            </w:r>
          </w:p>
        </w:tc>
        <w:tc>
          <w:tcPr>
            <w:tcW w:w="993" w:type="dxa"/>
          </w:tcPr>
          <w:p w14:paraId="28C5FB18">
            <w:pPr>
              <w:rPr>
                <w:rFonts w:eastAsia="黑体"/>
                <w:bCs/>
                <w:sz w:val="18"/>
                <w:szCs w:val="18"/>
              </w:rPr>
            </w:pPr>
            <w:r>
              <w:rPr>
                <w:rFonts w:eastAsia="黑体"/>
                <w:bCs/>
                <w:sz w:val="18"/>
                <w:szCs w:val="18"/>
              </w:rPr>
              <w:t>2840.6</w:t>
            </w:r>
          </w:p>
        </w:tc>
        <w:tc>
          <w:tcPr>
            <w:tcW w:w="849" w:type="dxa"/>
          </w:tcPr>
          <w:p w14:paraId="70180671">
            <w:pPr>
              <w:rPr>
                <w:rFonts w:eastAsia="黑体"/>
                <w:bCs/>
                <w:sz w:val="18"/>
                <w:szCs w:val="18"/>
              </w:rPr>
            </w:pPr>
            <w:r>
              <w:rPr>
                <w:rFonts w:eastAsia="黑体"/>
                <w:bCs/>
                <w:sz w:val="18"/>
                <w:szCs w:val="18"/>
              </w:rPr>
              <w:t>2835.7</w:t>
            </w:r>
          </w:p>
        </w:tc>
        <w:tc>
          <w:tcPr>
            <w:tcW w:w="850" w:type="dxa"/>
          </w:tcPr>
          <w:p w14:paraId="330E3859">
            <w:pPr>
              <w:rPr>
                <w:rFonts w:eastAsia="黑体"/>
                <w:bCs/>
                <w:sz w:val="18"/>
                <w:szCs w:val="18"/>
              </w:rPr>
            </w:pPr>
            <w:r>
              <w:rPr>
                <w:rFonts w:eastAsia="黑体"/>
                <w:bCs/>
                <w:sz w:val="18"/>
                <w:szCs w:val="18"/>
              </w:rPr>
              <w:t>2812.1</w:t>
            </w:r>
          </w:p>
        </w:tc>
        <w:tc>
          <w:tcPr>
            <w:tcW w:w="853" w:type="dxa"/>
          </w:tcPr>
          <w:p w14:paraId="35CB16A9">
            <w:pPr>
              <w:rPr>
                <w:rFonts w:eastAsia="黑体"/>
                <w:bCs/>
                <w:sz w:val="18"/>
                <w:szCs w:val="18"/>
              </w:rPr>
            </w:pPr>
            <w:r>
              <w:rPr>
                <w:rFonts w:eastAsia="黑体"/>
                <w:bCs/>
                <w:sz w:val="18"/>
                <w:szCs w:val="18"/>
              </w:rPr>
              <w:t>2777.3</w:t>
            </w:r>
          </w:p>
        </w:tc>
        <w:tc>
          <w:tcPr>
            <w:tcW w:w="850" w:type="dxa"/>
          </w:tcPr>
          <w:p w14:paraId="09A4FD0A">
            <w:pPr>
              <w:rPr>
                <w:rFonts w:eastAsia="黑体"/>
                <w:bCs/>
                <w:sz w:val="18"/>
                <w:szCs w:val="18"/>
              </w:rPr>
            </w:pPr>
            <w:r>
              <w:rPr>
                <w:rFonts w:eastAsia="黑体"/>
                <w:bCs/>
                <w:sz w:val="18"/>
                <w:szCs w:val="18"/>
              </w:rPr>
              <w:t>764.1</w:t>
            </w:r>
          </w:p>
        </w:tc>
        <w:tc>
          <w:tcPr>
            <w:tcW w:w="851" w:type="dxa"/>
          </w:tcPr>
          <w:p w14:paraId="7BA5B8BE">
            <w:pPr>
              <w:rPr>
                <w:rFonts w:eastAsia="黑体"/>
                <w:bCs/>
                <w:sz w:val="18"/>
                <w:szCs w:val="18"/>
              </w:rPr>
            </w:pPr>
            <w:r>
              <w:rPr>
                <w:rFonts w:eastAsia="黑体"/>
                <w:bCs/>
                <w:sz w:val="18"/>
                <w:szCs w:val="18"/>
              </w:rPr>
              <w:t>765.2</w:t>
            </w:r>
          </w:p>
        </w:tc>
        <w:tc>
          <w:tcPr>
            <w:tcW w:w="850" w:type="dxa"/>
          </w:tcPr>
          <w:p w14:paraId="2FF2028A">
            <w:pPr>
              <w:rPr>
                <w:rFonts w:eastAsia="黑体"/>
                <w:bCs/>
                <w:sz w:val="18"/>
                <w:szCs w:val="18"/>
              </w:rPr>
            </w:pPr>
            <w:r>
              <w:rPr>
                <w:rFonts w:eastAsia="黑体"/>
                <w:bCs/>
                <w:sz w:val="18"/>
                <w:szCs w:val="18"/>
              </w:rPr>
              <w:t>766.2</w:t>
            </w:r>
          </w:p>
        </w:tc>
        <w:tc>
          <w:tcPr>
            <w:tcW w:w="851" w:type="dxa"/>
          </w:tcPr>
          <w:p w14:paraId="0B3D631C">
            <w:pPr>
              <w:rPr>
                <w:rFonts w:eastAsia="黑体"/>
                <w:bCs/>
                <w:sz w:val="18"/>
                <w:szCs w:val="18"/>
              </w:rPr>
            </w:pPr>
            <w:r>
              <w:rPr>
                <w:rFonts w:eastAsia="黑体"/>
                <w:bCs/>
                <w:sz w:val="18"/>
                <w:szCs w:val="18"/>
              </w:rPr>
              <w:t>767.8</w:t>
            </w:r>
          </w:p>
        </w:tc>
        <w:tc>
          <w:tcPr>
            <w:tcW w:w="850" w:type="dxa"/>
          </w:tcPr>
          <w:p w14:paraId="54B059EE">
            <w:pPr>
              <w:rPr>
                <w:rFonts w:eastAsia="黑体"/>
                <w:bCs/>
                <w:sz w:val="18"/>
                <w:szCs w:val="18"/>
              </w:rPr>
            </w:pPr>
            <w:r>
              <w:rPr>
                <w:rFonts w:eastAsia="黑体"/>
                <w:bCs/>
                <w:sz w:val="18"/>
                <w:szCs w:val="18"/>
              </w:rPr>
              <w:t>769.9</w:t>
            </w:r>
          </w:p>
        </w:tc>
        <w:tc>
          <w:tcPr>
            <w:tcW w:w="851" w:type="dxa"/>
          </w:tcPr>
          <w:p w14:paraId="710FDB37">
            <w:pPr>
              <w:rPr>
                <w:rFonts w:eastAsia="黑体"/>
                <w:bCs/>
                <w:sz w:val="18"/>
                <w:szCs w:val="18"/>
              </w:rPr>
            </w:pPr>
            <w:r>
              <w:rPr>
                <w:rFonts w:eastAsia="黑体"/>
                <w:bCs/>
                <w:sz w:val="18"/>
                <w:szCs w:val="18"/>
              </w:rPr>
              <w:t>773.1</w:t>
            </w:r>
          </w:p>
        </w:tc>
        <w:tc>
          <w:tcPr>
            <w:tcW w:w="850" w:type="dxa"/>
          </w:tcPr>
          <w:p w14:paraId="0EB7284F">
            <w:pPr>
              <w:rPr>
                <w:rFonts w:eastAsia="黑体"/>
                <w:bCs/>
                <w:sz w:val="18"/>
                <w:szCs w:val="18"/>
              </w:rPr>
            </w:pPr>
            <w:r>
              <w:rPr>
                <w:rFonts w:eastAsia="黑体"/>
                <w:bCs/>
                <w:sz w:val="18"/>
                <w:szCs w:val="18"/>
              </w:rPr>
              <w:t>775.9</w:t>
            </w:r>
          </w:p>
        </w:tc>
        <w:tc>
          <w:tcPr>
            <w:tcW w:w="851" w:type="dxa"/>
          </w:tcPr>
          <w:p w14:paraId="79B16FB2">
            <w:pPr>
              <w:rPr>
                <w:rFonts w:eastAsia="黑体"/>
                <w:bCs/>
                <w:sz w:val="18"/>
                <w:szCs w:val="18"/>
              </w:rPr>
            </w:pPr>
            <w:r>
              <w:rPr>
                <w:rFonts w:eastAsia="黑体"/>
                <w:bCs/>
                <w:sz w:val="18"/>
                <w:szCs w:val="18"/>
              </w:rPr>
              <w:t>778.7</w:t>
            </w:r>
          </w:p>
        </w:tc>
      </w:tr>
      <w:tr w14:paraId="024A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122D0113">
            <w:pPr>
              <w:rPr>
                <w:rFonts w:eastAsia="黑体"/>
                <w:bCs/>
                <w:sz w:val="18"/>
                <w:szCs w:val="18"/>
              </w:rPr>
            </w:pPr>
            <w:r>
              <w:rPr>
                <w:rFonts w:eastAsia="黑体"/>
                <w:bCs/>
                <w:sz w:val="18"/>
                <w:szCs w:val="18"/>
              </w:rPr>
              <w:t>200</w:t>
            </w:r>
            <w:r>
              <w:rPr>
                <w:rFonts w:hint="eastAsia" w:eastAsia="黑体"/>
                <w:bCs/>
                <w:sz w:val="18"/>
                <w:szCs w:val="18"/>
              </w:rPr>
              <w:t xml:space="preserve"> </w:t>
            </w:r>
            <w:r>
              <w:rPr>
                <w:rFonts w:eastAsia="黑体"/>
                <w:bCs/>
                <w:sz w:val="18"/>
                <w:szCs w:val="18"/>
              </w:rPr>
              <w:t>℃</w:t>
            </w:r>
          </w:p>
        </w:tc>
        <w:tc>
          <w:tcPr>
            <w:tcW w:w="993" w:type="dxa"/>
          </w:tcPr>
          <w:p w14:paraId="41AE1930">
            <w:pPr>
              <w:rPr>
                <w:rFonts w:eastAsia="黑体"/>
                <w:bCs/>
                <w:sz w:val="18"/>
                <w:szCs w:val="18"/>
              </w:rPr>
            </w:pPr>
            <w:r>
              <w:rPr>
                <w:rFonts w:eastAsia="黑体"/>
                <w:bCs/>
                <w:sz w:val="18"/>
                <w:szCs w:val="18"/>
              </w:rPr>
              <w:t>2879.3</w:t>
            </w:r>
          </w:p>
        </w:tc>
        <w:tc>
          <w:tcPr>
            <w:tcW w:w="849" w:type="dxa"/>
          </w:tcPr>
          <w:p w14:paraId="597AD604">
            <w:pPr>
              <w:rPr>
                <w:rFonts w:eastAsia="黑体"/>
                <w:bCs/>
                <w:sz w:val="18"/>
                <w:szCs w:val="18"/>
              </w:rPr>
            </w:pPr>
            <w:r>
              <w:rPr>
                <w:rFonts w:eastAsia="黑体"/>
                <w:bCs/>
                <w:sz w:val="18"/>
                <w:szCs w:val="18"/>
              </w:rPr>
              <w:t>2875.2</w:t>
            </w:r>
          </w:p>
        </w:tc>
        <w:tc>
          <w:tcPr>
            <w:tcW w:w="850" w:type="dxa"/>
          </w:tcPr>
          <w:p w14:paraId="6CFCBE9B">
            <w:pPr>
              <w:rPr>
                <w:rFonts w:eastAsia="黑体"/>
                <w:bCs/>
                <w:sz w:val="18"/>
                <w:szCs w:val="18"/>
              </w:rPr>
            </w:pPr>
            <w:r>
              <w:rPr>
                <w:rFonts w:eastAsia="黑体"/>
                <w:bCs/>
                <w:sz w:val="18"/>
                <w:szCs w:val="18"/>
              </w:rPr>
              <w:t>2855.5</w:t>
            </w:r>
          </w:p>
        </w:tc>
        <w:tc>
          <w:tcPr>
            <w:tcW w:w="853" w:type="dxa"/>
          </w:tcPr>
          <w:p w14:paraId="62CA94B2">
            <w:pPr>
              <w:rPr>
                <w:rFonts w:eastAsia="黑体"/>
                <w:bCs/>
                <w:sz w:val="18"/>
                <w:szCs w:val="18"/>
              </w:rPr>
            </w:pPr>
            <w:r>
              <w:rPr>
                <w:rFonts w:eastAsia="黑体"/>
                <w:bCs/>
                <w:sz w:val="18"/>
                <w:szCs w:val="18"/>
              </w:rPr>
              <w:t>2827.5</w:t>
            </w:r>
          </w:p>
        </w:tc>
        <w:tc>
          <w:tcPr>
            <w:tcW w:w="850" w:type="dxa"/>
          </w:tcPr>
          <w:p w14:paraId="6BA9988E">
            <w:pPr>
              <w:rPr>
                <w:rFonts w:eastAsia="黑体"/>
                <w:bCs/>
                <w:sz w:val="18"/>
                <w:szCs w:val="18"/>
              </w:rPr>
            </w:pPr>
            <w:r>
              <w:rPr>
                <w:rFonts w:eastAsia="黑体"/>
                <w:bCs/>
                <w:sz w:val="18"/>
                <w:szCs w:val="18"/>
              </w:rPr>
              <w:t>853</w:t>
            </w:r>
          </w:p>
        </w:tc>
        <w:tc>
          <w:tcPr>
            <w:tcW w:w="851" w:type="dxa"/>
          </w:tcPr>
          <w:p w14:paraId="7490D5B5">
            <w:pPr>
              <w:rPr>
                <w:rFonts w:eastAsia="黑体"/>
                <w:bCs/>
                <w:sz w:val="18"/>
                <w:szCs w:val="18"/>
              </w:rPr>
            </w:pPr>
            <w:r>
              <w:rPr>
                <w:rFonts w:eastAsia="黑体"/>
                <w:bCs/>
                <w:sz w:val="18"/>
                <w:szCs w:val="18"/>
              </w:rPr>
              <w:t>853.8</w:t>
            </w:r>
          </w:p>
        </w:tc>
        <w:tc>
          <w:tcPr>
            <w:tcW w:w="850" w:type="dxa"/>
          </w:tcPr>
          <w:p w14:paraId="0FCE8B55">
            <w:pPr>
              <w:rPr>
                <w:rFonts w:eastAsia="黑体"/>
                <w:bCs/>
                <w:sz w:val="18"/>
                <w:szCs w:val="18"/>
              </w:rPr>
            </w:pPr>
            <w:r>
              <w:rPr>
                <w:rFonts w:eastAsia="黑体"/>
                <w:bCs/>
                <w:sz w:val="18"/>
                <w:szCs w:val="18"/>
              </w:rPr>
              <w:t>854.63</w:t>
            </w:r>
          </w:p>
        </w:tc>
        <w:tc>
          <w:tcPr>
            <w:tcW w:w="851" w:type="dxa"/>
          </w:tcPr>
          <w:p w14:paraId="4A6BB740">
            <w:pPr>
              <w:rPr>
                <w:rFonts w:eastAsia="黑体"/>
                <w:bCs/>
                <w:sz w:val="18"/>
                <w:szCs w:val="18"/>
              </w:rPr>
            </w:pPr>
            <w:r>
              <w:rPr>
                <w:rFonts w:eastAsia="黑体"/>
                <w:bCs/>
                <w:sz w:val="18"/>
                <w:szCs w:val="18"/>
              </w:rPr>
              <w:t>855.9</w:t>
            </w:r>
          </w:p>
        </w:tc>
        <w:tc>
          <w:tcPr>
            <w:tcW w:w="850" w:type="dxa"/>
          </w:tcPr>
          <w:p w14:paraId="02B508E1">
            <w:pPr>
              <w:rPr>
                <w:rFonts w:eastAsia="黑体"/>
                <w:bCs/>
                <w:sz w:val="18"/>
                <w:szCs w:val="18"/>
              </w:rPr>
            </w:pPr>
            <w:r>
              <w:rPr>
                <w:rFonts w:eastAsia="黑体"/>
                <w:bCs/>
                <w:sz w:val="18"/>
                <w:szCs w:val="18"/>
              </w:rPr>
              <w:t>857.7</w:t>
            </w:r>
          </w:p>
        </w:tc>
        <w:tc>
          <w:tcPr>
            <w:tcW w:w="851" w:type="dxa"/>
          </w:tcPr>
          <w:p w14:paraId="3A306EFF">
            <w:pPr>
              <w:rPr>
                <w:rFonts w:eastAsia="黑体"/>
                <w:bCs/>
                <w:sz w:val="18"/>
                <w:szCs w:val="18"/>
              </w:rPr>
            </w:pPr>
            <w:r>
              <w:rPr>
                <w:rFonts w:eastAsia="黑体"/>
                <w:bCs/>
                <w:sz w:val="18"/>
                <w:szCs w:val="18"/>
              </w:rPr>
              <w:t>860.49</w:t>
            </w:r>
          </w:p>
        </w:tc>
        <w:tc>
          <w:tcPr>
            <w:tcW w:w="850" w:type="dxa"/>
          </w:tcPr>
          <w:p w14:paraId="74101F57">
            <w:pPr>
              <w:rPr>
                <w:rFonts w:eastAsia="黑体"/>
                <w:bCs/>
                <w:sz w:val="18"/>
                <w:szCs w:val="18"/>
              </w:rPr>
            </w:pPr>
            <w:r>
              <w:rPr>
                <w:rFonts w:eastAsia="黑体"/>
                <w:bCs/>
                <w:sz w:val="18"/>
                <w:szCs w:val="18"/>
              </w:rPr>
              <w:t>862.8</w:t>
            </w:r>
          </w:p>
        </w:tc>
        <w:tc>
          <w:tcPr>
            <w:tcW w:w="851" w:type="dxa"/>
          </w:tcPr>
          <w:p w14:paraId="68D61545">
            <w:pPr>
              <w:rPr>
                <w:rFonts w:eastAsia="黑体"/>
                <w:bCs/>
                <w:sz w:val="18"/>
                <w:szCs w:val="18"/>
              </w:rPr>
            </w:pPr>
            <w:r>
              <w:rPr>
                <w:rFonts w:eastAsia="黑体"/>
                <w:bCs/>
                <w:sz w:val="18"/>
                <w:szCs w:val="18"/>
              </w:rPr>
              <w:t>856.2</w:t>
            </w:r>
          </w:p>
        </w:tc>
      </w:tr>
      <w:tr w14:paraId="65AE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7A95B81B">
            <w:pPr>
              <w:rPr>
                <w:rFonts w:eastAsia="黑体"/>
                <w:bCs/>
                <w:sz w:val="18"/>
                <w:szCs w:val="18"/>
              </w:rPr>
            </w:pPr>
            <w:r>
              <w:rPr>
                <w:rFonts w:eastAsia="黑体"/>
                <w:bCs/>
                <w:sz w:val="18"/>
                <w:szCs w:val="18"/>
              </w:rPr>
              <w:t>220</w:t>
            </w:r>
            <w:r>
              <w:rPr>
                <w:rFonts w:hint="eastAsia" w:eastAsia="黑体"/>
                <w:bCs/>
                <w:sz w:val="18"/>
                <w:szCs w:val="18"/>
              </w:rPr>
              <w:t xml:space="preserve"> </w:t>
            </w:r>
            <w:r>
              <w:rPr>
                <w:rFonts w:eastAsia="黑体"/>
                <w:bCs/>
                <w:sz w:val="18"/>
                <w:szCs w:val="18"/>
              </w:rPr>
              <w:t>℃</w:t>
            </w:r>
          </w:p>
        </w:tc>
        <w:tc>
          <w:tcPr>
            <w:tcW w:w="993" w:type="dxa"/>
          </w:tcPr>
          <w:p w14:paraId="13289A21">
            <w:pPr>
              <w:rPr>
                <w:rFonts w:eastAsia="黑体"/>
                <w:bCs/>
                <w:sz w:val="18"/>
                <w:szCs w:val="18"/>
              </w:rPr>
            </w:pPr>
            <w:r>
              <w:rPr>
                <w:rFonts w:eastAsia="黑体"/>
                <w:bCs/>
                <w:sz w:val="18"/>
                <w:szCs w:val="18"/>
              </w:rPr>
              <w:t>2918.3</w:t>
            </w:r>
          </w:p>
        </w:tc>
        <w:tc>
          <w:tcPr>
            <w:tcW w:w="849" w:type="dxa"/>
          </w:tcPr>
          <w:p w14:paraId="2B998114">
            <w:pPr>
              <w:rPr>
                <w:rFonts w:eastAsia="黑体"/>
                <w:bCs/>
                <w:sz w:val="18"/>
                <w:szCs w:val="18"/>
              </w:rPr>
            </w:pPr>
            <w:r>
              <w:rPr>
                <w:rFonts w:eastAsia="黑体"/>
                <w:bCs/>
                <w:sz w:val="18"/>
                <w:szCs w:val="18"/>
              </w:rPr>
              <w:t>2914.7</w:t>
            </w:r>
          </w:p>
        </w:tc>
        <w:tc>
          <w:tcPr>
            <w:tcW w:w="850" w:type="dxa"/>
          </w:tcPr>
          <w:p w14:paraId="782B8CA6">
            <w:pPr>
              <w:rPr>
                <w:rFonts w:eastAsia="黑体"/>
                <w:bCs/>
                <w:sz w:val="18"/>
                <w:szCs w:val="18"/>
              </w:rPr>
            </w:pPr>
            <w:r>
              <w:rPr>
                <w:rFonts w:eastAsia="黑体"/>
                <w:bCs/>
                <w:sz w:val="18"/>
                <w:szCs w:val="18"/>
              </w:rPr>
              <w:t>2898</w:t>
            </w:r>
          </w:p>
        </w:tc>
        <w:tc>
          <w:tcPr>
            <w:tcW w:w="853" w:type="dxa"/>
          </w:tcPr>
          <w:p w14:paraId="12AEC3C6">
            <w:pPr>
              <w:rPr>
                <w:rFonts w:eastAsia="黑体"/>
                <w:bCs/>
                <w:sz w:val="18"/>
                <w:szCs w:val="18"/>
              </w:rPr>
            </w:pPr>
            <w:r>
              <w:rPr>
                <w:rFonts w:eastAsia="黑体"/>
                <w:bCs/>
                <w:sz w:val="18"/>
                <w:szCs w:val="18"/>
              </w:rPr>
              <w:t>2874.9</w:t>
            </w:r>
          </w:p>
        </w:tc>
        <w:tc>
          <w:tcPr>
            <w:tcW w:w="850" w:type="dxa"/>
          </w:tcPr>
          <w:p w14:paraId="56AA86C6">
            <w:pPr>
              <w:rPr>
                <w:rFonts w:eastAsia="黑体"/>
                <w:bCs/>
                <w:sz w:val="18"/>
                <w:szCs w:val="18"/>
              </w:rPr>
            </w:pPr>
            <w:r>
              <w:rPr>
                <w:rFonts w:eastAsia="黑体"/>
                <w:bCs/>
                <w:sz w:val="18"/>
                <w:szCs w:val="18"/>
              </w:rPr>
              <w:t>943.9</w:t>
            </w:r>
          </w:p>
        </w:tc>
        <w:tc>
          <w:tcPr>
            <w:tcW w:w="851" w:type="dxa"/>
          </w:tcPr>
          <w:p w14:paraId="621BFEC3">
            <w:pPr>
              <w:rPr>
                <w:rFonts w:eastAsia="黑体"/>
                <w:bCs/>
                <w:sz w:val="18"/>
                <w:szCs w:val="18"/>
              </w:rPr>
            </w:pPr>
            <w:r>
              <w:rPr>
                <w:rFonts w:eastAsia="黑体"/>
                <w:bCs/>
                <w:sz w:val="18"/>
                <w:szCs w:val="18"/>
              </w:rPr>
              <w:t>944.4</w:t>
            </w:r>
          </w:p>
        </w:tc>
        <w:tc>
          <w:tcPr>
            <w:tcW w:w="850" w:type="dxa"/>
          </w:tcPr>
          <w:p w14:paraId="54C40DE7">
            <w:pPr>
              <w:rPr>
                <w:rFonts w:eastAsia="黑体"/>
                <w:bCs/>
                <w:sz w:val="18"/>
                <w:szCs w:val="18"/>
              </w:rPr>
            </w:pPr>
            <w:r>
              <w:rPr>
                <w:rFonts w:eastAsia="黑体"/>
                <w:bCs/>
                <w:sz w:val="18"/>
                <w:szCs w:val="18"/>
              </w:rPr>
              <w:t>945.0</w:t>
            </w:r>
          </w:p>
        </w:tc>
        <w:tc>
          <w:tcPr>
            <w:tcW w:w="851" w:type="dxa"/>
          </w:tcPr>
          <w:p w14:paraId="690F2578">
            <w:pPr>
              <w:rPr>
                <w:rFonts w:eastAsia="黑体"/>
                <w:bCs/>
                <w:sz w:val="18"/>
                <w:szCs w:val="18"/>
              </w:rPr>
            </w:pPr>
            <w:r>
              <w:rPr>
                <w:rFonts w:eastAsia="黑体"/>
                <w:bCs/>
                <w:sz w:val="18"/>
                <w:szCs w:val="18"/>
              </w:rPr>
              <w:t>946</w:t>
            </w:r>
          </w:p>
        </w:tc>
        <w:tc>
          <w:tcPr>
            <w:tcW w:w="850" w:type="dxa"/>
          </w:tcPr>
          <w:p w14:paraId="5ADC1EE4">
            <w:pPr>
              <w:rPr>
                <w:rFonts w:eastAsia="黑体"/>
                <w:bCs/>
                <w:sz w:val="18"/>
                <w:szCs w:val="18"/>
              </w:rPr>
            </w:pPr>
            <w:r>
              <w:rPr>
                <w:rFonts w:eastAsia="黑体"/>
                <w:bCs/>
                <w:sz w:val="18"/>
                <w:szCs w:val="18"/>
              </w:rPr>
              <w:t>947.2</w:t>
            </w:r>
          </w:p>
        </w:tc>
        <w:tc>
          <w:tcPr>
            <w:tcW w:w="851" w:type="dxa"/>
          </w:tcPr>
          <w:p w14:paraId="55B67198">
            <w:pPr>
              <w:rPr>
                <w:rFonts w:eastAsia="黑体"/>
                <w:bCs/>
                <w:sz w:val="18"/>
                <w:szCs w:val="18"/>
              </w:rPr>
            </w:pPr>
            <w:r>
              <w:rPr>
                <w:rFonts w:eastAsia="黑体"/>
                <w:bCs/>
                <w:sz w:val="18"/>
                <w:szCs w:val="18"/>
              </w:rPr>
              <w:t>944.3</w:t>
            </w:r>
          </w:p>
        </w:tc>
        <w:tc>
          <w:tcPr>
            <w:tcW w:w="850" w:type="dxa"/>
          </w:tcPr>
          <w:p w14:paraId="4CB65C26">
            <w:pPr>
              <w:rPr>
                <w:rFonts w:eastAsia="黑体"/>
                <w:bCs/>
                <w:sz w:val="18"/>
                <w:szCs w:val="18"/>
              </w:rPr>
            </w:pPr>
            <w:r>
              <w:rPr>
                <w:rFonts w:eastAsia="黑体"/>
                <w:bCs/>
                <w:sz w:val="18"/>
                <w:szCs w:val="18"/>
              </w:rPr>
              <w:t>951.2</w:t>
            </w:r>
          </w:p>
        </w:tc>
        <w:tc>
          <w:tcPr>
            <w:tcW w:w="851" w:type="dxa"/>
          </w:tcPr>
          <w:p w14:paraId="0F49B095">
            <w:pPr>
              <w:rPr>
                <w:rFonts w:eastAsia="黑体"/>
                <w:bCs/>
                <w:sz w:val="18"/>
                <w:szCs w:val="18"/>
              </w:rPr>
            </w:pPr>
            <w:r>
              <w:rPr>
                <w:rFonts w:eastAsia="黑体"/>
                <w:bCs/>
                <w:sz w:val="18"/>
                <w:szCs w:val="18"/>
              </w:rPr>
              <w:t>953.1</w:t>
            </w:r>
          </w:p>
        </w:tc>
      </w:tr>
      <w:tr w14:paraId="2709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17681E20">
            <w:pPr>
              <w:rPr>
                <w:rFonts w:eastAsia="黑体"/>
                <w:bCs/>
                <w:sz w:val="18"/>
                <w:szCs w:val="18"/>
              </w:rPr>
            </w:pPr>
            <w:r>
              <w:rPr>
                <w:rFonts w:eastAsia="黑体"/>
                <w:bCs/>
                <w:sz w:val="18"/>
                <w:szCs w:val="18"/>
              </w:rPr>
              <w:t>240</w:t>
            </w:r>
            <w:r>
              <w:rPr>
                <w:rFonts w:hint="eastAsia" w:eastAsia="黑体"/>
                <w:bCs/>
                <w:sz w:val="18"/>
                <w:szCs w:val="18"/>
              </w:rPr>
              <w:t xml:space="preserve"> </w:t>
            </w:r>
            <w:r>
              <w:rPr>
                <w:rFonts w:eastAsia="黑体"/>
                <w:bCs/>
                <w:sz w:val="18"/>
                <w:szCs w:val="18"/>
              </w:rPr>
              <w:t>℃</w:t>
            </w:r>
          </w:p>
        </w:tc>
        <w:tc>
          <w:tcPr>
            <w:tcW w:w="993" w:type="dxa"/>
          </w:tcPr>
          <w:p w14:paraId="08485C03">
            <w:pPr>
              <w:rPr>
                <w:rFonts w:eastAsia="黑体"/>
                <w:bCs/>
                <w:sz w:val="18"/>
                <w:szCs w:val="18"/>
              </w:rPr>
            </w:pPr>
            <w:r>
              <w:rPr>
                <w:rFonts w:eastAsia="黑体"/>
                <w:bCs/>
                <w:sz w:val="18"/>
                <w:szCs w:val="18"/>
              </w:rPr>
              <w:t>2957.4</w:t>
            </w:r>
          </w:p>
        </w:tc>
        <w:tc>
          <w:tcPr>
            <w:tcW w:w="849" w:type="dxa"/>
          </w:tcPr>
          <w:p w14:paraId="7C97C86E">
            <w:pPr>
              <w:rPr>
                <w:rFonts w:eastAsia="黑体"/>
                <w:bCs/>
                <w:sz w:val="18"/>
                <w:szCs w:val="18"/>
              </w:rPr>
            </w:pPr>
            <w:r>
              <w:rPr>
                <w:rFonts w:eastAsia="黑体"/>
                <w:bCs/>
                <w:sz w:val="18"/>
                <w:szCs w:val="18"/>
              </w:rPr>
              <w:t>2954.3</w:t>
            </w:r>
          </w:p>
        </w:tc>
        <w:tc>
          <w:tcPr>
            <w:tcW w:w="850" w:type="dxa"/>
          </w:tcPr>
          <w:p w14:paraId="1A6BCBDF">
            <w:pPr>
              <w:rPr>
                <w:rFonts w:eastAsia="黑体"/>
                <w:bCs/>
                <w:sz w:val="18"/>
                <w:szCs w:val="18"/>
              </w:rPr>
            </w:pPr>
            <w:r>
              <w:rPr>
                <w:rFonts w:eastAsia="黑体"/>
                <w:bCs/>
                <w:sz w:val="18"/>
                <w:szCs w:val="18"/>
              </w:rPr>
              <w:t>2939.9</w:t>
            </w:r>
          </w:p>
        </w:tc>
        <w:tc>
          <w:tcPr>
            <w:tcW w:w="853" w:type="dxa"/>
          </w:tcPr>
          <w:p w14:paraId="73F987B6">
            <w:pPr>
              <w:rPr>
                <w:rFonts w:eastAsia="黑体"/>
                <w:bCs/>
                <w:sz w:val="18"/>
                <w:szCs w:val="18"/>
              </w:rPr>
            </w:pPr>
            <w:r>
              <w:rPr>
                <w:rFonts w:eastAsia="黑体"/>
                <w:bCs/>
                <w:sz w:val="18"/>
                <w:szCs w:val="18"/>
              </w:rPr>
              <w:t>2920.5</w:t>
            </w:r>
          </w:p>
        </w:tc>
        <w:tc>
          <w:tcPr>
            <w:tcW w:w="850" w:type="dxa"/>
          </w:tcPr>
          <w:p w14:paraId="337E3C41">
            <w:pPr>
              <w:rPr>
                <w:rFonts w:eastAsia="黑体"/>
                <w:bCs/>
                <w:sz w:val="18"/>
                <w:szCs w:val="18"/>
              </w:rPr>
            </w:pPr>
            <w:r>
              <w:rPr>
                <w:rFonts w:eastAsia="黑体"/>
                <w:bCs/>
                <w:sz w:val="18"/>
                <w:szCs w:val="18"/>
              </w:rPr>
              <w:t>2823</w:t>
            </w:r>
          </w:p>
        </w:tc>
        <w:tc>
          <w:tcPr>
            <w:tcW w:w="851" w:type="dxa"/>
          </w:tcPr>
          <w:p w14:paraId="0D7AC6E7">
            <w:pPr>
              <w:rPr>
                <w:rFonts w:eastAsia="黑体"/>
                <w:bCs/>
                <w:sz w:val="18"/>
                <w:szCs w:val="18"/>
              </w:rPr>
            </w:pPr>
            <w:r>
              <w:rPr>
                <w:rFonts w:eastAsia="黑体"/>
                <w:bCs/>
                <w:sz w:val="18"/>
                <w:szCs w:val="18"/>
              </w:rPr>
              <w:t>1037.8</w:t>
            </w:r>
          </w:p>
        </w:tc>
        <w:tc>
          <w:tcPr>
            <w:tcW w:w="850" w:type="dxa"/>
          </w:tcPr>
          <w:p w14:paraId="34C6F637">
            <w:pPr>
              <w:rPr>
                <w:rFonts w:eastAsia="黑体"/>
                <w:bCs/>
                <w:sz w:val="18"/>
                <w:szCs w:val="18"/>
              </w:rPr>
            </w:pPr>
            <w:r>
              <w:rPr>
                <w:rFonts w:eastAsia="黑体"/>
                <w:bCs/>
                <w:sz w:val="18"/>
                <w:szCs w:val="18"/>
              </w:rPr>
              <w:t>1038.0</w:t>
            </w:r>
          </w:p>
        </w:tc>
        <w:tc>
          <w:tcPr>
            <w:tcW w:w="851" w:type="dxa"/>
          </w:tcPr>
          <w:p w14:paraId="321704AF">
            <w:pPr>
              <w:rPr>
                <w:rFonts w:eastAsia="黑体"/>
                <w:bCs/>
                <w:sz w:val="18"/>
                <w:szCs w:val="18"/>
              </w:rPr>
            </w:pPr>
            <w:r>
              <w:rPr>
                <w:rFonts w:eastAsia="黑体"/>
                <w:bCs/>
                <w:sz w:val="18"/>
                <w:szCs w:val="18"/>
              </w:rPr>
              <w:t>1038.4</w:t>
            </w:r>
          </w:p>
        </w:tc>
        <w:tc>
          <w:tcPr>
            <w:tcW w:w="850" w:type="dxa"/>
          </w:tcPr>
          <w:p w14:paraId="5006EA56">
            <w:pPr>
              <w:rPr>
                <w:rFonts w:eastAsia="黑体"/>
                <w:bCs/>
                <w:sz w:val="18"/>
                <w:szCs w:val="18"/>
              </w:rPr>
            </w:pPr>
            <w:r>
              <w:rPr>
                <w:rFonts w:eastAsia="黑体"/>
                <w:bCs/>
                <w:sz w:val="18"/>
                <w:szCs w:val="18"/>
              </w:rPr>
              <w:t>1039.1</w:t>
            </w:r>
          </w:p>
        </w:tc>
        <w:tc>
          <w:tcPr>
            <w:tcW w:w="851" w:type="dxa"/>
          </w:tcPr>
          <w:p w14:paraId="3B338D5D">
            <w:pPr>
              <w:rPr>
                <w:rFonts w:eastAsia="黑体"/>
                <w:bCs/>
                <w:sz w:val="18"/>
                <w:szCs w:val="18"/>
              </w:rPr>
            </w:pPr>
            <w:r>
              <w:rPr>
                <w:rFonts w:eastAsia="黑体"/>
                <w:bCs/>
                <w:sz w:val="18"/>
                <w:szCs w:val="18"/>
              </w:rPr>
              <w:t>1040.3</w:t>
            </w:r>
          </w:p>
        </w:tc>
        <w:tc>
          <w:tcPr>
            <w:tcW w:w="850" w:type="dxa"/>
          </w:tcPr>
          <w:p w14:paraId="0C9E6E6E">
            <w:pPr>
              <w:rPr>
                <w:rFonts w:eastAsia="黑体"/>
                <w:bCs/>
                <w:sz w:val="18"/>
                <w:szCs w:val="18"/>
              </w:rPr>
            </w:pPr>
            <w:r>
              <w:rPr>
                <w:rFonts w:eastAsia="黑体"/>
                <w:bCs/>
                <w:sz w:val="18"/>
                <w:szCs w:val="18"/>
              </w:rPr>
              <w:t>1041.5</w:t>
            </w:r>
          </w:p>
        </w:tc>
        <w:tc>
          <w:tcPr>
            <w:tcW w:w="851" w:type="dxa"/>
          </w:tcPr>
          <w:p w14:paraId="5DD0CEAB">
            <w:pPr>
              <w:rPr>
                <w:rFonts w:eastAsia="黑体"/>
                <w:bCs/>
                <w:sz w:val="18"/>
                <w:szCs w:val="18"/>
              </w:rPr>
            </w:pPr>
            <w:r>
              <w:rPr>
                <w:rFonts w:eastAsia="黑体"/>
                <w:bCs/>
                <w:sz w:val="18"/>
                <w:szCs w:val="18"/>
              </w:rPr>
              <w:t>1024.8</w:t>
            </w:r>
          </w:p>
        </w:tc>
      </w:tr>
      <w:tr w14:paraId="68A1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3F86EFA4">
            <w:pPr>
              <w:rPr>
                <w:rFonts w:eastAsia="黑体"/>
                <w:bCs/>
                <w:sz w:val="18"/>
                <w:szCs w:val="18"/>
              </w:rPr>
            </w:pPr>
            <w:r>
              <w:rPr>
                <w:rFonts w:eastAsia="黑体"/>
                <w:bCs/>
                <w:sz w:val="18"/>
                <w:szCs w:val="18"/>
              </w:rPr>
              <w:t>260</w:t>
            </w:r>
            <w:r>
              <w:rPr>
                <w:rFonts w:hint="eastAsia" w:eastAsia="黑体"/>
                <w:bCs/>
                <w:sz w:val="18"/>
                <w:szCs w:val="18"/>
              </w:rPr>
              <w:t xml:space="preserve"> </w:t>
            </w:r>
            <w:r>
              <w:rPr>
                <w:rFonts w:eastAsia="黑体"/>
                <w:bCs/>
                <w:sz w:val="18"/>
                <w:szCs w:val="18"/>
              </w:rPr>
              <w:t>℃</w:t>
            </w:r>
          </w:p>
        </w:tc>
        <w:tc>
          <w:tcPr>
            <w:tcW w:w="993" w:type="dxa"/>
          </w:tcPr>
          <w:p w14:paraId="3744CA06">
            <w:pPr>
              <w:rPr>
                <w:rFonts w:eastAsia="黑体"/>
                <w:bCs/>
                <w:sz w:val="18"/>
                <w:szCs w:val="18"/>
              </w:rPr>
            </w:pPr>
            <w:r>
              <w:rPr>
                <w:rFonts w:eastAsia="黑体"/>
                <w:bCs/>
                <w:sz w:val="18"/>
                <w:szCs w:val="18"/>
              </w:rPr>
              <w:t>2996.8</w:t>
            </w:r>
          </w:p>
        </w:tc>
        <w:tc>
          <w:tcPr>
            <w:tcW w:w="849" w:type="dxa"/>
          </w:tcPr>
          <w:p w14:paraId="6340379C">
            <w:pPr>
              <w:rPr>
                <w:rFonts w:eastAsia="黑体"/>
                <w:bCs/>
                <w:sz w:val="18"/>
                <w:szCs w:val="18"/>
              </w:rPr>
            </w:pPr>
            <w:r>
              <w:rPr>
                <w:rFonts w:eastAsia="黑体"/>
                <w:bCs/>
                <w:sz w:val="18"/>
                <w:szCs w:val="18"/>
              </w:rPr>
              <w:t>2294.1</w:t>
            </w:r>
          </w:p>
        </w:tc>
        <w:tc>
          <w:tcPr>
            <w:tcW w:w="850" w:type="dxa"/>
          </w:tcPr>
          <w:p w14:paraId="7E188BCD">
            <w:pPr>
              <w:rPr>
                <w:rFonts w:eastAsia="黑体"/>
                <w:bCs/>
                <w:sz w:val="18"/>
                <w:szCs w:val="18"/>
              </w:rPr>
            </w:pPr>
            <w:r>
              <w:rPr>
                <w:rFonts w:eastAsia="黑体"/>
                <w:bCs/>
                <w:sz w:val="18"/>
                <w:szCs w:val="18"/>
              </w:rPr>
              <w:t>2981.5</w:t>
            </w:r>
          </w:p>
        </w:tc>
        <w:tc>
          <w:tcPr>
            <w:tcW w:w="853" w:type="dxa"/>
          </w:tcPr>
          <w:p w14:paraId="1F1558C9">
            <w:pPr>
              <w:rPr>
                <w:rFonts w:eastAsia="黑体"/>
                <w:bCs/>
                <w:sz w:val="18"/>
                <w:szCs w:val="18"/>
              </w:rPr>
            </w:pPr>
            <w:r>
              <w:rPr>
                <w:rFonts w:eastAsia="黑体"/>
                <w:bCs/>
                <w:sz w:val="18"/>
                <w:szCs w:val="18"/>
              </w:rPr>
              <w:t>2964.8</w:t>
            </w:r>
          </w:p>
        </w:tc>
        <w:tc>
          <w:tcPr>
            <w:tcW w:w="850" w:type="dxa"/>
          </w:tcPr>
          <w:p w14:paraId="4DFEA930">
            <w:pPr>
              <w:rPr>
                <w:rFonts w:eastAsia="黑体"/>
                <w:bCs/>
                <w:sz w:val="18"/>
                <w:szCs w:val="18"/>
              </w:rPr>
            </w:pPr>
            <w:r>
              <w:rPr>
                <w:rFonts w:eastAsia="黑体"/>
                <w:bCs/>
                <w:sz w:val="18"/>
                <w:szCs w:val="18"/>
              </w:rPr>
              <w:t>2885.5</w:t>
            </w:r>
          </w:p>
        </w:tc>
        <w:tc>
          <w:tcPr>
            <w:tcW w:w="851" w:type="dxa"/>
          </w:tcPr>
          <w:p w14:paraId="7E0E2886">
            <w:pPr>
              <w:rPr>
                <w:rFonts w:eastAsia="黑体"/>
                <w:bCs/>
                <w:sz w:val="18"/>
                <w:szCs w:val="18"/>
              </w:rPr>
            </w:pPr>
            <w:r>
              <w:rPr>
                <w:rFonts w:eastAsia="黑体"/>
                <w:bCs/>
                <w:sz w:val="18"/>
                <w:szCs w:val="18"/>
              </w:rPr>
              <w:t>1135</w:t>
            </w:r>
          </w:p>
        </w:tc>
        <w:tc>
          <w:tcPr>
            <w:tcW w:w="850" w:type="dxa"/>
          </w:tcPr>
          <w:p w14:paraId="049F162A">
            <w:pPr>
              <w:rPr>
                <w:rFonts w:eastAsia="黑体"/>
                <w:bCs/>
                <w:sz w:val="18"/>
                <w:szCs w:val="18"/>
              </w:rPr>
            </w:pPr>
            <w:r>
              <w:rPr>
                <w:rFonts w:eastAsia="黑体"/>
                <w:bCs/>
                <w:sz w:val="18"/>
                <w:szCs w:val="18"/>
              </w:rPr>
              <w:t>1134.7</w:t>
            </w:r>
          </w:p>
        </w:tc>
        <w:tc>
          <w:tcPr>
            <w:tcW w:w="851" w:type="dxa"/>
          </w:tcPr>
          <w:p w14:paraId="01309B17">
            <w:pPr>
              <w:rPr>
                <w:rFonts w:eastAsia="黑体"/>
                <w:bCs/>
                <w:sz w:val="18"/>
                <w:szCs w:val="18"/>
              </w:rPr>
            </w:pPr>
            <w:r>
              <w:rPr>
                <w:rFonts w:eastAsia="黑体"/>
                <w:bCs/>
                <w:sz w:val="18"/>
                <w:szCs w:val="18"/>
              </w:rPr>
              <w:t>1134.3</w:t>
            </w:r>
          </w:p>
        </w:tc>
        <w:tc>
          <w:tcPr>
            <w:tcW w:w="850" w:type="dxa"/>
          </w:tcPr>
          <w:p w14:paraId="472D0427">
            <w:pPr>
              <w:rPr>
                <w:rFonts w:eastAsia="黑体"/>
                <w:bCs/>
                <w:sz w:val="18"/>
                <w:szCs w:val="18"/>
              </w:rPr>
            </w:pPr>
            <w:r>
              <w:rPr>
                <w:rFonts w:eastAsia="黑体"/>
                <w:bCs/>
                <w:sz w:val="18"/>
                <w:szCs w:val="18"/>
              </w:rPr>
              <w:t>1134.1</w:t>
            </w:r>
          </w:p>
        </w:tc>
        <w:tc>
          <w:tcPr>
            <w:tcW w:w="851" w:type="dxa"/>
          </w:tcPr>
          <w:p w14:paraId="632EADC5">
            <w:pPr>
              <w:rPr>
                <w:rFonts w:eastAsia="黑体"/>
                <w:bCs/>
                <w:sz w:val="18"/>
                <w:szCs w:val="18"/>
              </w:rPr>
            </w:pPr>
            <w:r>
              <w:rPr>
                <w:rFonts w:eastAsia="黑体"/>
                <w:bCs/>
                <w:sz w:val="18"/>
                <w:szCs w:val="18"/>
              </w:rPr>
              <w:t>1134</w:t>
            </w:r>
          </w:p>
        </w:tc>
        <w:tc>
          <w:tcPr>
            <w:tcW w:w="850" w:type="dxa"/>
          </w:tcPr>
          <w:p w14:paraId="70B2C07F">
            <w:pPr>
              <w:rPr>
                <w:rFonts w:eastAsia="黑体"/>
                <w:bCs/>
                <w:sz w:val="18"/>
                <w:szCs w:val="18"/>
              </w:rPr>
            </w:pPr>
            <w:r>
              <w:rPr>
                <w:rFonts w:eastAsia="黑体"/>
                <w:bCs/>
                <w:sz w:val="18"/>
                <w:szCs w:val="18"/>
              </w:rPr>
              <w:t>1134.3</w:t>
            </w:r>
          </w:p>
        </w:tc>
        <w:tc>
          <w:tcPr>
            <w:tcW w:w="851" w:type="dxa"/>
          </w:tcPr>
          <w:p w14:paraId="27BE1FF4">
            <w:pPr>
              <w:rPr>
                <w:rFonts w:eastAsia="黑体"/>
                <w:bCs/>
                <w:sz w:val="18"/>
                <w:szCs w:val="18"/>
              </w:rPr>
            </w:pPr>
            <w:r>
              <w:rPr>
                <w:rFonts w:eastAsia="黑体"/>
                <w:bCs/>
                <w:sz w:val="18"/>
                <w:szCs w:val="18"/>
              </w:rPr>
              <w:t>1134.8</w:t>
            </w:r>
          </w:p>
        </w:tc>
      </w:tr>
      <w:tr w14:paraId="086B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6A4E84C6">
            <w:pPr>
              <w:rPr>
                <w:rFonts w:eastAsia="黑体"/>
                <w:bCs/>
                <w:sz w:val="18"/>
                <w:szCs w:val="18"/>
              </w:rPr>
            </w:pPr>
            <w:r>
              <w:rPr>
                <w:rFonts w:eastAsia="黑体"/>
                <w:bCs/>
                <w:sz w:val="18"/>
                <w:szCs w:val="18"/>
              </w:rPr>
              <w:t>280</w:t>
            </w:r>
            <w:r>
              <w:rPr>
                <w:rFonts w:hint="eastAsia" w:eastAsia="黑体"/>
                <w:bCs/>
                <w:sz w:val="18"/>
                <w:szCs w:val="18"/>
              </w:rPr>
              <w:t xml:space="preserve"> </w:t>
            </w:r>
            <w:r>
              <w:rPr>
                <w:rFonts w:eastAsia="黑体"/>
                <w:bCs/>
                <w:sz w:val="18"/>
                <w:szCs w:val="18"/>
              </w:rPr>
              <w:t>℃</w:t>
            </w:r>
          </w:p>
        </w:tc>
        <w:tc>
          <w:tcPr>
            <w:tcW w:w="993" w:type="dxa"/>
          </w:tcPr>
          <w:p w14:paraId="4BA5FBD0">
            <w:pPr>
              <w:rPr>
                <w:rFonts w:eastAsia="黑体"/>
                <w:bCs/>
                <w:sz w:val="18"/>
                <w:szCs w:val="18"/>
              </w:rPr>
            </w:pPr>
            <w:r>
              <w:rPr>
                <w:rFonts w:eastAsia="黑体"/>
                <w:bCs/>
                <w:sz w:val="18"/>
                <w:szCs w:val="18"/>
              </w:rPr>
              <w:t>3036.5</w:t>
            </w:r>
          </w:p>
        </w:tc>
        <w:tc>
          <w:tcPr>
            <w:tcW w:w="849" w:type="dxa"/>
          </w:tcPr>
          <w:p w14:paraId="475A051E">
            <w:pPr>
              <w:rPr>
                <w:rFonts w:eastAsia="黑体"/>
                <w:bCs/>
                <w:sz w:val="18"/>
                <w:szCs w:val="18"/>
              </w:rPr>
            </w:pPr>
            <w:r>
              <w:rPr>
                <w:rFonts w:eastAsia="黑体"/>
                <w:bCs/>
                <w:sz w:val="18"/>
                <w:szCs w:val="18"/>
              </w:rPr>
              <w:t>3034</w:t>
            </w:r>
          </w:p>
        </w:tc>
        <w:tc>
          <w:tcPr>
            <w:tcW w:w="850" w:type="dxa"/>
          </w:tcPr>
          <w:p w14:paraId="26C0B3E6">
            <w:pPr>
              <w:rPr>
                <w:rFonts w:eastAsia="黑体"/>
                <w:bCs/>
                <w:sz w:val="18"/>
                <w:szCs w:val="18"/>
              </w:rPr>
            </w:pPr>
            <w:r>
              <w:rPr>
                <w:rFonts w:eastAsia="黑体"/>
                <w:bCs/>
                <w:sz w:val="18"/>
                <w:szCs w:val="18"/>
              </w:rPr>
              <w:t>3022.9</w:t>
            </w:r>
          </w:p>
        </w:tc>
        <w:tc>
          <w:tcPr>
            <w:tcW w:w="853" w:type="dxa"/>
          </w:tcPr>
          <w:p w14:paraId="101CD98A">
            <w:pPr>
              <w:rPr>
                <w:rFonts w:eastAsia="黑体"/>
                <w:bCs/>
                <w:sz w:val="18"/>
                <w:szCs w:val="18"/>
              </w:rPr>
            </w:pPr>
            <w:r>
              <w:rPr>
                <w:rFonts w:eastAsia="黑体"/>
                <w:bCs/>
                <w:sz w:val="18"/>
                <w:szCs w:val="18"/>
              </w:rPr>
              <w:t>3008.3</w:t>
            </w:r>
          </w:p>
        </w:tc>
        <w:tc>
          <w:tcPr>
            <w:tcW w:w="850" w:type="dxa"/>
          </w:tcPr>
          <w:p w14:paraId="7C4738F9">
            <w:pPr>
              <w:rPr>
                <w:rFonts w:eastAsia="黑体"/>
                <w:bCs/>
                <w:sz w:val="18"/>
                <w:szCs w:val="18"/>
              </w:rPr>
            </w:pPr>
            <w:r>
              <w:rPr>
                <w:rFonts w:eastAsia="黑体"/>
                <w:bCs/>
                <w:sz w:val="18"/>
                <w:szCs w:val="18"/>
              </w:rPr>
              <w:t>2941.8</w:t>
            </w:r>
          </w:p>
        </w:tc>
        <w:tc>
          <w:tcPr>
            <w:tcW w:w="851" w:type="dxa"/>
          </w:tcPr>
          <w:p w14:paraId="6B654165">
            <w:pPr>
              <w:rPr>
                <w:rFonts w:eastAsia="黑体"/>
                <w:bCs/>
                <w:sz w:val="18"/>
                <w:szCs w:val="18"/>
              </w:rPr>
            </w:pPr>
            <w:r>
              <w:rPr>
                <w:rFonts w:eastAsia="黑体"/>
                <w:bCs/>
                <w:sz w:val="18"/>
                <w:szCs w:val="18"/>
              </w:rPr>
              <w:t>2857</w:t>
            </w:r>
          </w:p>
        </w:tc>
        <w:tc>
          <w:tcPr>
            <w:tcW w:w="850" w:type="dxa"/>
          </w:tcPr>
          <w:p w14:paraId="6620B387">
            <w:pPr>
              <w:rPr>
                <w:rFonts w:eastAsia="黑体"/>
                <w:bCs/>
                <w:sz w:val="18"/>
                <w:szCs w:val="18"/>
              </w:rPr>
            </w:pPr>
            <w:r>
              <w:rPr>
                <w:rFonts w:eastAsia="黑体"/>
                <w:bCs/>
                <w:sz w:val="18"/>
                <w:szCs w:val="18"/>
              </w:rPr>
              <w:t>1236.7</w:t>
            </w:r>
          </w:p>
        </w:tc>
        <w:tc>
          <w:tcPr>
            <w:tcW w:w="851" w:type="dxa"/>
          </w:tcPr>
          <w:p w14:paraId="6C5EB743">
            <w:pPr>
              <w:rPr>
                <w:rFonts w:eastAsia="黑体"/>
                <w:bCs/>
                <w:sz w:val="18"/>
                <w:szCs w:val="18"/>
              </w:rPr>
            </w:pPr>
            <w:r>
              <w:rPr>
                <w:rFonts w:eastAsia="黑体"/>
                <w:bCs/>
                <w:sz w:val="18"/>
                <w:szCs w:val="18"/>
              </w:rPr>
              <w:t>1235.2</w:t>
            </w:r>
          </w:p>
        </w:tc>
        <w:tc>
          <w:tcPr>
            <w:tcW w:w="850" w:type="dxa"/>
          </w:tcPr>
          <w:p w14:paraId="011D00FD">
            <w:pPr>
              <w:rPr>
                <w:rFonts w:eastAsia="黑体"/>
                <w:bCs/>
                <w:sz w:val="18"/>
                <w:szCs w:val="18"/>
              </w:rPr>
            </w:pPr>
            <w:r>
              <w:rPr>
                <w:rFonts w:eastAsia="黑体"/>
                <w:bCs/>
                <w:sz w:val="18"/>
                <w:szCs w:val="18"/>
              </w:rPr>
              <w:t>1233.5</w:t>
            </w:r>
          </w:p>
        </w:tc>
        <w:tc>
          <w:tcPr>
            <w:tcW w:w="851" w:type="dxa"/>
          </w:tcPr>
          <w:p w14:paraId="4316EF8B">
            <w:pPr>
              <w:rPr>
                <w:rFonts w:eastAsia="黑体"/>
                <w:bCs/>
                <w:sz w:val="18"/>
                <w:szCs w:val="18"/>
              </w:rPr>
            </w:pPr>
            <w:r>
              <w:rPr>
                <w:rFonts w:eastAsia="黑体"/>
                <w:bCs/>
                <w:sz w:val="18"/>
                <w:szCs w:val="18"/>
              </w:rPr>
              <w:t>1231.6</w:t>
            </w:r>
          </w:p>
        </w:tc>
        <w:tc>
          <w:tcPr>
            <w:tcW w:w="850" w:type="dxa"/>
          </w:tcPr>
          <w:p w14:paraId="2EDD934D">
            <w:pPr>
              <w:rPr>
                <w:rFonts w:eastAsia="黑体"/>
                <w:bCs/>
                <w:sz w:val="18"/>
                <w:szCs w:val="18"/>
              </w:rPr>
            </w:pPr>
            <w:r>
              <w:rPr>
                <w:rFonts w:eastAsia="黑体"/>
                <w:bCs/>
                <w:sz w:val="18"/>
                <w:szCs w:val="18"/>
              </w:rPr>
              <w:t>1230.5</w:t>
            </w:r>
          </w:p>
        </w:tc>
        <w:tc>
          <w:tcPr>
            <w:tcW w:w="851" w:type="dxa"/>
          </w:tcPr>
          <w:p w14:paraId="5AA60374">
            <w:pPr>
              <w:rPr>
                <w:rFonts w:eastAsia="黑体"/>
                <w:bCs/>
                <w:sz w:val="18"/>
                <w:szCs w:val="18"/>
              </w:rPr>
            </w:pPr>
            <w:r>
              <w:rPr>
                <w:rFonts w:eastAsia="黑体"/>
                <w:bCs/>
                <w:sz w:val="18"/>
                <w:szCs w:val="18"/>
              </w:rPr>
              <w:t>1229.9</w:t>
            </w:r>
          </w:p>
        </w:tc>
      </w:tr>
      <w:tr w14:paraId="20AA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14:paraId="046410F4">
            <w:pPr>
              <w:rPr>
                <w:rFonts w:eastAsia="黑体"/>
                <w:bCs/>
                <w:sz w:val="18"/>
                <w:szCs w:val="18"/>
              </w:rPr>
            </w:pPr>
            <w:r>
              <w:rPr>
                <w:rFonts w:eastAsia="黑体"/>
                <w:bCs/>
                <w:sz w:val="18"/>
                <w:szCs w:val="18"/>
              </w:rPr>
              <w:t>300</w:t>
            </w:r>
            <w:r>
              <w:rPr>
                <w:rFonts w:hint="eastAsia" w:eastAsia="黑体"/>
                <w:bCs/>
                <w:sz w:val="18"/>
                <w:szCs w:val="18"/>
              </w:rPr>
              <w:t xml:space="preserve"> </w:t>
            </w:r>
            <w:r>
              <w:rPr>
                <w:rFonts w:eastAsia="黑体"/>
                <w:bCs/>
                <w:sz w:val="18"/>
                <w:szCs w:val="18"/>
              </w:rPr>
              <w:t>℃</w:t>
            </w:r>
          </w:p>
        </w:tc>
        <w:tc>
          <w:tcPr>
            <w:tcW w:w="993" w:type="dxa"/>
          </w:tcPr>
          <w:p w14:paraId="65BDC867">
            <w:pPr>
              <w:rPr>
                <w:rFonts w:eastAsia="黑体"/>
                <w:bCs/>
                <w:sz w:val="18"/>
                <w:szCs w:val="18"/>
              </w:rPr>
            </w:pPr>
            <w:r>
              <w:rPr>
                <w:rFonts w:eastAsia="黑体"/>
                <w:bCs/>
                <w:sz w:val="18"/>
                <w:szCs w:val="18"/>
              </w:rPr>
              <w:t>3076.3</w:t>
            </w:r>
          </w:p>
        </w:tc>
        <w:tc>
          <w:tcPr>
            <w:tcW w:w="849" w:type="dxa"/>
          </w:tcPr>
          <w:p w14:paraId="6DE5C3EF">
            <w:pPr>
              <w:rPr>
                <w:rFonts w:eastAsia="黑体"/>
                <w:bCs/>
                <w:sz w:val="18"/>
                <w:szCs w:val="18"/>
              </w:rPr>
            </w:pPr>
            <w:r>
              <w:rPr>
                <w:rFonts w:eastAsia="黑体"/>
                <w:bCs/>
                <w:sz w:val="18"/>
                <w:szCs w:val="18"/>
              </w:rPr>
              <w:t>3074.1</w:t>
            </w:r>
          </w:p>
        </w:tc>
        <w:tc>
          <w:tcPr>
            <w:tcW w:w="850" w:type="dxa"/>
          </w:tcPr>
          <w:p w14:paraId="10D4AF6B">
            <w:pPr>
              <w:rPr>
                <w:rFonts w:eastAsia="黑体"/>
                <w:bCs/>
                <w:sz w:val="18"/>
                <w:szCs w:val="18"/>
              </w:rPr>
            </w:pPr>
            <w:r>
              <w:rPr>
                <w:rFonts w:eastAsia="黑体"/>
                <w:bCs/>
                <w:sz w:val="18"/>
                <w:szCs w:val="18"/>
              </w:rPr>
              <w:t>3064.2</w:t>
            </w:r>
          </w:p>
        </w:tc>
        <w:tc>
          <w:tcPr>
            <w:tcW w:w="853" w:type="dxa"/>
          </w:tcPr>
          <w:p w14:paraId="3EEA35C1">
            <w:pPr>
              <w:rPr>
                <w:rFonts w:eastAsia="黑体"/>
                <w:bCs/>
                <w:sz w:val="18"/>
                <w:szCs w:val="18"/>
              </w:rPr>
            </w:pPr>
            <w:r>
              <w:rPr>
                <w:rFonts w:eastAsia="黑体"/>
                <w:bCs/>
                <w:sz w:val="18"/>
                <w:szCs w:val="18"/>
              </w:rPr>
              <w:t>3051.3</w:t>
            </w:r>
          </w:p>
        </w:tc>
        <w:tc>
          <w:tcPr>
            <w:tcW w:w="850" w:type="dxa"/>
          </w:tcPr>
          <w:p w14:paraId="20BA482D">
            <w:pPr>
              <w:rPr>
                <w:rFonts w:eastAsia="黑体"/>
                <w:bCs/>
                <w:sz w:val="18"/>
                <w:szCs w:val="18"/>
              </w:rPr>
            </w:pPr>
            <w:r>
              <w:rPr>
                <w:rFonts w:eastAsia="黑体"/>
                <w:bCs/>
                <w:sz w:val="18"/>
                <w:szCs w:val="18"/>
              </w:rPr>
              <w:t>2994.2</w:t>
            </w:r>
          </w:p>
        </w:tc>
        <w:tc>
          <w:tcPr>
            <w:tcW w:w="851" w:type="dxa"/>
          </w:tcPr>
          <w:p w14:paraId="18525FB3">
            <w:pPr>
              <w:rPr>
                <w:rFonts w:eastAsia="黑体"/>
                <w:bCs/>
                <w:sz w:val="18"/>
                <w:szCs w:val="18"/>
              </w:rPr>
            </w:pPr>
            <w:r>
              <w:rPr>
                <w:rFonts w:eastAsia="黑体"/>
                <w:bCs/>
                <w:sz w:val="18"/>
                <w:szCs w:val="18"/>
              </w:rPr>
              <w:t>2925.4</w:t>
            </w:r>
          </w:p>
        </w:tc>
        <w:tc>
          <w:tcPr>
            <w:tcW w:w="850" w:type="dxa"/>
          </w:tcPr>
          <w:p w14:paraId="129A4B08">
            <w:pPr>
              <w:rPr>
                <w:rFonts w:eastAsia="黑体"/>
                <w:bCs/>
                <w:sz w:val="18"/>
                <w:szCs w:val="18"/>
              </w:rPr>
            </w:pPr>
            <w:r>
              <w:rPr>
                <w:rFonts w:eastAsia="黑体"/>
                <w:bCs/>
                <w:sz w:val="18"/>
                <w:szCs w:val="18"/>
              </w:rPr>
              <w:t>2839.2</w:t>
            </w:r>
          </w:p>
        </w:tc>
        <w:tc>
          <w:tcPr>
            <w:tcW w:w="851" w:type="dxa"/>
          </w:tcPr>
          <w:p w14:paraId="11F3879A">
            <w:pPr>
              <w:rPr>
                <w:rFonts w:eastAsia="黑体"/>
                <w:bCs/>
                <w:sz w:val="18"/>
                <w:szCs w:val="18"/>
              </w:rPr>
            </w:pPr>
            <w:r>
              <w:rPr>
                <w:rFonts w:eastAsia="黑体"/>
                <w:bCs/>
                <w:sz w:val="18"/>
                <w:szCs w:val="18"/>
              </w:rPr>
              <w:t>1343.7</w:t>
            </w:r>
          </w:p>
        </w:tc>
        <w:tc>
          <w:tcPr>
            <w:tcW w:w="850" w:type="dxa"/>
          </w:tcPr>
          <w:p w14:paraId="749661EB">
            <w:pPr>
              <w:rPr>
                <w:rFonts w:eastAsia="黑体"/>
                <w:bCs/>
                <w:sz w:val="18"/>
                <w:szCs w:val="18"/>
              </w:rPr>
            </w:pPr>
            <w:r>
              <w:rPr>
                <w:rFonts w:eastAsia="黑体"/>
                <w:bCs/>
                <w:sz w:val="18"/>
                <w:szCs w:val="18"/>
              </w:rPr>
              <w:t>1339.5</w:t>
            </w:r>
          </w:p>
        </w:tc>
        <w:tc>
          <w:tcPr>
            <w:tcW w:w="851" w:type="dxa"/>
          </w:tcPr>
          <w:p w14:paraId="2E7EE5E8">
            <w:pPr>
              <w:rPr>
                <w:rFonts w:eastAsia="黑体"/>
                <w:bCs/>
                <w:sz w:val="18"/>
                <w:szCs w:val="18"/>
              </w:rPr>
            </w:pPr>
            <w:r>
              <w:rPr>
                <w:rFonts w:eastAsia="黑体"/>
                <w:bCs/>
                <w:sz w:val="18"/>
                <w:szCs w:val="18"/>
              </w:rPr>
              <w:t>1334.6</w:t>
            </w:r>
          </w:p>
        </w:tc>
        <w:tc>
          <w:tcPr>
            <w:tcW w:w="850" w:type="dxa"/>
          </w:tcPr>
          <w:p w14:paraId="45D2B0D9">
            <w:pPr>
              <w:rPr>
                <w:rFonts w:eastAsia="黑体"/>
                <w:bCs/>
                <w:sz w:val="18"/>
                <w:szCs w:val="18"/>
              </w:rPr>
            </w:pPr>
            <w:r>
              <w:rPr>
                <w:rFonts w:eastAsia="黑体"/>
                <w:bCs/>
                <w:sz w:val="18"/>
                <w:szCs w:val="18"/>
              </w:rPr>
              <w:t>1331.5</w:t>
            </w:r>
          </w:p>
        </w:tc>
        <w:tc>
          <w:tcPr>
            <w:tcW w:w="851" w:type="dxa"/>
          </w:tcPr>
          <w:p w14:paraId="6BD6D3E5">
            <w:pPr>
              <w:rPr>
                <w:rFonts w:eastAsia="黑体"/>
                <w:bCs/>
                <w:sz w:val="18"/>
                <w:szCs w:val="18"/>
              </w:rPr>
            </w:pPr>
            <w:r>
              <w:rPr>
                <w:rFonts w:eastAsia="黑体"/>
                <w:bCs/>
                <w:sz w:val="18"/>
                <w:szCs w:val="18"/>
              </w:rPr>
              <w:t>1329</w:t>
            </w:r>
          </w:p>
        </w:tc>
      </w:tr>
      <w:tr w14:paraId="148C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tcPr>
          <w:p w14:paraId="571F86D9">
            <w:pPr>
              <w:rPr>
                <w:rFonts w:eastAsia="黑体"/>
                <w:bCs/>
                <w:sz w:val="18"/>
                <w:szCs w:val="18"/>
              </w:rPr>
            </w:pPr>
            <w:r>
              <w:rPr>
                <w:rFonts w:eastAsia="黑体"/>
                <w:bCs/>
                <w:sz w:val="18"/>
                <w:szCs w:val="18"/>
              </w:rPr>
              <w:t>350</w:t>
            </w:r>
            <w:r>
              <w:rPr>
                <w:rFonts w:hint="eastAsia" w:eastAsia="黑体"/>
                <w:bCs/>
                <w:sz w:val="18"/>
                <w:szCs w:val="18"/>
              </w:rPr>
              <w:t xml:space="preserve"> </w:t>
            </w:r>
            <w:r>
              <w:rPr>
                <w:rFonts w:eastAsia="黑体"/>
                <w:bCs/>
                <w:sz w:val="18"/>
                <w:szCs w:val="18"/>
              </w:rPr>
              <w:t>℃</w:t>
            </w:r>
          </w:p>
        </w:tc>
        <w:tc>
          <w:tcPr>
            <w:tcW w:w="993" w:type="dxa"/>
            <w:shd w:val="clear" w:color="auto" w:fill="auto"/>
          </w:tcPr>
          <w:p w14:paraId="16807C1E">
            <w:pPr>
              <w:rPr>
                <w:rFonts w:eastAsia="黑体"/>
                <w:bCs/>
                <w:sz w:val="18"/>
                <w:szCs w:val="18"/>
              </w:rPr>
            </w:pPr>
            <w:r>
              <w:rPr>
                <w:rFonts w:eastAsia="黑体"/>
                <w:bCs/>
                <w:sz w:val="18"/>
                <w:szCs w:val="18"/>
              </w:rPr>
              <w:t>3177</w:t>
            </w:r>
          </w:p>
        </w:tc>
        <w:tc>
          <w:tcPr>
            <w:tcW w:w="849" w:type="dxa"/>
            <w:shd w:val="clear" w:color="auto" w:fill="auto"/>
          </w:tcPr>
          <w:p w14:paraId="55D7942A">
            <w:pPr>
              <w:rPr>
                <w:rFonts w:eastAsia="黑体"/>
                <w:bCs/>
                <w:sz w:val="18"/>
                <w:szCs w:val="18"/>
              </w:rPr>
            </w:pPr>
            <w:r>
              <w:rPr>
                <w:rFonts w:eastAsia="黑体"/>
                <w:bCs/>
                <w:sz w:val="18"/>
                <w:szCs w:val="18"/>
              </w:rPr>
              <w:t>3175.3</w:t>
            </w:r>
          </w:p>
        </w:tc>
        <w:tc>
          <w:tcPr>
            <w:tcW w:w="850" w:type="dxa"/>
            <w:shd w:val="clear" w:color="auto" w:fill="auto"/>
          </w:tcPr>
          <w:p w14:paraId="78237109">
            <w:pPr>
              <w:rPr>
                <w:rFonts w:eastAsia="黑体"/>
                <w:bCs/>
                <w:sz w:val="18"/>
                <w:szCs w:val="18"/>
              </w:rPr>
            </w:pPr>
            <w:r>
              <w:rPr>
                <w:rFonts w:eastAsia="黑体"/>
                <w:bCs/>
                <w:sz w:val="18"/>
                <w:szCs w:val="18"/>
              </w:rPr>
              <w:t>3167.6</w:t>
            </w:r>
          </w:p>
        </w:tc>
        <w:tc>
          <w:tcPr>
            <w:tcW w:w="853" w:type="dxa"/>
            <w:shd w:val="clear" w:color="auto" w:fill="auto"/>
          </w:tcPr>
          <w:p w14:paraId="03A325F9">
            <w:pPr>
              <w:rPr>
                <w:rFonts w:eastAsia="黑体"/>
                <w:bCs/>
                <w:sz w:val="18"/>
                <w:szCs w:val="18"/>
              </w:rPr>
            </w:pPr>
            <w:r>
              <w:rPr>
                <w:rFonts w:eastAsia="黑体"/>
                <w:bCs/>
                <w:sz w:val="18"/>
                <w:szCs w:val="18"/>
              </w:rPr>
              <w:t>3157.7</w:t>
            </w:r>
          </w:p>
        </w:tc>
        <w:tc>
          <w:tcPr>
            <w:tcW w:w="850" w:type="dxa"/>
            <w:shd w:val="clear" w:color="auto" w:fill="auto"/>
          </w:tcPr>
          <w:p w14:paraId="20AF729F">
            <w:pPr>
              <w:jc w:val="center"/>
              <w:rPr>
                <w:rFonts w:eastAsia="黑体"/>
                <w:bCs/>
                <w:sz w:val="18"/>
                <w:szCs w:val="18"/>
              </w:rPr>
            </w:pPr>
            <w:r>
              <w:rPr>
                <w:rFonts w:eastAsia="黑体"/>
                <w:bCs/>
                <w:sz w:val="18"/>
                <w:szCs w:val="18"/>
              </w:rPr>
              <w:t>3115.7</w:t>
            </w:r>
          </w:p>
        </w:tc>
        <w:tc>
          <w:tcPr>
            <w:tcW w:w="851" w:type="dxa"/>
            <w:shd w:val="clear" w:color="auto" w:fill="auto"/>
          </w:tcPr>
          <w:p w14:paraId="1E8F58DF">
            <w:pPr>
              <w:rPr>
                <w:rFonts w:eastAsia="黑体"/>
                <w:bCs/>
                <w:sz w:val="18"/>
                <w:szCs w:val="18"/>
              </w:rPr>
            </w:pPr>
            <w:r>
              <w:rPr>
                <w:rFonts w:eastAsia="黑体"/>
                <w:bCs/>
                <w:sz w:val="18"/>
                <w:szCs w:val="18"/>
              </w:rPr>
              <w:t>3069.2</w:t>
            </w:r>
          </w:p>
        </w:tc>
        <w:tc>
          <w:tcPr>
            <w:tcW w:w="850" w:type="dxa"/>
            <w:shd w:val="clear" w:color="auto" w:fill="auto"/>
          </w:tcPr>
          <w:p w14:paraId="32783F72">
            <w:pPr>
              <w:jc w:val="center"/>
              <w:rPr>
                <w:rFonts w:eastAsia="黑体"/>
                <w:bCs/>
                <w:sz w:val="18"/>
                <w:szCs w:val="18"/>
              </w:rPr>
            </w:pPr>
            <w:r>
              <w:rPr>
                <w:rFonts w:eastAsia="黑体"/>
                <w:bCs/>
                <w:sz w:val="18"/>
                <w:szCs w:val="18"/>
              </w:rPr>
              <w:t>3017.0</w:t>
            </w:r>
          </w:p>
        </w:tc>
        <w:tc>
          <w:tcPr>
            <w:tcW w:w="851" w:type="dxa"/>
            <w:shd w:val="clear" w:color="auto" w:fill="auto"/>
          </w:tcPr>
          <w:p w14:paraId="1E6BCA43">
            <w:pPr>
              <w:jc w:val="center"/>
              <w:rPr>
                <w:rFonts w:eastAsia="黑体"/>
                <w:bCs/>
                <w:sz w:val="18"/>
                <w:szCs w:val="18"/>
              </w:rPr>
            </w:pPr>
            <w:r>
              <w:rPr>
                <w:rFonts w:eastAsia="黑体"/>
                <w:bCs/>
                <w:sz w:val="18"/>
                <w:szCs w:val="18"/>
              </w:rPr>
              <w:t>2924.2</w:t>
            </w:r>
          </w:p>
        </w:tc>
        <w:tc>
          <w:tcPr>
            <w:tcW w:w="850" w:type="dxa"/>
            <w:shd w:val="clear" w:color="auto" w:fill="auto"/>
          </w:tcPr>
          <w:p w14:paraId="6F20A42C">
            <w:pPr>
              <w:jc w:val="center"/>
              <w:rPr>
                <w:rFonts w:eastAsia="黑体"/>
                <w:bCs/>
                <w:sz w:val="18"/>
                <w:szCs w:val="18"/>
              </w:rPr>
            </w:pPr>
            <w:r>
              <w:rPr>
                <w:rFonts w:eastAsia="黑体"/>
                <w:bCs/>
                <w:sz w:val="18"/>
                <w:szCs w:val="18"/>
              </w:rPr>
              <w:t>2753.5</w:t>
            </w:r>
          </w:p>
        </w:tc>
        <w:tc>
          <w:tcPr>
            <w:tcW w:w="851" w:type="dxa"/>
            <w:shd w:val="clear" w:color="auto" w:fill="auto"/>
          </w:tcPr>
          <w:p w14:paraId="732E2F3F">
            <w:pPr>
              <w:jc w:val="center"/>
              <w:rPr>
                <w:rFonts w:eastAsia="黑体"/>
                <w:bCs/>
                <w:sz w:val="18"/>
                <w:szCs w:val="18"/>
              </w:rPr>
            </w:pPr>
            <w:r>
              <w:rPr>
                <w:rFonts w:eastAsia="黑体"/>
                <w:bCs/>
                <w:sz w:val="18"/>
                <w:szCs w:val="18"/>
              </w:rPr>
              <w:t>1648.4</w:t>
            </w:r>
          </w:p>
        </w:tc>
        <w:tc>
          <w:tcPr>
            <w:tcW w:w="850" w:type="dxa"/>
            <w:shd w:val="clear" w:color="auto" w:fill="auto"/>
          </w:tcPr>
          <w:p w14:paraId="6A3EDEEE">
            <w:pPr>
              <w:jc w:val="center"/>
              <w:rPr>
                <w:rFonts w:eastAsia="黑体"/>
                <w:bCs/>
                <w:sz w:val="18"/>
                <w:szCs w:val="18"/>
              </w:rPr>
            </w:pPr>
            <w:r>
              <w:rPr>
                <w:rFonts w:eastAsia="黑体"/>
                <w:bCs/>
                <w:sz w:val="18"/>
                <w:szCs w:val="18"/>
              </w:rPr>
              <w:t>1626.4</w:t>
            </w:r>
          </w:p>
        </w:tc>
        <w:tc>
          <w:tcPr>
            <w:tcW w:w="851" w:type="dxa"/>
            <w:shd w:val="clear" w:color="auto" w:fill="auto"/>
          </w:tcPr>
          <w:p w14:paraId="6F22831D">
            <w:pPr>
              <w:jc w:val="center"/>
              <w:rPr>
                <w:rFonts w:eastAsia="黑体"/>
                <w:bCs/>
                <w:sz w:val="18"/>
                <w:szCs w:val="18"/>
              </w:rPr>
            </w:pPr>
            <w:r>
              <w:rPr>
                <w:rFonts w:eastAsia="黑体"/>
                <w:bCs/>
                <w:sz w:val="18"/>
                <w:szCs w:val="18"/>
              </w:rPr>
              <w:t>1611.3</w:t>
            </w:r>
          </w:p>
        </w:tc>
      </w:tr>
      <w:tr w14:paraId="2D889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65878B89">
            <w:pPr>
              <w:rPr>
                <w:rFonts w:eastAsia="黑体"/>
                <w:bCs/>
                <w:sz w:val="18"/>
                <w:szCs w:val="18"/>
              </w:rPr>
            </w:pPr>
            <w:r>
              <w:rPr>
                <w:rFonts w:eastAsia="黑体"/>
                <w:bCs/>
                <w:sz w:val="18"/>
                <w:szCs w:val="18"/>
              </w:rPr>
              <w:t>400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5A67535D">
            <w:pPr>
              <w:rPr>
                <w:rFonts w:eastAsia="黑体"/>
                <w:bCs/>
                <w:sz w:val="18"/>
                <w:szCs w:val="18"/>
              </w:rPr>
            </w:pPr>
            <w:r>
              <w:rPr>
                <w:rFonts w:eastAsia="黑体"/>
                <w:bCs/>
                <w:sz w:val="18"/>
                <w:szCs w:val="18"/>
              </w:rPr>
              <w:t>3279.4</w:t>
            </w:r>
          </w:p>
        </w:tc>
        <w:tc>
          <w:tcPr>
            <w:tcW w:w="849" w:type="dxa"/>
            <w:shd w:val="clear" w:color="auto" w:fill="auto"/>
            <w:vAlign w:val="center"/>
          </w:tcPr>
          <w:p w14:paraId="50DE80CE">
            <w:pPr>
              <w:rPr>
                <w:rFonts w:eastAsia="黑体"/>
                <w:bCs/>
                <w:sz w:val="18"/>
                <w:szCs w:val="18"/>
              </w:rPr>
            </w:pPr>
            <w:r>
              <w:rPr>
                <w:rFonts w:eastAsia="黑体"/>
                <w:bCs/>
                <w:sz w:val="18"/>
                <w:szCs w:val="18"/>
              </w:rPr>
              <w:t>3278</w:t>
            </w:r>
          </w:p>
        </w:tc>
        <w:tc>
          <w:tcPr>
            <w:tcW w:w="850" w:type="dxa"/>
            <w:shd w:val="clear" w:color="auto" w:fill="auto"/>
            <w:vAlign w:val="center"/>
          </w:tcPr>
          <w:p w14:paraId="19DC1730">
            <w:pPr>
              <w:rPr>
                <w:rFonts w:eastAsia="黑体"/>
                <w:bCs/>
                <w:sz w:val="18"/>
                <w:szCs w:val="18"/>
              </w:rPr>
            </w:pPr>
            <w:r>
              <w:rPr>
                <w:rFonts w:eastAsia="黑体"/>
                <w:bCs/>
                <w:sz w:val="18"/>
                <w:szCs w:val="18"/>
              </w:rPr>
              <w:t>3217.8</w:t>
            </w:r>
          </w:p>
        </w:tc>
        <w:tc>
          <w:tcPr>
            <w:tcW w:w="853" w:type="dxa"/>
            <w:shd w:val="clear" w:color="auto" w:fill="auto"/>
            <w:vAlign w:val="center"/>
          </w:tcPr>
          <w:p w14:paraId="06AD65F6">
            <w:pPr>
              <w:rPr>
                <w:rFonts w:eastAsia="黑体"/>
                <w:bCs/>
                <w:sz w:val="18"/>
                <w:szCs w:val="18"/>
              </w:rPr>
            </w:pPr>
            <w:r>
              <w:rPr>
                <w:rFonts w:eastAsia="黑体"/>
                <w:bCs/>
                <w:sz w:val="18"/>
                <w:szCs w:val="18"/>
              </w:rPr>
              <w:t>3254</w:t>
            </w:r>
          </w:p>
        </w:tc>
        <w:tc>
          <w:tcPr>
            <w:tcW w:w="850" w:type="dxa"/>
            <w:shd w:val="clear" w:color="auto" w:fill="auto"/>
            <w:vAlign w:val="center"/>
          </w:tcPr>
          <w:p w14:paraId="03539103">
            <w:pPr>
              <w:rPr>
                <w:rFonts w:eastAsia="黑体"/>
                <w:bCs/>
                <w:sz w:val="18"/>
                <w:szCs w:val="18"/>
              </w:rPr>
            </w:pPr>
            <w:r>
              <w:rPr>
                <w:rFonts w:eastAsia="黑体"/>
                <w:bCs/>
                <w:sz w:val="18"/>
                <w:szCs w:val="18"/>
              </w:rPr>
              <w:t>3231.6</w:t>
            </w:r>
          </w:p>
        </w:tc>
        <w:tc>
          <w:tcPr>
            <w:tcW w:w="851" w:type="dxa"/>
            <w:shd w:val="clear" w:color="auto" w:fill="auto"/>
            <w:vAlign w:val="center"/>
          </w:tcPr>
          <w:p w14:paraId="4E3D2655">
            <w:pPr>
              <w:rPr>
                <w:rFonts w:eastAsia="黑体"/>
                <w:bCs/>
                <w:sz w:val="18"/>
                <w:szCs w:val="18"/>
              </w:rPr>
            </w:pPr>
            <w:r>
              <w:rPr>
                <w:rFonts w:eastAsia="黑体"/>
                <w:bCs/>
                <w:sz w:val="18"/>
                <w:szCs w:val="18"/>
              </w:rPr>
              <w:t>3196.9</w:t>
            </w:r>
          </w:p>
        </w:tc>
        <w:tc>
          <w:tcPr>
            <w:tcW w:w="850" w:type="dxa"/>
            <w:shd w:val="clear" w:color="auto" w:fill="auto"/>
            <w:vAlign w:val="center"/>
          </w:tcPr>
          <w:p w14:paraId="572D8FD4">
            <w:pPr>
              <w:rPr>
                <w:rFonts w:eastAsia="黑体"/>
                <w:bCs/>
                <w:sz w:val="18"/>
                <w:szCs w:val="18"/>
              </w:rPr>
            </w:pPr>
            <w:r>
              <w:rPr>
                <w:rFonts w:eastAsia="黑体"/>
                <w:bCs/>
                <w:sz w:val="18"/>
                <w:szCs w:val="18"/>
              </w:rPr>
              <w:t>3159.7</w:t>
            </w:r>
          </w:p>
        </w:tc>
        <w:tc>
          <w:tcPr>
            <w:tcW w:w="851" w:type="dxa"/>
            <w:shd w:val="clear" w:color="auto" w:fill="auto"/>
            <w:vAlign w:val="center"/>
          </w:tcPr>
          <w:p w14:paraId="05B773D5">
            <w:pPr>
              <w:rPr>
                <w:rFonts w:eastAsia="黑体"/>
                <w:bCs/>
                <w:sz w:val="18"/>
                <w:szCs w:val="18"/>
              </w:rPr>
            </w:pPr>
            <w:r>
              <w:rPr>
                <w:rFonts w:eastAsia="黑体"/>
                <w:bCs/>
                <w:sz w:val="18"/>
                <w:szCs w:val="18"/>
              </w:rPr>
              <w:t>3098.5</w:t>
            </w:r>
          </w:p>
        </w:tc>
        <w:tc>
          <w:tcPr>
            <w:tcW w:w="850" w:type="dxa"/>
            <w:shd w:val="clear" w:color="auto" w:fill="auto"/>
            <w:vAlign w:val="center"/>
          </w:tcPr>
          <w:p w14:paraId="4CAE1AA8">
            <w:pPr>
              <w:rPr>
                <w:rFonts w:eastAsia="黑体"/>
                <w:bCs/>
                <w:sz w:val="18"/>
                <w:szCs w:val="18"/>
              </w:rPr>
            </w:pPr>
            <w:r>
              <w:rPr>
                <w:rFonts w:eastAsia="黑体"/>
                <w:bCs/>
                <w:sz w:val="18"/>
                <w:szCs w:val="18"/>
              </w:rPr>
              <w:t>3004</w:t>
            </w:r>
          </w:p>
        </w:tc>
        <w:tc>
          <w:tcPr>
            <w:tcW w:w="851" w:type="dxa"/>
            <w:shd w:val="clear" w:color="auto" w:fill="auto"/>
            <w:vAlign w:val="center"/>
          </w:tcPr>
          <w:p w14:paraId="0EB8BE70">
            <w:pPr>
              <w:rPr>
                <w:rFonts w:eastAsia="黑体"/>
                <w:bCs/>
                <w:sz w:val="18"/>
                <w:szCs w:val="18"/>
              </w:rPr>
            </w:pPr>
            <w:r>
              <w:rPr>
                <w:rFonts w:eastAsia="黑体"/>
                <w:bCs/>
                <w:sz w:val="18"/>
                <w:szCs w:val="18"/>
              </w:rPr>
              <w:t>2820.1</w:t>
            </w:r>
          </w:p>
        </w:tc>
        <w:tc>
          <w:tcPr>
            <w:tcW w:w="850" w:type="dxa"/>
            <w:shd w:val="clear" w:color="auto" w:fill="auto"/>
            <w:vAlign w:val="center"/>
          </w:tcPr>
          <w:p w14:paraId="46679C93">
            <w:pPr>
              <w:rPr>
                <w:rFonts w:eastAsia="黑体"/>
                <w:bCs/>
                <w:sz w:val="18"/>
                <w:szCs w:val="18"/>
              </w:rPr>
            </w:pPr>
            <w:r>
              <w:rPr>
                <w:rFonts w:eastAsia="黑体"/>
                <w:bCs/>
                <w:sz w:val="18"/>
                <w:szCs w:val="18"/>
              </w:rPr>
              <w:t>2583.2</w:t>
            </w:r>
          </w:p>
        </w:tc>
        <w:tc>
          <w:tcPr>
            <w:tcW w:w="851" w:type="dxa"/>
            <w:shd w:val="clear" w:color="auto" w:fill="auto"/>
            <w:vAlign w:val="center"/>
          </w:tcPr>
          <w:p w14:paraId="1AE97E74">
            <w:pPr>
              <w:rPr>
                <w:rFonts w:eastAsia="黑体"/>
                <w:bCs/>
                <w:sz w:val="18"/>
                <w:szCs w:val="18"/>
              </w:rPr>
            </w:pPr>
            <w:r>
              <w:rPr>
                <w:rFonts w:eastAsia="黑体"/>
                <w:bCs/>
                <w:sz w:val="18"/>
                <w:szCs w:val="18"/>
              </w:rPr>
              <w:t>2159.1</w:t>
            </w:r>
          </w:p>
        </w:tc>
      </w:tr>
      <w:tr w14:paraId="2891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0194BC16">
            <w:pPr>
              <w:rPr>
                <w:rFonts w:eastAsia="黑体"/>
                <w:bCs/>
                <w:sz w:val="18"/>
                <w:szCs w:val="18"/>
              </w:rPr>
            </w:pPr>
            <w:r>
              <w:rPr>
                <w:rFonts w:eastAsia="黑体"/>
                <w:bCs/>
                <w:sz w:val="18"/>
                <w:szCs w:val="18"/>
              </w:rPr>
              <w:t>420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676F29C8">
            <w:pPr>
              <w:rPr>
                <w:rFonts w:eastAsia="黑体"/>
                <w:bCs/>
                <w:sz w:val="18"/>
                <w:szCs w:val="18"/>
              </w:rPr>
            </w:pPr>
            <w:r>
              <w:rPr>
                <w:rFonts w:eastAsia="黑体"/>
                <w:bCs/>
                <w:sz w:val="18"/>
                <w:szCs w:val="18"/>
              </w:rPr>
              <w:t>3320.96</w:t>
            </w:r>
          </w:p>
        </w:tc>
        <w:tc>
          <w:tcPr>
            <w:tcW w:w="849" w:type="dxa"/>
            <w:shd w:val="clear" w:color="auto" w:fill="auto"/>
            <w:vAlign w:val="center"/>
          </w:tcPr>
          <w:p w14:paraId="2ED90BD9">
            <w:pPr>
              <w:rPr>
                <w:rFonts w:eastAsia="黑体"/>
                <w:bCs/>
                <w:sz w:val="18"/>
                <w:szCs w:val="18"/>
              </w:rPr>
            </w:pPr>
            <w:r>
              <w:rPr>
                <w:rFonts w:eastAsia="黑体"/>
                <w:bCs/>
                <w:sz w:val="18"/>
                <w:szCs w:val="18"/>
              </w:rPr>
              <w:t>3319.68</w:t>
            </w:r>
          </w:p>
        </w:tc>
        <w:tc>
          <w:tcPr>
            <w:tcW w:w="850" w:type="dxa"/>
            <w:shd w:val="clear" w:color="auto" w:fill="auto"/>
            <w:vAlign w:val="center"/>
          </w:tcPr>
          <w:p w14:paraId="73AD2CF8">
            <w:pPr>
              <w:rPr>
                <w:rFonts w:eastAsia="黑体"/>
                <w:bCs/>
                <w:sz w:val="18"/>
                <w:szCs w:val="18"/>
              </w:rPr>
            </w:pPr>
            <w:r>
              <w:rPr>
                <w:rFonts w:eastAsia="黑体"/>
                <w:bCs/>
                <w:sz w:val="18"/>
                <w:szCs w:val="18"/>
              </w:rPr>
              <w:t>3313.8</w:t>
            </w:r>
          </w:p>
        </w:tc>
        <w:tc>
          <w:tcPr>
            <w:tcW w:w="853" w:type="dxa"/>
            <w:shd w:val="clear" w:color="auto" w:fill="auto"/>
            <w:vAlign w:val="center"/>
          </w:tcPr>
          <w:p w14:paraId="539C0D95">
            <w:pPr>
              <w:rPr>
                <w:rFonts w:eastAsia="黑体"/>
                <w:bCs/>
                <w:sz w:val="18"/>
                <w:szCs w:val="18"/>
              </w:rPr>
            </w:pPr>
            <w:r>
              <w:rPr>
                <w:rFonts w:eastAsia="黑体"/>
                <w:bCs/>
                <w:sz w:val="18"/>
                <w:szCs w:val="18"/>
              </w:rPr>
              <w:t>3306.6</w:t>
            </w:r>
          </w:p>
        </w:tc>
        <w:tc>
          <w:tcPr>
            <w:tcW w:w="850" w:type="dxa"/>
            <w:shd w:val="clear" w:color="auto" w:fill="auto"/>
            <w:vAlign w:val="center"/>
          </w:tcPr>
          <w:p w14:paraId="1D9F088E">
            <w:pPr>
              <w:rPr>
                <w:rFonts w:eastAsia="黑体"/>
                <w:bCs/>
                <w:sz w:val="18"/>
                <w:szCs w:val="18"/>
              </w:rPr>
            </w:pPr>
            <w:r>
              <w:rPr>
                <w:rFonts w:eastAsia="黑体"/>
                <w:bCs/>
                <w:sz w:val="18"/>
                <w:szCs w:val="18"/>
              </w:rPr>
              <w:t>3276.9</w:t>
            </w:r>
          </w:p>
        </w:tc>
        <w:tc>
          <w:tcPr>
            <w:tcW w:w="851" w:type="dxa"/>
            <w:shd w:val="clear" w:color="auto" w:fill="auto"/>
            <w:vAlign w:val="center"/>
          </w:tcPr>
          <w:p w14:paraId="58AB3ACE">
            <w:pPr>
              <w:rPr>
                <w:rFonts w:eastAsia="黑体"/>
                <w:bCs/>
                <w:sz w:val="18"/>
                <w:szCs w:val="18"/>
              </w:rPr>
            </w:pPr>
            <w:r>
              <w:rPr>
                <w:rFonts w:eastAsia="黑体"/>
                <w:bCs/>
                <w:sz w:val="18"/>
                <w:szCs w:val="18"/>
              </w:rPr>
              <w:t>3245.4</w:t>
            </w:r>
          </w:p>
        </w:tc>
        <w:tc>
          <w:tcPr>
            <w:tcW w:w="850" w:type="dxa"/>
            <w:shd w:val="clear" w:color="auto" w:fill="auto"/>
            <w:vAlign w:val="center"/>
          </w:tcPr>
          <w:p w14:paraId="2DC8CAFF">
            <w:pPr>
              <w:rPr>
                <w:rFonts w:eastAsia="黑体"/>
                <w:bCs/>
                <w:sz w:val="18"/>
                <w:szCs w:val="18"/>
              </w:rPr>
            </w:pPr>
            <w:r>
              <w:rPr>
                <w:rFonts w:eastAsia="黑体"/>
                <w:bCs/>
                <w:sz w:val="18"/>
                <w:szCs w:val="18"/>
              </w:rPr>
              <w:t>3211.02</w:t>
            </w:r>
          </w:p>
        </w:tc>
        <w:tc>
          <w:tcPr>
            <w:tcW w:w="851" w:type="dxa"/>
            <w:shd w:val="clear" w:color="auto" w:fill="auto"/>
            <w:vAlign w:val="center"/>
          </w:tcPr>
          <w:p w14:paraId="3689D8B6">
            <w:pPr>
              <w:rPr>
                <w:rFonts w:eastAsia="黑体"/>
                <w:bCs/>
                <w:sz w:val="18"/>
                <w:szCs w:val="18"/>
              </w:rPr>
            </w:pPr>
            <w:r>
              <w:rPr>
                <w:rFonts w:eastAsia="黑体"/>
                <w:bCs/>
                <w:sz w:val="18"/>
                <w:szCs w:val="18"/>
              </w:rPr>
              <w:t>3155.98</w:t>
            </w:r>
          </w:p>
        </w:tc>
        <w:tc>
          <w:tcPr>
            <w:tcW w:w="850" w:type="dxa"/>
            <w:shd w:val="clear" w:color="auto" w:fill="auto"/>
            <w:vAlign w:val="center"/>
          </w:tcPr>
          <w:p w14:paraId="160C4246">
            <w:pPr>
              <w:rPr>
                <w:rFonts w:eastAsia="黑体"/>
                <w:bCs/>
                <w:sz w:val="18"/>
                <w:szCs w:val="18"/>
              </w:rPr>
            </w:pPr>
            <w:r>
              <w:rPr>
                <w:rFonts w:eastAsia="黑体"/>
                <w:bCs/>
                <w:sz w:val="18"/>
                <w:szCs w:val="18"/>
              </w:rPr>
              <w:t>3072.72</w:t>
            </w:r>
          </w:p>
        </w:tc>
        <w:tc>
          <w:tcPr>
            <w:tcW w:w="851" w:type="dxa"/>
            <w:shd w:val="clear" w:color="auto" w:fill="auto"/>
            <w:vAlign w:val="center"/>
          </w:tcPr>
          <w:p w14:paraId="1EF4BCEE">
            <w:pPr>
              <w:rPr>
                <w:rFonts w:eastAsia="黑体"/>
                <w:bCs/>
                <w:sz w:val="18"/>
                <w:szCs w:val="18"/>
              </w:rPr>
            </w:pPr>
            <w:r>
              <w:rPr>
                <w:rFonts w:eastAsia="黑体"/>
                <w:bCs/>
                <w:sz w:val="18"/>
                <w:szCs w:val="18"/>
              </w:rPr>
              <w:t>2917.02</w:t>
            </w:r>
          </w:p>
        </w:tc>
        <w:tc>
          <w:tcPr>
            <w:tcW w:w="850" w:type="dxa"/>
            <w:shd w:val="clear" w:color="auto" w:fill="auto"/>
            <w:vAlign w:val="center"/>
          </w:tcPr>
          <w:p w14:paraId="0A470567">
            <w:pPr>
              <w:rPr>
                <w:rFonts w:eastAsia="黑体"/>
                <w:bCs/>
                <w:sz w:val="18"/>
                <w:szCs w:val="18"/>
              </w:rPr>
            </w:pPr>
            <w:r>
              <w:rPr>
                <w:rFonts w:eastAsia="黑体"/>
                <w:bCs/>
                <w:sz w:val="18"/>
                <w:szCs w:val="18"/>
              </w:rPr>
              <w:t>2730.76</w:t>
            </w:r>
          </w:p>
        </w:tc>
        <w:tc>
          <w:tcPr>
            <w:tcW w:w="851" w:type="dxa"/>
            <w:shd w:val="clear" w:color="auto" w:fill="auto"/>
            <w:vAlign w:val="center"/>
          </w:tcPr>
          <w:p w14:paraId="2CDDAB97">
            <w:pPr>
              <w:rPr>
                <w:rFonts w:eastAsia="黑体"/>
                <w:bCs/>
                <w:sz w:val="18"/>
                <w:szCs w:val="18"/>
              </w:rPr>
            </w:pPr>
            <w:r>
              <w:rPr>
                <w:rFonts w:eastAsia="黑体"/>
                <w:bCs/>
                <w:sz w:val="18"/>
                <w:szCs w:val="18"/>
              </w:rPr>
              <w:t>2424.7</w:t>
            </w:r>
          </w:p>
        </w:tc>
      </w:tr>
      <w:tr w14:paraId="751C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1E418CD0">
            <w:pPr>
              <w:rPr>
                <w:rFonts w:eastAsia="黑体"/>
                <w:bCs/>
                <w:sz w:val="18"/>
                <w:szCs w:val="18"/>
              </w:rPr>
            </w:pPr>
            <w:r>
              <w:rPr>
                <w:rFonts w:eastAsia="黑体"/>
                <w:bCs/>
                <w:sz w:val="18"/>
                <w:szCs w:val="18"/>
              </w:rPr>
              <w:t>440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5A5F1CC6">
            <w:pPr>
              <w:rPr>
                <w:rFonts w:eastAsia="黑体"/>
                <w:bCs/>
                <w:sz w:val="18"/>
                <w:szCs w:val="18"/>
              </w:rPr>
            </w:pPr>
            <w:r>
              <w:rPr>
                <w:rFonts w:eastAsia="黑体"/>
                <w:bCs/>
                <w:sz w:val="18"/>
                <w:szCs w:val="18"/>
              </w:rPr>
              <w:t>3362.52</w:t>
            </w:r>
          </w:p>
        </w:tc>
        <w:tc>
          <w:tcPr>
            <w:tcW w:w="849" w:type="dxa"/>
            <w:shd w:val="clear" w:color="auto" w:fill="auto"/>
            <w:vAlign w:val="center"/>
          </w:tcPr>
          <w:p w14:paraId="3D9945F8">
            <w:pPr>
              <w:rPr>
                <w:rFonts w:eastAsia="黑体"/>
                <w:bCs/>
                <w:sz w:val="18"/>
                <w:szCs w:val="18"/>
              </w:rPr>
            </w:pPr>
            <w:r>
              <w:rPr>
                <w:rFonts w:eastAsia="黑体"/>
                <w:bCs/>
                <w:sz w:val="18"/>
                <w:szCs w:val="18"/>
              </w:rPr>
              <w:t>3361.36</w:t>
            </w:r>
          </w:p>
        </w:tc>
        <w:tc>
          <w:tcPr>
            <w:tcW w:w="850" w:type="dxa"/>
            <w:shd w:val="clear" w:color="auto" w:fill="auto"/>
            <w:vAlign w:val="center"/>
          </w:tcPr>
          <w:p w14:paraId="3A2AE2BC">
            <w:pPr>
              <w:rPr>
                <w:rFonts w:eastAsia="黑体"/>
                <w:bCs/>
                <w:sz w:val="18"/>
                <w:szCs w:val="18"/>
              </w:rPr>
            </w:pPr>
            <w:r>
              <w:rPr>
                <w:rFonts w:eastAsia="黑体"/>
                <w:bCs/>
                <w:sz w:val="18"/>
                <w:szCs w:val="18"/>
              </w:rPr>
              <w:t>3355.9</w:t>
            </w:r>
          </w:p>
        </w:tc>
        <w:tc>
          <w:tcPr>
            <w:tcW w:w="853" w:type="dxa"/>
            <w:shd w:val="clear" w:color="auto" w:fill="auto"/>
            <w:vAlign w:val="center"/>
          </w:tcPr>
          <w:p w14:paraId="2A1AC7B2">
            <w:pPr>
              <w:rPr>
                <w:rFonts w:eastAsia="黑体"/>
                <w:bCs/>
                <w:sz w:val="18"/>
                <w:szCs w:val="18"/>
              </w:rPr>
            </w:pPr>
            <w:r>
              <w:rPr>
                <w:rFonts w:eastAsia="黑体"/>
                <w:bCs/>
                <w:sz w:val="18"/>
                <w:szCs w:val="18"/>
              </w:rPr>
              <w:t>3349.3</w:t>
            </w:r>
          </w:p>
        </w:tc>
        <w:tc>
          <w:tcPr>
            <w:tcW w:w="850" w:type="dxa"/>
            <w:shd w:val="clear" w:color="auto" w:fill="auto"/>
            <w:vAlign w:val="center"/>
          </w:tcPr>
          <w:p w14:paraId="5395C54E">
            <w:pPr>
              <w:rPr>
                <w:rFonts w:eastAsia="黑体"/>
                <w:bCs/>
                <w:sz w:val="18"/>
                <w:szCs w:val="18"/>
              </w:rPr>
            </w:pPr>
            <w:r>
              <w:rPr>
                <w:rFonts w:eastAsia="黑体"/>
                <w:bCs/>
                <w:sz w:val="18"/>
                <w:szCs w:val="18"/>
              </w:rPr>
              <w:t>3321.9</w:t>
            </w:r>
          </w:p>
        </w:tc>
        <w:tc>
          <w:tcPr>
            <w:tcW w:w="851" w:type="dxa"/>
            <w:shd w:val="clear" w:color="auto" w:fill="auto"/>
            <w:vAlign w:val="center"/>
          </w:tcPr>
          <w:p w14:paraId="3520122E">
            <w:pPr>
              <w:rPr>
                <w:rFonts w:eastAsia="黑体"/>
                <w:bCs/>
                <w:sz w:val="18"/>
                <w:szCs w:val="18"/>
              </w:rPr>
            </w:pPr>
            <w:r>
              <w:rPr>
                <w:rFonts w:eastAsia="黑体"/>
                <w:bCs/>
                <w:sz w:val="18"/>
                <w:szCs w:val="18"/>
              </w:rPr>
              <w:t>3293.2</w:t>
            </w:r>
          </w:p>
        </w:tc>
        <w:tc>
          <w:tcPr>
            <w:tcW w:w="850" w:type="dxa"/>
            <w:shd w:val="clear" w:color="auto" w:fill="auto"/>
            <w:vAlign w:val="center"/>
          </w:tcPr>
          <w:p w14:paraId="655FF179">
            <w:pPr>
              <w:rPr>
                <w:rFonts w:eastAsia="黑体"/>
                <w:bCs/>
                <w:sz w:val="18"/>
                <w:szCs w:val="18"/>
              </w:rPr>
            </w:pPr>
            <w:r>
              <w:rPr>
                <w:rFonts w:eastAsia="黑体"/>
                <w:bCs/>
                <w:sz w:val="18"/>
                <w:szCs w:val="18"/>
              </w:rPr>
              <w:t>3262.34</w:t>
            </w:r>
          </w:p>
        </w:tc>
        <w:tc>
          <w:tcPr>
            <w:tcW w:w="851" w:type="dxa"/>
            <w:shd w:val="clear" w:color="auto" w:fill="auto"/>
            <w:vAlign w:val="center"/>
          </w:tcPr>
          <w:p w14:paraId="22340FD0">
            <w:pPr>
              <w:rPr>
                <w:rFonts w:eastAsia="黑体"/>
                <w:bCs/>
                <w:sz w:val="18"/>
                <w:szCs w:val="18"/>
              </w:rPr>
            </w:pPr>
            <w:r>
              <w:rPr>
                <w:rFonts w:eastAsia="黑体"/>
                <w:bCs/>
                <w:sz w:val="18"/>
                <w:szCs w:val="18"/>
              </w:rPr>
              <w:t>3213.46</w:t>
            </w:r>
          </w:p>
        </w:tc>
        <w:tc>
          <w:tcPr>
            <w:tcW w:w="850" w:type="dxa"/>
            <w:shd w:val="clear" w:color="auto" w:fill="auto"/>
            <w:vAlign w:val="center"/>
          </w:tcPr>
          <w:p w14:paraId="1CE685A3">
            <w:pPr>
              <w:rPr>
                <w:rFonts w:eastAsia="黑体"/>
                <w:bCs/>
                <w:sz w:val="18"/>
                <w:szCs w:val="18"/>
              </w:rPr>
            </w:pPr>
            <w:r>
              <w:rPr>
                <w:rFonts w:eastAsia="黑体"/>
                <w:bCs/>
                <w:sz w:val="18"/>
                <w:szCs w:val="18"/>
              </w:rPr>
              <w:t>3141.44</w:t>
            </w:r>
          </w:p>
        </w:tc>
        <w:tc>
          <w:tcPr>
            <w:tcW w:w="851" w:type="dxa"/>
            <w:shd w:val="clear" w:color="auto" w:fill="auto"/>
            <w:vAlign w:val="center"/>
          </w:tcPr>
          <w:p w14:paraId="1EFEA120">
            <w:pPr>
              <w:rPr>
                <w:rFonts w:eastAsia="黑体"/>
                <w:bCs/>
                <w:sz w:val="18"/>
                <w:szCs w:val="18"/>
              </w:rPr>
            </w:pPr>
            <w:r>
              <w:rPr>
                <w:rFonts w:eastAsia="黑体"/>
                <w:bCs/>
                <w:sz w:val="18"/>
                <w:szCs w:val="18"/>
              </w:rPr>
              <w:t>3013.94</w:t>
            </w:r>
          </w:p>
        </w:tc>
        <w:tc>
          <w:tcPr>
            <w:tcW w:w="850" w:type="dxa"/>
            <w:shd w:val="clear" w:color="auto" w:fill="auto"/>
            <w:vAlign w:val="center"/>
          </w:tcPr>
          <w:p w14:paraId="6D716740">
            <w:pPr>
              <w:rPr>
                <w:rFonts w:eastAsia="黑体"/>
                <w:bCs/>
                <w:sz w:val="18"/>
                <w:szCs w:val="18"/>
              </w:rPr>
            </w:pPr>
            <w:r>
              <w:rPr>
                <w:rFonts w:eastAsia="黑体"/>
                <w:bCs/>
                <w:sz w:val="18"/>
                <w:szCs w:val="18"/>
              </w:rPr>
              <w:t>2878.32</w:t>
            </w:r>
          </w:p>
        </w:tc>
        <w:tc>
          <w:tcPr>
            <w:tcW w:w="851" w:type="dxa"/>
            <w:shd w:val="clear" w:color="auto" w:fill="auto"/>
            <w:vAlign w:val="center"/>
          </w:tcPr>
          <w:p w14:paraId="2F9D2615">
            <w:pPr>
              <w:rPr>
                <w:rFonts w:eastAsia="黑体"/>
                <w:bCs/>
                <w:sz w:val="18"/>
                <w:szCs w:val="18"/>
              </w:rPr>
            </w:pPr>
            <w:r>
              <w:rPr>
                <w:rFonts w:eastAsia="黑体"/>
                <w:bCs/>
                <w:sz w:val="18"/>
                <w:szCs w:val="18"/>
              </w:rPr>
              <w:t>2690.3</w:t>
            </w:r>
          </w:p>
        </w:tc>
      </w:tr>
      <w:tr w14:paraId="1EA6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733351C0">
            <w:pPr>
              <w:rPr>
                <w:rFonts w:eastAsia="黑体"/>
                <w:bCs/>
                <w:sz w:val="18"/>
                <w:szCs w:val="18"/>
              </w:rPr>
            </w:pPr>
            <w:r>
              <w:rPr>
                <w:rFonts w:eastAsia="黑体"/>
                <w:bCs/>
                <w:sz w:val="18"/>
                <w:szCs w:val="18"/>
              </w:rPr>
              <w:t>450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2D795B95">
            <w:pPr>
              <w:rPr>
                <w:rFonts w:eastAsia="黑体"/>
                <w:bCs/>
                <w:sz w:val="18"/>
                <w:szCs w:val="18"/>
              </w:rPr>
            </w:pPr>
            <w:r>
              <w:rPr>
                <w:rFonts w:eastAsia="黑体"/>
                <w:bCs/>
                <w:sz w:val="18"/>
                <w:szCs w:val="18"/>
              </w:rPr>
              <w:t>3383.3</w:t>
            </w:r>
          </w:p>
        </w:tc>
        <w:tc>
          <w:tcPr>
            <w:tcW w:w="849" w:type="dxa"/>
            <w:shd w:val="clear" w:color="auto" w:fill="auto"/>
            <w:vAlign w:val="center"/>
          </w:tcPr>
          <w:p w14:paraId="5D471C1F">
            <w:pPr>
              <w:rPr>
                <w:rFonts w:eastAsia="黑体"/>
                <w:bCs/>
                <w:sz w:val="18"/>
                <w:szCs w:val="18"/>
              </w:rPr>
            </w:pPr>
            <w:r>
              <w:rPr>
                <w:rFonts w:eastAsia="黑体"/>
                <w:bCs/>
                <w:sz w:val="18"/>
                <w:szCs w:val="18"/>
              </w:rPr>
              <w:t>3382.2</w:t>
            </w:r>
          </w:p>
        </w:tc>
        <w:tc>
          <w:tcPr>
            <w:tcW w:w="850" w:type="dxa"/>
            <w:shd w:val="clear" w:color="auto" w:fill="auto"/>
            <w:vAlign w:val="center"/>
          </w:tcPr>
          <w:p w14:paraId="7ECB34FF">
            <w:pPr>
              <w:rPr>
                <w:rFonts w:eastAsia="黑体"/>
                <w:bCs/>
                <w:sz w:val="18"/>
                <w:szCs w:val="18"/>
              </w:rPr>
            </w:pPr>
            <w:r>
              <w:rPr>
                <w:rFonts w:eastAsia="黑体"/>
                <w:bCs/>
                <w:sz w:val="18"/>
                <w:szCs w:val="18"/>
              </w:rPr>
              <w:t>3377.1</w:t>
            </w:r>
          </w:p>
        </w:tc>
        <w:tc>
          <w:tcPr>
            <w:tcW w:w="853" w:type="dxa"/>
            <w:shd w:val="clear" w:color="auto" w:fill="auto"/>
            <w:vAlign w:val="center"/>
          </w:tcPr>
          <w:p w14:paraId="2805D2DD">
            <w:pPr>
              <w:rPr>
                <w:rFonts w:eastAsia="黑体"/>
                <w:bCs/>
                <w:sz w:val="18"/>
                <w:szCs w:val="18"/>
              </w:rPr>
            </w:pPr>
            <w:r>
              <w:rPr>
                <w:rFonts w:eastAsia="黑体"/>
                <w:bCs/>
                <w:sz w:val="18"/>
                <w:szCs w:val="18"/>
              </w:rPr>
              <w:t>3370.7</w:t>
            </w:r>
          </w:p>
        </w:tc>
        <w:tc>
          <w:tcPr>
            <w:tcW w:w="850" w:type="dxa"/>
            <w:shd w:val="clear" w:color="auto" w:fill="auto"/>
            <w:vAlign w:val="center"/>
          </w:tcPr>
          <w:p w14:paraId="52BFE997">
            <w:pPr>
              <w:rPr>
                <w:rFonts w:eastAsia="黑体"/>
                <w:bCs/>
                <w:sz w:val="18"/>
                <w:szCs w:val="18"/>
              </w:rPr>
            </w:pPr>
            <w:r>
              <w:rPr>
                <w:rFonts w:eastAsia="黑体"/>
                <w:bCs/>
                <w:sz w:val="18"/>
                <w:szCs w:val="18"/>
              </w:rPr>
              <w:t>3344.4</w:t>
            </w:r>
          </w:p>
        </w:tc>
        <w:tc>
          <w:tcPr>
            <w:tcW w:w="851" w:type="dxa"/>
            <w:shd w:val="clear" w:color="auto" w:fill="auto"/>
            <w:vAlign w:val="center"/>
          </w:tcPr>
          <w:p w14:paraId="173B3359">
            <w:pPr>
              <w:rPr>
                <w:rFonts w:eastAsia="黑体"/>
                <w:bCs/>
                <w:sz w:val="18"/>
                <w:szCs w:val="18"/>
              </w:rPr>
            </w:pPr>
            <w:r>
              <w:rPr>
                <w:rFonts w:eastAsia="黑体"/>
                <w:bCs/>
                <w:sz w:val="18"/>
                <w:szCs w:val="18"/>
              </w:rPr>
              <w:t>3316.8</w:t>
            </w:r>
          </w:p>
        </w:tc>
        <w:tc>
          <w:tcPr>
            <w:tcW w:w="850" w:type="dxa"/>
            <w:shd w:val="clear" w:color="auto" w:fill="auto"/>
            <w:vAlign w:val="center"/>
          </w:tcPr>
          <w:p w14:paraId="10A6C7E2">
            <w:pPr>
              <w:rPr>
                <w:rFonts w:eastAsia="黑体"/>
                <w:bCs/>
                <w:sz w:val="18"/>
                <w:szCs w:val="18"/>
              </w:rPr>
            </w:pPr>
            <w:r>
              <w:rPr>
                <w:rFonts w:eastAsia="黑体"/>
                <w:bCs/>
                <w:sz w:val="18"/>
                <w:szCs w:val="18"/>
              </w:rPr>
              <w:t>3288.0</w:t>
            </w:r>
          </w:p>
        </w:tc>
        <w:tc>
          <w:tcPr>
            <w:tcW w:w="851" w:type="dxa"/>
            <w:shd w:val="clear" w:color="auto" w:fill="auto"/>
            <w:vAlign w:val="center"/>
          </w:tcPr>
          <w:p w14:paraId="26555103">
            <w:pPr>
              <w:rPr>
                <w:rFonts w:eastAsia="黑体"/>
                <w:bCs/>
                <w:sz w:val="18"/>
                <w:szCs w:val="18"/>
              </w:rPr>
            </w:pPr>
            <w:r>
              <w:rPr>
                <w:rFonts w:eastAsia="黑体"/>
                <w:bCs/>
                <w:sz w:val="18"/>
                <w:szCs w:val="18"/>
              </w:rPr>
              <w:t>3242.2</w:t>
            </w:r>
          </w:p>
        </w:tc>
        <w:tc>
          <w:tcPr>
            <w:tcW w:w="850" w:type="dxa"/>
            <w:shd w:val="clear" w:color="auto" w:fill="auto"/>
            <w:vAlign w:val="center"/>
          </w:tcPr>
          <w:p w14:paraId="38B0C24E">
            <w:pPr>
              <w:rPr>
                <w:rFonts w:eastAsia="黑体"/>
                <w:bCs/>
                <w:sz w:val="18"/>
                <w:szCs w:val="18"/>
              </w:rPr>
            </w:pPr>
            <w:r>
              <w:rPr>
                <w:rFonts w:eastAsia="黑体"/>
                <w:bCs/>
                <w:sz w:val="18"/>
                <w:szCs w:val="18"/>
              </w:rPr>
              <w:t>3175.8</w:t>
            </w:r>
          </w:p>
        </w:tc>
        <w:tc>
          <w:tcPr>
            <w:tcW w:w="851" w:type="dxa"/>
            <w:shd w:val="clear" w:color="auto" w:fill="auto"/>
            <w:vAlign w:val="center"/>
          </w:tcPr>
          <w:p w14:paraId="21AD24B1">
            <w:pPr>
              <w:rPr>
                <w:rFonts w:eastAsia="黑体"/>
                <w:bCs/>
                <w:sz w:val="18"/>
                <w:szCs w:val="18"/>
              </w:rPr>
            </w:pPr>
            <w:r>
              <w:rPr>
                <w:rFonts w:eastAsia="黑体"/>
                <w:bCs/>
                <w:sz w:val="18"/>
                <w:szCs w:val="18"/>
              </w:rPr>
              <w:t>3062.4</w:t>
            </w:r>
          </w:p>
        </w:tc>
        <w:tc>
          <w:tcPr>
            <w:tcW w:w="850" w:type="dxa"/>
            <w:shd w:val="clear" w:color="auto" w:fill="auto"/>
            <w:vAlign w:val="center"/>
          </w:tcPr>
          <w:p w14:paraId="6AD8F520">
            <w:pPr>
              <w:rPr>
                <w:rFonts w:eastAsia="黑体"/>
                <w:bCs/>
                <w:sz w:val="18"/>
                <w:szCs w:val="18"/>
              </w:rPr>
            </w:pPr>
            <w:r>
              <w:rPr>
                <w:rFonts w:eastAsia="黑体"/>
                <w:bCs/>
                <w:sz w:val="18"/>
                <w:szCs w:val="18"/>
              </w:rPr>
              <w:t>2952.1</w:t>
            </w:r>
          </w:p>
        </w:tc>
        <w:tc>
          <w:tcPr>
            <w:tcW w:w="851" w:type="dxa"/>
            <w:shd w:val="clear" w:color="auto" w:fill="auto"/>
            <w:vAlign w:val="center"/>
          </w:tcPr>
          <w:p w14:paraId="3F078D90">
            <w:pPr>
              <w:rPr>
                <w:rFonts w:eastAsia="黑体"/>
                <w:bCs/>
                <w:sz w:val="18"/>
                <w:szCs w:val="18"/>
              </w:rPr>
            </w:pPr>
            <w:r>
              <w:rPr>
                <w:rFonts w:eastAsia="黑体"/>
                <w:bCs/>
                <w:sz w:val="18"/>
                <w:szCs w:val="18"/>
              </w:rPr>
              <w:t>2823.1</w:t>
            </w:r>
          </w:p>
        </w:tc>
      </w:tr>
      <w:tr w14:paraId="5BFD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2827F28E">
            <w:pPr>
              <w:rPr>
                <w:rFonts w:eastAsia="黑体"/>
                <w:bCs/>
                <w:sz w:val="18"/>
                <w:szCs w:val="18"/>
              </w:rPr>
            </w:pPr>
            <w:r>
              <w:rPr>
                <w:rFonts w:eastAsia="黑体"/>
                <w:bCs/>
                <w:sz w:val="18"/>
                <w:szCs w:val="18"/>
              </w:rPr>
              <w:t>460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24C9FACC">
            <w:pPr>
              <w:rPr>
                <w:rFonts w:eastAsia="黑体"/>
                <w:bCs/>
                <w:sz w:val="18"/>
                <w:szCs w:val="18"/>
              </w:rPr>
            </w:pPr>
            <w:r>
              <w:rPr>
                <w:rFonts w:eastAsia="黑体"/>
                <w:bCs/>
                <w:sz w:val="18"/>
                <w:szCs w:val="18"/>
              </w:rPr>
              <w:t>3404.42</w:t>
            </w:r>
          </w:p>
        </w:tc>
        <w:tc>
          <w:tcPr>
            <w:tcW w:w="849" w:type="dxa"/>
            <w:shd w:val="clear" w:color="auto" w:fill="auto"/>
            <w:vAlign w:val="center"/>
          </w:tcPr>
          <w:p w14:paraId="433F9477">
            <w:pPr>
              <w:rPr>
                <w:rFonts w:eastAsia="黑体"/>
                <w:bCs/>
                <w:sz w:val="18"/>
                <w:szCs w:val="18"/>
              </w:rPr>
            </w:pPr>
            <w:r>
              <w:rPr>
                <w:rFonts w:eastAsia="黑体"/>
                <w:bCs/>
                <w:sz w:val="18"/>
                <w:szCs w:val="18"/>
              </w:rPr>
              <w:t>3403.34</w:t>
            </w:r>
          </w:p>
        </w:tc>
        <w:tc>
          <w:tcPr>
            <w:tcW w:w="850" w:type="dxa"/>
            <w:shd w:val="clear" w:color="auto" w:fill="auto"/>
            <w:vAlign w:val="center"/>
          </w:tcPr>
          <w:p w14:paraId="696001D1">
            <w:pPr>
              <w:rPr>
                <w:rFonts w:eastAsia="黑体"/>
                <w:bCs/>
                <w:sz w:val="18"/>
                <w:szCs w:val="18"/>
              </w:rPr>
            </w:pPr>
            <w:r>
              <w:rPr>
                <w:rFonts w:eastAsia="黑体"/>
                <w:bCs/>
                <w:sz w:val="18"/>
                <w:szCs w:val="18"/>
              </w:rPr>
              <w:t>3398.3</w:t>
            </w:r>
          </w:p>
        </w:tc>
        <w:tc>
          <w:tcPr>
            <w:tcW w:w="853" w:type="dxa"/>
            <w:shd w:val="clear" w:color="auto" w:fill="auto"/>
            <w:vAlign w:val="center"/>
          </w:tcPr>
          <w:p w14:paraId="2C3FCCC9">
            <w:pPr>
              <w:rPr>
                <w:rFonts w:eastAsia="黑体"/>
                <w:bCs/>
                <w:sz w:val="18"/>
                <w:szCs w:val="18"/>
              </w:rPr>
            </w:pPr>
            <w:r>
              <w:rPr>
                <w:rFonts w:eastAsia="黑体"/>
                <w:bCs/>
                <w:sz w:val="18"/>
                <w:szCs w:val="18"/>
              </w:rPr>
              <w:t>3392.1</w:t>
            </w:r>
          </w:p>
        </w:tc>
        <w:tc>
          <w:tcPr>
            <w:tcW w:w="850" w:type="dxa"/>
            <w:shd w:val="clear" w:color="auto" w:fill="auto"/>
            <w:vAlign w:val="center"/>
          </w:tcPr>
          <w:p w14:paraId="55D6DD62">
            <w:pPr>
              <w:rPr>
                <w:rFonts w:eastAsia="黑体"/>
                <w:bCs/>
                <w:sz w:val="18"/>
                <w:szCs w:val="18"/>
              </w:rPr>
            </w:pPr>
            <w:r>
              <w:rPr>
                <w:rFonts w:eastAsia="黑体"/>
                <w:bCs/>
                <w:sz w:val="18"/>
                <w:szCs w:val="18"/>
              </w:rPr>
              <w:t>3366.8</w:t>
            </w:r>
          </w:p>
        </w:tc>
        <w:tc>
          <w:tcPr>
            <w:tcW w:w="851" w:type="dxa"/>
            <w:shd w:val="clear" w:color="auto" w:fill="auto"/>
            <w:vAlign w:val="center"/>
          </w:tcPr>
          <w:p w14:paraId="1D320D1C">
            <w:pPr>
              <w:rPr>
                <w:rFonts w:eastAsia="黑体"/>
                <w:bCs/>
                <w:sz w:val="18"/>
                <w:szCs w:val="18"/>
              </w:rPr>
            </w:pPr>
            <w:r>
              <w:rPr>
                <w:rFonts w:eastAsia="黑体"/>
                <w:bCs/>
                <w:sz w:val="18"/>
                <w:szCs w:val="18"/>
              </w:rPr>
              <w:t>3340.4</w:t>
            </w:r>
          </w:p>
        </w:tc>
        <w:tc>
          <w:tcPr>
            <w:tcW w:w="850" w:type="dxa"/>
            <w:shd w:val="clear" w:color="auto" w:fill="auto"/>
            <w:vAlign w:val="center"/>
          </w:tcPr>
          <w:p w14:paraId="437FBB3A">
            <w:pPr>
              <w:rPr>
                <w:rFonts w:eastAsia="黑体"/>
                <w:bCs/>
                <w:sz w:val="18"/>
                <w:szCs w:val="18"/>
              </w:rPr>
            </w:pPr>
            <w:r>
              <w:rPr>
                <w:rFonts w:eastAsia="黑体"/>
                <w:bCs/>
                <w:sz w:val="18"/>
                <w:szCs w:val="18"/>
              </w:rPr>
              <w:t>3312.44</w:t>
            </w:r>
          </w:p>
        </w:tc>
        <w:tc>
          <w:tcPr>
            <w:tcW w:w="851" w:type="dxa"/>
            <w:shd w:val="clear" w:color="auto" w:fill="auto"/>
            <w:vAlign w:val="center"/>
          </w:tcPr>
          <w:p w14:paraId="1B3BE28D">
            <w:pPr>
              <w:rPr>
                <w:rFonts w:eastAsia="黑体"/>
                <w:bCs/>
                <w:sz w:val="18"/>
                <w:szCs w:val="18"/>
              </w:rPr>
            </w:pPr>
            <w:r>
              <w:rPr>
                <w:rFonts w:eastAsia="黑体"/>
                <w:bCs/>
                <w:sz w:val="18"/>
                <w:szCs w:val="18"/>
              </w:rPr>
              <w:t>3268.58</w:t>
            </w:r>
          </w:p>
        </w:tc>
        <w:tc>
          <w:tcPr>
            <w:tcW w:w="850" w:type="dxa"/>
            <w:shd w:val="clear" w:color="auto" w:fill="auto"/>
            <w:vAlign w:val="center"/>
          </w:tcPr>
          <w:p w14:paraId="1F844D00">
            <w:pPr>
              <w:rPr>
                <w:rFonts w:eastAsia="黑体"/>
                <w:bCs/>
                <w:sz w:val="18"/>
                <w:szCs w:val="18"/>
              </w:rPr>
            </w:pPr>
            <w:r>
              <w:rPr>
                <w:rFonts w:eastAsia="黑体"/>
                <w:bCs/>
                <w:sz w:val="18"/>
                <w:szCs w:val="18"/>
              </w:rPr>
              <w:t>3205.24</w:t>
            </w:r>
          </w:p>
        </w:tc>
        <w:tc>
          <w:tcPr>
            <w:tcW w:w="851" w:type="dxa"/>
            <w:shd w:val="clear" w:color="auto" w:fill="auto"/>
            <w:vAlign w:val="center"/>
          </w:tcPr>
          <w:p w14:paraId="51C7AA51">
            <w:pPr>
              <w:rPr>
                <w:rFonts w:eastAsia="黑体"/>
                <w:bCs/>
                <w:sz w:val="18"/>
                <w:szCs w:val="18"/>
              </w:rPr>
            </w:pPr>
            <w:r>
              <w:rPr>
                <w:rFonts w:eastAsia="黑体"/>
                <w:bCs/>
                <w:sz w:val="18"/>
                <w:szCs w:val="18"/>
              </w:rPr>
              <w:t>3097.96</w:t>
            </w:r>
          </w:p>
        </w:tc>
        <w:tc>
          <w:tcPr>
            <w:tcW w:w="850" w:type="dxa"/>
            <w:shd w:val="clear" w:color="auto" w:fill="auto"/>
            <w:vAlign w:val="center"/>
          </w:tcPr>
          <w:p w14:paraId="4D6AC002">
            <w:pPr>
              <w:rPr>
                <w:rFonts w:eastAsia="黑体"/>
                <w:bCs/>
                <w:sz w:val="18"/>
                <w:szCs w:val="18"/>
              </w:rPr>
            </w:pPr>
            <w:r>
              <w:rPr>
                <w:rFonts w:eastAsia="黑体"/>
                <w:bCs/>
                <w:sz w:val="18"/>
                <w:szCs w:val="18"/>
              </w:rPr>
              <w:t>2994.68</w:t>
            </w:r>
          </w:p>
        </w:tc>
        <w:tc>
          <w:tcPr>
            <w:tcW w:w="851" w:type="dxa"/>
            <w:shd w:val="clear" w:color="auto" w:fill="auto"/>
            <w:vAlign w:val="center"/>
          </w:tcPr>
          <w:p w14:paraId="3A83C37E">
            <w:pPr>
              <w:rPr>
                <w:rFonts w:eastAsia="黑体"/>
                <w:bCs/>
                <w:sz w:val="18"/>
                <w:szCs w:val="18"/>
              </w:rPr>
            </w:pPr>
            <w:r>
              <w:rPr>
                <w:rFonts w:eastAsia="黑体"/>
                <w:bCs/>
                <w:sz w:val="18"/>
                <w:szCs w:val="18"/>
              </w:rPr>
              <w:t>2875.26</w:t>
            </w:r>
          </w:p>
        </w:tc>
      </w:tr>
      <w:tr w14:paraId="793A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7514A8E1">
            <w:pPr>
              <w:rPr>
                <w:rFonts w:eastAsia="黑体"/>
                <w:bCs/>
                <w:sz w:val="18"/>
                <w:szCs w:val="18"/>
              </w:rPr>
            </w:pPr>
            <w:r>
              <w:rPr>
                <w:rFonts w:eastAsia="黑体"/>
                <w:bCs/>
                <w:sz w:val="18"/>
                <w:szCs w:val="18"/>
              </w:rPr>
              <w:t>480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355C79AB">
            <w:pPr>
              <w:rPr>
                <w:rFonts w:eastAsia="黑体"/>
                <w:bCs/>
                <w:sz w:val="18"/>
                <w:szCs w:val="18"/>
              </w:rPr>
            </w:pPr>
            <w:r>
              <w:rPr>
                <w:rFonts w:eastAsia="黑体"/>
                <w:bCs/>
                <w:sz w:val="18"/>
                <w:szCs w:val="18"/>
              </w:rPr>
              <w:t>3446.66</w:t>
            </w:r>
          </w:p>
        </w:tc>
        <w:tc>
          <w:tcPr>
            <w:tcW w:w="849" w:type="dxa"/>
            <w:shd w:val="clear" w:color="auto" w:fill="auto"/>
            <w:vAlign w:val="center"/>
          </w:tcPr>
          <w:p w14:paraId="08A3F52E">
            <w:pPr>
              <w:rPr>
                <w:rFonts w:eastAsia="黑体"/>
                <w:bCs/>
                <w:sz w:val="18"/>
                <w:szCs w:val="18"/>
              </w:rPr>
            </w:pPr>
            <w:r>
              <w:rPr>
                <w:rFonts w:eastAsia="黑体"/>
                <w:bCs/>
                <w:sz w:val="18"/>
                <w:szCs w:val="18"/>
              </w:rPr>
              <w:t>3445.62</w:t>
            </w:r>
          </w:p>
        </w:tc>
        <w:tc>
          <w:tcPr>
            <w:tcW w:w="850" w:type="dxa"/>
            <w:shd w:val="clear" w:color="auto" w:fill="auto"/>
            <w:vAlign w:val="center"/>
          </w:tcPr>
          <w:p w14:paraId="4360081C">
            <w:pPr>
              <w:rPr>
                <w:rFonts w:eastAsia="黑体"/>
                <w:bCs/>
                <w:sz w:val="18"/>
                <w:szCs w:val="18"/>
              </w:rPr>
            </w:pPr>
            <w:r>
              <w:rPr>
                <w:rFonts w:eastAsia="黑体"/>
                <w:bCs/>
                <w:sz w:val="18"/>
                <w:szCs w:val="18"/>
              </w:rPr>
              <w:t>3440.9</w:t>
            </w:r>
          </w:p>
        </w:tc>
        <w:tc>
          <w:tcPr>
            <w:tcW w:w="853" w:type="dxa"/>
            <w:shd w:val="clear" w:color="auto" w:fill="auto"/>
            <w:vAlign w:val="center"/>
          </w:tcPr>
          <w:p w14:paraId="1CBF05B3">
            <w:pPr>
              <w:rPr>
                <w:rFonts w:eastAsia="黑体"/>
                <w:bCs/>
                <w:sz w:val="18"/>
                <w:szCs w:val="18"/>
              </w:rPr>
            </w:pPr>
            <w:r>
              <w:rPr>
                <w:rFonts w:eastAsia="黑体"/>
                <w:bCs/>
                <w:sz w:val="18"/>
                <w:szCs w:val="18"/>
              </w:rPr>
              <w:t>3435.1</w:t>
            </w:r>
          </w:p>
        </w:tc>
        <w:tc>
          <w:tcPr>
            <w:tcW w:w="850" w:type="dxa"/>
            <w:shd w:val="clear" w:color="auto" w:fill="auto"/>
            <w:vAlign w:val="center"/>
          </w:tcPr>
          <w:p w14:paraId="76E99A62">
            <w:pPr>
              <w:rPr>
                <w:rFonts w:eastAsia="黑体"/>
                <w:bCs/>
                <w:sz w:val="18"/>
                <w:szCs w:val="18"/>
              </w:rPr>
            </w:pPr>
            <w:r>
              <w:rPr>
                <w:rFonts w:eastAsia="黑体"/>
                <w:bCs/>
                <w:sz w:val="18"/>
                <w:szCs w:val="18"/>
              </w:rPr>
              <w:t>3411.6</w:t>
            </w:r>
          </w:p>
        </w:tc>
        <w:tc>
          <w:tcPr>
            <w:tcW w:w="851" w:type="dxa"/>
            <w:shd w:val="clear" w:color="auto" w:fill="auto"/>
            <w:vAlign w:val="center"/>
          </w:tcPr>
          <w:p w14:paraId="2AEC92C8">
            <w:pPr>
              <w:rPr>
                <w:rFonts w:eastAsia="黑体"/>
                <w:bCs/>
                <w:sz w:val="18"/>
                <w:szCs w:val="18"/>
              </w:rPr>
            </w:pPr>
            <w:r>
              <w:rPr>
                <w:rFonts w:eastAsia="黑体"/>
                <w:bCs/>
                <w:sz w:val="18"/>
                <w:szCs w:val="18"/>
              </w:rPr>
              <w:t>3387.2</w:t>
            </w:r>
          </w:p>
        </w:tc>
        <w:tc>
          <w:tcPr>
            <w:tcW w:w="850" w:type="dxa"/>
            <w:shd w:val="clear" w:color="auto" w:fill="auto"/>
            <w:vAlign w:val="center"/>
          </w:tcPr>
          <w:p w14:paraId="5E5583B9">
            <w:pPr>
              <w:rPr>
                <w:rFonts w:eastAsia="黑体"/>
                <w:bCs/>
                <w:sz w:val="18"/>
                <w:szCs w:val="18"/>
              </w:rPr>
            </w:pPr>
            <w:r>
              <w:rPr>
                <w:rFonts w:eastAsia="黑体"/>
                <w:bCs/>
                <w:sz w:val="18"/>
                <w:szCs w:val="18"/>
              </w:rPr>
              <w:t>3361.32</w:t>
            </w:r>
          </w:p>
        </w:tc>
        <w:tc>
          <w:tcPr>
            <w:tcW w:w="851" w:type="dxa"/>
            <w:shd w:val="clear" w:color="auto" w:fill="auto"/>
            <w:vAlign w:val="center"/>
          </w:tcPr>
          <w:p w14:paraId="1B723C1D">
            <w:pPr>
              <w:rPr>
                <w:rFonts w:eastAsia="黑体"/>
                <w:bCs/>
                <w:sz w:val="18"/>
                <w:szCs w:val="18"/>
              </w:rPr>
            </w:pPr>
            <w:r>
              <w:rPr>
                <w:rFonts w:eastAsia="黑体"/>
                <w:bCs/>
                <w:sz w:val="18"/>
                <w:szCs w:val="18"/>
              </w:rPr>
              <w:t>3321.34</w:t>
            </w:r>
          </w:p>
        </w:tc>
        <w:tc>
          <w:tcPr>
            <w:tcW w:w="850" w:type="dxa"/>
            <w:shd w:val="clear" w:color="auto" w:fill="auto"/>
            <w:vAlign w:val="center"/>
          </w:tcPr>
          <w:p w14:paraId="5FC4E13D">
            <w:pPr>
              <w:rPr>
                <w:rFonts w:eastAsia="黑体"/>
                <w:bCs/>
                <w:sz w:val="18"/>
                <w:szCs w:val="18"/>
              </w:rPr>
            </w:pPr>
            <w:r>
              <w:rPr>
                <w:rFonts w:eastAsia="黑体"/>
                <w:bCs/>
                <w:sz w:val="18"/>
                <w:szCs w:val="18"/>
              </w:rPr>
              <w:t>3264.12</w:t>
            </w:r>
          </w:p>
        </w:tc>
        <w:tc>
          <w:tcPr>
            <w:tcW w:w="851" w:type="dxa"/>
            <w:shd w:val="clear" w:color="auto" w:fill="auto"/>
            <w:vAlign w:val="center"/>
          </w:tcPr>
          <w:p w14:paraId="480FD2D8">
            <w:pPr>
              <w:rPr>
                <w:rFonts w:eastAsia="黑体"/>
                <w:bCs/>
                <w:sz w:val="18"/>
                <w:szCs w:val="18"/>
              </w:rPr>
            </w:pPr>
            <w:r>
              <w:rPr>
                <w:rFonts w:eastAsia="黑体"/>
                <w:bCs/>
                <w:sz w:val="18"/>
                <w:szCs w:val="18"/>
              </w:rPr>
              <w:t>3169.08</w:t>
            </w:r>
          </w:p>
        </w:tc>
        <w:tc>
          <w:tcPr>
            <w:tcW w:w="850" w:type="dxa"/>
            <w:shd w:val="clear" w:color="auto" w:fill="auto"/>
            <w:vAlign w:val="center"/>
          </w:tcPr>
          <w:p w14:paraId="21C97814">
            <w:pPr>
              <w:rPr>
                <w:rFonts w:eastAsia="黑体"/>
                <w:bCs/>
                <w:sz w:val="18"/>
                <w:szCs w:val="18"/>
              </w:rPr>
            </w:pPr>
            <w:r>
              <w:rPr>
                <w:rFonts w:eastAsia="黑体"/>
                <w:bCs/>
                <w:sz w:val="18"/>
                <w:szCs w:val="18"/>
              </w:rPr>
              <w:t>3079.84</w:t>
            </w:r>
          </w:p>
        </w:tc>
        <w:tc>
          <w:tcPr>
            <w:tcW w:w="851" w:type="dxa"/>
            <w:shd w:val="clear" w:color="auto" w:fill="auto"/>
            <w:vAlign w:val="center"/>
          </w:tcPr>
          <w:p w14:paraId="5DBF74D9">
            <w:pPr>
              <w:rPr>
                <w:rFonts w:eastAsia="黑体"/>
                <w:bCs/>
                <w:sz w:val="18"/>
                <w:szCs w:val="18"/>
              </w:rPr>
            </w:pPr>
            <w:r>
              <w:rPr>
                <w:rFonts w:eastAsia="黑体"/>
                <w:bCs/>
                <w:sz w:val="18"/>
                <w:szCs w:val="18"/>
              </w:rPr>
              <w:t>2979.58</w:t>
            </w:r>
          </w:p>
        </w:tc>
      </w:tr>
      <w:tr w14:paraId="4027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62EAF274">
            <w:pPr>
              <w:rPr>
                <w:rFonts w:eastAsia="黑体"/>
                <w:bCs/>
                <w:sz w:val="18"/>
                <w:szCs w:val="18"/>
              </w:rPr>
            </w:pPr>
            <w:r>
              <w:rPr>
                <w:rFonts w:eastAsia="黑体"/>
                <w:bCs/>
                <w:sz w:val="18"/>
                <w:szCs w:val="18"/>
              </w:rPr>
              <w:t>500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7915E910">
            <w:pPr>
              <w:rPr>
                <w:rFonts w:eastAsia="黑体"/>
                <w:bCs/>
                <w:sz w:val="18"/>
                <w:szCs w:val="18"/>
              </w:rPr>
            </w:pPr>
            <w:r>
              <w:rPr>
                <w:rFonts w:eastAsia="黑体"/>
                <w:bCs/>
                <w:sz w:val="18"/>
                <w:szCs w:val="18"/>
              </w:rPr>
              <w:t>3488.9</w:t>
            </w:r>
          </w:p>
        </w:tc>
        <w:tc>
          <w:tcPr>
            <w:tcW w:w="849" w:type="dxa"/>
            <w:shd w:val="clear" w:color="auto" w:fill="auto"/>
            <w:vAlign w:val="center"/>
          </w:tcPr>
          <w:p w14:paraId="0B40D415">
            <w:pPr>
              <w:rPr>
                <w:rFonts w:eastAsia="黑体"/>
                <w:bCs/>
                <w:sz w:val="18"/>
                <w:szCs w:val="18"/>
              </w:rPr>
            </w:pPr>
            <w:r>
              <w:rPr>
                <w:rFonts w:eastAsia="黑体"/>
                <w:bCs/>
                <w:sz w:val="18"/>
                <w:szCs w:val="18"/>
              </w:rPr>
              <w:t>3487.9</w:t>
            </w:r>
          </w:p>
        </w:tc>
        <w:tc>
          <w:tcPr>
            <w:tcW w:w="850" w:type="dxa"/>
            <w:shd w:val="clear" w:color="auto" w:fill="auto"/>
            <w:vAlign w:val="center"/>
          </w:tcPr>
          <w:p w14:paraId="00B36C78">
            <w:pPr>
              <w:rPr>
                <w:rFonts w:eastAsia="黑体"/>
                <w:bCs/>
                <w:sz w:val="18"/>
                <w:szCs w:val="18"/>
              </w:rPr>
            </w:pPr>
            <w:r>
              <w:rPr>
                <w:rFonts w:eastAsia="黑体"/>
                <w:bCs/>
                <w:sz w:val="18"/>
                <w:szCs w:val="18"/>
              </w:rPr>
              <w:t>3483.7</w:t>
            </w:r>
          </w:p>
        </w:tc>
        <w:tc>
          <w:tcPr>
            <w:tcW w:w="853" w:type="dxa"/>
            <w:shd w:val="clear" w:color="auto" w:fill="auto"/>
            <w:vAlign w:val="center"/>
          </w:tcPr>
          <w:p w14:paraId="6E1D109E">
            <w:pPr>
              <w:rPr>
                <w:rFonts w:eastAsia="黑体"/>
                <w:bCs/>
                <w:sz w:val="18"/>
                <w:szCs w:val="18"/>
              </w:rPr>
            </w:pPr>
            <w:r>
              <w:rPr>
                <w:rFonts w:eastAsia="黑体"/>
                <w:bCs/>
                <w:sz w:val="18"/>
                <w:szCs w:val="18"/>
              </w:rPr>
              <w:t>3478.3</w:t>
            </w:r>
          </w:p>
        </w:tc>
        <w:tc>
          <w:tcPr>
            <w:tcW w:w="850" w:type="dxa"/>
            <w:shd w:val="clear" w:color="auto" w:fill="auto"/>
            <w:vAlign w:val="center"/>
          </w:tcPr>
          <w:p w14:paraId="1B7060B1">
            <w:pPr>
              <w:rPr>
                <w:rFonts w:eastAsia="黑体"/>
                <w:bCs/>
                <w:sz w:val="18"/>
                <w:szCs w:val="18"/>
              </w:rPr>
            </w:pPr>
            <w:r>
              <w:rPr>
                <w:rFonts w:eastAsia="黑体"/>
                <w:bCs/>
                <w:sz w:val="18"/>
                <w:szCs w:val="18"/>
              </w:rPr>
              <w:t>3456.4</w:t>
            </w:r>
          </w:p>
        </w:tc>
        <w:tc>
          <w:tcPr>
            <w:tcW w:w="851" w:type="dxa"/>
            <w:shd w:val="clear" w:color="auto" w:fill="auto"/>
            <w:vAlign w:val="center"/>
          </w:tcPr>
          <w:p w14:paraId="71072C82">
            <w:pPr>
              <w:rPr>
                <w:rFonts w:eastAsia="黑体"/>
                <w:bCs/>
                <w:sz w:val="18"/>
                <w:szCs w:val="18"/>
              </w:rPr>
            </w:pPr>
            <w:r>
              <w:rPr>
                <w:rFonts w:eastAsia="黑体"/>
                <w:bCs/>
                <w:sz w:val="18"/>
                <w:szCs w:val="18"/>
              </w:rPr>
              <w:t>3443.8</w:t>
            </w:r>
          </w:p>
        </w:tc>
        <w:tc>
          <w:tcPr>
            <w:tcW w:w="850" w:type="dxa"/>
            <w:shd w:val="clear" w:color="auto" w:fill="auto"/>
            <w:vAlign w:val="center"/>
          </w:tcPr>
          <w:p w14:paraId="159C2AF0">
            <w:pPr>
              <w:rPr>
                <w:rFonts w:eastAsia="黑体"/>
                <w:bCs/>
                <w:sz w:val="18"/>
                <w:szCs w:val="18"/>
              </w:rPr>
            </w:pPr>
            <w:r>
              <w:rPr>
                <w:rFonts w:eastAsia="黑体"/>
                <w:bCs/>
                <w:sz w:val="18"/>
                <w:szCs w:val="18"/>
              </w:rPr>
              <w:t>3410.2</w:t>
            </w:r>
          </w:p>
        </w:tc>
        <w:tc>
          <w:tcPr>
            <w:tcW w:w="851" w:type="dxa"/>
            <w:shd w:val="clear" w:color="auto" w:fill="auto"/>
            <w:vAlign w:val="center"/>
          </w:tcPr>
          <w:p w14:paraId="09D3737F">
            <w:pPr>
              <w:rPr>
                <w:rFonts w:eastAsia="黑体"/>
                <w:bCs/>
                <w:sz w:val="18"/>
                <w:szCs w:val="18"/>
              </w:rPr>
            </w:pPr>
            <w:r>
              <w:rPr>
                <w:rFonts w:eastAsia="黑体"/>
                <w:bCs/>
                <w:sz w:val="18"/>
                <w:szCs w:val="18"/>
              </w:rPr>
              <w:t>3374.1</w:t>
            </w:r>
          </w:p>
        </w:tc>
        <w:tc>
          <w:tcPr>
            <w:tcW w:w="850" w:type="dxa"/>
            <w:shd w:val="clear" w:color="auto" w:fill="auto"/>
            <w:vAlign w:val="center"/>
          </w:tcPr>
          <w:p w14:paraId="5D30BC6F">
            <w:pPr>
              <w:rPr>
                <w:rFonts w:eastAsia="黑体"/>
                <w:bCs/>
                <w:sz w:val="18"/>
                <w:szCs w:val="18"/>
              </w:rPr>
            </w:pPr>
            <w:r>
              <w:rPr>
                <w:rFonts w:eastAsia="黑体"/>
                <w:bCs/>
                <w:sz w:val="18"/>
                <w:szCs w:val="18"/>
              </w:rPr>
              <w:t>3323</w:t>
            </w:r>
          </w:p>
        </w:tc>
        <w:tc>
          <w:tcPr>
            <w:tcW w:w="851" w:type="dxa"/>
            <w:shd w:val="clear" w:color="auto" w:fill="auto"/>
            <w:vAlign w:val="center"/>
          </w:tcPr>
          <w:p w14:paraId="71F93389">
            <w:pPr>
              <w:rPr>
                <w:rFonts w:eastAsia="黑体"/>
                <w:bCs/>
                <w:sz w:val="18"/>
                <w:szCs w:val="18"/>
              </w:rPr>
            </w:pPr>
            <w:r>
              <w:rPr>
                <w:rFonts w:eastAsia="黑体"/>
                <w:bCs/>
                <w:sz w:val="18"/>
                <w:szCs w:val="18"/>
              </w:rPr>
              <w:t>3240.2</w:t>
            </w:r>
          </w:p>
        </w:tc>
        <w:tc>
          <w:tcPr>
            <w:tcW w:w="850" w:type="dxa"/>
            <w:shd w:val="clear" w:color="auto" w:fill="auto"/>
            <w:vAlign w:val="center"/>
          </w:tcPr>
          <w:p w14:paraId="26DE3773">
            <w:pPr>
              <w:rPr>
                <w:rFonts w:eastAsia="黑体"/>
                <w:bCs/>
                <w:sz w:val="18"/>
                <w:szCs w:val="18"/>
              </w:rPr>
            </w:pPr>
            <w:r>
              <w:rPr>
                <w:rFonts w:eastAsia="黑体"/>
                <w:bCs/>
                <w:sz w:val="18"/>
                <w:szCs w:val="18"/>
              </w:rPr>
              <w:t>3165</w:t>
            </w:r>
          </w:p>
        </w:tc>
        <w:tc>
          <w:tcPr>
            <w:tcW w:w="851" w:type="dxa"/>
            <w:shd w:val="clear" w:color="auto" w:fill="auto"/>
            <w:vAlign w:val="center"/>
          </w:tcPr>
          <w:p w14:paraId="063ED1B3">
            <w:pPr>
              <w:rPr>
                <w:rFonts w:eastAsia="黑体"/>
                <w:bCs/>
                <w:sz w:val="18"/>
                <w:szCs w:val="18"/>
              </w:rPr>
            </w:pPr>
            <w:r>
              <w:rPr>
                <w:rFonts w:eastAsia="黑体"/>
                <w:bCs/>
                <w:sz w:val="18"/>
                <w:szCs w:val="18"/>
              </w:rPr>
              <w:t>3083.9</w:t>
            </w:r>
          </w:p>
        </w:tc>
      </w:tr>
      <w:tr w14:paraId="69C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6F74287D">
            <w:pPr>
              <w:rPr>
                <w:rFonts w:eastAsia="黑体"/>
                <w:bCs/>
                <w:sz w:val="18"/>
                <w:szCs w:val="18"/>
              </w:rPr>
            </w:pPr>
            <w:r>
              <w:rPr>
                <w:rFonts w:eastAsia="黑体"/>
                <w:bCs/>
                <w:sz w:val="18"/>
                <w:szCs w:val="18"/>
              </w:rPr>
              <w:t>520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0CF3E7B1">
            <w:pPr>
              <w:rPr>
                <w:rFonts w:eastAsia="黑体"/>
                <w:bCs/>
                <w:sz w:val="18"/>
                <w:szCs w:val="18"/>
              </w:rPr>
            </w:pPr>
            <w:r>
              <w:rPr>
                <w:rFonts w:eastAsia="黑体"/>
                <w:bCs/>
                <w:sz w:val="18"/>
                <w:szCs w:val="18"/>
              </w:rPr>
              <w:t>3531.82</w:t>
            </w:r>
          </w:p>
        </w:tc>
        <w:tc>
          <w:tcPr>
            <w:tcW w:w="849" w:type="dxa"/>
            <w:shd w:val="clear" w:color="auto" w:fill="auto"/>
            <w:vAlign w:val="center"/>
          </w:tcPr>
          <w:p w14:paraId="0E4BA57C">
            <w:pPr>
              <w:rPr>
                <w:rFonts w:eastAsia="黑体"/>
                <w:bCs/>
                <w:sz w:val="18"/>
                <w:szCs w:val="18"/>
              </w:rPr>
            </w:pPr>
            <w:r>
              <w:rPr>
                <w:rFonts w:eastAsia="黑体"/>
                <w:bCs/>
                <w:sz w:val="18"/>
                <w:szCs w:val="18"/>
              </w:rPr>
              <w:t>3530.9</w:t>
            </w:r>
          </w:p>
        </w:tc>
        <w:tc>
          <w:tcPr>
            <w:tcW w:w="850" w:type="dxa"/>
            <w:shd w:val="clear" w:color="auto" w:fill="auto"/>
            <w:vAlign w:val="center"/>
          </w:tcPr>
          <w:p w14:paraId="00F55B0D">
            <w:pPr>
              <w:rPr>
                <w:rFonts w:eastAsia="黑体"/>
                <w:bCs/>
                <w:sz w:val="18"/>
                <w:szCs w:val="18"/>
              </w:rPr>
            </w:pPr>
            <w:r>
              <w:rPr>
                <w:rFonts w:eastAsia="黑体"/>
                <w:bCs/>
                <w:sz w:val="18"/>
                <w:szCs w:val="18"/>
              </w:rPr>
              <w:t>3526.9</w:t>
            </w:r>
          </w:p>
        </w:tc>
        <w:tc>
          <w:tcPr>
            <w:tcW w:w="853" w:type="dxa"/>
            <w:shd w:val="clear" w:color="auto" w:fill="auto"/>
            <w:vAlign w:val="center"/>
          </w:tcPr>
          <w:p w14:paraId="59299B4A">
            <w:pPr>
              <w:rPr>
                <w:rFonts w:eastAsia="黑体"/>
                <w:bCs/>
                <w:sz w:val="18"/>
                <w:szCs w:val="18"/>
              </w:rPr>
            </w:pPr>
            <w:r>
              <w:rPr>
                <w:rFonts w:eastAsia="黑体"/>
                <w:bCs/>
                <w:sz w:val="18"/>
                <w:szCs w:val="18"/>
              </w:rPr>
              <w:t>3521.86</w:t>
            </w:r>
          </w:p>
        </w:tc>
        <w:tc>
          <w:tcPr>
            <w:tcW w:w="850" w:type="dxa"/>
            <w:shd w:val="clear" w:color="auto" w:fill="auto"/>
            <w:vAlign w:val="center"/>
          </w:tcPr>
          <w:p w14:paraId="3CC72C24">
            <w:pPr>
              <w:rPr>
                <w:rFonts w:eastAsia="黑体"/>
                <w:bCs/>
                <w:sz w:val="18"/>
                <w:szCs w:val="18"/>
              </w:rPr>
            </w:pPr>
            <w:r>
              <w:rPr>
                <w:rFonts w:eastAsia="黑体"/>
                <w:bCs/>
                <w:sz w:val="18"/>
                <w:szCs w:val="18"/>
              </w:rPr>
              <w:t>3501.28</w:t>
            </w:r>
          </w:p>
        </w:tc>
        <w:tc>
          <w:tcPr>
            <w:tcW w:w="851" w:type="dxa"/>
            <w:shd w:val="clear" w:color="auto" w:fill="auto"/>
            <w:vAlign w:val="center"/>
          </w:tcPr>
          <w:p w14:paraId="2D4C04D9">
            <w:pPr>
              <w:rPr>
                <w:rFonts w:eastAsia="黑体"/>
                <w:bCs/>
                <w:sz w:val="18"/>
                <w:szCs w:val="18"/>
              </w:rPr>
            </w:pPr>
            <w:r>
              <w:rPr>
                <w:rFonts w:eastAsia="黑体"/>
                <w:bCs/>
                <w:sz w:val="18"/>
                <w:szCs w:val="18"/>
              </w:rPr>
              <w:t>3480.12</w:t>
            </w:r>
          </w:p>
        </w:tc>
        <w:tc>
          <w:tcPr>
            <w:tcW w:w="850" w:type="dxa"/>
            <w:shd w:val="clear" w:color="auto" w:fill="auto"/>
            <w:vAlign w:val="center"/>
          </w:tcPr>
          <w:p w14:paraId="1F09D9A1">
            <w:pPr>
              <w:rPr>
                <w:rFonts w:eastAsia="黑体"/>
                <w:bCs/>
                <w:sz w:val="18"/>
                <w:szCs w:val="18"/>
              </w:rPr>
            </w:pPr>
            <w:r>
              <w:rPr>
                <w:rFonts w:eastAsia="黑体"/>
                <w:bCs/>
                <w:sz w:val="18"/>
                <w:szCs w:val="18"/>
              </w:rPr>
              <w:t>3458.60</w:t>
            </w:r>
          </w:p>
        </w:tc>
        <w:tc>
          <w:tcPr>
            <w:tcW w:w="851" w:type="dxa"/>
            <w:shd w:val="clear" w:color="auto" w:fill="auto"/>
            <w:vAlign w:val="center"/>
          </w:tcPr>
          <w:p w14:paraId="56780753">
            <w:pPr>
              <w:rPr>
                <w:rFonts w:eastAsia="黑体"/>
                <w:bCs/>
                <w:sz w:val="18"/>
                <w:szCs w:val="18"/>
              </w:rPr>
            </w:pPr>
            <w:r>
              <w:rPr>
                <w:rFonts w:eastAsia="黑体"/>
                <w:bCs/>
                <w:sz w:val="18"/>
                <w:szCs w:val="18"/>
              </w:rPr>
              <w:t>3425.1</w:t>
            </w:r>
          </w:p>
        </w:tc>
        <w:tc>
          <w:tcPr>
            <w:tcW w:w="850" w:type="dxa"/>
            <w:shd w:val="clear" w:color="auto" w:fill="auto"/>
            <w:vAlign w:val="center"/>
          </w:tcPr>
          <w:p w14:paraId="29EA9C99">
            <w:pPr>
              <w:rPr>
                <w:rFonts w:eastAsia="黑体"/>
                <w:bCs/>
                <w:sz w:val="18"/>
                <w:szCs w:val="18"/>
              </w:rPr>
            </w:pPr>
            <w:r>
              <w:rPr>
                <w:rFonts w:eastAsia="黑体"/>
                <w:bCs/>
                <w:sz w:val="18"/>
                <w:szCs w:val="18"/>
              </w:rPr>
              <w:t>3378.4</w:t>
            </w:r>
          </w:p>
        </w:tc>
        <w:tc>
          <w:tcPr>
            <w:tcW w:w="851" w:type="dxa"/>
            <w:shd w:val="clear" w:color="auto" w:fill="auto"/>
            <w:vAlign w:val="center"/>
          </w:tcPr>
          <w:p w14:paraId="4987FD88">
            <w:pPr>
              <w:rPr>
                <w:rFonts w:eastAsia="黑体"/>
                <w:bCs/>
                <w:sz w:val="18"/>
                <w:szCs w:val="18"/>
              </w:rPr>
            </w:pPr>
            <w:r>
              <w:rPr>
                <w:rFonts w:eastAsia="黑体"/>
                <w:bCs/>
                <w:sz w:val="18"/>
                <w:szCs w:val="18"/>
              </w:rPr>
              <w:t>3303.7</w:t>
            </w:r>
          </w:p>
        </w:tc>
        <w:tc>
          <w:tcPr>
            <w:tcW w:w="850" w:type="dxa"/>
            <w:shd w:val="clear" w:color="auto" w:fill="auto"/>
            <w:vAlign w:val="center"/>
          </w:tcPr>
          <w:p w14:paraId="7F33D5C1">
            <w:pPr>
              <w:rPr>
                <w:rFonts w:eastAsia="黑体"/>
                <w:bCs/>
                <w:sz w:val="18"/>
                <w:szCs w:val="18"/>
              </w:rPr>
            </w:pPr>
            <w:r>
              <w:rPr>
                <w:rFonts w:eastAsia="黑体"/>
                <w:bCs/>
                <w:sz w:val="18"/>
                <w:szCs w:val="18"/>
              </w:rPr>
              <w:t>3237</w:t>
            </w:r>
          </w:p>
        </w:tc>
        <w:tc>
          <w:tcPr>
            <w:tcW w:w="851" w:type="dxa"/>
            <w:shd w:val="clear" w:color="auto" w:fill="auto"/>
            <w:vAlign w:val="center"/>
          </w:tcPr>
          <w:p w14:paraId="0C791F72">
            <w:pPr>
              <w:rPr>
                <w:rFonts w:eastAsia="黑体"/>
                <w:bCs/>
                <w:sz w:val="18"/>
                <w:szCs w:val="18"/>
              </w:rPr>
            </w:pPr>
            <w:r>
              <w:rPr>
                <w:rFonts w:eastAsia="黑体"/>
                <w:bCs/>
                <w:sz w:val="18"/>
                <w:szCs w:val="18"/>
              </w:rPr>
              <w:t>3166.1</w:t>
            </w:r>
          </w:p>
        </w:tc>
      </w:tr>
      <w:tr w14:paraId="2232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3C6A2C5C">
            <w:pPr>
              <w:rPr>
                <w:rFonts w:eastAsia="黑体"/>
                <w:bCs/>
                <w:sz w:val="18"/>
                <w:szCs w:val="18"/>
              </w:rPr>
            </w:pPr>
            <w:r>
              <w:rPr>
                <w:rFonts w:eastAsia="黑体"/>
                <w:bCs/>
                <w:sz w:val="18"/>
                <w:szCs w:val="18"/>
              </w:rPr>
              <w:t>540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1DACB2AE">
            <w:pPr>
              <w:rPr>
                <w:rFonts w:eastAsia="黑体"/>
                <w:bCs/>
                <w:sz w:val="18"/>
                <w:szCs w:val="18"/>
              </w:rPr>
            </w:pPr>
            <w:r>
              <w:rPr>
                <w:rFonts w:eastAsia="黑体"/>
                <w:bCs/>
                <w:sz w:val="18"/>
                <w:szCs w:val="18"/>
              </w:rPr>
              <w:t>3574.74</w:t>
            </w:r>
          </w:p>
        </w:tc>
        <w:tc>
          <w:tcPr>
            <w:tcW w:w="849" w:type="dxa"/>
            <w:shd w:val="clear" w:color="auto" w:fill="auto"/>
            <w:vAlign w:val="center"/>
          </w:tcPr>
          <w:p w14:paraId="2BE05861">
            <w:pPr>
              <w:rPr>
                <w:rFonts w:eastAsia="黑体"/>
                <w:bCs/>
                <w:sz w:val="18"/>
                <w:szCs w:val="18"/>
              </w:rPr>
            </w:pPr>
            <w:r>
              <w:rPr>
                <w:rFonts w:eastAsia="黑体"/>
                <w:bCs/>
                <w:sz w:val="18"/>
                <w:szCs w:val="18"/>
              </w:rPr>
              <w:t>3573.9</w:t>
            </w:r>
          </w:p>
        </w:tc>
        <w:tc>
          <w:tcPr>
            <w:tcW w:w="850" w:type="dxa"/>
            <w:shd w:val="clear" w:color="auto" w:fill="auto"/>
            <w:vAlign w:val="center"/>
          </w:tcPr>
          <w:p w14:paraId="67F1CB4D">
            <w:pPr>
              <w:rPr>
                <w:rFonts w:eastAsia="黑体"/>
                <w:bCs/>
                <w:sz w:val="18"/>
                <w:szCs w:val="18"/>
              </w:rPr>
            </w:pPr>
            <w:r>
              <w:rPr>
                <w:rFonts w:eastAsia="黑体"/>
                <w:bCs/>
                <w:sz w:val="18"/>
                <w:szCs w:val="18"/>
              </w:rPr>
              <w:t>3570.1</w:t>
            </w:r>
          </w:p>
        </w:tc>
        <w:tc>
          <w:tcPr>
            <w:tcW w:w="853" w:type="dxa"/>
            <w:shd w:val="clear" w:color="auto" w:fill="auto"/>
            <w:vAlign w:val="center"/>
          </w:tcPr>
          <w:p w14:paraId="67465874">
            <w:pPr>
              <w:rPr>
                <w:rFonts w:eastAsia="黑体"/>
                <w:bCs/>
                <w:sz w:val="18"/>
                <w:szCs w:val="18"/>
              </w:rPr>
            </w:pPr>
            <w:r>
              <w:rPr>
                <w:rFonts w:eastAsia="黑体"/>
                <w:bCs/>
                <w:sz w:val="18"/>
                <w:szCs w:val="18"/>
              </w:rPr>
              <w:t>3565.42</w:t>
            </w:r>
          </w:p>
        </w:tc>
        <w:tc>
          <w:tcPr>
            <w:tcW w:w="850" w:type="dxa"/>
            <w:shd w:val="clear" w:color="auto" w:fill="auto"/>
            <w:vAlign w:val="center"/>
          </w:tcPr>
          <w:p w14:paraId="57373714">
            <w:pPr>
              <w:rPr>
                <w:rFonts w:eastAsia="黑体"/>
                <w:bCs/>
                <w:sz w:val="18"/>
                <w:szCs w:val="18"/>
              </w:rPr>
            </w:pPr>
            <w:r>
              <w:rPr>
                <w:rFonts w:eastAsia="黑体"/>
                <w:bCs/>
                <w:sz w:val="18"/>
                <w:szCs w:val="18"/>
              </w:rPr>
              <w:t>3546.16</w:t>
            </w:r>
          </w:p>
        </w:tc>
        <w:tc>
          <w:tcPr>
            <w:tcW w:w="851" w:type="dxa"/>
            <w:shd w:val="clear" w:color="auto" w:fill="auto"/>
            <w:vAlign w:val="center"/>
          </w:tcPr>
          <w:p w14:paraId="2CCED7B6">
            <w:pPr>
              <w:rPr>
                <w:rFonts w:eastAsia="黑体"/>
                <w:bCs/>
                <w:sz w:val="18"/>
                <w:szCs w:val="18"/>
              </w:rPr>
            </w:pPr>
            <w:r>
              <w:rPr>
                <w:rFonts w:eastAsia="黑体"/>
                <w:bCs/>
                <w:sz w:val="18"/>
                <w:szCs w:val="18"/>
              </w:rPr>
              <w:t>3526.44</w:t>
            </w:r>
          </w:p>
        </w:tc>
        <w:tc>
          <w:tcPr>
            <w:tcW w:w="850" w:type="dxa"/>
            <w:shd w:val="clear" w:color="auto" w:fill="auto"/>
            <w:vAlign w:val="center"/>
          </w:tcPr>
          <w:p w14:paraId="5B106C1B">
            <w:pPr>
              <w:rPr>
                <w:rFonts w:eastAsia="黑体"/>
                <w:bCs/>
                <w:sz w:val="18"/>
                <w:szCs w:val="18"/>
              </w:rPr>
            </w:pPr>
            <w:r>
              <w:rPr>
                <w:rFonts w:eastAsia="黑体"/>
                <w:bCs/>
                <w:sz w:val="18"/>
                <w:szCs w:val="18"/>
              </w:rPr>
              <w:t>3506.40</w:t>
            </w:r>
          </w:p>
        </w:tc>
        <w:tc>
          <w:tcPr>
            <w:tcW w:w="851" w:type="dxa"/>
            <w:shd w:val="clear" w:color="auto" w:fill="auto"/>
            <w:vAlign w:val="center"/>
          </w:tcPr>
          <w:p w14:paraId="2A895551">
            <w:pPr>
              <w:rPr>
                <w:rFonts w:eastAsia="黑体"/>
                <w:bCs/>
                <w:sz w:val="18"/>
                <w:szCs w:val="18"/>
              </w:rPr>
            </w:pPr>
            <w:r>
              <w:rPr>
                <w:rFonts w:eastAsia="黑体"/>
                <w:bCs/>
                <w:sz w:val="18"/>
                <w:szCs w:val="18"/>
              </w:rPr>
              <w:t>3475.4</w:t>
            </w:r>
          </w:p>
        </w:tc>
        <w:tc>
          <w:tcPr>
            <w:tcW w:w="850" w:type="dxa"/>
            <w:shd w:val="clear" w:color="auto" w:fill="auto"/>
            <w:vAlign w:val="center"/>
          </w:tcPr>
          <w:p w14:paraId="23A1536F">
            <w:pPr>
              <w:rPr>
                <w:rFonts w:eastAsia="黑体"/>
                <w:bCs/>
                <w:sz w:val="18"/>
                <w:szCs w:val="18"/>
              </w:rPr>
            </w:pPr>
            <w:r>
              <w:rPr>
                <w:rFonts w:eastAsia="黑体"/>
                <w:bCs/>
                <w:sz w:val="18"/>
                <w:szCs w:val="18"/>
              </w:rPr>
              <w:t>3432.5</w:t>
            </w:r>
          </w:p>
        </w:tc>
        <w:tc>
          <w:tcPr>
            <w:tcW w:w="851" w:type="dxa"/>
            <w:shd w:val="clear" w:color="auto" w:fill="auto"/>
            <w:vAlign w:val="center"/>
          </w:tcPr>
          <w:p w14:paraId="36097E7B">
            <w:pPr>
              <w:rPr>
                <w:rFonts w:eastAsia="黑体"/>
                <w:bCs/>
                <w:sz w:val="18"/>
                <w:szCs w:val="18"/>
              </w:rPr>
            </w:pPr>
            <w:r>
              <w:rPr>
                <w:rFonts w:eastAsia="黑体"/>
                <w:bCs/>
                <w:sz w:val="18"/>
                <w:szCs w:val="18"/>
              </w:rPr>
              <w:t>3364.6</w:t>
            </w:r>
          </w:p>
        </w:tc>
        <w:tc>
          <w:tcPr>
            <w:tcW w:w="850" w:type="dxa"/>
            <w:shd w:val="clear" w:color="auto" w:fill="auto"/>
            <w:vAlign w:val="center"/>
          </w:tcPr>
          <w:p w14:paraId="02CC6F6B">
            <w:pPr>
              <w:rPr>
                <w:rFonts w:eastAsia="黑体"/>
                <w:bCs/>
                <w:sz w:val="18"/>
                <w:szCs w:val="18"/>
              </w:rPr>
            </w:pPr>
            <w:r>
              <w:rPr>
                <w:rFonts w:eastAsia="黑体"/>
                <w:bCs/>
                <w:sz w:val="18"/>
                <w:szCs w:val="18"/>
              </w:rPr>
              <w:t>3304.7</w:t>
            </w:r>
          </w:p>
        </w:tc>
        <w:tc>
          <w:tcPr>
            <w:tcW w:w="851" w:type="dxa"/>
            <w:shd w:val="clear" w:color="auto" w:fill="auto"/>
            <w:vAlign w:val="center"/>
          </w:tcPr>
          <w:p w14:paraId="796D418B">
            <w:pPr>
              <w:rPr>
                <w:rFonts w:eastAsia="黑体"/>
                <w:bCs/>
                <w:sz w:val="18"/>
                <w:szCs w:val="18"/>
              </w:rPr>
            </w:pPr>
            <w:r>
              <w:rPr>
                <w:rFonts w:eastAsia="黑体"/>
                <w:bCs/>
                <w:sz w:val="18"/>
                <w:szCs w:val="18"/>
              </w:rPr>
              <w:t>3241.7</w:t>
            </w:r>
          </w:p>
        </w:tc>
      </w:tr>
      <w:tr w14:paraId="4541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3BBD81AD">
            <w:pPr>
              <w:rPr>
                <w:rFonts w:eastAsia="黑体"/>
                <w:bCs/>
                <w:sz w:val="18"/>
                <w:szCs w:val="18"/>
              </w:rPr>
            </w:pPr>
            <w:r>
              <w:rPr>
                <w:rFonts w:eastAsia="黑体"/>
                <w:bCs/>
                <w:sz w:val="18"/>
                <w:szCs w:val="18"/>
              </w:rPr>
              <w:t>550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6FB522C1">
            <w:pPr>
              <w:rPr>
                <w:rFonts w:eastAsia="黑体"/>
                <w:bCs/>
                <w:sz w:val="18"/>
                <w:szCs w:val="18"/>
              </w:rPr>
            </w:pPr>
            <w:r>
              <w:rPr>
                <w:rFonts w:eastAsia="黑体"/>
                <w:bCs/>
                <w:sz w:val="18"/>
                <w:szCs w:val="18"/>
              </w:rPr>
              <w:t>3593.2</w:t>
            </w:r>
          </w:p>
        </w:tc>
        <w:tc>
          <w:tcPr>
            <w:tcW w:w="849" w:type="dxa"/>
            <w:shd w:val="clear" w:color="auto" w:fill="auto"/>
            <w:vAlign w:val="center"/>
          </w:tcPr>
          <w:p w14:paraId="118BB14C">
            <w:pPr>
              <w:rPr>
                <w:rFonts w:eastAsia="黑体"/>
                <w:bCs/>
                <w:sz w:val="18"/>
                <w:szCs w:val="18"/>
              </w:rPr>
            </w:pPr>
            <w:r>
              <w:rPr>
                <w:rFonts w:eastAsia="黑体"/>
                <w:bCs/>
                <w:sz w:val="18"/>
                <w:szCs w:val="18"/>
              </w:rPr>
              <w:t>3595.4</w:t>
            </w:r>
          </w:p>
        </w:tc>
        <w:tc>
          <w:tcPr>
            <w:tcW w:w="850" w:type="dxa"/>
            <w:shd w:val="clear" w:color="auto" w:fill="auto"/>
            <w:vAlign w:val="center"/>
          </w:tcPr>
          <w:p w14:paraId="14860DD2">
            <w:pPr>
              <w:rPr>
                <w:rFonts w:eastAsia="黑体"/>
                <w:bCs/>
                <w:sz w:val="18"/>
                <w:szCs w:val="18"/>
              </w:rPr>
            </w:pPr>
            <w:r>
              <w:rPr>
                <w:rFonts w:eastAsia="黑体"/>
                <w:bCs/>
                <w:sz w:val="18"/>
                <w:szCs w:val="18"/>
              </w:rPr>
              <w:t>3591.7</w:t>
            </w:r>
          </w:p>
        </w:tc>
        <w:tc>
          <w:tcPr>
            <w:tcW w:w="853" w:type="dxa"/>
            <w:shd w:val="clear" w:color="auto" w:fill="auto"/>
            <w:vAlign w:val="center"/>
          </w:tcPr>
          <w:p w14:paraId="6B7AE5FE">
            <w:pPr>
              <w:rPr>
                <w:rFonts w:eastAsia="黑体"/>
                <w:bCs/>
                <w:sz w:val="18"/>
                <w:szCs w:val="18"/>
              </w:rPr>
            </w:pPr>
            <w:r>
              <w:rPr>
                <w:rFonts w:eastAsia="黑体"/>
                <w:bCs/>
                <w:sz w:val="18"/>
                <w:szCs w:val="18"/>
              </w:rPr>
              <w:t>3587.2</w:t>
            </w:r>
          </w:p>
        </w:tc>
        <w:tc>
          <w:tcPr>
            <w:tcW w:w="850" w:type="dxa"/>
            <w:shd w:val="clear" w:color="auto" w:fill="auto"/>
            <w:vAlign w:val="center"/>
          </w:tcPr>
          <w:p w14:paraId="7AE35AA1">
            <w:pPr>
              <w:rPr>
                <w:rFonts w:eastAsia="黑体"/>
                <w:bCs/>
                <w:sz w:val="18"/>
                <w:szCs w:val="18"/>
              </w:rPr>
            </w:pPr>
            <w:r>
              <w:rPr>
                <w:rFonts w:eastAsia="黑体"/>
                <w:bCs/>
                <w:sz w:val="18"/>
                <w:szCs w:val="18"/>
              </w:rPr>
              <w:t>3568.6</w:t>
            </w:r>
          </w:p>
        </w:tc>
        <w:tc>
          <w:tcPr>
            <w:tcW w:w="851" w:type="dxa"/>
            <w:shd w:val="clear" w:color="auto" w:fill="auto"/>
            <w:vAlign w:val="center"/>
          </w:tcPr>
          <w:p w14:paraId="5A5D7ABE">
            <w:pPr>
              <w:rPr>
                <w:rFonts w:eastAsia="黑体"/>
                <w:bCs/>
                <w:sz w:val="18"/>
                <w:szCs w:val="18"/>
              </w:rPr>
            </w:pPr>
            <w:r>
              <w:rPr>
                <w:rFonts w:eastAsia="黑体"/>
                <w:bCs/>
                <w:sz w:val="18"/>
                <w:szCs w:val="18"/>
              </w:rPr>
              <w:t>3549.6</w:t>
            </w:r>
          </w:p>
        </w:tc>
        <w:tc>
          <w:tcPr>
            <w:tcW w:w="850" w:type="dxa"/>
            <w:shd w:val="clear" w:color="auto" w:fill="auto"/>
            <w:vAlign w:val="center"/>
          </w:tcPr>
          <w:p w14:paraId="3D95E6FE">
            <w:pPr>
              <w:rPr>
                <w:rFonts w:eastAsia="黑体"/>
                <w:bCs/>
                <w:sz w:val="18"/>
                <w:szCs w:val="18"/>
              </w:rPr>
            </w:pPr>
            <w:r>
              <w:rPr>
                <w:rFonts w:eastAsia="黑体"/>
                <w:bCs/>
                <w:sz w:val="18"/>
                <w:szCs w:val="18"/>
              </w:rPr>
              <w:t>3530.2</w:t>
            </w:r>
          </w:p>
        </w:tc>
        <w:tc>
          <w:tcPr>
            <w:tcW w:w="851" w:type="dxa"/>
            <w:shd w:val="clear" w:color="auto" w:fill="auto"/>
            <w:vAlign w:val="center"/>
          </w:tcPr>
          <w:p w14:paraId="18B7370D">
            <w:pPr>
              <w:rPr>
                <w:rFonts w:eastAsia="黑体"/>
                <w:bCs/>
                <w:sz w:val="18"/>
                <w:szCs w:val="18"/>
              </w:rPr>
            </w:pPr>
            <w:r>
              <w:rPr>
                <w:rFonts w:eastAsia="黑体"/>
                <w:bCs/>
                <w:sz w:val="18"/>
                <w:szCs w:val="18"/>
              </w:rPr>
              <w:t>3500.4</w:t>
            </w:r>
          </w:p>
        </w:tc>
        <w:tc>
          <w:tcPr>
            <w:tcW w:w="850" w:type="dxa"/>
            <w:shd w:val="clear" w:color="auto" w:fill="auto"/>
            <w:vAlign w:val="center"/>
          </w:tcPr>
          <w:p w14:paraId="21B944E3">
            <w:pPr>
              <w:rPr>
                <w:rFonts w:eastAsia="黑体"/>
                <w:bCs/>
                <w:sz w:val="18"/>
                <w:szCs w:val="18"/>
              </w:rPr>
            </w:pPr>
            <w:r>
              <w:rPr>
                <w:rFonts w:eastAsia="黑体"/>
                <w:bCs/>
                <w:sz w:val="18"/>
                <w:szCs w:val="18"/>
              </w:rPr>
              <w:t>3459.2</w:t>
            </w:r>
          </w:p>
        </w:tc>
        <w:tc>
          <w:tcPr>
            <w:tcW w:w="851" w:type="dxa"/>
            <w:shd w:val="clear" w:color="auto" w:fill="auto"/>
            <w:vAlign w:val="center"/>
          </w:tcPr>
          <w:p w14:paraId="1F208EA3">
            <w:pPr>
              <w:rPr>
                <w:rFonts w:eastAsia="黑体"/>
                <w:bCs/>
                <w:sz w:val="18"/>
                <w:szCs w:val="18"/>
              </w:rPr>
            </w:pPr>
            <w:r>
              <w:rPr>
                <w:rFonts w:eastAsia="黑体"/>
                <w:bCs/>
                <w:sz w:val="18"/>
                <w:szCs w:val="18"/>
              </w:rPr>
              <w:t>3394.3</w:t>
            </w:r>
          </w:p>
        </w:tc>
        <w:tc>
          <w:tcPr>
            <w:tcW w:w="850" w:type="dxa"/>
            <w:shd w:val="clear" w:color="auto" w:fill="auto"/>
            <w:vAlign w:val="center"/>
          </w:tcPr>
          <w:p w14:paraId="41E0F422">
            <w:pPr>
              <w:rPr>
                <w:rFonts w:eastAsia="黑体"/>
                <w:bCs/>
                <w:sz w:val="18"/>
                <w:szCs w:val="18"/>
              </w:rPr>
            </w:pPr>
            <w:r>
              <w:rPr>
                <w:rFonts w:eastAsia="黑体"/>
                <w:bCs/>
                <w:sz w:val="18"/>
                <w:szCs w:val="18"/>
              </w:rPr>
              <w:t>3337.3</w:t>
            </w:r>
          </w:p>
        </w:tc>
        <w:tc>
          <w:tcPr>
            <w:tcW w:w="851" w:type="dxa"/>
            <w:shd w:val="clear" w:color="auto" w:fill="auto"/>
            <w:vAlign w:val="center"/>
          </w:tcPr>
          <w:p w14:paraId="74CAC931">
            <w:pPr>
              <w:rPr>
                <w:rFonts w:eastAsia="黑体"/>
                <w:bCs/>
                <w:sz w:val="18"/>
                <w:szCs w:val="18"/>
              </w:rPr>
            </w:pPr>
            <w:r>
              <w:rPr>
                <w:rFonts w:eastAsia="黑体"/>
                <w:bCs/>
                <w:sz w:val="18"/>
                <w:szCs w:val="18"/>
              </w:rPr>
              <w:t>3277.7</w:t>
            </w:r>
          </w:p>
        </w:tc>
      </w:tr>
      <w:tr w14:paraId="2FC7E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3A2D345B">
            <w:pPr>
              <w:rPr>
                <w:rFonts w:eastAsia="黑体"/>
                <w:bCs/>
                <w:sz w:val="18"/>
                <w:szCs w:val="18"/>
              </w:rPr>
            </w:pPr>
            <w:r>
              <w:rPr>
                <w:rFonts w:eastAsia="黑体"/>
                <w:bCs/>
                <w:sz w:val="18"/>
                <w:szCs w:val="18"/>
              </w:rPr>
              <w:t>560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08A518FA">
            <w:pPr>
              <w:rPr>
                <w:rFonts w:eastAsia="黑体"/>
                <w:bCs/>
                <w:sz w:val="18"/>
                <w:szCs w:val="18"/>
              </w:rPr>
            </w:pPr>
            <w:r>
              <w:rPr>
                <w:rFonts w:eastAsia="黑体"/>
                <w:bCs/>
                <w:sz w:val="18"/>
                <w:szCs w:val="18"/>
              </w:rPr>
              <w:t>3618</w:t>
            </w:r>
          </w:p>
        </w:tc>
        <w:tc>
          <w:tcPr>
            <w:tcW w:w="849" w:type="dxa"/>
            <w:shd w:val="clear" w:color="auto" w:fill="auto"/>
            <w:vAlign w:val="center"/>
          </w:tcPr>
          <w:p w14:paraId="0560B17C">
            <w:pPr>
              <w:rPr>
                <w:rFonts w:eastAsia="黑体"/>
                <w:bCs/>
                <w:sz w:val="18"/>
                <w:szCs w:val="18"/>
              </w:rPr>
            </w:pPr>
            <w:r>
              <w:rPr>
                <w:rFonts w:eastAsia="黑体"/>
                <w:bCs/>
                <w:sz w:val="18"/>
                <w:szCs w:val="18"/>
              </w:rPr>
              <w:t>3617.22</w:t>
            </w:r>
          </w:p>
        </w:tc>
        <w:tc>
          <w:tcPr>
            <w:tcW w:w="850" w:type="dxa"/>
            <w:shd w:val="clear" w:color="auto" w:fill="auto"/>
            <w:vAlign w:val="center"/>
          </w:tcPr>
          <w:p w14:paraId="24AA5F38">
            <w:pPr>
              <w:rPr>
                <w:rFonts w:eastAsia="黑体"/>
                <w:bCs/>
                <w:sz w:val="18"/>
                <w:szCs w:val="18"/>
              </w:rPr>
            </w:pPr>
            <w:r>
              <w:rPr>
                <w:rFonts w:eastAsia="黑体"/>
                <w:bCs/>
                <w:sz w:val="18"/>
                <w:szCs w:val="18"/>
              </w:rPr>
              <w:t>3613.64</w:t>
            </w:r>
          </w:p>
        </w:tc>
        <w:tc>
          <w:tcPr>
            <w:tcW w:w="853" w:type="dxa"/>
            <w:shd w:val="clear" w:color="auto" w:fill="auto"/>
            <w:vAlign w:val="center"/>
          </w:tcPr>
          <w:p w14:paraId="325E1B12">
            <w:pPr>
              <w:rPr>
                <w:rFonts w:eastAsia="黑体"/>
                <w:bCs/>
                <w:sz w:val="18"/>
                <w:szCs w:val="18"/>
              </w:rPr>
            </w:pPr>
            <w:r>
              <w:rPr>
                <w:rFonts w:eastAsia="黑体"/>
                <w:bCs/>
                <w:sz w:val="18"/>
                <w:szCs w:val="18"/>
              </w:rPr>
              <w:t>3609.24</w:t>
            </w:r>
          </w:p>
        </w:tc>
        <w:tc>
          <w:tcPr>
            <w:tcW w:w="850" w:type="dxa"/>
            <w:shd w:val="clear" w:color="auto" w:fill="auto"/>
            <w:vAlign w:val="center"/>
          </w:tcPr>
          <w:p w14:paraId="26C5DF56">
            <w:pPr>
              <w:rPr>
                <w:rFonts w:eastAsia="黑体"/>
                <w:bCs/>
                <w:sz w:val="18"/>
                <w:szCs w:val="18"/>
              </w:rPr>
            </w:pPr>
            <w:r>
              <w:rPr>
                <w:rFonts w:eastAsia="黑体"/>
                <w:bCs/>
                <w:sz w:val="18"/>
                <w:szCs w:val="18"/>
              </w:rPr>
              <w:t>3591.18</w:t>
            </w:r>
          </w:p>
        </w:tc>
        <w:tc>
          <w:tcPr>
            <w:tcW w:w="851" w:type="dxa"/>
            <w:shd w:val="clear" w:color="auto" w:fill="auto"/>
            <w:vAlign w:val="center"/>
          </w:tcPr>
          <w:p w14:paraId="1AFC8952">
            <w:pPr>
              <w:rPr>
                <w:rFonts w:eastAsia="黑体"/>
                <w:bCs/>
                <w:sz w:val="18"/>
                <w:szCs w:val="18"/>
              </w:rPr>
            </w:pPr>
            <w:r>
              <w:rPr>
                <w:rFonts w:eastAsia="黑体"/>
                <w:bCs/>
                <w:sz w:val="18"/>
                <w:szCs w:val="18"/>
              </w:rPr>
              <w:t>3572.76</w:t>
            </w:r>
          </w:p>
        </w:tc>
        <w:tc>
          <w:tcPr>
            <w:tcW w:w="850" w:type="dxa"/>
            <w:shd w:val="clear" w:color="auto" w:fill="auto"/>
            <w:vAlign w:val="center"/>
          </w:tcPr>
          <w:p w14:paraId="46FAA8E3">
            <w:pPr>
              <w:rPr>
                <w:rFonts w:eastAsia="黑体"/>
                <w:bCs/>
                <w:sz w:val="18"/>
                <w:szCs w:val="18"/>
              </w:rPr>
            </w:pPr>
            <w:r>
              <w:rPr>
                <w:rFonts w:eastAsia="黑体"/>
                <w:bCs/>
                <w:sz w:val="18"/>
                <w:szCs w:val="18"/>
              </w:rPr>
              <w:t>3554.10</w:t>
            </w:r>
          </w:p>
        </w:tc>
        <w:tc>
          <w:tcPr>
            <w:tcW w:w="851" w:type="dxa"/>
            <w:shd w:val="clear" w:color="auto" w:fill="auto"/>
            <w:vAlign w:val="center"/>
          </w:tcPr>
          <w:p w14:paraId="06C28EB2">
            <w:pPr>
              <w:rPr>
                <w:rFonts w:eastAsia="黑体"/>
                <w:bCs/>
                <w:sz w:val="18"/>
                <w:szCs w:val="18"/>
              </w:rPr>
            </w:pPr>
            <w:r>
              <w:rPr>
                <w:rFonts w:eastAsia="黑体"/>
                <w:bCs/>
                <w:sz w:val="18"/>
                <w:szCs w:val="18"/>
              </w:rPr>
              <w:t>3525.4</w:t>
            </w:r>
          </w:p>
        </w:tc>
        <w:tc>
          <w:tcPr>
            <w:tcW w:w="850" w:type="dxa"/>
            <w:shd w:val="clear" w:color="auto" w:fill="auto"/>
            <w:vAlign w:val="center"/>
          </w:tcPr>
          <w:p w14:paraId="68BB5249">
            <w:pPr>
              <w:rPr>
                <w:rFonts w:eastAsia="黑体"/>
                <w:bCs/>
                <w:sz w:val="18"/>
                <w:szCs w:val="18"/>
              </w:rPr>
            </w:pPr>
            <w:r>
              <w:rPr>
                <w:rFonts w:eastAsia="黑体"/>
                <w:bCs/>
                <w:sz w:val="18"/>
                <w:szCs w:val="18"/>
              </w:rPr>
              <w:t>3485.8</w:t>
            </w:r>
          </w:p>
        </w:tc>
        <w:tc>
          <w:tcPr>
            <w:tcW w:w="851" w:type="dxa"/>
            <w:shd w:val="clear" w:color="auto" w:fill="auto"/>
            <w:vAlign w:val="center"/>
          </w:tcPr>
          <w:p w14:paraId="4FD72A4D">
            <w:pPr>
              <w:rPr>
                <w:rFonts w:eastAsia="黑体"/>
                <w:bCs/>
                <w:sz w:val="18"/>
                <w:szCs w:val="18"/>
              </w:rPr>
            </w:pPr>
            <w:r>
              <w:rPr>
                <w:rFonts w:eastAsia="黑体"/>
                <w:bCs/>
                <w:sz w:val="18"/>
                <w:szCs w:val="18"/>
              </w:rPr>
              <w:t>3423.6</w:t>
            </w:r>
          </w:p>
        </w:tc>
        <w:tc>
          <w:tcPr>
            <w:tcW w:w="850" w:type="dxa"/>
            <w:shd w:val="clear" w:color="auto" w:fill="auto"/>
            <w:vAlign w:val="center"/>
          </w:tcPr>
          <w:p w14:paraId="2CF7EF0F">
            <w:pPr>
              <w:rPr>
                <w:rFonts w:eastAsia="黑体"/>
                <w:bCs/>
                <w:sz w:val="18"/>
                <w:szCs w:val="18"/>
              </w:rPr>
            </w:pPr>
            <w:r>
              <w:rPr>
                <w:rFonts w:eastAsia="黑体"/>
                <w:bCs/>
                <w:sz w:val="18"/>
                <w:szCs w:val="18"/>
              </w:rPr>
              <w:t>3369.2</w:t>
            </w:r>
          </w:p>
        </w:tc>
        <w:tc>
          <w:tcPr>
            <w:tcW w:w="851" w:type="dxa"/>
            <w:shd w:val="clear" w:color="auto" w:fill="auto"/>
            <w:vAlign w:val="center"/>
          </w:tcPr>
          <w:p w14:paraId="6D8B535C">
            <w:pPr>
              <w:rPr>
                <w:rFonts w:eastAsia="黑体"/>
                <w:bCs/>
                <w:sz w:val="18"/>
                <w:szCs w:val="18"/>
              </w:rPr>
            </w:pPr>
            <w:r>
              <w:rPr>
                <w:rFonts w:eastAsia="黑体"/>
                <w:bCs/>
                <w:sz w:val="18"/>
                <w:szCs w:val="18"/>
              </w:rPr>
              <w:t>3312.6</w:t>
            </w:r>
          </w:p>
        </w:tc>
      </w:tr>
      <w:tr w14:paraId="5A77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5B81B73A">
            <w:pPr>
              <w:rPr>
                <w:rFonts w:eastAsia="黑体"/>
                <w:bCs/>
                <w:sz w:val="18"/>
                <w:szCs w:val="18"/>
              </w:rPr>
            </w:pPr>
            <w:r>
              <w:rPr>
                <w:rFonts w:eastAsia="黑体"/>
                <w:bCs/>
                <w:sz w:val="18"/>
                <w:szCs w:val="18"/>
              </w:rPr>
              <w:t>580</w:t>
            </w:r>
            <w:r>
              <w:rPr>
                <w:rFonts w:hint="eastAsia" w:eastAsia="黑体"/>
                <w:bCs/>
                <w:sz w:val="18"/>
                <w:szCs w:val="18"/>
              </w:rPr>
              <w:t xml:space="preserve"> </w:t>
            </w:r>
            <w:r>
              <w:rPr>
                <w:rFonts w:eastAsia="黑体"/>
                <w:bCs/>
                <w:sz w:val="18"/>
                <w:szCs w:val="18"/>
              </w:rPr>
              <w:t>℃</w:t>
            </w:r>
          </w:p>
        </w:tc>
        <w:tc>
          <w:tcPr>
            <w:tcW w:w="993" w:type="dxa"/>
            <w:shd w:val="clear" w:color="auto" w:fill="auto"/>
            <w:vAlign w:val="center"/>
          </w:tcPr>
          <w:p w14:paraId="7094C3B2">
            <w:pPr>
              <w:rPr>
                <w:rFonts w:eastAsia="黑体"/>
                <w:bCs/>
                <w:sz w:val="18"/>
                <w:szCs w:val="18"/>
              </w:rPr>
            </w:pPr>
            <w:r>
              <w:rPr>
                <w:rFonts w:eastAsia="黑体"/>
                <w:bCs/>
                <w:sz w:val="18"/>
                <w:szCs w:val="18"/>
              </w:rPr>
              <w:t>3661.6</w:t>
            </w:r>
          </w:p>
        </w:tc>
        <w:tc>
          <w:tcPr>
            <w:tcW w:w="849" w:type="dxa"/>
            <w:shd w:val="clear" w:color="auto" w:fill="auto"/>
            <w:vAlign w:val="center"/>
          </w:tcPr>
          <w:p w14:paraId="1CE0E742">
            <w:pPr>
              <w:rPr>
                <w:rFonts w:eastAsia="黑体"/>
                <w:bCs/>
                <w:sz w:val="18"/>
                <w:szCs w:val="18"/>
              </w:rPr>
            </w:pPr>
            <w:r>
              <w:rPr>
                <w:rFonts w:eastAsia="黑体"/>
                <w:bCs/>
                <w:sz w:val="18"/>
                <w:szCs w:val="18"/>
              </w:rPr>
              <w:t>3660.86</w:t>
            </w:r>
          </w:p>
        </w:tc>
        <w:tc>
          <w:tcPr>
            <w:tcW w:w="850" w:type="dxa"/>
            <w:shd w:val="clear" w:color="auto" w:fill="auto"/>
            <w:vAlign w:val="center"/>
          </w:tcPr>
          <w:p w14:paraId="07C1C8C7">
            <w:pPr>
              <w:rPr>
                <w:rFonts w:eastAsia="黑体"/>
                <w:bCs/>
                <w:sz w:val="18"/>
                <w:szCs w:val="18"/>
              </w:rPr>
            </w:pPr>
            <w:r>
              <w:rPr>
                <w:rFonts w:eastAsia="黑体"/>
                <w:bCs/>
                <w:sz w:val="18"/>
                <w:szCs w:val="18"/>
              </w:rPr>
              <w:t>3657.52</w:t>
            </w:r>
          </w:p>
        </w:tc>
        <w:tc>
          <w:tcPr>
            <w:tcW w:w="853" w:type="dxa"/>
            <w:shd w:val="clear" w:color="auto" w:fill="auto"/>
            <w:vAlign w:val="center"/>
          </w:tcPr>
          <w:p w14:paraId="6E76754B">
            <w:pPr>
              <w:rPr>
                <w:rFonts w:eastAsia="黑体"/>
                <w:bCs/>
                <w:sz w:val="18"/>
                <w:szCs w:val="18"/>
              </w:rPr>
            </w:pPr>
            <w:r>
              <w:rPr>
                <w:rFonts w:eastAsia="黑体"/>
                <w:bCs/>
                <w:sz w:val="18"/>
                <w:szCs w:val="18"/>
              </w:rPr>
              <w:t>3653.32</w:t>
            </w:r>
          </w:p>
        </w:tc>
        <w:tc>
          <w:tcPr>
            <w:tcW w:w="850" w:type="dxa"/>
            <w:shd w:val="clear" w:color="auto" w:fill="auto"/>
            <w:vAlign w:val="center"/>
          </w:tcPr>
          <w:p w14:paraId="68F514EC">
            <w:pPr>
              <w:rPr>
                <w:rFonts w:eastAsia="黑体"/>
                <w:bCs/>
                <w:sz w:val="18"/>
                <w:szCs w:val="18"/>
              </w:rPr>
            </w:pPr>
            <w:r>
              <w:rPr>
                <w:rFonts w:eastAsia="黑体"/>
                <w:bCs/>
                <w:sz w:val="18"/>
                <w:szCs w:val="18"/>
              </w:rPr>
              <w:t>3636.34</w:t>
            </w:r>
          </w:p>
        </w:tc>
        <w:tc>
          <w:tcPr>
            <w:tcW w:w="851" w:type="dxa"/>
            <w:shd w:val="clear" w:color="auto" w:fill="auto"/>
            <w:vAlign w:val="center"/>
          </w:tcPr>
          <w:p w14:paraId="4256E305">
            <w:pPr>
              <w:rPr>
                <w:rFonts w:eastAsia="黑体"/>
                <w:bCs/>
                <w:sz w:val="18"/>
                <w:szCs w:val="18"/>
              </w:rPr>
            </w:pPr>
            <w:r>
              <w:rPr>
                <w:rFonts w:eastAsia="黑体"/>
                <w:bCs/>
                <w:sz w:val="18"/>
                <w:szCs w:val="18"/>
              </w:rPr>
              <w:t>3619.08</w:t>
            </w:r>
          </w:p>
        </w:tc>
        <w:tc>
          <w:tcPr>
            <w:tcW w:w="850" w:type="dxa"/>
            <w:shd w:val="clear" w:color="auto" w:fill="auto"/>
            <w:vAlign w:val="center"/>
          </w:tcPr>
          <w:p w14:paraId="6994A7D6">
            <w:pPr>
              <w:rPr>
                <w:rFonts w:eastAsia="黑体"/>
                <w:bCs/>
                <w:sz w:val="18"/>
                <w:szCs w:val="18"/>
              </w:rPr>
            </w:pPr>
            <w:r>
              <w:rPr>
                <w:rFonts w:eastAsia="黑体"/>
                <w:bCs/>
                <w:sz w:val="18"/>
                <w:szCs w:val="18"/>
              </w:rPr>
              <w:t>3601.60</w:t>
            </w:r>
          </w:p>
        </w:tc>
        <w:tc>
          <w:tcPr>
            <w:tcW w:w="851" w:type="dxa"/>
            <w:shd w:val="clear" w:color="auto" w:fill="auto"/>
            <w:vAlign w:val="center"/>
          </w:tcPr>
          <w:p w14:paraId="22CD2046">
            <w:pPr>
              <w:rPr>
                <w:rFonts w:eastAsia="黑体"/>
                <w:bCs/>
                <w:sz w:val="18"/>
                <w:szCs w:val="18"/>
              </w:rPr>
            </w:pPr>
            <w:r>
              <w:rPr>
                <w:rFonts w:eastAsia="黑体"/>
                <w:bCs/>
                <w:sz w:val="18"/>
                <w:szCs w:val="18"/>
              </w:rPr>
              <w:t>3574.9</w:t>
            </w:r>
          </w:p>
        </w:tc>
        <w:tc>
          <w:tcPr>
            <w:tcW w:w="850" w:type="dxa"/>
            <w:shd w:val="clear" w:color="auto" w:fill="auto"/>
            <w:vAlign w:val="center"/>
          </w:tcPr>
          <w:p w14:paraId="625753DF">
            <w:pPr>
              <w:rPr>
                <w:rFonts w:eastAsia="黑体"/>
                <w:bCs/>
                <w:sz w:val="18"/>
                <w:szCs w:val="18"/>
              </w:rPr>
            </w:pPr>
            <w:r>
              <w:rPr>
                <w:rFonts w:eastAsia="黑体"/>
                <w:bCs/>
                <w:sz w:val="18"/>
                <w:szCs w:val="18"/>
              </w:rPr>
              <w:t>3538.2</w:t>
            </w:r>
          </w:p>
        </w:tc>
        <w:tc>
          <w:tcPr>
            <w:tcW w:w="851" w:type="dxa"/>
            <w:shd w:val="clear" w:color="auto" w:fill="auto"/>
            <w:vAlign w:val="center"/>
          </w:tcPr>
          <w:p w14:paraId="630A67CA">
            <w:pPr>
              <w:rPr>
                <w:rFonts w:eastAsia="黑体"/>
                <w:bCs/>
                <w:sz w:val="18"/>
                <w:szCs w:val="18"/>
              </w:rPr>
            </w:pPr>
            <w:r>
              <w:rPr>
                <w:rFonts w:eastAsia="黑体"/>
                <w:bCs/>
                <w:sz w:val="18"/>
                <w:szCs w:val="18"/>
              </w:rPr>
              <w:t>3480.9</w:t>
            </w:r>
          </w:p>
        </w:tc>
        <w:tc>
          <w:tcPr>
            <w:tcW w:w="850" w:type="dxa"/>
            <w:shd w:val="clear" w:color="auto" w:fill="auto"/>
            <w:vAlign w:val="center"/>
          </w:tcPr>
          <w:p w14:paraId="1D0E60B8">
            <w:pPr>
              <w:rPr>
                <w:rFonts w:eastAsia="黑体"/>
                <w:bCs/>
                <w:sz w:val="18"/>
                <w:szCs w:val="18"/>
              </w:rPr>
            </w:pPr>
            <w:r>
              <w:rPr>
                <w:rFonts w:eastAsia="黑体"/>
                <w:bCs/>
                <w:sz w:val="18"/>
                <w:szCs w:val="18"/>
              </w:rPr>
              <w:t>3431.2</w:t>
            </w:r>
          </w:p>
        </w:tc>
        <w:tc>
          <w:tcPr>
            <w:tcW w:w="851" w:type="dxa"/>
            <w:shd w:val="clear" w:color="auto" w:fill="auto"/>
            <w:vAlign w:val="center"/>
          </w:tcPr>
          <w:p w14:paraId="1222AC2E">
            <w:pPr>
              <w:rPr>
                <w:rFonts w:eastAsia="黑体"/>
                <w:bCs/>
                <w:sz w:val="18"/>
                <w:szCs w:val="18"/>
              </w:rPr>
            </w:pPr>
            <w:r>
              <w:rPr>
                <w:rFonts w:eastAsia="黑体"/>
                <w:bCs/>
                <w:sz w:val="18"/>
                <w:szCs w:val="18"/>
              </w:rPr>
              <w:t>3379.8</w:t>
            </w:r>
          </w:p>
        </w:tc>
      </w:tr>
      <w:tr w14:paraId="20B0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shd w:val="clear" w:color="auto" w:fill="auto"/>
            <w:vAlign w:val="center"/>
          </w:tcPr>
          <w:p w14:paraId="35E4D0D7">
            <w:pPr>
              <w:rPr>
                <w:rFonts w:eastAsia="黑体"/>
                <w:bCs/>
                <w:sz w:val="18"/>
                <w:szCs w:val="18"/>
              </w:rPr>
            </w:pPr>
            <w:r>
              <w:rPr>
                <w:rFonts w:hint="eastAsia" w:eastAsia="黑体"/>
                <w:bCs/>
                <w:sz w:val="18"/>
                <w:szCs w:val="18"/>
              </w:rPr>
              <w:t>6</w:t>
            </w:r>
            <w:r>
              <w:rPr>
                <w:rFonts w:eastAsia="黑体"/>
                <w:bCs/>
                <w:sz w:val="18"/>
                <w:szCs w:val="18"/>
              </w:rPr>
              <w:t>00℃</w:t>
            </w:r>
          </w:p>
        </w:tc>
        <w:tc>
          <w:tcPr>
            <w:tcW w:w="993" w:type="dxa"/>
            <w:shd w:val="clear" w:color="auto" w:fill="auto"/>
            <w:vAlign w:val="center"/>
          </w:tcPr>
          <w:p w14:paraId="3FBB657F">
            <w:pPr>
              <w:rPr>
                <w:rFonts w:eastAsia="黑体"/>
                <w:bCs/>
                <w:sz w:val="18"/>
                <w:szCs w:val="18"/>
              </w:rPr>
            </w:pPr>
            <w:r>
              <w:rPr>
                <w:rFonts w:hint="eastAsia" w:eastAsia="黑体"/>
                <w:bCs/>
                <w:sz w:val="18"/>
                <w:szCs w:val="18"/>
              </w:rPr>
              <w:t>3</w:t>
            </w:r>
            <w:r>
              <w:rPr>
                <w:rFonts w:eastAsia="黑体"/>
                <w:bCs/>
                <w:sz w:val="18"/>
                <w:szCs w:val="18"/>
              </w:rPr>
              <w:t>705.2</w:t>
            </w:r>
          </w:p>
        </w:tc>
        <w:tc>
          <w:tcPr>
            <w:tcW w:w="849" w:type="dxa"/>
            <w:shd w:val="clear" w:color="auto" w:fill="auto"/>
            <w:vAlign w:val="center"/>
          </w:tcPr>
          <w:p w14:paraId="7606B1C2">
            <w:pPr>
              <w:rPr>
                <w:rFonts w:eastAsia="黑体"/>
                <w:bCs/>
                <w:sz w:val="18"/>
                <w:szCs w:val="18"/>
              </w:rPr>
            </w:pPr>
            <w:r>
              <w:rPr>
                <w:rFonts w:hint="eastAsia" w:eastAsia="黑体"/>
                <w:bCs/>
                <w:sz w:val="18"/>
                <w:szCs w:val="18"/>
              </w:rPr>
              <w:t>3</w:t>
            </w:r>
            <w:r>
              <w:rPr>
                <w:rFonts w:eastAsia="黑体"/>
                <w:bCs/>
                <w:sz w:val="18"/>
                <w:szCs w:val="18"/>
              </w:rPr>
              <w:t>704.5</w:t>
            </w:r>
          </w:p>
        </w:tc>
        <w:tc>
          <w:tcPr>
            <w:tcW w:w="850" w:type="dxa"/>
            <w:shd w:val="clear" w:color="auto" w:fill="auto"/>
            <w:vAlign w:val="center"/>
          </w:tcPr>
          <w:p w14:paraId="14ADCE60">
            <w:pPr>
              <w:rPr>
                <w:rFonts w:eastAsia="黑体"/>
                <w:bCs/>
                <w:sz w:val="18"/>
                <w:szCs w:val="18"/>
              </w:rPr>
            </w:pPr>
            <w:r>
              <w:rPr>
                <w:rFonts w:hint="eastAsia" w:eastAsia="黑体"/>
                <w:bCs/>
                <w:sz w:val="18"/>
                <w:szCs w:val="18"/>
              </w:rPr>
              <w:t>3</w:t>
            </w:r>
            <w:r>
              <w:rPr>
                <w:rFonts w:eastAsia="黑体"/>
                <w:bCs/>
                <w:sz w:val="18"/>
                <w:szCs w:val="18"/>
              </w:rPr>
              <w:t>701.4</w:t>
            </w:r>
          </w:p>
        </w:tc>
        <w:tc>
          <w:tcPr>
            <w:tcW w:w="853" w:type="dxa"/>
            <w:shd w:val="clear" w:color="auto" w:fill="auto"/>
            <w:vAlign w:val="center"/>
          </w:tcPr>
          <w:p w14:paraId="2B8A7AEA">
            <w:pPr>
              <w:rPr>
                <w:rFonts w:eastAsia="黑体"/>
                <w:bCs/>
                <w:sz w:val="18"/>
                <w:szCs w:val="18"/>
              </w:rPr>
            </w:pPr>
            <w:r>
              <w:rPr>
                <w:rFonts w:hint="eastAsia" w:eastAsia="黑体"/>
                <w:bCs/>
                <w:sz w:val="18"/>
                <w:szCs w:val="18"/>
              </w:rPr>
              <w:t>3</w:t>
            </w:r>
            <w:r>
              <w:rPr>
                <w:rFonts w:eastAsia="黑体"/>
                <w:bCs/>
                <w:sz w:val="18"/>
                <w:szCs w:val="18"/>
              </w:rPr>
              <w:t>697.4</w:t>
            </w:r>
          </w:p>
        </w:tc>
        <w:tc>
          <w:tcPr>
            <w:tcW w:w="850" w:type="dxa"/>
            <w:shd w:val="clear" w:color="auto" w:fill="auto"/>
            <w:vAlign w:val="center"/>
          </w:tcPr>
          <w:p w14:paraId="3F0C8F82">
            <w:pPr>
              <w:rPr>
                <w:rFonts w:eastAsia="黑体"/>
                <w:bCs/>
                <w:sz w:val="18"/>
                <w:szCs w:val="18"/>
              </w:rPr>
            </w:pPr>
            <w:r>
              <w:rPr>
                <w:rFonts w:hint="eastAsia" w:eastAsia="黑体"/>
                <w:bCs/>
                <w:sz w:val="18"/>
                <w:szCs w:val="18"/>
              </w:rPr>
              <w:t>3</w:t>
            </w:r>
            <w:r>
              <w:rPr>
                <w:rFonts w:eastAsia="黑体"/>
                <w:bCs/>
                <w:sz w:val="18"/>
                <w:szCs w:val="18"/>
              </w:rPr>
              <w:t>681.5</w:t>
            </w:r>
          </w:p>
        </w:tc>
        <w:tc>
          <w:tcPr>
            <w:tcW w:w="851" w:type="dxa"/>
            <w:shd w:val="clear" w:color="auto" w:fill="auto"/>
            <w:vAlign w:val="center"/>
          </w:tcPr>
          <w:p w14:paraId="209F216D">
            <w:pPr>
              <w:rPr>
                <w:rFonts w:eastAsia="黑体"/>
                <w:bCs/>
                <w:sz w:val="18"/>
                <w:szCs w:val="18"/>
              </w:rPr>
            </w:pPr>
            <w:r>
              <w:rPr>
                <w:rFonts w:hint="eastAsia" w:eastAsia="黑体"/>
                <w:bCs/>
                <w:sz w:val="18"/>
                <w:szCs w:val="18"/>
              </w:rPr>
              <w:t>3</w:t>
            </w:r>
            <w:r>
              <w:rPr>
                <w:rFonts w:eastAsia="黑体"/>
                <w:bCs/>
                <w:sz w:val="18"/>
                <w:szCs w:val="18"/>
              </w:rPr>
              <w:t>665.4</w:t>
            </w:r>
          </w:p>
        </w:tc>
        <w:tc>
          <w:tcPr>
            <w:tcW w:w="850" w:type="dxa"/>
            <w:shd w:val="clear" w:color="auto" w:fill="auto"/>
            <w:vAlign w:val="center"/>
          </w:tcPr>
          <w:p w14:paraId="5BFCC58B">
            <w:pPr>
              <w:rPr>
                <w:rFonts w:eastAsia="黑体"/>
                <w:bCs/>
                <w:sz w:val="18"/>
                <w:szCs w:val="18"/>
              </w:rPr>
            </w:pPr>
            <w:r>
              <w:rPr>
                <w:rFonts w:hint="eastAsia" w:eastAsia="黑体"/>
                <w:bCs/>
                <w:sz w:val="18"/>
                <w:szCs w:val="18"/>
              </w:rPr>
              <w:t>3</w:t>
            </w:r>
            <w:r>
              <w:rPr>
                <w:rFonts w:eastAsia="黑体"/>
                <w:bCs/>
                <w:sz w:val="18"/>
                <w:szCs w:val="18"/>
              </w:rPr>
              <w:t>649.0</w:t>
            </w:r>
          </w:p>
        </w:tc>
        <w:tc>
          <w:tcPr>
            <w:tcW w:w="851" w:type="dxa"/>
            <w:shd w:val="clear" w:color="auto" w:fill="auto"/>
            <w:vAlign w:val="center"/>
          </w:tcPr>
          <w:p w14:paraId="79AAFECE">
            <w:pPr>
              <w:rPr>
                <w:rFonts w:eastAsia="黑体"/>
                <w:bCs/>
                <w:sz w:val="18"/>
                <w:szCs w:val="18"/>
              </w:rPr>
            </w:pPr>
            <w:r>
              <w:rPr>
                <w:rFonts w:hint="eastAsia" w:eastAsia="黑体"/>
                <w:bCs/>
                <w:sz w:val="18"/>
                <w:szCs w:val="18"/>
              </w:rPr>
              <w:t>3</w:t>
            </w:r>
            <w:r>
              <w:rPr>
                <w:rFonts w:eastAsia="黑体"/>
                <w:bCs/>
                <w:sz w:val="18"/>
                <w:szCs w:val="18"/>
              </w:rPr>
              <w:t>624</w:t>
            </w:r>
          </w:p>
        </w:tc>
        <w:tc>
          <w:tcPr>
            <w:tcW w:w="850" w:type="dxa"/>
            <w:shd w:val="clear" w:color="auto" w:fill="auto"/>
            <w:vAlign w:val="center"/>
          </w:tcPr>
          <w:p w14:paraId="50E95CDD">
            <w:pPr>
              <w:rPr>
                <w:rFonts w:eastAsia="黑体"/>
                <w:bCs/>
                <w:sz w:val="18"/>
                <w:szCs w:val="18"/>
              </w:rPr>
            </w:pPr>
            <w:r>
              <w:rPr>
                <w:rFonts w:hint="eastAsia" w:eastAsia="黑体"/>
                <w:bCs/>
                <w:sz w:val="18"/>
                <w:szCs w:val="18"/>
              </w:rPr>
              <w:t>3</w:t>
            </w:r>
            <w:r>
              <w:rPr>
                <w:rFonts w:eastAsia="黑体"/>
                <w:bCs/>
                <w:sz w:val="18"/>
                <w:szCs w:val="18"/>
              </w:rPr>
              <w:t>589.8</w:t>
            </w:r>
          </w:p>
        </w:tc>
        <w:tc>
          <w:tcPr>
            <w:tcW w:w="851" w:type="dxa"/>
            <w:shd w:val="clear" w:color="auto" w:fill="auto"/>
            <w:vAlign w:val="center"/>
          </w:tcPr>
          <w:p w14:paraId="2D1BBE00">
            <w:pPr>
              <w:rPr>
                <w:rFonts w:eastAsia="黑体"/>
                <w:bCs/>
                <w:sz w:val="18"/>
                <w:szCs w:val="18"/>
              </w:rPr>
            </w:pPr>
            <w:r>
              <w:rPr>
                <w:rFonts w:hint="eastAsia" w:eastAsia="黑体"/>
                <w:bCs/>
                <w:sz w:val="18"/>
                <w:szCs w:val="18"/>
              </w:rPr>
              <w:t>3</w:t>
            </w:r>
            <w:r>
              <w:rPr>
                <w:rFonts w:eastAsia="黑体"/>
                <w:bCs/>
                <w:sz w:val="18"/>
                <w:szCs w:val="18"/>
              </w:rPr>
              <w:t>536.9</w:t>
            </w:r>
          </w:p>
        </w:tc>
        <w:tc>
          <w:tcPr>
            <w:tcW w:w="850" w:type="dxa"/>
            <w:shd w:val="clear" w:color="auto" w:fill="auto"/>
            <w:vAlign w:val="center"/>
          </w:tcPr>
          <w:p w14:paraId="49CDBB5E">
            <w:pPr>
              <w:rPr>
                <w:rFonts w:eastAsia="黑体"/>
                <w:bCs/>
                <w:sz w:val="18"/>
                <w:szCs w:val="18"/>
              </w:rPr>
            </w:pPr>
            <w:r>
              <w:rPr>
                <w:rFonts w:hint="eastAsia" w:eastAsia="黑体"/>
                <w:bCs/>
                <w:sz w:val="18"/>
                <w:szCs w:val="18"/>
              </w:rPr>
              <w:t>3</w:t>
            </w:r>
            <w:r>
              <w:rPr>
                <w:rFonts w:eastAsia="黑体"/>
                <w:bCs/>
                <w:sz w:val="18"/>
                <w:szCs w:val="18"/>
              </w:rPr>
              <w:t>491.2</w:t>
            </w:r>
          </w:p>
        </w:tc>
        <w:tc>
          <w:tcPr>
            <w:tcW w:w="851" w:type="dxa"/>
            <w:shd w:val="clear" w:color="auto" w:fill="auto"/>
            <w:vAlign w:val="center"/>
          </w:tcPr>
          <w:p w14:paraId="7A508DE4">
            <w:pPr>
              <w:rPr>
                <w:rFonts w:eastAsia="黑体"/>
                <w:bCs/>
                <w:sz w:val="18"/>
                <w:szCs w:val="18"/>
              </w:rPr>
            </w:pPr>
            <w:r>
              <w:rPr>
                <w:rFonts w:hint="eastAsia" w:eastAsia="黑体"/>
                <w:bCs/>
                <w:sz w:val="18"/>
                <w:szCs w:val="18"/>
              </w:rPr>
              <w:t>3</w:t>
            </w:r>
            <w:r>
              <w:rPr>
                <w:rFonts w:eastAsia="黑体"/>
                <w:bCs/>
                <w:sz w:val="18"/>
                <w:szCs w:val="18"/>
              </w:rPr>
              <w:t>444.2</w:t>
            </w:r>
          </w:p>
        </w:tc>
      </w:tr>
    </w:tbl>
    <w:p w14:paraId="16B681F9">
      <w:pPr>
        <w:ind w:firstLine="366"/>
        <w:rPr>
          <w:rFonts w:eastAsia="黑体"/>
          <w:bCs/>
          <w:sz w:val="18"/>
          <w:szCs w:val="18"/>
        </w:rPr>
      </w:pPr>
      <w:r>
        <w:rPr>
          <w:rFonts w:eastAsia="黑体"/>
          <w:bCs/>
          <w:sz w:val="18"/>
          <w:szCs w:val="18"/>
        </w:rPr>
        <w:br w:type="page"/>
      </w:r>
    </w:p>
    <w:p w14:paraId="6B1A05A0">
      <w:pPr>
        <w:ind w:firstLine="366"/>
        <w:rPr>
          <w:rFonts w:eastAsia="黑体"/>
          <w:bCs/>
          <w:sz w:val="18"/>
          <w:szCs w:val="18"/>
        </w:rPr>
        <w:sectPr>
          <w:headerReference r:id="rId8" w:type="default"/>
          <w:footerReference r:id="rId9" w:type="default"/>
          <w:pgSz w:w="11906" w:h="16838"/>
          <w:pgMar w:top="1440" w:right="1797" w:bottom="1440" w:left="1797" w:header="851" w:footer="992" w:gutter="0"/>
          <w:cols w:space="0" w:num="1"/>
          <w:docGrid w:type="linesAndChars" w:linePitch="319" w:charSpace="640"/>
        </w:sectPr>
      </w:pPr>
    </w:p>
    <w:p w14:paraId="0211AE44">
      <w:pPr>
        <w:keepNext/>
        <w:keepLines/>
        <w:spacing w:before="340"/>
        <w:jc w:val="center"/>
        <w:outlineLvl w:val="0"/>
        <w:rPr>
          <w:rFonts w:eastAsia="黑体"/>
          <w:bCs/>
          <w:kern w:val="44"/>
          <w:szCs w:val="21"/>
        </w:rPr>
      </w:pPr>
      <w:bookmarkStart w:id="31" w:name="_Toc210116181"/>
      <w:r>
        <w:rPr>
          <w:rFonts w:eastAsia="黑体"/>
          <w:bCs/>
          <w:kern w:val="44"/>
          <w:szCs w:val="21"/>
        </w:rPr>
        <w:t>附录C</w:t>
      </w:r>
      <w:bookmarkEnd w:id="31"/>
    </w:p>
    <w:p w14:paraId="2865AA30">
      <w:pPr>
        <w:keepNext/>
        <w:keepLines/>
        <w:jc w:val="center"/>
        <w:outlineLvl w:val="0"/>
        <w:rPr>
          <w:rFonts w:ascii="黑体" w:hAnsi="黑体" w:eastAsia="黑体"/>
          <w:sz w:val="18"/>
          <w:szCs w:val="18"/>
        </w:rPr>
      </w:pPr>
      <w:bookmarkStart w:id="32" w:name="_Toc210116182"/>
      <w:r>
        <w:rPr>
          <w:rFonts w:hint="eastAsia" w:ascii="黑体" w:hAnsi="黑体" w:eastAsia="黑体"/>
          <w:sz w:val="18"/>
          <w:szCs w:val="18"/>
        </w:rPr>
        <w:t>（规范性）</w:t>
      </w:r>
      <w:bookmarkEnd w:id="32"/>
    </w:p>
    <w:p w14:paraId="145E7A1F">
      <w:pPr>
        <w:keepNext/>
        <w:keepLines/>
        <w:spacing w:after="120" w:afterLines="50"/>
        <w:jc w:val="center"/>
        <w:outlineLvl w:val="0"/>
        <w:rPr>
          <w:rFonts w:eastAsia="黑体"/>
          <w:bCs/>
          <w:kern w:val="44"/>
          <w:szCs w:val="21"/>
        </w:rPr>
      </w:pPr>
      <w:bookmarkStart w:id="33" w:name="_Toc198201545"/>
      <w:bookmarkStart w:id="34" w:name="_Toc210116183"/>
      <w:r>
        <w:rPr>
          <w:rFonts w:hint="eastAsia" w:eastAsia="黑体"/>
          <w:bCs/>
          <w:kern w:val="44"/>
          <w:szCs w:val="21"/>
        </w:rPr>
        <w:t>外购非化石能源电力排放因子取值原则及证明文件</w:t>
      </w:r>
      <w:bookmarkEnd w:id="33"/>
      <w:bookmarkEnd w:id="34"/>
    </w:p>
    <w:p w14:paraId="352A7224">
      <w:pPr>
        <w:widowControl/>
        <w:spacing w:before="120" w:beforeLines="50" w:after="120" w:afterLines="50"/>
        <w:jc w:val="left"/>
        <w:rPr>
          <w:b/>
          <w:bCs/>
        </w:rPr>
      </w:pPr>
      <w:r>
        <w:rPr>
          <w:b/>
          <w:bCs/>
        </w:rPr>
        <w:t xml:space="preserve">C.1 </w:t>
      </w:r>
      <w:r>
        <w:rPr>
          <w:rFonts w:hint="eastAsia"/>
          <w:b/>
          <w:bCs/>
        </w:rPr>
        <w:t>电力排放因子取值原则</w:t>
      </w:r>
    </w:p>
    <w:p w14:paraId="24DE9081">
      <w:pPr>
        <w:widowControl/>
        <w:spacing w:line="360" w:lineRule="auto"/>
        <w:ind w:firstLine="420"/>
        <w:jc w:val="left"/>
      </w:pPr>
      <w:r>
        <w:rPr>
          <w:rFonts w:hint="eastAsia"/>
        </w:rPr>
        <w:t>外购非化石能源电力排放因子取值原则如下：</w:t>
      </w:r>
    </w:p>
    <w:p w14:paraId="37B2253F">
      <w:pPr>
        <w:pStyle w:val="143"/>
        <w:framePr w:w="0" w:hRule="auto" w:wrap="auto" w:vAnchor="margin" w:hAnchor="text" w:xAlign="left" w:yAlign="inline"/>
        <w:widowControl/>
        <w:numPr>
          <w:ilvl w:val="0"/>
          <w:numId w:val="15"/>
        </w:numPr>
        <w:spacing w:line="360" w:lineRule="auto"/>
        <w:jc w:val="left"/>
        <w:rPr>
          <w:rFonts w:ascii="宋体" w:eastAsia="宋体"/>
          <w:kern w:val="2"/>
          <w:sz w:val="21"/>
          <w:szCs w:val="22"/>
        </w:rPr>
      </w:pPr>
      <w:r>
        <w:rPr>
          <w:rFonts w:hint="eastAsia" w:ascii="宋体" w:eastAsia="宋体"/>
          <w:kern w:val="2"/>
          <w:sz w:val="21"/>
          <w:szCs w:val="22"/>
        </w:rPr>
        <w:t>自发自用的和通过市场化交易购入使用的非化石能源电力消费量的排放因子为零。</w:t>
      </w:r>
    </w:p>
    <w:p w14:paraId="5A317551">
      <w:pPr>
        <w:pStyle w:val="143"/>
        <w:framePr w:w="0" w:hRule="auto" w:wrap="auto" w:vAnchor="margin" w:hAnchor="text" w:xAlign="left" w:yAlign="inline"/>
        <w:widowControl/>
        <w:numPr>
          <w:ilvl w:val="0"/>
          <w:numId w:val="15"/>
        </w:numPr>
        <w:spacing w:line="360" w:lineRule="auto"/>
        <w:jc w:val="left"/>
        <w:rPr>
          <w:rFonts w:ascii="宋体" w:eastAsia="宋体"/>
          <w:kern w:val="2"/>
          <w:sz w:val="21"/>
          <w:szCs w:val="22"/>
        </w:rPr>
      </w:pPr>
      <w:r>
        <w:rPr>
          <w:rFonts w:hint="eastAsia" w:ascii="宋体" w:eastAsia="宋体"/>
          <w:kern w:val="2"/>
          <w:sz w:val="21"/>
          <w:szCs w:val="22"/>
        </w:rPr>
        <w:t>全国电力评价二氧化碳排放因子（不包括市场化交易的非化石能源电量）采用生态环境部发布的数据，如有更新，采用其最新发布的数值。</w:t>
      </w:r>
    </w:p>
    <w:p w14:paraId="53E99CF2">
      <w:pPr>
        <w:widowControl/>
        <w:spacing w:before="120" w:beforeLines="50" w:after="120" w:afterLines="50"/>
        <w:jc w:val="left"/>
        <w:rPr>
          <w:b/>
          <w:bCs/>
        </w:rPr>
      </w:pPr>
      <w:r>
        <w:rPr>
          <w:b/>
          <w:bCs/>
        </w:rPr>
        <w:t xml:space="preserve">C.2 </w:t>
      </w:r>
      <w:r>
        <w:rPr>
          <w:rFonts w:hint="eastAsia"/>
          <w:b/>
          <w:bCs/>
        </w:rPr>
        <w:t>相关证明文件</w:t>
      </w:r>
    </w:p>
    <w:p w14:paraId="7BAF2536">
      <w:pPr>
        <w:widowControl/>
        <w:spacing w:line="360" w:lineRule="auto"/>
        <w:ind w:firstLine="420"/>
        <w:jc w:val="left"/>
      </w:pPr>
      <w:r>
        <w:rPr>
          <w:rFonts w:hint="eastAsia"/>
        </w:rPr>
        <w:t>通过市场化交易购入使用的非化石能源电力消耗量，即以交易方式购买并实际执行、结算的电量，应提供市场化交易合同，以及由省级及以上电力交易机构出具的交易结算凭证，或中国可再生能源电力证书（G</w:t>
      </w:r>
      <w:r>
        <w:t>EC</w:t>
      </w:r>
      <w:r>
        <w:rPr>
          <w:rFonts w:hint="eastAsia"/>
        </w:rPr>
        <w:t>）。交易结算凭证应载明在核算和报告周期内的月度结算电量及其项目类型、发电企业名称、用电企业名称等。G</w:t>
      </w:r>
      <w:r>
        <w:t>EC</w:t>
      </w:r>
      <w:r>
        <w:rPr>
          <w:rFonts w:hint="eastAsia"/>
        </w:rPr>
        <w:t>载明的内容应包括项目名称、项目代码、项目类型、项目所在地、电量生产日期等。</w:t>
      </w:r>
    </w:p>
    <w:p w14:paraId="17BE0DE7">
      <w:pPr>
        <w:widowControl/>
        <w:spacing w:line="360" w:lineRule="auto"/>
        <w:jc w:val="left"/>
      </w:pPr>
      <w:r>
        <w:rPr>
          <w:rFonts w:hint="eastAsia"/>
        </w:rPr>
        <w:t xml:space="preserve"> </w:t>
      </w:r>
      <w:r>
        <w:t xml:space="preserve">  </w:t>
      </w:r>
      <w:r>
        <w:rPr>
          <w:rFonts w:hint="eastAsia"/>
        </w:rPr>
        <w:t>自发自用的非化石能源电力消费量应提供每月电量统计原始记录。</w:t>
      </w:r>
    </w:p>
    <w:p w14:paraId="2C058329">
      <w:pPr>
        <w:widowControl/>
        <w:jc w:val="left"/>
      </w:pPr>
    </w:p>
    <w:p w14:paraId="1045166B">
      <w:pPr>
        <w:widowControl/>
        <w:jc w:val="left"/>
      </w:pPr>
    </w:p>
    <w:p w14:paraId="5F3E9F72">
      <w:pPr>
        <w:widowControl/>
        <w:jc w:val="left"/>
      </w:pPr>
    </w:p>
    <w:p w14:paraId="7C4BF66D">
      <w:pPr>
        <w:widowControl/>
        <w:jc w:val="left"/>
      </w:pPr>
    </w:p>
    <w:p w14:paraId="6CB7B2B8">
      <w:pPr>
        <w:widowControl/>
        <w:jc w:val="left"/>
      </w:pPr>
    </w:p>
    <w:p w14:paraId="6D495AD8">
      <w:pPr>
        <w:widowControl/>
        <w:jc w:val="left"/>
      </w:pPr>
    </w:p>
    <w:p w14:paraId="13D0260E">
      <w:pPr>
        <w:widowControl/>
        <w:jc w:val="left"/>
      </w:pPr>
    </w:p>
    <w:p w14:paraId="1E1B1CD8">
      <w:pPr>
        <w:widowControl/>
        <w:jc w:val="left"/>
      </w:pPr>
    </w:p>
    <w:p w14:paraId="7BC9FE45">
      <w:pPr>
        <w:widowControl/>
        <w:jc w:val="left"/>
      </w:pPr>
    </w:p>
    <w:p w14:paraId="5FD03A8E">
      <w:pPr>
        <w:widowControl/>
        <w:jc w:val="left"/>
      </w:pPr>
    </w:p>
    <w:p w14:paraId="7DB10D52">
      <w:pPr>
        <w:widowControl/>
        <w:jc w:val="left"/>
      </w:pPr>
    </w:p>
    <w:p w14:paraId="55CA45E9">
      <w:pPr>
        <w:widowControl/>
        <w:jc w:val="left"/>
      </w:pPr>
    </w:p>
    <w:p w14:paraId="35135B68">
      <w:pPr>
        <w:widowControl/>
        <w:jc w:val="left"/>
      </w:pPr>
    </w:p>
    <w:p w14:paraId="2A03EAA7">
      <w:pPr>
        <w:widowControl/>
        <w:jc w:val="left"/>
      </w:pPr>
    </w:p>
    <w:p w14:paraId="6A29F67B">
      <w:pPr>
        <w:widowControl/>
        <w:jc w:val="left"/>
      </w:pPr>
    </w:p>
    <w:p w14:paraId="3A642DCB">
      <w:pPr>
        <w:widowControl/>
        <w:jc w:val="left"/>
      </w:pPr>
    </w:p>
    <w:p w14:paraId="705110E0">
      <w:pPr>
        <w:widowControl/>
        <w:jc w:val="left"/>
      </w:pPr>
    </w:p>
    <w:p w14:paraId="021BDBD3">
      <w:pPr>
        <w:widowControl/>
        <w:jc w:val="left"/>
      </w:pPr>
    </w:p>
    <w:p w14:paraId="023F1AA4">
      <w:pPr>
        <w:widowControl/>
        <w:jc w:val="left"/>
      </w:pPr>
    </w:p>
    <w:p w14:paraId="6F7E34F4">
      <w:pPr>
        <w:widowControl/>
        <w:jc w:val="left"/>
      </w:pPr>
    </w:p>
    <w:p w14:paraId="5E19229A">
      <w:pPr>
        <w:widowControl/>
        <w:jc w:val="left"/>
      </w:pPr>
    </w:p>
    <w:p w14:paraId="07302C8D">
      <w:pPr>
        <w:widowControl/>
        <w:jc w:val="left"/>
      </w:pPr>
    </w:p>
    <w:p w14:paraId="13B2C4C6">
      <w:pPr>
        <w:spacing w:before="420" w:after="1840"/>
        <w:jc w:val="center"/>
      </w:pPr>
    </w:p>
    <w:p w14:paraId="49BE4BBD">
      <w:pPr>
        <w:keepNext/>
        <w:keepLines/>
        <w:spacing w:before="340"/>
        <w:jc w:val="center"/>
        <w:outlineLvl w:val="0"/>
        <w:rPr>
          <w:rFonts w:eastAsia="黑体"/>
          <w:bCs/>
          <w:kern w:val="44"/>
          <w:szCs w:val="21"/>
        </w:rPr>
      </w:pPr>
      <w:bookmarkStart w:id="35" w:name="_Toc210116184"/>
      <w:bookmarkStart w:id="36" w:name="OLE_LINK5"/>
      <w:r>
        <w:rPr>
          <w:rFonts w:eastAsia="黑体"/>
          <w:bCs/>
          <w:kern w:val="44"/>
          <w:szCs w:val="21"/>
        </w:rPr>
        <w:t>附录</w:t>
      </w:r>
      <w:r>
        <w:rPr>
          <w:rFonts w:hint="eastAsia" w:eastAsia="黑体"/>
          <w:bCs/>
          <w:kern w:val="44"/>
          <w:szCs w:val="21"/>
        </w:rPr>
        <w:t>D</w:t>
      </w:r>
      <w:bookmarkEnd w:id="35"/>
    </w:p>
    <w:p w14:paraId="2231B985">
      <w:pPr>
        <w:keepNext/>
        <w:keepLines/>
        <w:jc w:val="center"/>
        <w:outlineLvl w:val="0"/>
        <w:rPr>
          <w:rFonts w:ascii="黑体" w:hAnsi="黑体" w:eastAsia="黑体"/>
          <w:sz w:val="18"/>
          <w:szCs w:val="18"/>
        </w:rPr>
      </w:pPr>
      <w:bookmarkStart w:id="37" w:name="_Toc198201547"/>
      <w:bookmarkStart w:id="38" w:name="_Toc201043291"/>
      <w:bookmarkStart w:id="39" w:name="_Toc210116185"/>
      <w:r>
        <w:rPr>
          <w:rFonts w:ascii="黑体" w:hAnsi="黑体" w:eastAsia="黑体"/>
          <w:sz w:val="18"/>
          <w:szCs w:val="18"/>
        </w:rPr>
        <w:t>（</w:t>
      </w:r>
      <w:r>
        <w:rPr>
          <w:rFonts w:hint="eastAsia" w:ascii="黑体" w:hAnsi="黑体" w:eastAsia="黑体"/>
          <w:sz w:val="18"/>
          <w:szCs w:val="18"/>
        </w:rPr>
        <w:t>资料</w:t>
      </w:r>
      <w:r>
        <w:rPr>
          <w:rFonts w:ascii="黑体" w:hAnsi="黑体" w:eastAsia="黑体"/>
          <w:sz w:val="18"/>
          <w:szCs w:val="18"/>
        </w:rPr>
        <w:t>性</w:t>
      </w:r>
      <w:r>
        <w:rPr>
          <w:rFonts w:hint="eastAsia" w:ascii="黑体" w:hAnsi="黑体" w:eastAsia="黑体"/>
          <w:sz w:val="18"/>
          <w:szCs w:val="18"/>
        </w:rPr>
        <w:t>）</w:t>
      </w:r>
      <w:bookmarkEnd w:id="37"/>
      <w:bookmarkEnd w:id="38"/>
      <w:bookmarkEnd w:id="39"/>
    </w:p>
    <w:p w14:paraId="44F744E2">
      <w:pPr>
        <w:keepNext/>
        <w:keepLines/>
        <w:spacing w:after="120" w:afterLines="50"/>
        <w:jc w:val="center"/>
        <w:outlineLvl w:val="0"/>
        <w:rPr>
          <w:rFonts w:eastAsia="黑体"/>
          <w:bCs/>
          <w:kern w:val="44"/>
          <w:szCs w:val="21"/>
        </w:rPr>
      </w:pPr>
      <w:bookmarkStart w:id="40" w:name="_Toc210116186"/>
      <w:bookmarkStart w:id="41" w:name="_Toc198201548"/>
      <w:r>
        <w:rPr>
          <w:rFonts w:hint="eastAsia" w:eastAsia="黑体"/>
          <w:bCs/>
          <w:kern w:val="44"/>
          <w:szCs w:val="21"/>
        </w:rPr>
        <w:t>报告格式模版</w:t>
      </w:r>
      <w:bookmarkEnd w:id="40"/>
      <w:bookmarkEnd w:id="41"/>
    </w:p>
    <w:p w14:paraId="6465C097">
      <w:pPr>
        <w:spacing w:line="312" w:lineRule="auto"/>
        <w:ind w:firstLine="420" w:firstLineChars="200"/>
        <w:jc w:val="center"/>
      </w:pPr>
    </w:p>
    <w:bookmarkEnd w:id="36"/>
    <w:p w14:paraId="2DA5EE50">
      <w:pPr>
        <w:spacing w:line="312" w:lineRule="auto"/>
        <w:ind w:firstLine="420" w:firstLineChars="200"/>
        <w:rPr>
          <w:rFonts w:ascii="宋体"/>
          <w:szCs w:val="22"/>
        </w:rPr>
      </w:pPr>
    </w:p>
    <w:p w14:paraId="3D48801E">
      <w:pPr>
        <w:spacing w:line="312" w:lineRule="auto"/>
        <w:ind w:firstLine="420" w:firstLineChars="200"/>
        <w:rPr>
          <w:rFonts w:ascii="宋体"/>
          <w:szCs w:val="22"/>
        </w:rPr>
      </w:pPr>
    </w:p>
    <w:p w14:paraId="4CC368E2">
      <w:pPr>
        <w:spacing w:line="312" w:lineRule="auto"/>
        <w:ind w:firstLine="420" w:firstLineChars="200"/>
        <w:rPr>
          <w:rFonts w:ascii="宋体"/>
          <w:szCs w:val="22"/>
        </w:rPr>
      </w:pPr>
    </w:p>
    <w:p w14:paraId="091D9A9D">
      <w:pPr>
        <w:spacing w:line="312" w:lineRule="auto"/>
        <w:ind w:firstLine="420" w:firstLineChars="200"/>
        <w:rPr>
          <w:rFonts w:ascii="宋体"/>
          <w:szCs w:val="22"/>
        </w:rPr>
      </w:pPr>
    </w:p>
    <w:p w14:paraId="139A687F">
      <w:pPr>
        <w:spacing w:line="312" w:lineRule="auto"/>
        <w:ind w:firstLine="640" w:firstLineChars="200"/>
        <w:jc w:val="center"/>
        <w:rPr>
          <w:rFonts w:ascii="宋体"/>
          <w:sz w:val="32"/>
          <w:szCs w:val="32"/>
        </w:rPr>
      </w:pPr>
      <w:r>
        <w:rPr>
          <w:rFonts w:hint="eastAsia" w:ascii="宋体"/>
          <w:sz w:val="32"/>
          <w:szCs w:val="32"/>
        </w:rPr>
        <w:t>稀土抛光粉生产企业温室气体排放报告</w:t>
      </w:r>
    </w:p>
    <w:p w14:paraId="550FD227">
      <w:pPr>
        <w:spacing w:line="312" w:lineRule="auto"/>
        <w:ind w:firstLine="420" w:firstLineChars="200"/>
        <w:rPr>
          <w:rFonts w:ascii="宋体"/>
          <w:szCs w:val="22"/>
        </w:rPr>
      </w:pPr>
    </w:p>
    <w:p w14:paraId="249D9CFD">
      <w:pPr>
        <w:spacing w:line="312" w:lineRule="auto"/>
        <w:ind w:firstLine="420" w:firstLineChars="200"/>
        <w:rPr>
          <w:rFonts w:ascii="宋体"/>
          <w:szCs w:val="22"/>
        </w:rPr>
      </w:pPr>
    </w:p>
    <w:p w14:paraId="05BC8691">
      <w:pPr>
        <w:spacing w:line="312" w:lineRule="auto"/>
        <w:ind w:firstLine="420" w:firstLineChars="200"/>
        <w:rPr>
          <w:rFonts w:ascii="宋体"/>
          <w:szCs w:val="22"/>
        </w:rPr>
      </w:pPr>
    </w:p>
    <w:p w14:paraId="5D33A54F">
      <w:pPr>
        <w:spacing w:line="312" w:lineRule="auto"/>
        <w:ind w:firstLine="420" w:firstLineChars="200"/>
        <w:rPr>
          <w:rFonts w:ascii="宋体"/>
          <w:szCs w:val="22"/>
        </w:rPr>
      </w:pPr>
    </w:p>
    <w:p w14:paraId="74233681">
      <w:pPr>
        <w:spacing w:line="312" w:lineRule="auto"/>
        <w:ind w:firstLine="420" w:firstLineChars="200"/>
        <w:rPr>
          <w:rFonts w:ascii="宋体"/>
          <w:szCs w:val="22"/>
        </w:rPr>
      </w:pPr>
    </w:p>
    <w:p w14:paraId="39883057">
      <w:pPr>
        <w:spacing w:line="312" w:lineRule="auto"/>
        <w:ind w:firstLine="420" w:firstLineChars="200"/>
        <w:rPr>
          <w:rFonts w:ascii="宋体"/>
          <w:szCs w:val="22"/>
        </w:rPr>
      </w:pPr>
    </w:p>
    <w:p w14:paraId="0CD33B2D">
      <w:pPr>
        <w:spacing w:line="312" w:lineRule="auto"/>
        <w:ind w:firstLine="420" w:firstLineChars="200"/>
        <w:rPr>
          <w:rFonts w:ascii="宋体"/>
          <w:szCs w:val="22"/>
        </w:rPr>
      </w:pPr>
    </w:p>
    <w:p w14:paraId="4C200EA2">
      <w:pPr>
        <w:spacing w:line="312" w:lineRule="auto"/>
        <w:ind w:firstLine="420" w:firstLineChars="200"/>
        <w:rPr>
          <w:rFonts w:ascii="宋体"/>
          <w:szCs w:val="22"/>
        </w:rPr>
      </w:pPr>
    </w:p>
    <w:p w14:paraId="4704D397">
      <w:pPr>
        <w:spacing w:line="312" w:lineRule="auto"/>
        <w:ind w:firstLine="420" w:firstLineChars="200"/>
        <w:rPr>
          <w:rFonts w:ascii="宋体"/>
          <w:szCs w:val="22"/>
        </w:rPr>
      </w:pPr>
    </w:p>
    <w:p w14:paraId="746B09E9">
      <w:pPr>
        <w:spacing w:line="312" w:lineRule="auto"/>
        <w:ind w:firstLine="420" w:firstLineChars="200"/>
        <w:rPr>
          <w:rFonts w:ascii="宋体"/>
          <w:szCs w:val="22"/>
        </w:rPr>
      </w:pPr>
    </w:p>
    <w:p w14:paraId="4D881551">
      <w:pPr>
        <w:spacing w:line="312" w:lineRule="auto"/>
        <w:ind w:firstLine="420" w:firstLineChars="200"/>
        <w:rPr>
          <w:rFonts w:ascii="宋体"/>
          <w:szCs w:val="22"/>
        </w:rPr>
      </w:pPr>
    </w:p>
    <w:p w14:paraId="30EF151D">
      <w:pPr>
        <w:spacing w:line="312" w:lineRule="auto"/>
        <w:ind w:firstLine="420" w:firstLineChars="200"/>
        <w:rPr>
          <w:rFonts w:ascii="宋体"/>
          <w:szCs w:val="22"/>
        </w:rPr>
      </w:pPr>
    </w:p>
    <w:p w14:paraId="4BEE0260">
      <w:pPr>
        <w:tabs>
          <w:tab w:val="left" w:pos="1678"/>
        </w:tabs>
        <w:spacing w:line="312" w:lineRule="auto"/>
        <w:ind w:firstLine="420" w:firstLineChars="200"/>
        <w:rPr>
          <w:rFonts w:ascii="宋体"/>
          <w:sz w:val="28"/>
          <w:szCs w:val="28"/>
        </w:rPr>
      </w:pPr>
      <w:r>
        <w:rPr>
          <w:rFonts w:ascii="宋体"/>
          <w:szCs w:val="22"/>
        </w:rPr>
        <w:tab/>
      </w:r>
      <w:r>
        <w:rPr>
          <w:rFonts w:hint="eastAsia" w:ascii="宋体"/>
          <w:sz w:val="28"/>
          <w:szCs w:val="28"/>
        </w:rPr>
        <w:t>报告主体（盖章）：</w:t>
      </w:r>
    </w:p>
    <w:p w14:paraId="35D5BA1A">
      <w:pPr>
        <w:tabs>
          <w:tab w:val="left" w:pos="1678"/>
        </w:tabs>
        <w:spacing w:line="312" w:lineRule="auto"/>
        <w:ind w:firstLine="560" w:firstLineChars="200"/>
        <w:rPr>
          <w:rFonts w:ascii="宋体"/>
          <w:sz w:val="28"/>
          <w:szCs w:val="28"/>
        </w:rPr>
      </w:pPr>
      <w:r>
        <w:rPr>
          <w:rFonts w:hint="eastAsia" w:ascii="宋体"/>
          <w:sz w:val="28"/>
          <w:szCs w:val="28"/>
        </w:rPr>
        <w:t xml:space="preserve"> </w:t>
      </w:r>
      <w:r>
        <w:rPr>
          <w:rFonts w:ascii="宋体"/>
          <w:sz w:val="28"/>
          <w:szCs w:val="28"/>
        </w:rPr>
        <w:t xml:space="preserve">       </w:t>
      </w:r>
      <w:r>
        <w:rPr>
          <w:rFonts w:hint="eastAsia" w:ascii="宋体"/>
          <w:sz w:val="28"/>
          <w:szCs w:val="28"/>
        </w:rPr>
        <w:t xml:space="preserve">报告年度 </w:t>
      </w:r>
      <w:r>
        <w:rPr>
          <w:rFonts w:ascii="宋体"/>
          <w:sz w:val="28"/>
          <w:szCs w:val="28"/>
        </w:rPr>
        <w:t xml:space="preserve">       </w:t>
      </w:r>
      <w:r>
        <w:rPr>
          <w:rFonts w:hint="eastAsia" w:ascii="宋体"/>
          <w:sz w:val="28"/>
          <w:szCs w:val="28"/>
        </w:rPr>
        <w:t>：</w:t>
      </w:r>
    </w:p>
    <w:p w14:paraId="25D0B618">
      <w:pPr>
        <w:tabs>
          <w:tab w:val="left" w:pos="1678"/>
        </w:tabs>
        <w:spacing w:line="312" w:lineRule="auto"/>
        <w:ind w:firstLine="560" w:firstLineChars="200"/>
        <w:rPr>
          <w:rFonts w:ascii="宋体"/>
          <w:sz w:val="28"/>
          <w:szCs w:val="28"/>
        </w:rPr>
      </w:pPr>
      <w:r>
        <w:rPr>
          <w:rFonts w:hint="eastAsia" w:ascii="宋体"/>
          <w:sz w:val="28"/>
          <w:szCs w:val="28"/>
        </w:rPr>
        <w:t xml:space="preserve"> </w:t>
      </w:r>
      <w:r>
        <w:rPr>
          <w:rFonts w:ascii="宋体"/>
          <w:sz w:val="28"/>
          <w:szCs w:val="28"/>
        </w:rPr>
        <w:t xml:space="preserve">       </w:t>
      </w:r>
      <w:r>
        <w:rPr>
          <w:rFonts w:hint="eastAsia" w:ascii="宋体"/>
          <w:sz w:val="28"/>
          <w:szCs w:val="28"/>
        </w:rPr>
        <w:t xml:space="preserve">编制日期 </w:t>
      </w:r>
      <w:r>
        <w:rPr>
          <w:rFonts w:ascii="宋体"/>
          <w:sz w:val="28"/>
          <w:szCs w:val="28"/>
        </w:rPr>
        <w:t xml:space="preserve">       </w:t>
      </w:r>
      <w:r>
        <w:rPr>
          <w:rFonts w:hint="eastAsia" w:ascii="宋体"/>
          <w:sz w:val="28"/>
          <w:szCs w:val="28"/>
        </w:rPr>
        <w:t xml:space="preserve">： </w:t>
      </w:r>
      <w:r>
        <w:rPr>
          <w:rFonts w:ascii="宋体"/>
          <w:sz w:val="28"/>
          <w:szCs w:val="28"/>
        </w:rPr>
        <w:t xml:space="preserve">   </w:t>
      </w:r>
      <w:r>
        <w:rPr>
          <w:rFonts w:hint="eastAsia" w:ascii="宋体"/>
          <w:sz w:val="28"/>
          <w:szCs w:val="28"/>
        </w:rPr>
        <w:t xml:space="preserve">年 </w:t>
      </w:r>
      <w:r>
        <w:rPr>
          <w:rFonts w:ascii="宋体"/>
          <w:sz w:val="28"/>
          <w:szCs w:val="28"/>
        </w:rPr>
        <w:t xml:space="preserve"> </w:t>
      </w:r>
      <w:r>
        <w:rPr>
          <w:rFonts w:hint="eastAsia" w:ascii="宋体"/>
          <w:sz w:val="28"/>
          <w:szCs w:val="28"/>
        </w:rPr>
        <w:t xml:space="preserve">月 </w:t>
      </w:r>
      <w:r>
        <w:rPr>
          <w:rFonts w:ascii="宋体"/>
          <w:sz w:val="28"/>
          <w:szCs w:val="28"/>
        </w:rPr>
        <w:t xml:space="preserve"> </w:t>
      </w:r>
      <w:r>
        <w:rPr>
          <w:rFonts w:hint="eastAsia" w:ascii="宋体"/>
          <w:sz w:val="28"/>
          <w:szCs w:val="28"/>
        </w:rPr>
        <w:t>日</w:t>
      </w:r>
    </w:p>
    <w:p w14:paraId="688192AB">
      <w:pPr>
        <w:spacing w:line="312" w:lineRule="auto"/>
        <w:ind w:firstLine="420" w:firstLineChars="200"/>
        <w:rPr>
          <w:rFonts w:ascii="宋体"/>
          <w:szCs w:val="22"/>
        </w:rPr>
      </w:pPr>
    </w:p>
    <w:p w14:paraId="6F416367">
      <w:pPr>
        <w:spacing w:line="312" w:lineRule="auto"/>
        <w:ind w:firstLine="420" w:firstLineChars="200"/>
        <w:jc w:val="center"/>
        <w:rPr>
          <w:rFonts w:ascii="宋体"/>
          <w:szCs w:val="22"/>
        </w:rPr>
      </w:pPr>
    </w:p>
    <w:p w14:paraId="0468FE4B">
      <w:pPr>
        <w:spacing w:line="312" w:lineRule="auto"/>
        <w:ind w:firstLine="420" w:firstLineChars="200"/>
        <w:jc w:val="center"/>
        <w:rPr>
          <w:rFonts w:ascii="宋体"/>
          <w:szCs w:val="22"/>
        </w:rPr>
      </w:pPr>
    </w:p>
    <w:p w14:paraId="6BCE5B3A">
      <w:pPr>
        <w:spacing w:line="312" w:lineRule="auto"/>
        <w:ind w:firstLine="420" w:firstLineChars="200"/>
        <w:jc w:val="center"/>
        <w:rPr>
          <w:rFonts w:ascii="宋体"/>
          <w:szCs w:val="22"/>
        </w:rPr>
      </w:pPr>
    </w:p>
    <w:p w14:paraId="1ECE6C8E">
      <w:pPr>
        <w:spacing w:line="312" w:lineRule="auto"/>
        <w:ind w:firstLine="420" w:firstLineChars="200"/>
        <w:jc w:val="center"/>
        <w:rPr>
          <w:rFonts w:ascii="宋体"/>
          <w:szCs w:val="22"/>
        </w:rPr>
      </w:pPr>
    </w:p>
    <w:p w14:paraId="7579BA47">
      <w:pPr>
        <w:spacing w:line="312" w:lineRule="auto"/>
        <w:ind w:firstLine="420" w:firstLineChars="200"/>
        <w:jc w:val="center"/>
        <w:rPr>
          <w:rFonts w:ascii="宋体"/>
          <w:szCs w:val="22"/>
        </w:rPr>
      </w:pPr>
    </w:p>
    <w:p w14:paraId="59194C49">
      <w:pPr>
        <w:spacing w:line="312" w:lineRule="auto"/>
        <w:ind w:firstLine="420" w:firstLineChars="200"/>
        <w:jc w:val="center"/>
        <w:rPr>
          <w:rFonts w:ascii="宋体"/>
          <w:szCs w:val="22"/>
        </w:rPr>
      </w:pPr>
    </w:p>
    <w:p w14:paraId="47E3F1B8">
      <w:pPr>
        <w:spacing w:line="312" w:lineRule="auto"/>
        <w:ind w:firstLine="420" w:firstLineChars="200"/>
        <w:rPr>
          <w:rFonts w:ascii="宋体"/>
          <w:szCs w:val="22"/>
        </w:rPr>
      </w:pPr>
    </w:p>
    <w:p w14:paraId="0914A9D9">
      <w:pPr>
        <w:pStyle w:val="175"/>
        <w:tabs>
          <w:tab w:val="left" w:pos="2700"/>
        </w:tabs>
        <w:spacing w:after="80"/>
        <w:ind w:firstLine="480" w:firstLineChars="200"/>
        <w:jc w:val="both"/>
        <w:rPr>
          <w:sz w:val="24"/>
          <w:szCs w:val="24"/>
        </w:rPr>
      </w:pPr>
    </w:p>
    <w:p w14:paraId="211C4AA1">
      <w:pPr>
        <w:pStyle w:val="175"/>
        <w:tabs>
          <w:tab w:val="left" w:pos="2700"/>
        </w:tabs>
        <w:spacing w:after="80"/>
        <w:ind w:firstLine="480" w:firstLineChars="200"/>
        <w:jc w:val="both"/>
        <w:rPr>
          <w:sz w:val="24"/>
          <w:szCs w:val="24"/>
        </w:rPr>
      </w:pPr>
    </w:p>
    <w:p w14:paraId="0A4938C7">
      <w:pPr>
        <w:pStyle w:val="175"/>
        <w:tabs>
          <w:tab w:val="left" w:pos="2700"/>
        </w:tabs>
        <w:spacing w:after="80"/>
        <w:ind w:firstLine="480" w:firstLineChars="200"/>
        <w:jc w:val="both"/>
        <w:rPr>
          <w:sz w:val="24"/>
          <w:szCs w:val="24"/>
        </w:rPr>
      </w:pPr>
    </w:p>
    <w:p w14:paraId="04F548FE">
      <w:pPr>
        <w:pStyle w:val="175"/>
        <w:tabs>
          <w:tab w:val="left" w:pos="2700"/>
        </w:tabs>
        <w:spacing w:after="80"/>
        <w:ind w:firstLine="480" w:firstLineChars="200"/>
        <w:jc w:val="both"/>
        <w:rPr>
          <w:sz w:val="24"/>
          <w:szCs w:val="24"/>
        </w:rPr>
      </w:pPr>
      <w:r>
        <w:rPr>
          <w:sz w:val="24"/>
          <w:szCs w:val="24"/>
        </w:rPr>
        <w:t>本报告主体核算了</w:t>
      </w:r>
      <w:r>
        <w:rPr>
          <w:sz w:val="24"/>
          <w:szCs w:val="24"/>
          <w:u w:val="single"/>
        </w:rPr>
        <w:t xml:space="preserve">    </w:t>
      </w:r>
      <w:r>
        <w:rPr>
          <w:sz w:val="24"/>
          <w:szCs w:val="24"/>
        </w:rPr>
        <w:t>年度</w:t>
      </w:r>
      <w:r>
        <w:rPr>
          <w:rFonts w:hint="eastAsia"/>
          <w:sz w:val="24"/>
          <w:szCs w:val="24"/>
        </w:rPr>
        <w:t>碳</w:t>
      </w:r>
      <w:r>
        <w:rPr>
          <w:sz w:val="24"/>
          <w:szCs w:val="24"/>
        </w:rPr>
        <w:t>排放量，并填写了相关数据表格。现将有关情况报告如下：</w:t>
      </w:r>
    </w:p>
    <w:p w14:paraId="10AB7CD0">
      <w:pPr>
        <w:pStyle w:val="175"/>
        <w:tabs>
          <w:tab w:val="left" w:pos="1119"/>
        </w:tabs>
        <w:ind w:firstLine="540"/>
        <w:rPr>
          <w:sz w:val="24"/>
          <w:szCs w:val="24"/>
        </w:rPr>
      </w:pPr>
      <w:bookmarkStart w:id="42" w:name="bookmark34"/>
      <w:r>
        <w:rPr>
          <w:sz w:val="24"/>
          <w:szCs w:val="24"/>
        </w:rPr>
        <w:t>一</w:t>
      </w:r>
      <w:bookmarkEnd w:id="42"/>
      <w:r>
        <w:rPr>
          <w:sz w:val="24"/>
          <w:szCs w:val="24"/>
        </w:rPr>
        <w:t>、</w:t>
      </w:r>
      <w:r>
        <w:rPr>
          <w:sz w:val="24"/>
          <w:szCs w:val="24"/>
        </w:rPr>
        <w:tab/>
      </w:r>
      <w:r>
        <w:rPr>
          <w:rFonts w:hint="eastAsia"/>
          <w:sz w:val="24"/>
          <w:szCs w:val="24"/>
          <w:lang w:val="en-US" w:eastAsia="zh-CN"/>
        </w:rPr>
        <w:t>报告主体</w:t>
      </w:r>
      <w:r>
        <w:rPr>
          <w:sz w:val="24"/>
          <w:szCs w:val="24"/>
        </w:rPr>
        <w:t>基本情况</w:t>
      </w:r>
    </w:p>
    <w:p w14:paraId="3164601D">
      <w:pPr>
        <w:pStyle w:val="175"/>
        <w:tabs>
          <w:tab w:val="left" w:pos="1119"/>
        </w:tabs>
        <w:ind w:firstLine="540"/>
        <w:rPr>
          <w:sz w:val="24"/>
          <w:szCs w:val="24"/>
        </w:rPr>
      </w:pPr>
      <w:bookmarkStart w:id="43" w:name="bookmark35"/>
      <w:r>
        <w:rPr>
          <w:sz w:val="24"/>
          <w:szCs w:val="24"/>
        </w:rPr>
        <w:t>二</w:t>
      </w:r>
      <w:bookmarkEnd w:id="43"/>
      <w:r>
        <w:rPr>
          <w:sz w:val="24"/>
          <w:szCs w:val="24"/>
        </w:rPr>
        <w:t>、</w:t>
      </w:r>
      <w:r>
        <w:rPr>
          <w:sz w:val="24"/>
          <w:szCs w:val="24"/>
        </w:rPr>
        <w:tab/>
      </w:r>
      <w:r>
        <w:rPr>
          <w:rFonts w:hint="eastAsia"/>
          <w:sz w:val="24"/>
          <w:szCs w:val="24"/>
          <w:lang w:val="en-US" w:eastAsia="zh-CN"/>
        </w:rPr>
        <w:t>温室气体</w:t>
      </w:r>
      <w:r>
        <w:rPr>
          <w:sz w:val="24"/>
          <w:szCs w:val="24"/>
        </w:rPr>
        <w:t>排放</w:t>
      </w:r>
    </w:p>
    <w:p w14:paraId="026C2386">
      <w:pPr>
        <w:pStyle w:val="175"/>
        <w:tabs>
          <w:tab w:val="left" w:pos="1119"/>
        </w:tabs>
        <w:ind w:firstLine="540"/>
        <w:rPr>
          <w:sz w:val="24"/>
          <w:szCs w:val="24"/>
        </w:rPr>
      </w:pPr>
      <w:bookmarkStart w:id="44" w:name="bookmark36"/>
      <w:r>
        <w:rPr>
          <w:sz w:val="24"/>
          <w:szCs w:val="24"/>
        </w:rPr>
        <w:t>三</w:t>
      </w:r>
      <w:bookmarkEnd w:id="44"/>
      <w:r>
        <w:rPr>
          <w:sz w:val="24"/>
          <w:szCs w:val="24"/>
        </w:rPr>
        <w:t>、</w:t>
      </w:r>
      <w:r>
        <w:rPr>
          <w:sz w:val="24"/>
          <w:szCs w:val="24"/>
        </w:rPr>
        <w:tab/>
      </w:r>
      <w:r>
        <w:rPr>
          <w:sz w:val="24"/>
          <w:szCs w:val="24"/>
        </w:rPr>
        <w:t>活动数据及来源说明</w:t>
      </w:r>
    </w:p>
    <w:p w14:paraId="681788E0">
      <w:pPr>
        <w:pStyle w:val="175"/>
        <w:tabs>
          <w:tab w:val="left" w:pos="1119"/>
        </w:tabs>
        <w:ind w:firstLine="540"/>
        <w:rPr>
          <w:sz w:val="24"/>
          <w:szCs w:val="24"/>
        </w:rPr>
      </w:pPr>
      <w:bookmarkStart w:id="45" w:name="bookmark37"/>
      <w:r>
        <w:rPr>
          <w:sz w:val="24"/>
          <w:szCs w:val="24"/>
        </w:rPr>
        <w:t>四</w:t>
      </w:r>
      <w:bookmarkEnd w:id="45"/>
      <w:r>
        <w:rPr>
          <w:sz w:val="24"/>
          <w:szCs w:val="24"/>
        </w:rPr>
        <w:t>、</w:t>
      </w:r>
      <w:r>
        <w:rPr>
          <w:sz w:val="24"/>
          <w:szCs w:val="24"/>
        </w:rPr>
        <w:tab/>
      </w:r>
      <w:r>
        <w:rPr>
          <w:sz w:val="24"/>
          <w:szCs w:val="24"/>
        </w:rPr>
        <w:t>排放因子数据及来源说明</w:t>
      </w:r>
    </w:p>
    <w:p w14:paraId="772379D7">
      <w:pPr>
        <w:pStyle w:val="175"/>
        <w:tabs>
          <w:tab w:val="left" w:pos="1119"/>
        </w:tabs>
        <w:ind w:firstLine="540"/>
        <w:rPr>
          <w:sz w:val="24"/>
          <w:szCs w:val="24"/>
          <w:lang w:val="en-US" w:eastAsia="zh-CN"/>
        </w:rPr>
      </w:pPr>
      <w:r>
        <w:rPr>
          <w:rFonts w:hint="eastAsia"/>
          <w:sz w:val="24"/>
          <w:szCs w:val="24"/>
          <w:lang w:val="en-US" w:eastAsia="zh-CN"/>
        </w:rPr>
        <w:t>五、其他报告信息</w:t>
      </w:r>
    </w:p>
    <w:p w14:paraId="48C029B2">
      <w:pPr>
        <w:pStyle w:val="175"/>
        <w:tabs>
          <w:tab w:val="left" w:pos="1119"/>
        </w:tabs>
        <w:ind w:firstLine="540"/>
        <w:rPr>
          <w:sz w:val="24"/>
          <w:szCs w:val="24"/>
          <w:lang w:val="en-US" w:eastAsia="zh-CN"/>
        </w:rPr>
      </w:pPr>
    </w:p>
    <w:p w14:paraId="3FFE1172">
      <w:pPr>
        <w:pStyle w:val="175"/>
        <w:spacing w:after="5980"/>
        <w:ind w:firstLine="539"/>
        <w:rPr>
          <w:sz w:val="24"/>
          <w:szCs w:val="24"/>
        </w:rPr>
      </w:pPr>
      <w:r>
        <w:rPr>
          <w:sz w:val="24"/>
          <w:szCs w:val="24"/>
        </w:rPr>
        <w:t>本企业承诺对本报告的真实性负责。</w:t>
      </w:r>
    </w:p>
    <w:p w14:paraId="51158C33">
      <w:pPr>
        <w:pStyle w:val="175"/>
        <w:wordWrap w:val="0"/>
        <w:spacing w:after="240" w:afterLines="100"/>
        <w:ind w:right="1179" w:firstLine="3614" w:firstLineChars="1506"/>
        <w:jc w:val="both"/>
        <w:rPr>
          <w:rFonts w:eastAsia="PMingLiU"/>
          <w:sz w:val="24"/>
          <w:szCs w:val="24"/>
        </w:rPr>
      </w:pPr>
      <w:r>
        <w:rPr>
          <w:rFonts w:hint="eastAsia"/>
          <w:sz w:val="24"/>
          <w:szCs w:val="24"/>
          <w:lang w:val="en-US" w:eastAsia="zh-CN"/>
        </w:rPr>
        <w:t>法定代表人或授权发表</w:t>
      </w:r>
      <w:r>
        <w:rPr>
          <w:sz w:val="24"/>
          <w:szCs w:val="24"/>
        </w:rPr>
        <w:t>（签字）:</w:t>
      </w:r>
      <w:r>
        <w:rPr>
          <w:rFonts w:eastAsia="PMingLiU"/>
          <w:sz w:val="24"/>
          <w:szCs w:val="24"/>
        </w:rPr>
        <w:t xml:space="preserve">    </w:t>
      </w:r>
    </w:p>
    <w:p w14:paraId="69BF7ADA">
      <w:pPr>
        <w:pStyle w:val="175"/>
        <w:ind w:firstLine="0"/>
        <w:jc w:val="right"/>
        <w:rPr>
          <w:lang w:val="zh-CN" w:eastAsia="zh-CN" w:bidi="zh-CN"/>
        </w:rPr>
      </w:pPr>
      <w:r>
        <w:rPr>
          <w:sz w:val="24"/>
          <w:szCs w:val="24"/>
        </w:rPr>
        <w:t xml:space="preserve">年 </w:t>
      </w:r>
      <w:r>
        <w:rPr>
          <w:rFonts w:eastAsia="PMingLiU"/>
          <w:sz w:val="24"/>
          <w:szCs w:val="24"/>
        </w:rPr>
        <w:t xml:space="preserve">    </w:t>
      </w:r>
      <w:r>
        <w:rPr>
          <w:sz w:val="24"/>
          <w:szCs w:val="24"/>
        </w:rPr>
        <w:t xml:space="preserve"> </w:t>
      </w:r>
      <w:r>
        <w:rPr>
          <w:sz w:val="24"/>
          <w:szCs w:val="24"/>
          <w:lang w:val="zh-CN" w:eastAsia="zh-CN" w:bidi="zh-CN"/>
        </w:rPr>
        <w:t>月</w:t>
      </w:r>
      <w:r>
        <w:rPr>
          <w:rFonts w:hint="eastAsia"/>
          <w:sz w:val="24"/>
          <w:szCs w:val="24"/>
          <w:lang w:val="zh-CN" w:eastAsia="zh-CN" w:bidi="zh-CN"/>
        </w:rPr>
        <w:t xml:space="preserve"> </w:t>
      </w:r>
      <w:r>
        <w:rPr>
          <w:sz w:val="24"/>
          <w:szCs w:val="24"/>
          <w:lang w:val="zh-CN" w:eastAsia="zh-CN" w:bidi="zh-CN"/>
        </w:rPr>
        <w:t xml:space="preserve">    </w:t>
      </w:r>
      <w:r>
        <w:rPr>
          <w:rFonts w:hint="eastAsia"/>
          <w:sz w:val="24"/>
          <w:szCs w:val="24"/>
          <w:lang w:val="zh-CN" w:eastAsia="zh-CN" w:bidi="zh-CN"/>
        </w:rPr>
        <w:t>日</w:t>
      </w:r>
    </w:p>
    <w:p w14:paraId="0F9C0E2F">
      <w:pPr>
        <w:pStyle w:val="175"/>
        <w:keepNext w:val="0"/>
        <w:keepLines w:val="0"/>
        <w:pageBreakBefore w:val="0"/>
        <w:widowControl w:val="0"/>
        <w:kinsoku/>
        <w:wordWrap/>
        <w:overflowPunct/>
        <w:topLinePunct w:val="0"/>
        <w:autoSpaceDE/>
        <w:autoSpaceDN/>
        <w:bidi w:val="0"/>
        <w:adjustRightInd/>
        <w:snapToGrid/>
        <w:spacing w:after="0"/>
        <w:ind w:firstLine="0"/>
        <w:jc w:val="center"/>
        <w:textAlignment w:val="auto"/>
        <w:rPr>
          <w:lang w:eastAsia="zh-CN"/>
        </w:rPr>
      </w:pPr>
      <w:r>
        <w:br w:type="page"/>
      </w:r>
      <w:r>
        <w:rPr>
          <w:rFonts w:ascii="Times New Roman" w:hAnsi="Times New Roman" w:eastAsia="黑体" w:cs="Times New Roman"/>
          <w:bCs/>
          <w:sz w:val="21"/>
          <w:szCs w:val="21"/>
          <w:lang w:val="en-US" w:eastAsia="zh-CN" w:bidi="ar-SA"/>
        </w:rPr>
        <w:t>表D.1报告主体</w:t>
      </w:r>
      <w:r>
        <w:rPr>
          <w:rFonts w:ascii="Times New Roman" w:hAnsi="Times New Roman" w:eastAsia="黑体" w:cs="Times New Roman"/>
          <w:bCs/>
          <w:sz w:val="21"/>
          <w:szCs w:val="21"/>
          <w:u w:val="single"/>
          <w:lang w:val="en-US" w:eastAsia="zh-CN" w:bidi="ar-SA"/>
        </w:rPr>
        <w:t xml:space="preserve">    </w:t>
      </w:r>
      <w:r>
        <w:rPr>
          <w:rFonts w:ascii="Times New Roman" w:hAnsi="Times New Roman" w:eastAsia="黑体" w:cs="Times New Roman"/>
          <w:bCs/>
          <w:sz w:val="21"/>
          <w:szCs w:val="21"/>
          <w:lang w:val="en-US" w:eastAsia="zh-CN" w:bidi="ar-SA"/>
        </w:rPr>
        <w:t>年</w:t>
      </w:r>
      <w:r>
        <w:rPr>
          <w:rFonts w:hint="eastAsia" w:ascii="Times New Roman" w:hAnsi="Times New Roman" w:eastAsia="黑体" w:cs="Times New Roman"/>
          <w:bCs/>
          <w:sz w:val="21"/>
          <w:szCs w:val="21"/>
          <w:lang w:val="en-US" w:eastAsia="zh-CN" w:bidi="ar-SA"/>
        </w:rPr>
        <w:t>温室气体</w:t>
      </w:r>
      <w:r>
        <w:rPr>
          <w:rFonts w:ascii="Times New Roman" w:hAnsi="Times New Roman" w:eastAsia="黑体" w:cs="Times New Roman"/>
          <w:bCs/>
          <w:sz w:val="21"/>
          <w:szCs w:val="21"/>
          <w:lang w:val="en-US" w:eastAsia="zh-CN" w:bidi="ar-SA"/>
        </w:rPr>
        <w:t>排放量</w:t>
      </w:r>
      <w:r>
        <w:rPr>
          <w:rFonts w:hint="eastAsia" w:ascii="Times New Roman" w:hAnsi="Times New Roman" w:eastAsia="黑体" w:cs="Times New Roman"/>
          <w:bCs/>
          <w:sz w:val="21"/>
          <w:szCs w:val="21"/>
          <w:lang w:val="en-US" w:eastAsia="zh-CN" w:bidi="ar-SA"/>
        </w:rPr>
        <w:t>汇总表</w:t>
      </w:r>
    </w:p>
    <w:tbl>
      <w:tblPr>
        <w:tblStyle w:val="35"/>
        <w:tblpPr w:leftFromText="180" w:rightFromText="180" w:vertAnchor="text" w:horzAnchor="margin" w:tblpY="109"/>
        <w:tblOverlap w:val="never"/>
        <w:tblW w:w="5000" w:type="pct"/>
        <w:tblInd w:w="0" w:type="dxa"/>
        <w:tblLayout w:type="autofit"/>
        <w:tblCellMar>
          <w:top w:w="0" w:type="dxa"/>
          <w:left w:w="10" w:type="dxa"/>
          <w:bottom w:w="0" w:type="dxa"/>
          <w:right w:w="10" w:type="dxa"/>
        </w:tblCellMar>
      </w:tblPr>
      <w:tblGrid>
        <w:gridCol w:w="2181"/>
        <w:gridCol w:w="3261"/>
        <w:gridCol w:w="3822"/>
      </w:tblGrid>
      <w:tr w14:paraId="099A8E0F">
        <w:tblPrEx>
          <w:tblCellMar>
            <w:top w:w="0" w:type="dxa"/>
            <w:left w:w="10" w:type="dxa"/>
            <w:bottom w:w="0" w:type="dxa"/>
            <w:right w:w="10" w:type="dxa"/>
          </w:tblCellMar>
        </w:tblPrEx>
        <w:trPr>
          <w:trHeight w:val="567" w:hRule="exact"/>
        </w:trPr>
        <w:tc>
          <w:tcPr>
            <w:tcW w:w="2937" w:type="pct"/>
            <w:gridSpan w:val="2"/>
            <w:tcBorders>
              <w:top w:val="single" w:color="auto" w:sz="4" w:space="0"/>
              <w:left w:val="single" w:color="auto" w:sz="4" w:space="0"/>
            </w:tcBorders>
            <w:shd w:val="clear" w:color="auto" w:fill="FFFFFF"/>
            <w:vAlign w:val="center"/>
          </w:tcPr>
          <w:p w14:paraId="0ABEA111">
            <w:pPr>
              <w:pStyle w:val="153"/>
              <w:spacing w:after="0" w:line="240" w:lineRule="auto"/>
              <w:ind w:firstLine="0"/>
              <w:jc w:val="center"/>
              <w:rPr>
                <w:sz w:val="18"/>
                <w:szCs w:val="18"/>
                <w:lang w:bidi="zh-TW"/>
              </w:rPr>
            </w:pPr>
            <w:r>
              <w:rPr>
                <w:rFonts w:hint="eastAsia"/>
                <w:sz w:val="18"/>
                <w:szCs w:val="18"/>
                <w:lang w:bidi="zh-TW"/>
              </w:rPr>
              <w:t>排放源类型</w:t>
            </w:r>
          </w:p>
        </w:tc>
        <w:tc>
          <w:tcPr>
            <w:tcW w:w="2062" w:type="pct"/>
            <w:tcBorders>
              <w:top w:val="single" w:color="auto" w:sz="4" w:space="0"/>
              <w:left w:val="single" w:color="auto" w:sz="4" w:space="0"/>
              <w:right w:val="single" w:color="auto" w:sz="4" w:space="0"/>
            </w:tcBorders>
            <w:shd w:val="clear" w:color="auto" w:fill="FFFFFF"/>
            <w:vAlign w:val="center"/>
          </w:tcPr>
          <w:p w14:paraId="779BC493">
            <w:pPr>
              <w:jc w:val="center"/>
              <w:rPr>
                <w:rFonts w:ascii="宋体" w:hAnsi="宋体"/>
                <w:sz w:val="18"/>
                <w:szCs w:val="18"/>
              </w:rPr>
            </w:pPr>
            <w:r>
              <w:rPr>
                <w:rFonts w:hint="eastAsia" w:ascii="宋体" w:hAnsi="宋体"/>
                <w:sz w:val="18"/>
                <w:szCs w:val="18"/>
              </w:rPr>
              <w:t>排放量</w:t>
            </w:r>
          </w:p>
          <w:p w14:paraId="05042B3E">
            <w:pPr>
              <w:jc w:val="center"/>
              <w:rPr>
                <w:rFonts w:ascii="宋体" w:hAnsi="宋体"/>
                <w:sz w:val="18"/>
                <w:szCs w:val="18"/>
              </w:rPr>
            </w:pPr>
            <w:r>
              <w:rPr>
                <w:rFonts w:hint="eastAsia" w:ascii="宋体" w:hAnsi="宋体"/>
                <w:sz w:val="18"/>
                <w:szCs w:val="18"/>
              </w:rPr>
              <w:t>tCO</w:t>
            </w:r>
            <w:r>
              <w:rPr>
                <w:rFonts w:ascii="宋体" w:hAnsi="宋体"/>
                <w:sz w:val="18"/>
                <w:szCs w:val="18"/>
                <w:vertAlign w:val="subscript"/>
              </w:rPr>
              <w:t>2</w:t>
            </w:r>
            <w:r>
              <w:rPr>
                <w:rFonts w:hint="eastAsia" w:ascii="宋体" w:hAnsi="宋体"/>
                <w:sz w:val="18"/>
                <w:szCs w:val="18"/>
              </w:rPr>
              <w:t>e</w:t>
            </w:r>
          </w:p>
        </w:tc>
      </w:tr>
      <w:tr w14:paraId="402CA49B">
        <w:tblPrEx>
          <w:tblCellMar>
            <w:top w:w="0" w:type="dxa"/>
            <w:left w:w="10" w:type="dxa"/>
            <w:bottom w:w="0" w:type="dxa"/>
            <w:right w:w="10" w:type="dxa"/>
          </w:tblCellMar>
        </w:tblPrEx>
        <w:trPr>
          <w:trHeight w:val="567" w:hRule="exact"/>
        </w:trPr>
        <w:tc>
          <w:tcPr>
            <w:tcW w:w="2937" w:type="pct"/>
            <w:gridSpan w:val="2"/>
            <w:tcBorders>
              <w:top w:val="single" w:color="auto" w:sz="4" w:space="0"/>
              <w:left w:val="single" w:color="auto" w:sz="4" w:space="0"/>
            </w:tcBorders>
            <w:shd w:val="clear" w:color="auto" w:fill="FFFFFF"/>
            <w:vAlign w:val="center"/>
          </w:tcPr>
          <w:p w14:paraId="253617E8">
            <w:pPr>
              <w:pStyle w:val="153"/>
              <w:spacing w:after="0" w:line="240" w:lineRule="auto"/>
              <w:ind w:firstLine="0"/>
              <w:jc w:val="center"/>
              <w:rPr>
                <w:sz w:val="18"/>
                <w:szCs w:val="18"/>
              </w:rPr>
            </w:pPr>
            <w:r>
              <w:rPr>
                <w:sz w:val="18"/>
                <w:szCs w:val="18"/>
                <w:lang w:val="zh-TW" w:eastAsia="zh-TW" w:bidi="zh-TW"/>
              </w:rPr>
              <w:t>化石燃料燃烧</w:t>
            </w:r>
            <w:r>
              <w:rPr>
                <w:rFonts w:hint="eastAsia"/>
                <w:sz w:val="18"/>
                <w:szCs w:val="18"/>
                <w:lang w:bidi="zh-TW"/>
              </w:rPr>
              <w:t>二氧化碳</w:t>
            </w:r>
            <w:r>
              <w:rPr>
                <w:sz w:val="18"/>
                <w:szCs w:val="18"/>
                <w:lang w:val="zh-TW" w:eastAsia="zh-TW" w:bidi="zh-TW"/>
              </w:rPr>
              <w:t>排放</w:t>
            </w:r>
          </w:p>
        </w:tc>
        <w:tc>
          <w:tcPr>
            <w:tcW w:w="2062" w:type="pct"/>
            <w:tcBorders>
              <w:top w:val="single" w:color="auto" w:sz="4" w:space="0"/>
              <w:left w:val="single" w:color="auto" w:sz="4" w:space="0"/>
              <w:right w:val="single" w:color="auto" w:sz="4" w:space="0"/>
            </w:tcBorders>
            <w:shd w:val="clear" w:color="auto" w:fill="FFFFFF"/>
            <w:vAlign w:val="center"/>
          </w:tcPr>
          <w:p w14:paraId="135EB0F9">
            <w:pPr>
              <w:jc w:val="center"/>
              <w:rPr>
                <w:rFonts w:ascii="宋体" w:hAnsi="宋体"/>
                <w:sz w:val="18"/>
                <w:szCs w:val="18"/>
              </w:rPr>
            </w:pPr>
          </w:p>
        </w:tc>
      </w:tr>
      <w:tr w14:paraId="325F898A">
        <w:tblPrEx>
          <w:tblCellMar>
            <w:top w:w="0" w:type="dxa"/>
            <w:left w:w="10" w:type="dxa"/>
            <w:bottom w:w="0" w:type="dxa"/>
            <w:right w:w="10" w:type="dxa"/>
          </w:tblCellMar>
        </w:tblPrEx>
        <w:trPr>
          <w:trHeight w:val="567" w:hRule="exact"/>
        </w:trPr>
        <w:tc>
          <w:tcPr>
            <w:tcW w:w="2937" w:type="pct"/>
            <w:gridSpan w:val="2"/>
            <w:tcBorders>
              <w:top w:val="single" w:color="auto" w:sz="4" w:space="0"/>
              <w:left w:val="single" w:color="auto" w:sz="4" w:space="0"/>
            </w:tcBorders>
            <w:shd w:val="clear" w:color="auto" w:fill="FFFFFF"/>
            <w:vAlign w:val="center"/>
          </w:tcPr>
          <w:p w14:paraId="25D34E91">
            <w:pPr>
              <w:pStyle w:val="153"/>
              <w:spacing w:after="0" w:line="240" w:lineRule="auto"/>
              <w:ind w:firstLine="0"/>
              <w:jc w:val="center"/>
              <w:rPr>
                <w:sz w:val="18"/>
                <w:szCs w:val="18"/>
              </w:rPr>
            </w:pPr>
            <w:r>
              <w:rPr>
                <w:sz w:val="18"/>
                <w:szCs w:val="18"/>
                <w:lang w:val="zh-TW" w:eastAsia="zh-TW" w:bidi="zh-TW"/>
              </w:rPr>
              <w:t>过程</w:t>
            </w:r>
            <w:r>
              <w:rPr>
                <w:rFonts w:hint="eastAsia"/>
                <w:sz w:val="18"/>
                <w:szCs w:val="18"/>
                <w:lang w:bidi="zh-TW"/>
              </w:rPr>
              <w:t>二氧化碳</w:t>
            </w:r>
            <w:r>
              <w:rPr>
                <w:sz w:val="18"/>
                <w:szCs w:val="18"/>
                <w:lang w:val="zh-TW" w:eastAsia="zh-TW" w:bidi="zh-TW"/>
              </w:rPr>
              <w:t>排放</w:t>
            </w:r>
          </w:p>
        </w:tc>
        <w:tc>
          <w:tcPr>
            <w:tcW w:w="2062" w:type="pct"/>
            <w:tcBorders>
              <w:top w:val="single" w:color="auto" w:sz="4" w:space="0"/>
              <w:left w:val="single" w:color="auto" w:sz="4" w:space="0"/>
              <w:right w:val="single" w:color="auto" w:sz="4" w:space="0"/>
            </w:tcBorders>
            <w:shd w:val="clear" w:color="auto" w:fill="FFFFFF"/>
            <w:vAlign w:val="center"/>
          </w:tcPr>
          <w:p w14:paraId="6FBE792B">
            <w:pPr>
              <w:jc w:val="center"/>
              <w:rPr>
                <w:rFonts w:ascii="宋体" w:hAnsi="宋体"/>
                <w:sz w:val="18"/>
                <w:szCs w:val="18"/>
              </w:rPr>
            </w:pPr>
          </w:p>
        </w:tc>
      </w:tr>
      <w:tr w14:paraId="76133E2E">
        <w:tblPrEx>
          <w:tblCellMar>
            <w:top w:w="0" w:type="dxa"/>
            <w:left w:w="10" w:type="dxa"/>
            <w:bottom w:w="0" w:type="dxa"/>
            <w:right w:w="10" w:type="dxa"/>
          </w:tblCellMar>
        </w:tblPrEx>
        <w:trPr>
          <w:trHeight w:val="567" w:hRule="exact"/>
        </w:trPr>
        <w:tc>
          <w:tcPr>
            <w:tcW w:w="2937" w:type="pct"/>
            <w:gridSpan w:val="2"/>
            <w:tcBorders>
              <w:top w:val="single" w:color="auto" w:sz="4" w:space="0"/>
              <w:left w:val="single" w:color="auto" w:sz="4" w:space="0"/>
            </w:tcBorders>
            <w:shd w:val="clear" w:color="auto" w:fill="FFFFFF"/>
            <w:vAlign w:val="center"/>
          </w:tcPr>
          <w:p w14:paraId="0894FEA8">
            <w:pPr>
              <w:pStyle w:val="153"/>
              <w:spacing w:after="0" w:line="240" w:lineRule="auto"/>
              <w:ind w:firstLine="0"/>
              <w:jc w:val="center"/>
              <w:rPr>
                <w:sz w:val="18"/>
                <w:szCs w:val="18"/>
                <w:lang w:bidi="zh-TW"/>
              </w:rPr>
            </w:pPr>
            <w:r>
              <w:rPr>
                <w:rFonts w:hint="eastAsia"/>
                <w:sz w:val="18"/>
                <w:szCs w:val="18"/>
                <w:lang w:bidi="zh-TW"/>
              </w:rPr>
              <w:t>废弃物处理处置产生的二氧化碳</w:t>
            </w:r>
            <w:r>
              <w:rPr>
                <w:sz w:val="18"/>
                <w:szCs w:val="18"/>
                <w:lang w:val="zh-TW" w:eastAsia="zh-TW" w:bidi="zh-TW"/>
              </w:rPr>
              <w:t>排放</w:t>
            </w:r>
          </w:p>
        </w:tc>
        <w:tc>
          <w:tcPr>
            <w:tcW w:w="2062" w:type="pct"/>
            <w:tcBorders>
              <w:top w:val="single" w:color="auto" w:sz="4" w:space="0"/>
              <w:left w:val="single" w:color="auto" w:sz="4" w:space="0"/>
              <w:right w:val="single" w:color="auto" w:sz="4" w:space="0"/>
            </w:tcBorders>
            <w:shd w:val="clear" w:color="auto" w:fill="FFFFFF"/>
            <w:vAlign w:val="center"/>
          </w:tcPr>
          <w:p w14:paraId="7A1C7487">
            <w:pPr>
              <w:jc w:val="center"/>
              <w:rPr>
                <w:rFonts w:ascii="宋体" w:hAnsi="宋体"/>
                <w:sz w:val="18"/>
                <w:szCs w:val="18"/>
              </w:rPr>
            </w:pPr>
          </w:p>
        </w:tc>
      </w:tr>
      <w:tr w14:paraId="57634F72">
        <w:tblPrEx>
          <w:tblCellMar>
            <w:top w:w="0" w:type="dxa"/>
            <w:left w:w="10" w:type="dxa"/>
            <w:bottom w:w="0" w:type="dxa"/>
            <w:right w:w="10" w:type="dxa"/>
          </w:tblCellMar>
        </w:tblPrEx>
        <w:trPr>
          <w:trHeight w:val="567" w:hRule="exact"/>
        </w:trPr>
        <w:tc>
          <w:tcPr>
            <w:tcW w:w="2937" w:type="pct"/>
            <w:gridSpan w:val="2"/>
            <w:tcBorders>
              <w:top w:val="single" w:color="auto" w:sz="4" w:space="0"/>
              <w:left w:val="single" w:color="auto" w:sz="4" w:space="0"/>
            </w:tcBorders>
            <w:shd w:val="clear" w:color="auto" w:fill="FFFFFF"/>
            <w:vAlign w:val="center"/>
          </w:tcPr>
          <w:p w14:paraId="2E8811AA">
            <w:pPr>
              <w:pStyle w:val="153"/>
              <w:spacing w:after="0" w:line="240" w:lineRule="auto"/>
              <w:ind w:firstLine="0"/>
              <w:jc w:val="center"/>
              <w:rPr>
                <w:sz w:val="18"/>
                <w:szCs w:val="18"/>
              </w:rPr>
            </w:pPr>
            <w:r>
              <w:rPr>
                <w:sz w:val="18"/>
                <w:szCs w:val="18"/>
                <w:lang w:val="zh-TW" w:eastAsia="zh-TW" w:bidi="zh-TW"/>
              </w:rPr>
              <w:t>购入的电力产生的</w:t>
            </w:r>
            <w:r>
              <w:rPr>
                <w:rFonts w:hint="eastAsia"/>
                <w:sz w:val="18"/>
                <w:szCs w:val="18"/>
                <w:lang w:bidi="zh-TW"/>
              </w:rPr>
              <w:t>二氧化碳</w:t>
            </w:r>
            <w:r>
              <w:rPr>
                <w:sz w:val="18"/>
                <w:szCs w:val="18"/>
                <w:lang w:val="zh-TW" w:eastAsia="zh-TW" w:bidi="zh-TW"/>
              </w:rPr>
              <w:t>排放</w:t>
            </w:r>
          </w:p>
        </w:tc>
        <w:tc>
          <w:tcPr>
            <w:tcW w:w="2062" w:type="pct"/>
            <w:tcBorders>
              <w:top w:val="single" w:color="auto" w:sz="4" w:space="0"/>
              <w:left w:val="single" w:color="auto" w:sz="4" w:space="0"/>
              <w:right w:val="single" w:color="auto" w:sz="4" w:space="0"/>
            </w:tcBorders>
            <w:shd w:val="clear" w:color="auto" w:fill="FFFFFF"/>
            <w:vAlign w:val="center"/>
          </w:tcPr>
          <w:p w14:paraId="5CF7ECE0">
            <w:pPr>
              <w:jc w:val="center"/>
              <w:rPr>
                <w:rFonts w:ascii="宋体" w:hAnsi="宋体"/>
                <w:sz w:val="18"/>
                <w:szCs w:val="18"/>
              </w:rPr>
            </w:pPr>
          </w:p>
        </w:tc>
      </w:tr>
      <w:tr w14:paraId="637FD8AB">
        <w:tblPrEx>
          <w:tblCellMar>
            <w:top w:w="0" w:type="dxa"/>
            <w:left w:w="10" w:type="dxa"/>
            <w:bottom w:w="0" w:type="dxa"/>
            <w:right w:w="10" w:type="dxa"/>
          </w:tblCellMar>
        </w:tblPrEx>
        <w:trPr>
          <w:trHeight w:val="567" w:hRule="exact"/>
        </w:trPr>
        <w:tc>
          <w:tcPr>
            <w:tcW w:w="2937" w:type="pct"/>
            <w:gridSpan w:val="2"/>
            <w:tcBorders>
              <w:top w:val="single" w:color="auto" w:sz="4" w:space="0"/>
              <w:left w:val="single" w:color="auto" w:sz="4" w:space="0"/>
            </w:tcBorders>
            <w:shd w:val="clear" w:color="auto" w:fill="FFFFFF"/>
            <w:vAlign w:val="center"/>
          </w:tcPr>
          <w:p w14:paraId="6A644902">
            <w:pPr>
              <w:pStyle w:val="153"/>
              <w:spacing w:after="0" w:line="240" w:lineRule="auto"/>
              <w:ind w:firstLine="0"/>
              <w:jc w:val="center"/>
              <w:rPr>
                <w:sz w:val="18"/>
                <w:szCs w:val="18"/>
              </w:rPr>
            </w:pPr>
            <w:r>
              <w:rPr>
                <w:sz w:val="18"/>
                <w:szCs w:val="18"/>
                <w:lang w:val="zh-TW" w:eastAsia="zh-TW" w:bidi="zh-TW"/>
              </w:rPr>
              <w:t>购入的热力产生的</w:t>
            </w:r>
            <w:r>
              <w:rPr>
                <w:rFonts w:hint="eastAsia"/>
                <w:sz w:val="18"/>
                <w:szCs w:val="18"/>
                <w:lang w:bidi="zh-TW"/>
              </w:rPr>
              <w:t>二氧化碳</w:t>
            </w:r>
            <w:r>
              <w:rPr>
                <w:sz w:val="18"/>
                <w:szCs w:val="18"/>
                <w:lang w:val="zh-TW" w:eastAsia="zh-TW" w:bidi="zh-TW"/>
              </w:rPr>
              <w:t>排放</w:t>
            </w:r>
          </w:p>
        </w:tc>
        <w:tc>
          <w:tcPr>
            <w:tcW w:w="2062" w:type="pct"/>
            <w:tcBorders>
              <w:top w:val="single" w:color="auto" w:sz="4" w:space="0"/>
              <w:left w:val="single" w:color="auto" w:sz="4" w:space="0"/>
              <w:right w:val="single" w:color="auto" w:sz="4" w:space="0"/>
            </w:tcBorders>
            <w:shd w:val="clear" w:color="auto" w:fill="FFFFFF"/>
            <w:vAlign w:val="center"/>
          </w:tcPr>
          <w:p w14:paraId="2ED5DB24">
            <w:pPr>
              <w:jc w:val="center"/>
              <w:rPr>
                <w:rFonts w:ascii="宋体" w:hAnsi="宋体"/>
                <w:sz w:val="18"/>
                <w:szCs w:val="18"/>
              </w:rPr>
            </w:pPr>
          </w:p>
        </w:tc>
      </w:tr>
      <w:tr w14:paraId="2206CE41">
        <w:tblPrEx>
          <w:tblCellMar>
            <w:top w:w="0" w:type="dxa"/>
            <w:left w:w="10" w:type="dxa"/>
            <w:bottom w:w="0" w:type="dxa"/>
            <w:right w:w="10" w:type="dxa"/>
          </w:tblCellMar>
        </w:tblPrEx>
        <w:trPr>
          <w:trHeight w:val="567" w:hRule="exact"/>
        </w:trPr>
        <w:tc>
          <w:tcPr>
            <w:tcW w:w="2937" w:type="pct"/>
            <w:gridSpan w:val="2"/>
            <w:tcBorders>
              <w:top w:val="single" w:color="auto" w:sz="4" w:space="0"/>
              <w:left w:val="single" w:color="auto" w:sz="4" w:space="0"/>
            </w:tcBorders>
            <w:shd w:val="clear" w:color="auto" w:fill="FFFFFF"/>
            <w:vAlign w:val="center"/>
          </w:tcPr>
          <w:p w14:paraId="5FAEAD74">
            <w:pPr>
              <w:pStyle w:val="153"/>
              <w:spacing w:after="0" w:line="240" w:lineRule="auto"/>
              <w:ind w:firstLine="0"/>
              <w:jc w:val="center"/>
              <w:rPr>
                <w:sz w:val="18"/>
                <w:szCs w:val="18"/>
                <w:lang w:val="zh-TW" w:eastAsia="zh-TW" w:bidi="zh-TW"/>
              </w:rPr>
            </w:pPr>
            <w:r>
              <w:rPr>
                <w:rFonts w:hint="eastAsia"/>
                <w:sz w:val="18"/>
                <w:szCs w:val="18"/>
                <w:lang w:bidi="zh-TW"/>
              </w:rPr>
              <w:t>输出</w:t>
            </w:r>
            <w:r>
              <w:rPr>
                <w:sz w:val="18"/>
                <w:szCs w:val="18"/>
                <w:lang w:val="zh-TW" w:eastAsia="zh-TW" w:bidi="zh-TW"/>
              </w:rPr>
              <w:t>的电力产生的</w:t>
            </w:r>
            <w:r>
              <w:rPr>
                <w:rFonts w:hint="eastAsia"/>
                <w:sz w:val="18"/>
                <w:szCs w:val="18"/>
                <w:lang w:bidi="zh-TW"/>
              </w:rPr>
              <w:t>二氧化碳</w:t>
            </w:r>
            <w:r>
              <w:rPr>
                <w:sz w:val="18"/>
                <w:szCs w:val="18"/>
                <w:lang w:val="zh-TW" w:eastAsia="zh-TW" w:bidi="zh-TW"/>
              </w:rPr>
              <w:t>排放</w:t>
            </w:r>
          </w:p>
        </w:tc>
        <w:tc>
          <w:tcPr>
            <w:tcW w:w="2062" w:type="pct"/>
            <w:tcBorders>
              <w:top w:val="single" w:color="auto" w:sz="4" w:space="0"/>
              <w:left w:val="single" w:color="auto" w:sz="4" w:space="0"/>
              <w:right w:val="single" w:color="auto" w:sz="4" w:space="0"/>
            </w:tcBorders>
            <w:shd w:val="clear" w:color="auto" w:fill="FFFFFF"/>
            <w:vAlign w:val="center"/>
          </w:tcPr>
          <w:p w14:paraId="4EE87102">
            <w:pPr>
              <w:jc w:val="center"/>
              <w:rPr>
                <w:rFonts w:ascii="宋体" w:hAnsi="宋体"/>
                <w:sz w:val="18"/>
                <w:szCs w:val="18"/>
              </w:rPr>
            </w:pPr>
          </w:p>
        </w:tc>
      </w:tr>
      <w:tr w14:paraId="566FC575">
        <w:tblPrEx>
          <w:tblCellMar>
            <w:top w:w="0" w:type="dxa"/>
            <w:left w:w="10" w:type="dxa"/>
            <w:bottom w:w="0" w:type="dxa"/>
            <w:right w:w="10" w:type="dxa"/>
          </w:tblCellMar>
        </w:tblPrEx>
        <w:trPr>
          <w:trHeight w:val="567" w:hRule="exact"/>
        </w:trPr>
        <w:tc>
          <w:tcPr>
            <w:tcW w:w="2937" w:type="pct"/>
            <w:gridSpan w:val="2"/>
            <w:tcBorders>
              <w:top w:val="single" w:color="auto" w:sz="4" w:space="0"/>
              <w:left w:val="single" w:color="auto" w:sz="4" w:space="0"/>
            </w:tcBorders>
            <w:shd w:val="clear" w:color="auto" w:fill="FFFFFF"/>
            <w:vAlign w:val="center"/>
          </w:tcPr>
          <w:p w14:paraId="42A0CC8B">
            <w:pPr>
              <w:pStyle w:val="153"/>
              <w:spacing w:after="0" w:line="240" w:lineRule="auto"/>
              <w:ind w:firstLine="0"/>
              <w:jc w:val="center"/>
              <w:rPr>
                <w:sz w:val="18"/>
                <w:szCs w:val="18"/>
                <w:lang w:val="zh-TW" w:eastAsia="zh-TW" w:bidi="zh-TW"/>
              </w:rPr>
            </w:pPr>
            <w:r>
              <w:rPr>
                <w:rFonts w:hint="eastAsia"/>
                <w:sz w:val="18"/>
                <w:szCs w:val="18"/>
                <w:lang w:bidi="zh-TW"/>
              </w:rPr>
              <w:t>输出</w:t>
            </w:r>
            <w:r>
              <w:rPr>
                <w:sz w:val="18"/>
                <w:szCs w:val="18"/>
                <w:lang w:val="zh-TW" w:eastAsia="zh-TW" w:bidi="zh-TW"/>
              </w:rPr>
              <w:t>的热力产生的</w:t>
            </w:r>
            <w:r>
              <w:rPr>
                <w:rFonts w:hint="eastAsia"/>
                <w:sz w:val="18"/>
                <w:szCs w:val="18"/>
                <w:lang w:bidi="zh-TW"/>
              </w:rPr>
              <w:t>二氧化碳</w:t>
            </w:r>
            <w:r>
              <w:rPr>
                <w:sz w:val="18"/>
                <w:szCs w:val="18"/>
                <w:lang w:val="zh-TW" w:eastAsia="zh-TW" w:bidi="zh-TW"/>
              </w:rPr>
              <w:t>排放</w:t>
            </w:r>
          </w:p>
        </w:tc>
        <w:tc>
          <w:tcPr>
            <w:tcW w:w="2062" w:type="pct"/>
            <w:tcBorders>
              <w:top w:val="single" w:color="auto" w:sz="4" w:space="0"/>
              <w:left w:val="single" w:color="auto" w:sz="4" w:space="0"/>
              <w:right w:val="single" w:color="auto" w:sz="4" w:space="0"/>
            </w:tcBorders>
            <w:shd w:val="clear" w:color="auto" w:fill="FFFFFF"/>
            <w:vAlign w:val="center"/>
          </w:tcPr>
          <w:p w14:paraId="47837B42">
            <w:pPr>
              <w:jc w:val="center"/>
              <w:rPr>
                <w:rFonts w:ascii="宋体" w:hAnsi="宋体"/>
                <w:sz w:val="18"/>
                <w:szCs w:val="18"/>
              </w:rPr>
            </w:pPr>
          </w:p>
        </w:tc>
      </w:tr>
      <w:tr w14:paraId="0FBFB5A8">
        <w:tblPrEx>
          <w:tblCellMar>
            <w:top w:w="0" w:type="dxa"/>
            <w:left w:w="10" w:type="dxa"/>
            <w:bottom w:w="0" w:type="dxa"/>
            <w:right w:w="10" w:type="dxa"/>
          </w:tblCellMar>
        </w:tblPrEx>
        <w:trPr>
          <w:trHeight w:val="567" w:hRule="exact"/>
        </w:trPr>
        <w:tc>
          <w:tcPr>
            <w:tcW w:w="1177" w:type="pct"/>
            <w:vMerge w:val="restart"/>
            <w:tcBorders>
              <w:top w:val="single" w:color="auto" w:sz="4" w:space="0"/>
              <w:left w:val="single" w:color="auto" w:sz="4" w:space="0"/>
            </w:tcBorders>
            <w:shd w:val="clear" w:color="auto" w:fill="FFFFFF"/>
            <w:vAlign w:val="center"/>
          </w:tcPr>
          <w:p w14:paraId="2EAEA537">
            <w:pPr>
              <w:pStyle w:val="153"/>
              <w:spacing w:after="0" w:line="240" w:lineRule="auto"/>
              <w:ind w:firstLine="0"/>
              <w:jc w:val="center"/>
              <w:rPr>
                <w:sz w:val="18"/>
                <w:szCs w:val="18"/>
              </w:rPr>
            </w:pPr>
            <w:r>
              <w:rPr>
                <w:rFonts w:hint="eastAsia"/>
                <w:sz w:val="18"/>
                <w:szCs w:val="18"/>
                <w:lang w:bidi="zh-TW"/>
              </w:rPr>
              <w:t>报告主体温室气体</w:t>
            </w:r>
            <w:r>
              <w:rPr>
                <w:sz w:val="18"/>
                <w:szCs w:val="18"/>
                <w:lang w:val="zh-TW" w:eastAsia="zh-TW" w:bidi="zh-TW"/>
              </w:rPr>
              <w:t>排放总量</w:t>
            </w:r>
          </w:p>
        </w:tc>
        <w:tc>
          <w:tcPr>
            <w:tcW w:w="1760" w:type="pct"/>
            <w:tcBorders>
              <w:top w:val="single" w:color="auto" w:sz="4" w:space="0"/>
              <w:left w:val="single" w:color="auto" w:sz="4" w:space="0"/>
            </w:tcBorders>
            <w:shd w:val="clear" w:color="auto" w:fill="FFFFFF"/>
            <w:vAlign w:val="center"/>
          </w:tcPr>
          <w:p w14:paraId="4F8AF7D0">
            <w:pPr>
              <w:pStyle w:val="153"/>
              <w:spacing w:after="0" w:line="283" w:lineRule="exact"/>
              <w:ind w:firstLine="0"/>
              <w:jc w:val="center"/>
              <w:rPr>
                <w:sz w:val="18"/>
                <w:szCs w:val="18"/>
              </w:rPr>
            </w:pPr>
            <w:r>
              <w:rPr>
                <w:sz w:val="18"/>
                <w:szCs w:val="18"/>
                <w:lang w:val="zh-TW" w:eastAsia="zh-TW" w:bidi="zh-TW"/>
              </w:rPr>
              <w:t>不包括购入</w:t>
            </w:r>
            <w:r>
              <w:rPr>
                <w:rFonts w:hint="eastAsia"/>
                <w:sz w:val="18"/>
                <w:szCs w:val="18"/>
                <w:lang w:val="zh-TW" w:eastAsia="zh-TW" w:bidi="zh-TW"/>
              </w:rPr>
              <w:t>的</w:t>
            </w:r>
            <w:r>
              <w:rPr>
                <w:sz w:val="18"/>
                <w:szCs w:val="18"/>
                <w:lang w:val="zh-TW" w:eastAsia="zh-TW" w:bidi="zh-TW"/>
              </w:rPr>
              <w:t>电力和热力产生的</w:t>
            </w:r>
            <w:r>
              <w:rPr>
                <w:rFonts w:hint="eastAsia"/>
                <w:sz w:val="18"/>
                <w:szCs w:val="18"/>
                <w:lang w:bidi="zh-TW"/>
              </w:rPr>
              <w:t>二氧化碳</w:t>
            </w:r>
            <w:r>
              <w:rPr>
                <w:sz w:val="18"/>
                <w:szCs w:val="18"/>
                <w:lang w:val="zh-TW" w:eastAsia="zh-TW" w:bidi="zh-TW"/>
              </w:rPr>
              <w:t>排放</w:t>
            </w:r>
          </w:p>
        </w:tc>
        <w:tc>
          <w:tcPr>
            <w:tcW w:w="2062" w:type="pct"/>
            <w:tcBorders>
              <w:top w:val="single" w:color="auto" w:sz="4" w:space="0"/>
              <w:left w:val="single" w:color="auto" w:sz="4" w:space="0"/>
              <w:right w:val="single" w:color="auto" w:sz="4" w:space="0"/>
            </w:tcBorders>
            <w:shd w:val="clear" w:color="auto" w:fill="FFFFFF"/>
            <w:vAlign w:val="center"/>
          </w:tcPr>
          <w:p w14:paraId="2ABE730D">
            <w:pPr>
              <w:jc w:val="center"/>
              <w:rPr>
                <w:rFonts w:ascii="宋体" w:hAnsi="宋体"/>
                <w:sz w:val="18"/>
                <w:szCs w:val="18"/>
              </w:rPr>
            </w:pPr>
          </w:p>
        </w:tc>
      </w:tr>
      <w:tr w14:paraId="5451E031">
        <w:tblPrEx>
          <w:tblCellMar>
            <w:top w:w="0" w:type="dxa"/>
            <w:left w:w="10" w:type="dxa"/>
            <w:bottom w:w="0" w:type="dxa"/>
            <w:right w:w="10" w:type="dxa"/>
          </w:tblCellMar>
        </w:tblPrEx>
        <w:trPr>
          <w:trHeight w:val="567" w:hRule="exact"/>
        </w:trPr>
        <w:tc>
          <w:tcPr>
            <w:tcW w:w="1177" w:type="pct"/>
            <w:vMerge w:val="continue"/>
            <w:tcBorders>
              <w:left w:val="single" w:color="auto" w:sz="4" w:space="0"/>
              <w:bottom w:val="single" w:color="auto" w:sz="4" w:space="0"/>
            </w:tcBorders>
            <w:shd w:val="clear" w:color="auto" w:fill="FFFFFF"/>
            <w:vAlign w:val="center"/>
          </w:tcPr>
          <w:p w14:paraId="5114AC4D">
            <w:pPr>
              <w:jc w:val="center"/>
              <w:rPr>
                <w:rFonts w:ascii="宋体" w:hAnsi="宋体"/>
                <w:sz w:val="18"/>
                <w:szCs w:val="18"/>
              </w:rPr>
            </w:pPr>
          </w:p>
        </w:tc>
        <w:tc>
          <w:tcPr>
            <w:tcW w:w="1760" w:type="pct"/>
            <w:tcBorders>
              <w:top w:val="single" w:color="auto" w:sz="4" w:space="0"/>
              <w:left w:val="single" w:color="auto" w:sz="4" w:space="0"/>
              <w:bottom w:val="single" w:color="auto" w:sz="4" w:space="0"/>
            </w:tcBorders>
            <w:shd w:val="clear" w:color="auto" w:fill="FFFFFF"/>
            <w:vAlign w:val="center"/>
          </w:tcPr>
          <w:p w14:paraId="00E84885">
            <w:pPr>
              <w:pStyle w:val="153"/>
              <w:spacing w:after="0" w:line="276" w:lineRule="exact"/>
              <w:ind w:firstLine="0"/>
              <w:jc w:val="center"/>
              <w:rPr>
                <w:sz w:val="18"/>
                <w:szCs w:val="18"/>
              </w:rPr>
            </w:pPr>
            <w:r>
              <w:rPr>
                <w:sz w:val="18"/>
                <w:szCs w:val="18"/>
                <w:lang w:val="zh-TW" w:eastAsia="zh-TW" w:bidi="zh-TW"/>
              </w:rPr>
              <w:t>包括购入</w:t>
            </w:r>
            <w:r>
              <w:rPr>
                <w:rFonts w:hint="eastAsia"/>
                <w:sz w:val="18"/>
                <w:szCs w:val="18"/>
                <w:lang w:val="zh-TW" w:eastAsia="zh-TW" w:bidi="zh-TW"/>
              </w:rPr>
              <w:t>的</w:t>
            </w:r>
            <w:r>
              <w:rPr>
                <w:sz w:val="18"/>
                <w:szCs w:val="18"/>
                <w:lang w:val="zh-TW" w:eastAsia="zh-TW" w:bidi="zh-TW"/>
              </w:rPr>
              <w:t>电力和热力产生的</w:t>
            </w:r>
            <w:r>
              <w:rPr>
                <w:rFonts w:hint="eastAsia"/>
                <w:sz w:val="18"/>
                <w:szCs w:val="18"/>
                <w:lang w:bidi="zh-TW"/>
              </w:rPr>
              <w:t>二氧化碳</w:t>
            </w:r>
            <w:r>
              <w:rPr>
                <w:sz w:val="18"/>
                <w:szCs w:val="18"/>
                <w:lang w:val="zh-TW" w:eastAsia="zh-TW" w:bidi="zh-TW"/>
              </w:rPr>
              <w:t>排放</w:t>
            </w:r>
          </w:p>
        </w:tc>
        <w:tc>
          <w:tcPr>
            <w:tcW w:w="2062" w:type="pct"/>
            <w:tcBorders>
              <w:top w:val="single" w:color="auto" w:sz="4" w:space="0"/>
              <w:left w:val="single" w:color="auto" w:sz="4" w:space="0"/>
              <w:bottom w:val="single" w:color="auto" w:sz="4" w:space="0"/>
              <w:right w:val="single" w:color="auto" w:sz="4" w:space="0"/>
            </w:tcBorders>
            <w:shd w:val="clear" w:color="auto" w:fill="FFFFFF"/>
            <w:vAlign w:val="center"/>
          </w:tcPr>
          <w:p w14:paraId="7B357DDC">
            <w:pPr>
              <w:jc w:val="center"/>
              <w:rPr>
                <w:rFonts w:ascii="宋体" w:hAnsi="宋体"/>
                <w:sz w:val="18"/>
                <w:szCs w:val="18"/>
              </w:rPr>
            </w:pPr>
          </w:p>
        </w:tc>
      </w:tr>
      <w:tr w14:paraId="03AD81CB">
        <w:tblPrEx>
          <w:tblCellMar>
            <w:top w:w="0" w:type="dxa"/>
            <w:left w:w="10" w:type="dxa"/>
            <w:bottom w:w="0" w:type="dxa"/>
            <w:right w:w="10" w:type="dxa"/>
          </w:tblCellMar>
        </w:tblPrEx>
        <w:trPr>
          <w:trHeight w:val="567" w:hRule="exact"/>
        </w:trPr>
        <w:tc>
          <w:tcPr>
            <w:tcW w:w="2937"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6A48F7D">
            <w:pPr>
              <w:pStyle w:val="153"/>
              <w:spacing w:after="0" w:line="276" w:lineRule="exact"/>
              <w:ind w:firstLine="0"/>
              <w:jc w:val="center"/>
              <w:rPr>
                <w:sz w:val="18"/>
                <w:szCs w:val="18"/>
                <w:lang w:val="zh-TW" w:eastAsia="zh-TW" w:bidi="zh-TW"/>
              </w:rPr>
            </w:pPr>
            <w:r>
              <w:rPr>
                <w:sz w:val="18"/>
                <w:szCs w:val="18"/>
                <w:lang w:val="zh-TW" w:eastAsia="zh-TW" w:bidi="zh-TW"/>
              </w:rPr>
              <w:t>单位产品碳排放</w:t>
            </w:r>
            <w:r>
              <w:rPr>
                <w:rFonts w:hint="eastAsia"/>
                <w:sz w:val="18"/>
                <w:szCs w:val="18"/>
                <w:lang w:val="zh-TW" w:eastAsia="zh-CN" w:bidi="zh-TW"/>
              </w:rPr>
              <w:t>（</w:t>
            </w:r>
            <w:r>
              <w:rPr>
                <w:sz w:val="18"/>
                <w:szCs w:val="18"/>
                <w:lang w:val="zh-TW" w:eastAsia="zh-TW" w:bidi="zh-TW"/>
              </w:rPr>
              <w:t>tCO₂e/t 抛光粉</w:t>
            </w:r>
            <w:r>
              <w:rPr>
                <w:rFonts w:hint="eastAsia"/>
                <w:sz w:val="18"/>
                <w:szCs w:val="18"/>
                <w:lang w:val="zh-TW" w:eastAsia="zh-CN" w:bidi="zh-TW"/>
              </w:rPr>
              <w:t>，</w:t>
            </w:r>
            <w:r>
              <w:rPr>
                <w:sz w:val="18"/>
                <w:szCs w:val="18"/>
                <w:lang w:val="zh-TW" w:eastAsia="zh-TW" w:bidi="zh-TW"/>
              </w:rPr>
              <w:t>可选填报）</w:t>
            </w:r>
          </w:p>
        </w:tc>
        <w:tc>
          <w:tcPr>
            <w:tcW w:w="2062" w:type="pct"/>
            <w:tcBorders>
              <w:top w:val="single" w:color="auto" w:sz="4" w:space="0"/>
              <w:left w:val="single" w:color="auto" w:sz="4" w:space="0"/>
              <w:bottom w:val="single" w:color="auto" w:sz="4" w:space="0"/>
              <w:right w:val="single" w:color="auto" w:sz="4" w:space="0"/>
            </w:tcBorders>
            <w:shd w:val="clear" w:color="auto" w:fill="FFFFFF"/>
            <w:vAlign w:val="center"/>
          </w:tcPr>
          <w:p w14:paraId="3988C1F0">
            <w:pPr>
              <w:jc w:val="center"/>
              <w:rPr>
                <w:rFonts w:ascii="宋体" w:hAnsi="宋体"/>
                <w:sz w:val="18"/>
                <w:szCs w:val="18"/>
              </w:rPr>
            </w:pPr>
          </w:p>
        </w:tc>
      </w:tr>
      <w:tr w14:paraId="54238BB7">
        <w:tblPrEx>
          <w:tblCellMar>
            <w:top w:w="0" w:type="dxa"/>
            <w:left w:w="10" w:type="dxa"/>
            <w:bottom w:w="0" w:type="dxa"/>
            <w:right w:w="10" w:type="dxa"/>
          </w:tblCellMar>
        </w:tblPrEx>
        <w:trPr>
          <w:trHeight w:val="2808" w:hRule="exact"/>
        </w:trPr>
        <w:tc>
          <w:tcPr>
            <w:tcW w:w="5000"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B64DD80">
            <w:pPr>
              <w:pStyle w:val="153"/>
              <w:spacing w:after="0" w:line="440" w:lineRule="exact"/>
              <w:ind w:firstLine="0"/>
              <w:rPr>
                <w:rFonts w:hint="eastAsia" w:cs="Times New Roman"/>
                <w:b/>
                <w:bCs/>
                <w:sz w:val="18"/>
                <w:szCs w:val="18"/>
              </w:rPr>
            </w:pPr>
            <w:r>
              <w:rPr>
                <w:rFonts w:hint="eastAsia" w:cs="Times New Roman"/>
                <w:b w:val="0"/>
                <w:bCs w:val="0"/>
                <w:sz w:val="18"/>
                <w:szCs w:val="18"/>
              </w:rPr>
              <w:t>注</w:t>
            </w:r>
            <w:r>
              <w:rPr>
                <w:rFonts w:hint="eastAsia" w:cs="Times New Roman"/>
                <w:b/>
                <w:bCs/>
                <w:sz w:val="18"/>
                <w:szCs w:val="18"/>
              </w:rPr>
              <w:t xml:space="preserve"> </w:t>
            </w:r>
          </w:p>
          <w:p w14:paraId="65324C2E">
            <w:pPr>
              <w:pStyle w:val="153"/>
              <w:spacing w:after="0" w:line="440" w:lineRule="exact"/>
              <w:ind w:firstLine="0"/>
              <w:rPr>
                <w:rFonts w:hint="eastAsia" w:cs="Times New Roman"/>
                <w:b w:val="0"/>
                <w:bCs w:val="0"/>
                <w:sz w:val="18"/>
                <w:szCs w:val="18"/>
              </w:rPr>
            </w:pPr>
            <w:r>
              <w:rPr>
                <w:rFonts w:hint="eastAsia" w:cs="Times New Roman"/>
                <w:b w:val="0"/>
                <w:bCs w:val="0"/>
                <w:sz w:val="18"/>
                <w:szCs w:val="18"/>
                <w:vertAlign w:val="superscript"/>
                <w:lang w:val="en-US" w:eastAsia="zh-CN"/>
              </w:rPr>
              <w:t>a</w:t>
            </w:r>
            <w:r>
              <w:rPr>
                <w:rFonts w:hint="eastAsia" w:cs="Times New Roman"/>
                <w:b w:val="0"/>
                <w:bCs w:val="0"/>
                <w:sz w:val="18"/>
                <w:szCs w:val="18"/>
              </w:rPr>
              <w:t xml:space="preserve">单位产品碳排放指标为本标准可选填报项，主要服务企业内部对标分析，不属于本标准强制报告内容。 </w:t>
            </w:r>
          </w:p>
          <w:p w14:paraId="17B25E6B">
            <w:pPr>
              <w:pStyle w:val="153"/>
              <w:spacing w:after="0" w:line="440" w:lineRule="exact"/>
              <w:ind w:firstLine="0"/>
              <w:rPr>
                <w:rFonts w:ascii="宋体" w:hAnsi="宋体"/>
                <w:sz w:val="18"/>
                <w:szCs w:val="18"/>
              </w:rPr>
            </w:pPr>
            <w:r>
              <w:rPr>
                <w:rFonts w:hint="eastAsia" w:cs="Times New Roman"/>
                <w:b w:val="0"/>
                <w:bCs w:val="0"/>
                <w:sz w:val="18"/>
                <w:szCs w:val="18"/>
                <w:vertAlign w:val="superscript"/>
                <w:lang w:val="en-US" w:eastAsia="zh-CN"/>
              </w:rPr>
              <w:t>b</w:t>
            </w:r>
            <w:r>
              <w:rPr>
                <w:rFonts w:hint="eastAsia" w:cs="Times New Roman"/>
                <w:b w:val="0"/>
                <w:bCs w:val="0"/>
                <w:sz w:val="18"/>
                <w:szCs w:val="18"/>
              </w:rPr>
              <w:t>企业购入绿色电力，应按照国家现行温室气体核算相关文件要求执行。组织层面核算时，购入绿电不扣减电网间接排放；企业应在报告附加信息中单独说明绿色电力采购量。通过市场化交易购入的非化石能源电力，应留存市场化交易合同，以及省级及以上电力交易机构出具的交易结算凭证，或中国可再生能源电力证书（GEC）；自发自用的非化石能源电力，应留存每月电量统计原始记录。</w:t>
            </w:r>
          </w:p>
        </w:tc>
      </w:tr>
    </w:tbl>
    <w:p w14:paraId="49253628">
      <w:pPr>
        <w:pStyle w:val="151"/>
        <w:spacing w:after="220" w:line="240" w:lineRule="auto"/>
        <w:ind w:firstLine="0"/>
        <w:jc w:val="center"/>
        <w:rPr>
          <w:szCs w:val="21"/>
        </w:rPr>
        <w:sectPr>
          <w:headerReference r:id="rId12" w:type="first"/>
          <w:footerReference r:id="rId15" w:type="first"/>
          <w:headerReference r:id="rId10" w:type="default"/>
          <w:footerReference r:id="rId13" w:type="default"/>
          <w:headerReference r:id="rId11" w:type="even"/>
          <w:footerReference r:id="rId14" w:type="even"/>
          <w:pgSz w:w="11900" w:h="16840"/>
          <w:pgMar w:top="2139" w:right="1228" w:bottom="1244" w:left="1408" w:header="1304" w:footer="1361" w:gutter="0"/>
          <w:cols w:space="720" w:num="1"/>
          <w:docGrid w:linePitch="360" w:charSpace="0"/>
        </w:sectPr>
      </w:pPr>
    </w:p>
    <w:p w14:paraId="2C7ABD15">
      <w:pPr>
        <w:keepNext w:val="0"/>
        <w:keepLines w:val="0"/>
        <w:pageBreakBefore w:val="0"/>
        <w:widowControl w:val="0"/>
        <w:kinsoku/>
        <w:wordWrap/>
        <w:overflowPunct/>
        <w:topLinePunct w:val="0"/>
        <w:autoSpaceDE/>
        <w:autoSpaceDN/>
        <w:bidi w:val="0"/>
        <w:adjustRightInd/>
        <w:snapToGrid/>
        <w:ind w:firstLine="4410" w:firstLineChars="2100"/>
        <w:textAlignment w:val="auto"/>
        <w:rPr>
          <w:rFonts w:eastAsia="黑体"/>
          <w:bCs/>
          <w:szCs w:val="21"/>
        </w:rPr>
      </w:pPr>
      <w:r>
        <w:rPr>
          <w:rFonts w:eastAsia="黑体"/>
          <w:bCs/>
          <w:szCs w:val="21"/>
        </w:rPr>
        <w:t>表</w:t>
      </w:r>
      <w:r>
        <w:rPr>
          <w:rFonts w:eastAsia="黑体"/>
          <w:bCs/>
          <w:szCs w:val="21"/>
          <w:lang w:bidi="en-US"/>
        </w:rPr>
        <w:t xml:space="preserve">D.2 </w:t>
      </w:r>
      <w:r>
        <w:rPr>
          <w:rFonts w:eastAsia="黑体"/>
          <w:bCs/>
          <w:szCs w:val="21"/>
        </w:rPr>
        <w:t>化石燃料燃烧</w:t>
      </w:r>
      <w:r>
        <w:rPr>
          <w:rFonts w:hint="eastAsia" w:eastAsia="黑体"/>
          <w:bCs/>
          <w:szCs w:val="21"/>
        </w:rPr>
        <w:t>的活动数据和排放因子数据一览表</w:t>
      </w:r>
    </w:p>
    <w:tbl>
      <w:tblPr>
        <w:tblStyle w:val="35"/>
        <w:tblW w:w="51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58"/>
        <w:gridCol w:w="1221"/>
        <w:gridCol w:w="1046"/>
        <w:gridCol w:w="2771"/>
        <w:gridCol w:w="1247"/>
        <w:gridCol w:w="2625"/>
        <w:gridCol w:w="1055"/>
        <w:gridCol w:w="946"/>
        <w:gridCol w:w="2659"/>
      </w:tblGrid>
      <w:tr w14:paraId="56D0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0" w:hRule="exact"/>
        </w:trPr>
        <w:tc>
          <w:tcPr>
            <w:tcW w:w="265" w:type="pct"/>
            <w:vMerge w:val="restart"/>
            <w:shd w:val="clear" w:color="auto" w:fill="FFFFFF"/>
            <w:vAlign w:val="center"/>
          </w:tcPr>
          <w:p w14:paraId="3F664078">
            <w:pPr>
              <w:pStyle w:val="153"/>
              <w:spacing w:after="0" w:line="240" w:lineRule="exact"/>
              <w:ind w:firstLine="0"/>
              <w:jc w:val="center"/>
              <w:rPr>
                <w:sz w:val="18"/>
                <w:szCs w:val="18"/>
              </w:rPr>
            </w:pPr>
            <w:r>
              <w:rPr>
                <w:rFonts w:hint="eastAsia"/>
                <w:sz w:val="18"/>
                <w:szCs w:val="18"/>
                <w:lang w:bidi="zh-TW"/>
              </w:rPr>
              <w:t>化石</w:t>
            </w:r>
            <w:r>
              <w:rPr>
                <w:sz w:val="18"/>
                <w:szCs w:val="18"/>
                <w:lang w:val="zh-TW" w:eastAsia="zh-TW" w:bidi="zh-TW"/>
              </w:rPr>
              <w:t>燃料品种</w:t>
            </w:r>
          </w:p>
        </w:tc>
        <w:tc>
          <w:tcPr>
            <w:tcW w:w="426" w:type="pct"/>
            <w:vMerge w:val="restart"/>
            <w:shd w:val="clear" w:color="auto" w:fill="FFFFFF"/>
            <w:vAlign w:val="center"/>
          </w:tcPr>
          <w:p w14:paraId="6130B079">
            <w:pPr>
              <w:pStyle w:val="153"/>
              <w:spacing w:after="0" w:line="240" w:lineRule="exact"/>
              <w:ind w:firstLine="0"/>
              <w:jc w:val="center"/>
              <w:rPr>
                <w:sz w:val="18"/>
                <w:szCs w:val="18"/>
                <w:lang w:val="zh-TW" w:eastAsia="zh-TW" w:bidi="zh-TW"/>
              </w:rPr>
            </w:pPr>
            <w:r>
              <w:rPr>
                <w:rFonts w:hint="eastAsia"/>
                <w:sz w:val="18"/>
                <w:szCs w:val="18"/>
                <w:lang w:val="zh-TW" w:eastAsia="zh-TW" w:bidi="zh-TW"/>
              </w:rPr>
              <w:t>消耗量</w:t>
            </w:r>
          </w:p>
          <w:p w14:paraId="31051476">
            <w:pPr>
              <w:pStyle w:val="153"/>
              <w:spacing w:after="0" w:line="240" w:lineRule="exact"/>
              <w:ind w:firstLine="0"/>
              <w:jc w:val="center"/>
              <w:rPr>
                <w:sz w:val="18"/>
                <w:szCs w:val="18"/>
              </w:rPr>
            </w:pPr>
            <w:r>
              <w:rPr>
                <w:rFonts w:cs="Times New Roman"/>
                <w:sz w:val="18"/>
                <w:szCs w:val="18"/>
              </w:rPr>
              <w:t>t</w:t>
            </w:r>
            <w:r>
              <w:rPr>
                <w:sz w:val="18"/>
                <w:szCs w:val="18"/>
                <w:lang w:val="zh-TW" w:eastAsia="zh-TW" w:bidi="zh-TW"/>
              </w:rPr>
              <w:t xml:space="preserve">或 </w:t>
            </w:r>
            <w:r>
              <w:rPr>
                <w:rFonts w:cs="Times New Roman"/>
                <w:sz w:val="18"/>
                <w:szCs w:val="18"/>
                <w:lang w:val="zh-TW" w:eastAsia="zh-TW" w:bidi="zh-TW"/>
              </w:rPr>
              <w:t>1</w:t>
            </w:r>
            <w:r>
              <w:rPr>
                <w:rFonts w:cs="Times New Roman"/>
                <w:sz w:val="18"/>
                <w:szCs w:val="18"/>
              </w:rPr>
              <w:t>0</w:t>
            </w:r>
            <w:r>
              <w:rPr>
                <w:rFonts w:cs="Times New Roman"/>
                <w:sz w:val="18"/>
                <w:szCs w:val="18"/>
                <w:vertAlign w:val="superscript"/>
              </w:rPr>
              <w:t>4</w:t>
            </w:r>
            <w:r>
              <w:rPr>
                <w:rFonts w:cs="Times New Roman"/>
                <w:sz w:val="18"/>
                <w:szCs w:val="18"/>
              </w:rPr>
              <w:t>Nm</w:t>
            </w:r>
            <w:r>
              <w:rPr>
                <w:rFonts w:cs="Times New Roman"/>
                <w:sz w:val="18"/>
                <w:szCs w:val="18"/>
                <w:vertAlign w:val="superscript"/>
              </w:rPr>
              <w:t>3</w:t>
            </w:r>
          </w:p>
        </w:tc>
        <w:tc>
          <w:tcPr>
            <w:tcW w:w="1332" w:type="pct"/>
            <w:gridSpan w:val="2"/>
            <w:shd w:val="clear" w:color="auto" w:fill="FFFFFF"/>
            <w:vAlign w:val="center"/>
          </w:tcPr>
          <w:p w14:paraId="34A8F40C">
            <w:pPr>
              <w:pStyle w:val="153"/>
              <w:spacing w:after="0" w:line="240" w:lineRule="exact"/>
              <w:ind w:firstLine="0"/>
              <w:jc w:val="center"/>
              <w:rPr>
                <w:sz w:val="18"/>
                <w:szCs w:val="18"/>
                <w:lang w:bidi="zh-TW"/>
              </w:rPr>
            </w:pPr>
            <w:r>
              <w:rPr>
                <w:rFonts w:hint="eastAsia"/>
                <w:sz w:val="18"/>
                <w:szCs w:val="18"/>
                <w:lang w:bidi="zh-TW"/>
              </w:rPr>
              <w:t>含碳量</w:t>
            </w:r>
          </w:p>
        </w:tc>
        <w:tc>
          <w:tcPr>
            <w:tcW w:w="1351" w:type="pct"/>
            <w:gridSpan w:val="2"/>
            <w:shd w:val="clear" w:color="auto" w:fill="FFFFFF"/>
            <w:vAlign w:val="center"/>
          </w:tcPr>
          <w:p w14:paraId="137CFEEF">
            <w:pPr>
              <w:pStyle w:val="153"/>
              <w:spacing w:after="0" w:line="240" w:lineRule="exact"/>
              <w:ind w:firstLine="0"/>
              <w:jc w:val="center"/>
              <w:rPr>
                <w:sz w:val="18"/>
                <w:szCs w:val="18"/>
              </w:rPr>
            </w:pPr>
            <w:r>
              <w:rPr>
                <w:sz w:val="18"/>
                <w:szCs w:val="18"/>
                <w:lang w:val="zh-TW" w:eastAsia="zh-TW" w:bidi="zh-TW"/>
              </w:rPr>
              <w:t>低位发热量</w:t>
            </w:r>
          </w:p>
        </w:tc>
        <w:tc>
          <w:tcPr>
            <w:tcW w:w="368" w:type="pct"/>
            <w:vMerge w:val="restart"/>
            <w:shd w:val="clear" w:color="auto" w:fill="FFFFFF"/>
            <w:vAlign w:val="center"/>
          </w:tcPr>
          <w:p w14:paraId="60B1828F">
            <w:pPr>
              <w:pStyle w:val="153"/>
              <w:spacing w:after="0" w:line="240" w:lineRule="exact"/>
              <w:ind w:firstLine="0"/>
              <w:jc w:val="center"/>
              <w:rPr>
                <w:sz w:val="18"/>
                <w:szCs w:val="18"/>
                <w:lang w:val="zh-TW" w:eastAsia="zh-TW" w:bidi="zh-TW"/>
              </w:rPr>
            </w:pPr>
            <w:r>
              <w:rPr>
                <w:rFonts w:hint="eastAsia"/>
                <w:sz w:val="18"/>
                <w:szCs w:val="18"/>
                <w:lang w:bidi="zh-TW"/>
              </w:rPr>
              <w:t>单位热值含碳量</w:t>
            </w:r>
          </w:p>
          <w:p w14:paraId="26EB07FA">
            <w:pPr>
              <w:pStyle w:val="153"/>
              <w:spacing w:after="0" w:line="240" w:lineRule="exact"/>
              <w:ind w:firstLine="0"/>
              <w:jc w:val="center"/>
              <w:rPr>
                <w:sz w:val="18"/>
                <w:szCs w:val="18"/>
                <w:lang w:val="zh-TW" w:bidi="zh-TW"/>
              </w:rPr>
            </w:pPr>
            <w:r>
              <w:rPr>
                <w:rFonts w:hint="eastAsia"/>
                <w:sz w:val="18"/>
                <w:szCs w:val="18"/>
              </w:rPr>
              <w:t>tC/G</w:t>
            </w:r>
            <w:r>
              <w:rPr>
                <w:sz w:val="18"/>
                <w:szCs w:val="18"/>
              </w:rPr>
              <w:t>J</w:t>
            </w:r>
          </w:p>
        </w:tc>
        <w:tc>
          <w:tcPr>
            <w:tcW w:w="1257" w:type="pct"/>
            <w:gridSpan w:val="2"/>
            <w:shd w:val="clear" w:color="auto" w:fill="FFFFFF"/>
            <w:vAlign w:val="center"/>
          </w:tcPr>
          <w:p w14:paraId="30DD73C4">
            <w:pPr>
              <w:pStyle w:val="153"/>
              <w:spacing w:after="0" w:line="240" w:lineRule="exact"/>
              <w:ind w:firstLine="0"/>
              <w:jc w:val="center"/>
              <w:rPr>
                <w:rFonts w:cs="Times New Roman"/>
                <w:sz w:val="18"/>
                <w:szCs w:val="18"/>
                <w:lang w:bidi="en-US"/>
              </w:rPr>
            </w:pPr>
            <w:r>
              <w:rPr>
                <w:rFonts w:hint="eastAsia" w:cs="Times New Roman"/>
                <w:sz w:val="18"/>
                <w:szCs w:val="18"/>
                <w:lang w:bidi="en-US"/>
              </w:rPr>
              <w:t>碳氧化率</w:t>
            </w:r>
          </w:p>
        </w:tc>
      </w:tr>
      <w:tr w14:paraId="07D1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08" w:hRule="exact"/>
        </w:trPr>
        <w:tc>
          <w:tcPr>
            <w:tcW w:w="265" w:type="pct"/>
            <w:vMerge w:val="continue"/>
            <w:shd w:val="clear" w:color="auto" w:fill="FFFFFF"/>
            <w:vAlign w:val="center"/>
          </w:tcPr>
          <w:p w14:paraId="724678D0">
            <w:pPr>
              <w:rPr>
                <w:rFonts w:ascii="宋体" w:hAnsi="宋体"/>
                <w:sz w:val="18"/>
                <w:szCs w:val="18"/>
              </w:rPr>
            </w:pPr>
          </w:p>
        </w:tc>
        <w:tc>
          <w:tcPr>
            <w:tcW w:w="426" w:type="pct"/>
            <w:vMerge w:val="continue"/>
            <w:shd w:val="clear" w:color="auto" w:fill="FFFFFF"/>
            <w:vAlign w:val="center"/>
          </w:tcPr>
          <w:p w14:paraId="2AE34CF3">
            <w:pPr>
              <w:rPr>
                <w:rFonts w:ascii="宋体" w:hAnsi="宋体"/>
                <w:sz w:val="18"/>
                <w:szCs w:val="18"/>
              </w:rPr>
            </w:pPr>
          </w:p>
        </w:tc>
        <w:tc>
          <w:tcPr>
            <w:tcW w:w="365" w:type="pct"/>
            <w:shd w:val="clear" w:color="auto" w:fill="FFFFFF"/>
            <w:vAlign w:val="center"/>
          </w:tcPr>
          <w:p w14:paraId="3F289F35">
            <w:pPr>
              <w:pStyle w:val="153"/>
              <w:spacing w:after="0" w:line="440" w:lineRule="exact"/>
              <w:ind w:firstLine="0"/>
              <w:jc w:val="center"/>
              <w:rPr>
                <w:sz w:val="18"/>
                <w:szCs w:val="18"/>
              </w:rPr>
            </w:pPr>
            <w:r>
              <w:rPr>
                <w:sz w:val="18"/>
                <w:szCs w:val="18"/>
                <w:lang w:val="zh-TW" w:eastAsia="zh-TW" w:bidi="zh-TW"/>
              </w:rPr>
              <w:t>数据</w:t>
            </w:r>
          </w:p>
          <w:p w14:paraId="2B775859">
            <w:pPr>
              <w:pStyle w:val="153"/>
              <w:spacing w:after="0" w:line="440" w:lineRule="exact"/>
              <w:ind w:firstLine="0"/>
              <w:jc w:val="center"/>
              <w:rPr>
                <w:rFonts w:cs="Times New Roman"/>
                <w:sz w:val="18"/>
                <w:szCs w:val="18"/>
              </w:rPr>
            </w:pPr>
            <w:r>
              <w:rPr>
                <w:rFonts w:hint="eastAsia" w:cs="Times New Roman"/>
                <w:sz w:val="18"/>
                <w:szCs w:val="18"/>
              </w:rPr>
              <w:t>tC</w:t>
            </w:r>
            <w:r>
              <w:rPr>
                <w:rFonts w:cs="Times New Roman"/>
                <w:sz w:val="18"/>
                <w:szCs w:val="18"/>
              </w:rPr>
              <w:t xml:space="preserve">/t </w:t>
            </w:r>
            <w:r>
              <w:rPr>
                <w:sz w:val="18"/>
                <w:szCs w:val="18"/>
                <w:lang w:val="zh-TW" w:eastAsia="zh-TW" w:bidi="zh-TW"/>
              </w:rPr>
              <w:t xml:space="preserve">或 </w:t>
            </w:r>
            <w:r>
              <w:rPr>
                <w:rFonts w:hint="eastAsia"/>
                <w:sz w:val="18"/>
                <w:szCs w:val="18"/>
                <w:lang w:bidi="zh-TW"/>
              </w:rPr>
              <w:t>tC</w:t>
            </w:r>
            <w:r>
              <w:rPr>
                <w:rFonts w:cs="Times New Roman"/>
                <w:sz w:val="18"/>
                <w:szCs w:val="18"/>
              </w:rPr>
              <w:t>/10</w:t>
            </w:r>
            <w:r>
              <w:rPr>
                <w:rFonts w:cs="Times New Roman"/>
                <w:sz w:val="18"/>
                <w:szCs w:val="18"/>
                <w:vertAlign w:val="superscript"/>
              </w:rPr>
              <w:t>4</w:t>
            </w:r>
            <w:r>
              <w:rPr>
                <w:rFonts w:cs="Times New Roman"/>
                <w:sz w:val="18"/>
                <w:szCs w:val="18"/>
              </w:rPr>
              <w:t>Nm</w:t>
            </w:r>
            <w:r>
              <w:rPr>
                <w:rFonts w:cs="Times New Roman"/>
                <w:sz w:val="18"/>
                <w:szCs w:val="18"/>
                <w:vertAlign w:val="superscript"/>
              </w:rPr>
              <w:t>3</w:t>
            </w:r>
          </w:p>
        </w:tc>
        <w:tc>
          <w:tcPr>
            <w:tcW w:w="966" w:type="pct"/>
            <w:shd w:val="clear" w:color="auto" w:fill="FFFFFF"/>
            <w:vAlign w:val="center"/>
          </w:tcPr>
          <w:p w14:paraId="19E2957C">
            <w:pPr>
              <w:pStyle w:val="153"/>
              <w:spacing w:after="0" w:line="240" w:lineRule="auto"/>
              <w:ind w:firstLine="0"/>
              <w:jc w:val="center"/>
              <w:rPr>
                <w:rFonts w:cs="Times New Roman"/>
                <w:sz w:val="18"/>
                <w:szCs w:val="18"/>
              </w:rPr>
            </w:pPr>
            <w:r>
              <w:rPr>
                <w:sz w:val="18"/>
                <w:szCs w:val="18"/>
                <w:lang w:val="zh-TW" w:eastAsia="zh-TW" w:bidi="zh-TW"/>
              </w:rPr>
              <w:t>来源</w:t>
            </w:r>
          </w:p>
        </w:tc>
        <w:tc>
          <w:tcPr>
            <w:tcW w:w="435" w:type="pct"/>
            <w:shd w:val="clear" w:color="auto" w:fill="FFFFFF"/>
            <w:vAlign w:val="center"/>
          </w:tcPr>
          <w:p w14:paraId="23065542">
            <w:pPr>
              <w:pStyle w:val="153"/>
              <w:spacing w:after="0" w:line="440" w:lineRule="exact"/>
              <w:ind w:firstLine="0"/>
              <w:jc w:val="center"/>
              <w:rPr>
                <w:sz w:val="18"/>
                <w:szCs w:val="18"/>
              </w:rPr>
            </w:pPr>
            <w:r>
              <w:rPr>
                <w:sz w:val="18"/>
                <w:szCs w:val="18"/>
                <w:lang w:val="zh-TW" w:eastAsia="zh-TW" w:bidi="zh-TW"/>
              </w:rPr>
              <w:t>数据</w:t>
            </w:r>
          </w:p>
          <w:p w14:paraId="6F65A56C">
            <w:pPr>
              <w:pStyle w:val="153"/>
              <w:spacing w:after="0" w:line="440" w:lineRule="exact"/>
              <w:ind w:firstLine="0"/>
              <w:jc w:val="center"/>
              <w:rPr>
                <w:sz w:val="18"/>
                <w:szCs w:val="18"/>
              </w:rPr>
            </w:pPr>
            <w:r>
              <w:rPr>
                <w:rFonts w:cs="Times New Roman"/>
                <w:sz w:val="18"/>
                <w:szCs w:val="18"/>
              </w:rPr>
              <w:t xml:space="preserve">GJ/t </w:t>
            </w:r>
            <w:r>
              <w:rPr>
                <w:sz w:val="18"/>
                <w:szCs w:val="18"/>
                <w:lang w:val="zh-TW" w:eastAsia="zh-TW" w:bidi="zh-TW"/>
              </w:rPr>
              <w:t xml:space="preserve">或 </w:t>
            </w:r>
            <w:r>
              <w:rPr>
                <w:rFonts w:cs="Times New Roman"/>
                <w:sz w:val="18"/>
                <w:szCs w:val="18"/>
              </w:rPr>
              <w:t>GJ/10</w:t>
            </w:r>
            <w:r>
              <w:rPr>
                <w:rFonts w:cs="Times New Roman"/>
                <w:sz w:val="18"/>
                <w:szCs w:val="18"/>
                <w:vertAlign w:val="superscript"/>
              </w:rPr>
              <w:t>4</w:t>
            </w:r>
            <w:r>
              <w:rPr>
                <w:rFonts w:cs="Times New Roman"/>
                <w:sz w:val="18"/>
                <w:szCs w:val="18"/>
              </w:rPr>
              <w:t>Nm</w:t>
            </w:r>
            <w:r>
              <w:rPr>
                <w:rFonts w:cs="Times New Roman"/>
                <w:sz w:val="18"/>
                <w:szCs w:val="18"/>
                <w:vertAlign w:val="superscript"/>
              </w:rPr>
              <w:t>3</w:t>
            </w:r>
          </w:p>
        </w:tc>
        <w:tc>
          <w:tcPr>
            <w:tcW w:w="916" w:type="pct"/>
            <w:shd w:val="clear" w:color="auto" w:fill="FFFFFF"/>
            <w:vAlign w:val="center"/>
          </w:tcPr>
          <w:p w14:paraId="668836B8">
            <w:pPr>
              <w:pStyle w:val="153"/>
              <w:spacing w:after="0" w:line="240" w:lineRule="auto"/>
              <w:ind w:firstLine="0"/>
              <w:jc w:val="center"/>
              <w:rPr>
                <w:sz w:val="18"/>
                <w:szCs w:val="18"/>
              </w:rPr>
            </w:pPr>
            <w:r>
              <w:rPr>
                <w:sz w:val="18"/>
                <w:szCs w:val="18"/>
                <w:lang w:val="zh-TW" w:eastAsia="zh-TW" w:bidi="zh-TW"/>
              </w:rPr>
              <w:t>来源</w:t>
            </w:r>
          </w:p>
        </w:tc>
        <w:tc>
          <w:tcPr>
            <w:tcW w:w="368" w:type="pct"/>
            <w:vMerge w:val="continue"/>
            <w:shd w:val="clear" w:color="auto" w:fill="FFFFFF"/>
            <w:vAlign w:val="center"/>
          </w:tcPr>
          <w:p w14:paraId="08C9CAFC">
            <w:pPr>
              <w:rPr>
                <w:rFonts w:ascii="宋体" w:hAnsi="宋体"/>
                <w:sz w:val="18"/>
                <w:szCs w:val="18"/>
              </w:rPr>
            </w:pPr>
          </w:p>
        </w:tc>
        <w:tc>
          <w:tcPr>
            <w:tcW w:w="330" w:type="pct"/>
            <w:shd w:val="clear" w:color="auto" w:fill="FFFFFF"/>
            <w:vAlign w:val="center"/>
          </w:tcPr>
          <w:p w14:paraId="2F6179F8">
            <w:pPr>
              <w:pStyle w:val="153"/>
              <w:spacing w:after="0" w:line="440" w:lineRule="exact"/>
              <w:ind w:firstLine="0"/>
              <w:jc w:val="center"/>
              <w:rPr>
                <w:sz w:val="18"/>
                <w:szCs w:val="18"/>
                <w:lang w:bidi="zh-TW"/>
              </w:rPr>
            </w:pPr>
            <w:r>
              <w:rPr>
                <w:rFonts w:hint="eastAsia"/>
                <w:sz w:val="18"/>
                <w:szCs w:val="18"/>
                <w:lang w:bidi="zh-TW"/>
              </w:rPr>
              <w:t>数据</w:t>
            </w:r>
          </w:p>
          <w:p w14:paraId="251B22AA">
            <w:pPr>
              <w:pStyle w:val="153"/>
              <w:spacing w:after="0" w:line="440" w:lineRule="exact"/>
              <w:ind w:firstLine="0"/>
              <w:jc w:val="center"/>
              <w:rPr>
                <w:sz w:val="18"/>
                <w:szCs w:val="18"/>
                <w:lang w:bidi="zh-TW"/>
              </w:rPr>
            </w:pPr>
            <w:r>
              <w:rPr>
                <w:rFonts w:hint="eastAsia"/>
                <w:sz w:val="18"/>
                <w:szCs w:val="18"/>
                <w:lang w:bidi="zh-TW"/>
              </w:rPr>
              <w:t>%</w:t>
            </w:r>
          </w:p>
        </w:tc>
        <w:tc>
          <w:tcPr>
            <w:tcW w:w="926" w:type="pct"/>
            <w:shd w:val="clear" w:color="auto" w:fill="FFFFFF"/>
            <w:vAlign w:val="center"/>
          </w:tcPr>
          <w:p w14:paraId="0C1D1011">
            <w:pPr>
              <w:pStyle w:val="153"/>
              <w:spacing w:after="0" w:line="240" w:lineRule="auto"/>
              <w:ind w:firstLine="0"/>
              <w:jc w:val="center"/>
              <w:rPr>
                <w:sz w:val="18"/>
                <w:szCs w:val="18"/>
                <w:lang w:val="zh-TW" w:eastAsia="zh-TW" w:bidi="zh-TW"/>
              </w:rPr>
            </w:pPr>
            <w:r>
              <w:rPr>
                <w:sz w:val="18"/>
                <w:szCs w:val="18"/>
                <w:lang w:val="zh-TW" w:eastAsia="zh-TW" w:bidi="zh-TW"/>
              </w:rPr>
              <w:t>来源</w:t>
            </w:r>
          </w:p>
        </w:tc>
      </w:tr>
      <w:tr w14:paraId="2BFF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1" w:hRule="exact"/>
        </w:trPr>
        <w:tc>
          <w:tcPr>
            <w:tcW w:w="265" w:type="pct"/>
            <w:shd w:val="clear" w:color="auto" w:fill="FFFFFF"/>
            <w:vAlign w:val="center"/>
          </w:tcPr>
          <w:p w14:paraId="76C345B4">
            <w:pPr>
              <w:pStyle w:val="153"/>
              <w:spacing w:after="0" w:line="240" w:lineRule="auto"/>
              <w:ind w:firstLine="0"/>
              <w:jc w:val="center"/>
              <w:rPr>
                <w:sz w:val="18"/>
                <w:szCs w:val="18"/>
              </w:rPr>
            </w:pPr>
            <w:r>
              <w:rPr>
                <w:sz w:val="18"/>
                <w:szCs w:val="18"/>
                <w:lang w:val="zh-TW" w:eastAsia="zh-TW" w:bidi="zh-TW"/>
              </w:rPr>
              <w:t>煤</w:t>
            </w:r>
          </w:p>
        </w:tc>
        <w:tc>
          <w:tcPr>
            <w:tcW w:w="426" w:type="pct"/>
            <w:shd w:val="clear" w:color="auto" w:fill="FFFFFF"/>
            <w:vAlign w:val="center"/>
          </w:tcPr>
          <w:p w14:paraId="01601025">
            <w:pPr>
              <w:jc w:val="center"/>
              <w:rPr>
                <w:rFonts w:ascii="宋体" w:hAnsi="宋体"/>
                <w:sz w:val="18"/>
                <w:szCs w:val="18"/>
              </w:rPr>
            </w:pPr>
          </w:p>
        </w:tc>
        <w:tc>
          <w:tcPr>
            <w:tcW w:w="365" w:type="pct"/>
            <w:shd w:val="clear" w:color="auto" w:fill="FFFFFF"/>
            <w:vAlign w:val="center"/>
          </w:tcPr>
          <w:p w14:paraId="5480D2E2">
            <w:pPr>
              <w:jc w:val="center"/>
              <w:rPr>
                <w:rFonts w:ascii="宋体" w:hAnsi="宋体"/>
                <w:sz w:val="18"/>
                <w:szCs w:val="18"/>
              </w:rPr>
            </w:pPr>
          </w:p>
        </w:tc>
        <w:tc>
          <w:tcPr>
            <w:tcW w:w="966" w:type="pct"/>
            <w:shd w:val="clear" w:color="auto" w:fill="FFFFFF"/>
            <w:vAlign w:val="center"/>
          </w:tcPr>
          <w:p w14:paraId="09F42951">
            <w:pPr>
              <w:pStyle w:val="153"/>
              <w:spacing w:after="0" w:line="240" w:lineRule="auto"/>
              <w:ind w:firstLine="140"/>
              <w:jc w:val="center"/>
              <w:rPr>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c>
          <w:tcPr>
            <w:tcW w:w="435" w:type="pct"/>
            <w:shd w:val="clear" w:color="auto" w:fill="FFFFFF"/>
            <w:vAlign w:val="center"/>
          </w:tcPr>
          <w:p w14:paraId="006B35F0">
            <w:pPr>
              <w:jc w:val="center"/>
              <w:rPr>
                <w:rFonts w:ascii="宋体" w:hAnsi="宋体"/>
                <w:sz w:val="18"/>
                <w:szCs w:val="18"/>
              </w:rPr>
            </w:pPr>
          </w:p>
        </w:tc>
        <w:tc>
          <w:tcPr>
            <w:tcW w:w="916" w:type="pct"/>
            <w:shd w:val="clear" w:color="auto" w:fill="FFFFFF"/>
            <w:vAlign w:val="center"/>
          </w:tcPr>
          <w:p w14:paraId="1BFF7BCD">
            <w:pPr>
              <w:pStyle w:val="153"/>
              <w:spacing w:after="0" w:line="240" w:lineRule="auto"/>
              <w:ind w:firstLine="140"/>
              <w:jc w:val="center"/>
              <w:rPr>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c>
          <w:tcPr>
            <w:tcW w:w="368" w:type="pct"/>
            <w:shd w:val="clear" w:color="auto" w:fill="FFFFFF"/>
            <w:vAlign w:val="center"/>
          </w:tcPr>
          <w:p w14:paraId="604169B5">
            <w:pPr>
              <w:jc w:val="center"/>
              <w:rPr>
                <w:rFonts w:ascii="宋体" w:hAnsi="宋体"/>
                <w:sz w:val="18"/>
                <w:szCs w:val="18"/>
              </w:rPr>
            </w:pPr>
          </w:p>
        </w:tc>
        <w:tc>
          <w:tcPr>
            <w:tcW w:w="330" w:type="pct"/>
            <w:shd w:val="clear" w:color="auto" w:fill="FFFFFF"/>
            <w:vAlign w:val="center"/>
          </w:tcPr>
          <w:p w14:paraId="5EA3982B">
            <w:pPr>
              <w:pStyle w:val="153"/>
              <w:spacing w:after="0" w:line="240" w:lineRule="auto"/>
              <w:ind w:firstLine="140"/>
              <w:jc w:val="center"/>
              <w:rPr>
                <w:sz w:val="18"/>
                <w:szCs w:val="18"/>
                <w:lang w:val="zh-TW" w:eastAsia="zh-TW" w:bidi="zh-TW"/>
              </w:rPr>
            </w:pPr>
          </w:p>
        </w:tc>
        <w:tc>
          <w:tcPr>
            <w:tcW w:w="926" w:type="pct"/>
            <w:shd w:val="clear" w:color="auto" w:fill="FFFFFF"/>
            <w:vAlign w:val="center"/>
          </w:tcPr>
          <w:p w14:paraId="3CA53008">
            <w:pPr>
              <w:pStyle w:val="153"/>
              <w:spacing w:after="0" w:line="240" w:lineRule="auto"/>
              <w:ind w:firstLine="140"/>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67BE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1" w:hRule="exact"/>
        </w:trPr>
        <w:tc>
          <w:tcPr>
            <w:tcW w:w="265" w:type="pct"/>
            <w:shd w:val="clear" w:color="auto" w:fill="FFFFFF"/>
            <w:vAlign w:val="center"/>
          </w:tcPr>
          <w:p w14:paraId="13C7F8AE">
            <w:pPr>
              <w:pStyle w:val="153"/>
              <w:spacing w:after="0" w:line="240" w:lineRule="auto"/>
              <w:ind w:firstLine="0"/>
              <w:jc w:val="center"/>
              <w:rPr>
                <w:sz w:val="18"/>
                <w:szCs w:val="18"/>
              </w:rPr>
            </w:pPr>
            <w:r>
              <w:rPr>
                <w:sz w:val="18"/>
                <w:szCs w:val="18"/>
                <w:lang w:val="zh-TW" w:eastAsia="zh-TW" w:bidi="zh-TW"/>
              </w:rPr>
              <w:t>汽油</w:t>
            </w:r>
          </w:p>
        </w:tc>
        <w:tc>
          <w:tcPr>
            <w:tcW w:w="426" w:type="pct"/>
            <w:shd w:val="clear" w:color="auto" w:fill="FFFFFF"/>
            <w:vAlign w:val="center"/>
          </w:tcPr>
          <w:p w14:paraId="431B8A87">
            <w:pPr>
              <w:jc w:val="center"/>
              <w:rPr>
                <w:rFonts w:ascii="宋体" w:hAnsi="宋体"/>
                <w:sz w:val="18"/>
                <w:szCs w:val="18"/>
              </w:rPr>
            </w:pPr>
          </w:p>
        </w:tc>
        <w:tc>
          <w:tcPr>
            <w:tcW w:w="365" w:type="pct"/>
            <w:shd w:val="clear" w:color="auto" w:fill="FFFFFF"/>
            <w:vAlign w:val="center"/>
          </w:tcPr>
          <w:p w14:paraId="6BF3DE42">
            <w:pPr>
              <w:jc w:val="center"/>
              <w:rPr>
                <w:rFonts w:ascii="宋体" w:hAnsi="宋体"/>
                <w:sz w:val="18"/>
                <w:szCs w:val="18"/>
              </w:rPr>
            </w:pPr>
          </w:p>
        </w:tc>
        <w:tc>
          <w:tcPr>
            <w:tcW w:w="966" w:type="pct"/>
            <w:shd w:val="clear" w:color="auto" w:fill="FFFFFF"/>
            <w:vAlign w:val="center"/>
          </w:tcPr>
          <w:p w14:paraId="59C67B75">
            <w:pPr>
              <w:pStyle w:val="153"/>
              <w:spacing w:after="0" w:line="240" w:lineRule="auto"/>
              <w:ind w:firstLine="140"/>
              <w:jc w:val="center"/>
              <w:rPr>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c>
          <w:tcPr>
            <w:tcW w:w="435" w:type="pct"/>
            <w:shd w:val="clear" w:color="auto" w:fill="FFFFFF"/>
            <w:vAlign w:val="center"/>
          </w:tcPr>
          <w:p w14:paraId="1075439F">
            <w:pPr>
              <w:jc w:val="center"/>
              <w:rPr>
                <w:rFonts w:ascii="宋体" w:hAnsi="宋体"/>
                <w:sz w:val="18"/>
                <w:szCs w:val="18"/>
              </w:rPr>
            </w:pPr>
          </w:p>
        </w:tc>
        <w:tc>
          <w:tcPr>
            <w:tcW w:w="916" w:type="pct"/>
            <w:shd w:val="clear" w:color="auto" w:fill="FFFFFF"/>
            <w:vAlign w:val="center"/>
          </w:tcPr>
          <w:p w14:paraId="6B084B8D">
            <w:pPr>
              <w:pStyle w:val="153"/>
              <w:spacing w:after="0" w:line="240" w:lineRule="auto"/>
              <w:ind w:firstLine="140"/>
              <w:jc w:val="center"/>
              <w:rPr>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c>
          <w:tcPr>
            <w:tcW w:w="368" w:type="pct"/>
            <w:shd w:val="clear" w:color="auto" w:fill="FFFFFF"/>
            <w:vAlign w:val="center"/>
          </w:tcPr>
          <w:p w14:paraId="44F2C19C">
            <w:pPr>
              <w:jc w:val="center"/>
              <w:rPr>
                <w:rFonts w:ascii="宋体" w:hAnsi="宋体"/>
                <w:sz w:val="18"/>
                <w:szCs w:val="18"/>
              </w:rPr>
            </w:pPr>
          </w:p>
        </w:tc>
        <w:tc>
          <w:tcPr>
            <w:tcW w:w="330" w:type="pct"/>
            <w:shd w:val="clear" w:color="auto" w:fill="FFFFFF"/>
            <w:vAlign w:val="center"/>
          </w:tcPr>
          <w:p w14:paraId="464F1342">
            <w:pPr>
              <w:pStyle w:val="153"/>
              <w:spacing w:after="0" w:line="240" w:lineRule="auto"/>
              <w:ind w:firstLine="140"/>
              <w:jc w:val="center"/>
              <w:rPr>
                <w:sz w:val="18"/>
                <w:szCs w:val="18"/>
                <w:lang w:val="zh-TW" w:eastAsia="zh-TW" w:bidi="zh-TW"/>
              </w:rPr>
            </w:pPr>
          </w:p>
        </w:tc>
        <w:tc>
          <w:tcPr>
            <w:tcW w:w="926" w:type="pct"/>
            <w:shd w:val="clear" w:color="auto" w:fill="FFFFFF"/>
            <w:vAlign w:val="center"/>
          </w:tcPr>
          <w:p w14:paraId="683E71D9">
            <w:pPr>
              <w:pStyle w:val="153"/>
              <w:spacing w:after="0" w:line="240" w:lineRule="auto"/>
              <w:ind w:firstLine="140"/>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0959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1" w:hRule="exact"/>
        </w:trPr>
        <w:tc>
          <w:tcPr>
            <w:tcW w:w="265" w:type="pct"/>
            <w:shd w:val="clear" w:color="auto" w:fill="FFFFFF"/>
            <w:vAlign w:val="center"/>
          </w:tcPr>
          <w:p w14:paraId="03A6EF98">
            <w:pPr>
              <w:pStyle w:val="153"/>
              <w:spacing w:after="0" w:line="240" w:lineRule="auto"/>
              <w:ind w:firstLine="0"/>
              <w:jc w:val="center"/>
              <w:rPr>
                <w:sz w:val="18"/>
                <w:szCs w:val="18"/>
              </w:rPr>
            </w:pPr>
            <w:r>
              <w:rPr>
                <w:sz w:val="18"/>
                <w:szCs w:val="18"/>
                <w:lang w:val="zh-TW" w:eastAsia="zh-TW" w:bidi="zh-TW"/>
              </w:rPr>
              <w:t>柴油</w:t>
            </w:r>
          </w:p>
        </w:tc>
        <w:tc>
          <w:tcPr>
            <w:tcW w:w="426" w:type="pct"/>
            <w:shd w:val="clear" w:color="auto" w:fill="FFFFFF"/>
            <w:vAlign w:val="center"/>
          </w:tcPr>
          <w:p w14:paraId="4CB7B743">
            <w:pPr>
              <w:jc w:val="center"/>
              <w:rPr>
                <w:rFonts w:ascii="宋体" w:hAnsi="宋体"/>
                <w:sz w:val="18"/>
                <w:szCs w:val="18"/>
              </w:rPr>
            </w:pPr>
          </w:p>
        </w:tc>
        <w:tc>
          <w:tcPr>
            <w:tcW w:w="365" w:type="pct"/>
            <w:shd w:val="clear" w:color="auto" w:fill="FFFFFF"/>
            <w:vAlign w:val="center"/>
          </w:tcPr>
          <w:p w14:paraId="2E473277">
            <w:pPr>
              <w:jc w:val="center"/>
              <w:rPr>
                <w:rFonts w:ascii="宋体" w:hAnsi="宋体"/>
                <w:sz w:val="18"/>
                <w:szCs w:val="18"/>
              </w:rPr>
            </w:pPr>
          </w:p>
        </w:tc>
        <w:tc>
          <w:tcPr>
            <w:tcW w:w="966" w:type="pct"/>
            <w:shd w:val="clear" w:color="auto" w:fill="FFFFFF"/>
            <w:vAlign w:val="center"/>
          </w:tcPr>
          <w:p w14:paraId="308FE80E">
            <w:pPr>
              <w:pStyle w:val="153"/>
              <w:spacing w:after="0" w:line="240" w:lineRule="auto"/>
              <w:ind w:firstLine="140"/>
              <w:jc w:val="center"/>
              <w:rPr>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c>
          <w:tcPr>
            <w:tcW w:w="435" w:type="pct"/>
            <w:shd w:val="clear" w:color="auto" w:fill="FFFFFF"/>
            <w:vAlign w:val="center"/>
          </w:tcPr>
          <w:p w14:paraId="3E6FBB62">
            <w:pPr>
              <w:jc w:val="center"/>
              <w:rPr>
                <w:rFonts w:ascii="宋体" w:hAnsi="宋体"/>
                <w:sz w:val="18"/>
                <w:szCs w:val="18"/>
              </w:rPr>
            </w:pPr>
          </w:p>
        </w:tc>
        <w:tc>
          <w:tcPr>
            <w:tcW w:w="916" w:type="pct"/>
            <w:shd w:val="clear" w:color="auto" w:fill="FFFFFF"/>
            <w:vAlign w:val="center"/>
          </w:tcPr>
          <w:p w14:paraId="589FADE0">
            <w:pPr>
              <w:pStyle w:val="153"/>
              <w:spacing w:after="0" w:line="240" w:lineRule="auto"/>
              <w:ind w:firstLine="140"/>
              <w:jc w:val="center"/>
              <w:rPr>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c>
          <w:tcPr>
            <w:tcW w:w="368" w:type="pct"/>
            <w:shd w:val="clear" w:color="auto" w:fill="FFFFFF"/>
            <w:vAlign w:val="center"/>
          </w:tcPr>
          <w:p w14:paraId="5FF95E87">
            <w:pPr>
              <w:jc w:val="center"/>
              <w:rPr>
                <w:rFonts w:ascii="宋体" w:hAnsi="宋体"/>
                <w:sz w:val="18"/>
                <w:szCs w:val="18"/>
              </w:rPr>
            </w:pPr>
          </w:p>
        </w:tc>
        <w:tc>
          <w:tcPr>
            <w:tcW w:w="330" w:type="pct"/>
            <w:shd w:val="clear" w:color="auto" w:fill="FFFFFF"/>
            <w:vAlign w:val="center"/>
          </w:tcPr>
          <w:p w14:paraId="7C24DF4E">
            <w:pPr>
              <w:pStyle w:val="153"/>
              <w:spacing w:after="0" w:line="240" w:lineRule="auto"/>
              <w:ind w:firstLine="140"/>
              <w:jc w:val="center"/>
              <w:rPr>
                <w:sz w:val="18"/>
                <w:szCs w:val="18"/>
                <w:lang w:val="zh-TW" w:eastAsia="zh-TW" w:bidi="zh-TW"/>
              </w:rPr>
            </w:pPr>
          </w:p>
        </w:tc>
        <w:tc>
          <w:tcPr>
            <w:tcW w:w="926" w:type="pct"/>
            <w:shd w:val="clear" w:color="auto" w:fill="FFFFFF"/>
            <w:vAlign w:val="center"/>
          </w:tcPr>
          <w:p w14:paraId="1A439DB6">
            <w:pPr>
              <w:pStyle w:val="153"/>
              <w:spacing w:after="0" w:line="240" w:lineRule="auto"/>
              <w:ind w:firstLine="140"/>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7511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1" w:hRule="exact"/>
        </w:trPr>
        <w:tc>
          <w:tcPr>
            <w:tcW w:w="265" w:type="pct"/>
            <w:shd w:val="clear" w:color="auto" w:fill="FFFFFF"/>
            <w:vAlign w:val="center"/>
          </w:tcPr>
          <w:p w14:paraId="3132702C">
            <w:pPr>
              <w:pStyle w:val="153"/>
              <w:spacing w:after="0" w:line="240" w:lineRule="auto"/>
              <w:ind w:firstLine="0"/>
              <w:jc w:val="center"/>
              <w:rPr>
                <w:sz w:val="18"/>
                <w:szCs w:val="18"/>
                <w:lang w:eastAsia="zh-TW"/>
              </w:rPr>
            </w:pPr>
            <w:r>
              <w:rPr>
                <w:rFonts w:hint="eastAsia"/>
                <w:sz w:val="18"/>
                <w:szCs w:val="18"/>
                <w:lang w:eastAsia="zh-TW"/>
              </w:rPr>
              <w:t>天然气</w:t>
            </w:r>
          </w:p>
        </w:tc>
        <w:tc>
          <w:tcPr>
            <w:tcW w:w="426" w:type="pct"/>
            <w:shd w:val="clear" w:color="auto" w:fill="FFFFFF"/>
            <w:vAlign w:val="center"/>
          </w:tcPr>
          <w:p w14:paraId="7B449276">
            <w:pPr>
              <w:jc w:val="center"/>
              <w:rPr>
                <w:rFonts w:ascii="宋体" w:hAnsi="宋体"/>
                <w:sz w:val="18"/>
                <w:szCs w:val="18"/>
              </w:rPr>
            </w:pPr>
          </w:p>
        </w:tc>
        <w:tc>
          <w:tcPr>
            <w:tcW w:w="365" w:type="pct"/>
            <w:shd w:val="clear" w:color="auto" w:fill="FFFFFF"/>
            <w:vAlign w:val="center"/>
          </w:tcPr>
          <w:p w14:paraId="62C8B370">
            <w:pPr>
              <w:jc w:val="center"/>
              <w:rPr>
                <w:rFonts w:ascii="宋体" w:hAnsi="宋体"/>
                <w:sz w:val="18"/>
                <w:szCs w:val="18"/>
              </w:rPr>
            </w:pPr>
          </w:p>
        </w:tc>
        <w:tc>
          <w:tcPr>
            <w:tcW w:w="966" w:type="pct"/>
            <w:shd w:val="clear" w:color="auto" w:fill="FFFFFF"/>
            <w:vAlign w:val="center"/>
          </w:tcPr>
          <w:p w14:paraId="139C5F5A">
            <w:pPr>
              <w:pStyle w:val="153"/>
              <w:spacing w:after="0" w:line="240" w:lineRule="auto"/>
              <w:ind w:firstLine="140"/>
              <w:jc w:val="center"/>
              <w:rPr>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c>
          <w:tcPr>
            <w:tcW w:w="435" w:type="pct"/>
            <w:shd w:val="clear" w:color="auto" w:fill="FFFFFF"/>
            <w:vAlign w:val="center"/>
          </w:tcPr>
          <w:p w14:paraId="532C7A50">
            <w:pPr>
              <w:jc w:val="center"/>
              <w:rPr>
                <w:rFonts w:ascii="宋体" w:hAnsi="宋体"/>
                <w:sz w:val="18"/>
                <w:szCs w:val="18"/>
              </w:rPr>
            </w:pPr>
          </w:p>
        </w:tc>
        <w:tc>
          <w:tcPr>
            <w:tcW w:w="916" w:type="pct"/>
            <w:shd w:val="clear" w:color="auto" w:fill="FFFFFF"/>
            <w:vAlign w:val="center"/>
          </w:tcPr>
          <w:p w14:paraId="6E0F469A">
            <w:pPr>
              <w:pStyle w:val="153"/>
              <w:spacing w:after="0" w:line="240" w:lineRule="auto"/>
              <w:ind w:firstLine="140"/>
              <w:jc w:val="center"/>
              <w:rPr>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c>
          <w:tcPr>
            <w:tcW w:w="368" w:type="pct"/>
            <w:shd w:val="clear" w:color="auto" w:fill="FFFFFF"/>
            <w:vAlign w:val="center"/>
          </w:tcPr>
          <w:p w14:paraId="3FDD0205">
            <w:pPr>
              <w:jc w:val="center"/>
              <w:rPr>
                <w:rFonts w:ascii="宋体" w:hAnsi="宋体"/>
                <w:sz w:val="18"/>
                <w:szCs w:val="18"/>
              </w:rPr>
            </w:pPr>
          </w:p>
        </w:tc>
        <w:tc>
          <w:tcPr>
            <w:tcW w:w="330" w:type="pct"/>
            <w:shd w:val="clear" w:color="auto" w:fill="FFFFFF"/>
            <w:vAlign w:val="center"/>
          </w:tcPr>
          <w:p w14:paraId="73A158DC">
            <w:pPr>
              <w:pStyle w:val="153"/>
              <w:spacing w:after="0" w:line="240" w:lineRule="auto"/>
              <w:ind w:firstLine="140"/>
              <w:jc w:val="center"/>
              <w:rPr>
                <w:sz w:val="18"/>
                <w:szCs w:val="18"/>
                <w:lang w:val="zh-TW" w:eastAsia="zh-TW" w:bidi="zh-TW"/>
              </w:rPr>
            </w:pPr>
          </w:p>
        </w:tc>
        <w:tc>
          <w:tcPr>
            <w:tcW w:w="926" w:type="pct"/>
            <w:shd w:val="clear" w:color="auto" w:fill="FFFFFF"/>
            <w:vAlign w:val="center"/>
          </w:tcPr>
          <w:p w14:paraId="54A8FBA0">
            <w:pPr>
              <w:pStyle w:val="153"/>
              <w:spacing w:after="0" w:line="240" w:lineRule="auto"/>
              <w:ind w:firstLine="140"/>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37BF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1" w:hRule="exact"/>
        </w:trPr>
        <w:tc>
          <w:tcPr>
            <w:tcW w:w="265" w:type="pct"/>
            <w:shd w:val="clear" w:color="auto" w:fill="FFFFFF"/>
            <w:vAlign w:val="center"/>
          </w:tcPr>
          <w:p w14:paraId="4C161697">
            <w:pPr>
              <w:pStyle w:val="153"/>
              <w:spacing w:after="0" w:line="240" w:lineRule="auto"/>
              <w:ind w:firstLine="0"/>
              <w:jc w:val="center"/>
              <w:rPr>
                <w:sz w:val="18"/>
                <w:szCs w:val="18"/>
              </w:rPr>
            </w:pPr>
            <w:r>
              <w:rPr>
                <w:sz w:val="17"/>
                <w:szCs w:val="17"/>
                <w:lang w:val="zh-TW" w:eastAsia="zh-TW" w:bidi="zh-TW"/>
              </w:rPr>
              <w:t>其他能源品种</w:t>
            </w:r>
            <w:r>
              <w:rPr>
                <w:rFonts w:hint="eastAsia" w:cs="Times New Roman"/>
                <w:b/>
                <w:bCs/>
                <w:sz w:val="18"/>
                <w:szCs w:val="18"/>
                <w:vertAlign w:val="superscript"/>
              </w:rPr>
              <w:t>a</w:t>
            </w:r>
          </w:p>
        </w:tc>
        <w:tc>
          <w:tcPr>
            <w:tcW w:w="426" w:type="pct"/>
            <w:shd w:val="clear" w:color="auto" w:fill="FFFFFF"/>
            <w:vAlign w:val="center"/>
          </w:tcPr>
          <w:p w14:paraId="63F1173C">
            <w:pPr>
              <w:jc w:val="center"/>
              <w:rPr>
                <w:rFonts w:ascii="宋体" w:hAnsi="宋体"/>
                <w:sz w:val="18"/>
                <w:szCs w:val="18"/>
              </w:rPr>
            </w:pPr>
          </w:p>
        </w:tc>
        <w:tc>
          <w:tcPr>
            <w:tcW w:w="365" w:type="pct"/>
            <w:shd w:val="clear" w:color="auto" w:fill="FFFFFF"/>
            <w:vAlign w:val="center"/>
          </w:tcPr>
          <w:p w14:paraId="28094619">
            <w:pPr>
              <w:jc w:val="center"/>
              <w:rPr>
                <w:rFonts w:ascii="宋体" w:hAnsi="宋体"/>
                <w:sz w:val="18"/>
                <w:szCs w:val="18"/>
              </w:rPr>
            </w:pPr>
          </w:p>
        </w:tc>
        <w:tc>
          <w:tcPr>
            <w:tcW w:w="966" w:type="pct"/>
            <w:shd w:val="clear" w:color="auto" w:fill="FFFFFF"/>
            <w:vAlign w:val="center"/>
          </w:tcPr>
          <w:p w14:paraId="6F5CDBFB">
            <w:pPr>
              <w:pStyle w:val="153"/>
              <w:spacing w:after="0" w:line="240" w:lineRule="auto"/>
              <w:ind w:firstLine="140"/>
              <w:jc w:val="center"/>
              <w:rPr>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c>
          <w:tcPr>
            <w:tcW w:w="435" w:type="pct"/>
            <w:shd w:val="clear" w:color="auto" w:fill="FFFFFF"/>
            <w:vAlign w:val="center"/>
          </w:tcPr>
          <w:p w14:paraId="42B6A59D">
            <w:pPr>
              <w:jc w:val="center"/>
              <w:rPr>
                <w:rFonts w:ascii="宋体" w:hAnsi="宋体"/>
                <w:sz w:val="18"/>
                <w:szCs w:val="18"/>
              </w:rPr>
            </w:pPr>
          </w:p>
        </w:tc>
        <w:tc>
          <w:tcPr>
            <w:tcW w:w="916" w:type="pct"/>
            <w:shd w:val="clear" w:color="auto" w:fill="FFFFFF"/>
            <w:vAlign w:val="center"/>
          </w:tcPr>
          <w:p w14:paraId="557363FE">
            <w:pPr>
              <w:pStyle w:val="153"/>
              <w:spacing w:after="0" w:line="240" w:lineRule="auto"/>
              <w:ind w:firstLine="140"/>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c>
          <w:tcPr>
            <w:tcW w:w="368" w:type="pct"/>
            <w:shd w:val="clear" w:color="auto" w:fill="FFFFFF"/>
            <w:vAlign w:val="center"/>
          </w:tcPr>
          <w:p w14:paraId="3691918E">
            <w:pPr>
              <w:jc w:val="center"/>
              <w:rPr>
                <w:rFonts w:ascii="宋体" w:hAnsi="宋体"/>
                <w:sz w:val="18"/>
                <w:szCs w:val="18"/>
              </w:rPr>
            </w:pPr>
          </w:p>
        </w:tc>
        <w:tc>
          <w:tcPr>
            <w:tcW w:w="330" w:type="pct"/>
            <w:shd w:val="clear" w:color="auto" w:fill="FFFFFF"/>
            <w:vAlign w:val="center"/>
          </w:tcPr>
          <w:p w14:paraId="5684CB6B">
            <w:pPr>
              <w:pStyle w:val="153"/>
              <w:spacing w:after="0" w:line="240" w:lineRule="auto"/>
              <w:ind w:firstLine="140"/>
              <w:jc w:val="center"/>
              <w:rPr>
                <w:sz w:val="18"/>
                <w:szCs w:val="18"/>
                <w:lang w:val="zh-TW" w:eastAsia="zh-TW" w:bidi="zh-TW"/>
              </w:rPr>
            </w:pPr>
          </w:p>
        </w:tc>
        <w:tc>
          <w:tcPr>
            <w:tcW w:w="926" w:type="pct"/>
            <w:shd w:val="clear" w:color="auto" w:fill="FFFFFF"/>
            <w:vAlign w:val="center"/>
          </w:tcPr>
          <w:p w14:paraId="77CD841E">
            <w:pPr>
              <w:pStyle w:val="153"/>
              <w:spacing w:after="0" w:line="240" w:lineRule="auto"/>
              <w:ind w:firstLine="140"/>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3993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421" w:hRule="exact"/>
        </w:trPr>
        <w:tc>
          <w:tcPr>
            <w:tcW w:w="5000" w:type="pct"/>
            <w:gridSpan w:val="9"/>
            <w:shd w:val="clear" w:color="auto" w:fill="FFFFFF"/>
            <w:vAlign w:val="center"/>
          </w:tcPr>
          <w:p w14:paraId="41DFDAAB">
            <w:pPr>
              <w:pStyle w:val="153"/>
              <w:spacing w:after="0" w:line="440" w:lineRule="exact"/>
              <w:ind w:firstLine="0"/>
              <w:rPr>
                <w:rFonts w:cs="Times New Roman"/>
                <w:b w:val="0"/>
                <w:bCs w:val="0"/>
                <w:sz w:val="18"/>
                <w:szCs w:val="18"/>
              </w:rPr>
            </w:pPr>
            <w:r>
              <w:rPr>
                <w:rFonts w:hint="eastAsia" w:cs="Times New Roman"/>
                <w:b w:val="0"/>
                <w:bCs w:val="0"/>
                <w:sz w:val="18"/>
                <w:szCs w:val="18"/>
              </w:rPr>
              <w:t>注：</w:t>
            </w:r>
          </w:p>
          <w:p w14:paraId="48F98B1D">
            <w:pPr>
              <w:pStyle w:val="153"/>
              <w:spacing w:after="0" w:line="440" w:lineRule="exact"/>
              <w:ind w:firstLine="0"/>
              <w:rPr>
                <w:rFonts w:cs="Times New Roman"/>
                <w:sz w:val="18"/>
                <w:szCs w:val="18"/>
              </w:rPr>
            </w:pPr>
            <w:r>
              <w:rPr>
                <w:rFonts w:hint="eastAsia" w:cs="Times New Roman"/>
                <w:b w:val="0"/>
                <w:bCs w:val="0"/>
                <w:sz w:val="18"/>
                <w:szCs w:val="18"/>
                <w:vertAlign w:val="superscript"/>
              </w:rPr>
              <w:t>a</w:t>
            </w:r>
            <w:r>
              <w:rPr>
                <w:rFonts w:hint="eastAsia" w:cs="Times New Roman"/>
                <w:b w:val="0"/>
                <w:bCs w:val="0"/>
                <w:sz w:val="18"/>
                <w:szCs w:val="18"/>
              </w:rPr>
              <w:t>报告</w:t>
            </w:r>
            <w:r>
              <w:rPr>
                <w:rFonts w:hint="eastAsia" w:cs="Times New Roman"/>
                <w:sz w:val="18"/>
                <w:szCs w:val="18"/>
              </w:rPr>
              <w:t>主体实际燃烧的能源品种如未在表中列出，自行添加。</w:t>
            </w:r>
          </w:p>
          <w:p w14:paraId="5275F2E0">
            <w:pPr>
              <w:pStyle w:val="153"/>
              <w:spacing w:after="0" w:line="440" w:lineRule="exact"/>
              <w:ind w:firstLine="0"/>
              <w:rPr>
                <w:rFonts w:cs="Times New Roman"/>
                <w:b/>
                <w:bCs/>
                <w:sz w:val="18"/>
                <w:szCs w:val="18"/>
                <w:vertAlign w:val="superscript"/>
              </w:rPr>
            </w:pPr>
            <w:r>
              <w:rPr>
                <w:rFonts w:hint="eastAsia" w:cs="Times New Roman"/>
                <w:sz w:val="18"/>
                <w:szCs w:val="18"/>
                <w:vertAlign w:val="superscript"/>
              </w:rPr>
              <w:t>b</w:t>
            </w:r>
            <w:r>
              <w:rPr>
                <w:rFonts w:hint="eastAsia" w:cs="Times New Roman"/>
                <w:sz w:val="18"/>
                <w:szCs w:val="18"/>
              </w:rPr>
              <w:t>若其他能源品种的活动数据和排放因子数据存在一个以上不同来源</w:t>
            </w:r>
            <w:r>
              <w:rPr>
                <w:rFonts w:cs="Times New Roman"/>
                <w:sz w:val="18"/>
                <w:szCs w:val="18"/>
              </w:rPr>
              <w:t>,自行分行一一列明。</w:t>
            </w:r>
          </w:p>
        </w:tc>
      </w:tr>
    </w:tbl>
    <w:p w14:paraId="19429FDF">
      <w:pPr>
        <w:pStyle w:val="151"/>
        <w:spacing w:after="220" w:line="240" w:lineRule="auto"/>
        <w:ind w:firstLine="0"/>
        <w:jc w:val="both"/>
        <w:rPr>
          <w:rFonts w:eastAsia="PMingLiU"/>
          <w:szCs w:val="21"/>
          <w:lang w:val="en-US"/>
        </w:rPr>
      </w:pPr>
    </w:p>
    <w:p w14:paraId="7AC8B3BC">
      <w:pPr>
        <w:keepNext w:val="0"/>
        <w:keepLines w:val="0"/>
        <w:pageBreakBefore w:val="0"/>
        <w:widowControl w:val="0"/>
        <w:kinsoku/>
        <w:wordWrap/>
        <w:overflowPunct/>
        <w:topLinePunct w:val="0"/>
        <w:autoSpaceDE/>
        <w:autoSpaceDN/>
        <w:bidi w:val="0"/>
        <w:adjustRightInd/>
        <w:snapToGrid/>
        <w:ind w:firstLine="3780" w:firstLineChars="1800"/>
        <w:textAlignment w:val="auto"/>
        <w:rPr>
          <w:rFonts w:eastAsia="黑体"/>
          <w:bCs/>
          <w:szCs w:val="21"/>
        </w:rPr>
      </w:pPr>
      <w:r>
        <w:rPr>
          <w:rFonts w:eastAsia="黑体"/>
          <w:bCs/>
          <w:szCs w:val="21"/>
        </w:rPr>
        <w:t>表</w:t>
      </w:r>
      <w:r>
        <w:rPr>
          <w:rFonts w:hint="eastAsia" w:eastAsia="黑体"/>
          <w:bCs/>
          <w:szCs w:val="21"/>
        </w:rPr>
        <w:t>D</w:t>
      </w:r>
      <w:r>
        <w:rPr>
          <w:rFonts w:eastAsia="黑体"/>
          <w:bCs/>
          <w:szCs w:val="21"/>
        </w:rPr>
        <w:t>.</w:t>
      </w:r>
      <w:r>
        <w:rPr>
          <w:rFonts w:hint="eastAsia" w:eastAsia="黑体"/>
          <w:bCs/>
          <w:szCs w:val="21"/>
          <w:lang w:val="en-US" w:eastAsia="zh-CN"/>
        </w:rPr>
        <w:t>3</w:t>
      </w:r>
      <w:r>
        <w:rPr>
          <w:rFonts w:eastAsia="黑体"/>
          <w:bCs/>
          <w:szCs w:val="21"/>
        </w:rPr>
        <w:t xml:space="preserve"> 报告主体</w:t>
      </w:r>
      <w:r>
        <w:rPr>
          <w:rFonts w:hint="eastAsia" w:eastAsia="黑体"/>
          <w:bCs/>
          <w:szCs w:val="21"/>
        </w:rPr>
        <w:t>废弃物处理处置</w:t>
      </w:r>
      <w:r>
        <w:rPr>
          <w:rFonts w:eastAsia="黑体"/>
          <w:bCs/>
          <w:szCs w:val="21"/>
        </w:rPr>
        <w:t>活动数据和排放因子数据一览表</w:t>
      </w:r>
      <w:r>
        <w:rPr>
          <w:rFonts w:hint="eastAsia" w:eastAsia="黑体"/>
          <w:bCs/>
          <w:szCs w:val="21"/>
        </w:rPr>
        <w:t xml:space="preserve">  </w:t>
      </w:r>
    </w:p>
    <w:tbl>
      <w:tblPr>
        <w:tblStyle w:val="35"/>
        <w:tblW w:w="49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84"/>
        <w:gridCol w:w="3881"/>
        <w:gridCol w:w="2640"/>
        <w:gridCol w:w="1405"/>
        <w:gridCol w:w="3899"/>
      </w:tblGrid>
      <w:tr w14:paraId="110B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9" w:hRule="exact"/>
          <w:jc w:val="center"/>
        </w:trPr>
        <w:tc>
          <w:tcPr>
            <w:tcW w:w="749" w:type="pct"/>
            <w:shd w:val="clear" w:color="auto" w:fill="FFFFFF"/>
            <w:vAlign w:val="center"/>
          </w:tcPr>
          <w:p w14:paraId="1D3BD527">
            <w:pPr>
              <w:pStyle w:val="153"/>
              <w:spacing w:after="0" w:line="440" w:lineRule="exact"/>
              <w:ind w:firstLine="0"/>
              <w:jc w:val="center"/>
              <w:rPr>
                <w:sz w:val="18"/>
                <w:szCs w:val="18"/>
              </w:rPr>
            </w:pPr>
            <w:r>
              <w:rPr>
                <w:rFonts w:hint="eastAsia"/>
                <w:sz w:val="18"/>
                <w:szCs w:val="18"/>
                <w:lang w:bidi="zh-TW"/>
              </w:rPr>
              <w:t>项目</w:t>
            </w:r>
          </w:p>
        </w:tc>
        <w:tc>
          <w:tcPr>
            <w:tcW w:w="1395" w:type="pct"/>
            <w:shd w:val="clear" w:color="auto" w:fill="FFFFFF"/>
            <w:vAlign w:val="center"/>
          </w:tcPr>
          <w:p w14:paraId="659A2BBA">
            <w:pPr>
              <w:pStyle w:val="153"/>
              <w:spacing w:after="0" w:line="440" w:lineRule="exact"/>
              <w:ind w:firstLine="0"/>
              <w:jc w:val="center"/>
              <w:rPr>
                <w:sz w:val="18"/>
                <w:szCs w:val="18"/>
              </w:rPr>
            </w:pPr>
            <w:r>
              <w:rPr>
                <w:rFonts w:hint="eastAsia"/>
                <w:sz w:val="18"/>
                <w:szCs w:val="18"/>
              </w:rPr>
              <w:t>参数名称</w:t>
            </w:r>
            <w:r>
              <w:rPr>
                <w:rFonts w:hint="eastAsia"/>
                <w:sz w:val="18"/>
                <w:szCs w:val="18"/>
                <w:lang w:bidi="zh-TW"/>
              </w:rPr>
              <w:t xml:space="preserve"> </w:t>
            </w:r>
          </w:p>
        </w:tc>
        <w:tc>
          <w:tcPr>
            <w:tcW w:w="949" w:type="pct"/>
            <w:shd w:val="clear" w:color="auto" w:fill="FFFFFF"/>
            <w:vAlign w:val="center"/>
          </w:tcPr>
          <w:p w14:paraId="68A8DFA0">
            <w:pPr>
              <w:pStyle w:val="153"/>
              <w:spacing w:after="60" w:line="440" w:lineRule="exact"/>
              <w:ind w:firstLine="0"/>
              <w:jc w:val="center"/>
              <w:rPr>
                <w:sz w:val="18"/>
                <w:szCs w:val="18"/>
              </w:rPr>
            </w:pPr>
            <w:r>
              <w:rPr>
                <w:rFonts w:hint="eastAsia"/>
                <w:sz w:val="18"/>
                <w:szCs w:val="18"/>
              </w:rPr>
              <w:t>量值</w:t>
            </w:r>
          </w:p>
        </w:tc>
        <w:tc>
          <w:tcPr>
            <w:tcW w:w="505" w:type="pct"/>
            <w:shd w:val="clear" w:color="auto" w:fill="FFFFFF"/>
            <w:vAlign w:val="center"/>
          </w:tcPr>
          <w:p w14:paraId="2D195317">
            <w:pPr>
              <w:pStyle w:val="153"/>
              <w:spacing w:after="0" w:line="440" w:lineRule="exact"/>
              <w:ind w:firstLine="0"/>
              <w:jc w:val="center"/>
              <w:rPr>
                <w:sz w:val="18"/>
                <w:szCs w:val="18"/>
              </w:rPr>
            </w:pPr>
            <w:r>
              <w:rPr>
                <w:rFonts w:hint="eastAsia"/>
                <w:sz w:val="18"/>
                <w:szCs w:val="18"/>
              </w:rPr>
              <w:t>单位</w:t>
            </w:r>
          </w:p>
        </w:tc>
        <w:tc>
          <w:tcPr>
            <w:tcW w:w="1401" w:type="pct"/>
            <w:shd w:val="clear" w:color="auto" w:fill="FFFFFF"/>
            <w:vAlign w:val="center"/>
          </w:tcPr>
          <w:p w14:paraId="4CA1906B">
            <w:pPr>
              <w:pStyle w:val="153"/>
              <w:spacing w:after="0" w:line="440" w:lineRule="exact"/>
              <w:ind w:firstLine="0"/>
              <w:jc w:val="center"/>
              <w:rPr>
                <w:sz w:val="18"/>
                <w:szCs w:val="18"/>
              </w:rPr>
            </w:pPr>
            <w:r>
              <w:rPr>
                <w:rFonts w:hint="eastAsia"/>
                <w:sz w:val="18"/>
                <w:szCs w:val="18"/>
              </w:rPr>
              <w:t>数据来源</w:t>
            </w:r>
          </w:p>
        </w:tc>
      </w:tr>
      <w:tr w14:paraId="2E26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 w:hRule="exact"/>
          <w:tblHeader/>
          <w:jc w:val="center"/>
        </w:trPr>
        <w:tc>
          <w:tcPr>
            <w:tcW w:w="749" w:type="pct"/>
            <w:vMerge w:val="restart"/>
            <w:shd w:val="clear" w:color="auto" w:fill="FFFFFF"/>
            <w:vAlign w:val="center"/>
          </w:tcPr>
          <w:p w14:paraId="6E956304">
            <w:pPr>
              <w:pStyle w:val="153"/>
              <w:spacing w:after="0" w:line="440" w:lineRule="exact"/>
              <w:ind w:firstLine="0"/>
              <w:jc w:val="center"/>
              <w:rPr>
                <w:sz w:val="18"/>
                <w:szCs w:val="18"/>
                <w:lang w:bidi="zh-TW"/>
              </w:rPr>
            </w:pPr>
            <w:r>
              <w:rPr>
                <w:rFonts w:hint="eastAsia"/>
                <w:sz w:val="18"/>
                <w:szCs w:val="18"/>
                <w:lang w:bidi="zh-TW"/>
              </w:rPr>
              <w:t>沉淀工序</w:t>
            </w:r>
          </w:p>
        </w:tc>
        <w:tc>
          <w:tcPr>
            <w:tcW w:w="1395" w:type="pct"/>
            <w:shd w:val="clear" w:color="auto" w:fill="FFFFFF"/>
            <w:vAlign w:val="center"/>
          </w:tcPr>
          <w:p w14:paraId="376A736A">
            <w:pPr>
              <w:pStyle w:val="153"/>
              <w:spacing w:after="0" w:line="440" w:lineRule="exact"/>
              <w:ind w:firstLine="0"/>
              <w:jc w:val="center"/>
              <w:rPr>
                <w:sz w:val="18"/>
                <w:szCs w:val="18"/>
              </w:rPr>
            </w:pPr>
            <w:r>
              <w:rPr>
                <w:rFonts w:hint="eastAsia"/>
                <w:sz w:val="18"/>
                <w:szCs w:val="18"/>
              </w:rPr>
              <w:t>沉淀剂消耗量</w:t>
            </w:r>
          </w:p>
        </w:tc>
        <w:tc>
          <w:tcPr>
            <w:tcW w:w="949" w:type="pct"/>
            <w:shd w:val="clear" w:color="auto" w:fill="FFFFFF"/>
            <w:vAlign w:val="center"/>
          </w:tcPr>
          <w:p w14:paraId="2C7B31EB">
            <w:pPr>
              <w:spacing w:line="440" w:lineRule="exact"/>
              <w:jc w:val="center"/>
              <w:rPr>
                <w:rFonts w:ascii="宋体" w:hAnsi="宋体" w:cs="宋体"/>
                <w:sz w:val="18"/>
                <w:szCs w:val="18"/>
              </w:rPr>
            </w:pPr>
          </w:p>
        </w:tc>
        <w:tc>
          <w:tcPr>
            <w:tcW w:w="505" w:type="pct"/>
            <w:shd w:val="clear" w:color="auto" w:fill="FFFFFF"/>
            <w:vAlign w:val="center"/>
          </w:tcPr>
          <w:p w14:paraId="37C9F2DC">
            <w:pPr>
              <w:spacing w:line="440" w:lineRule="exact"/>
              <w:jc w:val="center"/>
              <w:rPr>
                <w:rFonts w:ascii="宋体" w:hAnsi="宋体"/>
                <w:sz w:val="18"/>
                <w:szCs w:val="18"/>
              </w:rPr>
            </w:pPr>
            <w:r>
              <w:rPr>
                <w:rFonts w:hint="eastAsia" w:ascii="宋体" w:hAnsi="宋体"/>
                <w:sz w:val="18"/>
                <w:szCs w:val="18"/>
              </w:rPr>
              <w:t>t</w:t>
            </w:r>
          </w:p>
        </w:tc>
        <w:tc>
          <w:tcPr>
            <w:tcW w:w="1401" w:type="pct"/>
            <w:shd w:val="clear" w:color="auto" w:fill="FFFFFF"/>
            <w:vAlign w:val="center"/>
          </w:tcPr>
          <w:p w14:paraId="354213FE">
            <w:pPr>
              <w:pStyle w:val="153"/>
              <w:spacing w:line="440" w:lineRule="exact"/>
              <w:ind w:firstLine="0"/>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4E88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 w:hRule="exact"/>
          <w:tblHeader/>
          <w:jc w:val="center"/>
        </w:trPr>
        <w:tc>
          <w:tcPr>
            <w:tcW w:w="749" w:type="pct"/>
            <w:vMerge w:val="continue"/>
            <w:shd w:val="clear" w:color="auto" w:fill="FFFFFF"/>
            <w:vAlign w:val="center"/>
          </w:tcPr>
          <w:p w14:paraId="2BCCE190">
            <w:pPr>
              <w:pStyle w:val="153"/>
              <w:spacing w:after="0" w:line="440" w:lineRule="exact"/>
              <w:ind w:firstLine="0"/>
              <w:jc w:val="center"/>
              <w:rPr>
                <w:sz w:val="18"/>
                <w:szCs w:val="18"/>
                <w:lang w:bidi="zh-TW"/>
              </w:rPr>
            </w:pPr>
          </w:p>
        </w:tc>
        <w:tc>
          <w:tcPr>
            <w:tcW w:w="1395" w:type="pct"/>
            <w:shd w:val="clear" w:color="auto" w:fill="FFFFFF"/>
            <w:vAlign w:val="center"/>
          </w:tcPr>
          <w:p w14:paraId="24BE4CD2">
            <w:pPr>
              <w:pStyle w:val="153"/>
              <w:spacing w:after="0" w:line="440" w:lineRule="exact"/>
              <w:ind w:firstLine="0"/>
              <w:jc w:val="center"/>
              <w:rPr>
                <w:sz w:val="18"/>
                <w:szCs w:val="18"/>
              </w:rPr>
            </w:pPr>
            <w:r>
              <w:rPr>
                <w:rFonts w:hint="eastAsia"/>
                <w:sz w:val="18"/>
                <w:szCs w:val="18"/>
              </w:rPr>
              <w:t>沉淀剂二氧化碳质量分数</w:t>
            </w:r>
          </w:p>
        </w:tc>
        <w:tc>
          <w:tcPr>
            <w:tcW w:w="949" w:type="pct"/>
            <w:shd w:val="clear" w:color="auto" w:fill="FFFFFF"/>
            <w:vAlign w:val="center"/>
          </w:tcPr>
          <w:p w14:paraId="03251A1E">
            <w:pPr>
              <w:spacing w:line="440" w:lineRule="exact"/>
              <w:jc w:val="center"/>
              <w:rPr>
                <w:rFonts w:ascii="宋体" w:hAnsi="宋体" w:cs="宋体"/>
                <w:sz w:val="18"/>
                <w:szCs w:val="18"/>
              </w:rPr>
            </w:pPr>
          </w:p>
        </w:tc>
        <w:tc>
          <w:tcPr>
            <w:tcW w:w="505" w:type="pct"/>
            <w:shd w:val="clear" w:color="auto" w:fill="FFFFFF"/>
            <w:vAlign w:val="center"/>
          </w:tcPr>
          <w:p w14:paraId="30D6F0D8">
            <w:pPr>
              <w:spacing w:line="440" w:lineRule="exact"/>
              <w:jc w:val="center"/>
              <w:rPr>
                <w:rFonts w:ascii="宋体" w:hAnsi="宋体"/>
                <w:sz w:val="18"/>
                <w:szCs w:val="18"/>
              </w:rPr>
            </w:pPr>
            <w:r>
              <w:rPr>
                <w:rFonts w:hint="eastAsia" w:ascii="宋体" w:hAnsi="宋体"/>
                <w:sz w:val="18"/>
                <w:szCs w:val="18"/>
              </w:rPr>
              <w:t>tCO</w:t>
            </w:r>
            <w:r>
              <w:rPr>
                <w:rFonts w:ascii="宋体" w:hAnsi="宋体"/>
                <w:sz w:val="18"/>
                <w:szCs w:val="18"/>
                <w:vertAlign w:val="subscript"/>
              </w:rPr>
              <w:t>2</w:t>
            </w:r>
            <w:r>
              <w:rPr>
                <w:rFonts w:hint="eastAsia" w:ascii="宋体" w:hAnsi="宋体"/>
                <w:sz w:val="18"/>
                <w:szCs w:val="18"/>
              </w:rPr>
              <w:t>/t</w:t>
            </w:r>
          </w:p>
        </w:tc>
        <w:tc>
          <w:tcPr>
            <w:tcW w:w="1401" w:type="pct"/>
            <w:shd w:val="clear" w:color="auto" w:fill="FFFFFF"/>
            <w:vAlign w:val="center"/>
          </w:tcPr>
          <w:p w14:paraId="20424D5D">
            <w:pPr>
              <w:spacing w:line="440" w:lineRule="exact"/>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34D7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 w:hRule="exact"/>
          <w:tblHeader/>
          <w:jc w:val="center"/>
        </w:trPr>
        <w:tc>
          <w:tcPr>
            <w:tcW w:w="749" w:type="pct"/>
            <w:vMerge w:val="continue"/>
            <w:shd w:val="clear" w:color="auto" w:fill="FFFFFF"/>
            <w:vAlign w:val="center"/>
          </w:tcPr>
          <w:p w14:paraId="78DB07DC">
            <w:pPr>
              <w:pStyle w:val="153"/>
              <w:spacing w:after="0" w:line="440" w:lineRule="exact"/>
              <w:ind w:firstLine="0"/>
              <w:jc w:val="center"/>
              <w:rPr>
                <w:sz w:val="18"/>
                <w:szCs w:val="18"/>
                <w:lang w:bidi="zh-TW"/>
              </w:rPr>
            </w:pPr>
          </w:p>
        </w:tc>
        <w:tc>
          <w:tcPr>
            <w:tcW w:w="1395" w:type="pct"/>
            <w:shd w:val="clear" w:color="auto" w:fill="FFFFFF"/>
            <w:vAlign w:val="center"/>
          </w:tcPr>
          <w:p w14:paraId="76A0E061">
            <w:pPr>
              <w:pStyle w:val="153"/>
              <w:spacing w:after="0" w:line="440" w:lineRule="exact"/>
              <w:ind w:firstLine="0"/>
              <w:jc w:val="center"/>
              <w:rPr>
                <w:sz w:val="18"/>
                <w:szCs w:val="18"/>
              </w:rPr>
            </w:pPr>
            <w:r>
              <w:rPr>
                <w:rFonts w:hint="eastAsia"/>
                <w:sz w:val="18"/>
                <w:szCs w:val="18"/>
              </w:rPr>
              <w:t>沉淀反应分解比例</w:t>
            </w:r>
          </w:p>
        </w:tc>
        <w:tc>
          <w:tcPr>
            <w:tcW w:w="949" w:type="pct"/>
            <w:shd w:val="clear" w:color="auto" w:fill="FFFFFF"/>
            <w:vAlign w:val="center"/>
          </w:tcPr>
          <w:p w14:paraId="0623D6DC">
            <w:pPr>
              <w:spacing w:line="440" w:lineRule="exact"/>
              <w:jc w:val="center"/>
              <w:rPr>
                <w:rFonts w:ascii="宋体" w:hAnsi="宋体" w:cs="宋体"/>
                <w:sz w:val="18"/>
                <w:szCs w:val="18"/>
              </w:rPr>
            </w:pPr>
          </w:p>
        </w:tc>
        <w:tc>
          <w:tcPr>
            <w:tcW w:w="505" w:type="pct"/>
            <w:shd w:val="clear" w:color="auto" w:fill="FFFFFF"/>
            <w:vAlign w:val="center"/>
          </w:tcPr>
          <w:p w14:paraId="7FB4492C">
            <w:pPr>
              <w:spacing w:line="440" w:lineRule="exact"/>
              <w:jc w:val="center"/>
              <w:rPr>
                <w:rFonts w:ascii="宋体" w:hAnsi="宋体"/>
                <w:sz w:val="18"/>
                <w:szCs w:val="18"/>
              </w:rPr>
            </w:pPr>
            <w:r>
              <w:rPr>
                <w:rFonts w:hint="eastAsia" w:ascii="宋体" w:hAnsi="宋体"/>
                <w:sz w:val="18"/>
                <w:szCs w:val="18"/>
              </w:rPr>
              <w:t>%</w:t>
            </w:r>
          </w:p>
        </w:tc>
        <w:tc>
          <w:tcPr>
            <w:tcW w:w="1401" w:type="pct"/>
            <w:shd w:val="clear" w:color="auto" w:fill="FFFFFF"/>
            <w:vAlign w:val="center"/>
          </w:tcPr>
          <w:p w14:paraId="7E0D85F2">
            <w:pPr>
              <w:spacing w:line="440" w:lineRule="exact"/>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2BA28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 w:hRule="exact"/>
          <w:tblHeader/>
          <w:jc w:val="center"/>
        </w:trPr>
        <w:tc>
          <w:tcPr>
            <w:tcW w:w="749" w:type="pct"/>
            <w:vMerge w:val="continue"/>
            <w:shd w:val="clear" w:color="auto" w:fill="FFFFFF"/>
            <w:vAlign w:val="center"/>
          </w:tcPr>
          <w:p w14:paraId="6047FDF3">
            <w:pPr>
              <w:pStyle w:val="153"/>
              <w:spacing w:after="0" w:line="440" w:lineRule="exact"/>
              <w:ind w:firstLine="0"/>
              <w:jc w:val="center"/>
              <w:rPr>
                <w:sz w:val="18"/>
                <w:szCs w:val="18"/>
                <w:lang w:bidi="zh-TW"/>
              </w:rPr>
            </w:pPr>
          </w:p>
        </w:tc>
        <w:tc>
          <w:tcPr>
            <w:tcW w:w="1395" w:type="pct"/>
            <w:shd w:val="clear" w:color="auto" w:fill="FFFFFF"/>
            <w:vAlign w:val="center"/>
          </w:tcPr>
          <w:p w14:paraId="3FAEFB13">
            <w:pPr>
              <w:pStyle w:val="153"/>
              <w:spacing w:after="0" w:line="440" w:lineRule="exact"/>
              <w:ind w:firstLine="0"/>
              <w:jc w:val="center"/>
              <w:rPr>
                <w:sz w:val="18"/>
                <w:szCs w:val="18"/>
              </w:rPr>
            </w:pPr>
            <w:r>
              <w:rPr>
                <w:rFonts w:hint="eastAsia"/>
                <w:sz w:val="18"/>
                <w:szCs w:val="18"/>
              </w:rPr>
              <w:t>沉淀剂二氧化碳排放因子</w:t>
            </w:r>
          </w:p>
        </w:tc>
        <w:tc>
          <w:tcPr>
            <w:tcW w:w="949" w:type="pct"/>
            <w:shd w:val="clear" w:color="auto" w:fill="FFFFFF"/>
            <w:vAlign w:val="center"/>
          </w:tcPr>
          <w:p w14:paraId="6880E25F">
            <w:pPr>
              <w:spacing w:line="440" w:lineRule="exact"/>
              <w:jc w:val="center"/>
              <w:rPr>
                <w:rFonts w:ascii="宋体" w:hAnsi="宋体" w:cs="宋体"/>
                <w:sz w:val="18"/>
                <w:szCs w:val="18"/>
              </w:rPr>
            </w:pPr>
          </w:p>
        </w:tc>
        <w:tc>
          <w:tcPr>
            <w:tcW w:w="505" w:type="pct"/>
            <w:shd w:val="clear" w:color="auto" w:fill="FFFFFF"/>
            <w:vAlign w:val="center"/>
          </w:tcPr>
          <w:p w14:paraId="00E501D3">
            <w:pPr>
              <w:spacing w:line="440" w:lineRule="exact"/>
              <w:jc w:val="center"/>
              <w:rPr>
                <w:rFonts w:ascii="宋体" w:hAnsi="宋体"/>
                <w:sz w:val="18"/>
                <w:szCs w:val="18"/>
              </w:rPr>
            </w:pPr>
            <w:r>
              <w:rPr>
                <w:rFonts w:hint="eastAsia" w:ascii="宋体" w:hAnsi="宋体"/>
                <w:sz w:val="18"/>
                <w:szCs w:val="18"/>
              </w:rPr>
              <w:t>tCO</w:t>
            </w:r>
            <w:r>
              <w:rPr>
                <w:rFonts w:ascii="宋体" w:hAnsi="宋体"/>
                <w:sz w:val="18"/>
                <w:szCs w:val="18"/>
                <w:vertAlign w:val="subscript"/>
              </w:rPr>
              <w:t>2</w:t>
            </w:r>
            <w:r>
              <w:rPr>
                <w:rFonts w:hint="eastAsia" w:ascii="宋体" w:hAnsi="宋体"/>
                <w:sz w:val="18"/>
                <w:szCs w:val="18"/>
              </w:rPr>
              <w:t>/t 沉淀剂</w:t>
            </w:r>
          </w:p>
        </w:tc>
        <w:tc>
          <w:tcPr>
            <w:tcW w:w="1401" w:type="pct"/>
            <w:shd w:val="clear" w:color="auto" w:fill="FFFFFF"/>
            <w:vAlign w:val="center"/>
          </w:tcPr>
          <w:p w14:paraId="3911D1E5">
            <w:pPr>
              <w:spacing w:line="440" w:lineRule="exact"/>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3A6D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 w:hRule="exact"/>
          <w:tblHeader/>
          <w:jc w:val="center"/>
        </w:trPr>
        <w:tc>
          <w:tcPr>
            <w:tcW w:w="749" w:type="pct"/>
            <w:vMerge w:val="continue"/>
            <w:shd w:val="clear" w:color="auto" w:fill="FFFFFF"/>
            <w:vAlign w:val="center"/>
          </w:tcPr>
          <w:p w14:paraId="69779B31">
            <w:pPr>
              <w:pStyle w:val="153"/>
              <w:spacing w:after="0" w:line="440" w:lineRule="exact"/>
              <w:ind w:firstLine="0"/>
              <w:jc w:val="center"/>
              <w:rPr>
                <w:sz w:val="18"/>
                <w:szCs w:val="18"/>
                <w:lang w:bidi="zh-TW"/>
              </w:rPr>
            </w:pPr>
          </w:p>
        </w:tc>
        <w:tc>
          <w:tcPr>
            <w:tcW w:w="1395" w:type="pct"/>
            <w:shd w:val="clear" w:color="auto" w:fill="FFFFFF"/>
            <w:vAlign w:val="center"/>
          </w:tcPr>
          <w:p w14:paraId="64D3C203">
            <w:pPr>
              <w:pStyle w:val="153"/>
              <w:spacing w:after="0" w:line="440" w:lineRule="exact"/>
              <w:ind w:firstLine="0"/>
              <w:jc w:val="center"/>
              <w:rPr>
                <w:sz w:val="18"/>
                <w:szCs w:val="18"/>
              </w:rPr>
            </w:pPr>
            <w:r>
              <w:rPr>
                <w:rFonts w:hint="eastAsia"/>
                <w:sz w:val="18"/>
                <w:szCs w:val="18"/>
              </w:rPr>
              <w:t>……</w:t>
            </w:r>
          </w:p>
        </w:tc>
        <w:tc>
          <w:tcPr>
            <w:tcW w:w="949" w:type="pct"/>
            <w:shd w:val="clear" w:color="auto" w:fill="FFFFFF"/>
            <w:vAlign w:val="center"/>
          </w:tcPr>
          <w:p w14:paraId="0E193522">
            <w:pPr>
              <w:spacing w:line="440" w:lineRule="exact"/>
              <w:jc w:val="center"/>
              <w:rPr>
                <w:rFonts w:ascii="宋体" w:hAnsi="宋体" w:cs="宋体"/>
                <w:sz w:val="18"/>
                <w:szCs w:val="18"/>
              </w:rPr>
            </w:pPr>
          </w:p>
        </w:tc>
        <w:tc>
          <w:tcPr>
            <w:tcW w:w="505" w:type="pct"/>
            <w:shd w:val="clear" w:color="auto" w:fill="FFFFFF"/>
            <w:vAlign w:val="center"/>
          </w:tcPr>
          <w:p w14:paraId="00EB2B58">
            <w:pPr>
              <w:spacing w:line="440" w:lineRule="exact"/>
              <w:jc w:val="center"/>
              <w:rPr>
                <w:rFonts w:ascii="宋体" w:hAnsi="宋体"/>
                <w:sz w:val="18"/>
                <w:szCs w:val="18"/>
              </w:rPr>
            </w:pPr>
          </w:p>
        </w:tc>
        <w:tc>
          <w:tcPr>
            <w:tcW w:w="1401" w:type="pct"/>
            <w:shd w:val="clear" w:color="auto" w:fill="FFFFFF"/>
            <w:vAlign w:val="center"/>
          </w:tcPr>
          <w:p w14:paraId="3168E0FE">
            <w:pPr>
              <w:pStyle w:val="153"/>
              <w:spacing w:line="440" w:lineRule="exact"/>
              <w:ind w:firstLine="0"/>
              <w:jc w:val="center"/>
              <w:rPr>
                <w:sz w:val="18"/>
                <w:szCs w:val="18"/>
                <w:lang w:val="zh-TW" w:eastAsia="zh-TW" w:bidi="zh-TW"/>
              </w:rPr>
            </w:pPr>
          </w:p>
        </w:tc>
      </w:tr>
      <w:tr w14:paraId="12AB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 w:hRule="exact"/>
          <w:tblHeader/>
          <w:jc w:val="center"/>
        </w:trPr>
        <w:tc>
          <w:tcPr>
            <w:tcW w:w="749" w:type="pct"/>
            <w:vMerge w:val="continue"/>
            <w:shd w:val="clear" w:color="auto" w:fill="FFFFFF"/>
            <w:vAlign w:val="center"/>
          </w:tcPr>
          <w:p w14:paraId="3CDDC7A4">
            <w:pPr>
              <w:pStyle w:val="153"/>
              <w:spacing w:after="0" w:line="440" w:lineRule="exact"/>
              <w:ind w:firstLine="0"/>
              <w:jc w:val="center"/>
              <w:rPr>
                <w:sz w:val="18"/>
                <w:szCs w:val="18"/>
                <w:lang w:bidi="zh-TW"/>
              </w:rPr>
            </w:pPr>
          </w:p>
        </w:tc>
        <w:tc>
          <w:tcPr>
            <w:tcW w:w="1395" w:type="pct"/>
            <w:shd w:val="clear" w:color="auto" w:fill="FFFFFF"/>
            <w:vAlign w:val="center"/>
          </w:tcPr>
          <w:p w14:paraId="7794E293">
            <w:pPr>
              <w:pStyle w:val="153"/>
              <w:spacing w:after="0" w:line="440" w:lineRule="exact"/>
              <w:ind w:firstLine="0"/>
              <w:jc w:val="center"/>
              <w:rPr>
                <w:sz w:val="18"/>
                <w:szCs w:val="18"/>
              </w:rPr>
            </w:pPr>
            <w:r>
              <w:rPr>
                <w:rFonts w:hint="eastAsia"/>
                <w:b/>
                <w:bCs/>
                <w:sz w:val="18"/>
                <w:szCs w:val="18"/>
              </w:rPr>
              <w:t>沉淀工序</w:t>
            </w:r>
            <w:r>
              <w:rPr>
                <w:b/>
                <w:bCs/>
                <w:sz w:val="18"/>
                <w:szCs w:val="18"/>
              </w:rPr>
              <w:t>排放总量</w:t>
            </w:r>
          </w:p>
        </w:tc>
        <w:tc>
          <w:tcPr>
            <w:tcW w:w="949" w:type="pct"/>
            <w:shd w:val="clear" w:color="auto" w:fill="FFFFFF"/>
            <w:vAlign w:val="center"/>
          </w:tcPr>
          <w:p w14:paraId="70ACAA8C">
            <w:pPr>
              <w:spacing w:line="440" w:lineRule="exact"/>
              <w:jc w:val="center"/>
              <w:rPr>
                <w:rFonts w:ascii="宋体" w:hAnsi="宋体" w:cs="宋体"/>
                <w:sz w:val="18"/>
                <w:szCs w:val="18"/>
              </w:rPr>
            </w:pPr>
          </w:p>
        </w:tc>
        <w:tc>
          <w:tcPr>
            <w:tcW w:w="505" w:type="pct"/>
            <w:shd w:val="clear" w:color="auto" w:fill="FFFFFF"/>
            <w:vAlign w:val="center"/>
          </w:tcPr>
          <w:p w14:paraId="21A9E518">
            <w:pPr>
              <w:spacing w:line="440" w:lineRule="exact"/>
              <w:jc w:val="center"/>
              <w:rPr>
                <w:rFonts w:ascii="宋体" w:hAnsi="宋体"/>
                <w:sz w:val="18"/>
                <w:szCs w:val="18"/>
              </w:rPr>
            </w:pPr>
            <w:r>
              <w:rPr>
                <w:rFonts w:hint="eastAsia" w:ascii="宋体" w:hAnsi="宋体"/>
                <w:sz w:val="18"/>
                <w:szCs w:val="18"/>
              </w:rPr>
              <w:t>tCO</w:t>
            </w:r>
            <w:r>
              <w:rPr>
                <w:rFonts w:hint="eastAsia" w:ascii="宋体" w:hAnsi="宋体"/>
                <w:sz w:val="18"/>
                <w:szCs w:val="18"/>
                <w:vertAlign w:val="subscript"/>
              </w:rPr>
              <w:t>2</w:t>
            </w:r>
            <w:r>
              <w:rPr>
                <w:rFonts w:hint="eastAsia" w:ascii="宋体" w:hAnsi="宋体"/>
                <w:sz w:val="18"/>
                <w:szCs w:val="18"/>
              </w:rPr>
              <w:t>e</w:t>
            </w:r>
          </w:p>
        </w:tc>
        <w:tc>
          <w:tcPr>
            <w:tcW w:w="1401" w:type="pct"/>
            <w:shd w:val="clear" w:color="auto" w:fill="FFFFFF"/>
            <w:vAlign w:val="center"/>
          </w:tcPr>
          <w:p w14:paraId="3054F32B">
            <w:pPr>
              <w:pStyle w:val="153"/>
              <w:spacing w:line="440" w:lineRule="exact"/>
              <w:ind w:firstLine="0"/>
              <w:jc w:val="center"/>
              <w:rPr>
                <w:sz w:val="18"/>
                <w:szCs w:val="18"/>
                <w:lang w:bidi="zh-TW"/>
              </w:rPr>
            </w:pPr>
            <w:r>
              <w:rPr>
                <w:rFonts w:hint="eastAsia"/>
                <w:sz w:val="18"/>
                <w:szCs w:val="18"/>
                <w:lang w:bidi="zh-TW"/>
              </w:rPr>
              <w:t>/</w:t>
            </w:r>
          </w:p>
        </w:tc>
      </w:tr>
      <w:tr w14:paraId="2A91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0" w:hRule="exact"/>
          <w:tblHeader/>
          <w:jc w:val="center"/>
        </w:trPr>
        <w:tc>
          <w:tcPr>
            <w:tcW w:w="749" w:type="pct"/>
            <w:vMerge w:val="restart"/>
            <w:shd w:val="clear" w:color="auto" w:fill="FFFFFF"/>
            <w:vAlign w:val="center"/>
          </w:tcPr>
          <w:p w14:paraId="6F1BA934">
            <w:pPr>
              <w:pStyle w:val="153"/>
              <w:spacing w:after="0" w:line="440" w:lineRule="exact"/>
              <w:ind w:firstLine="0"/>
              <w:jc w:val="center"/>
              <w:rPr>
                <w:sz w:val="18"/>
                <w:szCs w:val="18"/>
              </w:rPr>
            </w:pPr>
            <w:r>
              <w:rPr>
                <w:rFonts w:hint="eastAsia"/>
                <w:sz w:val="18"/>
                <w:szCs w:val="18"/>
                <w:lang w:bidi="zh-TW"/>
              </w:rPr>
              <w:t>含碳稀土前驱体分解</w:t>
            </w:r>
          </w:p>
        </w:tc>
        <w:tc>
          <w:tcPr>
            <w:tcW w:w="1395" w:type="pct"/>
            <w:shd w:val="clear" w:color="auto" w:fill="FFFFFF"/>
            <w:vAlign w:val="center"/>
          </w:tcPr>
          <w:p w14:paraId="21B3EE43">
            <w:pPr>
              <w:pStyle w:val="153"/>
              <w:spacing w:after="0" w:line="440" w:lineRule="exact"/>
              <w:ind w:firstLine="0"/>
              <w:jc w:val="center"/>
              <w:rPr>
                <w:sz w:val="18"/>
                <w:szCs w:val="18"/>
              </w:rPr>
            </w:pPr>
            <w:r>
              <w:rPr>
                <w:rFonts w:hint="eastAsia"/>
                <w:sz w:val="18"/>
                <w:szCs w:val="18"/>
              </w:rPr>
              <w:t>碳酸铈消耗量</w:t>
            </w:r>
          </w:p>
        </w:tc>
        <w:tc>
          <w:tcPr>
            <w:tcW w:w="949" w:type="pct"/>
            <w:shd w:val="clear" w:color="auto" w:fill="FFFFFF"/>
            <w:vAlign w:val="center"/>
          </w:tcPr>
          <w:p w14:paraId="00B983DF">
            <w:pPr>
              <w:spacing w:line="440" w:lineRule="exact"/>
              <w:jc w:val="center"/>
              <w:rPr>
                <w:rFonts w:ascii="宋体" w:hAnsi="宋体" w:cs="宋体"/>
                <w:sz w:val="18"/>
                <w:szCs w:val="18"/>
              </w:rPr>
            </w:pPr>
          </w:p>
        </w:tc>
        <w:tc>
          <w:tcPr>
            <w:tcW w:w="505" w:type="pct"/>
            <w:shd w:val="clear" w:color="auto" w:fill="FFFFFF"/>
            <w:vAlign w:val="center"/>
          </w:tcPr>
          <w:p w14:paraId="357645EE">
            <w:pPr>
              <w:spacing w:line="440" w:lineRule="exact"/>
              <w:jc w:val="center"/>
              <w:rPr>
                <w:rFonts w:ascii="宋体" w:hAnsi="宋体"/>
                <w:sz w:val="18"/>
                <w:szCs w:val="18"/>
              </w:rPr>
            </w:pPr>
            <w:r>
              <w:rPr>
                <w:rFonts w:hint="eastAsia" w:ascii="宋体" w:hAnsi="宋体"/>
                <w:sz w:val="18"/>
                <w:szCs w:val="18"/>
              </w:rPr>
              <w:t>t</w:t>
            </w:r>
          </w:p>
        </w:tc>
        <w:tc>
          <w:tcPr>
            <w:tcW w:w="1401" w:type="pct"/>
            <w:shd w:val="clear" w:color="auto" w:fill="FFFFFF"/>
            <w:vAlign w:val="center"/>
          </w:tcPr>
          <w:p w14:paraId="0C646B89">
            <w:pPr>
              <w:pStyle w:val="153"/>
              <w:spacing w:line="440" w:lineRule="exact"/>
              <w:ind w:firstLine="0"/>
              <w:jc w:val="center"/>
              <w:rPr>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1DA9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2" w:hRule="exact"/>
          <w:tblHeader/>
          <w:jc w:val="center"/>
        </w:trPr>
        <w:tc>
          <w:tcPr>
            <w:tcW w:w="749" w:type="pct"/>
            <w:vMerge w:val="continue"/>
            <w:shd w:val="clear" w:color="auto" w:fill="FFFFFF"/>
            <w:vAlign w:val="center"/>
          </w:tcPr>
          <w:p w14:paraId="2839DE84">
            <w:pPr>
              <w:spacing w:line="440" w:lineRule="exact"/>
              <w:jc w:val="center"/>
              <w:rPr>
                <w:rFonts w:ascii="宋体" w:hAnsi="宋体"/>
                <w:sz w:val="18"/>
                <w:szCs w:val="18"/>
              </w:rPr>
            </w:pPr>
          </w:p>
        </w:tc>
        <w:tc>
          <w:tcPr>
            <w:tcW w:w="1395" w:type="pct"/>
            <w:shd w:val="clear" w:color="auto" w:fill="FFFFFF"/>
            <w:vAlign w:val="center"/>
          </w:tcPr>
          <w:p w14:paraId="3EE85691">
            <w:pPr>
              <w:pStyle w:val="153"/>
              <w:spacing w:after="0" w:line="440" w:lineRule="exact"/>
              <w:ind w:firstLine="0"/>
              <w:jc w:val="center"/>
              <w:rPr>
                <w:sz w:val="18"/>
                <w:szCs w:val="18"/>
              </w:rPr>
            </w:pPr>
            <w:r>
              <w:rPr>
                <w:rFonts w:hint="eastAsia"/>
                <w:sz w:val="18"/>
                <w:szCs w:val="18"/>
              </w:rPr>
              <w:t>碳酸铈质量分数</w:t>
            </w:r>
          </w:p>
        </w:tc>
        <w:tc>
          <w:tcPr>
            <w:tcW w:w="949" w:type="pct"/>
            <w:shd w:val="clear" w:color="auto" w:fill="FFFFFF"/>
            <w:vAlign w:val="center"/>
          </w:tcPr>
          <w:p w14:paraId="3B565DB6">
            <w:pPr>
              <w:spacing w:line="440" w:lineRule="exact"/>
              <w:jc w:val="center"/>
              <w:rPr>
                <w:rFonts w:ascii="宋体" w:hAnsi="宋体"/>
                <w:sz w:val="18"/>
                <w:szCs w:val="18"/>
              </w:rPr>
            </w:pPr>
          </w:p>
        </w:tc>
        <w:tc>
          <w:tcPr>
            <w:tcW w:w="505" w:type="pct"/>
            <w:shd w:val="clear" w:color="auto" w:fill="FFFFFF"/>
            <w:vAlign w:val="center"/>
          </w:tcPr>
          <w:p w14:paraId="4654224E">
            <w:pPr>
              <w:spacing w:line="440" w:lineRule="exact"/>
              <w:jc w:val="center"/>
              <w:rPr>
                <w:rFonts w:ascii="宋体" w:hAnsi="宋体"/>
                <w:sz w:val="18"/>
                <w:szCs w:val="18"/>
              </w:rPr>
            </w:pPr>
            <w:r>
              <w:rPr>
                <w:rFonts w:hint="eastAsia" w:ascii="宋体" w:hAnsi="宋体"/>
                <w:sz w:val="18"/>
                <w:szCs w:val="18"/>
              </w:rPr>
              <w:t>%</w:t>
            </w:r>
          </w:p>
        </w:tc>
        <w:tc>
          <w:tcPr>
            <w:tcW w:w="1401" w:type="pct"/>
            <w:shd w:val="clear" w:color="auto" w:fill="FFFFFF"/>
            <w:vAlign w:val="center"/>
          </w:tcPr>
          <w:p w14:paraId="5D5BE0D0">
            <w:pPr>
              <w:spacing w:line="440" w:lineRule="exact"/>
              <w:jc w:val="center"/>
              <w:rPr>
                <w:rFonts w:ascii="宋体" w:hAnsi="宋体"/>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54234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2" w:hRule="exact"/>
          <w:tblHeader/>
          <w:jc w:val="center"/>
        </w:trPr>
        <w:tc>
          <w:tcPr>
            <w:tcW w:w="749" w:type="pct"/>
            <w:vMerge w:val="continue"/>
            <w:shd w:val="clear" w:color="auto" w:fill="FFFFFF"/>
            <w:vAlign w:val="center"/>
          </w:tcPr>
          <w:p w14:paraId="168E27F9">
            <w:pPr>
              <w:spacing w:line="440" w:lineRule="exact"/>
              <w:jc w:val="center"/>
              <w:rPr>
                <w:rFonts w:ascii="宋体" w:hAnsi="宋体"/>
                <w:sz w:val="18"/>
                <w:szCs w:val="18"/>
              </w:rPr>
            </w:pPr>
          </w:p>
        </w:tc>
        <w:tc>
          <w:tcPr>
            <w:tcW w:w="1395" w:type="pct"/>
            <w:shd w:val="clear" w:color="auto" w:fill="FFFFFF"/>
            <w:vAlign w:val="center"/>
          </w:tcPr>
          <w:p w14:paraId="36568ED6">
            <w:pPr>
              <w:pStyle w:val="153"/>
              <w:spacing w:after="0" w:line="440" w:lineRule="exact"/>
              <w:ind w:firstLine="0"/>
              <w:jc w:val="center"/>
              <w:rPr>
                <w:sz w:val="18"/>
                <w:szCs w:val="18"/>
              </w:rPr>
            </w:pPr>
            <w:r>
              <w:rPr>
                <w:rFonts w:hint="eastAsia"/>
                <w:sz w:val="18"/>
                <w:szCs w:val="18"/>
              </w:rPr>
              <w:t>碳酸铈分解率</w:t>
            </w:r>
          </w:p>
        </w:tc>
        <w:tc>
          <w:tcPr>
            <w:tcW w:w="949" w:type="pct"/>
            <w:shd w:val="clear" w:color="auto" w:fill="FFFFFF"/>
            <w:vAlign w:val="center"/>
          </w:tcPr>
          <w:p w14:paraId="3ECCB3C0">
            <w:pPr>
              <w:spacing w:line="440" w:lineRule="exact"/>
              <w:jc w:val="center"/>
              <w:rPr>
                <w:rFonts w:ascii="宋体" w:hAnsi="宋体"/>
                <w:sz w:val="18"/>
                <w:szCs w:val="18"/>
              </w:rPr>
            </w:pPr>
          </w:p>
        </w:tc>
        <w:tc>
          <w:tcPr>
            <w:tcW w:w="505" w:type="pct"/>
            <w:shd w:val="clear" w:color="auto" w:fill="FFFFFF"/>
            <w:vAlign w:val="center"/>
          </w:tcPr>
          <w:p w14:paraId="387AC7E5">
            <w:pPr>
              <w:spacing w:line="440" w:lineRule="exact"/>
              <w:jc w:val="center"/>
              <w:rPr>
                <w:rFonts w:ascii="宋体" w:hAnsi="宋体"/>
                <w:sz w:val="18"/>
                <w:szCs w:val="18"/>
              </w:rPr>
            </w:pPr>
            <w:r>
              <w:rPr>
                <w:rFonts w:hint="eastAsia" w:ascii="宋体" w:hAnsi="宋体"/>
                <w:sz w:val="18"/>
                <w:szCs w:val="18"/>
              </w:rPr>
              <w:t>%</w:t>
            </w:r>
          </w:p>
        </w:tc>
        <w:tc>
          <w:tcPr>
            <w:tcW w:w="1401" w:type="pct"/>
            <w:shd w:val="clear" w:color="auto" w:fill="FFFFFF"/>
            <w:vAlign w:val="center"/>
          </w:tcPr>
          <w:p w14:paraId="6AC07C2E">
            <w:pPr>
              <w:spacing w:line="440" w:lineRule="exact"/>
              <w:jc w:val="center"/>
              <w:rPr>
                <w:rFonts w:ascii="宋体" w:hAnsi="宋体"/>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1E22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2" w:hRule="exact"/>
          <w:tblHeader/>
          <w:jc w:val="center"/>
        </w:trPr>
        <w:tc>
          <w:tcPr>
            <w:tcW w:w="749" w:type="pct"/>
            <w:vMerge w:val="continue"/>
            <w:shd w:val="clear" w:color="auto" w:fill="FFFFFF"/>
            <w:vAlign w:val="center"/>
          </w:tcPr>
          <w:p w14:paraId="52DBDEC4">
            <w:pPr>
              <w:spacing w:line="440" w:lineRule="exact"/>
              <w:jc w:val="center"/>
              <w:rPr>
                <w:rFonts w:ascii="宋体" w:hAnsi="宋体"/>
                <w:sz w:val="18"/>
                <w:szCs w:val="18"/>
              </w:rPr>
            </w:pPr>
          </w:p>
        </w:tc>
        <w:tc>
          <w:tcPr>
            <w:tcW w:w="1395" w:type="pct"/>
            <w:shd w:val="clear" w:color="auto" w:fill="FFFFFF"/>
            <w:vAlign w:val="center"/>
          </w:tcPr>
          <w:p w14:paraId="425BCA32">
            <w:pPr>
              <w:pStyle w:val="153"/>
              <w:spacing w:after="0" w:line="440" w:lineRule="exact"/>
              <w:ind w:firstLine="0"/>
              <w:jc w:val="center"/>
              <w:rPr>
                <w:sz w:val="18"/>
                <w:szCs w:val="18"/>
                <w:lang w:bidi="zh-TW"/>
              </w:rPr>
            </w:pPr>
            <w:r>
              <w:rPr>
                <w:rFonts w:hint="eastAsia"/>
                <w:sz w:val="18"/>
                <w:szCs w:val="18"/>
              </w:rPr>
              <w:t>碳酸铈二氧化碳排放因子</w:t>
            </w:r>
          </w:p>
        </w:tc>
        <w:tc>
          <w:tcPr>
            <w:tcW w:w="949" w:type="pct"/>
            <w:shd w:val="clear" w:color="auto" w:fill="FFFFFF"/>
            <w:vAlign w:val="center"/>
          </w:tcPr>
          <w:p w14:paraId="0B4C3A2C">
            <w:pPr>
              <w:spacing w:line="440" w:lineRule="exact"/>
              <w:jc w:val="center"/>
              <w:rPr>
                <w:rFonts w:ascii="宋体" w:hAnsi="宋体"/>
                <w:sz w:val="18"/>
                <w:szCs w:val="18"/>
              </w:rPr>
            </w:pPr>
          </w:p>
        </w:tc>
        <w:tc>
          <w:tcPr>
            <w:tcW w:w="505" w:type="pct"/>
            <w:shd w:val="clear" w:color="auto" w:fill="FFFFFF"/>
            <w:vAlign w:val="center"/>
          </w:tcPr>
          <w:p w14:paraId="6E362E18">
            <w:pPr>
              <w:spacing w:line="440" w:lineRule="exact"/>
              <w:jc w:val="center"/>
              <w:rPr>
                <w:rFonts w:ascii="宋体" w:hAnsi="宋体"/>
                <w:sz w:val="18"/>
                <w:szCs w:val="18"/>
              </w:rPr>
            </w:pPr>
            <w:r>
              <w:rPr>
                <w:rFonts w:hint="eastAsia" w:ascii="宋体" w:hAnsi="宋体"/>
                <w:sz w:val="18"/>
                <w:szCs w:val="18"/>
              </w:rPr>
              <w:t>tCO</w:t>
            </w:r>
            <w:r>
              <w:rPr>
                <w:rFonts w:ascii="宋体" w:hAnsi="宋体"/>
                <w:sz w:val="18"/>
                <w:szCs w:val="18"/>
                <w:vertAlign w:val="subscript"/>
              </w:rPr>
              <w:t>2</w:t>
            </w:r>
            <w:r>
              <w:rPr>
                <w:rFonts w:hint="eastAsia" w:ascii="宋体" w:hAnsi="宋体"/>
                <w:sz w:val="18"/>
                <w:szCs w:val="18"/>
              </w:rPr>
              <w:t>/t 前驱体</w:t>
            </w:r>
          </w:p>
        </w:tc>
        <w:tc>
          <w:tcPr>
            <w:tcW w:w="1401" w:type="pct"/>
            <w:shd w:val="clear" w:color="auto" w:fill="FFFFFF"/>
            <w:vAlign w:val="center"/>
          </w:tcPr>
          <w:p w14:paraId="645AB0C4">
            <w:pPr>
              <w:spacing w:line="440" w:lineRule="exact"/>
              <w:jc w:val="center"/>
              <w:rPr>
                <w:rFonts w:ascii="宋体" w:hAnsi="宋体"/>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33EF7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2" w:hRule="exact"/>
          <w:tblHeader/>
          <w:jc w:val="center"/>
        </w:trPr>
        <w:tc>
          <w:tcPr>
            <w:tcW w:w="749" w:type="pct"/>
            <w:vMerge w:val="continue"/>
            <w:shd w:val="clear" w:color="auto" w:fill="FFFFFF"/>
            <w:vAlign w:val="center"/>
          </w:tcPr>
          <w:p w14:paraId="79C29BFD">
            <w:pPr>
              <w:spacing w:line="440" w:lineRule="exact"/>
              <w:jc w:val="center"/>
              <w:rPr>
                <w:rFonts w:ascii="宋体" w:hAnsi="宋体"/>
                <w:sz w:val="18"/>
                <w:szCs w:val="18"/>
              </w:rPr>
            </w:pPr>
          </w:p>
        </w:tc>
        <w:tc>
          <w:tcPr>
            <w:tcW w:w="1395" w:type="pct"/>
            <w:shd w:val="clear" w:color="auto" w:fill="FFFFFF"/>
            <w:vAlign w:val="center"/>
          </w:tcPr>
          <w:p w14:paraId="7260CE65">
            <w:pPr>
              <w:pStyle w:val="153"/>
              <w:spacing w:after="0" w:line="440" w:lineRule="exact"/>
              <w:ind w:firstLine="0"/>
              <w:jc w:val="center"/>
              <w:rPr>
                <w:sz w:val="18"/>
                <w:szCs w:val="18"/>
              </w:rPr>
            </w:pPr>
            <w:r>
              <w:rPr>
                <w:rFonts w:hint="eastAsia"/>
                <w:sz w:val="18"/>
                <w:szCs w:val="18"/>
              </w:rPr>
              <w:t>……</w:t>
            </w:r>
          </w:p>
        </w:tc>
        <w:tc>
          <w:tcPr>
            <w:tcW w:w="949" w:type="pct"/>
            <w:shd w:val="clear" w:color="auto" w:fill="FFFFFF"/>
            <w:vAlign w:val="center"/>
          </w:tcPr>
          <w:p w14:paraId="0D30AE96">
            <w:pPr>
              <w:spacing w:line="440" w:lineRule="exact"/>
              <w:jc w:val="center"/>
              <w:rPr>
                <w:rFonts w:ascii="宋体" w:hAnsi="宋体"/>
                <w:sz w:val="18"/>
                <w:szCs w:val="18"/>
              </w:rPr>
            </w:pPr>
          </w:p>
        </w:tc>
        <w:tc>
          <w:tcPr>
            <w:tcW w:w="505" w:type="pct"/>
            <w:shd w:val="clear" w:color="auto" w:fill="FFFFFF"/>
            <w:vAlign w:val="center"/>
          </w:tcPr>
          <w:p w14:paraId="3D272250">
            <w:pPr>
              <w:spacing w:line="440" w:lineRule="exact"/>
              <w:jc w:val="center"/>
              <w:rPr>
                <w:rFonts w:ascii="宋体" w:hAnsi="宋体"/>
                <w:sz w:val="18"/>
                <w:szCs w:val="18"/>
              </w:rPr>
            </w:pPr>
          </w:p>
        </w:tc>
        <w:tc>
          <w:tcPr>
            <w:tcW w:w="1401" w:type="pct"/>
            <w:shd w:val="clear" w:color="auto" w:fill="FFFFFF"/>
            <w:vAlign w:val="center"/>
          </w:tcPr>
          <w:p w14:paraId="2BDB77BE">
            <w:pPr>
              <w:pStyle w:val="153"/>
              <w:spacing w:line="440" w:lineRule="exact"/>
              <w:ind w:firstLine="0"/>
              <w:jc w:val="center"/>
              <w:rPr>
                <w:sz w:val="18"/>
                <w:szCs w:val="18"/>
              </w:rPr>
            </w:pPr>
          </w:p>
        </w:tc>
      </w:tr>
      <w:tr w14:paraId="7090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2" w:hRule="exact"/>
          <w:tblHeader/>
          <w:jc w:val="center"/>
        </w:trPr>
        <w:tc>
          <w:tcPr>
            <w:tcW w:w="749" w:type="pct"/>
            <w:vMerge w:val="continue"/>
            <w:shd w:val="clear" w:color="auto" w:fill="FFFFFF"/>
            <w:vAlign w:val="center"/>
          </w:tcPr>
          <w:p w14:paraId="2BFB833E">
            <w:pPr>
              <w:spacing w:line="440" w:lineRule="exact"/>
              <w:jc w:val="center"/>
              <w:rPr>
                <w:rFonts w:ascii="宋体" w:hAnsi="宋体"/>
                <w:sz w:val="18"/>
                <w:szCs w:val="18"/>
              </w:rPr>
            </w:pPr>
          </w:p>
        </w:tc>
        <w:tc>
          <w:tcPr>
            <w:tcW w:w="1395" w:type="pct"/>
            <w:shd w:val="clear" w:color="auto" w:fill="FFFFFF"/>
            <w:vAlign w:val="center"/>
          </w:tcPr>
          <w:p w14:paraId="53495A39">
            <w:pPr>
              <w:pStyle w:val="153"/>
              <w:spacing w:after="0" w:line="440" w:lineRule="exact"/>
              <w:ind w:firstLine="0"/>
              <w:jc w:val="center"/>
              <w:rPr>
                <w:sz w:val="18"/>
                <w:szCs w:val="18"/>
              </w:rPr>
            </w:pPr>
            <w:r>
              <w:rPr>
                <w:rFonts w:hint="eastAsia"/>
                <w:b/>
                <w:bCs/>
                <w:sz w:val="18"/>
                <w:szCs w:val="18"/>
              </w:rPr>
              <w:t>前驱体分解</w:t>
            </w:r>
            <w:r>
              <w:rPr>
                <w:b/>
                <w:bCs/>
                <w:sz w:val="18"/>
                <w:szCs w:val="18"/>
              </w:rPr>
              <w:t>排放总量</w:t>
            </w:r>
          </w:p>
        </w:tc>
        <w:tc>
          <w:tcPr>
            <w:tcW w:w="949" w:type="pct"/>
            <w:shd w:val="clear" w:color="auto" w:fill="FFFFFF"/>
            <w:vAlign w:val="center"/>
          </w:tcPr>
          <w:p w14:paraId="3E2A9BCA">
            <w:pPr>
              <w:spacing w:line="440" w:lineRule="exact"/>
              <w:jc w:val="center"/>
              <w:rPr>
                <w:rFonts w:ascii="宋体" w:hAnsi="宋体"/>
                <w:sz w:val="18"/>
                <w:szCs w:val="18"/>
              </w:rPr>
            </w:pPr>
          </w:p>
        </w:tc>
        <w:tc>
          <w:tcPr>
            <w:tcW w:w="505" w:type="pct"/>
            <w:shd w:val="clear" w:color="auto" w:fill="FFFFFF"/>
            <w:vAlign w:val="center"/>
          </w:tcPr>
          <w:p w14:paraId="29BB9D7C">
            <w:pPr>
              <w:spacing w:line="440" w:lineRule="exact"/>
              <w:jc w:val="center"/>
              <w:rPr>
                <w:rFonts w:ascii="宋体" w:hAnsi="宋体"/>
                <w:sz w:val="18"/>
                <w:szCs w:val="18"/>
              </w:rPr>
            </w:pPr>
            <w:r>
              <w:rPr>
                <w:rFonts w:hint="eastAsia" w:ascii="宋体" w:hAnsi="宋体"/>
                <w:sz w:val="18"/>
                <w:szCs w:val="18"/>
              </w:rPr>
              <w:t>tCO</w:t>
            </w:r>
            <w:r>
              <w:rPr>
                <w:rFonts w:hint="eastAsia" w:ascii="宋体" w:hAnsi="宋体"/>
                <w:sz w:val="18"/>
                <w:szCs w:val="18"/>
                <w:vertAlign w:val="subscript"/>
              </w:rPr>
              <w:t>2</w:t>
            </w:r>
            <w:r>
              <w:rPr>
                <w:rFonts w:hint="eastAsia" w:ascii="宋体" w:hAnsi="宋体"/>
                <w:sz w:val="18"/>
                <w:szCs w:val="18"/>
              </w:rPr>
              <w:t>e</w:t>
            </w:r>
          </w:p>
        </w:tc>
        <w:tc>
          <w:tcPr>
            <w:tcW w:w="1401" w:type="pct"/>
            <w:shd w:val="clear" w:color="auto" w:fill="FFFFFF"/>
            <w:vAlign w:val="center"/>
          </w:tcPr>
          <w:p w14:paraId="099EB9F1">
            <w:pPr>
              <w:pStyle w:val="153"/>
              <w:spacing w:line="440" w:lineRule="exact"/>
              <w:ind w:firstLine="0"/>
              <w:jc w:val="center"/>
              <w:rPr>
                <w:sz w:val="18"/>
                <w:szCs w:val="18"/>
                <w:lang w:val="zh-TW" w:eastAsia="zh-TW" w:bidi="zh-TW"/>
              </w:rPr>
            </w:pPr>
            <w:r>
              <w:rPr>
                <w:rFonts w:hint="eastAsia"/>
                <w:sz w:val="18"/>
                <w:szCs w:val="18"/>
                <w:lang w:bidi="zh-TW"/>
              </w:rPr>
              <w:t>/</w:t>
            </w:r>
          </w:p>
        </w:tc>
      </w:tr>
    </w:tbl>
    <w:p w14:paraId="475EDA12">
      <w:pPr>
        <w:pStyle w:val="151"/>
        <w:spacing w:after="220" w:line="240" w:lineRule="auto"/>
        <w:ind w:firstLine="0"/>
        <w:rPr>
          <w:rFonts w:hint="eastAsia" w:ascii="Times New Roman" w:hAnsi="Times New Roman" w:eastAsia="黑体" w:cs="Times New Roman"/>
          <w:bCs/>
          <w:szCs w:val="21"/>
          <w:lang w:val="en-US" w:eastAsia="zh-CN" w:bidi="ar-SA"/>
        </w:rPr>
      </w:pPr>
    </w:p>
    <w:p w14:paraId="71D4420F">
      <w:pPr>
        <w:keepNext w:val="0"/>
        <w:keepLines w:val="0"/>
        <w:pageBreakBefore w:val="0"/>
        <w:widowControl w:val="0"/>
        <w:kinsoku/>
        <w:wordWrap/>
        <w:overflowPunct/>
        <w:topLinePunct w:val="0"/>
        <w:autoSpaceDE/>
        <w:autoSpaceDN/>
        <w:bidi w:val="0"/>
        <w:adjustRightInd/>
        <w:snapToGrid/>
        <w:ind w:firstLine="3780" w:firstLineChars="1800"/>
        <w:textAlignment w:val="auto"/>
        <w:rPr>
          <w:rFonts w:hint="eastAsia" w:ascii="Times New Roman" w:hAnsi="Times New Roman" w:eastAsia="黑体" w:cs="Times New Roman"/>
          <w:bCs/>
          <w:szCs w:val="21"/>
          <w:lang w:val="en-US" w:eastAsia="zh-CN" w:bidi="ar-SA"/>
        </w:rPr>
      </w:pPr>
      <w:r>
        <w:rPr>
          <w:rFonts w:eastAsia="黑体"/>
          <w:bCs/>
          <w:szCs w:val="21"/>
        </w:rPr>
        <w:t>表</w:t>
      </w:r>
      <w:r>
        <w:rPr>
          <w:rFonts w:hint="eastAsia" w:eastAsia="黑体"/>
          <w:bCs/>
          <w:szCs w:val="21"/>
        </w:rPr>
        <w:t>D</w:t>
      </w:r>
      <w:r>
        <w:rPr>
          <w:rFonts w:eastAsia="黑体"/>
          <w:bCs/>
          <w:szCs w:val="21"/>
        </w:rPr>
        <w:t>.</w:t>
      </w:r>
      <w:r>
        <w:rPr>
          <w:rFonts w:hint="eastAsia" w:eastAsia="黑体"/>
          <w:bCs/>
          <w:szCs w:val="21"/>
          <w:lang w:val="en-US" w:eastAsia="zh-CN"/>
        </w:rPr>
        <w:t>3</w:t>
      </w:r>
      <w:r>
        <w:rPr>
          <w:rFonts w:eastAsia="黑体"/>
          <w:bCs/>
          <w:szCs w:val="21"/>
        </w:rPr>
        <w:t xml:space="preserve"> 报告主体</w:t>
      </w:r>
      <w:r>
        <w:rPr>
          <w:rFonts w:hint="eastAsia" w:eastAsia="黑体"/>
          <w:bCs/>
          <w:szCs w:val="21"/>
        </w:rPr>
        <w:t>废弃物处理处置</w:t>
      </w:r>
      <w:r>
        <w:rPr>
          <w:rFonts w:eastAsia="黑体"/>
          <w:bCs/>
          <w:szCs w:val="21"/>
        </w:rPr>
        <w:t>活动数据和排放因子数据一览表</w:t>
      </w:r>
      <w:r>
        <w:rPr>
          <w:rFonts w:hint="eastAsia" w:eastAsia="黑体"/>
          <w:bCs/>
          <w:szCs w:val="21"/>
          <w:lang w:eastAsia="zh-CN"/>
        </w:rPr>
        <w:t>（</w:t>
      </w:r>
      <w:r>
        <w:rPr>
          <w:rFonts w:hint="eastAsia" w:eastAsia="黑体"/>
          <w:bCs/>
          <w:szCs w:val="21"/>
          <w:lang w:val="en-US" w:eastAsia="zh-CN"/>
        </w:rPr>
        <w:t>续表</w:t>
      </w:r>
      <w:r>
        <w:rPr>
          <w:rFonts w:hint="eastAsia" w:eastAsia="黑体"/>
          <w:bCs/>
          <w:szCs w:val="21"/>
          <w:lang w:eastAsia="zh-CN"/>
        </w:rPr>
        <w:t>）</w:t>
      </w:r>
      <w:r>
        <w:rPr>
          <w:rFonts w:hint="eastAsia" w:eastAsia="黑体"/>
          <w:bCs/>
          <w:szCs w:val="21"/>
        </w:rPr>
        <w:t xml:space="preserve">  </w:t>
      </w:r>
    </w:p>
    <w:tbl>
      <w:tblPr>
        <w:tblStyle w:val="35"/>
        <w:tblW w:w="49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83"/>
        <w:gridCol w:w="3881"/>
        <w:gridCol w:w="2640"/>
        <w:gridCol w:w="1405"/>
        <w:gridCol w:w="3900"/>
      </w:tblGrid>
      <w:tr w14:paraId="3499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9" w:hRule="exact"/>
          <w:jc w:val="center"/>
        </w:trPr>
        <w:tc>
          <w:tcPr>
            <w:tcW w:w="749" w:type="pct"/>
            <w:shd w:val="clear" w:color="auto" w:fill="FFFFFF"/>
            <w:vAlign w:val="center"/>
          </w:tcPr>
          <w:p w14:paraId="3D244EEF">
            <w:pPr>
              <w:pStyle w:val="153"/>
              <w:spacing w:after="0" w:line="440" w:lineRule="exact"/>
              <w:ind w:firstLine="0"/>
              <w:jc w:val="center"/>
              <w:rPr>
                <w:sz w:val="18"/>
                <w:szCs w:val="18"/>
              </w:rPr>
            </w:pPr>
            <w:r>
              <w:rPr>
                <w:rFonts w:hint="eastAsia"/>
                <w:sz w:val="18"/>
                <w:szCs w:val="18"/>
                <w:lang w:bidi="zh-TW"/>
              </w:rPr>
              <w:t>项目</w:t>
            </w:r>
          </w:p>
        </w:tc>
        <w:tc>
          <w:tcPr>
            <w:tcW w:w="1395" w:type="pct"/>
            <w:shd w:val="clear" w:color="auto" w:fill="FFFFFF"/>
            <w:vAlign w:val="center"/>
          </w:tcPr>
          <w:p w14:paraId="4F73388F">
            <w:pPr>
              <w:pStyle w:val="153"/>
              <w:spacing w:after="0" w:line="440" w:lineRule="exact"/>
              <w:ind w:firstLine="0"/>
              <w:jc w:val="center"/>
              <w:rPr>
                <w:sz w:val="18"/>
                <w:szCs w:val="18"/>
              </w:rPr>
            </w:pPr>
            <w:r>
              <w:rPr>
                <w:rFonts w:hint="eastAsia"/>
                <w:sz w:val="18"/>
                <w:szCs w:val="18"/>
              </w:rPr>
              <w:t>参数名称</w:t>
            </w:r>
            <w:r>
              <w:rPr>
                <w:rFonts w:hint="eastAsia"/>
                <w:sz w:val="18"/>
                <w:szCs w:val="18"/>
                <w:lang w:bidi="zh-TW"/>
              </w:rPr>
              <w:t xml:space="preserve"> </w:t>
            </w:r>
          </w:p>
        </w:tc>
        <w:tc>
          <w:tcPr>
            <w:tcW w:w="949" w:type="pct"/>
            <w:shd w:val="clear" w:color="auto" w:fill="FFFFFF"/>
            <w:vAlign w:val="center"/>
          </w:tcPr>
          <w:p w14:paraId="5CEA9BFC">
            <w:pPr>
              <w:pStyle w:val="153"/>
              <w:spacing w:after="60" w:line="440" w:lineRule="exact"/>
              <w:ind w:firstLine="0"/>
              <w:jc w:val="center"/>
              <w:rPr>
                <w:sz w:val="18"/>
                <w:szCs w:val="18"/>
              </w:rPr>
            </w:pPr>
            <w:r>
              <w:rPr>
                <w:rFonts w:hint="eastAsia"/>
                <w:sz w:val="18"/>
                <w:szCs w:val="18"/>
              </w:rPr>
              <w:t>量值</w:t>
            </w:r>
          </w:p>
        </w:tc>
        <w:tc>
          <w:tcPr>
            <w:tcW w:w="505" w:type="pct"/>
            <w:shd w:val="clear" w:color="auto" w:fill="FFFFFF"/>
            <w:vAlign w:val="center"/>
          </w:tcPr>
          <w:p w14:paraId="63C4C154">
            <w:pPr>
              <w:pStyle w:val="153"/>
              <w:spacing w:after="0" w:line="440" w:lineRule="exact"/>
              <w:ind w:firstLine="0"/>
              <w:jc w:val="center"/>
              <w:rPr>
                <w:sz w:val="18"/>
                <w:szCs w:val="18"/>
              </w:rPr>
            </w:pPr>
            <w:r>
              <w:rPr>
                <w:rFonts w:hint="eastAsia"/>
                <w:sz w:val="18"/>
                <w:szCs w:val="18"/>
              </w:rPr>
              <w:t>单位</w:t>
            </w:r>
          </w:p>
        </w:tc>
        <w:tc>
          <w:tcPr>
            <w:tcW w:w="1401" w:type="pct"/>
            <w:shd w:val="clear" w:color="auto" w:fill="FFFFFF"/>
            <w:vAlign w:val="center"/>
          </w:tcPr>
          <w:p w14:paraId="2AC609E4">
            <w:pPr>
              <w:pStyle w:val="153"/>
              <w:spacing w:after="0" w:line="440" w:lineRule="exact"/>
              <w:ind w:firstLine="0"/>
              <w:jc w:val="center"/>
              <w:rPr>
                <w:sz w:val="18"/>
                <w:szCs w:val="18"/>
              </w:rPr>
            </w:pPr>
            <w:r>
              <w:rPr>
                <w:rFonts w:hint="eastAsia"/>
                <w:sz w:val="18"/>
                <w:szCs w:val="18"/>
              </w:rPr>
              <w:t>数据来源</w:t>
            </w:r>
          </w:p>
        </w:tc>
      </w:tr>
      <w:tr w14:paraId="5ECC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2" w:hRule="exact"/>
          <w:tblHeader/>
          <w:jc w:val="center"/>
        </w:trPr>
        <w:tc>
          <w:tcPr>
            <w:tcW w:w="749" w:type="pct"/>
            <w:vMerge w:val="restart"/>
            <w:shd w:val="clear" w:color="auto" w:fill="FFFFFF"/>
            <w:vAlign w:val="center"/>
          </w:tcPr>
          <w:p w14:paraId="330B8A46">
            <w:pPr>
              <w:pStyle w:val="153"/>
              <w:spacing w:after="0" w:line="440" w:lineRule="exact"/>
              <w:ind w:firstLine="0"/>
              <w:jc w:val="center"/>
              <w:rPr>
                <w:sz w:val="18"/>
                <w:szCs w:val="18"/>
              </w:rPr>
            </w:pPr>
            <w:r>
              <w:rPr>
                <w:rFonts w:hint="eastAsia"/>
                <w:sz w:val="18"/>
                <w:szCs w:val="18"/>
                <w:lang w:bidi="zh-TW"/>
              </w:rPr>
              <w:t>添加剂分解/氧化</w:t>
            </w:r>
          </w:p>
        </w:tc>
        <w:tc>
          <w:tcPr>
            <w:tcW w:w="1395" w:type="pct"/>
            <w:shd w:val="clear" w:color="auto" w:fill="FFFFFF"/>
            <w:vAlign w:val="center"/>
          </w:tcPr>
          <w:p w14:paraId="20EB74EB">
            <w:pPr>
              <w:pStyle w:val="153"/>
              <w:spacing w:after="0" w:line="440" w:lineRule="exact"/>
              <w:ind w:firstLine="0"/>
              <w:jc w:val="center"/>
              <w:rPr>
                <w:sz w:val="18"/>
                <w:szCs w:val="18"/>
              </w:rPr>
            </w:pPr>
            <w:r>
              <w:rPr>
                <w:rFonts w:hint="eastAsia"/>
                <w:sz w:val="18"/>
                <w:szCs w:val="18"/>
                <w:lang w:bidi="zh-TW"/>
              </w:rPr>
              <w:t>添加剂A消耗量</w:t>
            </w:r>
          </w:p>
        </w:tc>
        <w:tc>
          <w:tcPr>
            <w:tcW w:w="949" w:type="pct"/>
            <w:shd w:val="clear" w:color="auto" w:fill="FFFFFF"/>
            <w:vAlign w:val="center"/>
          </w:tcPr>
          <w:p w14:paraId="33CD2882">
            <w:pPr>
              <w:spacing w:line="440" w:lineRule="exact"/>
              <w:jc w:val="center"/>
              <w:rPr>
                <w:rFonts w:ascii="宋体" w:hAnsi="宋体"/>
                <w:sz w:val="18"/>
                <w:szCs w:val="18"/>
              </w:rPr>
            </w:pPr>
          </w:p>
        </w:tc>
        <w:tc>
          <w:tcPr>
            <w:tcW w:w="505" w:type="pct"/>
            <w:shd w:val="clear" w:color="auto" w:fill="FFFFFF"/>
            <w:vAlign w:val="center"/>
          </w:tcPr>
          <w:p w14:paraId="1E5D5A6C">
            <w:pPr>
              <w:spacing w:line="440" w:lineRule="exact"/>
              <w:jc w:val="center"/>
              <w:rPr>
                <w:rFonts w:ascii="宋体" w:hAnsi="宋体"/>
                <w:sz w:val="18"/>
                <w:szCs w:val="18"/>
              </w:rPr>
            </w:pPr>
            <w:r>
              <w:rPr>
                <w:rFonts w:hint="eastAsia" w:ascii="宋体" w:hAnsi="宋体"/>
                <w:sz w:val="18"/>
                <w:szCs w:val="18"/>
              </w:rPr>
              <w:t>t</w:t>
            </w:r>
          </w:p>
        </w:tc>
        <w:tc>
          <w:tcPr>
            <w:tcW w:w="1401" w:type="pct"/>
            <w:shd w:val="clear" w:color="auto" w:fill="FFFFFF"/>
            <w:vAlign w:val="center"/>
          </w:tcPr>
          <w:p w14:paraId="64099B4D">
            <w:pPr>
              <w:spacing w:line="440" w:lineRule="exact"/>
              <w:jc w:val="center"/>
              <w:rPr>
                <w:rFonts w:ascii="宋体" w:hAnsi="宋体"/>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5F4E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2" w:hRule="exact"/>
          <w:tblHeader/>
          <w:jc w:val="center"/>
        </w:trPr>
        <w:tc>
          <w:tcPr>
            <w:tcW w:w="749" w:type="pct"/>
            <w:vMerge w:val="continue"/>
            <w:shd w:val="clear" w:color="auto" w:fill="FFFFFF"/>
            <w:vAlign w:val="center"/>
          </w:tcPr>
          <w:p w14:paraId="7E8209BD">
            <w:pPr>
              <w:spacing w:line="440" w:lineRule="exact"/>
              <w:jc w:val="center"/>
              <w:rPr>
                <w:rFonts w:ascii="宋体" w:hAnsi="宋体"/>
                <w:sz w:val="18"/>
                <w:szCs w:val="18"/>
              </w:rPr>
            </w:pPr>
          </w:p>
        </w:tc>
        <w:tc>
          <w:tcPr>
            <w:tcW w:w="1395" w:type="pct"/>
            <w:shd w:val="clear" w:color="auto" w:fill="FFFFFF"/>
            <w:vAlign w:val="center"/>
          </w:tcPr>
          <w:p w14:paraId="1236D307">
            <w:pPr>
              <w:pStyle w:val="153"/>
              <w:spacing w:after="0" w:line="440" w:lineRule="exact"/>
              <w:ind w:firstLine="0"/>
              <w:jc w:val="center"/>
              <w:rPr>
                <w:sz w:val="18"/>
                <w:szCs w:val="18"/>
              </w:rPr>
            </w:pPr>
            <w:r>
              <w:rPr>
                <w:rFonts w:hint="eastAsia"/>
                <w:sz w:val="18"/>
                <w:szCs w:val="18"/>
                <w:lang w:bidi="zh-TW"/>
              </w:rPr>
              <w:t>添加剂A含碳量</w:t>
            </w:r>
          </w:p>
        </w:tc>
        <w:tc>
          <w:tcPr>
            <w:tcW w:w="949" w:type="pct"/>
            <w:shd w:val="clear" w:color="auto" w:fill="FFFFFF"/>
            <w:vAlign w:val="center"/>
          </w:tcPr>
          <w:p w14:paraId="56CAD4F2">
            <w:pPr>
              <w:spacing w:line="440" w:lineRule="exact"/>
              <w:jc w:val="center"/>
              <w:rPr>
                <w:rFonts w:ascii="宋体" w:hAnsi="宋体"/>
                <w:sz w:val="18"/>
                <w:szCs w:val="18"/>
              </w:rPr>
            </w:pPr>
          </w:p>
        </w:tc>
        <w:tc>
          <w:tcPr>
            <w:tcW w:w="505" w:type="pct"/>
            <w:shd w:val="clear" w:color="auto" w:fill="FFFFFF"/>
            <w:vAlign w:val="center"/>
          </w:tcPr>
          <w:p w14:paraId="661947A8">
            <w:pPr>
              <w:spacing w:line="440" w:lineRule="exact"/>
              <w:jc w:val="center"/>
              <w:rPr>
                <w:rFonts w:ascii="宋体" w:hAnsi="宋体"/>
                <w:sz w:val="18"/>
                <w:szCs w:val="18"/>
              </w:rPr>
            </w:pPr>
            <w:r>
              <w:rPr>
                <w:rFonts w:hint="eastAsia" w:ascii="宋体" w:hAnsi="宋体"/>
                <w:sz w:val="18"/>
                <w:szCs w:val="18"/>
              </w:rPr>
              <w:t>%</w:t>
            </w:r>
          </w:p>
        </w:tc>
        <w:tc>
          <w:tcPr>
            <w:tcW w:w="1401" w:type="pct"/>
            <w:shd w:val="clear" w:color="auto" w:fill="FFFFFF"/>
            <w:vAlign w:val="center"/>
          </w:tcPr>
          <w:p w14:paraId="273E7037">
            <w:pPr>
              <w:spacing w:line="440" w:lineRule="exact"/>
              <w:jc w:val="center"/>
              <w:rPr>
                <w:rFonts w:ascii="宋体" w:hAnsi="宋体"/>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3EDD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2" w:hRule="exact"/>
          <w:tblHeader/>
          <w:jc w:val="center"/>
        </w:trPr>
        <w:tc>
          <w:tcPr>
            <w:tcW w:w="749" w:type="pct"/>
            <w:vMerge w:val="continue"/>
            <w:shd w:val="clear" w:color="auto" w:fill="FFFFFF"/>
            <w:vAlign w:val="center"/>
          </w:tcPr>
          <w:p w14:paraId="21565A7A">
            <w:pPr>
              <w:spacing w:line="440" w:lineRule="exact"/>
              <w:jc w:val="center"/>
              <w:rPr>
                <w:rFonts w:ascii="宋体" w:hAnsi="宋体"/>
                <w:sz w:val="18"/>
                <w:szCs w:val="18"/>
              </w:rPr>
            </w:pPr>
          </w:p>
        </w:tc>
        <w:tc>
          <w:tcPr>
            <w:tcW w:w="1395" w:type="pct"/>
            <w:shd w:val="clear" w:color="auto" w:fill="FFFFFF"/>
            <w:vAlign w:val="center"/>
          </w:tcPr>
          <w:p w14:paraId="48BE40F1">
            <w:pPr>
              <w:pStyle w:val="153"/>
              <w:spacing w:after="0" w:line="440" w:lineRule="exact"/>
              <w:ind w:firstLine="0"/>
              <w:jc w:val="center"/>
              <w:rPr>
                <w:sz w:val="18"/>
                <w:szCs w:val="18"/>
              </w:rPr>
            </w:pPr>
            <w:r>
              <w:rPr>
                <w:rFonts w:hint="eastAsia"/>
                <w:sz w:val="18"/>
                <w:szCs w:val="18"/>
              </w:rPr>
              <w:t>……</w:t>
            </w:r>
          </w:p>
        </w:tc>
        <w:tc>
          <w:tcPr>
            <w:tcW w:w="949" w:type="pct"/>
            <w:shd w:val="clear" w:color="auto" w:fill="FFFFFF"/>
            <w:vAlign w:val="center"/>
          </w:tcPr>
          <w:p w14:paraId="61B16A30">
            <w:pPr>
              <w:spacing w:line="440" w:lineRule="exact"/>
              <w:jc w:val="center"/>
              <w:rPr>
                <w:rFonts w:ascii="宋体" w:hAnsi="宋体"/>
                <w:sz w:val="18"/>
                <w:szCs w:val="18"/>
              </w:rPr>
            </w:pPr>
          </w:p>
        </w:tc>
        <w:tc>
          <w:tcPr>
            <w:tcW w:w="505" w:type="pct"/>
            <w:shd w:val="clear" w:color="auto" w:fill="FFFFFF"/>
            <w:vAlign w:val="center"/>
          </w:tcPr>
          <w:p w14:paraId="3F57E70E">
            <w:pPr>
              <w:spacing w:line="440" w:lineRule="exact"/>
              <w:jc w:val="center"/>
              <w:rPr>
                <w:rFonts w:ascii="宋体" w:hAnsi="宋体"/>
                <w:sz w:val="18"/>
                <w:szCs w:val="18"/>
              </w:rPr>
            </w:pPr>
          </w:p>
        </w:tc>
        <w:tc>
          <w:tcPr>
            <w:tcW w:w="1401" w:type="pct"/>
            <w:shd w:val="clear" w:color="auto" w:fill="FFFFFF"/>
            <w:vAlign w:val="center"/>
          </w:tcPr>
          <w:p w14:paraId="549E9439">
            <w:pPr>
              <w:spacing w:line="440" w:lineRule="exact"/>
              <w:jc w:val="center"/>
              <w:rPr>
                <w:rFonts w:ascii="宋体" w:hAnsi="宋体"/>
                <w:sz w:val="18"/>
                <w:szCs w:val="18"/>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61619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2" w:hRule="exact"/>
          <w:tblHeader/>
          <w:jc w:val="center"/>
        </w:trPr>
        <w:tc>
          <w:tcPr>
            <w:tcW w:w="749" w:type="pct"/>
            <w:vMerge w:val="continue"/>
            <w:shd w:val="clear" w:color="auto" w:fill="FFFFFF"/>
            <w:vAlign w:val="center"/>
          </w:tcPr>
          <w:p w14:paraId="4AF74E95">
            <w:pPr>
              <w:spacing w:line="440" w:lineRule="exact"/>
              <w:jc w:val="center"/>
              <w:rPr>
                <w:rFonts w:ascii="宋体" w:hAnsi="宋体"/>
                <w:sz w:val="18"/>
                <w:szCs w:val="18"/>
              </w:rPr>
            </w:pPr>
          </w:p>
        </w:tc>
        <w:tc>
          <w:tcPr>
            <w:tcW w:w="1395" w:type="pct"/>
            <w:shd w:val="clear" w:color="auto" w:fill="FFFFFF"/>
            <w:vAlign w:val="center"/>
          </w:tcPr>
          <w:p w14:paraId="0F56665F">
            <w:pPr>
              <w:pStyle w:val="153"/>
              <w:spacing w:after="0" w:line="440" w:lineRule="exact"/>
              <w:ind w:firstLine="0"/>
              <w:jc w:val="center"/>
              <w:rPr>
                <w:sz w:val="18"/>
                <w:szCs w:val="18"/>
              </w:rPr>
            </w:pPr>
            <w:r>
              <w:rPr>
                <w:rFonts w:hint="eastAsia"/>
                <w:b/>
                <w:bCs/>
                <w:sz w:val="18"/>
                <w:szCs w:val="18"/>
              </w:rPr>
              <w:t>添加剂分解/氧化</w:t>
            </w:r>
            <w:r>
              <w:rPr>
                <w:b/>
                <w:bCs/>
                <w:sz w:val="18"/>
                <w:szCs w:val="18"/>
              </w:rPr>
              <w:t>排放总量</w:t>
            </w:r>
          </w:p>
        </w:tc>
        <w:tc>
          <w:tcPr>
            <w:tcW w:w="949" w:type="pct"/>
            <w:shd w:val="clear" w:color="auto" w:fill="FFFFFF"/>
            <w:vAlign w:val="center"/>
          </w:tcPr>
          <w:p w14:paraId="468DF282">
            <w:pPr>
              <w:spacing w:line="440" w:lineRule="exact"/>
              <w:jc w:val="center"/>
              <w:rPr>
                <w:rFonts w:ascii="宋体" w:hAnsi="宋体"/>
                <w:sz w:val="18"/>
                <w:szCs w:val="18"/>
              </w:rPr>
            </w:pPr>
          </w:p>
        </w:tc>
        <w:tc>
          <w:tcPr>
            <w:tcW w:w="505" w:type="pct"/>
            <w:shd w:val="clear" w:color="auto" w:fill="FFFFFF"/>
            <w:vAlign w:val="center"/>
          </w:tcPr>
          <w:p w14:paraId="65EAAD8D">
            <w:pPr>
              <w:spacing w:line="440" w:lineRule="exact"/>
              <w:jc w:val="center"/>
              <w:rPr>
                <w:rFonts w:ascii="宋体" w:hAnsi="宋体"/>
                <w:sz w:val="18"/>
                <w:szCs w:val="18"/>
              </w:rPr>
            </w:pPr>
            <w:r>
              <w:rPr>
                <w:rFonts w:hint="eastAsia" w:ascii="宋体" w:hAnsi="宋体"/>
                <w:sz w:val="18"/>
                <w:szCs w:val="18"/>
              </w:rPr>
              <w:t>tCO</w:t>
            </w:r>
            <w:r>
              <w:rPr>
                <w:rFonts w:hint="eastAsia" w:ascii="宋体" w:hAnsi="宋体"/>
                <w:sz w:val="18"/>
                <w:szCs w:val="18"/>
                <w:vertAlign w:val="subscript"/>
              </w:rPr>
              <w:t>2</w:t>
            </w:r>
            <w:r>
              <w:rPr>
                <w:rFonts w:hint="eastAsia" w:ascii="宋体" w:hAnsi="宋体"/>
                <w:sz w:val="18"/>
                <w:szCs w:val="18"/>
              </w:rPr>
              <w:t>e</w:t>
            </w:r>
          </w:p>
        </w:tc>
        <w:tc>
          <w:tcPr>
            <w:tcW w:w="1401" w:type="pct"/>
            <w:shd w:val="clear" w:color="auto" w:fill="FFFFFF"/>
            <w:vAlign w:val="center"/>
          </w:tcPr>
          <w:p w14:paraId="04C20FF6">
            <w:pPr>
              <w:pStyle w:val="153"/>
              <w:spacing w:line="440" w:lineRule="exact"/>
              <w:ind w:firstLine="0"/>
              <w:jc w:val="center"/>
              <w:rPr>
                <w:sz w:val="18"/>
                <w:szCs w:val="18"/>
                <w:lang w:val="zh-TW" w:eastAsia="zh-TW" w:bidi="zh-TW"/>
              </w:rPr>
            </w:pPr>
            <w:r>
              <w:rPr>
                <w:rFonts w:hint="eastAsia"/>
                <w:sz w:val="18"/>
                <w:szCs w:val="18"/>
                <w:lang w:bidi="zh-TW"/>
              </w:rPr>
              <w:t>/</w:t>
            </w:r>
          </w:p>
        </w:tc>
      </w:tr>
      <w:tr w14:paraId="5D28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2" w:hRule="exact"/>
          <w:tblHeader/>
          <w:jc w:val="center"/>
        </w:trPr>
        <w:tc>
          <w:tcPr>
            <w:tcW w:w="749" w:type="pct"/>
            <w:vMerge w:val="restart"/>
            <w:shd w:val="clear" w:color="auto" w:fill="FFFFFF"/>
            <w:vAlign w:val="center"/>
          </w:tcPr>
          <w:p w14:paraId="21D5CEF3">
            <w:pPr>
              <w:pStyle w:val="153"/>
              <w:spacing w:after="0" w:line="440" w:lineRule="exact"/>
              <w:ind w:firstLine="0"/>
              <w:jc w:val="center"/>
              <w:rPr>
                <w:sz w:val="18"/>
                <w:szCs w:val="18"/>
              </w:rPr>
            </w:pPr>
            <w:r>
              <w:rPr>
                <w:rFonts w:hint="eastAsia"/>
                <w:sz w:val="18"/>
                <w:szCs w:val="18"/>
                <w:lang w:bidi="zh-TW"/>
              </w:rPr>
              <w:t>其他含碳原料</w:t>
            </w:r>
          </w:p>
        </w:tc>
        <w:tc>
          <w:tcPr>
            <w:tcW w:w="1395" w:type="pct"/>
            <w:shd w:val="clear" w:color="auto" w:fill="FFFFFF"/>
            <w:vAlign w:val="center"/>
          </w:tcPr>
          <w:p w14:paraId="2087BE6A">
            <w:pPr>
              <w:pStyle w:val="153"/>
              <w:spacing w:after="0" w:line="440" w:lineRule="exact"/>
              <w:ind w:firstLine="0"/>
              <w:jc w:val="center"/>
              <w:rPr>
                <w:sz w:val="18"/>
                <w:szCs w:val="18"/>
              </w:rPr>
            </w:pPr>
            <w:r>
              <w:rPr>
                <w:rFonts w:hint="eastAsia"/>
                <w:sz w:val="18"/>
                <w:szCs w:val="18"/>
                <w:lang w:bidi="zh-TW"/>
              </w:rPr>
              <w:t>其他含碳原料B消耗量</w:t>
            </w:r>
          </w:p>
        </w:tc>
        <w:tc>
          <w:tcPr>
            <w:tcW w:w="949" w:type="pct"/>
            <w:shd w:val="clear" w:color="auto" w:fill="FFFFFF"/>
            <w:vAlign w:val="center"/>
          </w:tcPr>
          <w:p w14:paraId="0EAEA294">
            <w:pPr>
              <w:spacing w:line="440" w:lineRule="exact"/>
              <w:jc w:val="center"/>
              <w:rPr>
                <w:rFonts w:ascii="宋体" w:hAnsi="宋体"/>
                <w:sz w:val="18"/>
                <w:szCs w:val="18"/>
              </w:rPr>
            </w:pPr>
          </w:p>
        </w:tc>
        <w:tc>
          <w:tcPr>
            <w:tcW w:w="505" w:type="pct"/>
            <w:shd w:val="clear" w:color="auto" w:fill="FFFFFF"/>
            <w:vAlign w:val="center"/>
          </w:tcPr>
          <w:p w14:paraId="5B5B4CFC">
            <w:pPr>
              <w:spacing w:line="440" w:lineRule="exact"/>
              <w:jc w:val="center"/>
              <w:rPr>
                <w:rFonts w:ascii="宋体" w:hAnsi="宋体"/>
                <w:sz w:val="18"/>
                <w:szCs w:val="18"/>
              </w:rPr>
            </w:pPr>
            <w:r>
              <w:rPr>
                <w:rFonts w:hint="eastAsia" w:ascii="宋体" w:hAnsi="宋体"/>
                <w:sz w:val="18"/>
                <w:szCs w:val="18"/>
              </w:rPr>
              <w:t>t</w:t>
            </w:r>
          </w:p>
        </w:tc>
        <w:tc>
          <w:tcPr>
            <w:tcW w:w="1401" w:type="pct"/>
            <w:shd w:val="clear" w:color="auto" w:fill="FFFFFF"/>
            <w:vAlign w:val="center"/>
          </w:tcPr>
          <w:p w14:paraId="02E939F5">
            <w:pPr>
              <w:spacing w:line="440" w:lineRule="exact"/>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03C1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2" w:hRule="exact"/>
          <w:tblHeader/>
          <w:jc w:val="center"/>
        </w:trPr>
        <w:tc>
          <w:tcPr>
            <w:tcW w:w="749" w:type="pct"/>
            <w:vMerge w:val="continue"/>
            <w:shd w:val="clear" w:color="auto" w:fill="FFFFFF"/>
            <w:vAlign w:val="center"/>
          </w:tcPr>
          <w:p w14:paraId="58737556">
            <w:pPr>
              <w:spacing w:line="440" w:lineRule="exact"/>
              <w:jc w:val="center"/>
              <w:rPr>
                <w:rFonts w:ascii="宋体" w:hAnsi="宋体"/>
                <w:sz w:val="18"/>
                <w:szCs w:val="18"/>
              </w:rPr>
            </w:pPr>
          </w:p>
        </w:tc>
        <w:tc>
          <w:tcPr>
            <w:tcW w:w="1395" w:type="pct"/>
            <w:shd w:val="clear" w:color="auto" w:fill="FFFFFF"/>
            <w:vAlign w:val="center"/>
          </w:tcPr>
          <w:p w14:paraId="01115A25">
            <w:pPr>
              <w:pStyle w:val="153"/>
              <w:spacing w:after="0" w:line="440" w:lineRule="exact"/>
              <w:ind w:firstLine="0"/>
              <w:jc w:val="center"/>
              <w:rPr>
                <w:sz w:val="18"/>
                <w:szCs w:val="18"/>
              </w:rPr>
            </w:pPr>
            <w:r>
              <w:rPr>
                <w:rFonts w:hint="eastAsia"/>
                <w:sz w:val="18"/>
                <w:szCs w:val="18"/>
                <w:lang w:bidi="zh-TW"/>
              </w:rPr>
              <w:t>其他含碳原料B含碳量</w:t>
            </w:r>
          </w:p>
        </w:tc>
        <w:tc>
          <w:tcPr>
            <w:tcW w:w="949" w:type="pct"/>
            <w:shd w:val="clear" w:color="auto" w:fill="FFFFFF"/>
            <w:vAlign w:val="center"/>
          </w:tcPr>
          <w:p w14:paraId="2188271C">
            <w:pPr>
              <w:spacing w:line="440" w:lineRule="exact"/>
              <w:jc w:val="center"/>
              <w:rPr>
                <w:rFonts w:ascii="宋体" w:hAnsi="宋体"/>
                <w:sz w:val="18"/>
                <w:szCs w:val="18"/>
              </w:rPr>
            </w:pPr>
          </w:p>
        </w:tc>
        <w:tc>
          <w:tcPr>
            <w:tcW w:w="505" w:type="pct"/>
            <w:shd w:val="clear" w:color="auto" w:fill="FFFFFF"/>
            <w:vAlign w:val="center"/>
          </w:tcPr>
          <w:p w14:paraId="73709F1E">
            <w:pPr>
              <w:spacing w:line="440" w:lineRule="exact"/>
              <w:jc w:val="center"/>
              <w:rPr>
                <w:rFonts w:ascii="宋体" w:hAnsi="宋体"/>
                <w:sz w:val="18"/>
                <w:szCs w:val="18"/>
              </w:rPr>
            </w:pPr>
            <w:r>
              <w:rPr>
                <w:rFonts w:hint="eastAsia" w:ascii="宋体" w:hAnsi="宋体"/>
                <w:sz w:val="18"/>
                <w:szCs w:val="18"/>
              </w:rPr>
              <w:t>%</w:t>
            </w:r>
          </w:p>
        </w:tc>
        <w:tc>
          <w:tcPr>
            <w:tcW w:w="1401" w:type="pct"/>
            <w:shd w:val="clear" w:color="auto" w:fill="FFFFFF"/>
            <w:vAlign w:val="center"/>
          </w:tcPr>
          <w:p w14:paraId="0018B9DF">
            <w:pPr>
              <w:spacing w:line="440" w:lineRule="exact"/>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74C9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2" w:hRule="exact"/>
          <w:tblHeader/>
          <w:jc w:val="center"/>
        </w:trPr>
        <w:tc>
          <w:tcPr>
            <w:tcW w:w="749" w:type="pct"/>
            <w:vMerge w:val="continue"/>
            <w:shd w:val="clear" w:color="auto" w:fill="FFFFFF"/>
            <w:vAlign w:val="center"/>
          </w:tcPr>
          <w:p w14:paraId="2E3C0D66">
            <w:pPr>
              <w:spacing w:line="440" w:lineRule="exact"/>
              <w:jc w:val="center"/>
              <w:rPr>
                <w:rFonts w:ascii="宋体" w:hAnsi="宋体"/>
                <w:sz w:val="18"/>
                <w:szCs w:val="18"/>
              </w:rPr>
            </w:pPr>
          </w:p>
        </w:tc>
        <w:tc>
          <w:tcPr>
            <w:tcW w:w="1395" w:type="pct"/>
            <w:shd w:val="clear" w:color="auto" w:fill="FFFFFF"/>
            <w:vAlign w:val="center"/>
          </w:tcPr>
          <w:p w14:paraId="2AADB7B1">
            <w:pPr>
              <w:pStyle w:val="153"/>
              <w:spacing w:after="0" w:line="440" w:lineRule="exact"/>
              <w:ind w:firstLine="0"/>
              <w:jc w:val="center"/>
              <w:rPr>
                <w:sz w:val="18"/>
                <w:szCs w:val="18"/>
              </w:rPr>
            </w:pPr>
            <w:r>
              <w:rPr>
                <w:rFonts w:hint="eastAsia"/>
                <w:sz w:val="18"/>
                <w:szCs w:val="18"/>
              </w:rPr>
              <w:t>……</w:t>
            </w:r>
          </w:p>
        </w:tc>
        <w:tc>
          <w:tcPr>
            <w:tcW w:w="949" w:type="pct"/>
            <w:shd w:val="clear" w:color="auto" w:fill="FFFFFF"/>
            <w:vAlign w:val="center"/>
          </w:tcPr>
          <w:p w14:paraId="4D8F08AA">
            <w:pPr>
              <w:spacing w:line="440" w:lineRule="exact"/>
              <w:jc w:val="center"/>
              <w:rPr>
                <w:rFonts w:ascii="宋体" w:hAnsi="宋体"/>
                <w:sz w:val="18"/>
                <w:szCs w:val="18"/>
              </w:rPr>
            </w:pPr>
          </w:p>
        </w:tc>
        <w:tc>
          <w:tcPr>
            <w:tcW w:w="505" w:type="pct"/>
            <w:shd w:val="clear" w:color="auto" w:fill="FFFFFF"/>
            <w:vAlign w:val="center"/>
          </w:tcPr>
          <w:p w14:paraId="2903079A">
            <w:pPr>
              <w:spacing w:line="440" w:lineRule="exact"/>
              <w:jc w:val="center"/>
              <w:rPr>
                <w:rFonts w:ascii="宋体" w:hAnsi="宋体"/>
                <w:sz w:val="18"/>
                <w:szCs w:val="18"/>
              </w:rPr>
            </w:pPr>
          </w:p>
        </w:tc>
        <w:tc>
          <w:tcPr>
            <w:tcW w:w="1401" w:type="pct"/>
            <w:shd w:val="clear" w:color="auto" w:fill="FFFFFF"/>
            <w:vAlign w:val="center"/>
          </w:tcPr>
          <w:p w14:paraId="0D735081">
            <w:pPr>
              <w:spacing w:line="440" w:lineRule="exact"/>
              <w:jc w:val="center"/>
              <w:rPr>
                <w:sz w:val="18"/>
                <w:szCs w:val="18"/>
                <w:lang w:val="zh-TW" w:eastAsia="zh-TW" w:bidi="zh-TW"/>
              </w:rPr>
            </w:pPr>
            <w:r>
              <w:rPr>
                <w:sz w:val="18"/>
                <w:szCs w:val="18"/>
                <w:lang w:val="zh-TW" w:eastAsia="zh-TW" w:bidi="zh-TW"/>
              </w:rPr>
              <w:sym w:font="Wingdings 2" w:char="00A3"/>
            </w:r>
            <w:r>
              <w:rPr>
                <w:sz w:val="18"/>
                <w:szCs w:val="18"/>
                <w:lang w:val="zh-TW" w:eastAsia="zh-TW" w:bidi="zh-TW"/>
              </w:rPr>
              <w:t>检测值</w:t>
            </w:r>
            <w:r>
              <w:rPr>
                <w:rFonts w:hint="eastAsia"/>
                <w:sz w:val="18"/>
                <w:szCs w:val="18"/>
                <w:lang w:bidi="zh-TW"/>
              </w:rPr>
              <w:t xml:space="preserve"> </w:t>
            </w:r>
            <w:r>
              <w:rPr>
                <w:sz w:val="18"/>
                <w:szCs w:val="18"/>
                <w:lang w:val="zh-TW" w:eastAsia="zh-TW" w:bidi="zh-TW"/>
              </w:rPr>
              <w:sym w:font="Wingdings 2" w:char="00A3"/>
            </w:r>
            <w:r>
              <w:rPr>
                <w:sz w:val="18"/>
                <w:szCs w:val="18"/>
                <w:lang w:val="zh-TW" w:eastAsia="zh-TW" w:bidi="zh-TW"/>
              </w:rPr>
              <w:t>推荐值</w:t>
            </w:r>
            <w:r>
              <w:rPr>
                <w:rFonts w:hint="eastAsia"/>
                <w:sz w:val="18"/>
                <w:szCs w:val="18"/>
                <w:lang w:bidi="zh-TW"/>
              </w:rPr>
              <w:t xml:space="preserve"> </w:t>
            </w:r>
            <w:r>
              <w:rPr>
                <w:sz w:val="18"/>
                <w:szCs w:val="18"/>
                <w:lang w:val="zh-TW" w:eastAsia="zh-TW" w:bidi="zh-TW"/>
              </w:rPr>
              <w:sym w:font="Wingdings 2" w:char="00A3"/>
            </w:r>
            <w:r>
              <w:rPr>
                <w:rFonts w:hint="eastAsia"/>
                <w:sz w:val="18"/>
                <w:szCs w:val="18"/>
                <w:lang w:bidi="zh-TW"/>
              </w:rPr>
              <w:t>缺省值</w:t>
            </w:r>
          </w:p>
        </w:tc>
      </w:tr>
      <w:tr w14:paraId="437D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2" w:hRule="exact"/>
          <w:tblHeader/>
          <w:jc w:val="center"/>
        </w:trPr>
        <w:tc>
          <w:tcPr>
            <w:tcW w:w="749" w:type="pct"/>
            <w:vMerge w:val="continue"/>
            <w:shd w:val="clear" w:color="auto" w:fill="FFFFFF"/>
            <w:vAlign w:val="center"/>
          </w:tcPr>
          <w:p w14:paraId="3FB38C5B">
            <w:pPr>
              <w:spacing w:line="440" w:lineRule="exact"/>
              <w:jc w:val="center"/>
              <w:rPr>
                <w:rFonts w:ascii="宋体" w:hAnsi="宋体"/>
                <w:sz w:val="18"/>
                <w:szCs w:val="18"/>
              </w:rPr>
            </w:pPr>
          </w:p>
        </w:tc>
        <w:tc>
          <w:tcPr>
            <w:tcW w:w="1395" w:type="pct"/>
            <w:shd w:val="clear" w:color="auto" w:fill="FFFFFF"/>
            <w:vAlign w:val="center"/>
          </w:tcPr>
          <w:p w14:paraId="4CD45D2B">
            <w:pPr>
              <w:pStyle w:val="153"/>
              <w:spacing w:after="0" w:line="440" w:lineRule="exact"/>
              <w:ind w:firstLine="0"/>
              <w:jc w:val="center"/>
              <w:rPr>
                <w:sz w:val="18"/>
                <w:szCs w:val="18"/>
              </w:rPr>
            </w:pPr>
            <w:r>
              <w:rPr>
                <w:rFonts w:hint="eastAsia"/>
                <w:b/>
                <w:bCs/>
                <w:sz w:val="18"/>
                <w:szCs w:val="18"/>
              </w:rPr>
              <w:t>其他含碳原料</w:t>
            </w:r>
            <w:r>
              <w:rPr>
                <w:b/>
                <w:bCs/>
                <w:sz w:val="18"/>
                <w:szCs w:val="18"/>
              </w:rPr>
              <w:t>排放总量</w:t>
            </w:r>
          </w:p>
        </w:tc>
        <w:tc>
          <w:tcPr>
            <w:tcW w:w="949" w:type="pct"/>
            <w:shd w:val="clear" w:color="auto" w:fill="FFFFFF"/>
            <w:vAlign w:val="center"/>
          </w:tcPr>
          <w:p w14:paraId="6DC2E847">
            <w:pPr>
              <w:spacing w:line="440" w:lineRule="exact"/>
              <w:jc w:val="center"/>
              <w:rPr>
                <w:rFonts w:ascii="宋体" w:hAnsi="宋体"/>
                <w:sz w:val="18"/>
                <w:szCs w:val="18"/>
              </w:rPr>
            </w:pPr>
          </w:p>
        </w:tc>
        <w:tc>
          <w:tcPr>
            <w:tcW w:w="505" w:type="pct"/>
            <w:shd w:val="clear" w:color="auto" w:fill="FFFFFF"/>
            <w:vAlign w:val="center"/>
          </w:tcPr>
          <w:p w14:paraId="6D624931">
            <w:pPr>
              <w:spacing w:line="440" w:lineRule="exact"/>
              <w:jc w:val="center"/>
              <w:rPr>
                <w:rFonts w:ascii="宋体" w:hAnsi="宋体"/>
                <w:sz w:val="18"/>
                <w:szCs w:val="18"/>
              </w:rPr>
            </w:pPr>
            <w:r>
              <w:rPr>
                <w:rFonts w:hint="eastAsia" w:ascii="宋体" w:hAnsi="宋体"/>
                <w:sz w:val="18"/>
                <w:szCs w:val="18"/>
              </w:rPr>
              <w:t>tCO</w:t>
            </w:r>
            <w:r>
              <w:rPr>
                <w:rFonts w:hint="eastAsia" w:ascii="宋体" w:hAnsi="宋体"/>
                <w:sz w:val="18"/>
                <w:szCs w:val="18"/>
                <w:vertAlign w:val="subscript"/>
              </w:rPr>
              <w:t>2</w:t>
            </w:r>
            <w:r>
              <w:rPr>
                <w:rFonts w:hint="eastAsia" w:ascii="宋体" w:hAnsi="宋体"/>
                <w:sz w:val="18"/>
                <w:szCs w:val="18"/>
              </w:rPr>
              <w:t>e</w:t>
            </w:r>
          </w:p>
        </w:tc>
        <w:tc>
          <w:tcPr>
            <w:tcW w:w="1401" w:type="pct"/>
            <w:shd w:val="clear" w:color="auto" w:fill="FFFFFF"/>
            <w:vAlign w:val="center"/>
          </w:tcPr>
          <w:p w14:paraId="54A3D5D0">
            <w:pPr>
              <w:pStyle w:val="153"/>
              <w:spacing w:line="440" w:lineRule="exact"/>
              <w:ind w:firstLine="0"/>
              <w:jc w:val="center"/>
              <w:rPr>
                <w:sz w:val="18"/>
                <w:szCs w:val="18"/>
                <w:lang w:val="zh-TW" w:eastAsia="zh-TW" w:bidi="zh-TW"/>
              </w:rPr>
            </w:pPr>
            <w:r>
              <w:rPr>
                <w:rFonts w:hint="eastAsia"/>
                <w:sz w:val="18"/>
                <w:szCs w:val="18"/>
                <w:lang w:bidi="zh-TW"/>
              </w:rPr>
              <w:t>/</w:t>
            </w:r>
          </w:p>
        </w:tc>
      </w:tr>
      <w:tr w14:paraId="23C4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2" w:hRule="exact"/>
          <w:tblHeader/>
          <w:jc w:val="center"/>
        </w:trPr>
        <w:tc>
          <w:tcPr>
            <w:tcW w:w="749" w:type="pct"/>
            <w:shd w:val="clear" w:color="auto" w:fill="FFFFFF"/>
            <w:vAlign w:val="center"/>
          </w:tcPr>
          <w:p w14:paraId="7C302197">
            <w:pPr>
              <w:spacing w:line="440" w:lineRule="exact"/>
              <w:jc w:val="center"/>
              <w:rPr>
                <w:rFonts w:ascii="宋体" w:hAnsi="宋体"/>
                <w:sz w:val="18"/>
                <w:szCs w:val="18"/>
              </w:rPr>
            </w:pPr>
            <w:r>
              <w:rPr>
                <w:rFonts w:hint="eastAsia" w:ascii="宋体" w:hAnsi="宋体"/>
                <w:sz w:val="18"/>
                <w:szCs w:val="18"/>
              </w:rPr>
              <w:t>过程排放总计</w:t>
            </w:r>
          </w:p>
        </w:tc>
        <w:tc>
          <w:tcPr>
            <w:tcW w:w="1395" w:type="pct"/>
            <w:shd w:val="clear" w:color="auto" w:fill="FFFFFF"/>
            <w:vAlign w:val="center"/>
          </w:tcPr>
          <w:p w14:paraId="0E62DDE9">
            <w:pPr>
              <w:pStyle w:val="153"/>
              <w:spacing w:after="0" w:line="440" w:lineRule="exact"/>
              <w:ind w:firstLine="0"/>
              <w:jc w:val="center"/>
              <w:rPr>
                <w:b/>
                <w:bCs/>
                <w:sz w:val="18"/>
                <w:szCs w:val="18"/>
              </w:rPr>
            </w:pPr>
            <w:r>
              <w:rPr>
                <w:rFonts w:hint="eastAsia"/>
                <w:b/>
                <w:bCs/>
                <w:sz w:val="18"/>
                <w:szCs w:val="18"/>
              </w:rPr>
              <w:t>过程排放总排放量</w:t>
            </w:r>
          </w:p>
        </w:tc>
        <w:tc>
          <w:tcPr>
            <w:tcW w:w="949" w:type="pct"/>
            <w:shd w:val="clear" w:color="auto" w:fill="FFFFFF"/>
            <w:vAlign w:val="center"/>
          </w:tcPr>
          <w:p w14:paraId="5FACA36B">
            <w:pPr>
              <w:spacing w:line="440" w:lineRule="exact"/>
              <w:jc w:val="center"/>
              <w:rPr>
                <w:rFonts w:ascii="宋体" w:hAnsi="宋体"/>
                <w:sz w:val="18"/>
                <w:szCs w:val="18"/>
              </w:rPr>
            </w:pPr>
          </w:p>
        </w:tc>
        <w:tc>
          <w:tcPr>
            <w:tcW w:w="505" w:type="pct"/>
            <w:shd w:val="clear" w:color="auto" w:fill="FFFFFF"/>
            <w:vAlign w:val="center"/>
          </w:tcPr>
          <w:p w14:paraId="70E9A2E9">
            <w:pPr>
              <w:spacing w:line="440" w:lineRule="exact"/>
              <w:jc w:val="center"/>
              <w:rPr>
                <w:rFonts w:ascii="宋体" w:hAnsi="宋体"/>
                <w:sz w:val="18"/>
                <w:szCs w:val="18"/>
              </w:rPr>
            </w:pPr>
            <w:r>
              <w:rPr>
                <w:rFonts w:hint="eastAsia" w:ascii="宋体" w:hAnsi="宋体"/>
                <w:sz w:val="18"/>
                <w:szCs w:val="18"/>
              </w:rPr>
              <w:t>tCO</w:t>
            </w:r>
            <w:r>
              <w:rPr>
                <w:rFonts w:hint="eastAsia" w:ascii="宋体" w:hAnsi="宋体"/>
                <w:sz w:val="18"/>
                <w:szCs w:val="18"/>
                <w:vertAlign w:val="subscript"/>
              </w:rPr>
              <w:t>2</w:t>
            </w:r>
            <w:r>
              <w:rPr>
                <w:rFonts w:hint="eastAsia" w:ascii="宋体" w:hAnsi="宋体"/>
                <w:sz w:val="18"/>
                <w:szCs w:val="18"/>
              </w:rPr>
              <w:t>e</w:t>
            </w:r>
          </w:p>
        </w:tc>
        <w:tc>
          <w:tcPr>
            <w:tcW w:w="1401" w:type="pct"/>
            <w:shd w:val="clear" w:color="auto" w:fill="FFFFFF"/>
            <w:vAlign w:val="center"/>
          </w:tcPr>
          <w:p w14:paraId="368C436D">
            <w:pPr>
              <w:pStyle w:val="153"/>
              <w:spacing w:line="440" w:lineRule="exact"/>
              <w:ind w:firstLine="0"/>
              <w:jc w:val="center"/>
              <w:rPr>
                <w:sz w:val="18"/>
                <w:szCs w:val="18"/>
                <w:lang w:bidi="zh-TW"/>
              </w:rPr>
            </w:pPr>
            <w:r>
              <w:rPr>
                <w:rFonts w:hint="eastAsia"/>
                <w:sz w:val="18"/>
                <w:szCs w:val="18"/>
                <w:lang w:bidi="zh-TW"/>
              </w:rPr>
              <w:t>/</w:t>
            </w:r>
          </w:p>
        </w:tc>
      </w:tr>
      <w:tr w14:paraId="6AE1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78" w:hRule="exact"/>
          <w:tblHeader/>
          <w:jc w:val="center"/>
        </w:trPr>
        <w:tc>
          <w:tcPr>
            <w:tcW w:w="5000" w:type="pct"/>
            <w:gridSpan w:val="5"/>
            <w:shd w:val="clear" w:color="auto" w:fill="FFFFFF"/>
            <w:vAlign w:val="center"/>
          </w:tcPr>
          <w:p w14:paraId="33880E90">
            <w:pPr>
              <w:widowControl/>
              <w:spacing w:line="440" w:lineRule="exact"/>
              <w:jc w:val="left"/>
              <w:rPr>
                <w:rFonts w:ascii="宋体" w:hAnsi="宋体" w:cs="宋体"/>
                <w:color w:val="000000"/>
                <w:kern w:val="0"/>
                <w:sz w:val="18"/>
                <w:szCs w:val="18"/>
                <w:lang w:bidi="ar"/>
              </w:rPr>
            </w:pPr>
            <w:r>
              <w:rPr>
                <w:rFonts w:ascii="FZHTK--GBK1-0" w:hAnsi="FZHTK--GBK1-0" w:eastAsia="FZHTK--GBK1-0" w:cs="FZHTK--GBK1-0"/>
                <w:color w:val="000000"/>
                <w:kern w:val="0"/>
                <w:sz w:val="18"/>
                <w:szCs w:val="18"/>
                <w:lang w:bidi="ar"/>
              </w:rPr>
              <w:t>注</w:t>
            </w:r>
            <w:r>
              <w:rPr>
                <w:rFonts w:hint="eastAsia" w:ascii="宋体" w:hAnsi="宋体" w:cs="宋体"/>
                <w:color w:val="000000"/>
                <w:kern w:val="0"/>
                <w:sz w:val="18"/>
                <w:szCs w:val="18"/>
                <w:lang w:bidi="ar"/>
              </w:rPr>
              <w:t>：</w:t>
            </w:r>
          </w:p>
          <w:p w14:paraId="1A033282">
            <w:pPr>
              <w:widowControl/>
              <w:spacing w:line="440" w:lineRule="exact"/>
              <w:jc w:val="left"/>
              <w:rPr>
                <w:rFonts w:eastAsia="E-BZ"/>
                <w:color w:val="000000"/>
                <w:kern w:val="0"/>
                <w:sz w:val="18"/>
                <w:szCs w:val="18"/>
                <w:lang w:bidi="ar"/>
              </w:rPr>
            </w:pPr>
            <w:r>
              <w:rPr>
                <w:color w:val="000000"/>
                <w:kern w:val="0"/>
                <w:sz w:val="18"/>
                <w:szCs w:val="18"/>
                <w:vertAlign w:val="superscript"/>
                <w:lang w:bidi="ar"/>
              </w:rPr>
              <w:t>a</w:t>
            </w:r>
            <w:r>
              <w:rPr>
                <w:rFonts w:eastAsia="FZSSK--GBK1-0"/>
                <w:color w:val="000000"/>
                <w:kern w:val="0"/>
                <w:sz w:val="18"/>
                <w:szCs w:val="18"/>
                <w:lang w:bidi="ar"/>
              </w:rPr>
              <w:t>报告主体自行添加未在表中列出但企业实际消耗的其他碳酸盐品种</w:t>
            </w:r>
            <w:r>
              <w:rPr>
                <w:rFonts w:eastAsia="E-BZ"/>
                <w:color w:val="000000"/>
                <w:kern w:val="0"/>
                <w:sz w:val="18"/>
                <w:szCs w:val="18"/>
                <w:lang w:bidi="ar"/>
              </w:rPr>
              <w:t>。</w:t>
            </w:r>
          </w:p>
          <w:p w14:paraId="0604082C">
            <w:pPr>
              <w:widowControl/>
              <w:spacing w:line="440" w:lineRule="exact"/>
              <w:jc w:val="left"/>
              <w:rPr>
                <w:rFonts w:hint="eastAsia" w:ascii="E-BZ" w:hAnsi="E-BZ" w:cs="E-BZ"/>
                <w:color w:val="000000"/>
                <w:kern w:val="0"/>
                <w:sz w:val="18"/>
                <w:szCs w:val="18"/>
                <w:lang w:val="zh-TW" w:bidi="ar"/>
              </w:rPr>
            </w:pPr>
            <w:r>
              <w:rPr>
                <w:color w:val="000000"/>
                <w:kern w:val="0"/>
                <w:sz w:val="18"/>
                <w:szCs w:val="18"/>
                <w:vertAlign w:val="superscript"/>
                <w:lang w:bidi="ar"/>
              </w:rPr>
              <w:t>b</w:t>
            </w:r>
            <w:r>
              <w:rPr>
                <w:rFonts w:eastAsia="E-BZ"/>
                <w:color w:val="000000"/>
                <w:kern w:val="0"/>
                <w:sz w:val="18"/>
                <w:szCs w:val="18"/>
                <w:lang w:val="zh-TW" w:eastAsia="zh-TW" w:bidi="ar"/>
              </w:rPr>
              <w:t>无厂内沉淀工序的企业，沉淀剂相关参数及本部分排放总量全部填 “—”；无废弃物碳酸盐药剂投加工况的企业，废弃物治理碳酸盐药剂相关参数及本部分排放总量全部填 “—”</w:t>
            </w:r>
            <w:r>
              <w:rPr>
                <w:color w:val="000000"/>
                <w:kern w:val="0"/>
                <w:sz w:val="18"/>
                <w:szCs w:val="18"/>
                <w:lang w:val="zh-TW" w:bidi="ar"/>
              </w:rPr>
              <w:t>。</w:t>
            </w:r>
          </w:p>
        </w:tc>
      </w:tr>
    </w:tbl>
    <w:p w14:paraId="2F16A0CB">
      <w:pPr>
        <w:keepNext w:val="0"/>
        <w:keepLines w:val="0"/>
        <w:pageBreakBefore w:val="0"/>
        <w:widowControl w:val="0"/>
        <w:kinsoku/>
        <w:wordWrap/>
        <w:overflowPunct/>
        <w:topLinePunct w:val="0"/>
        <w:autoSpaceDE/>
        <w:autoSpaceDN/>
        <w:bidi w:val="0"/>
        <w:adjustRightInd/>
        <w:snapToGrid/>
        <w:ind w:firstLine="3780" w:firstLineChars="1800"/>
        <w:textAlignment w:val="auto"/>
        <w:rPr>
          <w:rFonts w:eastAsia="黑体"/>
          <w:bCs/>
          <w:szCs w:val="21"/>
        </w:rPr>
      </w:pPr>
      <w:r>
        <w:rPr>
          <w:rFonts w:eastAsia="黑体"/>
          <w:bCs/>
          <w:szCs w:val="21"/>
        </w:rPr>
        <w:t>表</w:t>
      </w:r>
      <w:r>
        <w:rPr>
          <w:rFonts w:hint="eastAsia" w:eastAsia="黑体"/>
          <w:bCs/>
          <w:szCs w:val="21"/>
        </w:rPr>
        <w:t>D</w:t>
      </w:r>
      <w:r>
        <w:rPr>
          <w:rFonts w:eastAsia="黑体"/>
          <w:bCs/>
          <w:szCs w:val="21"/>
        </w:rPr>
        <w:t>.4 报告主体</w:t>
      </w:r>
      <w:r>
        <w:rPr>
          <w:rFonts w:hint="eastAsia" w:eastAsia="黑体"/>
          <w:bCs/>
          <w:szCs w:val="21"/>
        </w:rPr>
        <w:t>废弃物处理处置</w:t>
      </w:r>
      <w:r>
        <w:rPr>
          <w:rFonts w:eastAsia="黑体"/>
          <w:bCs/>
          <w:szCs w:val="21"/>
        </w:rPr>
        <w:t>活动数据和排放因子数据一览表</w:t>
      </w:r>
      <w:r>
        <w:rPr>
          <w:rFonts w:hint="eastAsia" w:eastAsia="黑体"/>
          <w:bCs/>
          <w:szCs w:val="21"/>
        </w:rPr>
        <w:t xml:space="preserve">  </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779"/>
        <w:gridCol w:w="1414"/>
        <w:gridCol w:w="1414"/>
        <w:gridCol w:w="2104"/>
        <w:gridCol w:w="1498"/>
        <w:gridCol w:w="2836"/>
        <w:gridCol w:w="1925"/>
      </w:tblGrid>
      <w:tr w14:paraId="2563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9" w:hRule="exact"/>
          <w:jc w:val="center"/>
        </w:trPr>
        <w:tc>
          <w:tcPr>
            <w:tcW w:w="995" w:type="pct"/>
            <w:shd w:val="clear" w:color="auto" w:fill="FFFFFF"/>
            <w:vAlign w:val="center"/>
          </w:tcPr>
          <w:p w14:paraId="74E996D4">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lang w:bidi="zh-TW"/>
              </w:rPr>
              <w:t>项目类型</w:t>
            </w:r>
            <w:r>
              <w:rPr>
                <w:rFonts w:ascii="Times New Roman" w:hAnsi="Times New Roman"/>
                <w:sz w:val="18"/>
                <w:szCs w:val="18"/>
                <w:vertAlign w:val="superscript"/>
                <w:lang w:bidi="zh-TW"/>
              </w:rPr>
              <w:t>a</w:t>
            </w:r>
          </w:p>
        </w:tc>
        <w:tc>
          <w:tcPr>
            <w:tcW w:w="506" w:type="pct"/>
            <w:shd w:val="clear" w:color="auto" w:fill="FFFFFF"/>
            <w:vAlign w:val="center"/>
          </w:tcPr>
          <w:p w14:paraId="7E54CE71">
            <w:pPr>
              <w:pStyle w:val="153"/>
              <w:spacing w:after="0" w:line="240" w:lineRule="exact"/>
              <w:ind w:firstLine="0"/>
              <w:jc w:val="center"/>
              <w:rPr>
                <w:rFonts w:ascii="Times New Roman" w:hAnsi="Times New Roman"/>
                <w:sz w:val="18"/>
                <w:szCs w:val="18"/>
              </w:rPr>
            </w:pPr>
            <w:r>
              <w:rPr>
                <w:rFonts w:hint="eastAsia" w:ascii="Times New Roman" w:hAnsi="Times New Roman"/>
                <w:sz w:val="18"/>
                <w:szCs w:val="18"/>
                <w:lang w:bidi="zh-TW"/>
              </w:rPr>
              <w:t>消耗</w:t>
            </w:r>
            <w:r>
              <w:rPr>
                <w:rFonts w:ascii="Times New Roman" w:hAnsi="Times New Roman"/>
                <w:sz w:val="18"/>
                <w:szCs w:val="18"/>
                <w:lang w:val="zh-TW" w:eastAsia="zh-TW" w:bidi="zh-TW"/>
              </w:rPr>
              <w:t>量</w:t>
            </w:r>
          </w:p>
          <w:p w14:paraId="4C5852C3">
            <w:pPr>
              <w:pStyle w:val="153"/>
              <w:spacing w:after="0" w:line="240" w:lineRule="exact"/>
              <w:ind w:firstLine="0"/>
              <w:jc w:val="center"/>
              <w:rPr>
                <w:rFonts w:ascii="Times New Roman" w:hAnsi="Times New Roman"/>
                <w:sz w:val="18"/>
                <w:szCs w:val="18"/>
              </w:rPr>
            </w:pPr>
            <w:r>
              <w:rPr>
                <w:rFonts w:hint="eastAsia" w:ascii="Times New Roman" w:hAnsi="Times New Roman"/>
                <w:sz w:val="18"/>
                <w:szCs w:val="18"/>
              </w:rPr>
              <w:t>t</w:t>
            </w:r>
          </w:p>
        </w:tc>
        <w:tc>
          <w:tcPr>
            <w:tcW w:w="506" w:type="pct"/>
            <w:shd w:val="clear" w:color="auto" w:fill="FFFFFF"/>
            <w:vAlign w:val="center"/>
          </w:tcPr>
          <w:p w14:paraId="5CC86B9A">
            <w:pPr>
              <w:pStyle w:val="153"/>
              <w:spacing w:after="0" w:line="240" w:lineRule="exact"/>
              <w:ind w:firstLine="0"/>
              <w:jc w:val="center"/>
              <w:rPr>
                <w:rFonts w:ascii="Times New Roman" w:hAnsi="Times New Roman"/>
                <w:sz w:val="18"/>
                <w:szCs w:val="18"/>
                <w:lang w:bidi="zh-TW"/>
              </w:rPr>
            </w:pPr>
            <w:r>
              <w:rPr>
                <w:rFonts w:hint="eastAsia" w:ascii="Times New Roman" w:hAnsi="Times New Roman"/>
                <w:sz w:val="18"/>
                <w:szCs w:val="18"/>
                <w:lang w:bidi="zh-TW"/>
              </w:rPr>
              <w:t>组分质量分数</w:t>
            </w:r>
          </w:p>
          <w:p w14:paraId="1F0A899F">
            <w:pPr>
              <w:pStyle w:val="153"/>
              <w:spacing w:after="0" w:line="240" w:lineRule="exact"/>
              <w:ind w:firstLine="0"/>
              <w:jc w:val="center"/>
              <w:rPr>
                <w:rFonts w:ascii="Times New Roman" w:hAnsi="Times New Roman"/>
                <w:sz w:val="18"/>
                <w:szCs w:val="18"/>
                <w:lang w:bidi="zh-TW"/>
              </w:rPr>
            </w:pPr>
            <w:r>
              <w:rPr>
                <w:rFonts w:hint="eastAsia" w:ascii="Times New Roman" w:hAnsi="Times New Roman"/>
                <w:sz w:val="18"/>
                <w:szCs w:val="18"/>
                <w:lang w:bidi="zh-TW"/>
              </w:rPr>
              <w:t>%</w:t>
            </w:r>
          </w:p>
        </w:tc>
        <w:tc>
          <w:tcPr>
            <w:tcW w:w="753" w:type="pct"/>
            <w:shd w:val="clear" w:color="auto" w:fill="FFFFFF"/>
            <w:vAlign w:val="center"/>
          </w:tcPr>
          <w:p w14:paraId="4C847C27">
            <w:pPr>
              <w:pStyle w:val="153"/>
              <w:spacing w:after="0" w:line="240" w:lineRule="exact"/>
              <w:ind w:firstLine="0"/>
              <w:jc w:val="center"/>
              <w:rPr>
                <w:rFonts w:ascii="Times New Roman" w:hAnsi="Times New Roman"/>
                <w:sz w:val="18"/>
                <w:szCs w:val="18"/>
                <w:lang w:bidi="zh-TW"/>
              </w:rPr>
            </w:pPr>
            <w:r>
              <w:rPr>
                <w:rFonts w:hint="eastAsia" w:ascii="Times New Roman" w:hAnsi="Times New Roman"/>
                <w:sz w:val="18"/>
                <w:szCs w:val="18"/>
                <w:lang w:bidi="zh-TW"/>
              </w:rPr>
              <w:t>二氧化碳质量分数</w:t>
            </w:r>
          </w:p>
          <w:p w14:paraId="52262301">
            <w:pPr>
              <w:pStyle w:val="153"/>
              <w:spacing w:after="0" w:line="240" w:lineRule="exact"/>
              <w:ind w:firstLine="0"/>
              <w:jc w:val="center"/>
              <w:rPr>
                <w:rFonts w:ascii="Times New Roman" w:hAnsi="Times New Roman"/>
                <w:sz w:val="18"/>
                <w:szCs w:val="18"/>
                <w:lang w:bidi="zh-TW"/>
              </w:rPr>
            </w:pPr>
            <w:r>
              <w:rPr>
                <w:rFonts w:ascii="Times New Roman" w:hAnsi="Times New Roman" w:cs="Times New Roman"/>
                <w:sz w:val="18"/>
                <w:szCs w:val="18"/>
                <w:lang w:eastAsia="zh-TW"/>
              </w:rPr>
              <w:t>tCO</w:t>
            </w:r>
            <w:r>
              <w:rPr>
                <w:rFonts w:ascii="Times New Roman" w:hAnsi="Times New Roman" w:cs="Times New Roman"/>
                <w:sz w:val="18"/>
                <w:szCs w:val="18"/>
                <w:vertAlign w:val="subscript"/>
                <w:lang w:eastAsia="zh-TW"/>
              </w:rPr>
              <w:t>2</w:t>
            </w:r>
            <w:r>
              <w:rPr>
                <w:rFonts w:ascii="Times New Roman" w:hAnsi="Times New Roman" w:cs="Times New Roman"/>
                <w:sz w:val="18"/>
                <w:szCs w:val="18"/>
                <w:lang w:eastAsia="zh-TW"/>
              </w:rPr>
              <w:t>/</w:t>
            </w:r>
            <w:r>
              <w:rPr>
                <w:rFonts w:hint="eastAsia" w:ascii="Times New Roman" w:hAnsi="Times New Roman" w:cs="Times New Roman"/>
                <w:sz w:val="18"/>
                <w:szCs w:val="18"/>
              </w:rPr>
              <w:t>t碳酸盐</w:t>
            </w:r>
          </w:p>
        </w:tc>
        <w:tc>
          <w:tcPr>
            <w:tcW w:w="536" w:type="pct"/>
            <w:shd w:val="clear" w:color="auto" w:fill="FFFFFF"/>
            <w:vAlign w:val="center"/>
          </w:tcPr>
          <w:p w14:paraId="7D3D4EE7">
            <w:pPr>
              <w:pStyle w:val="153"/>
              <w:spacing w:after="0" w:line="240" w:lineRule="exact"/>
              <w:ind w:firstLine="0"/>
              <w:jc w:val="center"/>
              <w:rPr>
                <w:rFonts w:ascii="Times New Roman" w:hAnsi="Times New Roman"/>
                <w:sz w:val="18"/>
                <w:szCs w:val="18"/>
              </w:rPr>
            </w:pPr>
            <w:r>
              <w:rPr>
                <w:rFonts w:hint="eastAsia" w:ascii="Times New Roman" w:hAnsi="Times New Roman"/>
                <w:sz w:val="18"/>
                <w:szCs w:val="18"/>
              </w:rPr>
              <w:t>反应分解比例</w:t>
            </w:r>
          </w:p>
          <w:p w14:paraId="3E60AE61">
            <w:pPr>
              <w:pStyle w:val="153"/>
              <w:spacing w:after="0" w:line="240" w:lineRule="exact"/>
              <w:ind w:firstLine="0"/>
              <w:jc w:val="center"/>
              <w:rPr>
                <w:rFonts w:ascii="Times New Roman" w:hAnsi="Times New Roman"/>
                <w:sz w:val="18"/>
                <w:szCs w:val="18"/>
              </w:rPr>
            </w:pPr>
            <w:r>
              <w:rPr>
                <w:rFonts w:hint="eastAsia" w:ascii="Times New Roman" w:hAnsi="Times New Roman"/>
                <w:sz w:val="18"/>
                <w:szCs w:val="18"/>
              </w:rPr>
              <w:t>%</w:t>
            </w:r>
          </w:p>
        </w:tc>
        <w:tc>
          <w:tcPr>
            <w:tcW w:w="1015" w:type="pct"/>
            <w:shd w:val="clear" w:color="auto" w:fill="FFFFFF"/>
            <w:vAlign w:val="center"/>
          </w:tcPr>
          <w:p w14:paraId="073C3B00">
            <w:pPr>
              <w:pStyle w:val="153"/>
              <w:spacing w:after="0" w:line="240" w:lineRule="exact"/>
              <w:ind w:firstLine="0"/>
              <w:jc w:val="center"/>
              <w:rPr>
                <w:rFonts w:ascii="Times New Roman" w:hAnsi="Times New Roman"/>
                <w:sz w:val="18"/>
                <w:szCs w:val="18"/>
              </w:rPr>
            </w:pPr>
            <w:r>
              <w:rPr>
                <w:rFonts w:hint="eastAsia" w:ascii="Times New Roman" w:hAnsi="Times New Roman"/>
                <w:sz w:val="18"/>
                <w:szCs w:val="18"/>
              </w:rPr>
              <w:t>废弃物药剂二氧化碳排放因子</w:t>
            </w:r>
          </w:p>
          <w:p w14:paraId="19D0A63D">
            <w:pPr>
              <w:pStyle w:val="153"/>
              <w:spacing w:after="0" w:line="240" w:lineRule="exact"/>
              <w:ind w:firstLine="0"/>
              <w:jc w:val="center"/>
              <w:rPr>
                <w:rFonts w:ascii="Times New Roman" w:hAnsi="Times New Roman"/>
                <w:sz w:val="18"/>
                <w:szCs w:val="18"/>
              </w:rPr>
            </w:pPr>
            <w:r>
              <w:rPr>
                <w:rFonts w:hint="eastAsia" w:ascii="Times New Roman" w:hAnsi="Times New Roman"/>
                <w:sz w:val="18"/>
                <w:szCs w:val="18"/>
              </w:rPr>
              <w:t>tCO</w:t>
            </w:r>
            <w:r>
              <w:rPr>
                <w:rFonts w:ascii="Times New Roman" w:hAnsi="Times New Roman"/>
                <w:sz w:val="18"/>
                <w:szCs w:val="18"/>
                <w:vertAlign w:val="subscript"/>
              </w:rPr>
              <w:t>2</w:t>
            </w:r>
            <w:r>
              <w:rPr>
                <w:rFonts w:hint="eastAsia" w:ascii="Times New Roman" w:hAnsi="Times New Roman"/>
                <w:sz w:val="18"/>
                <w:szCs w:val="18"/>
              </w:rPr>
              <w:t xml:space="preserve">/t </w:t>
            </w:r>
          </w:p>
        </w:tc>
        <w:tc>
          <w:tcPr>
            <w:tcW w:w="689" w:type="pct"/>
            <w:shd w:val="clear" w:color="auto" w:fill="FFFFFF"/>
            <w:vAlign w:val="center"/>
          </w:tcPr>
          <w:p w14:paraId="54638E10">
            <w:pPr>
              <w:pStyle w:val="153"/>
              <w:spacing w:after="0" w:line="240" w:lineRule="exact"/>
              <w:ind w:firstLine="0"/>
              <w:jc w:val="center"/>
              <w:rPr>
                <w:rFonts w:ascii="Times New Roman" w:hAnsi="Times New Roman"/>
                <w:sz w:val="18"/>
                <w:szCs w:val="18"/>
                <w:lang w:val="zh-TW" w:eastAsia="zh-TW" w:bidi="zh-TW"/>
              </w:rPr>
            </w:pPr>
            <w:r>
              <w:rPr>
                <w:rFonts w:hint="eastAsia" w:ascii="Times New Roman" w:hAnsi="Times New Roman"/>
                <w:sz w:val="18"/>
                <w:szCs w:val="18"/>
                <w:lang w:val="zh-TW" w:eastAsia="zh-TW" w:bidi="zh-TW"/>
              </w:rPr>
              <w:t>排放量</w:t>
            </w:r>
          </w:p>
          <w:p w14:paraId="384F96EE">
            <w:pPr>
              <w:pStyle w:val="153"/>
              <w:spacing w:after="0" w:line="240" w:lineRule="exact"/>
              <w:ind w:firstLine="0"/>
              <w:jc w:val="center"/>
              <w:rPr>
                <w:rFonts w:hint="eastAsia" w:ascii="Times New Roman" w:hAnsi="Times New Roman"/>
                <w:sz w:val="18"/>
                <w:szCs w:val="18"/>
              </w:rPr>
            </w:pPr>
            <w:r>
              <w:rPr>
                <w:rFonts w:hint="eastAsia" w:ascii="Times New Roman" w:hAnsi="Times New Roman"/>
                <w:sz w:val="18"/>
                <w:szCs w:val="18"/>
              </w:rPr>
              <w:t>tCO</w:t>
            </w:r>
            <w:r>
              <w:rPr>
                <w:rFonts w:hint="eastAsia" w:ascii="Times New Roman" w:hAnsi="Times New Roman"/>
                <w:sz w:val="18"/>
                <w:szCs w:val="18"/>
                <w:vertAlign w:val="subscript"/>
              </w:rPr>
              <w:t>2</w:t>
            </w:r>
            <w:r>
              <w:rPr>
                <w:rFonts w:hint="eastAsia" w:ascii="Times New Roman" w:hAnsi="Times New Roman"/>
                <w:sz w:val="18"/>
                <w:szCs w:val="18"/>
              </w:rPr>
              <w:t>e</w:t>
            </w:r>
          </w:p>
        </w:tc>
      </w:tr>
      <w:tr w14:paraId="2AFB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8" w:hRule="exact"/>
          <w:jc w:val="center"/>
        </w:trPr>
        <w:tc>
          <w:tcPr>
            <w:tcW w:w="995" w:type="pct"/>
            <w:shd w:val="clear" w:color="auto" w:fill="FFFFFF"/>
            <w:vAlign w:val="center"/>
          </w:tcPr>
          <w:p w14:paraId="00171027">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lang w:val="zh-TW" w:eastAsia="zh-TW" w:bidi="zh-TW"/>
              </w:rPr>
              <w:t>废弃物治理碳酸盐药剂</w:t>
            </w:r>
          </w:p>
        </w:tc>
        <w:tc>
          <w:tcPr>
            <w:tcW w:w="506" w:type="pct"/>
            <w:shd w:val="clear" w:color="auto" w:fill="FFFFFF"/>
            <w:vAlign w:val="center"/>
          </w:tcPr>
          <w:p w14:paraId="5D554FAD">
            <w:pPr>
              <w:jc w:val="center"/>
              <w:rPr>
                <w:sz w:val="18"/>
                <w:szCs w:val="18"/>
              </w:rPr>
            </w:pPr>
          </w:p>
        </w:tc>
        <w:tc>
          <w:tcPr>
            <w:tcW w:w="506" w:type="pct"/>
            <w:shd w:val="clear" w:color="auto" w:fill="FFFFFF"/>
            <w:vAlign w:val="center"/>
          </w:tcPr>
          <w:p w14:paraId="2C030286">
            <w:pPr>
              <w:jc w:val="center"/>
              <w:rPr>
                <w:sz w:val="18"/>
                <w:szCs w:val="18"/>
              </w:rPr>
            </w:pPr>
          </w:p>
        </w:tc>
        <w:tc>
          <w:tcPr>
            <w:tcW w:w="753" w:type="pct"/>
            <w:shd w:val="clear" w:color="auto" w:fill="FFFFFF"/>
            <w:vAlign w:val="center"/>
          </w:tcPr>
          <w:p w14:paraId="54D39ADF">
            <w:pPr>
              <w:jc w:val="center"/>
              <w:rPr>
                <w:sz w:val="18"/>
                <w:szCs w:val="18"/>
              </w:rPr>
            </w:pPr>
          </w:p>
        </w:tc>
        <w:tc>
          <w:tcPr>
            <w:tcW w:w="536" w:type="pct"/>
            <w:shd w:val="clear" w:color="auto" w:fill="FFFFFF"/>
            <w:vAlign w:val="center"/>
          </w:tcPr>
          <w:p w14:paraId="4F09AC5D">
            <w:pPr>
              <w:jc w:val="center"/>
              <w:rPr>
                <w:sz w:val="18"/>
                <w:szCs w:val="18"/>
              </w:rPr>
            </w:pPr>
          </w:p>
        </w:tc>
        <w:tc>
          <w:tcPr>
            <w:tcW w:w="1015" w:type="pct"/>
            <w:shd w:val="clear" w:color="auto" w:fill="FFFFFF"/>
            <w:vAlign w:val="center"/>
          </w:tcPr>
          <w:p w14:paraId="19CCE154">
            <w:pPr>
              <w:jc w:val="center"/>
              <w:rPr>
                <w:sz w:val="18"/>
                <w:szCs w:val="18"/>
              </w:rPr>
            </w:pPr>
          </w:p>
        </w:tc>
        <w:tc>
          <w:tcPr>
            <w:tcW w:w="689" w:type="pct"/>
            <w:shd w:val="clear" w:color="auto" w:fill="FFFFFF"/>
            <w:vAlign w:val="center"/>
          </w:tcPr>
          <w:p w14:paraId="5BB0F3C9">
            <w:pPr>
              <w:jc w:val="center"/>
              <w:rPr>
                <w:sz w:val="18"/>
                <w:szCs w:val="18"/>
              </w:rPr>
            </w:pPr>
          </w:p>
        </w:tc>
      </w:tr>
      <w:tr w14:paraId="18F9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36" w:hRule="exact"/>
          <w:jc w:val="center"/>
        </w:trPr>
        <w:tc>
          <w:tcPr>
            <w:tcW w:w="2760" w:type="pct"/>
            <w:gridSpan w:val="4"/>
            <w:shd w:val="clear" w:color="auto" w:fill="FFFFFF"/>
            <w:vAlign w:val="center"/>
          </w:tcPr>
          <w:p w14:paraId="656777E4">
            <w:pPr>
              <w:widowControl/>
              <w:spacing w:line="440" w:lineRule="exact"/>
              <w:jc w:val="left"/>
              <w:rPr>
                <w:rFonts w:ascii="宋体" w:hAnsi="宋体" w:cs="宋体"/>
                <w:color w:val="000000"/>
                <w:kern w:val="0"/>
                <w:sz w:val="18"/>
                <w:szCs w:val="18"/>
                <w:lang w:bidi="ar"/>
              </w:rPr>
            </w:pPr>
            <w:r>
              <w:rPr>
                <w:rFonts w:ascii="FZHTK--GBK1-0" w:hAnsi="FZHTK--GBK1-0" w:eastAsia="FZHTK--GBK1-0" w:cs="FZHTK--GBK1-0"/>
                <w:color w:val="000000"/>
                <w:kern w:val="0"/>
                <w:sz w:val="18"/>
                <w:szCs w:val="18"/>
                <w:lang w:bidi="ar"/>
              </w:rPr>
              <w:t>注</w:t>
            </w:r>
            <w:r>
              <w:rPr>
                <w:rFonts w:hint="eastAsia" w:ascii="宋体" w:hAnsi="宋体" w:cs="宋体"/>
                <w:color w:val="000000"/>
                <w:kern w:val="0"/>
                <w:sz w:val="18"/>
                <w:szCs w:val="18"/>
                <w:lang w:bidi="ar"/>
              </w:rPr>
              <w:t>：</w:t>
            </w:r>
          </w:p>
          <w:p w14:paraId="79BEF72E">
            <w:pPr>
              <w:widowControl/>
              <w:jc w:val="left"/>
              <w:rPr>
                <w:sz w:val="18"/>
                <w:szCs w:val="18"/>
                <w:lang w:bidi="zh-TW"/>
              </w:rPr>
            </w:pPr>
            <w:r>
              <w:rPr>
                <w:rFonts w:hint="eastAsia"/>
                <w:sz w:val="18"/>
                <w:szCs w:val="18"/>
                <w:vertAlign w:val="superscript"/>
                <w:lang w:bidi="zh-TW"/>
              </w:rPr>
              <w:t>a</w:t>
            </w:r>
            <w:r>
              <w:rPr>
                <w:rFonts w:hint="eastAsia"/>
                <w:sz w:val="18"/>
                <w:szCs w:val="18"/>
                <w:lang w:bidi="zh-TW"/>
              </w:rPr>
              <w:t>若存在多种碳酸盐药剂、多种废弃物处置措施，企业应分行逐一列明。</w:t>
            </w:r>
          </w:p>
        </w:tc>
        <w:tc>
          <w:tcPr>
            <w:tcW w:w="536" w:type="pct"/>
            <w:shd w:val="clear" w:color="auto" w:fill="FFFFFF"/>
            <w:vAlign w:val="center"/>
          </w:tcPr>
          <w:p w14:paraId="1A9392FA">
            <w:pPr>
              <w:widowControl/>
              <w:jc w:val="left"/>
              <w:rPr>
                <w:sz w:val="18"/>
                <w:szCs w:val="18"/>
                <w:vertAlign w:val="superscript"/>
                <w:lang w:bidi="zh-TW"/>
              </w:rPr>
            </w:pPr>
          </w:p>
        </w:tc>
        <w:tc>
          <w:tcPr>
            <w:tcW w:w="1015" w:type="pct"/>
            <w:shd w:val="clear" w:color="auto" w:fill="FFFFFF"/>
            <w:vAlign w:val="center"/>
          </w:tcPr>
          <w:p w14:paraId="4461B14C">
            <w:pPr>
              <w:widowControl/>
              <w:jc w:val="left"/>
              <w:rPr>
                <w:sz w:val="18"/>
                <w:szCs w:val="18"/>
                <w:vertAlign w:val="superscript"/>
                <w:lang w:bidi="zh-TW"/>
              </w:rPr>
            </w:pPr>
          </w:p>
        </w:tc>
        <w:tc>
          <w:tcPr>
            <w:tcW w:w="689" w:type="pct"/>
            <w:shd w:val="clear" w:color="auto" w:fill="FFFFFF"/>
            <w:vAlign w:val="center"/>
          </w:tcPr>
          <w:p w14:paraId="201469BD">
            <w:pPr>
              <w:widowControl/>
              <w:jc w:val="left"/>
              <w:rPr>
                <w:sz w:val="18"/>
                <w:szCs w:val="18"/>
                <w:vertAlign w:val="superscript"/>
                <w:lang w:bidi="zh-TW"/>
              </w:rPr>
            </w:pPr>
          </w:p>
        </w:tc>
      </w:tr>
    </w:tbl>
    <w:p w14:paraId="70C032AB">
      <w:pPr>
        <w:pStyle w:val="151"/>
        <w:keepNext w:val="0"/>
        <w:keepLines w:val="0"/>
        <w:pageBreakBefore w:val="0"/>
        <w:widowControl w:val="0"/>
        <w:kinsoku/>
        <w:wordWrap/>
        <w:overflowPunct/>
        <w:topLinePunct w:val="0"/>
        <w:autoSpaceDE/>
        <w:autoSpaceDN/>
        <w:bidi w:val="0"/>
        <w:adjustRightInd/>
        <w:snapToGrid/>
        <w:spacing w:before="303" w:beforeLines="50" w:after="0" w:line="240" w:lineRule="auto"/>
        <w:ind w:firstLine="0"/>
        <w:jc w:val="center"/>
        <w:textAlignment w:val="auto"/>
        <w:rPr>
          <w:rFonts w:ascii="Times New Roman" w:hAnsi="Times New Roman" w:eastAsia="黑体" w:cs="Times New Roman"/>
          <w:bCs/>
          <w:szCs w:val="21"/>
          <w:lang w:val="en-US" w:eastAsia="zh-CN" w:bidi="ar-SA"/>
        </w:rPr>
      </w:pPr>
      <w:r>
        <w:rPr>
          <w:rFonts w:ascii="Times New Roman" w:hAnsi="Times New Roman" w:eastAsia="黑体" w:cs="Times New Roman"/>
          <w:bCs/>
          <w:szCs w:val="21"/>
          <w:lang w:val="en-US" w:eastAsia="zh-CN" w:bidi="ar-SA"/>
        </w:rPr>
        <w:t xml:space="preserve">表D.5 </w:t>
      </w:r>
      <w:r>
        <w:rPr>
          <w:rFonts w:hint="eastAsia" w:ascii="Times New Roman" w:hAnsi="Times New Roman" w:eastAsia="黑体" w:cs="Times New Roman"/>
          <w:bCs/>
          <w:szCs w:val="21"/>
          <w:lang w:val="en-US" w:eastAsia="zh-CN" w:bidi="ar-SA"/>
        </w:rPr>
        <w:t>报告主体</w:t>
      </w:r>
      <w:r>
        <w:rPr>
          <w:rFonts w:ascii="Times New Roman" w:hAnsi="Times New Roman" w:eastAsia="黑体" w:cs="Times New Roman"/>
          <w:bCs/>
          <w:szCs w:val="21"/>
          <w:lang w:val="en-US" w:eastAsia="zh-CN" w:bidi="ar-SA"/>
        </w:rPr>
        <w:t>购入</w:t>
      </w:r>
      <w:r>
        <w:rPr>
          <w:rFonts w:hint="eastAsia" w:ascii="Times New Roman" w:hAnsi="Times New Roman" w:eastAsia="黑体" w:cs="Times New Roman"/>
          <w:bCs/>
          <w:szCs w:val="21"/>
          <w:lang w:val="en-US" w:eastAsia="zh-CN" w:bidi="ar-SA"/>
        </w:rPr>
        <w:t>和输出</w:t>
      </w:r>
      <w:r>
        <w:rPr>
          <w:rFonts w:ascii="Times New Roman" w:hAnsi="Times New Roman" w:eastAsia="黑体" w:cs="Times New Roman"/>
          <w:bCs/>
          <w:szCs w:val="21"/>
          <w:lang w:val="en-US" w:eastAsia="zh-CN" w:bidi="ar-SA"/>
        </w:rPr>
        <w:t>的电力和热力活动数据和排放因子数据一览表</w:t>
      </w:r>
    </w:p>
    <w:tbl>
      <w:tblPr>
        <w:tblStyle w:val="35"/>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787"/>
        <w:gridCol w:w="3090"/>
        <w:gridCol w:w="3131"/>
        <w:gridCol w:w="3934"/>
      </w:tblGrid>
      <w:tr w14:paraId="18E0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3" w:hRule="exact"/>
          <w:jc w:val="center"/>
        </w:trPr>
        <w:tc>
          <w:tcPr>
            <w:tcW w:w="1358" w:type="pct"/>
            <w:shd w:val="clear" w:color="auto" w:fill="FFFFFF"/>
            <w:vAlign w:val="center"/>
          </w:tcPr>
          <w:p w14:paraId="1BC2364F">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lang w:bidi="zh-TW"/>
              </w:rPr>
              <w:t>项目类型</w:t>
            </w:r>
            <w:r>
              <w:rPr>
                <w:rFonts w:ascii="Times New Roman" w:hAnsi="Times New Roman"/>
                <w:sz w:val="18"/>
                <w:szCs w:val="18"/>
                <w:vertAlign w:val="superscript"/>
                <w:lang w:bidi="zh-TW"/>
              </w:rPr>
              <w:t>a</w:t>
            </w:r>
          </w:p>
        </w:tc>
        <w:tc>
          <w:tcPr>
            <w:tcW w:w="1108" w:type="pct"/>
            <w:shd w:val="clear" w:color="auto" w:fill="FFFFFF"/>
            <w:vAlign w:val="center"/>
          </w:tcPr>
          <w:p w14:paraId="5F832CAE">
            <w:pPr>
              <w:pStyle w:val="153"/>
              <w:spacing w:after="0" w:line="240" w:lineRule="exact"/>
              <w:ind w:firstLine="0"/>
              <w:jc w:val="center"/>
              <w:rPr>
                <w:rFonts w:ascii="Times New Roman" w:hAnsi="Times New Roman"/>
                <w:sz w:val="18"/>
                <w:szCs w:val="18"/>
              </w:rPr>
            </w:pPr>
            <w:r>
              <w:rPr>
                <w:rFonts w:ascii="Times New Roman" w:hAnsi="Times New Roman"/>
                <w:sz w:val="18"/>
                <w:szCs w:val="18"/>
                <w:lang w:val="zh-TW" w:eastAsia="zh-TW" w:bidi="zh-TW"/>
              </w:rPr>
              <w:t>购入量</w:t>
            </w:r>
          </w:p>
          <w:p w14:paraId="2EDEB8B7">
            <w:pPr>
              <w:pStyle w:val="153"/>
              <w:spacing w:after="0" w:line="240" w:lineRule="exact"/>
              <w:ind w:firstLine="0"/>
              <w:jc w:val="center"/>
              <w:rPr>
                <w:rFonts w:ascii="Times New Roman" w:hAnsi="Times New Roman"/>
                <w:sz w:val="18"/>
                <w:szCs w:val="18"/>
              </w:rPr>
            </w:pPr>
            <w:r>
              <w:rPr>
                <w:rFonts w:ascii="Times New Roman" w:hAnsi="Times New Roman" w:cs="Times New Roman"/>
                <w:sz w:val="18"/>
                <w:szCs w:val="18"/>
              </w:rPr>
              <w:t xml:space="preserve">MWh </w:t>
            </w:r>
            <w:r>
              <w:rPr>
                <w:rFonts w:ascii="Times New Roman" w:hAnsi="Times New Roman"/>
                <w:sz w:val="18"/>
                <w:szCs w:val="18"/>
                <w:lang w:val="zh-TW" w:eastAsia="zh-TW" w:bidi="zh-TW"/>
              </w:rPr>
              <w:t xml:space="preserve">或 </w:t>
            </w:r>
            <w:r>
              <w:rPr>
                <w:rFonts w:ascii="Times New Roman" w:hAnsi="Times New Roman" w:cs="Times New Roman"/>
                <w:sz w:val="18"/>
                <w:szCs w:val="18"/>
              </w:rPr>
              <w:t>GJ</w:t>
            </w:r>
          </w:p>
        </w:tc>
        <w:tc>
          <w:tcPr>
            <w:tcW w:w="1123" w:type="pct"/>
            <w:shd w:val="clear" w:color="auto" w:fill="FFFFFF"/>
            <w:vAlign w:val="center"/>
          </w:tcPr>
          <w:p w14:paraId="3D5A40EA">
            <w:pPr>
              <w:pStyle w:val="153"/>
              <w:spacing w:after="0" w:line="240" w:lineRule="exact"/>
              <w:ind w:firstLine="0"/>
              <w:jc w:val="center"/>
              <w:rPr>
                <w:rFonts w:ascii="Times New Roman" w:hAnsi="Times New Roman"/>
                <w:sz w:val="18"/>
                <w:szCs w:val="18"/>
                <w:lang w:val="zh-TW" w:eastAsia="zh-TW" w:bidi="zh-TW"/>
              </w:rPr>
            </w:pPr>
            <w:r>
              <w:rPr>
                <w:rFonts w:ascii="Times New Roman" w:hAnsi="Times New Roman"/>
                <w:sz w:val="18"/>
                <w:szCs w:val="18"/>
                <w:lang w:val="zh-TW" w:eastAsia="zh-TW" w:bidi="zh-TW"/>
              </w:rPr>
              <w:t>排放因子</w:t>
            </w:r>
          </w:p>
          <w:p w14:paraId="0837B7BF">
            <w:pPr>
              <w:pStyle w:val="153"/>
              <w:spacing w:after="0" w:line="240" w:lineRule="exact"/>
              <w:ind w:firstLine="0"/>
              <w:jc w:val="center"/>
              <w:rPr>
                <w:rFonts w:ascii="Times New Roman" w:hAnsi="Times New Roman"/>
                <w:sz w:val="18"/>
                <w:szCs w:val="18"/>
                <w:lang w:eastAsia="zh-TW"/>
              </w:rPr>
            </w:pPr>
            <w:r>
              <w:rPr>
                <w:rFonts w:ascii="Times New Roman" w:hAnsi="Times New Roman" w:cs="Times New Roman"/>
                <w:sz w:val="18"/>
                <w:szCs w:val="18"/>
                <w:lang w:eastAsia="zh-TW"/>
              </w:rPr>
              <w:t>tCO</w:t>
            </w:r>
            <w:r>
              <w:rPr>
                <w:rFonts w:ascii="Times New Roman" w:hAnsi="Times New Roman" w:cs="Times New Roman"/>
                <w:sz w:val="18"/>
                <w:szCs w:val="18"/>
                <w:vertAlign w:val="subscript"/>
                <w:lang w:eastAsia="zh-TW"/>
              </w:rPr>
              <w:t>2</w:t>
            </w:r>
            <w:r>
              <w:rPr>
                <w:rFonts w:ascii="Times New Roman" w:hAnsi="Times New Roman" w:cs="Times New Roman"/>
                <w:sz w:val="18"/>
                <w:szCs w:val="18"/>
                <w:lang w:eastAsia="zh-TW"/>
              </w:rPr>
              <w:t xml:space="preserve">/MWh </w:t>
            </w:r>
            <w:r>
              <w:rPr>
                <w:rFonts w:ascii="Times New Roman" w:hAnsi="Times New Roman"/>
                <w:sz w:val="18"/>
                <w:szCs w:val="18"/>
                <w:lang w:val="zh-TW" w:eastAsia="zh-TW" w:bidi="zh-TW"/>
              </w:rPr>
              <w:t xml:space="preserve">或 </w:t>
            </w:r>
            <w:r>
              <w:rPr>
                <w:rFonts w:ascii="Times New Roman" w:hAnsi="Times New Roman" w:cs="Times New Roman"/>
                <w:sz w:val="18"/>
                <w:szCs w:val="18"/>
                <w:lang w:eastAsia="zh-TW"/>
              </w:rPr>
              <w:t>tCO</w:t>
            </w:r>
            <w:r>
              <w:rPr>
                <w:rFonts w:ascii="Times New Roman" w:hAnsi="Times New Roman" w:cs="Times New Roman"/>
                <w:sz w:val="18"/>
                <w:szCs w:val="18"/>
                <w:vertAlign w:val="subscript"/>
                <w:lang w:eastAsia="zh-TW"/>
              </w:rPr>
              <w:t>2</w:t>
            </w:r>
            <w:r>
              <w:rPr>
                <w:rFonts w:ascii="Times New Roman" w:hAnsi="Times New Roman" w:cs="Times New Roman"/>
                <w:sz w:val="18"/>
                <w:szCs w:val="18"/>
                <w:lang w:eastAsia="zh-TW"/>
              </w:rPr>
              <w:t>/GJ</w:t>
            </w:r>
          </w:p>
        </w:tc>
        <w:tc>
          <w:tcPr>
            <w:tcW w:w="1411" w:type="pct"/>
            <w:shd w:val="clear" w:color="auto" w:fill="FFFFFF"/>
            <w:vAlign w:val="center"/>
          </w:tcPr>
          <w:p w14:paraId="0CF34691">
            <w:pPr>
              <w:pStyle w:val="153"/>
              <w:spacing w:after="0" w:line="240" w:lineRule="exact"/>
              <w:ind w:firstLine="0"/>
              <w:jc w:val="center"/>
              <w:rPr>
                <w:rFonts w:ascii="Times New Roman" w:hAnsi="Times New Roman"/>
                <w:sz w:val="18"/>
                <w:szCs w:val="18"/>
                <w:lang w:val="zh-TW" w:eastAsia="zh-TW" w:bidi="zh-TW"/>
              </w:rPr>
            </w:pPr>
            <w:r>
              <w:rPr>
                <w:rFonts w:hint="eastAsia" w:ascii="Times New Roman" w:hAnsi="Times New Roman"/>
                <w:sz w:val="18"/>
                <w:szCs w:val="18"/>
                <w:lang w:val="zh-TW" w:eastAsia="zh-TW" w:bidi="zh-TW"/>
              </w:rPr>
              <w:t>排放量</w:t>
            </w:r>
          </w:p>
          <w:p w14:paraId="6A08DAEE">
            <w:pPr>
              <w:pStyle w:val="153"/>
              <w:spacing w:after="0" w:line="240" w:lineRule="exact"/>
              <w:ind w:firstLine="0"/>
              <w:jc w:val="center"/>
              <w:rPr>
                <w:rFonts w:ascii="Times New Roman" w:hAnsi="Times New Roman"/>
                <w:sz w:val="18"/>
                <w:szCs w:val="18"/>
                <w:lang w:val="zh-TW" w:eastAsia="zh-TW" w:bidi="zh-TW"/>
              </w:rPr>
            </w:pPr>
            <w:r>
              <w:rPr>
                <w:rFonts w:hint="eastAsia" w:ascii="Times New Roman" w:hAnsi="Times New Roman"/>
                <w:sz w:val="18"/>
                <w:szCs w:val="18"/>
              </w:rPr>
              <w:t>tCO</w:t>
            </w:r>
            <w:r>
              <w:rPr>
                <w:rFonts w:hint="eastAsia" w:ascii="Times New Roman" w:hAnsi="Times New Roman"/>
                <w:sz w:val="18"/>
                <w:szCs w:val="18"/>
                <w:vertAlign w:val="subscript"/>
              </w:rPr>
              <w:t>2</w:t>
            </w:r>
            <w:r>
              <w:rPr>
                <w:rFonts w:hint="eastAsia" w:ascii="Times New Roman" w:hAnsi="Times New Roman"/>
                <w:sz w:val="18"/>
                <w:szCs w:val="18"/>
              </w:rPr>
              <w:t>e</w:t>
            </w:r>
          </w:p>
        </w:tc>
      </w:tr>
      <w:tr w14:paraId="29F2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8" w:hRule="exact"/>
          <w:jc w:val="center"/>
        </w:trPr>
        <w:tc>
          <w:tcPr>
            <w:tcW w:w="1358" w:type="pct"/>
            <w:shd w:val="clear" w:color="auto" w:fill="FFFFFF"/>
            <w:vAlign w:val="center"/>
          </w:tcPr>
          <w:p w14:paraId="6959268E">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lang w:bidi="zh-TW"/>
              </w:rPr>
              <w:t>购入</w:t>
            </w:r>
            <w:r>
              <w:rPr>
                <w:rFonts w:ascii="Times New Roman" w:hAnsi="Times New Roman"/>
                <w:sz w:val="18"/>
                <w:szCs w:val="18"/>
                <w:lang w:val="zh-TW" w:eastAsia="zh-TW" w:bidi="zh-TW"/>
              </w:rPr>
              <w:t>电力</w:t>
            </w:r>
          </w:p>
        </w:tc>
        <w:tc>
          <w:tcPr>
            <w:tcW w:w="1108" w:type="pct"/>
            <w:shd w:val="clear" w:color="auto" w:fill="FFFFFF"/>
            <w:vAlign w:val="center"/>
          </w:tcPr>
          <w:p w14:paraId="7C4F77AD">
            <w:pPr>
              <w:jc w:val="center"/>
              <w:rPr>
                <w:sz w:val="18"/>
                <w:szCs w:val="18"/>
              </w:rPr>
            </w:pPr>
          </w:p>
        </w:tc>
        <w:tc>
          <w:tcPr>
            <w:tcW w:w="1123" w:type="pct"/>
            <w:shd w:val="clear" w:color="auto" w:fill="FFFFFF"/>
            <w:vAlign w:val="center"/>
          </w:tcPr>
          <w:p w14:paraId="2DFB0163">
            <w:pPr>
              <w:jc w:val="center"/>
              <w:rPr>
                <w:sz w:val="18"/>
                <w:szCs w:val="18"/>
              </w:rPr>
            </w:pPr>
          </w:p>
        </w:tc>
        <w:tc>
          <w:tcPr>
            <w:tcW w:w="1411" w:type="pct"/>
            <w:shd w:val="clear" w:color="auto" w:fill="FFFFFF"/>
            <w:vAlign w:val="center"/>
          </w:tcPr>
          <w:p w14:paraId="041040E6">
            <w:pPr>
              <w:jc w:val="center"/>
              <w:rPr>
                <w:sz w:val="18"/>
                <w:szCs w:val="18"/>
              </w:rPr>
            </w:pPr>
          </w:p>
        </w:tc>
      </w:tr>
      <w:tr w14:paraId="37A7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6" w:hRule="exact"/>
          <w:jc w:val="center"/>
        </w:trPr>
        <w:tc>
          <w:tcPr>
            <w:tcW w:w="1358" w:type="pct"/>
            <w:shd w:val="clear" w:color="auto" w:fill="FFFFFF"/>
            <w:vAlign w:val="center"/>
          </w:tcPr>
          <w:p w14:paraId="03898395">
            <w:pPr>
              <w:pStyle w:val="153"/>
              <w:spacing w:after="0" w:line="240" w:lineRule="auto"/>
              <w:ind w:firstLine="0"/>
              <w:jc w:val="center"/>
              <w:rPr>
                <w:rFonts w:ascii="Times New Roman" w:hAnsi="Times New Roman"/>
                <w:sz w:val="18"/>
                <w:szCs w:val="18"/>
              </w:rPr>
            </w:pPr>
            <w:r>
              <w:rPr>
                <w:rFonts w:hint="eastAsia" w:ascii="Times New Roman" w:hAnsi="Times New Roman"/>
                <w:sz w:val="18"/>
                <w:szCs w:val="18"/>
                <w:lang w:bidi="zh-TW"/>
              </w:rPr>
              <w:t>购入</w:t>
            </w:r>
            <w:r>
              <w:rPr>
                <w:rFonts w:hint="eastAsia" w:ascii="Times New Roman" w:hAnsi="Times New Roman"/>
                <w:sz w:val="18"/>
                <w:szCs w:val="18"/>
                <w:lang w:val="zh-TW" w:eastAsia="zh-TW" w:bidi="zh-TW"/>
              </w:rPr>
              <w:t>热力</w:t>
            </w:r>
          </w:p>
        </w:tc>
        <w:tc>
          <w:tcPr>
            <w:tcW w:w="1108" w:type="pct"/>
            <w:shd w:val="clear" w:color="auto" w:fill="FFFFFF"/>
            <w:vAlign w:val="center"/>
          </w:tcPr>
          <w:p w14:paraId="20D7D5C1">
            <w:pPr>
              <w:jc w:val="center"/>
              <w:rPr>
                <w:sz w:val="18"/>
                <w:szCs w:val="18"/>
              </w:rPr>
            </w:pPr>
          </w:p>
        </w:tc>
        <w:tc>
          <w:tcPr>
            <w:tcW w:w="1123" w:type="pct"/>
            <w:shd w:val="clear" w:color="auto" w:fill="FFFFFF"/>
            <w:vAlign w:val="center"/>
          </w:tcPr>
          <w:p w14:paraId="1C6A9BBE">
            <w:pPr>
              <w:jc w:val="center"/>
              <w:rPr>
                <w:sz w:val="18"/>
                <w:szCs w:val="18"/>
              </w:rPr>
            </w:pPr>
          </w:p>
        </w:tc>
        <w:tc>
          <w:tcPr>
            <w:tcW w:w="1411" w:type="pct"/>
            <w:shd w:val="clear" w:color="auto" w:fill="FFFFFF"/>
            <w:vAlign w:val="center"/>
          </w:tcPr>
          <w:p w14:paraId="3DB42D85">
            <w:pPr>
              <w:jc w:val="center"/>
              <w:rPr>
                <w:sz w:val="18"/>
                <w:szCs w:val="18"/>
              </w:rPr>
            </w:pPr>
          </w:p>
        </w:tc>
      </w:tr>
      <w:tr w14:paraId="6D1F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6" w:hRule="exact"/>
          <w:jc w:val="center"/>
        </w:trPr>
        <w:tc>
          <w:tcPr>
            <w:tcW w:w="1358" w:type="pct"/>
            <w:shd w:val="clear" w:color="auto" w:fill="FFFFFF"/>
            <w:vAlign w:val="center"/>
          </w:tcPr>
          <w:p w14:paraId="6CD28DDC">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输出电力</w:t>
            </w:r>
          </w:p>
        </w:tc>
        <w:tc>
          <w:tcPr>
            <w:tcW w:w="1108" w:type="pct"/>
            <w:shd w:val="clear" w:color="auto" w:fill="FFFFFF"/>
            <w:vAlign w:val="center"/>
          </w:tcPr>
          <w:p w14:paraId="0478F175">
            <w:pPr>
              <w:jc w:val="center"/>
              <w:rPr>
                <w:sz w:val="18"/>
                <w:szCs w:val="18"/>
              </w:rPr>
            </w:pPr>
          </w:p>
        </w:tc>
        <w:tc>
          <w:tcPr>
            <w:tcW w:w="1123" w:type="pct"/>
            <w:shd w:val="clear" w:color="auto" w:fill="FFFFFF"/>
            <w:vAlign w:val="center"/>
          </w:tcPr>
          <w:p w14:paraId="6296A5F8">
            <w:pPr>
              <w:jc w:val="center"/>
              <w:rPr>
                <w:sz w:val="18"/>
                <w:szCs w:val="18"/>
              </w:rPr>
            </w:pPr>
          </w:p>
        </w:tc>
        <w:tc>
          <w:tcPr>
            <w:tcW w:w="1411" w:type="pct"/>
            <w:shd w:val="clear" w:color="auto" w:fill="FFFFFF"/>
            <w:vAlign w:val="center"/>
          </w:tcPr>
          <w:p w14:paraId="2A76E5C1">
            <w:pPr>
              <w:jc w:val="center"/>
              <w:rPr>
                <w:sz w:val="18"/>
                <w:szCs w:val="18"/>
              </w:rPr>
            </w:pPr>
          </w:p>
        </w:tc>
      </w:tr>
      <w:tr w14:paraId="3761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6" w:hRule="exact"/>
          <w:jc w:val="center"/>
        </w:trPr>
        <w:tc>
          <w:tcPr>
            <w:tcW w:w="1358" w:type="pct"/>
            <w:shd w:val="clear" w:color="auto" w:fill="FFFFFF"/>
            <w:vAlign w:val="center"/>
          </w:tcPr>
          <w:p w14:paraId="58FB2A93">
            <w:pPr>
              <w:pStyle w:val="153"/>
              <w:spacing w:after="0" w:line="240" w:lineRule="auto"/>
              <w:ind w:firstLine="0"/>
              <w:jc w:val="center"/>
              <w:rPr>
                <w:rFonts w:ascii="Times New Roman" w:hAnsi="Times New Roman"/>
                <w:sz w:val="18"/>
                <w:szCs w:val="18"/>
                <w:lang w:bidi="zh-TW"/>
              </w:rPr>
            </w:pPr>
            <w:r>
              <w:rPr>
                <w:rFonts w:hint="eastAsia" w:ascii="Times New Roman" w:hAnsi="Times New Roman"/>
                <w:sz w:val="18"/>
                <w:szCs w:val="18"/>
                <w:lang w:bidi="zh-TW"/>
              </w:rPr>
              <w:t>输出热力</w:t>
            </w:r>
          </w:p>
        </w:tc>
        <w:tc>
          <w:tcPr>
            <w:tcW w:w="1108" w:type="pct"/>
            <w:shd w:val="clear" w:color="auto" w:fill="FFFFFF"/>
            <w:vAlign w:val="center"/>
          </w:tcPr>
          <w:p w14:paraId="6EA2A1A9">
            <w:pPr>
              <w:jc w:val="center"/>
              <w:rPr>
                <w:sz w:val="18"/>
                <w:szCs w:val="18"/>
              </w:rPr>
            </w:pPr>
          </w:p>
        </w:tc>
        <w:tc>
          <w:tcPr>
            <w:tcW w:w="1123" w:type="pct"/>
            <w:shd w:val="clear" w:color="auto" w:fill="FFFFFF"/>
            <w:vAlign w:val="center"/>
          </w:tcPr>
          <w:p w14:paraId="3FCF6054">
            <w:pPr>
              <w:jc w:val="center"/>
              <w:rPr>
                <w:sz w:val="18"/>
                <w:szCs w:val="18"/>
              </w:rPr>
            </w:pPr>
          </w:p>
        </w:tc>
        <w:tc>
          <w:tcPr>
            <w:tcW w:w="1411" w:type="pct"/>
            <w:shd w:val="clear" w:color="auto" w:fill="FFFFFF"/>
            <w:vAlign w:val="center"/>
          </w:tcPr>
          <w:p w14:paraId="5C541B2C">
            <w:pPr>
              <w:jc w:val="center"/>
              <w:rPr>
                <w:sz w:val="18"/>
                <w:szCs w:val="18"/>
              </w:rPr>
            </w:pPr>
          </w:p>
        </w:tc>
      </w:tr>
      <w:tr w14:paraId="4367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46" w:hRule="exact"/>
          <w:jc w:val="center"/>
        </w:trPr>
        <w:tc>
          <w:tcPr>
            <w:tcW w:w="5000" w:type="pct"/>
            <w:gridSpan w:val="4"/>
            <w:shd w:val="clear" w:color="auto" w:fill="FFFFFF"/>
            <w:vAlign w:val="center"/>
          </w:tcPr>
          <w:p w14:paraId="664E46C9">
            <w:pPr>
              <w:widowControl/>
              <w:spacing w:line="440" w:lineRule="exact"/>
              <w:jc w:val="left"/>
              <w:rPr>
                <w:rFonts w:ascii="宋体" w:hAnsi="宋体" w:cs="宋体"/>
                <w:color w:val="000000"/>
                <w:kern w:val="0"/>
                <w:sz w:val="18"/>
                <w:szCs w:val="18"/>
                <w:lang w:bidi="ar"/>
              </w:rPr>
            </w:pPr>
            <w:r>
              <w:rPr>
                <w:rFonts w:ascii="FZHTK--GBK1-0" w:hAnsi="FZHTK--GBK1-0" w:eastAsia="FZHTK--GBK1-0" w:cs="FZHTK--GBK1-0"/>
                <w:color w:val="000000"/>
                <w:kern w:val="0"/>
                <w:sz w:val="18"/>
                <w:szCs w:val="18"/>
                <w:lang w:bidi="ar"/>
              </w:rPr>
              <w:t>注</w:t>
            </w:r>
            <w:r>
              <w:rPr>
                <w:rFonts w:hint="eastAsia" w:ascii="宋体" w:hAnsi="宋体" w:cs="宋体"/>
                <w:color w:val="000000"/>
                <w:kern w:val="0"/>
                <w:sz w:val="18"/>
                <w:szCs w:val="18"/>
                <w:lang w:bidi="ar"/>
              </w:rPr>
              <w:t>：</w:t>
            </w:r>
          </w:p>
          <w:p w14:paraId="74D10723">
            <w:pPr>
              <w:widowControl/>
              <w:jc w:val="left"/>
              <w:rPr>
                <w:sz w:val="18"/>
                <w:szCs w:val="18"/>
                <w:lang w:bidi="zh-TW"/>
              </w:rPr>
            </w:pPr>
            <w:r>
              <w:rPr>
                <w:rFonts w:hint="eastAsia"/>
                <w:sz w:val="18"/>
                <w:szCs w:val="18"/>
                <w:vertAlign w:val="superscript"/>
                <w:lang w:bidi="zh-TW"/>
              </w:rPr>
              <w:t>a</w:t>
            </w:r>
            <w:r>
              <w:rPr>
                <w:rFonts w:hint="eastAsia"/>
                <w:sz w:val="18"/>
                <w:szCs w:val="18"/>
                <w:lang w:bidi="zh-TW"/>
              </w:rPr>
              <w:t>若购入或输出的电力/热力存在一个以上不同排放因子的电力来源，自行分行一一列明。</w:t>
            </w:r>
          </w:p>
        </w:tc>
      </w:tr>
    </w:tbl>
    <w:p w14:paraId="001E3F0B">
      <w:pPr>
        <w:pStyle w:val="151"/>
        <w:spacing w:after="220" w:line="240" w:lineRule="auto"/>
        <w:ind w:firstLine="0"/>
        <w:jc w:val="both"/>
        <w:rPr>
          <w:rFonts w:eastAsia="PMingLiU"/>
          <w:szCs w:val="21"/>
          <w:lang w:val="en-US"/>
        </w:rPr>
      </w:pPr>
      <w:bookmarkStart w:id="46" w:name="bookmark83"/>
      <w:bookmarkEnd w:id="46"/>
      <w:bookmarkStart w:id="47" w:name="bookmark84"/>
      <w:bookmarkEnd w:id="47"/>
    </w:p>
    <w:sectPr>
      <w:headerReference r:id="rId16" w:type="default"/>
      <w:pgSz w:w="16838" w:h="11906" w:orient="landscape"/>
      <w:pgMar w:top="1418" w:right="1418" w:bottom="1134" w:left="1440" w:header="1304" w:footer="1361" w:gutter="0"/>
      <w:cols w:space="720" w:num="1"/>
      <w:docGrid w:type="linesAndChars" w:linePitch="60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Wingdings 2">
    <w:panose1 w:val="05020102010507070707"/>
    <w:charset w:val="02"/>
    <w:family w:val="roman"/>
    <w:pitch w:val="default"/>
    <w:sig w:usb0="00000000" w:usb1="00000000" w:usb2="00000000" w:usb3="00000000" w:csb0="80000000" w:csb1="00000000"/>
  </w:font>
  <w:font w:name="FZHTK--GBK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E-BZ">
    <w:altName w:val="Segoe Print"/>
    <w:panose1 w:val="00000000000000000000"/>
    <w:charset w:val="00"/>
    <w:family w:val="auto"/>
    <w:pitch w:val="default"/>
    <w:sig w:usb0="00000000" w:usb1="00000000" w:usb2="00000000" w:usb3="00000000" w:csb0="00000000" w:csb1="00000000"/>
  </w:font>
  <w:font w:name="FZSSK--GBK1-0">
    <w:altName w:val="Segoe Print"/>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5758E">
    <w:pPr>
      <w:pStyle w:val="26"/>
      <w:jc w:val="center"/>
    </w:pPr>
  </w:p>
  <w:p w14:paraId="09CD616E">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981F0">
    <w:pPr>
      <w:pStyle w:val="26"/>
      <w:framePr w:wrap="around" w:vAnchor="text" w:hAnchor="margin" w:xAlign="center" w:y="1"/>
      <w:rPr>
        <w:rStyle w:val="39"/>
      </w:rPr>
    </w:pPr>
    <w:r>
      <w:fldChar w:fldCharType="begin"/>
    </w:r>
    <w:r>
      <w:rPr>
        <w:rStyle w:val="39"/>
      </w:rPr>
      <w:instrText xml:space="preserve">PAGE  </w:instrText>
    </w:r>
    <w:r>
      <w:fldChar w:fldCharType="end"/>
    </w:r>
  </w:p>
  <w:p w14:paraId="6A9EDE94">
    <w:pPr>
      <w:pStyle w:val="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A1F4C">
    <w:pPr>
      <w:pStyle w:val="26"/>
      <w:jc w:val="center"/>
    </w:pPr>
  </w:p>
  <w:p w14:paraId="26245344">
    <w:pPr>
      <w:pStyle w:val="2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F7182">
    <w:pPr>
      <w:pStyle w:val="26"/>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07B0EB">
                          <w:pPr>
                            <w:pStyle w:val="26"/>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B07B0EB">
                    <w:pPr>
                      <w:pStyle w:val="26"/>
                    </w:pPr>
                    <w:r>
                      <w:fldChar w:fldCharType="begin"/>
                    </w:r>
                    <w:r>
                      <w:instrText xml:space="preserve"> PAGE  \* MERGEFORMAT </w:instrText>
                    </w:r>
                    <w:r>
                      <w:fldChar w:fldCharType="separate"/>
                    </w:r>
                    <w:r>
                      <w:t>I</w:t>
                    </w:r>
                    <w:r>
                      <w:fldChar w:fldCharType="end"/>
                    </w:r>
                  </w:p>
                </w:txbxContent>
              </v:textbox>
            </v:shape>
          </w:pict>
        </mc:Fallback>
      </mc:AlternateContent>
    </w:r>
  </w:p>
  <w:p w14:paraId="4493E1FA">
    <w:pPr>
      <w:pStyle w:val="2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F21D8">
    <w:pPr>
      <w:ind w:firstLine="42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3BE6C5">
                          <w:pPr>
                            <w:ind w:firstLine="420"/>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D3BE6C5">
                    <w:pPr>
                      <w:ind w:firstLine="420"/>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A5ED6">
    <w:pPr>
      <w:pStyle w:val="26"/>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2541"/>
                          </w:sdtPr>
                          <w:sdtContent>
                            <w:p w14:paraId="6C11D916">
                              <w:pPr>
                                <w:pStyle w:val="26"/>
                                <w:jc w:val="center"/>
                              </w:pPr>
                              <w:r>
                                <w:fldChar w:fldCharType="begin"/>
                              </w:r>
                              <w:r>
                                <w:instrText xml:space="preserve">PAGE   \* MERGEFORMAT</w:instrText>
                              </w:r>
                              <w:r>
                                <w:fldChar w:fldCharType="separate"/>
                              </w:r>
                              <w:r>
                                <w:rPr>
                                  <w:lang w:val="zh-CN"/>
                                </w:rPr>
                                <w:t>2</w:t>
                              </w:r>
                              <w:r>
                                <w:fldChar w:fldCharType="end"/>
                              </w:r>
                            </w:p>
                          </w:sdtContent>
                        </w:sdt>
                        <w:p w14:paraId="7218451F"/>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47482541"/>
                    </w:sdtPr>
                    <w:sdtContent>
                      <w:p w14:paraId="6C11D916">
                        <w:pPr>
                          <w:pStyle w:val="26"/>
                          <w:jc w:val="center"/>
                        </w:pPr>
                        <w:r>
                          <w:fldChar w:fldCharType="begin"/>
                        </w:r>
                        <w:r>
                          <w:instrText xml:space="preserve">PAGE   \* MERGEFORMAT</w:instrText>
                        </w:r>
                        <w:r>
                          <w:fldChar w:fldCharType="separate"/>
                        </w:r>
                        <w:r>
                          <w:rPr>
                            <w:lang w:val="zh-CN"/>
                          </w:rPr>
                          <w:t>2</w:t>
                        </w:r>
                        <w:r>
                          <w:fldChar w:fldCharType="end"/>
                        </w:r>
                      </w:p>
                    </w:sdtContent>
                  </w:sdt>
                  <w:p w14:paraId="7218451F"/>
                </w:txbxContent>
              </v:textbox>
            </v:shape>
          </w:pict>
        </mc:Fallback>
      </mc:AlternateContent>
    </w:r>
  </w:p>
  <w:p w14:paraId="014BA43B">
    <w:pPr>
      <w:spacing w:line="1" w:lineRule="exac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DB712">
    <w:pPr>
      <w:spacing w:line="1" w:lineRule="exact"/>
    </w:pPr>
    <w:r>
      <mc:AlternateContent>
        <mc:Choice Requires="wps">
          <w:drawing>
            <wp:anchor distT="0" distB="0" distL="0" distR="0" simplePos="0" relativeHeight="251661312" behindDoc="1" locked="0" layoutInCell="1" allowOverlap="1">
              <wp:simplePos x="0" y="0"/>
              <wp:positionH relativeFrom="page">
                <wp:posOffset>1031875</wp:posOffset>
              </wp:positionH>
              <wp:positionV relativeFrom="page">
                <wp:posOffset>9989185</wp:posOffset>
              </wp:positionV>
              <wp:extent cx="100330" cy="77470"/>
              <wp:effectExtent l="0" t="0" r="0" b="0"/>
              <wp:wrapNone/>
              <wp:docPr id="109" name="Shape 109"/>
              <wp:cNvGraphicFramePr/>
              <a:graphic xmlns:a="http://schemas.openxmlformats.org/drawingml/2006/main">
                <a:graphicData uri="http://schemas.microsoft.com/office/word/2010/wordprocessingShape">
                  <wps:wsp>
                    <wps:cNvSpPr txBox="1"/>
                    <wps:spPr>
                      <a:xfrm>
                        <a:off x="0" y="0"/>
                        <a:ext cx="100330" cy="77470"/>
                      </a:xfrm>
                      <a:prstGeom prst="rect">
                        <a:avLst/>
                      </a:prstGeom>
                      <a:noFill/>
                    </wps:spPr>
                    <wps:txbx>
                      <w:txbxContent>
                        <w:p w14:paraId="455D9D63">
                          <w:pPr>
                            <w:pStyle w:val="169"/>
                            <w:rPr>
                              <w:sz w:val="12"/>
                              <w:szCs w:val="12"/>
                            </w:rPr>
                          </w:pPr>
                          <w:r>
                            <w:rPr>
                              <w:lang w:eastAsia="en-US" w:bidi="en-US"/>
                            </w:rPr>
                            <w:fldChar w:fldCharType="begin"/>
                          </w:r>
                          <w:r>
                            <w:instrText xml:space="preserve"> PAGE \* MERGEFORMAT </w:instrText>
                          </w:r>
                          <w:r>
                            <w:rPr>
                              <w:lang w:eastAsia="en-US" w:bidi="en-US"/>
                            </w:rPr>
                            <w:fldChar w:fldCharType="separate"/>
                          </w:r>
                          <w:r>
                            <w:rPr>
                              <w:i/>
                              <w:iCs/>
                              <w:sz w:val="12"/>
                              <w:szCs w:val="12"/>
                              <w:lang w:val="zh-TW" w:eastAsia="zh-TW" w:bidi="zh-TW"/>
                            </w:rPr>
                            <w:t>#</w:t>
                          </w:r>
                          <w:r>
                            <w:rPr>
                              <w:i/>
                              <w:iCs/>
                              <w:sz w:val="12"/>
                              <w:szCs w:val="12"/>
                              <w:lang w:val="zh-TW" w:eastAsia="zh-TW" w:bidi="zh-TW"/>
                            </w:rPr>
                            <w:fldChar w:fldCharType="end"/>
                          </w:r>
                        </w:p>
                      </w:txbxContent>
                    </wps:txbx>
                    <wps:bodyPr wrap="none" lIns="0" tIns="0" rIns="0" bIns="0">
                      <a:spAutoFit/>
                    </wps:bodyPr>
                  </wps:wsp>
                </a:graphicData>
              </a:graphic>
            </wp:anchor>
          </w:drawing>
        </mc:Choice>
        <mc:Fallback>
          <w:pict>
            <v:shape id="Shape 109" o:spid="_x0000_s1026" o:spt="202" type="#_x0000_t202" style="position:absolute;left:0pt;margin-left:81.25pt;margin-top:786.55pt;height:6.1pt;width:7.9pt;mso-position-horizontal-relative:page;mso-position-vertical-relative:page;mso-wrap-style:none;z-index:-251655168;mso-width-relative:page;mso-height-relative:page;" filled="f" stroked="f" coordsize="21600,21600" o:gfxdata="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xl1lj1wAA&#10;AA0BAAAPAAAAAAAAAAEAIAAAACIAAABkcnMvZG93bnJldi54bWxQSwECFAAUAAAACACHTuJARhXo&#10;hK0BAAByAwAADgAAAAAAAAABACAAAAAmAQAAZHJzL2Uyb0RvYy54bWxQSwUGAAAAAAYABgBZAQAA&#10;RQUAAAAA&#10;">
              <v:fill on="f" focussize="0,0"/>
              <v:stroke on="f"/>
              <v:imagedata o:title=""/>
              <o:lock v:ext="edit" aspectratio="f"/>
              <v:textbox inset="0mm,0mm,0mm,0mm" style="mso-fit-shape-to-text:t;">
                <w:txbxContent>
                  <w:p w14:paraId="455D9D63">
                    <w:pPr>
                      <w:pStyle w:val="169"/>
                      <w:rPr>
                        <w:sz w:val="12"/>
                        <w:szCs w:val="12"/>
                      </w:rPr>
                    </w:pPr>
                    <w:r>
                      <w:rPr>
                        <w:lang w:eastAsia="en-US" w:bidi="en-US"/>
                      </w:rPr>
                      <w:fldChar w:fldCharType="begin"/>
                    </w:r>
                    <w:r>
                      <w:instrText xml:space="preserve"> PAGE \* MERGEFORMAT </w:instrText>
                    </w:r>
                    <w:r>
                      <w:rPr>
                        <w:lang w:eastAsia="en-US" w:bidi="en-US"/>
                      </w:rPr>
                      <w:fldChar w:fldCharType="separate"/>
                    </w:r>
                    <w:r>
                      <w:rPr>
                        <w:i/>
                        <w:iCs/>
                        <w:sz w:val="12"/>
                        <w:szCs w:val="12"/>
                        <w:lang w:val="zh-TW" w:eastAsia="zh-TW" w:bidi="zh-TW"/>
                      </w:rPr>
                      <w:t>#</w:t>
                    </w:r>
                    <w:r>
                      <w:rPr>
                        <w:i/>
                        <w:iCs/>
                        <w:sz w:val="12"/>
                        <w:szCs w:val="12"/>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21B74">
    <w:pPr>
      <w:spacing w:line="1" w:lineRule="exac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0045C"/>
  <w:p w14:paraId="18C2EA6E"/>
  <w:p w14:paraId="572127FB"/>
  <w:p w14:paraId="1AE836D8"/>
  <w:p w14:paraId="61D33616"/>
  <w:p w14:paraId="1306B3C2">
    <w:pPr>
      <w:jc w:val="right"/>
    </w:pPr>
    <w:r>
      <w:t>XB/T 221-202X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CCA0E">
    <w:pPr>
      <w:pStyle w:val="108"/>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4A5B2">
    <w:pPr>
      <w:spacing w:line="1" w:lineRule="exact"/>
    </w:pPr>
    <w:r>
      <mc:AlternateContent>
        <mc:Choice Requires="wps">
          <w:drawing>
            <wp:anchor distT="0" distB="0" distL="0" distR="0" simplePos="0" relativeHeight="251659264" behindDoc="1" locked="0" layoutInCell="1" allowOverlap="1">
              <wp:simplePos x="0" y="0"/>
              <wp:positionH relativeFrom="page">
                <wp:posOffset>5485765</wp:posOffset>
              </wp:positionH>
              <wp:positionV relativeFrom="page">
                <wp:posOffset>1041400</wp:posOffset>
              </wp:positionV>
              <wp:extent cx="1116330" cy="159385"/>
              <wp:effectExtent l="0" t="0" r="0" b="0"/>
              <wp:wrapNone/>
              <wp:docPr id="103" name="Shape 103"/>
              <wp:cNvGraphicFramePr/>
              <a:graphic xmlns:a="http://schemas.openxmlformats.org/drawingml/2006/main">
                <a:graphicData uri="http://schemas.microsoft.com/office/word/2010/wordprocessingShape">
                  <wps:wsp>
                    <wps:cNvSpPr txBox="1"/>
                    <wps:spPr>
                      <a:xfrm>
                        <a:off x="0" y="0"/>
                        <a:ext cx="1116419" cy="159488"/>
                      </a:xfrm>
                      <a:prstGeom prst="rect">
                        <a:avLst/>
                      </a:prstGeom>
                      <a:noFill/>
                    </wps:spPr>
                    <wps:txbx>
                      <w:txbxContent>
                        <w:p w14:paraId="38F491F2">
                          <w:pPr>
                            <w:jc w:val="right"/>
                            <w:rPr>
                              <w:rFonts w:ascii="黑体" w:hAnsi="黑体" w:eastAsia="黑体"/>
                            </w:rPr>
                          </w:pPr>
                        </w:p>
                      </w:txbxContent>
                    </wps:txbx>
                    <wps:bodyPr wrap="square" lIns="0" tIns="0" rIns="0" bIns="0">
                      <a:noAutofit/>
                    </wps:bodyPr>
                  </wps:wsp>
                </a:graphicData>
              </a:graphic>
            </wp:anchor>
          </w:drawing>
        </mc:Choice>
        <mc:Fallback>
          <w:pict>
            <v:shape id="Shape 103" o:spid="_x0000_s1026" o:spt="202" type="#_x0000_t202" style="position:absolute;left:0pt;margin-left:431.95pt;margin-top:82pt;height:12.55pt;width:87.9pt;mso-position-horizontal-relative:page;mso-position-vertical-relative:page;z-index:-251657216;mso-width-relative:page;mso-height-relative:page;" filled="f" stroked="f" coordsize="21600,21600" o:gfxdata="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u&#10;lbaY2gAAAAwBAAAPAAAAAAAAAAEAIAAAACIAAABkcnMvZG93bnJldi54bWxQSwECFAAUAAAACACH&#10;TuJAQkx3ALABAAB2AwAADgAAAAAAAAABACAAAAApAQAAZHJzL2Uyb0RvYy54bWxQSwUGAAAAAAYA&#10;BgBZAQAASwUAAAAA&#10;">
              <v:fill on="f" focussize="0,0"/>
              <v:stroke on="f"/>
              <v:imagedata o:title=""/>
              <o:lock v:ext="edit" aspectratio="f"/>
              <v:textbox inset="0mm,0mm,0mm,0mm">
                <w:txbxContent>
                  <w:p w14:paraId="38F491F2">
                    <w:pPr>
                      <w:jc w:val="right"/>
                      <w:rPr>
                        <w:rFonts w:ascii="黑体" w:hAnsi="黑体" w:eastAsia="黑体"/>
                      </w:rPr>
                    </w:pP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E73D4">
    <w:pPr>
      <w:spacing w:line="1" w:lineRule="exact"/>
    </w:pPr>
    <w:r>
      <mc:AlternateContent>
        <mc:Choice Requires="wps">
          <w:drawing>
            <wp:anchor distT="0" distB="0" distL="0" distR="0" simplePos="0" relativeHeight="251660288" behindDoc="1" locked="0" layoutInCell="1" allowOverlap="1">
              <wp:simplePos x="0" y="0"/>
              <wp:positionH relativeFrom="page">
                <wp:posOffset>883920</wp:posOffset>
              </wp:positionH>
              <wp:positionV relativeFrom="page">
                <wp:posOffset>1021715</wp:posOffset>
              </wp:positionV>
              <wp:extent cx="1216025" cy="120650"/>
              <wp:effectExtent l="0" t="0" r="0" b="0"/>
              <wp:wrapNone/>
              <wp:docPr id="107" name="Shape 107"/>
              <wp:cNvGraphicFramePr/>
              <a:graphic xmlns:a="http://schemas.openxmlformats.org/drawingml/2006/main">
                <a:graphicData uri="http://schemas.microsoft.com/office/word/2010/wordprocessingShape">
                  <wps:wsp>
                    <wps:cNvSpPr txBox="1"/>
                    <wps:spPr>
                      <a:xfrm>
                        <a:off x="0" y="0"/>
                        <a:ext cx="1216025" cy="120650"/>
                      </a:xfrm>
                      <a:prstGeom prst="rect">
                        <a:avLst/>
                      </a:prstGeom>
                      <a:noFill/>
                    </wps:spPr>
                    <wps:txbx>
                      <w:txbxContent>
                        <w:p w14:paraId="5CC3B591">
                          <w:pPr>
                            <w:pStyle w:val="169"/>
                            <w:rPr>
                              <w:sz w:val="19"/>
                              <w:szCs w:val="19"/>
                            </w:rPr>
                          </w:pPr>
                          <w:r>
                            <w:rPr>
                              <w:b/>
                              <w:bCs/>
                              <w:sz w:val="19"/>
                              <w:szCs w:val="19"/>
                            </w:rPr>
                            <w:t>GB/T 32151.5—2015</w:t>
                          </w:r>
                        </w:p>
                      </w:txbxContent>
                    </wps:txbx>
                    <wps:bodyPr wrap="none" lIns="0" tIns="0" rIns="0" bIns="0">
                      <a:spAutoFit/>
                    </wps:bodyPr>
                  </wps:wsp>
                </a:graphicData>
              </a:graphic>
            </wp:anchor>
          </w:drawing>
        </mc:Choice>
        <mc:Fallback>
          <w:pict>
            <v:shape id="Shape 107" o:spid="_x0000_s1026" o:spt="202" type="#_x0000_t202" style="position:absolute;left:0pt;margin-left:69.6pt;margin-top:80.45pt;height:9.5pt;width:95.75pt;mso-position-horizontal-relative:page;mso-position-vertical-relative:page;mso-wrap-style:none;z-index:-251656192;mso-width-relative:page;mso-height-relative:page;" filled="f" stroked="f" coordsize="21600,21600" o:gfxdata="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piRFxNcA&#10;AAALAQAADwAAAAAAAAABACAAAAAiAAAAZHJzL2Rvd25yZXYueG1sUEsBAhQAFAAAAAgAh07iQLnL&#10;iuKuAQAAdAMAAA4AAAAAAAAAAQAgAAAAJgEAAGRycy9lMm9Eb2MueG1sUEsFBgAAAAAGAAYAWQEA&#10;AEYFAAAAAA==&#10;">
              <v:fill on="f" focussize="0,0"/>
              <v:stroke on="f"/>
              <v:imagedata o:title=""/>
              <o:lock v:ext="edit" aspectratio="f"/>
              <v:textbox inset="0mm,0mm,0mm,0mm" style="mso-fit-shape-to-text:t;">
                <w:txbxContent>
                  <w:p w14:paraId="5CC3B591">
                    <w:pPr>
                      <w:pStyle w:val="169"/>
                      <w:rPr>
                        <w:sz w:val="19"/>
                        <w:szCs w:val="19"/>
                      </w:rPr>
                    </w:pPr>
                    <w:r>
                      <w:rPr>
                        <w:b/>
                        <w:bCs/>
                        <w:sz w:val="19"/>
                        <w:szCs w:val="19"/>
                      </w:rPr>
                      <w:t>GB/T 32151.5—2015</w:t>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9DBD6">
    <w:pPr>
      <w:spacing w:line="1" w:lineRule="exact"/>
    </w:pPr>
    <w:r>
      <mc:AlternateContent>
        <mc:Choice Requires="wps">
          <w:drawing>
            <wp:anchor distT="0" distB="0" distL="0" distR="0" simplePos="0" relativeHeight="251662336" behindDoc="1" locked="0" layoutInCell="1" allowOverlap="1">
              <wp:simplePos x="0" y="0"/>
              <wp:positionH relativeFrom="page">
                <wp:posOffset>1087120</wp:posOffset>
              </wp:positionH>
              <wp:positionV relativeFrom="page">
                <wp:posOffset>1050925</wp:posOffset>
              </wp:positionV>
              <wp:extent cx="1217930" cy="118745"/>
              <wp:effectExtent l="0" t="0" r="0" b="0"/>
              <wp:wrapNone/>
              <wp:docPr id="111" name="Shape 111"/>
              <wp:cNvGraphicFramePr/>
              <a:graphic xmlns:a="http://schemas.openxmlformats.org/drawingml/2006/main">
                <a:graphicData uri="http://schemas.microsoft.com/office/word/2010/wordprocessingShape">
                  <wps:wsp>
                    <wps:cNvSpPr txBox="1"/>
                    <wps:spPr>
                      <a:xfrm>
                        <a:off x="0" y="0"/>
                        <a:ext cx="1217930" cy="118745"/>
                      </a:xfrm>
                      <a:prstGeom prst="rect">
                        <a:avLst/>
                      </a:prstGeom>
                      <a:noFill/>
                    </wps:spPr>
                    <wps:txbx>
                      <w:txbxContent>
                        <w:p w14:paraId="4165D8F9">
                          <w:pPr>
                            <w:pStyle w:val="169"/>
                            <w:rPr>
                              <w:sz w:val="19"/>
                              <w:szCs w:val="19"/>
                            </w:rPr>
                          </w:pPr>
                        </w:p>
                      </w:txbxContent>
                    </wps:txbx>
                    <wps:bodyPr wrap="none" lIns="0" tIns="0" rIns="0" bIns="0">
                      <a:spAutoFit/>
                    </wps:bodyPr>
                  </wps:wsp>
                </a:graphicData>
              </a:graphic>
            </wp:anchor>
          </w:drawing>
        </mc:Choice>
        <mc:Fallback>
          <w:pict>
            <v:shape id="Shape 111" o:spid="_x0000_s1026" o:spt="202" type="#_x0000_t202" style="position:absolute;left:0pt;margin-left:85.6pt;margin-top:82.75pt;height:9.35pt;width:95.9pt;mso-position-horizontal-relative:page;mso-position-vertical-relative:page;mso-wrap-style:none;z-index:-251654144;mso-width-relative:page;mso-height-relative:page;" filled="f" stroked="f" coordsize="21600,21600" o:gfxdata="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rN40l9cA&#10;AAALAQAADwAAAAAAAAABACAAAAAiAAAAZHJzL2Rvd25yZXYueG1sUEsBAhQAFAAAAAgAh07iQIrJ&#10;DUWuAQAAdAMAAA4AAAAAAAAAAQAgAAAAJgEAAGRycy9lMm9Eb2MueG1sUEsFBgAAAAAGAAYAWQEA&#10;AEYFAAAAAA==&#10;">
              <v:fill on="f" focussize="0,0"/>
              <v:stroke on="f"/>
              <v:imagedata o:title=""/>
              <o:lock v:ext="edit" aspectratio="f"/>
              <v:textbox inset="0mm,0mm,0mm,0mm" style="mso-fit-shape-to-text:t;">
                <w:txbxContent>
                  <w:p w14:paraId="4165D8F9">
                    <w:pPr>
                      <w:pStyle w:val="169"/>
                      <w:rPr>
                        <w:sz w:val="19"/>
                        <w:szCs w:val="19"/>
                      </w:rPr>
                    </w:pP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35446">
    <w:pPr>
      <w:jc w:val="right"/>
      <w:rPr>
        <w:rFonts w:ascii="黑体" w:hAnsi="黑体" w:eastAsia="黑体"/>
      </w:rPr>
    </w:pPr>
    <w:r>
      <w:rPr>
        <w:rFonts w:hint="eastAsia" w:ascii="黑体" w:hAnsi="黑体" w:eastAsia="黑体"/>
      </w:rPr>
      <w:t>XB/T 221-202X</w:t>
    </w:r>
  </w:p>
  <w:p w14:paraId="1706B7E8">
    <w:pPr>
      <w:jc w:val="right"/>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3963AE"/>
    <w:multiLevelType w:val="singleLevel"/>
    <w:tmpl w:val="A13963AE"/>
    <w:lvl w:ilvl="0" w:tentative="0">
      <w:start w:val="1"/>
      <w:numFmt w:val="lowerLetter"/>
      <w:suff w:val="nothing"/>
      <w:lvlText w:val="%1）"/>
      <w:lvlJc w:val="left"/>
    </w:lvl>
  </w:abstractNum>
  <w:abstractNum w:abstractNumId="1">
    <w:nsid w:val="0AE367E9"/>
    <w:multiLevelType w:val="multilevel"/>
    <w:tmpl w:val="0AE367E9"/>
    <w:lvl w:ilvl="0" w:tentative="0">
      <w:start w:val="1"/>
      <w:numFmt w:val="none"/>
      <w:pStyle w:val="126"/>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15E081A"/>
    <w:multiLevelType w:val="multilevel"/>
    <w:tmpl w:val="115E081A"/>
    <w:lvl w:ilvl="0" w:tentative="0">
      <w:start w:val="1"/>
      <w:numFmt w:val="decimal"/>
      <w:pStyle w:val="141"/>
      <w:suff w:val="nothing"/>
      <w:lvlText w:val="%1  "/>
      <w:lvlJc w:val="left"/>
      <w:pPr>
        <w:ind w:left="568" w:firstLine="0"/>
      </w:pPr>
      <w:rPr>
        <w:rFonts w:hint="eastAsia" w:ascii="黑体" w:eastAsia="黑体"/>
        <w:b w:val="0"/>
        <w:i w:val="0"/>
        <w:caps w:val="0"/>
        <w:smallCaps w:val="0"/>
        <w:strike w:val="0"/>
        <w:dstrike w:val="0"/>
        <w:outline w:val="0"/>
        <w:shadow w:val="0"/>
        <w:emboss w:val="0"/>
        <w:imprint w:val="0"/>
        <w:vanish w:val="0"/>
        <w:color w:val="auto"/>
        <w:spacing w:val="0"/>
        <w:w w:val="100"/>
        <w:kern w:val="21"/>
        <w:position w:val="0"/>
        <w:sz w:val="21"/>
        <w:u w:val="none"/>
        <w:vertAlign w:val="baseline"/>
      </w:rPr>
    </w:lvl>
    <w:lvl w:ilvl="1" w:tentative="0">
      <w:start w:val="1"/>
      <w:numFmt w:val="decimal"/>
      <w:pStyle w:val="127"/>
      <w:suff w:val="nothing"/>
      <w:lvlText w:val="%1.%2  "/>
      <w:lvlJc w:val="left"/>
      <w:pPr>
        <w:ind w:left="1560" w:firstLine="0"/>
      </w:pPr>
      <w:rPr>
        <w:rFonts w:hint="eastAsia" w:ascii="黑体" w:eastAsia="黑体"/>
        <w:b w:val="0"/>
        <w:i w:val="0"/>
        <w:caps w:val="0"/>
        <w:smallCaps w:val="0"/>
        <w:strike w:val="0"/>
        <w:dstrike w:val="0"/>
        <w:outline w:val="0"/>
        <w:shadow w:val="0"/>
        <w:emboss w:val="0"/>
        <w:imprint w:val="0"/>
        <w:vanish w:val="0"/>
        <w:color w:val="auto"/>
        <w:spacing w:val="0"/>
        <w:w w:val="100"/>
        <w:kern w:val="21"/>
        <w:position w:val="0"/>
        <w:sz w:val="21"/>
        <w:u w:val="none"/>
        <w:vertAlign w:val="baseline"/>
      </w:rPr>
    </w:lvl>
    <w:lvl w:ilvl="2" w:tentative="0">
      <w:start w:val="1"/>
      <w:numFmt w:val="decimal"/>
      <w:pStyle w:val="134"/>
      <w:suff w:val="nothing"/>
      <w:lvlText w:val="%1.%2.%3  "/>
      <w:lvlJc w:val="left"/>
      <w:pPr>
        <w:ind w:left="0" w:firstLine="0"/>
      </w:pPr>
      <w:rPr>
        <w:rFonts w:hint="eastAsia" w:ascii="黑体" w:eastAsia="黑体"/>
        <w:b w:val="0"/>
        <w:i w:val="0"/>
        <w:caps w:val="0"/>
        <w:smallCaps w:val="0"/>
        <w:strike w:val="0"/>
        <w:dstrike w:val="0"/>
        <w:outline w:val="0"/>
        <w:shadow w:val="0"/>
        <w:emboss w:val="0"/>
        <w:imprint w:val="0"/>
        <w:vanish w:val="0"/>
        <w:color w:val="auto"/>
        <w:spacing w:val="0"/>
        <w:w w:val="100"/>
        <w:kern w:val="21"/>
        <w:position w:val="0"/>
        <w:sz w:val="21"/>
        <w:u w:val="none"/>
        <w:vertAlign w:val="baseline"/>
      </w:rPr>
    </w:lvl>
    <w:lvl w:ilvl="3" w:tentative="0">
      <w:start w:val="1"/>
      <w:numFmt w:val="decimal"/>
      <w:pStyle w:val="115"/>
      <w:suff w:val="nothing"/>
      <w:lvlText w:val="%1.%2.%3.%4  "/>
      <w:lvlJc w:val="left"/>
      <w:pPr>
        <w:ind w:left="0" w:firstLine="0"/>
      </w:pPr>
      <w:rPr>
        <w:rFonts w:hint="eastAsia" w:ascii="黑体" w:eastAsia="黑体"/>
        <w:b w:val="0"/>
        <w:i w:val="0"/>
        <w:caps w:val="0"/>
        <w:smallCaps w:val="0"/>
        <w:strike w:val="0"/>
        <w:dstrike w:val="0"/>
        <w:outline w:val="0"/>
        <w:shadow w:val="0"/>
        <w:emboss w:val="0"/>
        <w:imprint w:val="0"/>
        <w:vanish w:val="0"/>
        <w:color w:val="auto"/>
        <w:spacing w:val="0"/>
        <w:w w:val="100"/>
        <w:kern w:val="21"/>
        <w:position w:val="0"/>
        <w:sz w:val="21"/>
        <w:u w:val="none"/>
        <w:vertAlign w:val="baseline"/>
      </w:rPr>
    </w:lvl>
    <w:lvl w:ilvl="4" w:tentative="0">
      <w:start w:val="1"/>
      <w:numFmt w:val="decimal"/>
      <w:pStyle w:val="139"/>
      <w:suff w:val="nothing"/>
      <w:lvlText w:val="%1.%2.%3.%4.%5  "/>
      <w:lvlJc w:val="left"/>
      <w:pPr>
        <w:ind w:left="0" w:firstLine="0"/>
      </w:pPr>
      <w:rPr>
        <w:rFonts w:hint="eastAsia" w:ascii="黑体" w:eastAsia="黑体"/>
        <w:b w:val="0"/>
        <w:i w:val="0"/>
        <w:caps w:val="0"/>
        <w:smallCaps w:val="0"/>
        <w:strike w:val="0"/>
        <w:dstrike w:val="0"/>
        <w:outline w:val="0"/>
        <w:shadow w:val="0"/>
        <w:emboss w:val="0"/>
        <w:imprint w:val="0"/>
        <w:vanish w:val="0"/>
        <w:color w:val="auto"/>
        <w:spacing w:val="0"/>
        <w:w w:val="100"/>
        <w:kern w:val="21"/>
        <w:position w:val="0"/>
        <w:sz w:val="21"/>
        <w:u w:val="none"/>
        <w:vertAlign w:val="baseline"/>
      </w:rPr>
    </w:lvl>
    <w:lvl w:ilvl="5" w:tentative="0">
      <w:start w:val="1"/>
      <w:numFmt w:val="decimal"/>
      <w:pStyle w:val="135"/>
      <w:suff w:val="nothing"/>
      <w:lvlText w:val="%1.%2.%3.%4.%5.%6  "/>
      <w:lvlJc w:val="left"/>
      <w:pPr>
        <w:ind w:left="0" w:firstLine="0"/>
      </w:pPr>
      <w:rPr>
        <w:rFonts w:hint="eastAsia" w:ascii="黑体" w:eastAsia="黑体"/>
        <w:b w:val="0"/>
        <w:i w:val="0"/>
        <w:caps w:val="0"/>
        <w:smallCaps w:val="0"/>
        <w:strike w:val="0"/>
        <w:dstrike w:val="0"/>
        <w:outline w:val="0"/>
        <w:shadow w:val="0"/>
        <w:emboss w:val="0"/>
        <w:imprint w:val="0"/>
        <w:vanish w:val="0"/>
        <w:color w:val="auto"/>
        <w:spacing w:val="0"/>
        <w:w w:val="100"/>
        <w:kern w:val="21"/>
        <w:position w:val="0"/>
        <w:sz w:val="21"/>
        <w:u w:val="none"/>
        <w:vertAlign w:val="baseline"/>
      </w:rPr>
    </w:lvl>
    <w:lvl w:ilvl="6" w:tentative="0">
      <w:start w:val="1"/>
      <w:numFmt w:val="lowerRoman"/>
      <w:lvlText w:val="(%7)"/>
      <w:lvlJc w:val="left"/>
      <w:pPr>
        <w:tabs>
          <w:tab w:val="left" w:pos="5528"/>
        </w:tabs>
        <w:ind w:left="5102" w:firstLine="0"/>
      </w:pPr>
    </w:lvl>
    <w:lvl w:ilvl="7" w:tentative="0">
      <w:start w:val="1"/>
      <w:numFmt w:val="lowerLetter"/>
      <w:lvlText w:val="(%8)"/>
      <w:lvlJc w:val="left"/>
      <w:pPr>
        <w:tabs>
          <w:tab w:val="left" w:pos="6378"/>
        </w:tabs>
        <w:ind w:left="5953" w:firstLine="0"/>
      </w:pPr>
    </w:lvl>
    <w:lvl w:ilvl="8" w:tentative="0">
      <w:start w:val="1"/>
      <w:numFmt w:val="lowerRoman"/>
      <w:lvlText w:val="(%9)"/>
      <w:lvlJc w:val="left"/>
      <w:pPr>
        <w:tabs>
          <w:tab w:val="left" w:pos="7228"/>
        </w:tabs>
        <w:ind w:left="6803" w:firstLine="0"/>
      </w:pPr>
    </w:lvl>
  </w:abstractNum>
  <w:abstractNum w:abstractNumId="3">
    <w:nsid w:val="2E4831E1"/>
    <w:multiLevelType w:val="multilevel"/>
    <w:tmpl w:val="2E4831E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6806F7D"/>
    <w:multiLevelType w:val="multilevel"/>
    <w:tmpl w:val="46806F7D"/>
    <w:lvl w:ilvl="0" w:tentative="0">
      <w:start w:val="1"/>
      <w:numFmt w:val="none"/>
      <w:pStyle w:val="119"/>
      <w:lvlText w:val="图"/>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6D22D8F"/>
    <w:multiLevelType w:val="multilevel"/>
    <w:tmpl w:val="46D22D8F"/>
    <w:lvl w:ilvl="0" w:tentative="0">
      <w:start w:val="1"/>
      <w:numFmt w:val="none"/>
      <w:pStyle w:val="132"/>
      <w:lvlText w:val="%1◆　"/>
      <w:lvlJc w:val="left"/>
      <w:pPr>
        <w:tabs>
          <w:tab w:val="left" w:pos="960"/>
        </w:tabs>
        <w:ind w:left="917" w:hanging="317"/>
      </w:pPr>
      <w:rPr>
        <w:rFonts w:hint="eastAsia" w:ascii="宋体" w:hAnsi="Times New Roman" w:eastAsia="宋体"/>
        <w:b w:val="0"/>
        <w:i w:val="0"/>
        <w:position w:val="4"/>
        <w:sz w:val="1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96E4D7B"/>
    <w:multiLevelType w:val="multilevel"/>
    <w:tmpl w:val="496E4D7B"/>
    <w:lvl w:ilvl="0" w:tentative="0">
      <w:start w:val="1"/>
      <w:numFmt w:val="none"/>
      <w:pStyle w:val="122"/>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4F302902"/>
    <w:multiLevelType w:val="multilevel"/>
    <w:tmpl w:val="4F302902"/>
    <w:lvl w:ilvl="0" w:tentative="0">
      <w:start w:val="1"/>
      <w:numFmt w:val="none"/>
      <w:pStyle w:val="89"/>
      <w:lvlText w:val="表"/>
      <w:lvlJc w:val="left"/>
      <w:pPr>
        <w:tabs>
          <w:tab w:val="left" w:pos="360"/>
        </w:tabs>
        <w:ind w:left="0" w:firstLine="0"/>
      </w:pPr>
      <w:rPr>
        <w:rFonts w:hint="eastAsia" w:asci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557C2AF5"/>
    <w:multiLevelType w:val="multilevel"/>
    <w:tmpl w:val="557C2AF5"/>
    <w:lvl w:ilvl="0" w:tentative="0">
      <w:start w:val="1"/>
      <w:numFmt w:val="decimal"/>
      <w:pStyle w:val="125"/>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6350366A"/>
    <w:multiLevelType w:val="multilevel"/>
    <w:tmpl w:val="6350366A"/>
    <w:lvl w:ilvl="0" w:tentative="0">
      <w:start w:val="1"/>
      <w:numFmt w:val="none"/>
      <w:pStyle w:val="124"/>
      <w:lvlText w:val="%1●　"/>
      <w:lvlJc w:val="left"/>
      <w:pPr>
        <w:tabs>
          <w:tab w:val="left" w:pos="760"/>
        </w:tabs>
        <w:ind w:left="717" w:hanging="317"/>
      </w:pPr>
      <w:rPr>
        <w:rFonts w:hint="eastAsia" w:ascii="宋体" w:hAnsi="Times New Roman"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46260FA"/>
    <w:multiLevelType w:val="multilevel"/>
    <w:tmpl w:val="646260FA"/>
    <w:lvl w:ilvl="0" w:tentative="0">
      <w:start w:val="1"/>
      <w:numFmt w:val="decimal"/>
      <w:pStyle w:val="138"/>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657D3FBC"/>
    <w:multiLevelType w:val="multilevel"/>
    <w:tmpl w:val="657D3FBC"/>
    <w:lvl w:ilvl="0" w:tentative="0">
      <w:start w:val="1"/>
      <w:numFmt w:val="upperLetter"/>
      <w:pStyle w:val="94"/>
      <w:suff w:val="nothing"/>
      <w:lvlText w:val="附　录　%1"/>
      <w:lvlJc w:val="left"/>
      <w:pPr>
        <w:ind w:left="0" w:firstLine="0"/>
      </w:pPr>
      <w:rPr>
        <w:rFonts w:hint="eastAsia" w:ascii="黑体" w:hAnsi="Times New Roman" w:eastAsia="黑体"/>
        <w:b w:val="0"/>
        <w:i w:val="0"/>
        <w:sz w:val="21"/>
      </w:rPr>
    </w:lvl>
    <w:lvl w:ilvl="1" w:tentative="0">
      <w:start w:val="1"/>
      <w:numFmt w:val="decimal"/>
      <w:pStyle w:val="93"/>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6"/>
      <w:suff w:val="nothing"/>
      <w:lvlText w:val="%1.%2.%3　"/>
      <w:lvlJc w:val="left"/>
      <w:pPr>
        <w:ind w:left="0" w:firstLine="0"/>
      </w:pPr>
      <w:rPr>
        <w:rFonts w:hint="eastAsia" w:ascii="黑体" w:hAnsi="Times New Roman" w:eastAsia="黑体"/>
        <w:b w:val="0"/>
        <w:i w:val="0"/>
        <w:sz w:val="21"/>
      </w:rPr>
    </w:lvl>
    <w:lvl w:ilvl="3" w:tentative="0">
      <w:start w:val="1"/>
      <w:numFmt w:val="decimal"/>
      <w:pStyle w:val="105"/>
      <w:suff w:val="nothing"/>
      <w:lvlText w:val="%1.%2.%3.%4　"/>
      <w:lvlJc w:val="left"/>
      <w:pPr>
        <w:ind w:left="0" w:firstLine="0"/>
      </w:pPr>
      <w:rPr>
        <w:rFonts w:hint="eastAsia" w:ascii="黑体" w:hAnsi="Times New Roman" w:eastAsia="黑体"/>
        <w:b w:val="0"/>
        <w:i w:val="0"/>
        <w:sz w:val="21"/>
      </w:rPr>
    </w:lvl>
    <w:lvl w:ilvl="4" w:tentative="0">
      <w:start w:val="1"/>
      <w:numFmt w:val="decimal"/>
      <w:pStyle w:val="104"/>
      <w:suff w:val="nothing"/>
      <w:lvlText w:val="%1.%2.%3.%4.%5　"/>
      <w:lvlJc w:val="left"/>
      <w:pPr>
        <w:ind w:left="0" w:firstLine="0"/>
      </w:pPr>
      <w:rPr>
        <w:rFonts w:hint="eastAsia" w:ascii="黑体" w:hAnsi="Times New Roman" w:eastAsia="黑体"/>
        <w:b w:val="0"/>
        <w:i w:val="0"/>
        <w:sz w:val="21"/>
      </w:rPr>
    </w:lvl>
    <w:lvl w:ilvl="5" w:tentative="0">
      <w:start w:val="1"/>
      <w:numFmt w:val="decimal"/>
      <w:pStyle w:val="103"/>
      <w:suff w:val="nothing"/>
      <w:lvlText w:val="%1.%2.%3.%4.%5.%6　"/>
      <w:lvlJc w:val="left"/>
      <w:pPr>
        <w:ind w:left="0" w:firstLine="0"/>
      </w:pPr>
      <w:rPr>
        <w:rFonts w:hint="eastAsia" w:ascii="黑体" w:hAnsi="Times New Roman" w:eastAsia="黑体"/>
        <w:b w:val="0"/>
        <w:i w:val="0"/>
        <w:sz w:val="21"/>
      </w:rPr>
    </w:lvl>
    <w:lvl w:ilvl="6" w:tentative="0">
      <w:start w:val="1"/>
      <w:numFmt w:val="decimal"/>
      <w:pStyle w:val="13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2">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pStyle w:val="87"/>
      <w:suff w:val="nothing"/>
      <w:lvlText w:val="%1%2.%3.%4　"/>
      <w:lvlJc w:val="left"/>
      <w:pPr>
        <w:ind w:left="0" w:firstLine="0"/>
      </w:pPr>
      <w:rPr>
        <w:rFonts w:hint="eastAsia" w:ascii="黑体" w:hAnsi="Times New Roman" w:eastAsia="黑体"/>
        <w:b w:val="0"/>
        <w:i w:val="0"/>
        <w:sz w:val="21"/>
      </w:rPr>
    </w:lvl>
    <w:lvl w:ilvl="4" w:tentative="0">
      <w:start w:val="1"/>
      <w:numFmt w:val="decimal"/>
      <w:pStyle w:val="86"/>
      <w:suff w:val="nothing"/>
      <w:lvlText w:val="%1%2.%3.%4.%5　"/>
      <w:lvlJc w:val="left"/>
      <w:pPr>
        <w:ind w:left="0" w:firstLine="0"/>
      </w:pPr>
      <w:rPr>
        <w:rFonts w:hint="eastAsia" w:ascii="黑体" w:hAnsi="Times New Roman" w:eastAsia="黑体"/>
        <w:b w:val="0"/>
        <w:i w:val="0"/>
        <w:sz w:val="21"/>
      </w:rPr>
    </w:lvl>
    <w:lvl w:ilvl="5" w:tentative="0">
      <w:start w:val="1"/>
      <w:numFmt w:val="decimal"/>
      <w:pStyle w:val="85"/>
      <w:suff w:val="nothing"/>
      <w:lvlText w:val="%1%2.%3.%4.%5.%6　"/>
      <w:lvlJc w:val="left"/>
      <w:pPr>
        <w:ind w:left="0" w:firstLine="0"/>
      </w:pPr>
      <w:rPr>
        <w:rFonts w:hint="eastAsia" w:ascii="黑体" w:hAnsi="Times New Roman" w:eastAsia="黑体"/>
        <w:b w:val="0"/>
        <w:i w:val="0"/>
        <w:sz w:val="21"/>
      </w:rPr>
    </w:lvl>
    <w:lvl w:ilvl="6" w:tentative="0">
      <w:start w:val="1"/>
      <w:numFmt w:val="decimal"/>
      <w:pStyle w:val="12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3">
    <w:nsid w:val="6DBF04F4"/>
    <w:multiLevelType w:val="multilevel"/>
    <w:tmpl w:val="6DBF04F4"/>
    <w:lvl w:ilvl="0" w:tentative="0">
      <w:start w:val="1"/>
      <w:numFmt w:val="none"/>
      <w:pStyle w:val="130"/>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76933334"/>
    <w:multiLevelType w:val="multilevel"/>
    <w:tmpl w:val="76933334"/>
    <w:lvl w:ilvl="0" w:tentative="0">
      <w:start w:val="1"/>
      <w:numFmt w:val="none"/>
      <w:pStyle w:val="117"/>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2"/>
  </w:num>
  <w:num w:numId="2">
    <w:abstractNumId w:val="7"/>
  </w:num>
  <w:num w:numId="3">
    <w:abstractNumId w:val="11"/>
  </w:num>
  <w:num w:numId="4">
    <w:abstractNumId w:val="2"/>
  </w:num>
  <w:num w:numId="5">
    <w:abstractNumId w:val="14"/>
  </w:num>
  <w:num w:numId="6">
    <w:abstractNumId w:val="4"/>
  </w:num>
  <w:num w:numId="7">
    <w:abstractNumId w:val="6"/>
  </w:num>
  <w:num w:numId="8">
    <w:abstractNumId w:val="9"/>
  </w:num>
  <w:num w:numId="9">
    <w:abstractNumId w:val="8"/>
  </w:num>
  <w:num w:numId="10">
    <w:abstractNumId w:val="1"/>
  </w:num>
  <w:num w:numId="11">
    <w:abstractNumId w:val="13"/>
  </w:num>
  <w:num w:numId="12">
    <w:abstractNumId w:val="5"/>
  </w:num>
  <w:num w:numId="13">
    <w:abstractNumId w:val="10"/>
  </w:num>
  <w:num w:numId="14">
    <w:abstractNumId w:val="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755"/>
    <w:rsid w:val="0000085B"/>
    <w:rsid w:val="00004DBE"/>
    <w:rsid w:val="00007CC6"/>
    <w:rsid w:val="000220CC"/>
    <w:rsid w:val="00031606"/>
    <w:rsid w:val="00040296"/>
    <w:rsid w:val="0004330C"/>
    <w:rsid w:val="000519EB"/>
    <w:rsid w:val="00051B32"/>
    <w:rsid w:val="0006640B"/>
    <w:rsid w:val="00083120"/>
    <w:rsid w:val="000840AE"/>
    <w:rsid w:val="00093636"/>
    <w:rsid w:val="0009466C"/>
    <w:rsid w:val="000948ED"/>
    <w:rsid w:val="00097194"/>
    <w:rsid w:val="000A4765"/>
    <w:rsid w:val="000A6F28"/>
    <w:rsid w:val="000B2FA1"/>
    <w:rsid w:val="000B3E1E"/>
    <w:rsid w:val="000C11F1"/>
    <w:rsid w:val="000C6F17"/>
    <w:rsid w:val="000E45F9"/>
    <w:rsid w:val="000F402D"/>
    <w:rsid w:val="0010049A"/>
    <w:rsid w:val="001053A2"/>
    <w:rsid w:val="001076A8"/>
    <w:rsid w:val="001172F1"/>
    <w:rsid w:val="00135F35"/>
    <w:rsid w:val="00144842"/>
    <w:rsid w:val="0014671D"/>
    <w:rsid w:val="001648B1"/>
    <w:rsid w:val="0017059F"/>
    <w:rsid w:val="0017126C"/>
    <w:rsid w:val="00176B66"/>
    <w:rsid w:val="0019164B"/>
    <w:rsid w:val="00191AD0"/>
    <w:rsid w:val="00192D1D"/>
    <w:rsid w:val="001A03EE"/>
    <w:rsid w:val="001B7135"/>
    <w:rsid w:val="001C77C1"/>
    <w:rsid w:val="001D0751"/>
    <w:rsid w:val="001E74DC"/>
    <w:rsid w:val="001F1317"/>
    <w:rsid w:val="001F4CE4"/>
    <w:rsid w:val="001F6AF2"/>
    <w:rsid w:val="00201F46"/>
    <w:rsid w:val="00202247"/>
    <w:rsid w:val="00202879"/>
    <w:rsid w:val="00204B1E"/>
    <w:rsid w:val="00213958"/>
    <w:rsid w:val="00223446"/>
    <w:rsid w:val="00245BD7"/>
    <w:rsid w:val="00254BB0"/>
    <w:rsid w:val="002567DB"/>
    <w:rsid w:val="00274F59"/>
    <w:rsid w:val="00276187"/>
    <w:rsid w:val="00292343"/>
    <w:rsid w:val="00297A25"/>
    <w:rsid w:val="002B02FB"/>
    <w:rsid w:val="002C0821"/>
    <w:rsid w:val="002D08E0"/>
    <w:rsid w:val="002D40A1"/>
    <w:rsid w:val="002F1F2D"/>
    <w:rsid w:val="002F2B66"/>
    <w:rsid w:val="002F5FA6"/>
    <w:rsid w:val="003001D1"/>
    <w:rsid w:val="0033060A"/>
    <w:rsid w:val="00331755"/>
    <w:rsid w:val="00343C4E"/>
    <w:rsid w:val="0034654F"/>
    <w:rsid w:val="00347AE7"/>
    <w:rsid w:val="00364AD0"/>
    <w:rsid w:val="00366F0E"/>
    <w:rsid w:val="003704F5"/>
    <w:rsid w:val="00371F09"/>
    <w:rsid w:val="00375724"/>
    <w:rsid w:val="00384351"/>
    <w:rsid w:val="00385845"/>
    <w:rsid w:val="003859B3"/>
    <w:rsid w:val="00385D01"/>
    <w:rsid w:val="00392582"/>
    <w:rsid w:val="00395B50"/>
    <w:rsid w:val="003B3630"/>
    <w:rsid w:val="003B4711"/>
    <w:rsid w:val="003C631E"/>
    <w:rsid w:val="003C7D82"/>
    <w:rsid w:val="003F1344"/>
    <w:rsid w:val="00423331"/>
    <w:rsid w:val="0043090E"/>
    <w:rsid w:val="004367C7"/>
    <w:rsid w:val="00445B0F"/>
    <w:rsid w:val="00455B8C"/>
    <w:rsid w:val="00457034"/>
    <w:rsid w:val="00460A22"/>
    <w:rsid w:val="0047081F"/>
    <w:rsid w:val="00472F1B"/>
    <w:rsid w:val="00474A70"/>
    <w:rsid w:val="0047758A"/>
    <w:rsid w:val="004819FD"/>
    <w:rsid w:val="00486EA4"/>
    <w:rsid w:val="00492F58"/>
    <w:rsid w:val="00495894"/>
    <w:rsid w:val="004A204A"/>
    <w:rsid w:val="004B45E9"/>
    <w:rsid w:val="004B476F"/>
    <w:rsid w:val="004C3FC1"/>
    <w:rsid w:val="004D1DE4"/>
    <w:rsid w:val="004F1652"/>
    <w:rsid w:val="004F50B3"/>
    <w:rsid w:val="00505EF6"/>
    <w:rsid w:val="00524E24"/>
    <w:rsid w:val="00543C94"/>
    <w:rsid w:val="005469BF"/>
    <w:rsid w:val="00551E29"/>
    <w:rsid w:val="0056255C"/>
    <w:rsid w:val="00572F40"/>
    <w:rsid w:val="00580EB8"/>
    <w:rsid w:val="005971AA"/>
    <w:rsid w:val="00597995"/>
    <w:rsid w:val="005A0367"/>
    <w:rsid w:val="005A2030"/>
    <w:rsid w:val="005A2623"/>
    <w:rsid w:val="005A7044"/>
    <w:rsid w:val="005C2D30"/>
    <w:rsid w:val="005C6FA9"/>
    <w:rsid w:val="005C7E62"/>
    <w:rsid w:val="005D3C0A"/>
    <w:rsid w:val="005F12F8"/>
    <w:rsid w:val="00603FD4"/>
    <w:rsid w:val="00607484"/>
    <w:rsid w:val="0061559F"/>
    <w:rsid w:val="006210B8"/>
    <w:rsid w:val="006261F6"/>
    <w:rsid w:val="00634FE6"/>
    <w:rsid w:val="00637022"/>
    <w:rsid w:val="00637A50"/>
    <w:rsid w:val="00641D67"/>
    <w:rsid w:val="006719BB"/>
    <w:rsid w:val="00673E09"/>
    <w:rsid w:val="0068107A"/>
    <w:rsid w:val="00682303"/>
    <w:rsid w:val="00692B65"/>
    <w:rsid w:val="00692C0F"/>
    <w:rsid w:val="00696785"/>
    <w:rsid w:val="006A355A"/>
    <w:rsid w:val="006B2514"/>
    <w:rsid w:val="006B6961"/>
    <w:rsid w:val="006C071C"/>
    <w:rsid w:val="006C1FC2"/>
    <w:rsid w:val="006D2EAD"/>
    <w:rsid w:val="006D5C15"/>
    <w:rsid w:val="006D5F39"/>
    <w:rsid w:val="006E63F5"/>
    <w:rsid w:val="006E72D8"/>
    <w:rsid w:val="006F05B9"/>
    <w:rsid w:val="006F0950"/>
    <w:rsid w:val="006F519D"/>
    <w:rsid w:val="006F769C"/>
    <w:rsid w:val="007004BB"/>
    <w:rsid w:val="0071338F"/>
    <w:rsid w:val="00714958"/>
    <w:rsid w:val="00724A75"/>
    <w:rsid w:val="00734500"/>
    <w:rsid w:val="0074681F"/>
    <w:rsid w:val="00776AF1"/>
    <w:rsid w:val="00780802"/>
    <w:rsid w:val="00781BD3"/>
    <w:rsid w:val="007A1D83"/>
    <w:rsid w:val="007A1DA8"/>
    <w:rsid w:val="007B562A"/>
    <w:rsid w:val="007C2043"/>
    <w:rsid w:val="007E2F9C"/>
    <w:rsid w:val="007E6E67"/>
    <w:rsid w:val="007F6743"/>
    <w:rsid w:val="00801061"/>
    <w:rsid w:val="00802EBB"/>
    <w:rsid w:val="00803E60"/>
    <w:rsid w:val="00815EB2"/>
    <w:rsid w:val="008177BD"/>
    <w:rsid w:val="008237D6"/>
    <w:rsid w:val="00823EF8"/>
    <w:rsid w:val="00853174"/>
    <w:rsid w:val="008741C5"/>
    <w:rsid w:val="008763C3"/>
    <w:rsid w:val="00881BDF"/>
    <w:rsid w:val="00885212"/>
    <w:rsid w:val="008941DA"/>
    <w:rsid w:val="008A7A23"/>
    <w:rsid w:val="008B772A"/>
    <w:rsid w:val="008C30D3"/>
    <w:rsid w:val="008C7A4C"/>
    <w:rsid w:val="008F4710"/>
    <w:rsid w:val="00916C1F"/>
    <w:rsid w:val="00921BB8"/>
    <w:rsid w:val="00926297"/>
    <w:rsid w:val="00927D00"/>
    <w:rsid w:val="009405C9"/>
    <w:rsid w:val="009A0581"/>
    <w:rsid w:val="009A189E"/>
    <w:rsid w:val="009A44C4"/>
    <w:rsid w:val="009A4996"/>
    <w:rsid w:val="009A6ED5"/>
    <w:rsid w:val="009B0960"/>
    <w:rsid w:val="009C2E56"/>
    <w:rsid w:val="009D2A71"/>
    <w:rsid w:val="009E57C2"/>
    <w:rsid w:val="009F61BB"/>
    <w:rsid w:val="00A072D6"/>
    <w:rsid w:val="00A07FE8"/>
    <w:rsid w:val="00A32BBD"/>
    <w:rsid w:val="00A34942"/>
    <w:rsid w:val="00A36A4B"/>
    <w:rsid w:val="00A425DC"/>
    <w:rsid w:val="00A47A69"/>
    <w:rsid w:val="00A526F8"/>
    <w:rsid w:val="00A727E0"/>
    <w:rsid w:val="00A938C3"/>
    <w:rsid w:val="00A96B53"/>
    <w:rsid w:val="00A974B1"/>
    <w:rsid w:val="00AA1BAC"/>
    <w:rsid w:val="00AA73C8"/>
    <w:rsid w:val="00AB41B1"/>
    <w:rsid w:val="00AB73E6"/>
    <w:rsid w:val="00AC752C"/>
    <w:rsid w:val="00AF2052"/>
    <w:rsid w:val="00AF4E5F"/>
    <w:rsid w:val="00B066D5"/>
    <w:rsid w:val="00B24920"/>
    <w:rsid w:val="00B42A23"/>
    <w:rsid w:val="00B43538"/>
    <w:rsid w:val="00B5572A"/>
    <w:rsid w:val="00B5791B"/>
    <w:rsid w:val="00B628FE"/>
    <w:rsid w:val="00B6663D"/>
    <w:rsid w:val="00B704BB"/>
    <w:rsid w:val="00B83B7D"/>
    <w:rsid w:val="00B873BD"/>
    <w:rsid w:val="00BA30D5"/>
    <w:rsid w:val="00BB6E1E"/>
    <w:rsid w:val="00BD25B4"/>
    <w:rsid w:val="00BD42F0"/>
    <w:rsid w:val="00BD5987"/>
    <w:rsid w:val="00BD6B51"/>
    <w:rsid w:val="00BE462A"/>
    <w:rsid w:val="00C1604C"/>
    <w:rsid w:val="00C16C8A"/>
    <w:rsid w:val="00C209D0"/>
    <w:rsid w:val="00C260BB"/>
    <w:rsid w:val="00C35D1A"/>
    <w:rsid w:val="00C37FE4"/>
    <w:rsid w:val="00C436E2"/>
    <w:rsid w:val="00C536A0"/>
    <w:rsid w:val="00C5738B"/>
    <w:rsid w:val="00C60BDC"/>
    <w:rsid w:val="00C809F4"/>
    <w:rsid w:val="00CA3960"/>
    <w:rsid w:val="00CA5FF0"/>
    <w:rsid w:val="00CB0FFB"/>
    <w:rsid w:val="00CC7C13"/>
    <w:rsid w:val="00CD53B4"/>
    <w:rsid w:val="00CF0C05"/>
    <w:rsid w:val="00CF52E4"/>
    <w:rsid w:val="00CF57FA"/>
    <w:rsid w:val="00CF66E3"/>
    <w:rsid w:val="00D016DF"/>
    <w:rsid w:val="00D02A41"/>
    <w:rsid w:val="00D10164"/>
    <w:rsid w:val="00D1060F"/>
    <w:rsid w:val="00D14D1F"/>
    <w:rsid w:val="00D26D21"/>
    <w:rsid w:val="00D272D7"/>
    <w:rsid w:val="00D30190"/>
    <w:rsid w:val="00D34C7A"/>
    <w:rsid w:val="00D369A2"/>
    <w:rsid w:val="00D57241"/>
    <w:rsid w:val="00D70AD6"/>
    <w:rsid w:val="00D8401B"/>
    <w:rsid w:val="00D85A58"/>
    <w:rsid w:val="00D8610A"/>
    <w:rsid w:val="00D92B89"/>
    <w:rsid w:val="00D96473"/>
    <w:rsid w:val="00DA1301"/>
    <w:rsid w:val="00DC63E1"/>
    <w:rsid w:val="00DF56C3"/>
    <w:rsid w:val="00E000FD"/>
    <w:rsid w:val="00E023C2"/>
    <w:rsid w:val="00E1156D"/>
    <w:rsid w:val="00E20AD0"/>
    <w:rsid w:val="00E2271F"/>
    <w:rsid w:val="00E24CA9"/>
    <w:rsid w:val="00E26CAE"/>
    <w:rsid w:val="00E34A19"/>
    <w:rsid w:val="00E4380B"/>
    <w:rsid w:val="00E46C40"/>
    <w:rsid w:val="00E50344"/>
    <w:rsid w:val="00E53D23"/>
    <w:rsid w:val="00E57956"/>
    <w:rsid w:val="00E61C4F"/>
    <w:rsid w:val="00E65B33"/>
    <w:rsid w:val="00E77888"/>
    <w:rsid w:val="00E9301D"/>
    <w:rsid w:val="00EA02CE"/>
    <w:rsid w:val="00EA5F5A"/>
    <w:rsid w:val="00EB3E59"/>
    <w:rsid w:val="00EB71CF"/>
    <w:rsid w:val="00EC5D84"/>
    <w:rsid w:val="00ED52E8"/>
    <w:rsid w:val="00ED6CDB"/>
    <w:rsid w:val="00F023A4"/>
    <w:rsid w:val="00F05C72"/>
    <w:rsid w:val="00F17A82"/>
    <w:rsid w:val="00F17C04"/>
    <w:rsid w:val="00F24EAB"/>
    <w:rsid w:val="00F25D22"/>
    <w:rsid w:val="00F4193E"/>
    <w:rsid w:val="00F46403"/>
    <w:rsid w:val="00F50FB1"/>
    <w:rsid w:val="00F576E8"/>
    <w:rsid w:val="00F60876"/>
    <w:rsid w:val="00F763ED"/>
    <w:rsid w:val="00F873C0"/>
    <w:rsid w:val="00F87C59"/>
    <w:rsid w:val="00F966C2"/>
    <w:rsid w:val="00FA2E15"/>
    <w:rsid w:val="00FB540B"/>
    <w:rsid w:val="00FC1464"/>
    <w:rsid w:val="00FC7AE0"/>
    <w:rsid w:val="00FE2141"/>
    <w:rsid w:val="00FE2D4A"/>
    <w:rsid w:val="012D511A"/>
    <w:rsid w:val="073B6A7B"/>
    <w:rsid w:val="074D4676"/>
    <w:rsid w:val="08600142"/>
    <w:rsid w:val="09523172"/>
    <w:rsid w:val="0A4E4D15"/>
    <w:rsid w:val="0CB151C8"/>
    <w:rsid w:val="12E1107F"/>
    <w:rsid w:val="16B37904"/>
    <w:rsid w:val="17EE5F07"/>
    <w:rsid w:val="1A3337DF"/>
    <w:rsid w:val="1A7C1FC9"/>
    <w:rsid w:val="1E207BBE"/>
    <w:rsid w:val="1E6D6D02"/>
    <w:rsid w:val="20605D1D"/>
    <w:rsid w:val="21505E37"/>
    <w:rsid w:val="216578CD"/>
    <w:rsid w:val="254E4396"/>
    <w:rsid w:val="272D10FC"/>
    <w:rsid w:val="275E1D55"/>
    <w:rsid w:val="28AF236E"/>
    <w:rsid w:val="29366B63"/>
    <w:rsid w:val="2FD574A9"/>
    <w:rsid w:val="31024F86"/>
    <w:rsid w:val="31ED4F37"/>
    <w:rsid w:val="323F07BD"/>
    <w:rsid w:val="342272B0"/>
    <w:rsid w:val="34F116C9"/>
    <w:rsid w:val="350A188D"/>
    <w:rsid w:val="354E50F2"/>
    <w:rsid w:val="394145BE"/>
    <w:rsid w:val="3B0E03F8"/>
    <w:rsid w:val="3BAF2F92"/>
    <w:rsid w:val="3F5F5CAE"/>
    <w:rsid w:val="40CE524A"/>
    <w:rsid w:val="43E04C09"/>
    <w:rsid w:val="450B5489"/>
    <w:rsid w:val="478522CB"/>
    <w:rsid w:val="481D611E"/>
    <w:rsid w:val="49311755"/>
    <w:rsid w:val="4C872904"/>
    <w:rsid w:val="4EE53589"/>
    <w:rsid w:val="50AB5549"/>
    <w:rsid w:val="51926CC3"/>
    <w:rsid w:val="52BF77C0"/>
    <w:rsid w:val="55747599"/>
    <w:rsid w:val="55C66233"/>
    <w:rsid w:val="565E00BD"/>
    <w:rsid w:val="59F94BF3"/>
    <w:rsid w:val="5D803815"/>
    <w:rsid w:val="5E113BD7"/>
    <w:rsid w:val="5FCA04E2"/>
    <w:rsid w:val="5FDE3F8D"/>
    <w:rsid w:val="61DF7322"/>
    <w:rsid w:val="660109D5"/>
    <w:rsid w:val="66876CE5"/>
    <w:rsid w:val="69B84DBC"/>
    <w:rsid w:val="6C152FD7"/>
    <w:rsid w:val="6CB87DEE"/>
    <w:rsid w:val="705619AA"/>
    <w:rsid w:val="71292FB7"/>
    <w:rsid w:val="72B61883"/>
    <w:rsid w:val="746E1B45"/>
    <w:rsid w:val="77795179"/>
    <w:rsid w:val="77843214"/>
    <w:rsid w:val="7CD94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99" w:name="Normal Indent"/>
    <w:lsdException w:qFormat="1" w:unhideWhenUsed="0" w:uiPriority="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4"/>
    <w:qFormat/>
    <w:uiPriority w:val="0"/>
    <w:pPr>
      <w:keepNext/>
      <w:keepLines/>
      <w:spacing w:before="120" w:after="120" w:line="360" w:lineRule="exact"/>
      <w:outlineLvl w:val="1"/>
    </w:pPr>
    <w:rPr>
      <w:rFonts w:ascii="黑体" w:hAnsi="Arial" w:eastAsia="黑体"/>
      <w:b/>
      <w:bCs/>
      <w:szCs w:val="32"/>
    </w:rPr>
  </w:style>
  <w:style w:type="paragraph" w:styleId="4">
    <w:name w:val="heading 3"/>
    <w:basedOn w:val="1"/>
    <w:next w:val="1"/>
    <w:link w:val="55"/>
    <w:qFormat/>
    <w:uiPriority w:val="0"/>
    <w:pPr>
      <w:keepNext/>
      <w:keepLines/>
      <w:spacing w:line="360" w:lineRule="auto"/>
      <w:outlineLvl w:val="2"/>
    </w:pPr>
    <w:rPr>
      <w:rFonts w:ascii="黑体" w:hAnsi="黑体" w:eastAsia="黑体"/>
      <w:bCs/>
      <w:szCs w:val="32"/>
    </w:rPr>
  </w:style>
  <w:style w:type="paragraph" w:styleId="5">
    <w:name w:val="heading 4"/>
    <w:basedOn w:val="1"/>
    <w:next w:val="1"/>
    <w:link w:val="56"/>
    <w:qFormat/>
    <w:uiPriority w:val="0"/>
    <w:pPr>
      <w:keepNext/>
      <w:keepLines/>
      <w:spacing w:before="50" w:beforeLines="50" w:after="50" w:afterLines="50" w:line="360" w:lineRule="auto"/>
      <w:outlineLvl w:val="3"/>
    </w:pPr>
    <w:rPr>
      <w:rFonts w:ascii="Arial" w:hAnsi="Arial" w:eastAsia="黑体"/>
      <w:bCs/>
      <w:szCs w:val="28"/>
    </w:rPr>
  </w:style>
  <w:style w:type="paragraph" w:styleId="6">
    <w:name w:val="heading 5"/>
    <w:basedOn w:val="1"/>
    <w:next w:val="1"/>
    <w:link w:val="57"/>
    <w:qFormat/>
    <w:uiPriority w:val="0"/>
    <w:pPr>
      <w:keepNext/>
      <w:keepLines/>
      <w:snapToGrid w:val="0"/>
      <w:spacing w:line="360" w:lineRule="exact"/>
      <w:outlineLvl w:val="4"/>
    </w:pPr>
    <w:rPr>
      <w:b/>
      <w:bCs/>
      <w:szCs w:val="28"/>
    </w:rPr>
  </w:style>
  <w:style w:type="paragraph" w:styleId="7">
    <w:name w:val="heading 6"/>
    <w:basedOn w:val="1"/>
    <w:next w:val="1"/>
    <w:link w:val="58"/>
    <w:qFormat/>
    <w:uiPriority w:val="0"/>
    <w:pPr>
      <w:keepNext/>
      <w:keepLines/>
      <w:snapToGrid w:val="0"/>
      <w:spacing w:line="360" w:lineRule="exact"/>
      <w:outlineLvl w:val="5"/>
    </w:pPr>
    <w:rPr>
      <w:rFonts w:ascii="Arial" w:hAnsi="Arial"/>
      <w:b/>
      <w:bCs/>
    </w:rPr>
  </w:style>
  <w:style w:type="paragraph" w:styleId="8">
    <w:name w:val="heading 7"/>
    <w:basedOn w:val="1"/>
    <w:next w:val="1"/>
    <w:link w:val="59"/>
    <w:qFormat/>
    <w:uiPriority w:val="0"/>
    <w:pPr>
      <w:keepNext/>
      <w:keepLines/>
      <w:spacing w:before="240" w:after="64" w:line="320" w:lineRule="auto"/>
      <w:outlineLvl w:val="6"/>
    </w:pPr>
    <w:rPr>
      <w:b/>
      <w:bCs/>
      <w:sz w:val="24"/>
    </w:rPr>
  </w:style>
  <w:style w:type="paragraph" w:styleId="9">
    <w:name w:val="heading 8"/>
    <w:basedOn w:val="1"/>
    <w:next w:val="1"/>
    <w:link w:val="60"/>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link w:val="61"/>
    <w:qFormat/>
    <w:uiPriority w:val="0"/>
    <w:pPr>
      <w:keepNext/>
      <w:keepLines/>
      <w:spacing w:before="240" w:after="64" w:line="320" w:lineRule="auto"/>
      <w:outlineLvl w:val="8"/>
    </w:pPr>
    <w:rPr>
      <w:rFonts w:ascii="Arial" w:hAnsi="Arial" w:eastAsia="黑体"/>
      <w:szCs w:val="21"/>
    </w:rPr>
  </w:style>
  <w:style w:type="character" w:default="1" w:styleId="37">
    <w:name w:val="Default Paragraph Font"/>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2"/>
    <w:semiHidden/>
    <w:qFormat/>
    <w:uiPriority w:val="0"/>
  </w:style>
  <w:style w:type="paragraph" w:styleId="12">
    <w:name w:val="toc 6"/>
    <w:basedOn w:val="13"/>
    <w:semiHidden/>
    <w:qFormat/>
    <w:uiPriority w:val="0"/>
  </w:style>
  <w:style w:type="paragraph" w:styleId="13">
    <w:name w:val="toc 5"/>
    <w:basedOn w:val="14"/>
    <w:semiHidden/>
    <w:qFormat/>
    <w:uiPriority w:val="0"/>
  </w:style>
  <w:style w:type="paragraph" w:styleId="14">
    <w:name w:val="toc 4"/>
    <w:basedOn w:val="15"/>
    <w:semiHidden/>
    <w:qFormat/>
    <w:uiPriority w:val="0"/>
  </w:style>
  <w:style w:type="paragraph" w:styleId="15">
    <w:name w:val="toc 3"/>
    <w:basedOn w:val="16"/>
    <w:qFormat/>
    <w:uiPriority w:val="39"/>
  </w:style>
  <w:style w:type="paragraph" w:styleId="16">
    <w:name w:val="toc 2"/>
    <w:basedOn w:val="17"/>
    <w:qFormat/>
    <w:uiPriority w:val="39"/>
  </w:style>
  <w:style w:type="paragraph" w:styleId="17">
    <w:name w:val="toc 1"/>
    <w:qFormat/>
    <w:uiPriority w:val="39"/>
    <w:pPr>
      <w:jc w:val="both"/>
    </w:pPr>
    <w:rPr>
      <w:rFonts w:ascii="宋体" w:hAnsi="Times New Roman" w:eastAsia="宋体" w:cs="Times New Roman"/>
      <w:sz w:val="21"/>
      <w:lang w:val="en-US" w:eastAsia="zh-CN" w:bidi="ar-SA"/>
    </w:rPr>
  </w:style>
  <w:style w:type="paragraph" w:styleId="18">
    <w:name w:val="annotation text"/>
    <w:basedOn w:val="1"/>
    <w:link w:val="62"/>
    <w:qFormat/>
    <w:uiPriority w:val="0"/>
    <w:pPr>
      <w:jc w:val="left"/>
    </w:pPr>
  </w:style>
  <w:style w:type="paragraph" w:styleId="19">
    <w:name w:val="Body Text"/>
    <w:basedOn w:val="1"/>
    <w:link w:val="63"/>
    <w:qFormat/>
    <w:uiPriority w:val="0"/>
    <w:pPr>
      <w:jc w:val="center"/>
    </w:pPr>
    <w:rPr>
      <w:spacing w:val="-12"/>
      <w:sz w:val="18"/>
      <w:szCs w:val="20"/>
    </w:rPr>
  </w:style>
  <w:style w:type="paragraph" w:styleId="20">
    <w:name w:val="Body Text Indent"/>
    <w:basedOn w:val="1"/>
    <w:link w:val="64"/>
    <w:qFormat/>
    <w:uiPriority w:val="0"/>
    <w:pPr>
      <w:spacing w:line="440" w:lineRule="exact"/>
      <w:ind w:firstLine="560" w:firstLineChars="200"/>
    </w:pPr>
    <w:rPr>
      <w:sz w:val="28"/>
    </w:rPr>
  </w:style>
  <w:style w:type="paragraph" w:styleId="21">
    <w:name w:val="HTML Address"/>
    <w:basedOn w:val="1"/>
    <w:link w:val="65"/>
    <w:qFormat/>
    <w:uiPriority w:val="0"/>
    <w:rPr>
      <w:i/>
      <w:iCs/>
    </w:rPr>
  </w:style>
  <w:style w:type="paragraph" w:styleId="22">
    <w:name w:val="toc 8"/>
    <w:basedOn w:val="11"/>
    <w:semiHidden/>
    <w:qFormat/>
    <w:uiPriority w:val="0"/>
  </w:style>
  <w:style w:type="paragraph" w:styleId="23">
    <w:name w:val="Date"/>
    <w:basedOn w:val="1"/>
    <w:next w:val="1"/>
    <w:link w:val="66"/>
    <w:qFormat/>
    <w:uiPriority w:val="0"/>
    <w:pPr>
      <w:ind w:left="100" w:leftChars="2500"/>
    </w:pPr>
  </w:style>
  <w:style w:type="paragraph" w:styleId="24">
    <w:name w:val="Body Text Indent 2"/>
    <w:basedOn w:val="1"/>
    <w:link w:val="67"/>
    <w:qFormat/>
    <w:uiPriority w:val="0"/>
    <w:pPr>
      <w:spacing w:line="480" w:lineRule="exact"/>
      <w:ind w:firstLine="584" w:firstLineChars="200"/>
    </w:pPr>
    <w:rPr>
      <w:spacing w:val="6"/>
      <w:sz w:val="28"/>
      <w:szCs w:val="20"/>
    </w:rPr>
  </w:style>
  <w:style w:type="paragraph" w:styleId="25">
    <w:name w:val="Balloon Text"/>
    <w:basedOn w:val="1"/>
    <w:link w:val="68"/>
    <w:semiHidden/>
    <w:qFormat/>
    <w:uiPriority w:val="0"/>
    <w:rPr>
      <w:sz w:val="18"/>
      <w:szCs w:val="18"/>
    </w:rPr>
  </w:style>
  <w:style w:type="paragraph" w:styleId="26">
    <w:name w:val="footer"/>
    <w:basedOn w:val="1"/>
    <w:link w:val="52"/>
    <w:unhideWhenUsed/>
    <w:qFormat/>
    <w:uiPriority w:val="99"/>
    <w:pPr>
      <w:tabs>
        <w:tab w:val="center" w:pos="4153"/>
        <w:tab w:val="right" w:pos="8306"/>
      </w:tabs>
      <w:snapToGrid w:val="0"/>
      <w:jc w:val="left"/>
    </w:pPr>
    <w:rPr>
      <w:sz w:val="18"/>
      <w:szCs w:val="18"/>
    </w:rPr>
  </w:style>
  <w:style w:type="paragraph" w:styleId="27">
    <w:name w:val="header"/>
    <w:basedOn w:val="1"/>
    <w:link w:val="51"/>
    <w:unhideWhenUsed/>
    <w:qFormat/>
    <w:uiPriority w:val="99"/>
    <w:pPr>
      <w:pBdr>
        <w:bottom w:val="single" w:color="auto" w:sz="6" w:space="1"/>
      </w:pBdr>
      <w:tabs>
        <w:tab w:val="center" w:pos="4153"/>
        <w:tab w:val="right" w:pos="8306"/>
      </w:tabs>
      <w:snapToGrid w:val="0"/>
      <w:jc w:val="center"/>
    </w:pPr>
    <w:rPr>
      <w:sz w:val="18"/>
      <w:szCs w:val="18"/>
    </w:rPr>
  </w:style>
  <w:style w:type="paragraph" w:styleId="28">
    <w:name w:val="footnote text"/>
    <w:basedOn w:val="1"/>
    <w:link w:val="69"/>
    <w:semiHidden/>
    <w:qFormat/>
    <w:uiPriority w:val="0"/>
    <w:pPr>
      <w:snapToGrid w:val="0"/>
      <w:jc w:val="left"/>
    </w:pPr>
    <w:rPr>
      <w:sz w:val="18"/>
      <w:szCs w:val="18"/>
    </w:rPr>
  </w:style>
  <w:style w:type="paragraph" w:styleId="29">
    <w:name w:val="Body Text Indent 3"/>
    <w:basedOn w:val="1"/>
    <w:link w:val="147"/>
    <w:qFormat/>
    <w:uiPriority w:val="0"/>
    <w:pPr>
      <w:adjustRightInd w:val="0"/>
      <w:spacing w:after="120" w:line="360" w:lineRule="atLeast"/>
      <w:ind w:left="420" w:leftChars="200" w:firstLine="435"/>
      <w:jc w:val="left"/>
      <w:textAlignment w:val="baseline"/>
    </w:pPr>
    <w:rPr>
      <w:kern w:val="0"/>
      <w:sz w:val="16"/>
      <w:szCs w:val="16"/>
    </w:rPr>
  </w:style>
  <w:style w:type="paragraph" w:styleId="30">
    <w:name w:val="toc 9"/>
    <w:basedOn w:val="22"/>
    <w:semiHidden/>
    <w:qFormat/>
    <w:uiPriority w:val="0"/>
  </w:style>
  <w:style w:type="paragraph" w:styleId="31">
    <w:name w:val="HTML Preformatted"/>
    <w:basedOn w:val="1"/>
    <w:link w:val="70"/>
    <w:qFormat/>
    <w:uiPriority w:val="0"/>
    <w:rPr>
      <w:rFonts w:ascii="Courier New" w:hAnsi="Courier New" w:cs="Courier New"/>
      <w:sz w:val="20"/>
      <w:szCs w:val="20"/>
    </w:rPr>
  </w:style>
  <w:style w:type="paragraph" w:styleId="3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3">
    <w:name w:val="Title"/>
    <w:basedOn w:val="1"/>
    <w:link w:val="71"/>
    <w:qFormat/>
    <w:uiPriority w:val="0"/>
    <w:pPr>
      <w:spacing w:before="240" w:after="60"/>
      <w:jc w:val="center"/>
      <w:outlineLvl w:val="0"/>
    </w:pPr>
    <w:rPr>
      <w:rFonts w:ascii="Arial" w:hAnsi="Arial" w:cs="Arial"/>
      <w:b/>
      <w:bCs/>
      <w:sz w:val="32"/>
      <w:szCs w:val="32"/>
    </w:rPr>
  </w:style>
  <w:style w:type="paragraph" w:styleId="34">
    <w:name w:val="annotation subject"/>
    <w:basedOn w:val="18"/>
    <w:next w:val="18"/>
    <w:link w:val="145"/>
    <w:semiHidden/>
    <w:qFormat/>
    <w:uiPriority w:val="0"/>
    <w:rPr>
      <w:b/>
      <w:bCs/>
    </w:rPr>
  </w:style>
  <w:style w:type="table" w:styleId="36">
    <w:name w:val="Table Grid"/>
    <w:basedOn w:val="35"/>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uiPriority w:val="22"/>
    <w:rPr>
      <w:b/>
    </w:rPr>
  </w:style>
  <w:style w:type="character" w:styleId="39">
    <w:name w:val="page number"/>
    <w:qFormat/>
    <w:uiPriority w:val="0"/>
    <w:rPr>
      <w:rFonts w:ascii="Times New Roman" w:hAnsi="Times New Roman" w:eastAsia="宋体"/>
      <w:sz w:val="18"/>
    </w:rPr>
  </w:style>
  <w:style w:type="character" w:styleId="40">
    <w:name w:val="HTML Definition"/>
    <w:qFormat/>
    <w:uiPriority w:val="0"/>
    <w:rPr>
      <w:i/>
      <w:iCs/>
    </w:rPr>
  </w:style>
  <w:style w:type="character" w:styleId="41">
    <w:name w:val="HTML Typewriter"/>
    <w:qFormat/>
    <w:uiPriority w:val="0"/>
    <w:rPr>
      <w:rFonts w:ascii="Courier New" w:hAnsi="Courier New"/>
      <w:sz w:val="20"/>
      <w:szCs w:val="20"/>
    </w:rPr>
  </w:style>
  <w:style w:type="character" w:styleId="42">
    <w:name w:val="HTML Acronym"/>
    <w:qFormat/>
    <w:uiPriority w:val="0"/>
  </w:style>
  <w:style w:type="character" w:styleId="43">
    <w:name w:val="HTML Variable"/>
    <w:qFormat/>
    <w:uiPriority w:val="0"/>
    <w:rPr>
      <w:i/>
      <w:iCs/>
    </w:rPr>
  </w:style>
  <w:style w:type="character" w:styleId="44">
    <w:name w:val="Hyperlink"/>
    <w:qFormat/>
    <w:uiPriority w:val="99"/>
    <w:rPr>
      <w:rFonts w:ascii="Times New Roman" w:hAnsi="Times New Roman" w:eastAsia="宋体"/>
      <w:color w:val="auto"/>
      <w:spacing w:val="0"/>
      <w:w w:val="100"/>
      <w:position w:val="0"/>
      <w:sz w:val="21"/>
      <w:u w:val="none"/>
      <w:vertAlign w:val="baseline"/>
    </w:rPr>
  </w:style>
  <w:style w:type="character" w:styleId="45">
    <w:name w:val="HTML Code"/>
    <w:qFormat/>
    <w:uiPriority w:val="0"/>
    <w:rPr>
      <w:rFonts w:ascii="Courier New" w:hAnsi="Courier New"/>
      <w:sz w:val="20"/>
      <w:szCs w:val="20"/>
    </w:rPr>
  </w:style>
  <w:style w:type="character" w:styleId="46">
    <w:name w:val="annotation reference"/>
    <w:semiHidden/>
    <w:qFormat/>
    <w:uiPriority w:val="0"/>
    <w:rPr>
      <w:sz w:val="21"/>
      <w:szCs w:val="21"/>
    </w:rPr>
  </w:style>
  <w:style w:type="character" w:styleId="47">
    <w:name w:val="HTML Cite"/>
    <w:qFormat/>
    <w:uiPriority w:val="0"/>
    <w:rPr>
      <w:i/>
      <w:iCs/>
    </w:rPr>
  </w:style>
  <w:style w:type="character" w:styleId="48">
    <w:name w:val="footnote reference"/>
    <w:semiHidden/>
    <w:qFormat/>
    <w:uiPriority w:val="0"/>
    <w:rPr>
      <w:vertAlign w:val="superscript"/>
    </w:rPr>
  </w:style>
  <w:style w:type="character" w:styleId="49">
    <w:name w:val="HTML Keyboard"/>
    <w:qFormat/>
    <w:uiPriority w:val="0"/>
    <w:rPr>
      <w:rFonts w:ascii="Courier New" w:hAnsi="Courier New"/>
      <w:sz w:val="20"/>
      <w:szCs w:val="20"/>
    </w:rPr>
  </w:style>
  <w:style w:type="character" w:styleId="50">
    <w:name w:val="HTML Sample"/>
    <w:qFormat/>
    <w:uiPriority w:val="0"/>
    <w:rPr>
      <w:rFonts w:ascii="Courier New" w:hAnsi="Courier New"/>
    </w:rPr>
  </w:style>
  <w:style w:type="character" w:customStyle="1" w:styleId="51">
    <w:name w:val="页眉 字符"/>
    <w:basedOn w:val="37"/>
    <w:link w:val="27"/>
    <w:qFormat/>
    <w:uiPriority w:val="99"/>
    <w:rPr>
      <w:sz w:val="18"/>
      <w:szCs w:val="18"/>
    </w:rPr>
  </w:style>
  <w:style w:type="character" w:customStyle="1" w:styleId="52">
    <w:name w:val="页脚 字符"/>
    <w:basedOn w:val="37"/>
    <w:link w:val="26"/>
    <w:qFormat/>
    <w:uiPriority w:val="99"/>
    <w:rPr>
      <w:sz w:val="18"/>
      <w:szCs w:val="18"/>
    </w:rPr>
  </w:style>
  <w:style w:type="character" w:customStyle="1" w:styleId="53">
    <w:name w:val="标题 1 字符"/>
    <w:basedOn w:val="37"/>
    <w:link w:val="2"/>
    <w:qFormat/>
    <w:uiPriority w:val="0"/>
    <w:rPr>
      <w:b/>
      <w:bCs/>
      <w:kern w:val="44"/>
      <w:sz w:val="44"/>
      <w:szCs w:val="44"/>
    </w:rPr>
  </w:style>
  <w:style w:type="character" w:customStyle="1" w:styleId="54">
    <w:name w:val="标题 2 字符"/>
    <w:basedOn w:val="37"/>
    <w:link w:val="3"/>
    <w:qFormat/>
    <w:uiPriority w:val="0"/>
    <w:rPr>
      <w:rFonts w:ascii="黑体" w:hAnsi="Arial" w:eastAsia="黑体"/>
      <w:b/>
      <w:bCs/>
      <w:szCs w:val="32"/>
    </w:rPr>
  </w:style>
  <w:style w:type="character" w:customStyle="1" w:styleId="55">
    <w:name w:val="标题 3 字符"/>
    <w:basedOn w:val="37"/>
    <w:link w:val="4"/>
    <w:qFormat/>
    <w:uiPriority w:val="0"/>
    <w:rPr>
      <w:rFonts w:ascii="黑体" w:hAnsi="黑体" w:eastAsia="黑体"/>
      <w:bCs/>
      <w:szCs w:val="32"/>
    </w:rPr>
  </w:style>
  <w:style w:type="character" w:customStyle="1" w:styleId="56">
    <w:name w:val="标题 4 字符"/>
    <w:basedOn w:val="37"/>
    <w:link w:val="5"/>
    <w:qFormat/>
    <w:uiPriority w:val="0"/>
    <w:rPr>
      <w:rFonts w:ascii="Arial" w:hAnsi="Arial" w:eastAsia="黑体"/>
      <w:bCs/>
      <w:szCs w:val="28"/>
    </w:rPr>
  </w:style>
  <w:style w:type="character" w:customStyle="1" w:styleId="57">
    <w:name w:val="标题 5 字符"/>
    <w:basedOn w:val="37"/>
    <w:link w:val="6"/>
    <w:qFormat/>
    <w:uiPriority w:val="0"/>
    <w:rPr>
      <w:b/>
      <w:bCs/>
      <w:szCs w:val="28"/>
    </w:rPr>
  </w:style>
  <w:style w:type="character" w:customStyle="1" w:styleId="58">
    <w:name w:val="标题 6 字符"/>
    <w:basedOn w:val="37"/>
    <w:link w:val="7"/>
    <w:qFormat/>
    <w:uiPriority w:val="0"/>
    <w:rPr>
      <w:rFonts w:ascii="Arial" w:hAnsi="Arial"/>
      <w:b/>
      <w:bCs/>
    </w:rPr>
  </w:style>
  <w:style w:type="character" w:customStyle="1" w:styleId="59">
    <w:name w:val="标题 7 字符"/>
    <w:basedOn w:val="37"/>
    <w:link w:val="8"/>
    <w:qFormat/>
    <w:uiPriority w:val="0"/>
    <w:rPr>
      <w:b/>
      <w:bCs/>
      <w:sz w:val="24"/>
    </w:rPr>
  </w:style>
  <w:style w:type="character" w:customStyle="1" w:styleId="60">
    <w:name w:val="标题 8 字符"/>
    <w:basedOn w:val="37"/>
    <w:link w:val="9"/>
    <w:qFormat/>
    <w:uiPriority w:val="0"/>
    <w:rPr>
      <w:rFonts w:ascii="Arial" w:hAnsi="Arial" w:eastAsia="黑体"/>
      <w:sz w:val="24"/>
    </w:rPr>
  </w:style>
  <w:style w:type="character" w:customStyle="1" w:styleId="61">
    <w:name w:val="标题 9 字符"/>
    <w:basedOn w:val="37"/>
    <w:link w:val="10"/>
    <w:qFormat/>
    <w:uiPriority w:val="0"/>
    <w:rPr>
      <w:rFonts w:ascii="Arial" w:hAnsi="Arial" w:eastAsia="黑体"/>
      <w:szCs w:val="21"/>
    </w:rPr>
  </w:style>
  <w:style w:type="character" w:customStyle="1" w:styleId="62">
    <w:name w:val="批注文字 字符"/>
    <w:basedOn w:val="37"/>
    <w:link w:val="18"/>
    <w:qFormat/>
    <w:uiPriority w:val="0"/>
  </w:style>
  <w:style w:type="character" w:customStyle="1" w:styleId="63">
    <w:name w:val="正文文本 字符"/>
    <w:basedOn w:val="37"/>
    <w:link w:val="19"/>
    <w:qFormat/>
    <w:uiPriority w:val="0"/>
    <w:rPr>
      <w:spacing w:val="-12"/>
      <w:sz w:val="18"/>
      <w:szCs w:val="20"/>
    </w:rPr>
  </w:style>
  <w:style w:type="character" w:customStyle="1" w:styleId="64">
    <w:name w:val="正文文本缩进 字符"/>
    <w:basedOn w:val="37"/>
    <w:link w:val="20"/>
    <w:qFormat/>
    <w:uiPriority w:val="0"/>
    <w:rPr>
      <w:sz w:val="28"/>
    </w:rPr>
  </w:style>
  <w:style w:type="character" w:customStyle="1" w:styleId="65">
    <w:name w:val="HTML 地址 字符"/>
    <w:basedOn w:val="37"/>
    <w:link w:val="21"/>
    <w:qFormat/>
    <w:uiPriority w:val="0"/>
    <w:rPr>
      <w:i/>
      <w:iCs/>
    </w:rPr>
  </w:style>
  <w:style w:type="character" w:customStyle="1" w:styleId="66">
    <w:name w:val="日期 字符"/>
    <w:basedOn w:val="37"/>
    <w:link w:val="23"/>
    <w:qFormat/>
    <w:uiPriority w:val="0"/>
  </w:style>
  <w:style w:type="character" w:customStyle="1" w:styleId="67">
    <w:name w:val="正文文本缩进 2 字符"/>
    <w:basedOn w:val="37"/>
    <w:link w:val="24"/>
    <w:qFormat/>
    <w:uiPriority w:val="0"/>
    <w:rPr>
      <w:spacing w:val="6"/>
      <w:sz w:val="28"/>
      <w:szCs w:val="20"/>
    </w:rPr>
  </w:style>
  <w:style w:type="character" w:customStyle="1" w:styleId="68">
    <w:name w:val="批注框文本 字符"/>
    <w:basedOn w:val="37"/>
    <w:link w:val="25"/>
    <w:semiHidden/>
    <w:qFormat/>
    <w:uiPriority w:val="0"/>
    <w:rPr>
      <w:sz w:val="18"/>
      <w:szCs w:val="18"/>
    </w:rPr>
  </w:style>
  <w:style w:type="character" w:customStyle="1" w:styleId="69">
    <w:name w:val="脚注文本 字符"/>
    <w:basedOn w:val="37"/>
    <w:link w:val="28"/>
    <w:semiHidden/>
    <w:qFormat/>
    <w:uiPriority w:val="0"/>
    <w:rPr>
      <w:sz w:val="18"/>
      <w:szCs w:val="18"/>
    </w:rPr>
  </w:style>
  <w:style w:type="character" w:customStyle="1" w:styleId="70">
    <w:name w:val="HTML 预设格式 字符"/>
    <w:basedOn w:val="37"/>
    <w:link w:val="31"/>
    <w:qFormat/>
    <w:uiPriority w:val="0"/>
    <w:rPr>
      <w:rFonts w:ascii="Courier New" w:hAnsi="Courier New" w:cs="Courier New"/>
      <w:sz w:val="20"/>
      <w:szCs w:val="20"/>
    </w:rPr>
  </w:style>
  <w:style w:type="character" w:customStyle="1" w:styleId="71">
    <w:name w:val="标题 字符"/>
    <w:basedOn w:val="37"/>
    <w:link w:val="33"/>
    <w:qFormat/>
    <w:uiPriority w:val="0"/>
    <w:rPr>
      <w:rFonts w:ascii="Arial" w:hAnsi="Arial" w:cs="Arial"/>
      <w:b/>
      <w:bCs/>
      <w:sz w:val="32"/>
      <w:szCs w:val="32"/>
    </w:rPr>
  </w:style>
  <w:style w:type="character" w:customStyle="1" w:styleId="72">
    <w:name w:val="font71"/>
    <w:qFormat/>
    <w:uiPriority w:val="0"/>
    <w:rPr>
      <w:rFonts w:hint="default" w:ascii="Times New Roman" w:hAnsi="Times New Roman" w:cs="Times New Roman"/>
      <w:color w:val="000000"/>
      <w:sz w:val="22"/>
      <w:szCs w:val="22"/>
      <w:u w:val="none"/>
      <w:vertAlign w:val="subscript"/>
    </w:rPr>
  </w:style>
  <w:style w:type="character" w:customStyle="1" w:styleId="73">
    <w:name w:val="font01"/>
    <w:qFormat/>
    <w:uiPriority w:val="0"/>
    <w:rPr>
      <w:rFonts w:hint="default" w:ascii="Times New Roman" w:hAnsi="Times New Roman" w:cs="Times New Roman"/>
      <w:color w:val="000000"/>
      <w:sz w:val="22"/>
      <w:szCs w:val="22"/>
      <w:vertAlign w:val="superscript"/>
    </w:rPr>
  </w:style>
  <w:style w:type="character" w:customStyle="1" w:styleId="74">
    <w:name w:val="font11"/>
    <w:qFormat/>
    <w:uiPriority w:val="0"/>
    <w:rPr>
      <w:rFonts w:hint="default" w:ascii="Times New Roman" w:hAnsi="Times New Roman" w:cs="Times New Roman"/>
      <w:color w:val="000000"/>
      <w:sz w:val="22"/>
      <w:szCs w:val="22"/>
      <w:vertAlign w:val="subscript"/>
    </w:rPr>
  </w:style>
  <w:style w:type="character" w:customStyle="1" w:styleId="75">
    <w:name w:val="font21"/>
    <w:qFormat/>
    <w:uiPriority w:val="0"/>
    <w:rPr>
      <w:rFonts w:hint="default" w:ascii="Times New Roman" w:hAnsi="Times New Roman" w:cs="Times New Roman"/>
      <w:color w:val="000000"/>
      <w:sz w:val="22"/>
      <w:szCs w:val="22"/>
    </w:rPr>
  </w:style>
  <w:style w:type="character" w:customStyle="1" w:styleId="76">
    <w:name w:val="个人撰写风格"/>
    <w:qFormat/>
    <w:uiPriority w:val="0"/>
    <w:rPr>
      <w:rFonts w:ascii="Arial" w:hAnsi="Arial" w:eastAsia="宋体" w:cs="Arial"/>
      <w:color w:val="auto"/>
      <w:sz w:val="20"/>
    </w:rPr>
  </w:style>
  <w:style w:type="character" w:customStyle="1" w:styleId="77">
    <w:name w:val="font31"/>
    <w:qFormat/>
    <w:uiPriority w:val="0"/>
    <w:rPr>
      <w:rFonts w:hint="eastAsia" w:ascii="宋体" w:hAnsi="宋体" w:eastAsia="宋体" w:cs="宋体"/>
      <w:color w:val="000000"/>
      <w:sz w:val="22"/>
      <w:szCs w:val="22"/>
    </w:rPr>
  </w:style>
  <w:style w:type="character" w:customStyle="1" w:styleId="78">
    <w:name w:val="font41"/>
    <w:qFormat/>
    <w:uiPriority w:val="0"/>
    <w:rPr>
      <w:rFonts w:hint="default" w:ascii="Times New Roman" w:hAnsi="Times New Roman" w:cs="Times New Roman"/>
      <w:color w:val="000000"/>
      <w:sz w:val="22"/>
      <w:szCs w:val="22"/>
      <w:u w:val="none"/>
      <w:vertAlign w:val="superscript"/>
    </w:rPr>
  </w:style>
  <w:style w:type="character" w:customStyle="1" w:styleId="79">
    <w:name w:val="font81"/>
    <w:qFormat/>
    <w:uiPriority w:val="0"/>
    <w:rPr>
      <w:rFonts w:hint="default" w:ascii="Times New Roman" w:hAnsi="Times New Roman" w:cs="Times New Roman"/>
      <w:color w:val="000000"/>
      <w:sz w:val="22"/>
      <w:szCs w:val="22"/>
      <w:u w:val="none"/>
      <w:vertAlign w:val="subscript"/>
    </w:rPr>
  </w:style>
  <w:style w:type="character" w:customStyle="1" w:styleId="80">
    <w:name w:val="font61"/>
    <w:qFormat/>
    <w:uiPriority w:val="0"/>
    <w:rPr>
      <w:rFonts w:hint="default" w:ascii="Times New Roman" w:hAnsi="Times New Roman" w:cs="Times New Roman"/>
      <w:color w:val="000000"/>
      <w:sz w:val="22"/>
      <w:szCs w:val="22"/>
      <w:u w:val="none"/>
    </w:rPr>
  </w:style>
  <w:style w:type="character" w:customStyle="1" w:styleId="81">
    <w:name w:val="个人答复风格"/>
    <w:qFormat/>
    <w:uiPriority w:val="0"/>
    <w:rPr>
      <w:rFonts w:ascii="Arial" w:hAnsi="Arial" w:eastAsia="宋体" w:cs="Arial"/>
      <w:color w:val="auto"/>
      <w:sz w:val="20"/>
    </w:rPr>
  </w:style>
  <w:style w:type="character" w:customStyle="1" w:styleId="82">
    <w:name w:val="发布"/>
    <w:qFormat/>
    <w:uiPriority w:val="0"/>
    <w:rPr>
      <w:rFonts w:ascii="黑体" w:eastAsia="黑体"/>
      <w:spacing w:val="22"/>
      <w:w w:val="100"/>
      <w:position w:val="3"/>
      <w:sz w:val="28"/>
    </w:rPr>
  </w:style>
  <w:style w:type="character" w:customStyle="1" w:styleId="83">
    <w:name w:val="段 Char"/>
    <w:link w:val="84"/>
    <w:qFormat/>
    <w:locked/>
    <w:uiPriority w:val="0"/>
    <w:rPr>
      <w:rFonts w:ascii="宋体" w:hAnsiTheme="minorHAnsi" w:eastAsiaTheme="minorEastAsia" w:cstheme="minorBidi"/>
    </w:rPr>
  </w:style>
  <w:style w:type="paragraph" w:customStyle="1" w:styleId="84">
    <w:name w:val="段"/>
    <w:link w:val="83"/>
    <w:qFormat/>
    <w:uiPriority w:val="0"/>
    <w:pPr>
      <w:autoSpaceDE w:val="0"/>
      <w:autoSpaceDN w:val="0"/>
      <w:ind w:firstLine="200" w:firstLineChars="200"/>
      <w:jc w:val="both"/>
    </w:pPr>
    <w:rPr>
      <w:rFonts w:ascii="宋体" w:hAnsiTheme="minorHAnsi" w:eastAsiaTheme="minorEastAsia" w:cstheme="minorBidi"/>
      <w:lang w:val="en-US" w:eastAsia="zh-CN" w:bidi="ar-SA"/>
    </w:rPr>
  </w:style>
  <w:style w:type="paragraph" w:customStyle="1" w:styleId="85">
    <w:name w:val="四级条标题"/>
    <w:basedOn w:val="86"/>
    <w:next w:val="84"/>
    <w:qFormat/>
    <w:uiPriority w:val="0"/>
    <w:pPr>
      <w:numPr>
        <w:ilvl w:val="5"/>
      </w:numPr>
      <w:outlineLvl w:val="5"/>
    </w:pPr>
  </w:style>
  <w:style w:type="paragraph" w:customStyle="1" w:styleId="86">
    <w:name w:val="三级条标题"/>
    <w:basedOn w:val="87"/>
    <w:next w:val="84"/>
    <w:qFormat/>
    <w:uiPriority w:val="0"/>
    <w:pPr>
      <w:numPr>
        <w:ilvl w:val="4"/>
      </w:numPr>
      <w:outlineLvl w:val="4"/>
    </w:pPr>
  </w:style>
  <w:style w:type="paragraph" w:customStyle="1" w:styleId="87">
    <w:name w:val="二级条标题"/>
    <w:basedOn w:val="88"/>
    <w:next w:val="84"/>
    <w:qFormat/>
    <w:uiPriority w:val="0"/>
    <w:pPr>
      <w:numPr>
        <w:ilvl w:val="3"/>
        <w:numId w:val="1"/>
      </w:numPr>
      <w:outlineLvl w:val="3"/>
    </w:pPr>
  </w:style>
  <w:style w:type="paragraph" w:customStyle="1" w:styleId="88">
    <w:name w:val="一级条标题"/>
    <w:next w:val="84"/>
    <w:qFormat/>
    <w:uiPriority w:val="0"/>
    <w:pPr>
      <w:outlineLvl w:val="2"/>
    </w:pPr>
    <w:rPr>
      <w:rFonts w:ascii="Times New Roman" w:hAnsi="Times New Roman" w:eastAsia="黑体" w:cs="Times New Roman"/>
      <w:sz w:val="21"/>
      <w:lang w:val="en-US" w:eastAsia="zh-CN" w:bidi="ar-SA"/>
    </w:rPr>
  </w:style>
  <w:style w:type="paragraph" w:customStyle="1" w:styleId="89">
    <w:name w:val="附录表标题"/>
    <w:next w:val="84"/>
    <w:qFormat/>
    <w:uiPriority w:val="0"/>
    <w:pPr>
      <w:numPr>
        <w:ilvl w:val="0"/>
        <w:numId w:val="2"/>
      </w:numPr>
      <w:jc w:val="center"/>
      <w:textAlignment w:val="baseline"/>
    </w:pPr>
    <w:rPr>
      <w:rFonts w:ascii="黑体" w:hAnsi="Times New Roman" w:eastAsia="黑体" w:cs="Times New Roman"/>
      <w:kern w:val="21"/>
      <w:sz w:val="21"/>
      <w:lang w:val="en-US" w:eastAsia="zh-CN" w:bidi="ar-SA"/>
    </w:rPr>
  </w:style>
  <w:style w:type="paragraph" w:customStyle="1" w:styleId="90">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91">
    <w:name w:val="编号列项（三级）"/>
    <w:qFormat/>
    <w:uiPriority w:val="0"/>
    <w:pPr>
      <w:ind w:left="800" w:leftChars="600" w:hanging="200" w:hangingChars="200"/>
    </w:pPr>
    <w:rPr>
      <w:rFonts w:ascii="宋体" w:hAnsi="Times New Roman" w:eastAsia="宋体" w:cs="Times New Roman"/>
      <w:sz w:val="21"/>
      <w:lang w:val="en-US" w:eastAsia="zh-CN" w:bidi="ar-SA"/>
    </w:rPr>
  </w:style>
  <w:style w:type="paragraph" w:customStyle="1" w:styleId="9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93">
    <w:name w:val="附录章标题"/>
    <w:next w:val="84"/>
    <w:qFormat/>
    <w:uiPriority w:val="0"/>
    <w:pPr>
      <w:numPr>
        <w:ilvl w:val="1"/>
        <w:numId w:val="3"/>
      </w:numPr>
      <w:wordWrap w:val="0"/>
      <w:overflowPunct w:val="0"/>
      <w:autoSpaceDE w:val="0"/>
      <w:spacing w:before="156" w:beforeLines="50" w:after="156"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4">
    <w:name w:val="附录标识"/>
    <w:basedOn w:val="95"/>
    <w:qFormat/>
    <w:uiPriority w:val="0"/>
    <w:pPr>
      <w:numPr>
        <w:ilvl w:val="0"/>
        <w:numId w:val="3"/>
      </w:numPr>
      <w:tabs>
        <w:tab w:val="left" w:pos="6405"/>
      </w:tabs>
      <w:spacing w:after="200"/>
    </w:pPr>
    <w:rPr>
      <w:sz w:val="21"/>
    </w:rPr>
  </w:style>
  <w:style w:type="paragraph" w:customStyle="1" w:styleId="95">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96">
    <w:name w:val="条文脚注"/>
    <w:basedOn w:val="28"/>
    <w:qFormat/>
    <w:uiPriority w:val="0"/>
    <w:pPr>
      <w:ind w:left="780" w:leftChars="200" w:hanging="360" w:hangingChars="200"/>
      <w:jc w:val="both"/>
    </w:pPr>
    <w:rPr>
      <w:rFonts w:ascii="宋体"/>
    </w:rPr>
  </w:style>
  <w:style w:type="paragraph" w:customStyle="1" w:styleId="97">
    <w:name w:val="封面标准号2"/>
    <w:basedOn w:val="98"/>
    <w:qFormat/>
    <w:uiPriority w:val="0"/>
    <w:pPr>
      <w:framePr w:w="9138" w:h="1244" w:hRule="exact" w:wrap="around" w:vAnchor="page" w:hAnchor="margin" w:y="2908"/>
      <w:adjustRightInd w:val="0"/>
      <w:spacing w:before="357" w:line="280" w:lineRule="exact"/>
    </w:pPr>
  </w:style>
  <w:style w:type="paragraph" w:customStyle="1" w:styleId="98">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99">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00">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01">
    <w:name w:val="其他发布部门"/>
    <w:basedOn w:val="102"/>
    <w:qFormat/>
    <w:uiPriority w:val="0"/>
    <w:pPr>
      <w:framePr w:wrap="around"/>
      <w:spacing w:line="0" w:lineRule="atLeast"/>
    </w:pPr>
    <w:rPr>
      <w:rFonts w:ascii="黑体" w:eastAsia="黑体"/>
      <w:b w:val="0"/>
    </w:rPr>
  </w:style>
  <w:style w:type="paragraph" w:customStyle="1" w:styleId="102">
    <w:name w:val="发布部门"/>
    <w:next w:val="84"/>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103">
    <w:name w:val="附录四级条标题"/>
    <w:basedOn w:val="104"/>
    <w:next w:val="84"/>
    <w:qFormat/>
    <w:uiPriority w:val="0"/>
    <w:pPr>
      <w:numPr>
        <w:ilvl w:val="5"/>
      </w:numPr>
      <w:outlineLvl w:val="5"/>
    </w:pPr>
  </w:style>
  <w:style w:type="paragraph" w:customStyle="1" w:styleId="104">
    <w:name w:val="附录三级条标题"/>
    <w:basedOn w:val="105"/>
    <w:next w:val="84"/>
    <w:qFormat/>
    <w:uiPriority w:val="0"/>
    <w:pPr>
      <w:numPr>
        <w:ilvl w:val="4"/>
      </w:numPr>
      <w:outlineLvl w:val="4"/>
    </w:pPr>
  </w:style>
  <w:style w:type="paragraph" w:customStyle="1" w:styleId="105">
    <w:name w:val="附录二级条标题"/>
    <w:basedOn w:val="106"/>
    <w:next w:val="84"/>
    <w:qFormat/>
    <w:uiPriority w:val="0"/>
    <w:pPr>
      <w:numPr>
        <w:ilvl w:val="3"/>
      </w:numPr>
      <w:outlineLvl w:val="3"/>
    </w:pPr>
  </w:style>
  <w:style w:type="paragraph" w:customStyle="1" w:styleId="106">
    <w:name w:val="附录一级条标题"/>
    <w:basedOn w:val="93"/>
    <w:next w:val="84"/>
    <w:qFormat/>
    <w:uiPriority w:val="0"/>
    <w:pPr>
      <w:numPr>
        <w:ilvl w:val="2"/>
      </w:numPr>
      <w:autoSpaceDN w:val="0"/>
      <w:spacing w:before="0" w:beforeLines="0" w:after="0" w:afterLines="0"/>
      <w:outlineLvl w:val="2"/>
    </w:pPr>
  </w:style>
  <w:style w:type="paragraph" w:customStyle="1" w:styleId="107">
    <w:name w:val="章标题"/>
    <w:next w:val="84"/>
    <w:qFormat/>
    <w:uiPriority w:val="0"/>
    <w:pPr>
      <w:spacing w:before="156" w:beforeLines="50" w:after="156" w:afterLines="50"/>
      <w:jc w:val="both"/>
      <w:outlineLvl w:val="1"/>
    </w:pPr>
    <w:rPr>
      <w:rFonts w:ascii="黑体" w:hAnsi="Times New Roman" w:eastAsia="黑体" w:cs="Times New Roman"/>
      <w:sz w:val="21"/>
      <w:lang w:val="en-US" w:eastAsia="zh-CN" w:bidi="ar-SA"/>
    </w:rPr>
  </w:style>
  <w:style w:type="paragraph" w:customStyle="1" w:styleId="10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0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10">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1">
    <w:name w:val="封面正文"/>
    <w:qFormat/>
    <w:uiPriority w:val="0"/>
    <w:pPr>
      <w:jc w:val="both"/>
    </w:pPr>
    <w:rPr>
      <w:rFonts w:ascii="Times New Roman" w:hAnsi="Times New Roman" w:eastAsia="宋体" w:cs="Times New Roman"/>
      <w:lang w:val="en-US" w:eastAsia="zh-CN" w:bidi="ar-SA"/>
    </w:rPr>
  </w:style>
  <w:style w:type="paragraph" w:customStyle="1" w:styleId="112">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113">
    <w:name w:val="实施日期"/>
    <w:basedOn w:val="114"/>
    <w:qFormat/>
    <w:uiPriority w:val="0"/>
    <w:pPr>
      <w:framePr w:hSpace="0" w:wrap="around" w:hAnchor="text" w:xAlign="right"/>
      <w:jc w:val="right"/>
    </w:pPr>
  </w:style>
  <w:style w:type="paragraph" w:customStyle="1" w:styleId="11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15">
    <w:name w:val="条3"/>
    <w:basedOn w:val="1"/>
    <w:next w:val="84"/>
    <w:qFormat/>
    <w:uiPriority w:val="0"/>
    <w:pPr>
      <w:numPr>
        <w:ilvl w:val="3"/>
        <w:numId w:val="4"/>
      </w:numPr>
      <w:outlineLvl w:val="1"/>
    </w:pPr>
    <w:rPr>
      <w:rFonts w:ascii="黑体" w:eastAsia="黑体"/>
      <w:kern w:val="21"/>
      <w:szCs w:val="20"/>
    </w:rPr>
  </w:style>
  <w:style w:type="paragraph" w:customStyle="1" w:styleId="116">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17">
    <w:name w:val="列项——（一级）"/>
    <w:qFormat/>
    <w:uiPriority w:val="0"/>
    <w:pPr>
      <w:widowControl w:val="0"/>
      <w:numPr>
        <w:ilvl w:val="0"/>
        <w:numId w:val="5"/>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8">
    <w:name w:val="标准书眉_偶数页"/>
    <w:basedOn w:val="108"/>
    <w:next w:val="1"/>
    <w:qFormat/>
    <w:uiPriority w:val="0"/>
    <w:pPr>
      <w:jc w:val="left"/>
    </w:pPr>
  </w:style>
  <w:style w:type="paragraph" w:customStyle="1" w:styleId="119">
    <w:name w:val="附录图标题"/>
    <w:next w:val="84"/>
    <w:qFormat/>
    <w:uiPriority w:val="0"/>
    <w:pPr>
      <w:numPr>
        <w:ilvl w:val="0"/>
        <w:numId w:val="6"/>
      </w:numPr>
      <w:jc w:val="center"/>
    </w:pPr>
    <w:rPr>
      <w:rFonts w:ascii="黑体" w:hAnsi="Times New Roman" w:eastAsia="黑体" w:cs="Times New Roman"/>
      <w:sz w:val="21"/>
      <w:lang w:val="en-US" w:eastAsia="zh-CN" w:bidi="ar-SA"/>
    </w:rPr>
  </w:style>
  <w:style w:type="paragraph" w:customStyle="1" w:styleId="120">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21">
    <w:name w:val="五级条标题"/>
    <w:basedOn w:val="85"/>
    <w:next w:val="84"/>
    <w:qFormat/>
    <w:uiPriority w:val="0"/>
    <w:pPr>
      <w:numPr>
        <w:ilvl w:val="6"/>
      </w:numPr>
      <w:outlineLvl w:val="6"/>
    </w:pPr>
  </w:style>
  <w:style w:type="paragraph" w:customStyle="1" w:styleId="122">
    <w:name w:val="注×："/>
    <w:qFormat/>
    <w:uiPriority w:val="0"/>
    <w:pPr>
      <w:widowControl w:val="0"/>
      <w:numPr>
        <w:ilvl w:val="0"/>
        <w:numId w:val="7"/>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123">
    <w:name w:val="图表脚注"/>
    <w:next w:val="84"/>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124">
    <w:name w:val="列项●（二级）"/>
    <w:qFormat/>
    <w:uiPriority w:val="0"/>
    <w:pPr>
      <w:numPr>
        <w:ilvl w:val="0"/>
        <w:numId w:val="8"/>
      </w:numPr>
      <w:tabs>
        <w:tab w:val="left" w:pos="840"/>
        <w:tab w:val="clear" w:pos="760"/>
      </w:tabs>
      <w:ind w:left="600" w:leftChars="400" w:hanging="200" w:hangingChars="200"/>
      <w:jc w:val="both"/>
    </w:pPr>
    <w:rPr>
      <w:rFonts w:ascii="宋体" w:hAnsi="Times New Roman" w:eastAsia="宋体" w:cs="Times New Roman"/>
      <w:sz w:val="21"/>
      <w:lang w:val="en-US" w:eastAsia="zh-CN" w:bidi="ar-SA"/>
    </w:rPr>
  </w:style>
  <w:style w:type="paragraph" w:customStyle="1" w:styleId="125">
    <w:name w:val="正文图标题"/>
    <w:next w:val="84"/>
    <w:qFormat/>
    <w:uiPriority w:val="0"/>
    <w:pPr>
      <w:numPr>
        <w:ilvl w:val="0"/>
        <w:numId w:val="9"/>
      </w:numPr>
      <w:jc w:val="center"/>
    </w:pPr>
    <w:rPr>
      <w:rFonts w:ascii="黑体" w:hAnsi="Times New Roman" w:eastAsia="黑体" w:cs="Times New Roman"/>
      <w:sz w:val="21"/>
      <w:lang w:val="en-US" w:eastAsia="zh-CN" w:bidi="ar-SA"/>
    </w:rPr>
  </w:style>
  <w:style w:type="paragraph" w:customStyle="1" w:styleId="126">
    <w:name w:val="示例"/>
    <w:next w:val="84"/>
    <w:qFormat/>
    <w:uiPriority w:val="0"/>
    <w:pPr>
      <w:numPr>
        <w:ilvl w:val="0"/>
        <w:numId w:val="10"/>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127">
    <w:name w:val="条1"/>
    <w:basedOn w:val="1"/>
    <w:next w:val="84"/>
    <w:qFormat/>
    <w:uiPriority w:val="0"/>
    <w:pPr>
      <w:numPr>
        <w:ilvl w:val="1"/>
        <w:numId w:val="4"/>
      </w:numPr>
      <w:ind w:left="993"/>
      <w:outlineLvl w:val="1"/>
    </w:pPr>
    <w:rPr>
      <w:rFonts w:ascii="黑体" w:eastAsia="黑体"/>
      <w:kern w:val="21"/>
      <w:szCs w:val="20"/>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130">
    <w:name w:val="注："/>
    <w:next w:val="84"/>
    <w:qFormat/>
    <w:uiPriority w:val="0"/>
    <w:pPr>
      <w:widowControl w:val="0"/>
      <w:numPr>
        <w:ilvl w:val="0"/>
        <w:numId w:val="11"/>
      </w:numPr>
      <w:tabs>
        <w:tab w:val="clear" w:pos="1140"/>
      </w:tabs>
      <w:autoSpaceDE w:val="0"/>
      <w:autoSpaceDN w:val="0"/>
      <w:jc w:val="both"/>
    </w:pPr>
    <w:rPr>
      <w:rFonts w:ascii="宋体" w:hAnsi="Times New Roman" w:eastAsia="宋体" w:cs="Times New Roman"/>
      <w:sz w:val="18"/>
      <w:lang w:val="en-US" w:eastAsia="zh-CN" w:bidi="ar-SA"/>
    </w:rPr>
  </w:style>
  <w:style w:type="paragraph" w:customStyle="1" w:styleId="131">
    <w:name w:val="附录五级条标题"/>
    <w:basedOn w:val="103"/>
    <w:next w:val="84"/>
    <w:qFormat/>
    <w:uiPriority w:val="0"/>
    <w:pPr>
      <w:numPr>
        <w:ilvl w:val="6"/>
      </w:numPr>
      <w:outlineLvl w:val="6"/>
    </w:pPr>
  </w:style>
  <w:style w:type="paragraph" w:customStyle="1" w:styleId="132">
    <w:name w:val="列项◆（三级）"/>
    <w:qFormat/>
    <w:uiPriority w:val="0"/>
    <w:pPr>
      <w:numPr>
        <w:ilvl w:val="0"/>
        <w:numId w:val="12"/>
      </w:numPr>
      <w:ind w:left="800" w:leftChars="600" w:hanging="200" w:hangingChars="200"/>
    </w:pPr>
    <w:rPr>
      <w:rFonts w:ascii="宋体" w:hAnsi="Times New Roman" w:eastAsia="宋体" w:cs="Times New Roman"/>
      <w:sz w:val="21"/>
      <w:lang w:val="en-US" w:eastAsia="zh-CN" w:bidi="ar-SA"/>
    </w:rPr>
  </w:style>
  <w:style w:type="paragraph" w:customStyle="1" w:styleId="133">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134">
    <w:name w:val="条2"/>
    <w:basedOn w:val="1"/>
    <w:next w:val="84"/>
    <w:qFormat/>
    <w:uiPriority w:val="0"/>
    <w:pPr>
      <w:numPr>
        <w:ilvl w:val="2"/>
        <w:numId w:val="4"/>
      </w:numPr>
      <w:outlineLvl w:val="1"/>
    </w:pPr>
    <w:rPr>
      <w:rFonts w:ascii="黑体" w:eastAsia="黑体"/>
      <w:kern w:val="21"/>
      <w:szCs w:val="20"/>
    </w:rPr>
  </w:style>
  <w:style w:type="paragraph" w:customStyle="1" w:styleId="135">
    <w:name w:val="条5"/>
    <w:basedOn w:val="1"/>
    <w:next w:val="84"/>
    <w:qFormat/>
    <w:uiPriority w:val="0"/>
    <w:pPr>
      <w:numPr>
        <w:ilvl w:val="5"/>
        <w:numId w:val="4"/>
      </w:numPr>
      <w:outlineLvl w:val="1"/>
    </w:pPr>
    <w:rPr>
      <w:rFonts w:ascii="黑体" w:eastAsia="黑体"/>
      <w:kern w:val="21"/>
      <w:szCs w:val="20"/>
    </w:rPr>
  </w:style>
  <w:style w:type="paragraph" w:customStyle="1" w:styleId="136">
    <w:name w:val="目次、标准名称标题"/>
    <w:basedOn w:val="95"/>
    <w:next w:val="84"/>
    <w:qFormat/>
    <w:uiPriority w:val="0"/>
    <w:pPr>
      <w:spacing w:line="460" w:lineRule="exact"/>
    </w:pPr>
  </w:style>
  <w:style w:type="paragraph" w:customStyle="1" w:styleId="13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8">
    <w:name w:val="正文表标题"/>
    <w:next w:val="84"/>
    <w:qFormat/>
    <w:uiPriority w:val="0"/>
    <w:pPr>
      <w:numPr>
        <w:ilvl w:val="0"/>
        <w:numId w:val="13"/>
      </w:numPr>
      <w:jc w:val="center"/>
    </w:pPr>
    <w:rPr>
      <w:rFonts w:ascii="黑体" w:hAnsi="Times New Roman" w:eastAsia="黑体" w:cs="Times New Roman"/>
      <w:sz w:val="21"/>
      <w:lang w:val="en-US" w:eastAsia="zh-CN" w:bidi="ar-SA"/>
    </w:rPr>
  </w:style>
  <w:style w:type="paragraph" w:customStyle="1" w:styleId="139">
    <w:name w:val="条4"/>
    <w:basedOn w:val="1"/>
    <w:next w:val="84"/>
    <w:qFormat/>
    <w:uiPriority w:val="0"/>
    <w:pPr>
      <w:numPr>
        <w:ilvl w:val="4"/>
        <w:numId w:val="4"/>
      </w:numPr>
      <w:outlineLvl w:val="1"/>
    </w:pPr>
    <w:rPr>
      <w:rFonts w:ascii="黑体" w:eastAsia="黑体"/>
      <w:kern w:val="21"/>
      <w:szCs w:val="20"/>
    </w:rPr>
  </w:style>
  <w:style w:type="paragraph" w:customStyle="1" w:styleId="140">
    <w:name w:val="标准书眉一"/>
    <w:qFormat/>
    <w:uiPriority w:val="0"/>
    <w:pPr>
      <w:jc w:val="both"/>
    </w:pPr>
    <w:rPr>
      <w:rFonts w:ascii="Times New Roman" w:hAnsi="Times New Roman" w:eastAsia="宋体" w:cs="Times New Roman"/>
      <w:lang w:val="en-US" w:eastAsia="zh-CN" w:bidi="ar-SA"/>
    </w:rPr>
  </w:style>
  <w:style w:type="paragraph" w:customStyle="1" w:styleId="141">
    <w:name w:val="章"/>
    <w:basedOn w:val="1"/>
    <w:next w:val="84"/>
    <w:qFormat/>
    <w:uiPriority w:val="0"/>
    <w:pPr>
      <w:numPr>
        <w:ilvl w:val="0"/>
        <w:numId w:val="4"/>
      </w:numPr>
      <w:adjustRightInd w:val="0"/>
      <w:spacing w:before="160" w:after="160"/>
      <w:outlineLvl w:val="0"/>
    </w:pPr>
    <w:rPr>
      <w:rFonts w:ascii="黑体" w:eastAsia="黑体"/>
      <w:kern w:val="21"/>
      <w:szCs w:val="20"/>
    </w:rPr>
  </w:style>
  <w:style w:type="paragraph" w:customStyle="1" w:styleId="142">
    <w:name w:val="参考文献、索引标题"/>
    <w:basedOn w:val="95"/>
    <w:next w:val="1"/>
    <w:qFormat/>
    <w:uiPriority w:val="0"/>
    <w:pPr>
      <w:spacing w:after="200"/>
    </w:pPr>
    <w:rPr>
      <w:sz w:val="21"/>
    </w:rPr>
  </w:style>
  <w:style w:type="paragraph" w:customStyle="1" w:styleId="14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44">
    <w:name w:val="封面标准代替信息"/>
    <w:basedOn w:val="97"/>
    <w:qFormat/>
    <w:uiPriority w:val="0"/>
    <w:pPr>
      <w:framePr w:wrap="around"/>
      <w:spacing w:before="57"/>
    </w:pPr>
    <w:rPr>
      <w:rFonts w:ascii="宋体"/>
      <w:sz w:val="21"/>
    </w:rPr>
  </w:style>
  <w:style w:type="character" w:customStyle="1" w:styleId="145">
    <w:name w:val="批注主题 字符"/>
    <w:basedOn w:val="62"/>
    <w:link w:val="34"/>
    <w:semiHidden/>
    <w:qFormat/>
    <w:uiPriority w:val="0"/>
    <w:rPr>
      <w:b/>
      <w:bCs/>
    </w:rPr>
  </w:style>
  <w:style w:type="paragraph" w:customStyle="1" w:styleId="146">
    <w:name w:val="p0"/>
    <w:basedOn w:val="1"/>
    <w:qFormat/>
    <w:uiPriority w:val="0"/>
    <w:pPr>
      <w:widowControl/>
    </w:pPr>
    <w:rPr>
      <w:kern w:val="0"/>
      <w:szCs w:val="21"/>
    </w:rPr>
  </w:style>
  <w:style w:type="character" w:customStyle="1" w:styleId="147">
    <w:name w:val="正文文本缩进 3 字符"/>
    <w:basedOn w:val="37"/>
    <w:link w:val="29"/>
    <w:qFormat/>
    <w:uiPriority w:val="0"/>
    <w:rPr>
      <w:kern w:val="0"/>
      <w:sz w:val="16"/>
      <w:szCs w:val="16"/>
    </w:rPr>
  </w:style>
  <w:style w:type="character" w:customStyle="1" w:styleId="148">
    <w:name w:val="Body text|2_"/>
    <w:link w:val="149"/>
    <w:qFormat/>
    <w:uiPriority w:val="0"/>
  </w:style>
  <w:style w:type="paragraph" w:customStyle="1" w:styleId="149">
    <w:name w:val="Body text|2"/>
    <w:basedOn w:val="1"/>
    <w:link w:val="148"/>
    <w:qFormat/>
    <w:uiPriority w:val="0"/>
    <w:pPr>
      <w:spacing w:line="338" w:lineRule="auto"/>
      <w:ind w:firstLine="240"/>
      <w:jc w:val="left"/>
    </w:pPr>
  </w:style>
  <w:style w:type="character" w:customStyle="1" w:styleId="150">
    <w:name w:val="Body text|1_"/>
    <w:link w:val="151"/>
    <w:qFormat/>
    <w:uiPriority w:val="0"/>
    <w:rPr>
      <w:rFonts w:ascii="宋体" w:hAnsi="宋体" w:cs="宋体"/>
      <w:lang w:val="zh-TW" w:eastAsia="zh-TW" w:bidi="zh-TW"/>
    </w:rPr>
  </w:style>
  <w:style w:type="paragraph" w:customStyle="1" w:styleId="151">
    <w:name w:val="Body text|1"/>
    <w:basedOn w:val="1"/>
    <w:link w:val="150"/>
    <w:qFormat/>
    <w:uiPriority w:val="0"/>
    <w:pPr>
      <w:spacing w:after="80" w:line="334" w:lineRule="auto"/>
      <w:ind w:firstLine="400"/>
      <w:jc w:val="left"/>
    </w:pPr>
    <w:rPr>
      <w:rFonts w:ascii="宋体" w:hAnsi="宋体" w:cs="宋体"/>
      <w:lang w:val="zh-TW" w:eastAsia="zh-TW" w:bidi="zh-TW"/>
    </w:rPr>
  </w:style>
  <w:style w:type="character" w:customStyle="1" w:styleId="152">
    <w:name w:val="Other|1_"/>
    <w:basedOn w:val="37"/>
    <w:link w:val="153"/>
    <w:qFormat/>
    <w:uiPriority w:val="0"/>
    <w:rPr>
      <w:rFonts w:ascii="宋体" w:hAnsi="宋体" w:eastAsia="宋体" w:cs="宋体"/>
      <w:sz w:val="20"/>
      <w:szCs w:val="20"/>
    </w:rPr>
  </w:style>
  <w:style w:type="paragraph" w:customStyle="1" w:styleId="153">
    <w:name w:val="Other|1"/>
    <w:basedOn w:val="1"/>
    <w:link w:val="152"/>
    <w:qFormat/>
    <w:uiPriority w:val="0"/>
    <w:pPr>
      <w:spacing w:after="80" w:line="310" w:lineRule="auto"/>
      <w:ind w:firstLine="400"/>
      <w:jc w:val="left"/>
    </w:pPr>
    <w:rPr>
      <w:rFonts w:ascii="宋体" w:hAnsi="宋体" w:cs="宋体"/>
      <w:sz w:val="20"/>
      <w:szCs w:val="20"/>
    </w:rPr>
  </w:style>
  <w:style w:type="character" w:customStyle="1" w:styleId="154">
    <w:name w:val="Heading #1|1_"/>
    <w:basedOn w:val="37"/>
    <w:link w:val="155"/>
    <w:qFormat/>
    <w:uiPriority w:val="0"/>
    <w:rPr>
      <w:rFonts w:ascii="宋体" w:hAnsi="宋体" w:eastAsia="宋体" w:cs="宋体"/>
      <w:sz w:val="52"/>
      <w:szCs w:val="52"/>
      <w:lang w:val="zh-TW" w:eastAsia="zh-TW" w:bidi="zh-TW"/>
    </w:rPr>
  </w:style>
  <w:style w:type="paragraph" w:customStyle="1" w:styleId="155">
    <w:name w:val="Heading #1|1"/>
    <w:basedOn w:val="1"/>
    <w:link w:val="154"/>
    <w:qFormat/>
    <w:uiPriority w:val="0"/>
    <w:pPr>
      <w:spacing w:after="530" w:line="262" w:lineRule="auto"/>
      <w:jc w:val="center"/>
      <w:outlineLvl w:val="0"/>
    </w:pPr>
    <w:rPr>
      <w:rFonts w:ascii="宋体" w:hAnsi="宋体" w:cs="宋体"/>
      <w:sz w:val="52"/>
      <w:szCs w:val="52"/>
      <w:lang w:val="zh-TW" w:eastAsia="zh-TW" w:bidi="zh-TW"/>
    </w:rPr>
  </w:style>
  <w:style w:type="character" w:customStyle="1" w:styleId="156">
    <w:name w:val="Heading #2|1_"/>
    <w:basedOn w:val="37"/>
    <w:link w:val="157"/>
    <w:qFormat/>
    <w:uiPriority w:val="0"/>
    <w:rPr>
      <w:rFonts w:ascii="宋体" w:hAnsi="宋体" w:eastAsia="宋体" w:cs="宋体"/>
      <w:sz w:val="30"/>
      <w:szCs w:val="30"/>
      <w:lang w:val="zh-TW" w:eastAsia="zh-TW" w:bidi="zh-TW"/>
    </w:rPr>
  </w:style>
  <w:style w:type="paragraph" w:customStyle="1" w:styleId="157">
    <w:name w:val="Heading #2|1"/>
    <w:basedOn w:val="1"/>
    <w:link w:val="156"/>
    <w:qFormat/>
    <w:uiPriority w:val="0"/>
    <w:pPr>
      <w:spacing w:after="600" w:line="406" w:lineRule="exact"/>
      <w:jc w:val="center"/>
      <w:outlineLvl w:val="1"/>
    </w:pPr>
    <w:rPr>
      <w:rFonts w:ascii="宋体" w:hAnsi="宋体" w:cs="宋体"/>
      <w:sz w:val="30"/>
      <w:szCs w:val="30"/>
      <w:lang w:val="zh-TW" w:eastAsia="zh-TW" w:bidi="zh-TW"/>
    </w:rPr>
  </w:style>
  <w:style w:type="character" w:customStyle="1" w:styleId="158">
    <w:name w:val="Header or footer|2_"/>
    <w:basedOn w:val="37"/>
    <w:link w:val="159"/>
    <w:qFormat/>
    <w:uiPriority w:val="0"/>
    <w:rPr>
      <w:sz w:val="20"/>
      <w:szCs w:val="20"/>
    </w:rPr>
  </w:style>
  <w:style w:type="paragraph" w:customStyle="1" w:styleId="159">
    <w:name w:val="Header or footer|2"/>
    <w:basedOn w:val="1"/>
    <w:link w:val="158"/>
    <w:qFormat/>
    <w:uiPriority w:val="0"/>
    <w:pPr>
      <w:jc w:val="left"/>
    </w:pPr>
    <w:rPr>
      <w:sz w:val="20"/>
      <w:szCs w:val="20"/>
    </w:rPr>
  </w:style>
  <w:style w:type="character" w:customStyle="1" w:styleId="160">
    <w:name w:val="Table of contents|1_"/>
    <w:basedOn w:val="37"/>
    <w:link w:val="161"/>
    <w:qFormat/>
    <w:uiPriority w:val="0"/>
    <w:rPr>
      <w:rFonts w:ascii="宋体" w:hAnsi="宋体" w:eastAsia="宋体" w:cs="宋体"/>
      <w:sz w:val="20"/>
      <w:szCs w:val="20"/>
      <w:lang w:val="zh-TW" w:eastAsia="zh-TW" w:bidi="zh-TW"/>
    </w:rPr>
  </w:style>
  <w:style w:type="paragraph" w:customStyle="1" w:styleId="161">
    <w:name w:val="Table of contents|1"/>
    <w:basedOn w:val="1"/>
    <w:link w:val="160"/>
    <w:qFormat/>
    <w:uiPriority w:val="0"/>
    <w:pPr>
      <w:spacing w:after="120"/>
      <w:jc w:val="left"/>
    </w:pPr>
    <w:rPr>
      <w:rFonts w:ascii="宋体" w:hAnsi="宋体" w:cs="宋体"/>
      <w:sz w:val="20"/>
      <w:szCs w:val="20"/>
      <w:lang w:val="zh-TW" w:eastAsia="zh-TW" w:bidi="zh-TW"/>
    </w:rPr>
  </w:style>
  <w:style w:type="character" w:customStyle="1" w:styleId="162">
    <w:name w:val="Picture caption|1_"/>
    <w:basedOn w:val="37"/>
    <w:link w:val="163"/>
    <w:qFormat/>
    <w:uiPriority w:val="0"/>
    <w:rPr>
      <w:rFonts w:ascii="宋体" w:hAnsi="宋体" w:eastAsia="宋体" w:cs="宋体"/>
      <w:sz w:val="14"/>
      <w:szCs w:val="14"/>
      <w:lang w:val="zh-TW" w:eastAsia="zh-TW" w:bidi="zh-TW"/>
    </w:rPr>
  </w:style>
  <w:style w:type="paragraph" w:customStyle="1" w:styleId="163">
    <w:name w:val="Picture caption|1"/>
    <w:basedOn w:val="1"/>
    <w:link w:val="162"/>
    <w:qFormat/>
    <w:uiPriority w:val="0"/>
    <w:pPr>
      <w:spacing w:line="173" w:lineRule="exact"/>
      <w:jc w:val="left"/>
    </w:pPr>
    <w:rPr>
      <w:rFonts w:ascii="宋体" w:hAnsi="宋体" w:cs="宋体"/>
      <w:sz w:val="14"/>
      <w:szCs w:val="14"/>
      <w:lang w:val="zh-TW" w:eastAsia="zh-TW" w:bidi="zh-TW"/>
    </w:rPr>
  </w:style>
  <w:style w:type="character" w:customStyle="1" w:styleId="164">
    <w:name w:val="Body text|7_"/>
    <w:basedOn w:val="37"/>
    <w:link w:val="165"/>
    <w:qFormat/>
    <w:uiPriority w:val="0"/>
    <w:rPr>
      <w:rFonts w:ascii="宋体" w:hAnsi="宋体" w:eastAsia="宋体" w:cs="宋体"/>
      <w:sz w:val="15"/>
      <w:szCs w:val="15"/>
      <w:lang w:val="zh-TW" w:eastAsia="zh-TW" w:bidi="zh-TW"/>
    </w:rPr>
  </w:style>
  <w:style w:type="paragraph" w:customStyle="1" w:styleId="165">
    <w:name w:val="Body text|7"/>
    <w:basedOn w:val="1"/>
    <w:link w:val="164"/>
    <w:qFormat/>
    <w:uiPriority w:val="0"/>
    <w:pPr>
      <w:jc w:val="center"/>
    </w:pPr>
    <w:rPr>
      <w:rFonts w:ascii="宋体" w:hAnsi="宋体" w:cs="宋体"/>
      <w:sz w:val="15"/>
      <w:szCs w:val="15"/>
      <w:lang w:val="zh-TW" w:eastAsia="zh-TW" w:bidi="zh-TW"/>
    </w:rPr>
  </w:style>
  <w:style w:type="character" w:customStyle="1" w:styleId="166">
    <w:name w:val="Body text|6_"/>
    <w:basedOn w:val="37"/>
    <w:link w:val="167"/>
    <w:qFormat/>
    <w:uiPriority w:val="0"/>
    <w:rPr>
      <w:rFonts w:ascii="宋体" w:hAnsi="宋体" w:eastAsia="宋体" w:cs="宋体"/>
      <w:sz w:val="14"/>
      <w:szCs w:val="14"/>
      <w:lang w:val="zh-TW" w:eastAsia="zh-TW" w:bidi="zh-TW"/>
    </w:rPr>
  </w:style>
  <w:style w:type="paragraph" w:customStyle="1" w:styleId="167">
    <w:name w:val="Body text|6"/>
    <w:basedOn w:val="1"/>
    <w:link w:val="166"/>
    <w:qFormat/>
    <w:uiPriority w:val="0"/>
    <w:pPr>
      <w:jc w:val="right"/>
    </w:pPr>
    <w:rPr>
      <w:rFonts w:ascii="宋体" w:hAnsi="宋体" w:cs="宋体"/>
      <w:sz w:val="14"/>
      <w:szCs w:val="14"/>
      <w:lang w:val="zh-TW" w:eastAsia="zh-TW" w:bidi="zh-TW"/>
    </w:rPr>
  </w:style>
  <w:style w:type="character" w:customStyle="1" w:styleId="168">
    <w:name w:val="Header or footer|1_"/>
    <w:basedOn w:val="37"/>
    <w:link w:val="169"/>
    <w:qFormat/>
    <w:uiPriority w:val="0"/>
    <w:rPr>
      <w:sz w:val="20"/>
      <w:szCs w:val="20"/>
    </w:rPr>
  </w:style>
  <w:style w:type="paragraph" w:customStyle="1" w:styleId="169">
    <w:name w:val="Header or footer|1"/>
    <w:basedOn w:val="1"/>
    <w:link w:val="168"/>
    <w:qFormat/>
    <w:uiPriority w:val="0"/>
    <w:pPr>
      <w:jc w:val="left"/>
    </w:pPr>
    <w:rPr>
      <w:sz w:val="20"/>
      <w:szCs w:val="20"/>
    </w:rPr>
  </w:style>
  <w:style w:type="character" w:customStyle="1" w:styleId="170">
    <w:name w:val="Body text|4_"/>
    <w:basedOn w:val="37"/>
    <w:link w:val="171"/>
    <w:qFormat/>
    <w:uiPriority w:val="0"/>
    <w:rPr>
      <w:rFonts w:ascii="宋体" w:hAnsi="宋体" w:eastAsia="宋体" w:cs="宋体"/>
      <w:sz w:val="17"/>
      <w:szCs w:val="17"/>
      <w:lang w:val="zh-TW" w:eastAsia="zh-TW" w:bidi="zh-TW"/>
    </w:rPr>
  </w:style>
  <w:style w:type="paragraph" w:customStyle="1" w:styleId="171">
    <w:name w:val="Body text|4"/>
    <w:basedOn w:val="1"/>
    <w:link w:val="170"/>
    <w:qFormat/>
    <w:uiPriority w:val="0"/>
    <w:pPr>
      <w:spacing w:after="80"/>
      <w:ind w:firstLine="660"/>
      <w:jc w:val="left"/>
    </w:pPr>
    <w:rPr>
      <w:rFonts w:ascii="宋体" w:hAnsi="宋体" w:cs="宋体"/>
      <w:sz w:val="17"/>
      <w:szCs w:val="17"/>
      <w:lang w:val="zh-TW" w:eastAsia="zh-TW" w:bidi="zh-TW"/>
    </w:rPr>
  </w:style>
  <w:style w:type="character" w:customStyle="1" w:styleId="172">
    <w:name w:val="Body text|5_"/>
    <w:basedOn w:val="37"/>
    <w:link w:val="173"/>
    <w:qFormat/>
    <w:uiPriority w:val="0"/>
    <w:rPr>
      <w:sz w:val="11"/>
      <w:szCs w:val="11"/>
      <w:lang w:val="zh-CN" w:bidi="zh-CN"/>
    </w:rPr>
  </w:style>
  <w:style w:type="paragraph" w:customStyle="1" w:styleId="173">
    <w:name w:val="Body text|5"/>
    <w:basedOn w:val="1"/>
    <w:link w:val="172"/>
    <w:qFormat/>
    <w:uiPriority w:val="0"/>
    <w:pPr>
      <w:spacing w:after="70"/>
      <w:jc w:val="center"/>
    </w:pPr>
    <w:rPr>
      <w:sz w:val="11"/>
      <w:szCs w:val="11"/>
      <w:lang w:val="zh-CN" w:bidi="zh-CN"/>
    </w:rPr>
  </w:style>
  <w:style w:type="character" w:customStyle="1" w:styleId="174">
    <w:name w:val="Body text|3_"/>
    <w:basedOn w:val="37"/>
    <w:link w:val="175"/>
    <w:qFormat/>
    <w:uiPriority w:val="0"/>
    <w:rPr>
      <w:rFonts w:ascii="宋体" w:hAnsi="宋体" w:eastAsia="宋体" w:cs="宋体"/>
      <w:sz w:val="26"/>
      <w:szCs w:val="26"/>
      <w:lang w:val="zh-TW" w:eastAsia="zh-TW" w:bidi="zh-TW"/>
    </w:rPr>
  </w:style>
  <w:style w:type="paragraph" w:customStyle="1" w:styleId="175">
    <w:name w:val="Body text|3"/>
    <w:basedOn w:val="1"/>
    <w:link w:val="174"/>
    <w:qFormat/>
    <w:uiPriority w:val="0"/>
    <w:pPr>
      <w:spacing w:after="460"/>
      <w:ind w:firstLine="20"/>
      <w:jc w:val="left"/>
    </w:pPr>
    <w:rPr>
      <w:rFonts w:ascii="宋体" w:hAnsi="宋体" w:cs="宋体"/>
      <w:sz w:val="26"/>
      <w:szCs w:val="26"/>
      <w:lang w:val="zh-TW" w:eastAsia="zh-TW" w:bidi="zh-TW"/>
    </w:rPr>
  </w:style>
  <w:style w:type="character" w:customStyle="1" w:styleId="176">
    <w:name w:val="Table caption|1_"/>
    <w:basedOn w:val="37"/>
    <w:link w:val="177"/>
    <w:qFormat/>
    <w:uiPriority w:val="0"/>
    <w:rPr>
      <w:rFonts w:ascii="宋体" w:hAnsi="宋体" w:eastAsia="宋体" w:cs="宋体"/>
      <w:sz w:val="20"/>
      <w:szCs w:val="20"/>
      <w:lang w:val="zh-TW" w:eastAsia="zh-TW" w:bidi="zh-TW"/>
    </w:rPr>
  </w:style>
  <w:style w:type="paragraph" w:customStyle="1" w:styleId="177">
    <w:name w:val="Table caption|1"/>
    <w:basedOn w:val="1"/>
    <w:link w:val="176"/>
    <w:qFormat/>
    <w:uiPriority w:val="0"/>
    <w:pPr>
      <w:jc w:val="left"/>
    </w:pPr>
    <w:rPr>
      <w:rFonts w:ascii="宋体" w:hAnsi="宋体" w:cs="宋体"/>
      <w:sz w:val="20"/>
      <w:szCs w:val="20"/>
      <w:lang w:val="zh-TW" w:eastAsia="zh-TW" w:bidi="zh-TW"/>
    </w:rPr>
  </w:style>
  <w:style w:type="paragraph" w:styleId="178">
    <w:name w:val="List Paragraph"/>
    <w:basedOn w:val="1"/>
    <w:qFormat/>
    <w:uiPriority w:val="34"/>
    <w:pPr>
      <w:ind w:firstLine="420" w:firstLineChars="200"/>
    </w:pPr>
  </w:style>
  <w:style w:type="character" w:customStyle="1" w:styleId="179">
    <w:name w:val="Heading #3|1_"/>
    <w:basedOn w:val="37"/>
    <w:link w:val="180"/>
    <w:qFormat/>
    <w:uiPriority w:val="0"/>
    <w:rPr>
      <w:b/>
      <w:bCs/>
      <w:sz w:val="19"/>
      <w:szCs w:val="19"/>
    </w:rPr>
  </w:style>
  <w:style w:type="paragraph" w:customStyle="1" w:styleId="180">
    <w:name w:val="Heading #3|1"/>
    <w:basedOn w:val="1"/>
    <w:link w:val="179"/>
    <w:qFormat/>
    <w:uiPriority w:val="0"/>
    <w:pPr>
      <w:spacing w:after="140" w:line="348" w:lineRule="auto"/>
      <w:ind w:right="210"/>
      <w:jc w:val="left"/>
      <w:outlineLvl w:val="2"/>
    </w:pPr>
    <w:rPr>
      <w:b/>
      <w:bCs/>
      <w:sz w:val="19"/>
      <w:szCs w:val="19"/>
    </w:rPr>
  </w:style>
  <w:style w:type="paragraph" w:customStyle="1" w:styleId="18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82">
    <w:name w:val="内容块-28-a"/>
    <w:basedOn w:val="1"/>
    <w:next w:val="1"/>
    <w:qFormat/>
    <w:uiPriority w:val="0"/>
    <w:pPr>
      <w:pBdr>
        <w:top w:val="single" w:color="7E7E7E" w:themeColor="text1" w:themeTint="80" w:sz="4" w:space="10"/>
        <w:left w:val="single" w:color="7E7E7E" w:themeColor="text1" w:themeTint="80" w:sz="4" w:space="16"/>
        <w:bottom w:val="single" w:color="7E7E7E" w:themeColor="text1" w:themeTint="80" w:sz="4" w:space="10"/>
        <w:right w:val="single" w:color="7E7E7E" w:themeColor="text1" w:themeTint="80" w:sz="4" w:space="16"/>
      </w:pBdr>
      <w:ind w:left="357" w:right="357"/>
      <w:textAlignment w:val="center"/>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081E23-86EF-410F-9271-B80B304410FD}">
  <ds:schemaRefs/>
</ds:datastoreItem>
</file>

<file path=docProps/app.xml><?xml version="1.0" encoding="utf-8"?>
<Properties xmlns="http://schemas.openxmlformats.org/officeDocument/2006/extended-properties" xmlns:vt="http://schemas.openxmlformats.org/officeDocument/2006/docPropsVTypes">
  <Template>Normal</Template>
  <Pages>33</Pages>
  <Words>3458</Words>
  <Characters>4210</Characters>
  <Lines>170</Lines>
  <Paragraphs>47</Paragraphs>
  <TotalTime>12</TotalTime>
  <ScaleCrop>false</ScaleCrop>
  <LinksUpToDate>false</LinksUpToDate>
  <CharactersWithSpaces>4410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2026-09-07T03:17:00Z</dcterms:created>
  <dc:creator>y x</dc:creator>
  <cp:lastModifiedBy>郑媛媛</cp:lastModifiedBy>
  <cp:lastPrinted>2026-09-07T05:05:00Z</cp:lastPrinted>
  <dcterms:modified xsi:type="dcterms:W3CDTF">2026-09-08T02:41:42Z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6C95C00B551A4AFAB18EF30330F2EE4B_13</vt:lpwstr>
  </property>
  <property fmtid="{D5CDD505-2E9C-101B-9397-08002B2CF9AE}" pid="4" name="KSOTemplateDocerSaveRecord">
    <vt:lpwstr>eyJoZGlkIjoiYzA1Mjk5ODdjZTRiMjliMTk2YzhiYjk0ODY4NmM5NmMiLCJ1c2VySWQiOiI0MjE0MzcyOTIifQ==</vt:lpwstr>
  </property>
</Properties>
</file>