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D5BFCA">
      <w:pPr>
        <w:spacing w:before="9" w:after="0" w:line="100" w:lineRule="exact"/>
        <w:rPr>
          <w:sz w:val="10"/>
          <w:szCs w:val="10"/>
          <w:lang w:eastAsia="zh-CN"/>
        </w:rPr>
      </w:pPr>
      <w:bookmarkStart w:id="0" w:name="_Hlk190448956"/>
      <w:bookmarkEnd w:id="0"/>
    </w:p>
    <w:p w14:paraId="1A2B9F4C">
      <w:pPr>
        <w:pStyle w:val="18"/>
      </w:pPr>
      <w:bookmarkStart w:id="1" w:name="SectionMark0"/>
    </w:p>
    <w:p w14:paraId="168AE434">
      <w:pPr>
        <w:pStyle w:val="18"/>
      </w:pPr>
    </w:p>
    <w:p w14:paraId="69615E34">
      <w:pPr>
        <w:pStyle w:val="18"/>
        <w:sectPr>
          <w:headerReference r:id="rId7" w:type="first"/>
          <w:footerReference r:id="rId10" w:type="first"/>
          <w:headerReference r:id="rId5" w:type="default"/>
          <w:footerReference r:id="rId8" w:type="default"/>
          <w:headerReference r:id="rId6" w:type="even"/>
          <w:footerReference r:id="rId9" w:type="even"/>
          <w:pgSz w:w="11907" w:h="16839"/>
          <w:pgMar w:top="1304" w:right="851" w:bottom="964" w:left="1418" w:header="1134" w:footer="851" w:gutter="0"/>
          <w:pgNumType w:start="1"/>
          <w:cols w:space="720" w:num="1"/>
          <w:titlePg/>
          <w:docGrid w:type="lines" w:linePitch="312" w:charSpace="0"/>
        </w:sectPr>
      </w:pPr>
      <w:r>
        <mc:AlternateContent>
          <mc:Choice Requires="wps">
            <w:drawing>
              <wp:anchor distT="0" distB="0" distL="114300" distR="114300" simplePos="0" relativeHeight="251669504" behindDoc="0" locked="0" layoutInCell="1" allowOverlap="1">
                <wp:simplePos x="0" y="0"/>
                <wp:positionH relativeFrom="column">
                  <wp:posOffset>4854575</wp:posOffset>
                </wp:positionH>
                <wp:positionV relativeFrom="paragraph">
                  <wp:posOffset>8468360</wp:posOffset>
                </wp:positionV>
                <wp:extent cx="833120" cy="494030"/>
                <wp:effectExtent l="0" t="0" r="24130" b="20320"/>
                <wp:wrapNone/>
                <wp:docPr id="21" name="文本框 21"/>
                <wp:cNvGraphicFramePr/>
                <a:graphic xmlns:a="http://schemas.openxmlformats.org/drawingml/2006/main">
                  <a:graphicData uri="http://schemas.microsoft.com/office/word/2010/wordprocessingShape">
                    <wps:wsp>
                      <wps:cNvSpPr txBox="1">
                        <a:spLocks noChangeArrowheads="1"/>
                      </wps:cNvSpPr>
                      <wps:spPr bwMode="auto">
                        <a:xfrm>
                          <a:off x="0" y="0"/>
                          <a:ext cx="833120" cy="494030"/>
                        </a:xfrm>
                        <a:prstGeom prst="rect">
                          <a:avLst/>
                        </a:prstGeom>
                        <a:solidFill>
                          <a:srgbClr val="FFFFFF">
                            <a:alpha val="0"/>
                          </a:srgbClr>
                        </a:solidFill>
                        <a:ln w="9525">
                          <a:solidFill>
                            <a:srgbClr val="FFFFFF"/>
                          </a:solidFill>
                          <a:miter lim="800000"/>
                        </a:ln>
                        <a:effectLst/>
                      </wps:spPr>
                      <wps:txbx>
                        <w:txbxContent>
                          <w:p w14:paraId="34589AB5">
                            <w:r>
                              <w:rPr>
                                <w:rStyle w:val="20"/>
                                <w:rFonts w:hint="eastAsia" w:hAnsi="黑体"/>
                                <w:bCs/>
                                <w:szCs w:val="28"/>
                              </w:rPr>
                              <w:t>发布</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82.25pt;margin-top:666.8pt;height:38.9pt;width:65.6pt;z-index:251669504;mso-width-relative:page;mso-height-relative:page;" fillcolor="#FFFFFF" filled="t" stroked="t" coordsize="21600,21600" o:gfxdata="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BoClItwA&#10;AAANAQAADwAAAAAAAAABACAAAAAiAAAAZHJzL2Rvd25yZXYueG1sUEsBAhQAFAAAAAgAh07iQKnN&#10;AcpUAgAAswQAAA4AAAAAAAAAAQAgAAAAKwEAAGRycy9lMm9Eb2MueG1sUEsFBgAAAAAGAAYAWQEA&#10;APEFAAAAAA==&#10;">
                <v:fill on="t" opacity="0f" focussize="0,0"/>
                <v:stroke color="#FFFFFF" miterlimit="8" joinstyle="miter"/>
                <v:imagedata o:title=""/>
                <o:lock v:ext="edit" aspectratio="f"/>
                <v:textbox>
                  <w:txbxContent>
                    <w:p w14:paraId="34589AB5">
                      <w:r>
                        <w:rPr>
                          <w:rStyle w:val="20"/>
                          <w:rFonts w:hint="eastAsia" w:hAnsi="黑体"/>
                          <w:bCs/>
                          <w:szCs w:val="28"/>
                        </w:rPr>
                        <w:t>发布</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-25400</wp:posOffset>
                </wp:positionH>
                <wp:positionV relativeFrom="paragraph">
                  <wp:posOffset>1508125</wp:posOffset>
                </wp:positionV>
                <wp:extent cx="6121400" cy="0"/>
                <wp:effectExtent l="0" t="6350" r="0" b="6350"/>
                <wp:wrapNone/>
                <wp:docPr id="18" name="直接连接符 18"/>
                <wp:cNvGraphicFramePr/>
                <a:graphic xmlns:a="http://schemas.openxmlformats.org/drawingml/2006/main">
                  <a:graphicData uri="http://schemas.microsoft.com/office/word/2010/wordprocessingShape">
                    <wps:wsp>
                      <wps:cNvCnPr/>
                      <wps:spPr>
                        <a:xfrm>
                          <a:off x="0" y="0"/>
                          <a:ext cx="6121400" cy="0"/>
                        </a:xfrm>
                        <a:prstGeom prst="line">
                          <a:avLst/>
                        </a:prstGeom>
                        <a:ln w="12700" cap="flat" cmpd="sng">
                          <a:solidFill>
                            <a:srgbClr val="800008"/>
                          </a:solidFill>
                          <a:prstDash val="solid"/>
                          <a:headEnd type="none" w="med" len="med"/>
                          <a:tailEnd type="none" w="med" len="med"/>
                        </a:ln>
                      </wps:spPr>
                      <wps:bodyPr/>
                    </wps:wsp>
                  </a:graphicData>
                </a:graphic>
              </wp:anchor>
            </w:drawing>
          </mc:Choice>
          <mc:Fallback>
            <w:pict>
              <v:line id="_x0000_s1026" o:spid="_x0000_s1026" o:spt="20" style="position:absolute;left:0pt;margin-left:-2pt;margin-top:118.75pt;height:0pt;width:482pt;z-index:251667456;mso-width-relative:page;mso-height-relative:page;" filled="f" stroked="t" coordsize="21600,21600" o:gfxdata="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HzQ&#10;GqDWAAAACgEAAA8AAAAAAAAAAQAgAAAAIgAAAGRycy9kb3ducmV2LnhtbFBLAQIUABQAAAAIAIdO&#10;4kAyXOOw7AEAANsDAAAOAAAAAAAAAAEAIAAAACUBAABkcnMvZTJvRG9jLnhtbFBLBQYAAAAABgAG&#10;AFkBAACDBQAAAAA=&#10;">
                <v:fill on="f" focussize="0,0"/>
                <v:stroke weight="1pt" color="#800008" joinstyle="round"/>
                <v:imagedata o:title=""/>
                <o:lock v:ext="edit" aspectratio="f"/>
              </v:lin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1905</wp:posOffset>
                </wp:positionH>
                <wp:positionV relativeFrom="paragraph">
                  <wp:posOffset>8365490</wp:posOffset>
                </wp:positionV>
                <wp:extent cx="6121400" cy="0"/>
                <wp:effectExtent l="0" t="6350" r="0" b="6350"/>
                <wp:wrapNone/>
                <wp:docPr id="17" name="直接连接符 17"/>
                <wp:cNvGraphicFramePr/>
                <a:graphic xmlns:a="http://schemas.openxmlformats.org/drawingml/2006/main">
                  <a:graphicData uri="http://schemas.microsoft.com/office/word/2010/wordprocessingShape">
                    <wps:wsp>
                      <wps:cNvCnPr/>
                      <wps:spPr>
                        <a:xfrm>
                          <a:off x="0" y="0"/>
                          <a:ext cx="6121400" cy="0"/>
                        </a:xfrm>
                        <a:prstGeom prst="line">
                          <a:avLst/>
                        </a:prstGeom>
                        <a:ln w="12700" cap="flat" cmpd="sng">
                          <a:solidFill>
                            <a:srgbClr val="800008"/>
                          </a:solidFill>
                          <a:prstDash val="solid"/>
                          <a:headEnd type="none" w="med" len="med"/>
                          <a:tailEnd type="none" w="med" len="med"/>
                        </a:ln>
                      </wps:spPr>
                      <wps:bodyPr/>
                    </wps:wsp>
                  </a:graphicData>
                </a:graphic>
              </wp:anchor>
            </w:drawing>
          </mc:Choice>
          <mc:Fallback>
            <w:pict>
              <v:line id="_x0000_s1026" o:spid="_x0000_s1026" o:spt="20" style="position:absolute;left:0pt;margin-left:0.15pt;margin-top:658.7pt;height:0pt;width:482pt;z-index:251668480;mso-width-relative:page;mso-height-relative:page;" filled="f" stroked="t" coordsize="21600,21600" o:gfxdata="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Nr4&#10;w3rUAAAACgEAAA8AAAAAAAAAAQAgAAAAIgAAAGRycy9kb3ducmV2LnhtbFBLAQIUABQAAAAIAIdO&#10;4kBtOtTx7gEAANsDAAAOAAAAAAAAAAEAIAAAACMBAABkcnMvZTJvRG9jLnhtbFBLBQYAAAAABgAG&#10;AFkBAACDBQAAAAA=&#10;">
                <v:fill on="f" focussize="0,0"/>
                <v:stroke weight="1pt" color="#800008" joinstyle="round"/>
                <v:imagedata o:title=""/>
                <o:lock v:ext="edit" aspectratio="f"/>
              </v:line>
            </w:pict>
          </mc:Fallback>
        </mc:AlternateContent>
      </w:r>
      <w:r>
        <mc:AlternateContent>
          <mc:Choice Requires="wps">
            <w:drawing>
              <wp:anchor distT="0" distB="0" distL="114300" distR="114300" simplePos="0" relativeHeight="251666432" behindDoc="0" locked="1" layoutInCell="1" allowOverlap="1">
                <wp:simplePos x="0" y="0"/>
                <wp:positionH relativeFrom="margin">
                  <wp:posOffset>-106045</wp:posOffset>
                </wp:positionH>
                <wp:positionV relativeFrom="margin">
                  <wp:posOffset>8890000</wp:posOffset>
                </wp:positionV>
                <wp:extent cx="5238750" cy="693420"/>
                <wp:effectExtent l="0" t="0" r="0" b="1905"/>
                <wp:wrapNone/>
                <wp:docPr id="19" name="文本框 19"/>
                <wp:cNvGraphicFramePr/>
                <a:graphic xmlns:a="http://schemas.openxmlformats.org/drawingml/2006/main">
                  <a:graphicData uri="http://schemas.microsoft.com/office/word/2010/wordprocessingShape">
                    <wps:wsp>
                      <wps:cNvSpPr txBox="1"/>
                      <wps:spPr>
                        <a:xfrm>
                          <a:off x="0" y="0"/>
                          <a:ext cx="5238750" cy="693420"/>
                        </a:xfrm>
                        <a:prstGeom prst="rect">
                          <a:avLst/>
                        </a:prstGeom>
                        <a:solidFill>
                          <a:srgbClr val="FFFFFF"/>
                        </a:solidFill>
                        <a:ln>
                          <a:noFill/>
                        </a:ln>
                      </wps:spPr>
                      <wps:txbx>
                        <w:txbxContent>
                          <w:p w14:paraId="4E66B479">
                            <w:pPr>
                              <w:pStyle w:val="21"/>
                              <w:spacing w:line="400" w:lineRule="exact"/>
                              <w:ind w:firstLine="1175" w:firstLineChars="249"/>
                              <w:rPr>
                                <w:rStyle w:val="20"/>
                                <w:rFonts w:ascii="华光小标宋_CNKI" w:hAnsi="华光小标宋_CNKI" w:eastAsia="华光小标宋_CNKI"/>
                                <w:b w:val="0"/>
                                <w:bCs/>
                                <w:sz w:val="32"/>
                                <w:szCs w:val="32"/>
                              </w:rPr>
                            </w:pPr>
                            <w:r>
                              <w:rPr>
                                <w:rFonts w:hint="eastAsia" w:ascii="华光小标宋_CNKI" w:hAnsi="华光小标宋_CNKI" w:eastAsia="华光小标宋_CNKI"/>
                                <w:b w:val="0"/>
                                <w:bCs/>
                                <w:sz w:val="32"/>
                                <w:szCs w:val="32"/>
                              </w:rPr>
                              <w:t>中国有色金属工业协会</w:t>
                            </w:r>
                          </w:p>
                          <w:p w14:paraId="55265561">
                            <w:pPr>
                              <w:pStyle w:val="21"/>
                              <w:spacing w:line="400" w:lineRule="exact"/>
                              <w:ind w:firstLine="1175" w:firstLineChars="249"/>
                              <w:rPr>
                                <w:rFonts w:hAnsi="宋体"/>
                                <w:sz w:val="32"/>
                                <w:szCs w:val="32"/>
                              </w:rPr>
                            </w:pPr>
                            <w:r>
                              <w:rPr>
                                <w:rFonts w:hint="eastAsia" w:ascii="华光小标宋_CNKI" w:hAnsi="华光小标宋_CNKI" w:eastAsia="华光小标宋_CNKI"/>
                                <w:b w:val="0"/>
                                <w:bCs/>
                                <w:sz w:val="32"/>
                                <w:szCs w:val="32"/>
                              </w:rPr>
                              <w:t>中国有色金属学会</w:t>
                            </w:r>
                          </w:p>
                          <w:p w14:paraId="3AA658C2">
                            <w:pPr>
                              <w:rPr>
                                <w:szCs w:val="32"/>
                                <w:lang w:eastAsia="zh-CN"/>
                              </w:rPr>
                            </w:pPr>
                          </w:p>
                        </w:txbxContent>
                      </wps:txbx>
                      <wps:bodyPr lIns="0" tIns="0" rIns="0" bIns="0" upright="1"/>
                    </wps:wsp>
                  </a:graphicData>
                </a:graphic>
              </wp:anchor>
            </w:drawing>
          </mc:Choice>
          <mc:Fallback>
            <w:pict>
              <v:shape id="_x0000_s1026" o:spid="_x0000_s1026" o:spt="202" type="#_x0000_t202" style="position:absolute;left:0pt;margin-left:-8.35pt;margin-top:700pt;height:54.6pt;width:412.5pt;mso-position-horizontal-relative:margin;mso-position-vertical-relative:margin;z-index:251666432;mso-width-relative:page;mso-height-relative:page;" fillcolor="#FFFFFF" filled="t" stroked="f" coordsize="21600,21600" o:gfxdata="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HkH+D7bAAAADQEAAA8AAAAAAAAAAQAg&#10;AAAAIgAAAGRycy9kb3ducmV2LnhtbFBLAQIUABQAAAAIAIdO4kB6DAhh0gEAAJ0DAAAOAAAAAAAA&#10;AAEAIAAAACoBAABkcnMvZTJvRG9jLnhtbFBLBQYAAAAABgAGAFkBAABuBQAAAAA=&#10;">
                <v:fill on="t" focussize="0,0"/>
                <v:stroke on="f"/>
                <v:imagedata o:title=""/>
                <o:lock v:ext="edit" aspectratio="f"/>
                <v:textbox inset="0mm,0mm,0mm,0mm">
                  <w:txbxContent>
                    <w:p w14:paraId="4E66B479">
                      <w:pPr>
                        <w:pStyle w:val="21"/>
                        <w:spacing w:line="400" w:lineRule="exact"/>
                        <w:ind w:firstLine="1175" w:firstLineChars="249"/>
                        <w:rPr>
                          <w:rStyle w:val="20"/>
                          <w:rFonts w:ascii="华光小标宋_CNKI" w:hAnsi="华光小标宋_CNKI" w:eastAsia="华光小标宋_CNKI"/>
                          <w:b w:val="0"/>
                          <w:bCs/>
                          <w:sz w:val="32"/>
                          <w:szCs w:val="32"/>
                        </w:rPr>
                      </w:pPr>
                      <w:r>
                        <w:rPr>
                          <w:rFonts w:hint="eastAsia" w:ascii="华光小标宋_CNKI" w:hAnsi="华光小标宋_CNKI" w:eastAsia="华光小标宋_CNKI"/>
                          <w:b w:val="0"/>
                          <w:bCs/>
                          <w:sz w:val="32"/>
                          <w:szCs w:val="32"/>
                        </w:rPr>
                        <w:t>中国有色金属工业协会</w:t>
                      </w:r>
                    </w:p>
                    <w:p w14:paraId="55265561">
                      <w:pPr>
                        <w:pStyle w:val="21"/>
                        <w:spacing w:line="400" w:lineRule="exact"/>
                        <w:ind w:firstLine="1175" w:firstLineChars="249"/>
                        <w:rPr>
                          <w:rFonts w:hAnsi="宋体"/>
                          <w:sz w:val="32"/>
                          <w:szCs w:val="32"/>
                        </w:rPr>
                      </w:pPr>
                      <w:r>
                        <w:rPr>
                          <w:rFonts w:hint="eastAsia" w:ascii="华光小标宋_CNKI" w:hAnsi="华光小标宋_CNKI" w:eastAsia="华光小标宋_CNKI"/>
                          <w:b w:val="0"/>
                          <w:bCs/>
                          <w:sz w:val="32"/>
                          <w:szCs w:val="32"/>
                        </w:rPr>
                        <w:t>中国有色金属学会</w:t>
                      </w:r>
                    </w:p>
                    <w:p w14:paraId="3AA658C2">
                      <w:pPr>
                        <w:rPr>
                          <w:szCs w:val="32"/>
                          <w:lang w:eastAsia="zh-CN"/>
                        </w:rPr>
                      </w:pPr>
                    </w:p>
                  </w:txbxContent>
                </v:textbox>
                <w10:anchorlock/>
              </v:shape>
            </w:pict>
          </mc:Fallback>
        </mc:AlternateContent>
      </w:r>
      <w:r>
        <mc:AlternateContent>
          <mc:Choice Requires="wps">
            <w:drawing>
              <wp:anchor distT="0" distB="0" distL="114300" distR="114300" simplePos="0" relativeHeight="251665408" behindDoc="0" locked="1" layoutInCell="1" allowOverlap="1">
                <wp:simplePos x="0" y="0"/>
                <wp:positionH relativeFrom="margin">
                  <wp:posOffset>4100830</wp:posOffset>
                </wp:positionH>
                <wp:positionV relativeFrom="margin">
                  <wp:posOffset>7977505</wp:posOffset>
                </wp:positionV>
                <wp:extent cx="2019300" cy="297180"/>
                <wp:effectExtent l="0" t="0" r="0" b="7620"/>
                <wp:wrapNone/>
                <wp:docPr id="20" name="文本框 20"/>
                <wp:cNvGraphicFramePr/>
                <a:graphic xmlns:a="http://schemas.openxmlformats.org/drawingml/2006/main">
                  <a:graphicData uri="http://schemas.microsoft.com/office/word/2010/wordprocessingShape">
                    <wps:wsp>
                      <wps:cNvSpPr txBox="1"/>
                      <wps:spPr>
                        <a:xfrm>
                          <a:off x="0" y="0"/>
                          <a:ext cx="2019300" cy="297180"/>
                        </a:xfrm>
                        <a:prstGeom prst="rect">
                          <a:avLst/>
                        </a:prstGeom>
                        <a:solidFill>
                          <a:srgbClr val="FFFFFF"/>
                        </a:solidFill>
                        <a:ln>
                          <a:noFill/>
                        </a:ln>
                      </wps:spPr>
                      <wps:txbx>
                        <w:txbxContent>
                          <w:p w14:paraId="3578EE67">
                            <w:pPr>
                              <w:pStyle w:val="22"/>
                            </w:pPr>
                            <w:r>
                              <w:rPr>
                                <w:rFonts w:hint="eastAsia"/>
                              </w:rPr>
                              <w:t>202×-××-××实施</w:t>
                            </w:r>
                          </w:p>
                        </w:txbxContent>
                      </wps:txbx>
                      <wps:bodyPr lIns="0" tIns="0" rIns="0" bIns="0" upright="1"/>
                    </wps:wsp>
                  </a:graphicData>
                </a:graphic>
              </wp:anchor>
            </w:drawing>
          </mc:Choice>
          <mc:Fallback>
            <w:pict>
              <v:shape id="_x0000_s1026" o:spid="_x0000_s1026" o:spt="202" type="#_x0000_t202" style="position:absolute;left:0pt;margin-left:322.9pt;margin-top:628.15pt;height:23.4pt;width:159pt;mso-position-horizontal-relative:margin;mso-position-vertical-relative:margin;z-index:251665408;mso-width-relative:page;mso-height-relative:page;" fillcolor="#FFFFFF" filled="t" stroked="f" coordsize="21600,21600" o:gfxdata="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F1r2wnaAAAADQEAAA8AAAAAAAAAAQAgAAAA&#10;IgAAAGRycy9kb3ducmV2LnhtbFBLAQIUABQAAAAIAIdO4kAdbTW10AEAAJ0DAAAOAAAAAAAAAAEA&#10;IAAAACkBAABkcnMvZTJvRG9jLnhtbFBLBQYAAAAABgAGAFkBAABrBQAAAAA=&#10;">
                <v:fill on="t" focussize="0,0"/>
                <v:stroke on="f"/>
                <v:imagedata o:title=""/>
                <o:lock v:ext="edit" aspectratio="f"/>
                <v:textbox inset="0mm,0mm,0mm,0mm">
                  <w:txbxContent>
                    <w:p w14:paraId="3578EE67">
                      <w:pPr>
                        <w:pStyle w:val="22"/>
                      </w:pPr>
                      <w:r>
                        <w:rPr>
                          <w:rFonts w:hint="eastAsia"/>
                        </w:rPr>
                        <w:t>202×-××-××实施</w:t>
                      </w:r>
                    </w:p>
                  </w:txbxContent>
                </v:textbox>
                <w10:anchorlock/>
              </v:shape>
            </w:pict>
          </mc:Fallback>
        </mc:AlternateContent>
      </w:r>
      <w:r>
        <mc:AlternateContent>
          <mc:Choice Requires="wps">
            <w:drawing>
              <wp:anchor distT="0" distB="0" distL="114300" distR="114300" simplePos="0" relativeHeight="251664384" behindDoc="0" locked="1" layoutInCell="1" allowOverlap="1">
                <wp:simplePos x="0" y="0"/>
                <wp:positionH relativeFrom="margin">
                  <wp:posOffset>0</wp:posOffset>
                </wp:positionH>
                <wp:positionV relativeFrom="margin">
                  <wp:posOffset>7967980</wp:posOffset>
                </wp:positionV>
                <wp:extent cx="2019300" cy="297180"/>
                <wp:effectExtent l="0" t="0" r="0" b="7620"/>
                <wp:wrapNone/>
                <wp:docPr id="22" name="文本框 22"/>
                <wp:cNvGraphicFramePr/>
                <a:graphic xmlns:a="http://schemas.openxmlformats.org/drawingml/2006/main">
                  <a:graphicData uri="http://schemas.microsoft.com/office/word/2010/wordprocessingShape">
                    <wps:wsp>
                      <wps:cNvSpPr txBox="1"/>
                      <wps:spPr>
                        <a:xfrm>
                          <a:off x="0" y="0"/>
                          <a:ext cx="2019300" cy="297180"/>
                        </a:xfrm>
                        <a:prstGeom prst="rect">
                          <a:avLst/>
                        </a:prstGeom>
                        <a:solidFill>
                          <a:srgbClr val="FFFFFF"/>
                        </a:solidFill>
                        <a:ln>
                          <a:noFill/>
                        </a:ln>
                      </wps:spPr>
                      <wps:txbx>
                        <w:txbxContent>
                          <w:p w14:paraId="795E20DE">
                            <w:pPr>
                              <w:pStyle w:val="23"/>
                            </w:pPr>
                            <w:r>
                              <w:rPr>
                                <w:rFonts w:hint="eastAsia"/>
                              </w:rPr>
                              <w:t>202×-××-××发布</w:t>
                            </w:r>
                          </w:p>
                        </w:txbxContent>
                      </wps:txbx>
                      <wps:bodyPr lIns="0" tIns="0" rIns="0" bIns="0" upright="1"/>
                    </wps:wsp>
                  </a:graphicData>
                </a:graphic>
              </wp:anchor>
            </w:drawing>
          </mc:Choice>
          <mc:Fallback>
            <w:pict>
              <v:shape id="_x0000_s1026" o:spid="_x0000_s1026" o:spt="202" type="#_x0000_t202" style="position:absolute;left:0pt;margin-left:0pt;margin-top:627.4pt;height:23.4pt;width:159pt;mso-position-horizontal-relative:margin;mso-position-vertical-relative:margin;z-index:251664384;mso-width-relative:page;mso-height-relative:page;" fillcolor="#FFFFFF" filled="t" stroked="f" coordsize="21600,21600" o:gfxdata="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JLDQsdgAAAAKAQAADwAAAAAAAAABACAAAAAi&#10;AAAAZHJzL2Rvd25yZXYueG1sUEsBAhQAFAAAAAgAh07iQNDEjwrRAQAAnQMAAA4AAAAAAAAAAQAg&#10;AAAAJwEAAGRycy9lMm9Eb2MueG1sUEsFBgAAAAAGAAYAWQEAAGoFAAAAAA==&#10;">
                <v:fill on="t" focussize="0,0"/>
                <v:stroke on="f"/>
                <v:imagedata o:title=""/>
                <o:lock v:ext="edit" aspectratio="f"/>
                <v:textbox inset="0mm,0mm,0mm,0mm">
                  <w:txbxContent>
                    <w:p w14:paraId="795E20DE">
                      <w:pPr>
                        <w:pStyle w:val="23"/>
                      </w:pPr>
                      <w:r>
                        <w:rPr>
                          <w:rFonts w:hint="eastAsia"/>
                        </w:rPr>
                        <w:t>202×-××-××发布</w:t>
                      </w:r>
                    </w:p>
                  </w:txbxContent>
                </v:textbox>
                <w10:anchorlock/>
              </v:shape>
            </w:pict>
          </mc:Fallback>
        </mc:AlternateContent>
      </w:r>
      <w:r>
        <mc:AlternateContent>
          <mc:Choice Requires="wps">
            <w:drawing>
              <wp:anchor distT="0" distB="0" distL="114300" distR="114300" simplePos="0" relativeHeight="251663360" behindDoc="0" locked="1" layoutInCell="1" allowOverlap="1">
                <wp:simplePos x="0" y="0"/>
                <wp:positionH relativeFrom="margin">
                  <wp:align>left</wp:align>
                </wp:positionH>
                <wp:positionV relativeFrom="margin">
                  <wp:posOffset>2971800</wp:posOffset>
                </wp:positionV>
                <wp:extent cx="6118225" cy="457962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6118225" cy="4579749"/>
                        </a:xfrm>
                        <a:prstGeom prst="rect">
                          <a:avLst/>
                        </a:prstGeom>
                        <a:solidFill>
                          <a:srgbClr val="FFFFFF"/>
                        </a:solidFill>
                        <a:ln>
                          <a:noFill/>
                        </a:ln>
                      </wps:spPr>
                      <wps:txbx>
                        <w:txbxContent>
                          <w:p w14:paraId="7E25F8C5">
                            <w:pPr>
                              <w:jc w:val="center"/>
                              <w:rPr>
                                <w:rFonts w:ascii="黑体" w:eastAsia="黑体"/>
                                <w:sz w:val="48"/>
                              </w:rPr>
                            </w:pPr>
                          </w:p>
                          <w:p w14:paraId="11C5A796">
                            <w:pPr>
                              <w:adjustRightInd w:val="0"/>
                              <w:snapToGrid w:val="0"/>
                              <w:spacing w:line="480" w:lineRule="auto"/>
                              <w:jc w:val="center"/>
                              <w:rPr>
                                <w:rFonts w:ascii="黑体" w:hAnsi="宋体" w:eastAsia="黑体"/>
                                <w:bCs/>
                                <w:snapToGrid w:val="0"/>
                                <w:sz w:val="52"/>
                                <w:szCs w:val="52"/>
                                <w:lang w:eastAsia="zh-CN"/>
                              </w:rPr>
                            </w:pPr>
                            <w:bookmarkStart w:id="99" w:name="OLE_LINK2"/>
                            <w:bookmarkStart w:id="100" w:name="_Hlk190340863"/>
                            <w:bookmarkStart w:id="101" w:name="OLE_LINK3"/>
                            <w:r>
                              <w:rPr>
                                <w:rFonts w:hint="eastAsia" w:ascii="黑体" w:eastAsia="黑体"/>
                                <w:snapToGrid w:val="0"/>
                                <w:sz w:val="52"/>
                                <w:szCs w:val="52"/>
                                <w:lang w:eastAsia="zh-CN"/>
                              </w:rPr>
                              <w:t>温室气体 产品碳足迹量化方法与要求</w:t>
                            </w:r>
                            <w:bookmarkEnd w:id="99"/>
                            <w:r>
                              <w:rPr>
                                <w:rFonts w:hint="eastAsia" w:ascii="黑体" w:eastAsia="黑体"/>
                                <w:snapToGrid w:val="0"/>
                                <w:sz w:val="52"/>
                                <w:szCs w:val="52"/>
                                <w:lang w:eastAsia="zh-CN"/>
                              </w:rPr>
                              <w:t xml:space="preserve"> 稀土</w:t>
                            </w:r>
                            <w:r>
                              <w:rPr>
                                <w:rFonts w:hint="eastAsia" w:ascii="黑体" w:eastAsia="黑体"/>
                                <w:snapToGrid w:val="0"/>
                                <w:sz w:val="52"/>
                                <w:szCs w:val="52"/>
                                <w:lang w:val="en-US" w:eastAsia="zh-CN"/>
                              </w:rPr>
                              <w:t>系储氢合金</w:t>
                            </w:r>
                            <w:bookmarkEnd w:id="100"/>
                            <w:r>
                              <w:rPr>
                                <w:rFonts w:hint="eastAsia" w:ascii="黑体" w:eastAsia="黑体"/>
                                <w:snapToGrid w:val="0"/>
                                <w:sz w:val="52"/>
                                <w:szCs w:val="52"/>
                                <w:lang w:val="en-US" w:eastAsia="zh-CN"/>
                              </w:rPr>
                              <w:t>材料</w:t>
                            </w:r>
                          </w:p>
                          <w:bookmarkEnd w:id="101"/>
                          <w:p w14:paraId="66BAEF72">
                            <w:pPr>
                              <w:spacing w:line="480" w:lineRule="auto"/>
                              <w:jc w:val="center"/>
                              <w:rPr>
                                <w:rFonts w:ascii="Times New Roman" w:hAnsi="Times New Roman" w:eastAsia="宋体" w:cs="Times New Roman"/>
                                <w:kern w:val="2"/>
                                <w:sz w:val="30"/>
                                <w:szCs w:val="30"/>
                                <w:lang w:eastAsia="zh-CN"/>
                              </w:rPr>
                            </w:pPr>
                            <w:r>
                              <w:rPr>
                                <w:rFonts w:ascii="Times New Roman" w:hAnsi="Times New Roman" w:eastAsia="宋体" w:cs="Times New Roman"/>
                                <w:kern w:val="2"/>
                                <w:sz w:val="30"/>
                                <w:szCs w:val="30"/>
                                <w:lang w:eastAsia="zh-CN"/>
                              </w:rPr>
                              <w:t xml:space="preserve">Greenhouse </w:t>
                            </w:r>
                            <w:r>
                              <w:rPr>
                                <w:rFonts w:hint="eastAsia" w:ascii="Times New Roman" w:hAnsi="Times New Roman" w:eastAsia="宋体" w:cs="Times New Roman"/>
                                <w:kern w:val="2"/>
                                <w:sz w:val="30"/>
                                <w:szCs w:val="30"/>
                                <w:lang w:eastAsia="zh-CN"/>
                              </w:rPr>
                              <w:t>g</w:t>
                            </w:r>
                            <w:r>
                              <w:rPr>
                                <w:rFonts w:ascii="Times New Roman" w:hAnsi="Times New Roman" w:eastAsia="宋体" w:cs="Times New Roman"/>
                                <w:kern w:val="2"/>
                                <w:sz w:val="30"/>
                                <w:szCs w:val="30"/>
                                <w:lang w:eastAsia="zh-CN"/>
                              </w:rPr>
                              <w:t>as</w:t>
                            </w:r>
                            <w:r>
                              <w:rPr>
                                <w:rFonts w:hint="eastAsia" w:ascii="Times New Roman" w:hAnsi="Times New Roman" w:eastAsia="宋体" w:cs="Times New Roman"/>
                                <w:kern w:val="2"/>
                                <w:sz w:val="30"/>
                                <w:szCs w:val="30"/>
                                <w:lang w:eastAsia="zh-CN"/>
                              </w:rPr>
                              <w:t xml:space="preserve"> -</w:t>
                            </w:r>
                            <w:r>
                              <w:t xml:space="preserve"> </w:t>
                            </w:r>
                            <w:r>
                              <w:rPr>
                                <w:rFonts w:ascii="Times New Roman" w:hAnsi="Times New Roman" w:eastAsia="宋体" w:cs="Times New Roman"/>
                                <w:kern w:val="2"/>
                                <w:sz w:val="30"/>
                                <w:szCs w:val="30"/>
                                <w:lang w:eastAsia="zh-CN"/>
                              </w:rPr>
                              <w:t xml:space="preserve">Quantification </w:t>
                            </w:r>
                            <w:r>
                              <w:rPr>
                                <w:rFonts w:hint="eastAsia" w:ascii="Times New Roman" w:hAnsi="Times New Roman" w:eastAsia="宋体" w:cs="Times New Roman"/>
                                <w:kern w:val="2"/>
                                <w:sz w:val="30"/>
                                <w:szCs w:val="30"/>
                                <w:lang w:eastAsia="zh-CN"/>
                              </w:rPr>
                              <w:t>method</w:t>
                            </w:r>
                            <w:r>
                              <w:rPr>
                                <w:rFonts w:hint="eastAsia" w:ascii="Times New Roman" w:hAnsi="Times New Roman" w:eastAsia="宋体" w:cs="Times New Roman"/>
                                <w:kern w:val="2"/>
                                <w:sz w:val="30"/>
                                <w:szCs w:val="30"/>
                                <w:lang w:val="en-US" w:eastAsia="zh-CN"/>
                              </w:rPr>
                              <w:t>s</w:t>
                            </w:r>
                            <w:r>
                              <w:rPr>
                                <w:rFonts w:ascii="Times New Roman" w:hAnsi="Times New Roman" w:eastAsia="宋体" w:cs="Times New Roman"/>
                                <w:kern w:val="2"/>
                                <w:sz w:val="30"/>
                                <w:szCs w:val="30"/>
                                <w:lang w:eastAsia="zh-CN"/>
                              </w:rPr>
                              <w:t xml:space="preserve"> and </w:t>
                            </w:r>
                            <w:r>
                              <w:rPr>
                                <w:rFonts w:hint="eastAsia" w:ascii="Times New Roman" w:hAnsi="Times New Roman" w:eastAsia="宋体" w:cs="Times New Roman"/>
                                <w:kern w:val="2"/>
                                <w:sz w:val="30"/>
                                <w:szCs w:val="30"/>
                                <w:lang w:eastAsia="zh-CN"/>
                              </w:rPr>
                              <w:t>requirement</w:t>
                            </w:r>
                            <w:r>
                              <w:rPr>
                                <w:rFonts w:hint="eastAsia" w:ascii="Times New Roman" w:hAnsi="Times New Roman" w:eastAsia="宋体" w:cs="Times New Roman"/>
                                <w:kern w:val="2"/>
                                <w:sz w:val="30"/>
                                <w:szCs w:val="30"/>
                                <w:lang w:val="en-US" w:eastAsia="zh-CN"/>
                              </w:rPr>
                              <w:t>s</w:t>
                            </w:r>
                            <w:r>
                              <w:rPr>
                                <w:rFonts w:hint="eastAsia" w:ascii="Times New Roman" w:hAnsi="Times New Roman" w:eastAsia="宋体" w:cs="Times New Roman"/>
                                <w:kern w:val="2"/>
                                <w:sz w:val="30"/>
                                <w:szCs w:val="30"/>
                                <w:lang w:eastAsia="zh-CN"/>
                              </w:rPr>
                              <w:t xml:space="preserve"> o</w:t>
                            </w:r>
                            <w:r>
                              <w:rPr>
                                <w:rFonts w:ascii="Times New Roman" w:hAnsi="Times New Roman" w:eastAsia="宋体" w:cs="Times New Roman"/>
                                <w:kern w:val="2"/>
                                <w:sz w:val="30"/>
                                <w:szCs w:val="30"/>
                                <w:lang w:eastAsia="zh-CN"/>
                              </w:rPr>
                              <w:t xml:space="preserve">f </w:t>
                            </w:r>
                            <w:r>
                              <w:rPr>
                                <w:rFonts w:hint="eastAsia" w:ascii="Times New Roman" w:hAnsi="Times New Roman" w:eastAsia="宋体" w:cs="Times New Roman"/>
                                <w:kern w:val="2"/>
                                <w:sz w:val="30"/>
                                <w:szCs w:val="30"/>
                                <w:lang w:eastAsia="zh-CN"/>
                              </w:rPr>
                              <w:t>p</w:t>
                            </w:r>
                            <w:r>
                              <w:rPr>
                                <w:rFonts w:ascii="Times New Roman" w:hAnsi="Times New Roman" w:eastAsia="宋体" w:cs="Times New Roman"/>
                                <w:kern w:val="2"/>
                                <w:sz w:val="30"/>
                                <w:szCs w:val="30"/>
                                <w:lang w:eastAsia="zh-CN"/>
                              </w:rPr>
                              <w:t xml:space="preserve">roduct </w:t>
                            </w:r>
                            <w:r>
                              <w:rPr>
                                <w:rFonts w:hint="eastAsia" w:ascii="Times New Roman" w:hAnsi="Times New Roman" w:eastAsia="宋体" w:cs="Times New Roman"/>
                                <w:kern w:val="2"/>
                                <w:sz w:val="30"/>
                                <w:szCs w:val="30"/>
                                <w:lang w:eastAsia="zh-CN"/>
                              </w:rPr>
                              <w:t>c</w:t>
                            </w:r>
                            <w:r>
                              <w:rPr>
                                <w:rFonts w:ascii="Times New Roman" w:hAnsi="Times New Roman" w:eastAsia="宋体" w:cs="Times New Roman"/>
                                <w:kern w:val="2"/>
                                <w:sz w:val="30"/>
                                <w:szCs w:val="30"/>
                                <w:lang w:eastAsia="zh-CN"/>
                              </w:rPr>
                              <w:t xml:space="preserve">arbon </w:t>
                            </w:r>
                            <w:r>
                              <w:rPr>
                                <w:rFonts w:hint="eastAsia" w:ascii="Times New Roman" w:hAnsi="Times New Roman" w:eastAsia="宋体" w:cs="Times New Roman"/>
                                <w:kern w:val="2"/>
                                <w:sz w:val="30"/>
                                <w:szCs w:val="30"/>
                                <w:lang w:eastAsia="zh-CN"/>
                              </w:rPr>
                              <w:t>f</w:t>
                            </w:r>
                            <w:r>
                              <w:rPr>
                                <w:rFonts w:ascii="Times New Roman" w:hAnsi="Times New Roman" w:eastAsia="宋体" w:cs="Times New Roman"/>
                                <w:kern w:val="2"/>
                                <w:sz w:val="30"/>
                                <w:szCs w:val="30"/>
                                <w:lang w:eastAsia="zh-CN"/>
                              </w:rPr>
                              <w:t>ootprint</w:t>
                            </w:r>
                            <w:r>
                              <w:rPr>
                                <w:rFonts w:hint="eastAsia" w:ascii="Times New Roman" w:hAnsi="Times New Roman" w:eastAsia="宋体" w:cs="Times New Roman"/>
                                <w:kern w:val="2"/>
                                <w:sz w:val="30"/>
                                <w:szCs w:val="30"/>
                                <w:lang w:eastAsia="zh-CN"/>
                              </w:rPr>
                              <w:t xml:space="preserve"> -</w:t>
                            </w:r>
                            <w:r>
                              <w:t xml:space="preserve"> </w:t>
                            </w:r>
                            <w:r>
                              <w:rPr>
                                <w:rFonts w:hint="eastAsia" w:ascii="Times New Roman" w:hAnsi="Times New Roman" w:eastAsia="宋体" w:cs="Times New Roman"/>
                                <w:kern w:val="2"/>
                                <w:sz w:val="30"/>
                                <w:szCs w:val="30"/>
                                <w:lang w:eastAsia="zh-CN"/>
                              </w:rPr>
                              <w:t xml:space="preserve">Rare earth hydrogen storage alloy materials </w:t>
                            </w:r>
                          </w:p>
                          <w:p w14:paraId="2C80CCF8">
                            <w:pPr>
                              <w:spacing w:line="480" w:lineRule="auto"/>
                              <w:jc w:val="center"/>
                              <w:rPr>
                                <w:rFonts w:ascii="宋体" w:hAnsi="宋体"/>
                                <w:color w:val="0000FF"/>
                                <w:sz w:val="24"/>
                              </w:rPr>
                            </w:pPr>
                            <w:r>
                              <w:rPr>
                                <w:rFonts w:hint="eastAsia" w:ascii="宋体" w:hAnsi="宋体"/>
                                <w:sz w:val="24"/>
                              </w:rPr>
                              <w:t>（</w:t>
                            </w:r>
                            <w:r>
                              <w:rPr>
                                <w:rFonts w:hint="eastAsia" w:ascii="宋体" w:hAnsi="宋体"/>
                                <w:sz w:val="24"/>
                                <w:lang w:val="en-US" w:eastAsia="zh-CN"/>
                              </w:rPr>
                              <w:t>草案</w:t>
                            </w:r>
                            <w:r>
                              <w:rPr>
                                <w:rFonts w:hint="eastAsia" w:ascii="宋体" w:hAnsi="宋体"/>
                                <w:sz w:val="24"/>
                              </w:rPr>
                              <w:t>稿）</w:t>
                            </w:r>
                          </w:p>
                        </w:txbxContent>
                      </wps:txbx>
                      <wps:bodyPr wrap="square" lIns="0" tIns="0" rIns="0" bIns="0" upright="1">
                        <a:noAutofit/>
                      </wps:bodyPr>
                    </wps:wsp>
                  </a:graphicData>
                </a:graphic>
              </wp:anchor>
            </w:drawing>
          </mc:Choice>
          <mc:Fallback>
            <w:pict>
              <v:shape id="_x0000_s1026" o:spid="_x0000_s1026" o:spt="202" type="#_x0000_t202" style="position:absolute;left:0pt;margin-top:234pt;height:360.6pt;width:481.75pt;mso-position-horizontal:left;mso-position-horizontal-relative:margin;mso-position-vertical-relative:margin;z-index:251663360;mso-width-relative:page;mso-height-relative:page;" fillcolor="#FFFFFF" filled="t" stroked="f" coordsize="21600,21600" o:gfxdata="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MEXEjzY&#10;AAAACQEAAA8AAAAAAAAAAQAgAAAAIgAAAGRycy9kb3ducmV2LnhtbFBLAQIUABQAAAAIAIdO4kBv&#10;tkrm5wEAAMYDAAAOAAAAAAAAAAEAIAAAACcBAABkcnMvZTJvRG9jLnhtbFBLBQYAAAAABgAGAFkB&#10;AACABQAAAAA=&#10;">
                <v:fill on="t" focussize="0,0"/>
                <v:stroke on="f"/>
                <v:imagedata o:title=""/>
                <o:lock v:ext="edit" aspectratio="f"/>
                <v:textbox inset="0mm,0mm,0mm,0mm">
                  <w:txbxContent>
                    <w:p w14:paraId="7E25F8C5">
                      <w:pPr>
                        <w:jc w:val="center"/>
                        <w:rPr>
                          <w:rFonts w:ascii="黑体" w:eastAsia="黑体"/>
                          <w:sz w:val="48"/>
                        </w:rPr>
                      </w:pPr>
                    </w:p>
                    <w:p w14:paraId="11C5A796">
                      <w:pPr>
                        <w:adjustRightInd w:val="0"/>
                        <w:snapToGrid w:val="0"/>
                        <w:spacing w:line="480" w:lineRule="auto"/>
                        <w:jc w:val="center"/>
                        <w:rPr>
                          <w:rFonts w:ascii="黑体" w:hAnsi="宋体" w:eastAsia="黑体"/>
                          <w:bCs/>
                          <w:snapToGrid w:val="0"/>
                          <w:sz w:val="52"/>
                          <w:szCs w:val="52"/>
                          <w:lang w:eastAsia="zh-CN"/>
                        </w:rPr>
                      </w:pPr>
                      <w:bookmarkStart w:id="99" w:name="OLE_LINK2"/>
                      <w:bookmarkStart w:id="100" w:name="_Hlk190340863"/>
                      <w:bookmarkStart w:id="101" w:name="OLE_LINK3"/>
                      <w:r>
                        <w:rPr>
                          <w:rFonts w:hint="eastAsia" w:ascii="黑体" w:eastAsia="黑体"/>
                          <w:snapToGrid w:val="0"/>
                          <w:sz w:val="52"/>
                          <w:szCs w:val="52"/>
                          <w:lang w:eastAsia="zh-CN"/>
                        </w:rPr>
                        <w:t>温室气体 产品碳足迹量化方法与要求</w:t>
                      </w:r>
                      <w:bookmarkEnd w:id="99"/>
                      <w:r>
                        <w:rPr>
                          <w:rFonts w:hint="eastAsia" w:ascii="黑体" w:eastAsia="黑体"/>
                          <w:snapToGrid w:val="0"/>
                          <w:sz w:val="52"/>
                          <w:szCs w:val="52"/>
                          <w:lang w:eastAsia="zh-CN"/>
                        </w:rPr>
                        <w:t xml:space="preserve"> 稀土</w:t>
                      </w:r>
                      <w:r>
                        <w:rPr>
                          <w:rFonts w:hint="eastAsia" w:ascii="黑体" w:eastAsia="黑体"/>
                          <w:snapToGrid w:val="0"/>
                          <w:sz w:val="52"/>
                          <w:szCs w:val="52"/>
                          <w:lang w:val="en-US" w:eastAsia="zh-CN"/>
                        </w:rPr>
                        <w:t>系储氢合金</w:t>
                      </w:r>
                      <w:bookmarkEnd w:id="100"/>
                      <w:r>
                        <w:rPr>
                          <w:rFonts w:hint="eastAsia" w:ascii="黑体" w:eastAsia="黑体"/>
                          <w:snapToGrid w:val="0"/>
                          <w:sz w:val="52"/>
                          <w:szCs w:val="52"/>
                          <w:lang w:val="en-US" w:eastAsia="zh-CN"/>
                        </w:rPr>
                        <w:t>材料</w:t>
                      </w:r>
                    </w:p>
                    <w:bookmarkEnd w:id="101"/>
                    <w:p w14:paraId="66BAEF72">
                      <w:pPr>
                        <w:spacing w:line="480" w:lineRule="auto"/>
                        <w:jc w:val="center"/>
                        <w:rPr>
                          <w:rFonts w:ascii="Times New Roman" w:hAnsi="Times New Roman" w:eastAsia="宋体" w:cs="Times New Roman"/>
                          <w:kern w:val="2"/>
                          <w:sz w:val="30"/>
                          <w:szCs w:val="30"/>
                          <w:lang w:eastAsia="zh-CN"/>
                        </w:rPr>
                      </w:pPr>
                      <w:r>
                        <w:rPr>
                          <w:rFonts w:ascii="Times New Roman" w:hAnsi="Times New Roman" w:eastAsia="宋体" w:cs="Times New Roman"/>
                          <w:kern w:val="2"/>
                          <w:sz w:val="30"/>
                          <w:szCs w:val="30"/>
                          <w:lang w:eastAsia="zh-CN"/>
                        </w:rPr>
                        <w:t xml:space="preserve">Greenhouse </w:t>
                      </w:r>
                      <w:r>
                        <w:rPr>
                          <w:rFonts w:hint="eastAsia" w:ascii="Times New Roman" w:hAnsi="Times New Roman" w:eastAsia="宋体" w:cs="Times New Roman"/>
                          <w:kern w:val="2"/>
                          <w:sz w:val="30"/>
                          <w:szCs w:val="30"/>
                          <w:lang w:eastAsia="zh-CN"/>
                        </w:rPr>
                        <w:t>g</w:t>
                      </w:r>
                      <w:r>
                        <w:rPr>
                          <w:rFonts w:ascii="Times New Roman" w:hAnsi="Times New Roman" w:eastAsia="宋体" w:cs="Times New Roman"/>
                          <w:kern w:val="2"/>
                          <w:sz w:val="30"/>
                          <w:szCs w:val="30"/>
                          <w:lang w:eastAsia="zh-CN"/>
                        </w:rPr>
                        <w:t>as</w:t>
                      </w:r>
                      <w:r>
                        <w:rPr>
                          <w:rFonts w:hint="eastAsia" w:ascii="Times New Roman" w:hAnsi="Times New Roman" w:eastAsia="宋体" w:cs="Times New Roman"/>
                          <w:kern w:val="2"/>
                          <w:sz w:val="30"/>
                          <w:szCs w:val="30"/>
                          <w:lang w:eastAsia="zh-CN"/>
                        </w:rPr>
                        <w:t xml:space="preserve"> -</w:t>
                      </w:r>
                      <w:r>
                        <w:t xml:space="preserve"> </w:t>
                      </w:r>
                      <w:r>
                        <w:rPr>
                          <w:rFonts w:ascii="Times New Roman" w:hAnsi="Times New Roman" w:eastAsia="宋体" w:cs="Times New Roman"/>
                          <w:kern w:val="2"/>
                          <w:sz w:val="30"/>
                          <w:szCs w:val="30"/>
                          <w:lang w:eastAsia="zh-CN"/>
                        </w:rPr>
                        <w:t xml:space="preserve">Quantification </w:t>
                      </w:r>
                      <w:r>
                        <w:rPr>
                          <w:rFonts w:hint="eastAsia" w:ascii="Times New Roman" w:hAnsi="Times New Roman" w:eastAsia="宋体" w:cs="Times New Roman"/>
                          <w:kern w:val="2"/>
                          <w:sz w:val="30"/>
                          <w:szCs w:val="30"/>
                          <w:lang w:eastAsia="zh-CN"/>
                        </w:rPr>
                        <w:t>method</w:t>
                      </w:r>
                      <w:r>
                        <w:rPr>
                          <w:rFonts w:hint="eastAsia" w:ascii="Times New Roman" w:hAnsi="Times New Roman" w:eastAsia="宋体" w:cs="Times New Roman"/>
                          <w:kern w:val="2"/>
                          <w:sz w:val="30"/>
                          <w:szCs w:val="30"/>
                          <w:lang w:val="en-US" w:eastAsia="zh-CN"/>
                        </w:rPr>
                        <w:t>s</w:t>
                      </w:r>
                      <w:r>
                        <w:rPr>
                          <w:rFonts w:ascii="Times New Roman" w:hAnsi="Times New Roman" w:eastAsia="宋体" w:cs="Times New Roman"/>
                          <w:kern w:val="2"/>
                          <w:sz w:val="30"/>
                          <w:szCs w:val="30"/>
                          <w:lang w:eastAsia="zh-CN"/>
                        </w:rPr>
                        <w:t xml:space="preserve"> and </w:t>
                      </w:r>
                      <w:r>
                        <w:rPr>
                          <w:rFonts w:hint="eastAsia" w:ascii="Times New Roman" w:hAnsi="Times New Roman" w:eastAsia="宋体" w:cs="Times New Roman"/>
                          <w:kern w:val="2"/>
                          <w:sz w:val="30"/>
                          <w:szCs w:val="30"/>
                          <w:lang w:eastAsia="zh-CN"/>
                        </w:rPr>
                        <w:t>requirement</w:t>
                      </w:r>
                      <w:r>
                        <w:rPr>
                          <w:rFonts w:hint="eastAsia" w:ascii="Times New Roman" w:hAnsi="Times New Roman" w:eastAsia="宋体" w:cs="Times New Roman"/>
                          <w:kern w:val="2"/>
                          <w:sz w:val="30"/>
                          <w:szCs w:val="30"/>
                          <w:lang w:val="en-US" w:eastAsia="zh-CN"/>
                        </w:rPr>
                        <w:t>s</w:t>
                      </w:r>
                      <w:r>
                        <w:rPr>
                          <w:rFonts w:hint="eastAsia" w:ascii="Times New Roman" w:hAnsi="Times New Roman" w:eastAsia="宋体" w:cs="Times New Roman"/>
                          <w:kern w:val="2"/>
                          <w:sz w:val="30"/>
                          <w:szCs w:val="30"/>
                          <w:lang w:eastAsia="zh-CN"/>
                        </w:rPr>
                        <w:t xml:space="preserve"> o</w:t>
                      </w:r>
                      <w:r>
                        <w:rPr>
                          <w:rFonts w:ascii="Times New Roman" w:hAnsi="Times New Roman" w:eastAsia="宋体" w:cs="Times New Roman"/>
                          <w:kern w:val="2"/>
                          <w:sz w:val="30"/>
                          <w:szCs w:val="30"/>
                          <w:lang w:eastAsia="zh-CN"/>
                        </w:rPr>
                        <w:t xml:space="preserve">f </w:t>
                      </w:r>
                      <w:r>
                        <w:rPr>
                          <w:rFonts w:hint="eastAsia" w:ascii="Times New Roman" w:hAnsi="Times New Roman" w:eastAsia="宋体" w:cs="Times New Roman"/>
                          <w:kern w:val="2"/>
                          <w:sz w:val="30"/>
                          <w:szCs w:val="30"/>
                          <w:lang w:eastAsia="zh-CN"/>
                        </w:rPr>
                        <w:t>p</w:t>
                      </w:r>
                      <w:r>
                        <w:rPr>
                          <w:rFonts w:ascii="Times New Roman" w:hAnsi="Times New Roman" w:eastAsia="宋体" w:cs="Times New Roman"/>
                          <w:kern w:val="2"/>
                          <w:sz w:val="30"/>
                          <w:szCs w:val="30"/>
                          <w:lang w:eastAsia="zh-CN"/>
                        </w:rPr>
                        <w:t xml:space="preserve">roduct </w:t>
                      </w:r>
                      <w:r>
                        <w:rPr>
                          <w:rFonts w:hint="eastAsia" w:ascii="Times New Roman" w:hAnsi="Times New Roman" w:eastAsia="宋体" w:cs="Times New Roman"/>
                          <w:kern w:val="2"/>
                          <w:sz w:val="30"/>
                          <w:szCs w:val="30"/>
                          <w:lang w:eastAsia="zh-CN"/>
                        </w:rPr>
                        <w:t>c</w:t>
                      </w:r>
                      <w:r>
                        <w:rPr>
                          <w:rFonts w:ascii="Times New Roman" w:hAnsi="Times New Roman" w:eastAsia="宋体" w:cs="Times New Roman"/>
                          <w:kern w:val="2"/>
                          <w:sz w:val="30"/>
                          <w:szCs w:val="30"/>
                          <w:lang w:eastAsia="zh-CN"/>
                        </w:rPr>
                        <w:t xml:space="preserve">arbon </w:t>
                      </w:r>
                      <w:r>
                        <w:rPr>
                          <w:rFonts w:hint="eastAsia" w:ascii="Times New Roman" w:hAnsi="Times New Roman" w:eastAsia="宋体" w:cs="Times New Roman"/>
                          <w:kern w:val="2"/>
                          <w:sz w:val="30"/>
                          <w:szCs w:val="30"/>
                          <w:lang w:eastAsia="zh-CN"/>
                        </w:rPr>
                        <w:t>f</w:t>
                      </w:r>
                      <w:r>
                        <w:rPr>
                          <w:rFonts w:ascii="Times New Roman" w:hAnsi="Times New Roman" w:eastAsia="宋体" w:cs="Times New Roman"/>
                          <w:kern w:val="2"/>
                          <w:sz w:val="30"/>
                          <w:szCs w:val="30"/>
                          <w:lang w:eastAsia="zh-CN"/>
                        </w:rPr>
                        <w:t>ootprint</w:t>
                      </w:r>
                      <w:r>
                        <w:rPr>
                          <w:rFonts w:hint="eastAsia" w:ascii="Times New Roman" w:hAnsi="Times New Roman" w:eastAsia="宋体" w:cs="Times New Roman"/>
                          <w:kern w:val="2"/>
                          <w:sz w:val="30"/>
                          <w:szCs w:val="30"/>
                          <w:lang w:eastAsia="zh-CN"/>
                        </w:rPr>
                        <w:t xml:space="preserve"> -</w:t>
                      </w:r>
                      <w:r>
                        <w:t xml:space="preserve"> </w:t>
                      </w:r>
                      <w:r>
                        <w:rPr>
                          <w:rFonts w:hint="eastAsia" w:ascii="Times New Roman" w:hAnsi="Times New Roman" w:eastAsia="宋体" w:cs="Times New Roman"/>
                          <w:kern w:val="2"/>
                          <w:sz w:val="30"/>
                          <w:szCs w:val="30"/>
                          <w:lang w:eastAsia="zh-CN"/>
                        </w:rPr>
                        <w:t xml:space="preserve">Rare earth hydrogen storage alloy materials </w:t>
                      </w:r>
                    </w:p>
                    <w:p w14:paraId="2C80CCF8">
                      <w:pPr>
                        <w:spacing w:line="480" w:lineRule="auto"/>
                        <w:jc w:val="center"/>
                        <w:rPr>
                          <w:rFonts w:ascii="宋体" w:hAnsi="宋体"/>
                          <w:color w:val="0000FF"/>
                          <w:sz w:val="24"/>
                        </w:rPr>
                      </w:pPr>
                      <w:r>
                        <w:rPr>
                          <w:rFonts w:hint="eastAsia" w:ascii="宋体" w:hAnsi="宋体"/>
                          <w:sz w:val="24"/>
                        </w:rPr>
                        <w:t>（</w:t>
                      </w:r>
                      <w:r>
                        <w:rPr>
                          <w:rFonts w:hint="eastAsia" w:ascii="宋体" w:hAnsi="宋体"/>
                          <w:sz w:val="24"/>
                          <w:lang w:val="en-US" w:eastAsia="zh-CN"/>
                        </w:rPr>
                        <w:t>草案</w:t>
                      </w:r>
                      <w:r>
                        <w:rPr>
                          <w:rFonts w:hint="eastAsia" w:ascii="宋体" w:hAnsi="宋体"/>
                          <w:sz w:val="24"/>
                        </w:rPr>
                        <w:t>稿）</w:t>
                      </w:r>
                    </w:p>
                  </w:txbxContent>
                </v:textbox>
                <w10:anchorlock/>
              </v:shape>
            </w:pict>
          </mc:Fallback>
        </mc:AlternateContent>
      </w:r>
      <w:r>
        <mc:AlternateContent>
          <mc:Choice Requires="wps">
            <w:drawing>
              <wp:anchor distT="0" distB="0" distL="114300" distR="114300" simplePos="0" relativeHeight="251662336" behindDoc="0" locked="1" layoutInCell="1" allowOverlap="1">
                <wp:simplePos x="0" y="0"/>
                <wp:positionH relativeFrom="margin">
                  <wp:posOffset>114300</wp:posOffset>
                </wp:positionH>
                <wp:positionV relativeFrom="margin">
                  <wp:posOffset>1051560</wp:posOffset>
                </wp:positionV>
                <wp:extent cx="5802630" cy="937895"/>
                <wp:effectExtent l="0" t="0" r="1270" b="1905"/>
                <wp:wrapNone/>
                <wp:docPr id="26" name="文本框 26"/>
                <wp:cNvGraphicFramePr/>
                <a:graphic xmlns:a="http://schemas.openxmlformats.org/drawingml/2006/main">
                  <a:graphicData uri="http://schemas.microsoft.com/office/word/2010/wordprocessingShape">
                    <wps:wsp>
                      <wps:cNvSpPr txBox="1"/>
                      <wps:spPr>
                        <a:xfrm>
                          <a:off x="0" y="0"/>
                          <a:ext cx="5802630" cy="937895"/>
                        </a:xfrm>
                        <a:prstGeom prst="rect">
                          <a:avLst/>
                        </a:prstGeom>
                        <a:solidFill>
                          <a:srgbClr val="FFFFFF"/>
                        </a:solidFill>
                        <a:ln>
                          <a:noFill/>
                        </a:ln>
                      </wps:spPr>
                      <wps:txbx>
                        <w:txbxContent>
                          <w:p w14:paraId="4BA79BDD">
                            <w:pPr>
                              <w:spacing w:after="0" w:line="360" w:lineRule="exact"/>
                              <w:ind w:firstLine="6440" w:firstLineChars="2300"/>
                              <w:rPr>
                                <w:rFonts w:ascii="黑体" w:hAnsi="黑体" w:eastAsia="黑体"/>
                                <w:sz w:val="28"/>
                              </w:rPr>
                            </w:pPr>
                            <w:r>
                              <w:rPr>
                                <w:rFonts w:ascii="Times New Roman" w:hAnsi="Times New Roman" w:eastAsia="黑体" w:cs="Times New Roman"/>
                                <w:sz w:val="28"/>
                                <w:lang w:eastAsia="zh-CN"/>
                              </w:rPr>
                              <w:t>T</w:t>
                            </w:r>
                            <w:r>
                              <w:rPr>
                                <w:rFonts w:ascii="Times New Roman" w:hAnsi="Times New Roman" w:eastAsia="黑体" w:cs="Times New Roman"/>
                                <w:sz w:val="28"/>
                              </w:rPr>
                              <w:t>/</w:t>
                            </w:r>
                            <w:r>
                              <w:rPr>
                                <w:rFonts w:ascii="Times New Roman" w:hAnsi="Times New Roman" w:eastAsia="黑体" w:cs="Times New Roman"/>
                                <w:sz w:val="28"/>
                                <w:lang w:eastAsia="zh-CN"/>
                              </w:rPr>
                              <w:t>CNIA XXXX</w:t>
                            </w:r>
                            <w:r>
                              <w:rPr>
                                <w:rFonts w:ascii="Times New Roman" w:hAnsi="Times New Roman" w:eastAsia="黑体" w:cs="Times New Roman"/>
                                <w:sz w:val="28"/>
                              </w:rPr>
                              <w:t>-202X</w:t>
                            </w:r>
                            <w:r>
                              <w:rPr>
                                <w:rFonts w:hint="eastAsia" w:ascii="黑体" w:hAnsi="黑体" w:eastAsia="黑体"/>
                                <w:sz w:val="28"/>
                              </w:rPr>
                              <w:t xml:space="preserve">        </w:t>
                            </w:r>
                          </w:p>
                          <w:p w14:paraId="78135A87">
                            <w:pPr>
                              <w:spacing w:after="0" w:line="360" w:lineRule="exact"/>
                              <w:ind w:firstLine="6160"/>
                            </w:pPr>
                            <w:r>
                              <w:rPr>
                                <w:rFonts w:hAnsi="黑体"/>
                              </w:rPr>
                              <w:t>     </w:t>
                            </w:r>
                          </w:p>
                        </w:txbxContent>
                      </wps:txbx>
                      <wps:bodyPr lIns="0" tIns="0" rIns="0" bIns="0" upright="1"/>
                    </wps:wsp>
                  </a:graphicData>
                </a:graphic>
              </wp:anchor>
            </w:drawing>
          </mc:Choice>
          <mc:Fallback>
            <w:pict>
              <v:shape id="_x0000_s1026" o:spid="_x0000_s1026" o:spt="202" type="#_x0000_t202" style="position:absolute;left:0pt;margin-left:9pt;margin-top:82.8pt;height:73.85pt;width:456.9pt;mso-position-horizontal-relative:margin;mso-position-vertical-relative:margin;z-index:251662336;mso-width-relative:page;mso-height-relative:page;" fillcolor="#FFFFFF" filled="t" stroked="f" coordsize="21600,21600" o:gfxdata="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4cNcaNkAAAAKAQAADwAAAAAAAAABACAAAAAi&#10;AAAAZHJzL2Rvd25yZXYueG1sUEsBAhQAFAAAAAgAh07iQEbK0D7QAQAAnQMAAA4AAAAAAAAAAQAg&#10;AAAAKAEAAGRycy9lMm9Eb2MueG1sUEsFBgAAAAAGAAYAWQEAAGoFAAAAAA==&#10;">
                <v:fill on="t" focussize="0,0"/>
                <v:stroke on="f"/>
                <v:imagedata o:title=""/>
                <o:lock v:ext="edit" aspectratio="f"/>
                <v:textbox inset="0mm,0mm,0mm,0mm">
                  <w:txbxContent>
                    <w:p w14:paraId="4BA79BDD">
                      <w:pPr>
                        <w:spacing w:after="0" w:line="360" w:lineRule="exact"/>
                        <w:ind w:firstLine="6440" w:firstLineChars="2300"/>
                        <w:rPr>
                          <w:rFonts w:ascii="黑体" w:hAnsi="黑体" w:eastAsia="黑体"/>
                          <w:sz w:val="28"/>
                        </w:rPr>
                      </w:pPr>
                      <w:r>
                        <w:rPr>
                          <w:rFonts w:ascii="Times New Roman" w:hAnsi="Times New Roman" w:eastAsia="黑体" w:cs="Times New Roman"/>
                          <w:sz w:val="28"/>
                          <w:lang w:eastAsia="zh-CN"/>
                        </w:rPr>
                        <w:t>T</w:t>
                      </w:r>
                      <w:r>
                        <w:rPr>
                          <w:rFonts w:ascii="Times New Roman" w:hAnsi="Times New Roman" w:eastAsia="黑体" w:cs="Times New Roman"/>
                          <w:sz w:val="28"/>
                        </w:rPr>
                        <w:t>/</w:t>
                      </w:r>
                      <w:r>
                        <w:rPr>
                          <w:rFonts w:ascii="Times New Roman" w:hAnsi="Times New Roman" w:eastAsia="黑体" w:cs="Times New Roman"/>
                          <w:sz w:val="28"/>
                          <w:lang w:eastAsia="zh-CN"/>
                        </w:rPr>
                        <w:t>CNIA XXXX</w:t>
                      </w:r>
                      <w:r>
                        <w:rPr>
                          <w:rFonts w:ascii="Times New Roman" w:hAnsi="Times New Roman" w:eastAsia="黑体" w:cs="Times New Roman"/>
                          <w:sz w:val="28"/>
                        </w:rPr>
                        <w:t>-202X</w:t>
                      </w:r>
                      <w:r>
                        <w:rPr>
                          <w:rFonts w:hint="eastAsia" w:ascii="黑体" w:hAnsi="黑体" w:eastAsia="黑体"/>
                          <w:sz w:val="28"/>
                        </w:rPr>
                        <w:t xml:space="preserve">        </w:t>
                      </w:r>
                    </w:p>
                    <w:p w14:paraId="78135A87">
                      <w:pPr>
                        <w:spacing w:after="0" w:line="360" w:lineRule="exact"/>
                        <w:ind w:firstLine="6160"/>
                      </w:pPr>
                      <w:r>
                        <w:rPr>
                          <w:rFonts w:hAnsi="黑体"/>
                        </w:rPr>
                        <w:t>     </w:t>
                      </w:r>
                    </w:p>
                  </w:txbxContent>
                </v:textbox>
                <w10:anchorlock/>
              </v:shape>
            </w:pict>
          </mc:Fallback>
        </mc:AlternateContent>
      </w:r>
      <w:r>
        <mc:AlternateContent>
          <mc:Choice Requires="wps">
            <w:drawing>
              <wp:anchor distT="0" distB="0" distL="114300" distR="114300" simplePos="0" relativeHeight="251661312" behindDoc="0" locked="1" layoutInCell="1" allowOverlap="1">
                <wp:simplePos x="0" y="0"/>
                <wp:positionH relativeFrom="margin">
                  <wp:posOffset>0</wp:posOffset>
                </wp:positionH>
                <wp:positionV relativeFrom="margin">
                  <wp:posOffset>601345</wp:posOffset>
                </wp:positionV>
                <wp:extent cx="6120130" cy="391160"/>
                <wp:effectExtent l="0" t="0" r="1270" b="2540"/>
                <wp:wrapNone/>
                <wp:docPr id="25" name="文本框 25"/>
                <wp:cNvGraphicFramePr/>
                <a:graphic xmlns:a="http://schemas.openxmlformats.org/drawingml/2006/main">
                  <a:graphicData uri="http://schemas.microsoft.com/office/word/2010/wordprocessingShape">
                    <wps:wsp>
                      <wps:cNvSpPr txBox="1"/>
                      <wps:spPr>
                        <a:xfrm>
                          <a:off x="0" y="0"/>
                          <a:ext cx="6120130" cy="391160"/>
                        </a:xfrm>
                        <a:prstGeom prst="rect">
                          <a:avLst/>
                        </a:prstGeom>
                        <a:solidFill>
                          <a:srgbClr val="FFFFFF"/>
                        </a:solidFill>
                        <a:ln>
                          <a:noFill/>
                        </a:ln>
                      </wps:spPr>
                      <wps:txbx>
                        <w:txbxContent>
                          <w:p w14:paraId="1A9726C2">
                            <w:pPr>
                              <w:pStyle w:val="24"/>
                              <w:rPr>
                                <w:rFonts w:ascii="黑体" w:eastAsia="黑体"/>
                                <w:b w:val="0"/>
                              </w:rPr>
                            </w:pPr>
                            <w:r>
                              <w:rPr>
                                <w:rFonts w:hint="eastAsia" w:ascii="黑体" w:eastAsia="黑体"/>
                                <w:b w:val="0"/>
                              </w:rPr>
                              <w:t>团体标准</w:t>
                            </w:r>
                          </w:p>
                        </w:txbxContent>
                      </wps:txbx>
                      <wps:bodyPr lIns="0" tIns="0" rIns="0" bIns="0" upright="1"/>
                    </wps:wsp>
                  </a:graphicData>
                </a:graphic>
              </wp:anchor>
            </w:drawing>
          </mc:Choice>
          <mc:Fallback>
            <w:pict>
              <v:shape id="_x0000_s1026" o:spid="_x0000_s1026" o:spt="202" type="#_x0000_t202" style="position:absolute;left:0pt;margin-left:0pt;margin-top:47.35pt;height:30.8pt;width:481.9pt;mso-position-horizontal-relative:margin;mso-position-vertical-relative:margin;z-index:251661312;mso-width-relative:page;mso-height-relative:page;" fillcolor="#FFFFFF" filled="t" stroked="f" coordsize="21600,21600" o:gfxdata="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DWrC/rXAAAABwEAAA8AAAAAAAAAAQAgAAAAIgAA&#10;AGRycy9kb3ducmV2LnhtbFBLAQIUABQAAAAIAIdO4kB2evJq0AEAAJ0DAAAOAAAAAAAAAAEAIAAA&#10;ACYBAABkcnMvZTJvRG9jLnhtbFBLBQYAAAAABgAGAFkBAABoBQAAAAA=&#10;">
                <v:fill on="t" focussize="0,0"/>
                <v:stroke on="f"/>
                <v:imagedata o:title=""/>
                <o:lock v:ext="edit" aspectratio="f"/>
                <v:textbox inset="0mm,0mm,0mm,0mm">
                  <w:txbxContent>
                    <w:p w14:paraId="1A9726C2">
                      <w:pPr>
                        <w:pStyle w:val="24"/>
                        <w:rPr>
                          <w:rFonts w:ascii="黑体" w:eastAsia="黑体"/>
                          <w:b w:val="0"/>
                        </w:rPr>
                      </w:pPr>
                      <w:r>
                        <w:rPr>
                          <w:rFonts w:hint="eastAsia" w:ascii="黑体" w:eastAsia="黑体"/>
                          <w:b w:val="0"/>
                        </w:rPr>
                        <w:t>团体标准</w:t>
                      </w:r>
                    </w:p>
                  </w:txbxContent>
                </v:textbox>
                <w10:anchorlock/>
              </v:shape>
            </w:pict>
          </mc:Fallback>
        </mc:AlternateContent>
      </w:r>
      <w:r>
        <mc:AlternateContent>
          <mc:Choice Requires="wps">
            <w:drawing>
              <wp:anchor distT="0" distB="0" distL="114300" distR="114300" simplePos="0" relativeHeight="251660288" behindDoc="0" locked="1" layoutInCell="1" allowOverlap="1">
                <wp:simplePos x="0" y="0"/>
                <wp:positionH relativeFrom="margin">
                  <wp:posOffset>0</wp:posOffset>
                </wp:positionH>
                <wp:positionV relativeFrom="margin">
                  <wp:posOffset>-200025</wp:posOffset>
                </wp:positionV>
                <wp:extent cx="2540000" cy="657860"/>
                <wp:effectExtent l="0" t="0" r="0" b="2540"/>
                <wp:wrapNone/>
                <wp:docPr id="24" name="文本框 24"/>
                <wp:cNvGraphicFramePr/>
                <a:graphic xmlns:a="http://schemas.openxmlformats.org/drawingml/2006/main">
                  <a:graphicData uri="http://schemas.microsoft.com/office/word/2010/wordprocessingShape">
                    <wps:wsp>
                      <wps:cNvSpPr txBox="1"/>
                      <wps:spPr>
                        <a:xfrm>
                          <a:off x="0" y="0"/>
                          <a:ext cx="2540000" cy="657860"/>
                        </a:xfrm>
                        <a:prstGeom prst="rect">
                          <a:avLst/>
                        </a:prstGeom>
                        <a:solidFill>
                          <a:srgbClr val="FFFFFF"/>
                        </a:solidFill>
                        <a:ln>
                          <a:noFill/>
                        </a:ln>
                      </wps:spPr>
                      <wps:txbx>
                        <w:txbxContent>
                          <w:p w14:paraId="00AF8E4A">
                            <w:pPr>
                              <w:pStyle w:val="25"/>
                              <w:spacing w:line="0" w:lineRule="atLeast"/>
                            </w:pPr>
                            <w:r>
                              <w:t xml:space="preserve">ICS </w:t>
                            </w:r>
                            <w:r>
                              <w:rPr>
                                <w:color w:val="000000"/>
                              </w:rPr>
                              <w:t>77.120.99</w:t>
                            </w:r>
                          </w:p>
                          <w:p w14:paraId="69F24E99">
                            <w:pPr>
                              <w:rPr>
                                <w:rFonts w:ascii="Times New Roman" w:hAnsi="Times New Roman" w:cs="Times New Roman"/>
                                <w:lang w:eastAsia="zh-CN"/>
                              </w:rPr>
                            </w:pPr>
                            <w:r>
                              <w:rPr>
                                <w:rFonts w:ascii="Times New Roman" w:hAnsi="Times New Roman" w:cs="Times New Roman"/>
                              </w:rPr>
                              <w:t xml:space="preserve">H </w:t>
                            </w:r>
                            <w:r>
                              <w:rPr>
                                <w:rFonts w:hint="eastAsia" w:ascii="Times New Roman" w:hAnsi="Times New Roman" w:cs="Times New Roman"/>
                                <w:lang w:eastAsia="zh-CN"/>
                              </w:rPr>
                              <w:t>01</w:t>
                            </w:r>
                          </w:p>
                        </w:txbxContent>
                      </wps:txbx>
                      <wps:bodyPr lIns="0" tIns="0" rIns="0" bIns="0" upright="1"/>
                    </wps:wsp>
                  </a:graphicData>
                </a:graphic>
              </wp:anchor>
            </w:drawing>
          </mc:Choice>
          <mc:Fallback>
            <w:pict>
              <v:shape id="_x0000_s1026" o:spid="_x0000_s1026" o:spt="202" type="#_x0000_t202" style="position:absolute;left:0pt;margin-left:0pt;margin-top:-15.75pt;height:51.8pt;width:200pt;mso-position-horizontal-relative:margin;mso-position-vertical-relative:margin;z-index:251660288;mso-width-relative:page;mso-height-relative:page;" fillcolor="#FFFFFF" filled="t" stroked="f" coordsize="21600,21600" o:gfxdata="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N0nKpbWAAAABwEAAA8AAAAAAAAAAQAgAAAAIgAA&#10;AGRycy9kb3ducmV2LnhtbFBLAQIUABQAAAAIAIdO4kDnRwYe0QEAAJ0DAAAOAAAAAAAAAAEAIAAA&#10;ACUBAABkcnMvZTJvRG9jLnhtbFBLBQYAAAAABgAGAFkBAABoBQAAAAA=&#10;">
                <v:fill on="t" focussize="0,0"/>
                <v:stroke on="f"/>
                <v:imagedata o:title=""/>
                <o:lock v:ext="edit" aspectratio="f"/>
                <v:textbox inset="0mm,0mm,0mm,0mm">
                  <w:txbxContent>
                    <w:p w14:paraId="00AF8E4A">
                      <w:pPr>
                        <w:pStyle w:val="25"/>
                        <w:spacing w:line="0" w:lineRule="atLeast"/>
                      </w:pPr>
                      <w:r>
                        <w:t xml:space="preserve">ICS </w:t>
                      </w:r>
                      <w:r>
                        <w:rPr>
                          <w:color w:val="000000"/>
                        </w:rPr>
                        <w:t>77.120.99</w:t>
                      </w:r>
                    </w:p>
                    <w:p w14:paraId="69F24E99">
                      <w:pPr>
                        <w:rPr>
                          <w:rFonts w:ascii="Times New Roman" w:hAnsi="Times New Roman" w:cs="Times New Roman"/>
                          <w:lang w:eastAsia="zh-CN"/>
                        </w:rPr>
                      </w:pPr>
                      <w:r>
                        <w:rPr>
                          <w:rFonts w:ascii="Times New Roman" w:hAnsi="Times New Roman" w:cs="Times New Roman"/>
                        </w:rPr>
                        <w:t xml:space="preserve">H </w:t>
                      </w:r>
                      <w:r>
                        <w:rPr>
                          <w:rFonts w:hint="eastAsia" w:ascii="Times New Roman" w:hAnsi="Times New Roman" w:cs="Times New Roman"/>
                          <w:lang w:eastAsia="zh-CN"/>
                        </w:rPr>
                        <w:t>01</w:t>
                      </w:r>
                    </w:p>
                  </w:txbxContent>
                </v:textbox>
                <w10:anchorlock/>
              </v:shape>
            </w:pict>
          </mc:Fallback>
        </mc:AlternateContent>
      </w:r>
    </w:p>
    <w:bookmarkEnd w:id="1"/>
    <w:sdt>
      <w:sdtPr>
        <w:rPr>
          <w:rFonts w:ascii="宋体" w:hAnsi="宋体" w:eastAsia="宋体"/>
          <w:sz w:val="21"/>
        </w:rPr>
        <w:id w:val="147470527"/>
        <w15:color w:val="DBDBDB"/>
        <w:docPartObj>
          <w:docPartGallery w:val="Table of Contents"/>
          <w:docPartUnique/>
        </w:docPartObj>
      </w:sdtPr>
      <w:sdtEndPr>
        <w:rPr>
          <w:rFonts w:ascii="黑体" w:hAnsi="Times New Roman" w:eastAsia="黑体" w:cs="Times New Roman"/>
          <w:spacing w:val="320"/>
          <w:sz w:val="22"/>
          <w:szCs w:val="20"/>
          <w:lang w:eastAsia="zh-CN"/>
        </w:rPr>
      </w:sdtEndPr>
      <w:sdtContent>
        <w:p w14:paraId="5767DD63">
          <w:pPr>
            <w:spacing w:after="0" w:line="240" w:lineRule="auto"/>
            <w:jc w:val="center"/>
            <w:rPr>
              <w:rFonts w:hint="eastAsia" w:ascii="黑体" w:hAnsi="黑体" w:eastAsia="黑体" w:cs="黑体"/>
              <w:sz w:val="32"/>
              <w:szCs w:val="32"/>
              <w:lang w:eastAsia="zh-CN"/>
            </w:rPr>
          </w:pPr>
          <w:r>
            <w:rPr>
              <w:rFonts w:hint="eastAsia" w:ascii="黑体" w:hAnsi="黑体" w:eastAsia="黑体" w:cs="黑体"/>
              <w:sz w:val="32"/>
              <w:szCs w:val="32"/>
            </w:rPr>
            <w:t>目</w:t>
          </w:r>
          <w:r>
            <w:rPr>
              <w:rFonts w:hint="eastAsia" w:ascii="黑体" w:hAnsi="黑体" w:eastAsia="黑体" w:cs="黑体"/>
              <w:sz w:val="32"/>
              <w:szCs w:val="32"/>
              <w:lang w:eastAsia="zh-CN"/>
            </w:rPr>
            <w:t xml:space="preserve"> 录</w:t>
          </w:r>
        </w:p>
        <w:p w14:paraId="181E1594">
          <w:pPr>
            <w:spacing w:after="0" w:line="240" w:lineRule="auto"/>
            <w:jc w:val="center"/>
            <w:rPr>
              <w:rFonts w:hint="eastAsia" w:ascii="黑体" w:hAnsi="黑体" w:eastAsia="黑体" w:cs="黑体"/>
              <w:sz w:val="32"/>
              <w:szCs w:val="32"/>
              <w:lang w:eastAsia="zh-CN"/>
            </w:rPr>
          </w:pPr>
        </w:p>
        <w:p w14:paraId="09A67E9D">
          <w:pPr>
            <w:spacing w:after="0" w:line="240" w:lineRule="auto"/>
            <w:jc w:val="both"/>
            <w:rPr>
              <w:rFonts w:hint="eastAsia" w:ascii="黑体" w:hAnsi="黑体" w:eastAsia="黑体" w:cs="黑体"/>
              <w:sz w:val="32"/>
              <w:szCs w:val="32"/>
              <w:lang w:eastAsia="zh-CN"/>
            </w:rPr>
          </w:pPr>
        </w:p>
        <w:p w14:paraId="75764324">
          <w:pPr>
            <w:pStyle w:val="9"/>
            <w:tabs>
              <w:tab w:val="right" w:leader="dot" w:pos="8640"/>
            </w:tabs>
            <w:rPr>
              <w:rFonts w:hint="default" w:ascii="Times New Roman" w:hAnsi="Times New Roman" w:eastAsia="宋体" w:cs="Times New Roman"/>
            </w:rPr>
          </w:pPr>
          <w:r>
            <w:rPr>
              <w:rStyle w:val="16"/>
              <w:rFonts w:hint="default" w:ascii="Times New Roman" w:hAnsi="Times New Roman" w:eastAsia="宋体" w:cs="Times New Roman"/>
              <w:bCs/>
              <w:kern w:val="44"/>
            </w:rPr>
            <w:fldChar w:fldCharType="begin"/>
          </w:r>
          <w:r>
            <w:rPr>
              <w:rStyle w:val="16"/>
              <w:rFonts w:hint="default" w:ascii="Times New Roman" w:hAnsi="Times New Roman" w:eastAsia="宋体" w:cs="Times New Roman"/>
              <w:bCs/>
              <w:kern w:val="44"/>
            </w:rPr>
            <w:instrText xml:space="preserve">TOC \o "1-3" \h \u </w:instrText>
          </w:r>
          <w:r>
            <w:rPr>
              <w:rStyle w:val="16"/>
              <w:rFonts w:hint="default" w:ascii="Times New Roman" w:hAnsi="Times New Roman" w:eastAsia="宋体" w:cs="Times New Roman"/>
              <w:bCs/>
              <w:kern w:val="44"/>
            </w:rPr>
            <w:fldChar w:fldCharType="separate"/>
          </w:r>
          <w:r>
            <w:rPr>
              <w:rFonts w:hint="default" w:ascii="Times New Roman" w:hAnsi="Times New Roman" w:eastAsia="宋体" w:cs="Times New Roman"/>
              <w:bCs/>
              <w:kern w:val="44"/>
            </w:rPr>
            <w:fldChar w:fldCharType="begin"/>
          </w:r>
          <w:r>
            <w:rPr>
              <w:rFonts w:hint="default" w:ascii="Times New Roman" w:hAnsi="Times New Roman" w:eastAsia="宋体" w:cs="Times New Roman"/>
              <w:bCs/>
              <w:kern w:val="44"/>
            </w:rPr>
            <w:instrText xml:space="preserve"> HYPERLINK \l _Toc1216 </w:instrText>
          </w:r>
          <w:r>
            <w:rPr>
              <w:rFonts w:hint="default" w:ascii="Times New Roman" w:hAnsi="Times New Roman" w:eastAsia="宋体" w:cs="Times New Roman"/>
              <w:bCs/>
              <w:kern w:val="44"/>
            </w:rPr>
            <w:fldChar w:fldCharType="separate"/>
          </w:r>
          <w:r>
            <w:rPr>
              <w:rFonts w:hint="default" w:ascii="Times New Roman" w:hAnsi="Times New Roman" w:eastAsia="宋体" w:cs="Times New Roman"/>
              <w:spacing w:val="320"/>
              <w:szCs w:val="20"/>
              <w:lang w:eastAsia="zh-CN"/>
            </w:rPr>
            <w:t>前</w:t>
          </w:r>
          <w:r>
            <w:rPr>
              <w:rFonts w:hint="default" w:ascii="Times New Roman" w:hAnsi="Times New Roman" w:eastAsia="宋体" w:cs="Times New Roman"/>
              <w:szCs w:val="20"/>
              <w:lang w:eastAsia="zh-CN"/>
            </w:rPr>
            <w:t>言</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_Toc1216 \h </w:instrText>
          </w:r>
          <w:r>
            <w:rPr>
              <w:rFonts w:hint="default" w:ascii="Times New Roman" w:hAnsi="Times New Roman" w:eastAsia="宋体" w:cs="Times New Roman"/>
            </w:rPr>
            <w:fldChar w:fldCharType="separate"/>
          </w:r>
          <w:r>
            <w:rPr>
              <w:rFonts w:hint="default" w:ascii="Times New Roman" w:hAnsi="Times New Roman" w:eastAsia="宋体" w:cs="Times New Roman"/>
            </w:rPr>
            <w:t>2</w:t>
          </w:r>
          <w:r>
            <w:rPr>
              <w:rFonts w:hint="default" w:ascii="Times New Roman" w:hAnsi="Times New Roman" w:eastAsia="宋体" w:cs="Times New Roman"/>
            </w:rPr>
            <w:fldChar w:fldCharType="end"/>
          </w:r>
          <w:r>
            <w:rPr>
              <w:rFonts w:hint="default" w:ascii="Times New Roman" w:hAnsi="Times New Roman" w:eastAsia="宋体" w:cs="Times New Roman"/>
              <w:bCs/>
              <w:kern w:val="44"/>
            </w:rPr>
            <w:fldChar w:fldCharType="end"/>
          </w:r>
        </w:p>
        <w:p w14:paraId="158C488A">
          <w:pPr>
            <w:pStyle w:val="9"/>
            <w:tabs>
              <w:tab w:val="right" w:leader="dot" w:pos="8640"/>
            </w:tabs>
            <w:rPr>
              <w:rFonts w:hint="default" w:ascii="Times New Roman" w:hAnsi="Times New Roman" w:eastAsia="宋体" w:cs="Times New Roman"/>
            </w:rPr>
          </w:pPr>
          <w:r>
            <w:rPr>
              <w:rFonts w:hint="default" w:ascii="Times New Roman" w:hAnsi="Times New Roman" w:eastAsia="宋体" w:cs="Times New Roman"/>
              <w:bCs/>
              <w:kern w:val="44"/>
              <w:lang w:eastAsia="zh-CN"/>
            </w:rPr>
            <w:fldChar w:fldCharType="begin"/>
          </w:r>
          <w:r>
            <w:rPr>
              <w:rFonts w:hint="default" w:ascii="Times New Roman" w:hAnsi="Times New Roman" w:eastAsia="宋体" w:cs="Times New Roman"/>
              <w:bCs/>
              <w:kern w:val="44"/>
              <w:lang w:eastAsia="zh-CN"/>
            </w:rPr>
            <w:instrText xml:space="preserve"> HYPERLINK \l _Toc11945 </w:instrText>
          </w:r>
          <w:r>
            <w:rPr>
              <w:rFonts w:hint="default" w:ascii="Times New Roman" w:hAnsi="Times New Roman" w:eastAsia="宋体" w:cs="Times New Roman"/>
              <w:bCs/>
              <w:kern w:val="44"/>
              <w:lang w:eastAsia="zh-CN"/>
            </w:rPr>
            <w:fldChar w:fldCharType="separate"/>
          </w:r>
          <w:r>
            <w:rPr>
              <w:rFonts w:hint="default" w:ascii="Times New Roman" w:hAnsi="Times New Roman" w:eastAsia="宋体" w:cs="Times New Roman"/>
              <w:spacing w:val="320"/>
              <w:szCs w:val="20"/>
              <w:lang w:val="en-US" w:eastAsia="zh-CN"/>
            </w:rPr>
            <w:t>引</w:t>
          </w:r>
          <w:r>
            <w:rPr>
              <w:rFonts w:hint="default" w:ascii="Times New Roman" w:hAnsi="Times New Roman" w:eastAsia="宋体" w:cs="Times New Roman"/>
              <w:szCs w:val="20"/>
              <w:lang w:eastAsia="zh-CN"/>
            </w:rPr>
            <w:t>言</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_Toc11945 \h </w:instrText>
          </w:r>
          <w:r>
            <w:rPr>
              <w:rFonts w:hint="default" w:ascii="Times New Roman" w:hAnsi="Times New Roman" w:eastAsia="宋体" w:cs="Times New Roman"/>
            </w:rPr>
            <w:fldChar w:fldCharType="separate"/>
          </w:r>
          <w:r>
            <w:rPr>
              <w:rFonts w:hint="default" w:ascii="Times New Roman" w:hAnsi="Times New Roman" w:eastAsia="宋体" w:cs="Times New Roman"/>
            </w:rPr>
            <w:t>3</w:t>
          </w:r>
          <w:r>
            <w:rPr>
              <w:rFonts w:hint="default" w:ascii="Times New Roman" w:hAnsi="Times New Roman" w:eastAsia="宋体" w:cs="Times New Roman"/>
            </w:rPr>
            <w:fldChar w:fldCharType="end"/>
          </w:r>
          <w:r>
            <w:rPr>
              <w:rFonts w:hint="default" w:ascii="Times New Roman" w:hAnsi="Times New Roman" w:eastAsia="宋体" w:cs="Times New Roman"/>
              <w:bCs/>
              <w:kern w:val="44"/>
              <w:lang w:eastAsia="zh-CN"/>
            </w:rPr>
            <w:fldChar w:fldCharType="end"/>
          </w:r>
        </w:p>
        <w:p w14:paraId="6227FFFB">
          <w:pPr>
            <w:pStyle w:val="9"/>
            <w:tabs>
              <w:tab w:val="right" w:leader="dot" w:pos="8640"/>
            </w:tabs>
            <w:rPr>
              <w:rFonts w:hint="default" w:ascii="Times New Roman" w:hAnsi="Times New Roman" w:eastAsia="宋体" w:cs="Times New Roman"/>
            </w:rPr>
          </w:pPr>
          <w:r>
            <w:rPr>
              <w:rFonts w:hint="default" w:ascii="Times New Roman" w:hAnsi="Times New Roman" w:eastAsia="宋体" w:cs="Times New Roman"/>
              <w:bCs/>
              <w:kern w:val="44"/>
              <w:lang w:eastAsia="zh-CN"/>
            </w:rPr>
            <w:fldChar w:fldCharType="begin"/>
          </w:r>
          <w:r>
            <w:rPr>
              <w:rFonts w:hint="default" w:ascii="Times New Roman" w:hAnsi="Times New Roman" w:eastAsia="宋体" w:cs="Times New Roman"/>
              <w:bCs/>
              <w:kern w:val="44"/>
              <w:lang w:eastAsia="zh-CN"/>
            </w:rPr>
            <w:instrText xml:space="preserve"> HYPERLINK \l _Toc27730 </w:instrText>
          </w:r>
          <w:r>
            <w:rPr>
              <w:rFonts w:hint="default" w:ascii="Times New Roman" w:hAnsi="Times New Roman" w:eastAsia="宋体" w:cs="Times New Roman"/>
              <w:bCs/>
              <w:kern w:val="44"/>
              <w:lang w:eastAsia="zh-CN"/>
            </w:rPr>
            <w:fldChar w:fldCharType="separate"/>
          </w:r>
          <w:r>
            <w:rPr>
              <w:rFonts w:hint="default" w:ascii="Times New Roman" w:hAnsi="Times New Roman" w:eastAsia="宋体" w:cs="Times New Roman"/>
              <w:bCs/>
              <w:kern w:val="44"/>
              <w:szCs w:val="44"/>
              <w:lang w:eastAsia="zh-CN"/>
            </w:rPr>
            <w:t>1 范围</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_Toc27730 \h </w:instrText>
          </w:r>
          <w:r>
            <w:rPr>
              <w:rFonts w:hint="default" w:ascii="Times New Roman" w:hAnsi="Times New Roman" w:eastAsia="宋体" w:cs="Times New Roman"/>
            </w:rPr>
            <w:fldChar w:fldCharType="separate"/>
          </w:r>
          <w:r>
            <w:rPr>
              <w:rFonts w:hint="default" w:ascii="Times New Roman" w:hAnsi="Times New Roman" w:eastAsia="宋体" w:cs="Times New Roman"/>
            </w:rPr>
            <w:t>4</w:t>
          </w:r>
          <w:r>
            <w:rPr>
              <w:rFonts w:hint="default" w:ascii="Times New Roman" w:hAnsi="Times New Roman" w:eastAsia="宋体" w:cs="Times New Roman"/>
            </w:rPr>
            <w:fldChar w:fldCharType="end"/>
          </w:r>
          <w:r>
            <w:rPr>
              <w:rFonts w:hint="default" w:ascii="Times New Roman" w:hAnsi="Times New Roman" w:eastAsia="宋体" w:cs="Times New Roman"/>
              <w:bCs/>
              <w:kern w:val="44"/>
              <w:lang w:eastAsia="zh-CN"/>
            </w:rPr>
            <w:fldChar w:fldCharType="end"/>
          </w:r>
        </w:p>
        <w:p w14:paraId="2153F853">
          <w:pPr>
            <w:pStyle w:val="9"/>
            <w:tabs>
              <w:tab w:val="right" w:leader="dot" w:pos="8640"/>
            </w:tabs>
            <w:rPr>
              <w:rFonts w:hint="default" w:ascii="Times New Roman" w:hAnsi="Times New Roman" w:eastAsia="宋体" w:cs="Times New Roman"/>
            </w:rPr>
          </w:pPr>
          <w:r>
            <w:rPr>
              <w:rFonts w:hint="default" w:ascii="Times New Roman" w:hAnsi="Times New Roman" w:eastAsia="宋体" w:cs="Times New Roman"/>
              <w:bCs/>
              <w:kern w:val="44"/>
              <w:lang w:eastAsia="zh-CN"/>
            </w:rPr>
            <w:fldChar w:fldCharType="begin"/>
          </w:r>
          <w:r>
            <w:rPr>
              <w:rFonts w:hint="default" w:ascii="Times New Roman" w:hAnsi="Times New Roman" w:eastAsia="宋体" w:cs="Times New Roman"/>
              <w:bCs/>
              <w:kern w:val="44"/>
              <w:lang w:eastAsia="zh-CN"/>
            </w:rPr>
            <w:instrText xml:space="preserve"> HYPERLINK \l _Toc11096 </w:instrText>
          </w:r>
          <w:r>
            <w:rPr>
              <w:rFonts w:hint="default" w:ascii="Times New Roman" w:hAnsi="Times New Roman" w:eastAsia="宋体" w:cs="Times New Roman"/>
              <w:bCs/>
              <w:kern w:val="44"/>
              <w:lang w:eastAsia="zh-CN"/>
            </w:rPr>
            <w:fldChar w:fldCharType="separate"/>
          </w:r>
          <w:r>
            <w:rPr>
              <w:rFonts w:hint="default" w:ascii="Times New Roman" w:hAnsi="Times New Roman" w:eastAsia="宋体" w:cs="Times New Roman"/>
              <w:bCs/>
              <w:kern w:val="44"/>
              <w:szCs w:val="44"/>
              <w:lang w:eastAsia="zh-CN"/>
            </w:rPr>
            <w:t>2 规范性引用文件</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_Toc11096 \h </w:instrText>
          </w:r>
          <w:r>
            <w:rPr>
              <w:rFonts w:hint="default" w:ascii="Times New Roman" w:hAnsi="Times New Roman" w:eastAsia="宋体" w:cs="Times New Roman"/>
            </w:rPr>
            <w:fldChar w:fldCharType="separate"/>
          </w:r>
          <w:r>
            <w:rPr>
              <w:rFonts w:hint="default" w:ascii="Times New Roman" w:hAnsi="Times New Roman" w:eastAsia="宋体" w:cs="Times New Roman"/>
            </w:rPr>
            <w:t>4</w:t>
          </w:r>
          <w:r>
            <w:rPr>
              <w:rFonts w:hint="default" w:ascii="Times New Roman" w:hAnsi="Times New Roman" w:eastAsia="宋体" w:cs="Times New Roman"/>
            </w:rPr>
            <w:fldChar w:fldCharType="end"/>
          </w:r>
          <w:r>
            <w:rPr>
              <w:rFonts w:hint="default" w:ascii="Times New Roman" w:hAnsi="Times New Roman" w:eastAsia="宋体" w:cs="Times New Roman"/>
              <w:bCs/>
              <w:kern w:val="44"/>
              <w:lang w:eastAsia="zh-CN"/>
            </w:rPr>
            <w:fldChar w:fldCharType="end"/>
          </w:r>
        </w:p>
        <w:p w14:paraId="43896569">
          <w:pPr>
            <w:pStyle w:val="9"/>
            <w:tabs>
              <w:tab w:val="right" w:leader="dot" w:pos="8640"/>
            </w:tabs>
            <w:rPr>
              <w:rFonts w:hint="default" w:ascii="Times New Roman" w:hAnsi="Times New Roman" w:eastAsia="宋体" w:cs="Times New Roman"/>
            </w:rPr>
          </w:pPr>
          <w:r>
            <w:rPr>
              <w:rFonts w:hint="default" w:ascii="Times New Roman" w:hAnsi="Times New Roman" w:eastAsia="宋体" w:cs="Times New Roman"/>
              <w:bCs/>
              <w:kern w:val="44"/>
              <w:lang w:eastAsia="zh-CN"/>
            </w:rPr>
            <w:fldChar w:fldCharType="begin"/>
          </w:r>
          <w:r>
            <w:rPr>
              <w:rFonts w:hint="default" w:ascii="Times New Roman" w:hAnsi="Times New Roman" w:eastAsia="宋体" w:cs="Times New Roman"/>
              <w:bCs/>
              <w:kern w:val="44"/>
              <w:lang w:eastAsia="zh-CN"/>
            </w:rPr>
            <w:instrText xml:space="preserve"> HYPERLINK \l _Toc18355 </w:instrText>
          </w:r>
          <w:r>
            <w:rPr>
              <w:rFonts w:hint="default" w:ascii="Times New Roman" w:hAnsi="Times New Roman" w:eastAsia="宋体" w:cs="Times New Roman"/>
              <w:bCs/>
              <w:kern w:val="44"/>
              <w:lang w:eastAsia="zh-CN"/>
            </w:rPr>
            <w:fldChar w:fldCharType="separate"/>
          </w:r>
          <w:r>
            <w:rPr>
              <w:rFonts w:hint="default" w:ascii="Times New Roman" w:hAnsi="Times New Roman" w:eastAsia="宋体" w:cs="Times New Roman"/>
              <w:bCs/>
              <w:kern w:val="44"/>
              <w:szCs w:val="44"/>
              <w:lang w:eastAsia="zh-CN"/>
            </w:rPr>
            <w:t>3 术语和定义</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_Toc18355 \h </w:instrText>
          </w:r>
          <w:r>
            <w:rPr>
              <w:rFonts w:hint="default" w:ascii="Times New Roman" w:hAnsi="Times New Roman" w:eastAsia="宋体" w:cs="Times New Roman"/>
            </w:rPr>
            <w:fldChar w:fldCharType="separate"/>
          </w:r>
          <w:r>
            <w:rPr>
              <w:rFonts w:hint="default" w:ascii="Times New Roman" w:hAnsi="Times New Roman" w:eastAsia="宋体" w:cs="Times New Roman"/>
            </w:rPr>
            <w:t>4</w:t>
          </w:r>
          <w:r>
            <w:rPr>
              <w:rFonts w:hint="default" w:ascii="Times New Roman" w:hAnsi="Times New Roman" w:eastAsia="宋体" w:cs="Times New Roman"/>
            </w:rPr>
            <w:fldChar w:fldCharType="end"/>
          </w:r>
          <w:r>
            <w:rPr>
              <w:rFonts w:hint="default" w:ascii="Times New Roman" w:hAnsi="Times New Roman" w:eastAsia="宋体" w:cs="Times New Roman"/>
              <w:bCs/>
              <w:kern w:val="44"/>
              <w:lang w:eastAsia="zh-CN"/>
            </w:rPr>
            <w:fldChar w:fldCharType="end"/>
          </w:r>
        </w:p>
        <w:p w14:paraId="5BEF91FD">
          <w:pPr>
            <w:pStyle w:val="9"/>
            <w:tabs>
              <w:tab w:val="right" w:leader="dot" w:pos="8640"/>
            </w:tabs>
            <w:rPr>
              <w:rFonts w:hint="default" w:ascii="Times New Roman" w:hAnsi="Times New Roman" w:eastAsia="宋体" w:cs="Times New Roman"/>
            </w:rPr>
          </w:pPr>
          <w:r>
            <w:rPr>
              <w:rFonts w:hint="default" w:ascii="Times New Roman" w:hAnsi="Times New Roman" w:eastAsia="宋体" w:cs="Times New Roman"/>
              <w:bCs/>
              <w:kern w:val="44"/>
              <w:lang w:eastAsia="zh-CN"/>
            </w:rPr>
            <w:fldChar w:fldCharType="begin"/>
          </w:r>
          <w:r>
            <w:rPr>
              <w:rFonts w:hint="default" w:ascii="Times New Roman" w:hAnsi="Times New Roman" w:eastAsia="宋体" w:cs="Times New Roman"/>
              <w:bCs/>
              <w:kern w:val="44"/>
              <w:lang w:eastAsia="zh-CN"/>
            </w:rPr>
            <w:instrText xml:space="preserve"> HYPERLINK \l _Toc25103 </w:instrText>
          </w:r>
          <w:r>
            <w:rPr>
              <w:rFonts w:hint="default" w:ascii="Times New Roman" w:hAnsi="Times New Roman" w:eastAsia="宋体" w:cs="Times New Roman"/>
              <w:bCs/>
              <w:kern w:val="44"/>
              <w:lang w:eastAsia="zh-CN"/>
            </w:rPr>
            <w:fldChar w:fldCharType="separate"/>
          </w:r>
          <w:r>
            <w:rPr>
              <w:rFonts w:hint="default" w:ascii="Times New Roman" w:hAnsi="Times New Roman" w:eastAsia="宋体" w:cs="Times New Roman"/>
              <w:bCs/>
              <w:kern w:val="44"/>
              <w:szCs w:val="44"/>
              <w:lang w:eastAsia="zh-CN"/>
            </w:rPr>
            <w:t>4 量化目的</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_Toc25103 \h </w:instrText>
          </w:r>
          <w:r>
            <w:rPr>
              <w:rFonts w:hint="default" w:ascii="Times New Roman" w:hAnsi="Times New Roman" w:eastAsia="宋体" w:cs="Times New Roman"/>
            </w:rPr>
            <w:fldChar w:fldCharType="separate"/>
          </w:r>
          <w:r>
            <w:rPr>
              <w:rFonts w:hint="default" w:ascii="Times New Roman" w:hAnsi="Times New Roman" w:eastAsia="宋体" w:cs="Times New Roman"/>
            </w:rPr>
            <w:t>8</w:t>
          </w:r>
          <w:r>
            <w:rPr>
              <w:rFonts w:hint="default" w:ascii="Times New Roman" w:hAnsi="Times New Roman" w:eastAsia="宋体" w:cs="Times New Roman"/>
            </w:rPr>
            <w:fldChar w:fldCharType="end"/>
          </w:r>
          <w:r>
            <w:rPr>
              <w:rFonts w:hint="default" w:ascii="Times New Roman" w:hAnsi="Times New Roman" w:eastAsia="宋体" w:cs="Times New Roman"/>
              <w:bCs/>
              <w:kern w:val="44"/>
              <w:lang w:eastAsia="zh-CN"/>
            </w:rPr>
            <w:fldChar w:fldCharType="end"/>
          </w:r>
        </w:p>
        <w:p w14:paraId="05180C74">
          <w:pPr>
            <w:pStyle w:val="9"/>
            <w:tabs>
              <w:tab w:val="right" w:leader="dot" w:pos="8640"/>
            </w:tabs>
            <w:rPr>
              <w:rFonts w:hint="default" w:ascii="Times New Roman" w:hAnsi="Times New Roman" w:eastAsia="宋体" w:cs="Times New Roman"/>
            </w:rPr>
          </w:pPr>
          <w:r>
            <w:rPr>
              <w:rFonts w:hint="default" w:ascii="Times New Roman" w:hAnsi="Times New Roman" w:eastAsia="宋体" w:cs="Times New Roman"/>
              <w:bCs/>
              <w:kern w:val="44"/>
              <w:lang w:eastAsia="zh-CN"/>
            </w:rPr>
            <w:fldChar w:fldCharType="begin"/>
          </w:r>
          <w:r>
            <w:rPr>
              <w:rFonts w:hint="default" w:ascii="Times New Roman" w:hAnsi="Times New Roman" w:eastAsia="宋体" w:cs="Times New Roman"/>
              <w:bCs/>
              <w:kern w:val="44"/>
              <w:lang w:eastAsia="zh-CN"/>
            </w:rPr>
            <w:instrText xml:space="preserve"> HYPERLINK \l _Toc4513 </w:instrText>
          </w:r>
          <w:r>
            <w:rPr>
              <w:rFonts w:hint="default" w:ascii="Times New Roman" w:hAnsi="Times New Roman" w:eastAsia="宋体" w:cs="Times New Roman"/>
              <w:bCs/>
              <w:kern w:val="44"/>
              <w:lang w:eastAsia="zh-CN"/>
            </w:rPr>
            <w:fldChar w:fldCharType="separate"/>
          </w:r>
          <w:r>
            <w:rPr>
              <w:rFonts w:hint="default" w:ascii="Times New Roman" w:hAnsi="Times New Roman" w:eastAsia="宋体" w:cs="Times New Roman"/>
              <w:bCs/>
              <w:kern w:val="44"/>
              <w:szCs w:val="44"/>
              <w:lang w:eastAsia="zh-CN"/>
            </w:rPr>
            <w:t>5 量化范围</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_Toc4513 \h </w:instrText>
          </w:r>
          <w:r>
            <w:rPr>
              <w:rFonts w:hint="default" w:ascii="Times New Roman" w:hAnsi="Times New Roman" w:eastAsia="宋体" w:cs="Times New Roman"/>
            </w:rPr>
            <w:fldChar w:fldCharType="separate"/>
          </w:r>
          <w:r>
            <w:rPr>
              <w:rFonts w:hint="default" w:ascii="Times New Roman" w:hAnsi="Times New Roman" w:eastAsia="宋体" w:cs="Times New Roman"/>
            </w:rPr>
            <w:t>9</w:t>
          </w:r>
          <w:r>
            <w:rPr>
              <w:rFonts w:hint="default" w:ascii="Times New Roman" w:hAnsi="Times New Roman" w:eastAsia="宋体" w:cs="Times New Roman"/>
            </w:rPr>
            <w:fldChar w:fldCharType="end"/>
          </w:r>
          <w:r>
            <w:rPr>
              <w:rFonts w:hint="default" w:ascii="Times New Roman" w:hAnsi="Times New Roman" w:eastAsia="宋体" w:cs="Times New Roman"/>
              <w:bCs/>
              <w:kern w:val="44"/>
              <w:lang w:eastAsia="zh-CN"/>
            </w:rPr>
            <w:fldChar w:fldCharType="end"/>
          </w:r>
        </w:p>
        <w:p w14:paraId="676AF574">
          <w:pPr>
            <w:pStyle w:val="9"/>
            <w:tabs>
              <w:tab w:val="right" w:leader="dot" w:pos="8640"/>
            </w:tabs>
            <w:rPr>
              <w:rFonts w:hint="default" w:ascii="Times New Roman" w:hAnsi="Times New Roman" w:eastAsia="宋体" w:cs="Times New Roman"/>
            </w:rPr>
          </w:pPr>
          <w:r>
            <w:rPr>
              <w:rFonts w:hint="default" w:ascii="Times New Roman" w:hAnsi="Times New Roman" w:eastAsia="宋体" w:cs="Times New Roman"/>
              <w:bCs/>
              <w:kern w:val="44"/>
              <w:lang w:eastAsia="zh-CN"/>
            </w:rPr>
            <w:fldChar w:fldCharType="begin"/>
          </w:r>
          <w:r>
            <w:rPr>
              <w:rFonts w:hint="default" w:ascii="Times New Roman" w:hAnsi="Times New Roman" w:eastAsia="宋体" w:cs="Times New Roman"/>
              <w:bCs/>
              <w:kern w:val="44"/>
              <w:lang w:eastAsia="zh-CN"/>
            </w:rPr>
            <w:instrText xml:space="preserve"> HYPERLINK \l _Toc24620 </w:instrText>
          </w:r>
          <w:r>
            <w:rPr>
              <w:rFonts w:hint="default" w:ascii="Times New Roman" w:hAnsi="Times New Roman" w:eastAsia="宋体" w:cs="Times New Roman"/>
              <w:bCs/>
              <w:kern w:val="44"/>
              <w:lang w:eastAsia="zh-CN"/>
            </w:rPr>
            <w:fldChar w:fldCharType="separate"/>
          </w:r>
          <w:r>
            <w:rPr>
              <w:rFonts w:hint="default" w:ascii="Times New Roman" w:hAnsi="Times New Roman" w:eastAsia="宋体" w:cs="Times New Roman"/>
              <w:bCs/>
              <w:kern w:val="44"/>
              <w:szCs w:val="44"/>
              <w:lang w:eastAsia="zh-CN"/>
            </w:rPr>
            <w:t>6 数据和质量</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_Toc24620 \h </w:instrText>
          </w:r>
          <w:r>
            <w:rPr>
              <w:rFonts w:hint="default" w:ascii="Times New Roman" w:hAnsi="Times New Roman" w:eastAsia="宋体" w:cs="Times New Roman"/>
            </w:rPr>
            <w:fldChar w:fldCharType="separate"/>
          </w:r>
          <w:r>
            <w:rPr>
              <w:rFonts w:hint="default" w:ascii="Times New Roman" w:hAnsi="Times New Roman" w:eastAsia="宋体" w:cs="Times New Roman"/>
            </w:rPr>
            <w:t>11</w:t>
          </w:r>
          <w:r>
            <w:rPr>
              <w:rFonts w:hint="default" w:ascii="Times New Roman" w:hAnsi="Times New Roman" w:eastAsia="宋体" w:cs="Times New Roman"/>
            </w:rPr>
            <w:fldChar w:fldCharType="end"/>
          </w:r>
          <w:r>
            <w:rPr>
              <w:rFonts w:hint="default" w:ascii="Times New Roman" w:hAnsi="Times New Roman" w:eastAsia="宋体" w:cs="Times New Roman"/>
              <w:bCs/>
              <w:kern w:val="44"/>
              <w:lang w:eastAsia="zh-CN"/>
            </w:rPr>
            <w:fldChar w:fldCharType="end"/>
          </w:r>
        </w:p>
        <w:p w14:paraId="00806328">
          <w:pPr>
            <w:pStyle w:val="9"/>
            <w:tabs>
              <w:tab w:val="right" w:leader="dot" w:pos="8640"/>
            </w:tabs>
            <w:rPr>
              <w:rFonts w:hint="default" w:ascii="Times New Roman" w:hAnsi="Times New Roman" w:eastAsia="宋体" w:cs="Times New Roman"/>
            </w:rPr>
          </w:pPr>
          <w:r>
            <w:rPr>
              <w:rFonts w:hint="default" w:ascii="Times New Roman" w:hAnsi="Times New Roman" w:eastAsia="宋体" w:cs="Times New Roman"/>
              <w:bCs/>
              <w:kern w:val="44"/>
              <w:lang w:eastAsia="zh-CN"/>
            </w:rPr>
            <w:fldChar w:fldCharType="begin"/>
          </w:r>
          <w:r>
            <w:rPr>
              <w:rFonts w:hint="default" w:ascii="Times New Roman" w:hAnsi="Times New Roman" w:eastAsia="宋体" w:cs="Times New Roman"/>
              <w:bCs/>
              <w:kern w:val="44"/>
              <w:lang w:eastAsia="zh-CN"/>
            </w:rPr>
            <w:instrText xml:space="preserve"> HYPERLINK \l _Toc4403 </w:instrText>
          </w:r>
          <w:r>
            <w:rPr>
              <w:rFonts w:hint="default" w:ascii="Times New Roman" w:hAnsi="Times New Roman" w:eastAsia="宋体" w:cs="Times New Roman"/>
              <w:bCs/>
              <w:kern w:val="44"/>
              <w:lang w:eastAsia="zh-CN"/>
            </w:rPr>
            <w:fldChar w:fldCharType="separate"/>
          </w:r>
          <w:r>
            <w:rPr>
              <w:rFonts w:hint="default" w:ascii="Times New Roman" w:hAnsi="Times New Roman" w:eastAsia="宋体" w:cs="Times New Roman"/>
              <w:bCs/>
              <w:kern w:val="44"/>
              <w:szCs w:val="44"/>
              <w:lang w:val="en-US" w:eastAsia="zh-CN"/>
            </w:rPr>
            <w:t>7</w:t>
          </w:r>
          <w:r>
            <w:rPr>
              <w:rFonts w:hint="default" w:ascii="Times New Roman" w:hAnsi="Times New Roman" w:eastAsia="宋体" w:cs="Times New Roman"/>
              <w:bCs/>
              <w:kern w:val="44"/>
              <w:szCs w:val="44"/>
              <w:lang w:eastAsia="zh-CN"/>
            </w:rPr>
            <w:t xml:space="preserve"> </w:t>
          </w:r>
          <w:r>
            <w:rPr>
              <w:rFonts w:hint="default" w:ascii="Times New Roman" w:hAnsi="Times New Roman" w:eastAsia="宋体" w:cs="Times New Roman"/>
              <w:bCs/>
              <w:kern w:val="44"/>
              <w:szCs w:val="44"/>
              <w:lang w:val="en-US" w:eastAsia="zh-CN"/>
            </w:rPr>
            <w:t>产品碳足迹计算方法</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_Toc4403 \h </w:instrText>
          </w:r>
          <w:r>
            <w:rPr>
              <w:rFonts w:hint="default" w:ascii="Times New Roman" w:hAnsi="Times New Roman" w:eastAsia="宋体" w:cs="Times New Roman"/>
            </w:rPr>
            <w:fldChar w:fldCharType="separate"/>
          </w:r>
          <w:r>
            <w:rPr>
              <w:rFonts w:hint="default" w:ascii="Times New Roman" w:hAnsi="Times New Roman" w:eastAsia="宋体" w:cs="Times New Roman"/>
            </w:rPr>
            <w:t>14</w:t>
          </w:r>
          <w:r>
            <w:rPr>
              <w:rFonts w:hint="default" w:ascii="Times New Roman" w:hAnsi="Times New Roman" w:eastAsia="宋体" w:cs="Times New Roman"/>
            </w:rPr>
            <w:fldChar w:fldCharType="end"/>
          </w:r>
          <w:r>
            <w:rPr>
              <w:rFonts w:hint="default" w:ascii="Times New Roman" w:hAnsi="Times New Roman" w:eastAsia="宋体" w:cs="Times New Roman"/>
              <w:bCs/>
              <w:kern w:val="44"/>
              <w:lang w:eastAsia="zh-CN"/>
            </w:rPr>
            <w:fldChar w:fldCharType="end"/>
          </w:r>
        </w:p>
        <w:p w14:paraId="2C650C16">
          <w:pPr>
            <w:pStyle w:val="9"/>
            <w:tabs>
              <w:tab w:val="right" w:leader="dot" w:pos="8640"/>
            </w:tabs>
            <w:rPr>
              <w:rFonts w:hint="default" w:ascii="Times New Roman" w:hAnsi="Times New Roman" w:eastAsia="宋体" w:cs="Times New Roman"/>
            </w:rPr>
          </w:pPr>
          <w:r>
            <w:rPr>
              <w:rFonts w:hint="default" w:ascii="Times New Roman" w:hAnsi="Times New Roman" w:eastAsia="宋体" w:cs="Times New Roman"/>
              <w:bCs/>
              <w:kern w:val="44"/>
              <w:lang w:eastAsia="zh-CN"/>
            </w:rPr>
            <w:fldChar w:fldCharType="begin"/>
          </w:r>
          <w:r>
            <w:rPr>
              <w:rFonts w:hint="default" w:ascii="Times New Roman" w:hAnsi="Times New Roman" w:eastAsia="宋体" w:cs="Times New Roman"/>
              <w:bCs/>
              <w:kern w:val="44"/>
              <w:lang w:eastAsia="zh-CN"/>
            </w:rPr>
            <w:instrText xml:space="preserve"> HYPERLINK \l _Toc19156 </w:instrText>
          </w:r>
          <w:r>
            <w:rPr>
              <w:rFonts w:hint="default" w:ascii="Times New Roman" w:hAnsi="Times New Roman" w:eastAsia="宋体" w:cs="Times New Roman"/>
              <w:bCs/>
              <w:kern w:val="44"/>
              <w:lang w:eastAsia="zh-CN"/>
            </w:rPr>
            <w:fldChar w:fldCharType="separate"/>
          </w:r>
          <w:r>
            <w:rPr>
              <w:rFonts w:hint="default" w:ascii="Times New Roman" w:hAnsi="Times New Roman" w:eastAsia="宋体" w:cs="Times New Roman"/>
              <w:bCs/>
              <w:kern w:val="44"/>
              <w:szCs w:val="44"/>
              <w:lang w:val="en-US" w:eastAsia="zh-CN"/>
            </w:rPr>
            <w:t>8</w:t>
          </w:r>
          <w:r>
            <w:rPr>
              <w:rFonts w:hint="default" w:ascii="Times New Roman" w:hAnsi="Times New Roman" w:eastAsia="宋体" w:cs="Times New Roman"/>
              <w:bCs/>
              <w:kern w:val="44"/>
              <w:szCs w:val="44"/>
              <w:lang w:eastAsia="zh-CN"/>
            </w:rPr>
            <w:t xml:space="preserve"> 结果解释</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_Toc19156 \h </w:instrText>
          </w:r>
          <w:r>
            <w:rPr>
              <w:rFonts w:hint="default" w:ascii="Times New Roman" w:hAnsi="Times New Roman" w:eastAsia="宋体" w:cs="Times New Roman"/>
            </w:rPr>
            <w:fldChar w:fldCharType="separate"/>
          </w:r>
          <w:r>
            <w:rPr>
              <w:rFonts w:hint="default" w:ascii="Times New Roman" w:hAnsi="Times New Roman" w:eastAsia="宋体" w:cs="Times New Roman"/>
            </w:rPr>
            <w:t>17</w:t>
          </w:r>
          <w:r>
            <w:rPr>
              <w:rFonts w:hint="default" w:ascii="Times New Roman" w:hAnsi="Times New Roman" w:eastAsia="宋体" w:cs="Times New Roman"/>
            </w:rPr>
            <w:fldChar w:fldCharType="end"/>
          </w:r>
          <w:r>
            <w:rPr>
              <w:rFonts w:hint="default" w:ascii="Times New Roman" w:hAnsi="Times New Roman" w:eastAsia="宋体" w:cs="Times New Roman"/>
              <w:bCs/>
              <w:kern w:val="44"/>
              <w:lang w:eastAsia="zh-CN"/>
            </w:rPr>
            <w:fldChar w:fldCharType="end"/>
          </w:r>
        </w:p>
        <w:p w14:paraId="53828B43">
          <w:pPr>
            <w:pStyle w:val="9"/>
            <w:tabs>
              <w:tab w:val="right" w:leader="dot" w:pos="8640"/>
            </w:tabs>
            <w:rPr>
              <w:rFonts w:hint="default" w:ascii="Times New Roman" w:hAnsi="Times New Roman" w:eastAsia="宋体" w:cs="Times New Roman"/>
            </w:rPr>
          </w:pPr>
          <w:r>
            <w:rPr>
              <w:rFonts w:hint="default" w:ascii="Times New Roman" w:hAnsi="Times New Roman" w:eastAsia="宋体" w:cs="Times New Roman"/>
              <w:bCs/>
              <w:kern w:val="44"/>
              <w:lang w:eastAsia="zh-CN"/>
            </w:rPr>
            <w:fldChar w:fldCharType="begin"/>
          </w:r>
          <w:r>
            <w:rPr>
              <w:rFonts w:hint="default" w:ascii="Times New Roman" w:hAnsi="Times New Roman" w:eastAsia="宋体" w:cs="Times New Roman"/>
              <w:bCs/>
              <w:kern w:val="44"/>
              <w:lang w:eastAsia="zh-CN"/>
            </w:rPr>
            <w:instrText xml:space="preserve"> HYPERLINK \l _Toc4034 </w:instrText>
          </w:r>
          <w:r>
            <w:rPr>
              <w:rFonts w:hint="default" w:ascii="Times New Roman" w:hAnsi="Times New Roman" w:eastAsia="宋体" w:cs="Times New Roman"/>
              <w:bCs/>
              <w:kern w:val="44"/>
              <w:lang w:eastAsia="zh-CN"/>
            </w:rPr>
            <w:fldChar w:fldCharType="separate"/>
          </w:r>
          <w:r>
            <w:rPr>
              <w:rFonts w:hint="default" w:ascii="Times New Roman" w:hAnsi="Times New Roman" w:eastAsia="宋体" w:cs="Times New Roman"/>
              <w:bCs/>
              <w:kern w:val="44"/>
              <w:szCs w:val="44"/>
              <w:lang w:val="en-US" w:eastAsia="zh-CN"/>
            </w:rPr>
            <w:t>9</w:t>
          </w:r>
          <w:r>
            <w:rPr>
              <w:rFonts w:hint="default" w:ascii="Times New Roman" w:hAnsi="Times New Roman" w:eastAsia="宋体" w:cs="Times New Roman"/>
              <w:bCs/>
              <w:kern w:val="44"/>
              <w:szCs w:val="44"/>
              <w:lang w:eastAsia="zh-CN"/>
            </w:rPr>
            <w:t xml:space="preserve"> 产品碳足迹报告</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_Toc4034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w:t>
          </w:r>
          <w:r>
            <w:rPr>
              <w:rFonts w:hint="default" w:ascii="Times New Roman" w:hAnsi="Times New Roman" w:eastAsia="宋体" w:cs="Times New Roman"/>
            </w:rPr>
            <w:fldChar w:fldCharType="end"/>
          </w:r>
          <w:r>
            <w:rPr>
              <w:rFonts w:hint="default" w:ascii="Times New Roman" w:hAnsi="Times New Roman" w:eastAsia="宋体" w:cs="Times New Roman"/>
              <w:bCs/>
              <w:kern w:val="44"/>
              <w:lang w:eastAsia="zh-CN"/>
            </w:rPr>
            <w:fldChar w:fldCharType="end"/>
          </w:r>
        </w:p>
        <w:p w14:paraId="7B7C8D73">
          <w:pPr>
            <w:pStyle w:val="9"/>
            <w:tabs>
              <w:tab w:val="right" w:leader="dot" w:pos="8640"/>
            </w:tabs>
            <w:rPr>
              <w:rFonts w:hint="default" w:ascii="Times New Roman" w:hAnsi="Times New Roman" w:eastAsia="宋体" w:cs="Times New Roman"/>
            </w:rPr>
          </w:pPr>
          <w:r>
            <w:rPr>
              <w:rFonts w:hint="default" w:ascii="Times New Roman" w:hAnsi="Times New Roman" w:eastAsia="宋体" w:cs="Times New Roman"/>
              <w:bCs/>
              <w:kern w:val="44"/>
              <w:lang w:eastAsia="zh-CN"/>
            </w:rPr>
            <w:fldChar w:fldCharType="begin"/>
          </w:r>
          <w:r>
            <w:rPr>
              <w:rFonts w:hint="default" w:ascii="Times New Roman" w:hAnsi="Times New Roman" w:eastAsia="宋体" w:cs="Times New Roman"/>
              <w:bCs/>
              <w:kern w:val="44"/>
              <w:lang w:eastAsia="zh-CN"/>
            </w:rPr>
            <w:instrText xml:space="preserve"> HYPERLINK \l _Toc9143 </w:instrText>
          </w:r>
          <w:r>
            <w:rPr>
              <w:rFonts w:hint="default" w:ascii="Times New Roman" w:hAnsi="Times New Roman" w:eastAsia="宋体" w:cs="Times New Roman"/>
              <w:bCs/>
              <w:kern w:val="44"/>
              <w:lang w:eastAsia="zh-CN"/>
            </w:rPr>
            <w:fldChar w:fldCharType="separate"/>
          </w:r>
          <w:r>
            <w:rPr>
              <w:rFonts w:hint="default" w:ascii="Times New Roman" w:hAnsi="Times New Roman" w:eastAsia="宋体" w:cs="Times New Roman"/>
              <w:bCs/>
              <w:kern w:val="44"/>
              <w:szCs w:val="44"/>
              <w:lang w:val="en-US" w:eastAsia="zh-CN"/>
            </w:rPr>
            <w:t>10</w:t>
          </w:r>
          <w:r>
            <w:rPr>
              <w:rFonts w:hint="default" w:ascii="Times New Roman" w:hAnsi="Times New Roman" w:eastAsia="宋体" w:cs="Times New Roman"/>
              <w:bCs/>
              <w:kern w:val="44"/>
              <w:szCs w:val="44"/>
              <w:lang w:eastAsia="zh-CN"/>
            </w:rPr>
            <w:t xml:space="preserve"> 产品碳足迹</w:t>
          </w:r>
          <w:r>
            <w:rPr>
              <w:rFonts w:hint="default" w:ascii="Times New Roman" w:hAnsi="Times New Roman" w:eastAsia="宋体" w:cs="Times New Roman"/>
              <w:bCs/>
              <w:kern w:val="44"/>
              <w:szCs w:val="44"/>
              <w:lang w:val="en-US" w:eastAsia="zh-CN"/>
            </w:rPr>
            <w:t>声明</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_Toc9143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w:t>
          </w:r>
          <w:r>
            <w:rPr>
              <w:rFonts w:hint="default" w:ascii="Times New Roman" w:hAnsi="Times New Roman" w:eastAsia="宋体" w:cs="Times New Roman"/>
            </w:rPr>
            <w:fldChar w:fldCharType="end"/>
          </w:r>
          <w:r>
            <w:rPr>
              <w:rFonts w:hint="default" w:ascii="Times New Roman" w:hAnsi="Times New Roman" w:eastAsia="宋体" w:cs="Times New Roman"/>
              <w:bCs/>
              <w:kern w:val="44"/>
              <w:lang w:eastAsia="zh-CN"/>
            </w:rPr>
            <w:fldChar w:fldCharType="end"/>
          </w:r>
        </w:p>
        <w:p w14:paraId="2FB98873">
          <w:pPr>
            <w:pStyle w:val="9"/>
            <w:tabs>
              <w:tab w:val="right" w:leader="dot" w:pos="8640"/>
            </w:tabs>
            <w:rPr>
              <w:rFonts w:hint="default" w:ascii="Times New Roman" w:hAnsi="Times New Roman" w:eastAsia="宋体" w:cs="Times New Roman"/>
            </w:rPr>
          </w:pPr>
          <w:r>
            <w:rPr>
              <w:rFonts w:hint="default" w:ascii="Times New Roman" w:hAnsi="Times New Roman" w:eastAsia="宋体" w:cs="Times New Roman"/>
              <w:bCs/>
              <w:kern w:val="44"/>
              <w:lang w:eastAsia="zh-CN"/>
            </w:rPr>
            <w:fldChar w:fldCharType="begin"/>
          </w:r>
          <w:r>
            <w:rPr>
              <w:rFonts w:hint="default" w:ascii="Times New Roman" w:hAnsi="Times New Roman" w:eastAsia="宋体" w:cs="Times New Roman"/>
              <w:bCs/>
              <w:kern w:val="44"/>
              <w:lang w:eastAsia="zh-CN"/>
            </w:rPr>
            <w:instrText xml:space="preserve"> HYPERLINK \l _Toc22283 </w:instrText>
          </w:r>
          <w:r>
            <w:rPr>
              <w:rFonts w:hint="default" w:ascii="Times New Roman" w:hAnsi="Times New Roman" w:eastAsia="宋体" w:cs="Times New Roman"/>
              <w:bCs/>
              <w:kern w:val="44"/>
              <w:lang w:eastAsia="zh-CN"/>
            </w:rPr>
            <w:fldChar w:fldCharType="separate"/>
          </w:r>
          <w:r>
            <w:rPr>
              <w:rFonts w:hint="default" w:ascii="Times New Roman" w:hAnsi="Times New Roman" w:eastAsia="宋体" w:cs="Times New Roman"/>
              <w:bCs/>
              <w:kern w:val="44"/>
              <w:szCs w:val="44"/>
              <w:lang w:eastAsia="zh-CN"/>
            </w:rPr>
            <w:t>附录A</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_Toc22283 \h </w:instrText>
          </w:r>
          <w:r>
            <w:rPr>
              <w:rFonts w:hint="default" w:ascii="Times New Roman" w:hAnsi="Times New Roman" w:eastAsia="宋体" w:cs="Times New Roman"/>
            </w:rPr>
            <w:fldChar w:fldCharType="separate"/>
          </w:r>
          <w:r>
            <w:rPr>
              <w:rFonts w:hint="default" w:ascii="Times New Roman" w:hAnsi="Times New Roman" w:eastAsia="宋体" w:cs="Times New Roman"/>
            </w:rPr>
            <w:t>21</w:t>
          </w:r>
          <w:r>
            <w:rPr>
              <w:rFonts w:hint="default" w:ascii="Times New Roman" w:hAnsi="Times New Roman" w:eastAsia="宋体" w:cs="Times New Roman"/>
            </w:rPr>
            <w:fldChar w:fldCharType="end"/>
          </w:r>
          <w:r>
            <w:rPr>
              <w:rFonts w:hint="default" w:ascii="Times New Roman" w:hAnsi="Times New Roman" w:eastAsia="宋体" w:cs="Times New Roman"/>
              <w:bCs/>
              <w:kern w:val="44"/>
              <w:lang w:eastAsia="zh-CN"/>
            </w:rPr>
            <w:fldChar w:fldCharType="end"/>
          </w:r>
        </w:p>
        <w:p w14:paraId="6FD628C4">
          <w:pPr>
            <w:pStyle w:val="9"/>
            <w:tabs>
              <w:tab w:val="right" w:leader="dot" w:pos="8640"/>
            </w:tabs>
            <w:rPr>
              <w:rFonts w:hint="default" w:ascii="Times New Roman" w:hAnsi="Times New Roman" w:eastAsia="宋体" w:cs="Times New Roman"/>
            </w:rPr>
          </w:pPr>
          <w:r>
            <w:rPr>
              <w:rFonts w:hint="default" w:ascii="Times New Roman" w:hAnsi="Times New Roman" w:eastAsia="宋体" w:cs="Times New Roman"/>
              <w:bCs/>
              <w:kern w:val="44"/>
              <w:lang w:eastAsia="zh-CN"/>
            </w:rPr>
            <w:fldChar w:fldCharType="begin"/>
          </w:r>
          <w:r>
            <w:rPr>
              <w:rFonts w:hint="default" w:ascii="Times New Roman" w:hAnsi="Times New Roman" w:eastAsia="宋体" w:cs="Times New Roman"/>
              <w:bCs/>
              <w:kern w:val="44"/>
              <w:lang w:eastAsia="zh-CN"/>
            </w:rPr>
            <w:instrText xml:space="preserve"> HYPERLINK \l _Toc26919 </w:instrText>
          </w:r>
          <w:r>
            <w:rPr>
              <w:rFonts w:hint="default" w:ascii="Times New Roman" w:hAnsi="Times New Roman" w:eastAsia="宋体" w:cs="Times New Roman"/>
              <w:bCs/>
              <w:kern w:val="44"/>
              <w:lang w:eastAsia="zh-CN"/>
            </w:rPr>
            <w:fldChar w:fldCharType="separate"/>
          </w:r>
          <w:r>
            <w:rPr>
              <w:rFonts w:hint="default" w:ascii="Times New Roman" w:hAnsi="Times New Roman" w:eastAsia="宋体" w:cs="Times New Roman"/>
              <w:bCs/>
              <w:kern w:val="44"/>
              <w:szCs w:val="44"/>
              <w:lang w:eastAsia="zh-CN"/>
            </w:rPr>
            <w:t>附录B</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_Toc26919 \h </w:instrText>
          </w:r>
          <w:r>
            <w:rPr>
              <w:rFonts w:hint="default" w:ascii="Times New Roman" w:hAnsi="Times New Roman" w:eastAsia="宋体" w:cs="Times New Roman"/>
            </w:rPr>
            <w:fldChar w:fldCharType="separate"/>
          </w:r>
          <w:r>
            <w:rPr>
              <w:rFonts w:hint="default" w:ascii="Times New Roman" w:hAnsi="Times New Roman" w:eastAsia="宋体" w:cs="Times New Roman"/>
            </w:rPr>
            <w:t>22</w:t>
          </w:r>
          <w:r>
            <w:rPr>
              <w:rFonts w:hint="default" w:ascii="Times New Roman" w:hAnsi="Times New Roman" w:eastAsia="宋体" w:cs="Times New Roman"/>
            </w:rPr>
            <w:fldChar w:fldCharType="end"/>
          </w:r>
          <w:r>
            <w:rPr>
              <w:rFonts w:hint="default" w:ascii="Times New Roman" w:hAnsi="Times New Roman" w:eastAsia="宋体" w:cs="Times New Roman"/>
              <w:bCs/>
              <w:kern w:val="44"/>
              <w:lang w:eastAsia="zh-CN"/>
            </w:rPr>
            <w:fldChar w:fldCharType="end"/>
          </w:r>
        </w:p>
        <w:p w14:paraId="299EBC02">
          <w:pPr>
            <w:pStyle w:val="9"/>
            <w:tabs>
              <w:tab w:val="right" w:leader="dot" w:pos="8640"/>
            </w:tabs>
            <w:rPr>
              <w:rFonts w:hint="default" w:ascii="Times New Roman" w:hAnsi="Times New Roman" w:eastAsia="宋体" w:cs="Times New Roman"/>
            </w:rPr>
          </w:pPr>
          <w:r>
            <w:rPr>
              <w:rFonts w:hint="default" w:ascii="Times New Roman" w:hAnsi="Times New Roman" w:eastAsia="宋体" w:cs="Times New Roman"/>
              <w:bCs/>
              <w:kern w:val="44"/>
              <w:lang w:eastAsia="zh-CN"/>
            </w:rPr>
            <w:fldChar w:fldCharType="begin"/>
          </w:r>
          <w:r>
            <w:rPr>
              <w:rFonts w:hint="default" w:ascii="Times New Roman" w:hAnsi="Times New Roman" w:eastAsia="宋体" w:cs="Times New Roman"/>
              <w:bCs/>
              <w:kern w:val="44"/>
              <w:lang w:eastAsia="zh-CN"/>
            </w:rPr>
            <w:instrText xml:space="preserve"> HYPERLINK \l _Toc378 </w:instrText>
          </w:r>
          <w:r>
            <w:rPr>
              <w:rFonts w:hint="default" w:ascii="Times New Roman" w:hAnsi="Times New Roman" w:eastAsia="宋体" w:cs="Times New Roman"/>
              <w:bCs/>
              <w:kern w:val="44"/>
              <w:lang w:eastAsia="zh-CN"/>
            </w:rPr>
            <w:fldChar w:fldCharType="separate"/>
          </w:r>
          <w:r>
            <w:rPr>
              <w:rFonts w:hint="default" w:ascii="Times New Roman" w:hAnsi="Times New Roman" w:eastAsia="宋体" w:cs="Times New Roman"/>
              <w:bCs/>
              <w:kern w:val="44"/>
              <w:szCs w:val="44"/>
              <w:lang w:eastAsia="zh-CN"/>
            </w:rPr>
            <w:t>附录C</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_Toc378 \h </w:instrText>
          </w:r>
          <w:r>
            <w:rPr>
              <w:rFonts w:hint="default" w:ascii="Times New Roman" w:hAnsi="Times New Roman" w:eastAsia="宋体" w:cs="Times New Roman"/>
            </w:rPr>
            <w:fldChar w:fldCharType="separate"/>
          </w:r>
          <w:r>
            <w:rPr>
              <w:rFonts w:hint="default" w:ascii="Times New Roman" w:hAnsi="Times New Roman" w:eastAsia="宋体" w:cs="Times New Roman"/>
            </w:rPr>
            <w:t>24</w:t>
          </w:r>
          <w:r>
            <w:rPr>
              <w:rFonts w:hint="default" w:ascii="Times New Roman" w:hAnsi="Times New Roman" w:eastAsia="宋体" w:cs="Times New Roman"/>
            </w:rPr>
            <w:fldChar w:fldCharType="end"/>
          </w:r>
          <w:r>
            <w:rPr>
              <w:rFonts w:hint="default" w:ascii="Times New Roman" w:hAnsi="Times New Roman" w:eastAsia="宋体" w:cs="Times New Roman"/>
              <w:bCs/>
              <w:kern w:val="44"/>
              <w:lang w:eastAsia="zh-CN"/>
            </w:rPr>
            <w:fldChar w:fldCharType="end"/>
          </w:r>
        </w:p>
        <w:p w14:paraId="2339FF1C">
          <w:pPr>
            <w:pStyle w:val="9"/>
            <w:tabs>
              <w:tab w:val="right" w:leader="dot" w:pos="8640"/>
            </w:tabs>
            <w:rPr>
              <w:rFonts w:hint="default" w:ascii="Times New Roman" w:hAnsi="Times New Roman" w:eastAsia="宋体" w:cs="Times New Roman"/>
            </w:rPr>
          </w:pPr>
          <w:r>
            <w:rPr>
              <w:rFonts w:hint="default" w:ascii="Times New Roman" w:hAnsi="Times New Roman" w:eastAsia="宋体" w:cs="Times New Roman"/>
              <w:bCs/>
              <w:kern w:val="44"/>
              <w:lang w:eastAsia="zh-CN"/>
            </w:rPr>
            <w:fldChar w:fldCharType="begin"/>
          </w:r>
          <w:r>
            <w:rPr>
              <w:rFonts w:hint="default" w:ascii="Times New Roman" w:hAnsi="Times New Roman" w:eastAsia="宋体" w:cs="Times New Roman"/>
              <w:bCs/>
              <w:kern w:val="44"/>
              <w:lang w:eastAsia="zh-CN"/>
            </w:rPr>
            <w:instrText xml:space="preserve"> HYPERLINK \l _Toc5051 </w:instrText>
          </w:r>
          <w:r>
            <w:rPr>
              <w:rFonts w:hint="default" w:ascii="Times New Roman" w:hAnsi="Times New Roman" w:eastAsia="宋体" w:cs="Times New Roman"/>
              <w:bCs/>
              <w:kern w:val="44"/>
              <w:lang w:eastAsia="zh-CN"/>
            </w:rPr>
            <w:fldChar w:fldCharType="separate"/>
          </w:r>
          <w:r>
            <w:rPr>
              <w:rFonts w:hint="default" w:ascii="Times New Roman" w:hAnsi="Times New Roman" w:eastAsia="宋体" w:cs="Times New Roman"/>
              <w:bCs/>
              <w:kern w:val="44"/>
              <w:szCs w:val="44"/>
              <w:lang w:eastAsia="zh-CN"/>
            </w:rPr>
            <w:t>附录</w:t>
          </w:r>
          <w:r>
            <w:rPr>
              <w:rFonts w:hint="default" w:ascii="Times New Roman" w:hAnsi="Times New Roman" w:eastAsia="宋体" w:cs="Times New Roman"/>
              <w:bCs/>
              <w:kern w:val="44"/>
              <w:szCs w:val="44"/>
              <w:lang w:val="en-US" w:eastAsia="zh-CN"/>
            </w:rPr>
            <w:t>D</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_Toc5051 \h </w:instrText>
          </w:r>
          <w:r>
            <w:rPr>
              <w:rFonts w:hint="default" w:ascii="Times New Roman" w:hAnsi="Times New Roman" w:eastAsia="宋体" w:cs="Times New Roman"/>
            </w:rPr>
            <w:fldChar w:fldCharType="separate"/>
          </w:r>
          <w:r>
            <w:rPr>
              <w:rFonts w:hint="default" w:ascii="Times New Roman" w:hAnsi="Times New Roman" w:eastAsia="宋体" w:cs="Times New Roman"/>
            </w:rPr>
            <w:t>25</w:t>
          </w:r>
          <w:r>
            <w:rPr>
              <w:rFonts w:hint="default" w:ascii="Times New Roman" w:hAnsi="Times New Roman" w:eastAsia="宋体" w:cs="Times New Roman"/>
            </w:rPr>
            <w:fldChar w:fldCharType="end"/>
          </w:r>
          <w:r>
            <w:rPr>
              <w:rFonts w:hint="default" w:ascii="Times New Roman" w:hAnsi="Times New Roman" w:eastAsia="宋体" w:cs="Times New Roman"/>
              <w:bCs/>
              <w:kern w:val="44"/>
              <w:lang w:eastAsia="zh-CN"/>
            </w:rPr>
            <w:fldChar w:fldCharType="end"/>
          </w:r>
        </w:p>
        <w:p w14:paraId="6F2B248F">
          <w:pPr>
            <w:pStyle w:val="9"/>
            <w:tabs>
              <w:tab w:val="right" w:leader="dot" w:pos="8640"/>
            </w:tabs>
            <w:rPr>
              <w:rFonts w:hint="default" w:ascii="Times New Roman" w:hAnsi="Times New Roman" w:eastAsia="宋体" w:cs="Times New Roman"/>
            </w:rPr>
          </w:pPr>
          <w:r>
            <w:rPr>
              <w:rFonts w:hint="default" w:ascii="Times New Roman" w:hAnsi="Times New Roman" w:eastAsia="宋体" w:cs="Times New Roman"/>
              <w:bCs/>
              <w:kern w:val="44"/>
              <w:lang w:eastAsia="zh-CN"/>
            </w:rPr>
            <w:fldChar w:fldCharType="begin"/>
          </w:r>
          <w:r>
            <w:rPr>
              <w:rFonts w:hint="default" w:ascii="Times New Roman" w:hAnsi="Times New Roman" w:eastAsia="宋体" w:cs="Times New Roman"/>
              <w:bCs/>
              <w:kern w:val="44"/>
              <w:lang w:eastAsia="zh-CN"/>
            </w:rPr>
            <w:instrText xml:space="preserve"> HYPERLINK \l _Toc13760 </w:instrText>
          </w:r>
          <w:r>
            <w:rPr>
              <w:rFonts w:hint="default" w:ascii="Times New Roman" w:hAnsi="Times New Roman" w:eastAsia="宋体" w:cs="Times New Roman"/>
              <w:bCs/>
              <w:kern w:val="44"/>
              <w:lang w:eastAsia="zh-CN"/>
            </w:rPr>
            <w:fldChar w:fldCharType="separate"/>
          </w:r>
          <w:r>
            <w:rPr>
              <w:rFonts w:hint="default" w:ascii="Times New Roman" w:hAnsi="Times New Roman" w:eastAsia="宋体" w:cs="Times New Roman"/>
              <w:bCs/>
              <w:kern w:val="44"/>
              <w:szCs w:val="44"/>
              <w:lang w:eastAsia="zh-CN"/>
            </w:rPr>
            <w:t>附录</w:t>
          </w:r>
          <w:r>
            <w:rPr>
              <w:rFonts w:hint="default" w:ascii="Times New Roman" w:hAnsi="Times New Roman" w:eastAsia="宋体" w:cs="Times New Roman"/>
              <w:bCs/>
              <w:kern w:val="44"/>
              <w:szCs w:val="44"/>
              <w:lang w:val="en-US" w:eastAsia="zh-CN"/>
            </w:rPr>
            <w:t>E</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_Toc13760 \h </w:instrText>
          </w:r>
          <w:r>
            <w:rPr>
              <w:rFonts w:hint="default" w:ascii="Times New Roman" w:hAnsi="Times New Roman" w:eastAsia="宋体" w:cs="Times New Roman"/>
            </w:rPr>
            <w:fldChar w:fldCharType="separate"/>
          </w:r>
          <w:r>
            <w:rPr>
              <w:rFonts w:hint="default" w:ascii="Times New Roman" w:hAnsi="Times New Roman" w:eastAsia="宋体" w:cs="Times New Roman"/>
            </w:rPr>
            <w:t>29</w:t>
          </w:r>
          <w:r>
            <w:rPr>
              <w:rFonts w:hint="default" w:ascii="Times New Roman" w:hAnsi="Times New Roman" w:eastAsia="宋体" w:cs="Times New Roman"/>
            </w:rPr>
            <w:fldChar w:fldCharType="end"/>
          </w:r>
          <w:r>
            <w:rPr>
              <w:rFonts w:hint="default" w:ascii="Times New Roman" w:hAnsi="Times New Roman" w:eastAsia="宋体" w:cs="Times New Roman"/>
              <w:bCs/>
              <w:kern w:val="44"/>
              <w:lang w:eastAsia="zh-CN"/>
            </w:rPr>
            <w:fldChar w:fldCharType="end"/>
          </w:r>
        </w:p>
        <w:p w14:paraId="62E14EC6">
          <w:pPr>
            <w:pStyle w:val="9"/>
            <w:tabs>
              <w:tab w:val="right" w:leader="dot" w:pos="8640"/>
            </w:tabs>
            <w:rPr>
              <w:rFonts w:hint="default" w:ascii="Times New Roman" w:hAnsi="Times New Roman" w:eastAsia="宋体" w:cs="Times New Roman"/>
            </w:rPr>
          </w:pPr>
          <w:r>
            <w:rPr>
              <w:rFonts w:hint="default" w:ascii="Times New Roman" w:hAnsi="Times New Roman" w:eastAsia="宋体" w:cs="Times New Roman"/>
              <w:bCs/>
              <w:kern w:val="44"/>
              <w:lang w:eastAsia="zh-CN"/>
            </w:rPr>
            <w:fldChar w:fldCharType="begin"/>
          </w:r>
          <w:r>
            <w:rPr>
              <w:rFonts w:hint="default" w:ascii="Times New Roman" w:hAnsi="Times New Roman" w:eastAsia="宋体" w:cs="Times New Roman"/>
              <w:bCs/>
              <w:kern w:val="44"/>
              <w:lang w:eastAsia="zh-CN"/>
            </w:rPr>
            <w:instrText xml:space="preserve"> HYPERLINK \l _Toc17926 </w:instrText>
          </w:r>
          <w:r>
            <w:rPr>
              <w:rFonts w:hint="default" w:ascii="Times New Roman" w:hAnsi="Times New Roman" w:eastAsia="宋体" w:cs="Times New Roman"/>
              <w:bCs/>
              <w:kern w:val="44"/>
              <w:lang w:eastAsia="zh-CN"/>
            </w:rPr>
            <w:fldChar w:fldCharType="separate"/>
          </w:r>
          <w:r>
            <w:rPr>
              <w:rFonts w:hint="default" w:ascii="Times New Roman" w:hAnsi="Times New Roman" w:eastAsia="宋体" w:cs="Times New Roman"/>
              <w:bCs/>
              <w:kern w:val="44"/>
              <w:szCs w:val="44"/>
              <w:lang w:eastAsia="zh-CN"/>
            </w:rPr>
            <w:t>附录</w:t>
          </w:r>
          <w:r>
            <w:rPr>
              <w:rFonts w:hint="default" w:ascii="Times New Roman" w:hAnsi="Times New Roman" w:eastAsia="宋体" w:cs="Times New Roman"/>
              <w:bCs/>
              <w:kern w:val="44"/>
              <w:szCs w:val="44"/>
              <w:lang w:val="en-US" w:eastAsia="zh-CN"/>
            </w:rPr>
            <w:t>F</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_Toc17926 \h </w:instrText>
          </w:r>
          <w:r>
            <w:rPr>
              <w:rFonts w:hint="default" w:ascii="Times New Roman" w:hAnsi="Times New Roman" w:eastAsia="宋体" w:cs="Times New Roman"/>
            </w:rPr>
            <w:fldChar w:fldCharType="separate"/>
          </w:r>
          <w:r>
            <w:rPr>
              <w:rFonts w:hint="default" w:ascii="Times New Roman" w:hAnsi="Times New Roman" w:eastAsia="宋体" w:cs="Times New Roman"/>
            </w:rPr>
            <w:t>31</w:t>
          </w:r>
          <w:r>
            <w:rPr>
              <w:rFonts w:hint="default" w:ascii="Times New Roman" w:hAnsi="Times New Roman" w:eastAsia="宋体" w:cs="Times New Roman"/>
            </w:rPr>
            <w:fldChar w:fldCharType="end"/>
          </w:r>
          <w:r>
            <w:rPr>
              <w:rFonts w:hint="default" w:ascii="Times New Roman" w:hAnsi="Times New Roman" w:eastAsia="宋体" w:cs="Times New Roman"/>
              <w:bCs/>
              <w:kern w:val="44"/>
              <w:lang w:eastAsia="zh-CN"/>
            </w:rPr>
            <w:fldChar w:fldCharType="end"/>
          </w:r>
        </w:p>
        <w:p w14:paraId="10B8D772">
          <w:pPr>
            <w:pStyle w:val="9"/>
            <w:tabs>
              <w:tab w:val="right" w:leader="dot" w:pos="8640"/>
            </w:tabs>
            <w:rPr>
              <w:rFonts w:hint="default" w:ascii="Times New Roman" w:hAnsi="Times New Roman" w:eastAsia="宋体" w:cs="Times New Roman"/>
            </w:rPr>
          </w:pPr>
          <w:r>
            <w:rPr>
              <w:rFonts w:hint="default" w:ascii="Times New Roman" w:hAnsi="Times New Roman" w:eastAsia="宋体" w:cs="Times New Roman"/>
              <w:bCs/>
              <w:kern w:val="44"/>
              <w:lang w:eastAsia="zh-CN"/>
            </w:rPr>
            <w:fldChar w:fldCharType="begin"/>
          </w:r>
          <w:r>
            <w:rPr>
              <w:rFonts w:hint="default" w:ascii="Times New Roman" w:hAnsi="Times New Roman" w:eastAsia="宋体" w:cs="Times New Roman"/>
              <w:bCs/>
              <w:kern w:val="44"/>
              <w:lang w:eastAsia="zh-CN"/>
            </w:rPr>
            <w:instrText xml:space="preserve"> HYPERLINK \l _Toc28706 </w:instrText>
          </w:r>
          <w:r>
            <w:rPr>
              <w:rFonts w:hint="default" w:ascii="Times New Roman" w:hAnsi="Times New Roman" w:eastAsia="宋体" w:cs="Times New Roman"/>
              <w:bCs/>
              <w:kern w:val="44"/>
              <w:lang w:eastAsia="zh-CN"/>
            </w:rPr>
            <w:fldChar w:fldCharType="separate"/>
          </w:r>
          <w:r>
            <w:rPr>
              <w:rFonts w:hint="default" w:ascii="Times New Roman" w:hAnsi="Times New Roman" w:eastAsia="宋体" w:cs="Times New Roman"/>
              <w:bCs/>
              <w:kern w:val="44"/>
              <w:szCs w:val="44"/>
              <w:lang w:eastAsia="zh-CN"/>
            </w:rPr>
            <w:t>附录</w:t>
          </w:r>
          <w:r>
            <w:rPr>
              <w:rFonts w:hint="default" w:ascii="Times New Roman" w:hAnsi="Times New Roman" w:eastAsia="宋体" w:cs="Times New Roman"/>
              <w:bCs/>
              <w:kern w:val="44"/>
              <w:szCs w:val="44"/>
              <w:lang w:val="en-US" w:eastAsia="zh-CN"/>
            </w:rPr>
            <w:t>G</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_Toc28706 \h </w:instrText>
          </w:r>
          <w:r>
            <w:rPr>
              <w:rFonts w:hint="default" w:ascii="Times New Roman" w:hAnsi="Times New Roman" w:eastAsia="宋体" w:cs="Times New Roman"/>
            </w:rPr>
            <w:fldChar w:fldCharType="separate"/>
          </w:r>
          <w:r>
            <w:rPr>
              <w:rFonts w:hint="default" w:ascii="Times New Roman" w:hAnsi="Times New Roman" w:eastAsia="宋体" w:cs="Times New Roman"/>
            </w:rPr>
            <w:t>33</w:t>
          </w:r>
          <w:r>
            <w:rPr>
              <w:rFonts w:hint="default" w:ascii="Times New Roman" w:hAnsi="Times New Roman" w:eastAsia="宋体" w:cs="Times New Roman"/>
            </w:rPr>
            <w:fldChar w:fldCharType="end"/>
          </w:r>
          <w:r>
            <w:rPr>
              <w:rFonts w:hint="default" w:ascii="Times New Roman" w:hAnsi="Times New Roman" w:eastAsia="宋体" w:cs="Times New Roman"/>
              <w:bCs/>
              <w:kern w:val="44"/>
              <w:lang w:eastAsia="zh-CN"/>
            </w:rPr>
            <w:fldChar w:fldCharType="end"/>
          </w:r>
        </w:p>
        <w:p w14:paraId="7C75F351">
          <w:pPr>
            <w:pStyle w:val="9"/>
            <w:tabs>
              <w:tab w:val="right" w:leader="dot" w:pos="8640"/>
            </w:tabs>
            <w:rPr>
              <w:rFonts w:hint="default" w:ascii="Times New Roman" w:hAnsi="Times New Roman" w:eastAsia="宋体" w:cs="Times New Roman"/>
            </w:rPr>
          </w:pPr>
          <w:r>
            <w:rPr>
              <w:rFonts w:hint="default" w:ascii="Times New Roman" w:hAnsi="Times New Roman" w:eastAsia="宋体" w:cs="Times New Roman"/>
              <w:bCs/>
              <w:kern w:val="44"/>
              <w:lang w:eastAsia="zh-CN"/>
            </w:rPr>
            <w:fldChar w:fldCharType="begin"/>
          </w:r>
          <w:r>
            <w:rPr>
              <w:rFonts w:hint="default" w:ascii="Times New Roman" w:hAnsi="Times New Roman" w:eastAsia="宋体" w:cs="Times New Roman"/>
              <w:bCs/>
              <w:kern w:val="44"/>
              <w:lang w:eastAsia="zh-CN"/>
            </w:rPr>
            <w:instrText xml:space="preserve"> HYPERLINK \l _Toc26427 </w:instrText>
          </w:r>
          <w:r>
            <w:rPr>
              <w:rFonts w:hint="default" w:ascii="Times New Roman" w:hAnsi="Times New Roman" w:eastAsia="宋体" w:cs="Times New Roman"/>
              <w:bCs/>
              <w:kern w:val="44"/>
              <w:lang w:eastAsia="zh-CN"/>
            </w:rPr>
            <w:fldChar w:fldCharType="separate"/>
          </w:r>
          <w:r>
            <w:rPr>
              <w:rFonts w:hint="default" w:ascii="Times New Roman" w:hAnsi="Times New Roman" w:eastAsia="宋体" w:cs="Times New Roman"/>
              <w:bCs/>
              <w:kern w:val="44"/>
              <w:szCs w:val="44"/>
              <w:lang w:eastAsia="zh-CN"/>
            </w:rPr>
            <w:t>附录</w:t>
          </w:r>
          <w:r>
            <w:rPr>
              <w:rFonts w:hint="default" w:ascii="Times New Roman" w:hAnsi="Times New Roman" w:eastAsia="宋体" w:cs="Times New Roman"/>
              <w:bCs/>
              <w:kern w:val="44"/>
              <w:szCs w:val="44"/>
              <w:lang w:val="en-US" w:eastAsia="zh-CN"/>
            </w:rPr>
            <w:t>H</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_Toc26427 \h </w:instrText>
          </w:r>
          <w:r>
            <w:rPr>
              <w:rFonts w:hint="default" w:ascii="Times New Roman" w:hAnsi="Times New Roman" w:eastAsia="宋体" w:cs="Times New Roman"/>
            </w:rPr>
            <w:fldChar w:fldCharType="separate"/>
          </w:r>
          <w:r>
            <w:rPr>
              <w:rFonts w:hint="default" w:ascii="Times New Roman" w:hAnsi="Times New Roman" w:eastAsia="宋体" w:cs="Times New Roman"/>
            </w:rPr>
            <w:t>35</w:t>
          </w:r>
          <w:r>
            <w:rPr>
              <w:rFonts w:hint="default" w:ascii="Times New Roman" w:hAnsi="Times New Roman" w:eastAsia="宋体" w:cs="Times New Roman"/>
            </w:rPr>
            <w:fldChar w:fldCharType="end"/>
          </w:r>
          <w:r>
            <w:rPr>
              <w:rFonts w:hint="default" w:ascii="Times New Roman" w:hAnsi="Times New Roman" w:eastAsia="宋体" w:cs="Times New Roman"/>
              <w:bCs/>
              <w:kern w:val="44"/>
              <w:lang w:eastAsia="zh-CN"/>
            </w:rPr>
            <w:fldChar w:fldCharType="end"/>
          </w:r>
        </w:p>
        <w:p w14:paraId="77379636">
          <w:pPr>
            <w:pStyle w:val="9"/>
            <w:tabs>
              <w:tab w:val="right" w:leader="dot" w:pos="8640"/>
            </w:tabs>
            <w:rPr>
              <w:rFonts w:hint="default" w:ascii="Times New Roman" w:hAnsi="Times New Roman" w:eastAsia="宋体" w:cs="Times New Roman"/>
            </w:rPr>
          </w:pPr>
          <w:r>
            <w:rPr>
              <w:rFonts w:hint="default" w:ascii="Times New Roman" w:hAnsi="Times New Roman" w:eastAsia="宋体" w:cs="Times New Roman"/>
              <w:bCs/>
              <w:kern w:val="44"/>
              <w:lang w:eastAsia="zh-CN"/>
            </w:rPr>
            <w:fldChar w:fldCharType="begin"/>
          </w:r>
          <w:r>
            <w:rPr>
              <w:rFonts w:hint="default" w:ascii="Times New Roman" w:hAnsi="Times New Roman" w:eastAsia="宋体" w:cs="Times New Roman"/>
              <w:bCs/>
              <w:kern w:val="44"/>
              <w:lang w:eastAsia="zh-CN"/>
            </w:rPr>
            <w:instrText xml:space="preserve"> HYPERLINK \l _Toc20250 </w:instrText>
          </w:r>
          <w:r>
            <w:rPr>
              <w:rFonts w:hint="default" w:ascii="Times New Roman" w:hAnsi="Times New Roman" w:eastAsia="宋体" w:cs="Times New Roman"/>
              <w:bCs/>
              <w:kern w:val="44"/>
              <w:lang w:eastAsia="zh-CN"/>
            </w:rPr>
            <w:fldChar w:fldCharType="separate"/>
          </w:r>
          <w:r>
            <w:rPr>
              <w:rFonts w:hint="default" w:ascii="Times New Roman" w:hAnsi="Times New Roman" w:eastAsia="宋体" w:cs="Times New Roman"/>
              <w:bCs/>
              <w:kern w:val="2"/>
              <w:szCs w:val="32"/>
              <w:lang w:eastAsia="zh-CN"/>
            </w:rPr>
            <w:t>参考文献</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_Toc20250 \h </w:instrText>
          </w:r>
          <w:r>
            <w:rPr>
              <w:rFonts w:hint="default" w:ascii="Times New Roman" w:hAnsi="Times New Roman" w:eastAsia="宋体" w:cs="Times New Roman"/>
            </w:rPr>
            <w:fldChar w:fldCharType="separate"/>
          </w:r>
          <w:r>
            <w:rPr>
              <w:rFonts w:hint="default" w:ascii="Times New Roman" w:hAnsi="Times New Roman" w:eastAsia="宋体" w:cs="Times New Roman"/>
            </w:rPr>
            <w:t>36</w:t>
          </w:r>
          <w:r>
            <w:rPr>
              <w:rFonts w:hint="default" w:ascii="Times New Roman" w:hAnsi="Times New Roman" w:eastAsia="宋体" w:cs="Times New Roman"/>
            </w:rPr>
            <w:fldChar w:fldCharType="end"/>
          </w:r>
          <w:r>
            <w:rPr>
              <w:rFonts w:hint="default" w:ascii="Times New Roman" w:hAnsi="Times New Roman" w:eastAsia="宋体" w:cs="Times New Roman"/>
              <w:bCs/>
              <w:kern w:val="44"/>
              <w:lang w:eastAsia="zh-CN"/>
            </w:rPr>
            <w:fldChar w:fldCharType="end"/>
          </w:r>
        </w:p>
        <w:p w14:paraId="197A7DF8">
          <w:pPr>
            <w:pStyle w:val="9"/>
            <w:tabs>
              <w:tab w:val="right" w:leader="dot" w:pos="8630"/>
            </w:tabs>
            <w:rPr>
              <w:rFonts w:ascii="黑体" w:hAnsi="Times New Roman" w:eastAsia="黑体" w:cs="Times New Roman"/>
              <w:spacing w:val="320"/>
              <w:sz w:val="32"/>
              <w:szCs w:val="20"/>
              <w:lang w:eastAsia="zh-CN"/>
            </w:rPr>
            <w:sectPr>
              <w:headerReference r:id="rId11" w:type="default"/>
              <w:footerReference r:id="rId12" w:type="default"/>
              <w:pgSz w:w="11920" w:h="16840"/>
              <w:pgMar w:top="1080" w:right="1600" w:bottom="1180" w:left="1680" w:header="880" w:footer="982" w:gutter="0"/>
              <w:pgNumType w:start="2"/>
              <w:cols w:space="720" w:num="1"/>
            </w:sectPr>
          </w:pPr>
          <w:r>
            <w:rPr>
              <w:rFonts w:hint="default" w:ascii="Times New Roman" w:hAnsi="Times New Roman" w:eastAsia="宋体" w:cs="Times New Roman"/>
              <w:bCs/>
              <w:kern w:val="44"/>
              <w:lang w:eastAsia="zh-CN"/>
            </w:rPr>
            <w:fldChar w:fldCharType="end"/>
          </w:r>
        </w:p>
      </w:sdtContent>
    </w:sdt>
    <w:p w14:paraId="0B3F57A8">
      <w:pPr>
        <w:widowControl/>
        <w:shd w:val="clear" w:color="FFFFFF" w:fill="FFFFFF"/>
        <w:spacing w:after="360" w:afterLines="150" w:line="240" w:lineRule="auto"/>
        <w:jc w:val="center"/>
        <w:outlineLvl w:val="0"/>
        <w:rPr>
          <w:rFonts w:ascii="黑体" w:hAnsi="Times New Roman" w:eastAsia="黑体" w:cs="Times New Roman"/>
          <w:sz w:val="32"/>
          <w:szCs w:val="20"/>
          <w:lang w:eastAsia="zh-CN"/>
        </w:rPr>
      </w:pPr>
      <w:bookmarkStart w:id="2" w:name="_Toc1216"/>
      <w:r>
        <w:rPr>
          <w:rFonts w:ascii="黑体" w:hAnsi="Times New Roman" w:eastAsia="黑体" w:cs="Times New Roman"/>
          <w:spacing w:val="320"/>
          <w:sz w:val="32"/>
          <w:szCs w:val="20"/>
          <w:lang w:eastAsia="zh-CN"/>
        </w:rPr>
        <w:t>前</w:t>
      </w:r>
      <w:r>
        <w:rPr>
          <w:rFonts w:ascii="黑体" w:hAnsi="Times New Roman" w:eastAsia="黑体" w:cs="Times New Roman"/>
          <w:sz w:val="32"/>
          <w:szCs w:val="20"/>
          <w:lang w:eastAsia="zh-CN"/>
        </w:rPr>
        <w:t>言</w:t>
      </w:r>
      <w:bookmarkEnd w:id="2"/>
    </w:p>
    <w:p w14:paraId="1008B7A7">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本文件按照GB/T 1.1-2020《标准化工作导则 第1部分：标准化文件的结构和起草规则》的规定起草。</w:t>
      </w:r>
    </w:p>
    <w:p w14:paraId="1F06DB79">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请注意本文件的某些内容可能涉及专利。本文件的发布机构不承担识别专利的责任。</w:t>
      </w:r>
    </w:p>
    <w:p w14:paraId="2BAF2C2B">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本文件由中国有色金属工业协会、中国有色金属学会提出。</w:t>
      </w:r>
    </w:p>
    <w:p w14:paraId="7D7231D0">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本文件由全国有色金属标准化技术委员会（SAC/TC 243）、全国稀土标准化技术委员会（SAC/TC 229）共同归口。</w:t>
      </w:r>
    </w:p>
    <w:p w14:paraId="7235BC70">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本文件起草单位：。</w:t>
      </w:r>
    </w:p>
    <w:p w14:paraId="56AB980A">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本文件主要起草人：。</w:t>
      </w:r>
    </w:p>
    <w:p w14:paraId="5D1AAB9B">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59DF19FE">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39D9F8EE">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526645C0">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4040BC16">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20830696">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5F60D530">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681839A9">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25962101">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64A650D3">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4088BB2D">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5F24DA8F">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07AA5508">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2D6746F1">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72048AF0">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3B95192E">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7D48A352">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313B177A">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6B6D1F99">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44FFAC49">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55C87BD8">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510954A5">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62DF1A80">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5B49A097">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2AE2E643">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0E223955">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410DD2C4">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27939FE2">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188A77D5">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5E185E17">
      <w:pPr>
        <w:widowControl/>
        <w:shd w:val="clear" w:color="FFFFFF" w:fill="FFFFFF"/>
        <w:spacing w:after="360" w:afterLines="150" w:line="240" w:lineRule="auto"/>
        <w:jc w:val="center"/>
        <w:outlineLvl w:val="0"/>
        <w:rPr>
          <w:rFonts w:hint="default" w:ascii="Times New Roman" w:hAnsi="Times New Roman" w:eastAsia="黑体" w:cs="Times New Roman"/>
          <w:sz w:val="32"/>
          <w:szCs w:val="20"/>
          <w:lang w:eastAsia="zh-CN"/>
        </w:rPr>
      </w:pPr>
      <w:bookmarkStart w:id="3" w:name="_Toc11945"/>
      <w:r>
        <w:rPr>
          <w:rFonts w:hint="default" w:ascii="Times New Roman" w:hAnsi="Times New Roman" w:eastAsia="黑体" w:cs="Times New Roman"/>
          <w:spacing w:val="320"/>
          <w:sz w:val="32"/>
          <w:szCs w:val="20"/>
          <w:lang w:val="en-US" w:eastAsia="zh-CN"/>
        </w:rPr>
        <w:t>引</w:t>
      </w:r>
      <w:r>
        <w:rPr>
          <w:rFonts w:hint="default" w:ascii="Times New Roman" w:hAnsi="Times New Roman" w:eastAsia="黑体" w:cs="Times New Roman"/>
          <w:sz w:val="32"/>
          <w:szCs w:val="20"/>
          <w:lang w:eastAsia="zh-CN"/>
        </w:rPr>
        <w:t>言</w:t>
      </w:r>
      <w:bookmarkEnd w:id="3"/>
    </w:p>
    <w:p w14:paraId="2A466515">
      <w:pPr>
        <w:adjustRightInd w:val="0"/>
        <w:snapToGrid w:val="0"/>
        <w:spacing w:after="0" w:line="360" w:lineRule="auto"/>
        <w:ind w:firstLine="420" w:firstLineChars="200"/>
        <w:rPr>
          <w:rFonts w:hint="default" w:ascii="Times New Roman" w:hAnsi="Times New Roman" w:eastAsia="宋体" w:cs="Times New Roman"/>
          <w:kern w:val="2"/>
          <w:sz w:val="21"/>
          <w:szCs w:val="24"/>
          <w:lang w:val="en-US" w:eastAsia="zh-CN"/>
        </w:rPr>
      </w:pPr>
      <w:r>
        <w:rPr>
          <w:rFonts w:hint="default" w:ascii="Times New Roman" w:hAnsi="Times New Roman" w:eastAsia="宋体" w:cs="Times New Roman"/>
          <w:kern w:val="2"/>
          <w:sz w:val="21"/>
          <w:szCs w:val="24"/>
          <w:lang w:val="en-US" w:eastAsia="zh-CN"/>
        </w:rPr>
        <w:t>《温室气体 产品碳足迹量化方法与要求 稀土系储氢合金材料》是为了实现以下目的：</w:t>
      </w:r>
    </w:p>
    <w:p w14:paraId="44D53BB6">
      <w:pPr>
        <w:adjustRightInd w:val="0"/>
        <w:snapToGrid w:val="0"/>
        <w:spacing w:after="0" w:line="360" w:lineRule="auto"/>
        <w:ind w:firstLine="420" w:firstLineChars="200"/>
        <w:rPr>
          <w:rFonts w:hint="default" w:ascii="Times New Roman" w:hAnsi="Times New Roman" w:eastAsia="宋体" w:cs="Times New Roman"/>
          <w:kern w:val="2"/>
          <w:sz w:val="21"/>
          <w:szCs w:val="24"/>
          <w:lang w:val="en-US" w:eastAsia="zh-CN"/>
        </w:rPr>
      </w:pPr>
      <w:r>
        <w:rPr>
          <w:rFonts w:hint="default" w:ascii="Times New Roman" w:hAnsi="Times New Roman" w:eastAsia="宋体" w:cs="Times New Roman"/>
          <w:kern w:val="2"/>
          <w:sz w:val="21"/>
          <w:szCs w:val="24"/>
          <w:lang w:val="en-US" w:eastAsia="zh-CN"/>
        </w:rPr>
        <w:t>——提供稀土系储氢合金材料产品碳足迹量化要求；</w:t>
      </w:r>
    </w:p>
    <w:p w14:paraId="18F9655D">
      <w:pPr>
        <w:adjustRightInd w:val="0"/>
        <w:snapToGrid w:val="0"/>
        <w:spacing w:after="0" w:line="360" w:lineRule="auto"/>
        <w:ind w:firstLine="420" w:firstLineChars="200"/>
        <w:rPr>
          <w:rFonts w:hint="default" w:ascii="Times New Roman" w:hAnsi="Times New Roman" w:eastAsia="宋体" w:cs="Times New Roman"/>
          <w:kern w:val="2"/>
          <w:sz w:val="21"/>
          <w:szCs w:val="24"/>
          <w:lang w:val="en-US" w:eastAsia="zh-CN"/>
        </w:rPr>
      </w:pPr>
      <w:r>
        <w:rPr>
          <w:rFonts w:hint="default" w:ascii="Times New Roman" w:hAnsi="Times New Roman" w:eastAsia="宋体" w:cs="Times New Roman"/>
          <w:kern w:val="2"/>
          <w:sz w:val="21"/>
          <w:szCs w:val="24"/>
          <w:lang w:val="en-US" w:eastAsia="zh-CN"/>
        </w:rPr>
        <w:t>——便于开展稀土系储氢合金材料产品碳足迹声明或信息交流；</w:t>
      </w:r>
    </w:p>
    <w:p w14:paraId="27B05864">
      <w:pPr>
        <w:adjustRightInd w:val="0"/>
        <w:snapToGrid w:val="0"/>
        <w:spacing w:after="0" w:line="360" w:lineRule="auto"/>
        <w:ind w:firstLine="420" w:firstLineChars="200"/>
        <w:rPr>
          <w:rFonts w:hint="default" w:ascii="Times New Roman" w:hAnsi="Times New Roman" w:eastAsia="宋体" w:cs="Times New Roman"/>
          <w:kern w:val="2"/>
          <w:sz w:val="21"/>
          <w:szCs w:val="24"/>
          <w:lang w:val="en-US" w:eastAsia="zh-CN"/>
        </w:rPr>
      </w:pPr>
      <w:r>
        <w:rPr>
          <w:rFonts w:hint="default" w:ascii="Times New Roman" w:hAnsi="Times New Roman" w:eastAsia="宋体" w:cs="Times New Roman"/>
          <w:kern w:val="2"/>
          <w:sz w:val="21"/>
          <w:szCs w:val="24"/>
          <w:lang w:val="en-US" w:eastAsia="zh-CN"/>
        </w:rPr>
        <w:t>——为产品研究和开发、技术改进、产品碳足迹绩效追踪和沟通提供信息；</w:t>
      </w:r>
    </w:p>
    <w:p w14:paraId="30F23A5D">
      <w:pPr>
        <w:adjustRightInd w:val="0"/>
        <w:snapToGrid w:val="0"/>
        <w:spacing w:after="0" w:line="360" w:lineRule="auto"/>
        <w:ind w:firstLine="420" w:firstLineChars="200"/>
        <w:rPr>
          <w:rFonts w:hint="default" w:ascii="Times New Roman" w:hAnsi="Times New Roman" w:eastAsia="宋体" w:cs="Times New Roman"/>
          <w:kern w:val="2"/>
          <w:sz w:val="21"/>
          <w:szCs w:val="24"/>
          <w:lang w:val="en-US" w:eastAsia="zh-CN"/>
        </w:rPr>
      </w:pPr>
      <w:r>
        <w:rPr>
          <w:rFonts w:hint="default" w:ascii="Times New Roman" w:hAnsi="Times New Roman" w:eastAsia="宋体" w:cs="Times New Roman"/>
          <w:kern w:val="2"/>
          <w:sz w:val="21"/>
          <w:szCs w:val="24"/>
          <w:lang w:val="en-US" w:eastAsia="zh-CN"/>
        </w:rPr>
        <w:t>——更好地了解稀土系储氢合金材料产品碳足迹，以便明确减少碳排放的潜在机会；</w:t>
      </w:r>
    </w:p>
    <w:p w14:paraId="5703ACC3">
      <w:pPr>
        <w:adjustRightInd w:val="0"/>
        <w:snapToGrid w:val="0"/>
        <w:spacing w:after="0" w:line="360" w:lineRule="auto"/>
        <w:ind w:firstLine="420" w:firstLineChars="200"/>
        <w:rPr>
          <w:rFonts w:hint="default" w:ascii="Times New Roman" w:hAnsi="Times New Roman" w:eastAsia="宋体" w:cs="Times New Roman"/>
          <w:kern w:val="2"/>
          <w:sz w:val="21"/>
          <w:szCs w:val="24"/>
          <w:lang w:val="en-US" w:eastAsia="zh-CN"/>
        </w:rPr>
      </w:pPr>
      <w:r>
        <w:rPr>
          <w:rFonts w:hint="default" w:ascii="Times New Roman" w:hAnsi="Times New Roman" w:eastAsia="宋体" w:cs="Times New Roman"/>
          <w:kern w:val="2"/>
          <w:sz w:val="21"/>
          <w:szCs w:val="24"/>
          <w:lang w:val="en-US" w:eastAsia="zh-CN"/>
        </w:rPr>
        <w:t>——提高稀土系储氢合金材料产品碳足迹量化和报告的可信度、一致性和透明度；</w:t>
      </w:r>
    </w:p>
    <w:p w14:paraId="48EA77AE">
      <w:pPr>
        <w:adjustRightInd w:val="0"/>
        <w:snapToGrid w:val="0"/>
        <w:spacing w:after="0" w:line="360" w:lineRule="auto"/>
        <w:ind w:firstLine="420" w:firstLineChars="200"/>
        <w:rPr>
          <w:rFonts w:hint="default" w:ascii="Times New Roman" w:hAnsi="Times New Roman" w:eastAsia="宋体" w:cs="Times New Roman"/>
          <w:kern w:val="2"/>
          <w:sz w:val="21"/>
          <w:szCs w:val="24"/>
          <w:lang w:val="en-US" w:eastAsia="zh-CN"/>
        </w:rPr>
      </w:pPr>
      <w:r>
        <w:rPr>
          <w:rFonts w:hint="default" w:ascii="Times New Roman" w:hAnsi="Times New Roman" w:eastAsia="宋体" w:cs="Times New Roman"/>
          <w:kern w:val="2"/>
          <w:sz w:val="21"/>
          <w:szCs w:val="24"/>
          <w:lang w:val="en-US" w:eastAsia="zh-CN"/>
        </w:rPr>
        <w:t>——促进对替代产品设计和采购方案、生产和制造方法、原材料选择、运输、回收阶段的评估；</w:t>
      </w:r>
    </w:p>
    <w:p w14:paraId="79F28EA1">
      <w:pPr>
        <w:adjustRightInd w:val="0"/>
        <w:snapToGrid w:val="0"/>
        <w:spacing w:after="0" w:line="360" w:lineRule="auto"/>
        <w:ind w:firstLine="420" w:firstLineChars="200"/>
        <w:rPr>
          <w:rFonts w:hint="default" w:ascii="Times New Roman" w:hAnsi="Times New Roman" w:eastAsia="宋体" w:cs="Times New Roman"/>
          <w:kern w:val="2"/>
          <w:sz w:val="21"/>
          <w:szCs w:val="24"/>
          <w:lang w:val="en-US" w:eastAsia="zh-CN"/>
        </w:rPr>
      </w:pPr>
      <w:r>
        <w:rPr>
          <w:rFonts w:hint="default" w:ascii="Times New Roman" w:hAnsi="Times New Roman" w:eastAsia="宋体" w:cs="Times New Roman"/>
          <w:kern w:val="2"/>
          <w:sz w:val="21"/>
          <w:szCs w:val="24"/>
          <w:lang w:val="en-US" w:eastAsia="zh-CN"/>
        </w:rPr>
        <w:t>——促进稀土系储氢合金材料产品生命周期的碳排放管理战略的制定和实施，并及时识别低碳供应链。</w:t>
      </w:r>
    </w:p>
    <w:p w14:paraId="32F152EA">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2ADC85FE">
      <w:pPr>
        <w:adjustRightInd w:val="0"/>
        <w:snapToGrid w:val="0"/>
        <w:spacing w:after="0" w:line="360" w:lineRule="auto"/>
        <w:ind w:firstLine="420" w:firstLineChars="200"/>
        <w:jc w:val="both"/>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br w:type="page"/>
      </w:r>
    </w:p>
    <w:p w14:paraId="6D241B1E">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sectPr>
          <w:footerReference r:id="rId13" w:type="default"/>
          <w:pgSz w:w="11920" w:h="16840"/>
          <w:pgMar w:top="1080" w:right="1600" w:bottom="1180" w:left="1680" w:header="880" w:footer="982" w:gutter="0"/>
          <w:pgNumType w:start="2"/>
          <w:cols w:space="720" w:num="1"/>
        </w:sectPr>
      </w:pPr>
    </w:p>
    <w:p w14:paraId="3F72BA3E">
      <w:pPr>
        <w:spacing w:after="0" w:line="360" w:lineRule="auto"/>
        <w:jc w:val="center"/>
        <w:outlineLvl w:val="9"/>
        <w:rPr>
          <w:rFonts w:hint="default" w:ascii="Times New Roman" w:hAnsi="Times New Roman" w:eastAsia="黑体" w:cs="Times New Roman"/>
          <w:bCs/>
          <w:kern w:val="2"/>
          <w:sz w:val="32"/>
          <w:szCs w:val="32"/>
          <w:lang w:eastAsia="zh-CN"/>
        </w:rPr>
      </w:pPr>
      <w:bookmarkStart w:id="4" w:name="_Toc190785642"/>
      <w:bookmarkStart w:id="5" w:name="_Toc190786434"/>
      <w:bookmarkStart w:id="6" w:name="_Toc190786234"/>
      <w:r>
        <w:rPr>
          <w:rFonts w:hint="default" w:ascii="Times New Roman" w:hAnsi="Times New Roman" w:eastAsia="黑体" w:cs="Times New Roman"/>
          <w:bCs/>
          <w:kern w:val="2"/>
          <w:sz w:val="32"/>
          <w:szCs w:val="32"/>
          <w:lang w:eastAsia="zh-CN"/>
        </w:rPr>
        <w:t xml:space="preserve">温室气体 产品碳足迹量化方法与要求 </w:t>
      </w:r>
      <w:bookmarkStart w:id="7" w:name="_Hlk190350607"/>
      <w:r>
        <w:rPr>
          <w:rFonts w:hint="default" w:ascii="Times New Roman" w:hAnsi="Times New Roman" w:eastAsia="黑体" w:cs="Times New Roman"/>
          <w:bCs/>
          <w:kern w:val="2"/>
          <w:sz w:val="32"/>
          <w:szCs w:val="32"/>
          <w:lang w:eastAsia="zh-CN"/>
        </w:rPr>
        <w:t>稀土</w:t>
      </w:r>
      <w:r>
        <w:rPr>
          <w:rFonts w:hint="default" w:ascii="Times New Roman" w:hAnsi="Times New Roman" w:eastAsia="黑体" w:cs="Times New Roman"/>
          <w:bCs/>
          <w:kern w:val="2"/>
          <w:sz w:val="32"/>
          <w:szCs w:val="32"/>
          <w:lang w:val="en-US" w:eastAsia="zh-CN"/>
        </w:rPr>
        <w:t>系储氢合金材料</w:t>
      </w:r>
      <w:bookmarkEnd w:id="4"/>
      <w:bookmarkEnd w:id="5"/>
      <w:bookmarkEnd w:id="6"/>
      <w:bookmarkEnd w:id="7"/>
    </w:p>
    <w:p w14:paraId="2F5FBDEE">
      <w:pPr>
        <w:keepNext/>
        <w:keepLines/>
        <w:adjustRightInd w:val="0"/>
        <w:snapToGrid w:val="0"/>
        <w:spacing w:before="317" w:beforeLines="100" w:after="317" w:afterLines="100" w:line="360" w:lineRule="auto"/>
        <w:jc w:val="both"/>
        <w:outlineLvl w:val="0"/>
        <w:rPr>
          <w:rFonts w:hint="default" w:ascii="Times New Roman" w:hAnsi="Times New Roman" w:eastAsia="黑体" w:cs="Times New Roman"/>
          <w:bCs/>
          <w:kern w:val="44"/>
          <w:sz w:val="21"/>
          <w:szCs w:val="44"/>
          <w:lang w:eastAsia="zh-CN"/>
        </w:rPr>
      </w:pPr>
      <w:bookmarkStart w:id="8" w:name="_Toc27730"/>
      <w:bookmarkStart w:id="9" w:name="_Toc14354"/>
      <w:bookmarkStart w:id="10" w:name="_Toc26053"/>
      <w:bookmarkStart w:id="11" w:name="_Toc9882"/>
      <w:bookmarkStart w:id="12" w:name="_Toc132113210"/>
      <w:bookmarkStart w:id="13" w:name="_Toc29401_WPSOffice_Level1"/>
      <w:bookmarkStart w:id="14" w:name="_Toc531265187"/>
      <w:bookmarkStart w:id="15" w:name="_Toc14631"/>
      <w:bookmarkStart w:id="16" w:name="_Toc14040_WPSOffice_Level1"/>
      <w:bookmarkStart w:id="17" w:name="_Toc381480737"/>
      <w:r>
        <w:rPr>
          <w:rFonts w:hint="default" w:ascii="Times New Roman" w:hAnsi="Times New Roman" w:eastAsia="黑体" w:cs="Times New Roman"/>
          <w:bCs/>
          <w:kern w:val="44"/>
          <w:sz w:val="21"/>
          <w:szCs w:val="44"/>
          <w:lang w:eastAsia="zh-CN"/>
        </w:rPr>
        <w:t>1 范围</w:t>
      </w:r>
      <w:bookmarkEnd w:id="8"/>
      <w:bookmarkEnd w:id="9"/>
      <w:bookmarkEnd w:id="10"/>
      <w:bookmarkEnd w:id="11"/>
      <w:bookmarkEnd w:id="12"/>
      <w:bookmarkEnd w:id="13"/>
      <w:bookmarkEnd w:id="14"/>
      <w:bookmarkEnd w:id="15"/>
      <w:bookmarkEnd w:id="16"/>
      <w:bookmarkEnd w:id="17"/>
    </w:p>
    <w:p w14:paraId="37668D8A">
      <w:pPr>
        <w:adjustRightInd w:val="0"/>
        <w:snapToGrid w:val="0"/>
        <w:spacing w:after="0" w:line="360" w:lineRule="auto"/>
        <w:ind w:firstLine="420" w:firstLineChars="200"/>
        <w:rPr>
          <w:rFonts w:hint="default" w:ascii="Times New Roman" w:hAnsi="Times New Roman" w:eastAsia="宋体" w:cs="Times New Roman"/>
          <w:kern w:val="2"/>
          <w:sz w:val="21"/>
          <w:szCs w:val="24"/>
          <w:lang w:eastAsia="zh-CN"/>
        </w:rPr>
      </w:pPr>
      <w:bookmarkStart w:id="18" w:name="_Toc381480738"/>
      <w:r>
        <w:rPr>
          <w:rFonts w:hint="default" w:ascii="Times New Roman" w:hAnsi="Times New Roman" w:eastAsia="宋体" w:cs="Times New Roman"/>
          <w:kern w:val="2"/>
          <w:sz w:val="21"/>
          <w:szCs w:val="24"/>
          <w:lang w:eastAsia="zh-CN"/>
        </w:rPr>
        <w:t>本文件规定了稀土系储氢合金材料碳足迹量化的术语和定义、量化目的、量化范围、数据和数据质量、</w:t>
      </w:r>
      <w:r>
        <w:rPr>
          <w:rFonts w:hint="eastAsia" w:ascii="Times New Roman" w:hAnsi="Times New Roman" w:eastAsia="宋体" w:cs="Times New Roman"/>
          <w:kern w:val="2"/>
          <w:sz w:val="21"/>
          <w:szCs w:val="24"/>
          <w:lang w:val="en-US" w:eastAsia="zh-CN"/>
        </w:rPr>
        <w:t>产品碳足迹计算方法、</w:t>
      </w:r>
      <w:r>
        <w:rPr>
          <w:rFonts w:hint="default" w:ascii="Times New Roman" w:hAnsi="Times New Roman" w:eastAsia="宋体" w:cs="Times New Roman"/>
          <w:kern w:val="2"/>
          <w:sz w:val="21"/>
          <w:szCs w:val="24"/>
          <w:lang w:eastAsia="zh-CN"/>
        </w:rPr>
        <w:t>结果解释</w:t>
      </w:r>
      <w:r>
        <w:rPr>
          <w:rFonts w:hint="eastAsia" w:ascii="Times New Roman" w:hAnsi="Times New Roman" w:eastAsia="宋体" w:cs="Times New Roman"/>
          <w:kern w:val="2"/>
          <w:sz w:val="21"/>
          <w:szCs w:val="24"/>
          <w:lang w:eastAsia="zh-CN"/>
        </w:rPr>
        <w:t>、</w:t>
      </w:r>
      <w:r>
        <w:rPr>
          <w:rFonts w:hint="default" w:ascii="Times New Roman" w:hAnsi="Times New Roman" w:eastAsia="宋体" w:cs="Times New Roman"/>
          <w:kern w:val="2"/>
          <w:sz w:val="21"/>
          <w:szCs w:val="24"/>
          <w:lang w:eastAsia="zh-CN"/>
        </w:rPr>
        <w:t>产品碳足迹报告</w:t>
      </w:r>
      <w:r>
        <w:rPr>
          <w:rFonts w:hint="eastAsia" w:ascii="Times New Roman" w:hAnsi="Times New Roman" w:eastAsia="宋体" w:cs="Times New Roman"/>
          <w:kern w:val="2"/>
          <w:sz w:val="21"/>
          <w:szCs w:val="24"/>
          <w:lang w:val="en-US" w:eastAsia="zh-CN"/>
        </w:rPr>
        <w:t>和和产品碳足迹声明</w:t>
      </w:r>
      <w:r>
        <w:rPr>
          <w:rFonts w:hint="default" w:ascii="Times New Roman" w:hAnsi="Times New Roman" w:eastAsia="宋体" w:cs="Times New Roman"/>
          <w:kern w:val="2"/>
          <w:sz w:val="21"/>
          <w:szCs w:val="24"/>
          <w:lang w:eastAsia="zh-CN"/>
        </w:rPr>
        <w:t>。</w:t>
      </w:r>
    </w:p>
    <w:p w14:paraId="60BB0425">
      <w:pPr>
        <w:adjustRightInd w:val="0"/>
        <w:snapToGrid w:val="0"/>
        <w:spacing w:after="0" w:line="360" w:lineRule="auto"/>
        <w:ind w:firstLine="420" w:firstLineChars="200"/>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本文件适用于以稀土金属</w:t>
      </w:r>
      <w:r>
        <w:rPr>
          <w:rFonts w:hint="eastAsia" w:ascii="Times New Roman" w:hAnsi="Times New Roman" w:eastAsia="宋体" w:cs="Times New Roman"/>
          <w:kern w:val="2"/>
          <w:sz w:val="21"/>
          <w:szCs w:val="24"/>
          <w:lang w:eastAsia="zh-CN"/>
        </w:rPr>
        <w:t>（</w:t>
      </w:r>
      <w:r>
        <w:rPr>
          <w:rFonts w:hint="eastAsia" w:ascii="Times New Roman" w:hAnsi="Times New Roman" w:eastAsia="宋体" w:cs="Times New Roman"/>
          <w:kern w:val="2"/>
          <w:sz w:val="21"/>
          <w:szCs w:val="24"/>
          <w:lang w:val="en-US" w:eastAsia="zh-CN"/>
        </w:rPr>
        <w:t>含</w:t>
      </w:r>
      <w:r>
        <w:rPr>
          <w:rFonts w:hint="default" w:ascii="Times New Roman" w:hAnsi="Times New Roman" w:eastAsia="宋体" w:cs="Times New Roman"/>
          <w:kern w:val="2"/>
          <w:sz w:val="21"/>
          <w:szCs w:val="24"/>
          <w:lang w:eastAsia="zh-CN"/>
        </w:rPr>
        <w:t>混合稀土金属</w:t>
      </w:r>
      <w:r>
        <w:rPr>
          <w:rFonts w:hint="eastAsia" w:ascii="Times New Roman" w:hAnsi="Times New Roman" w:eastAsia="宋体" w:cs="Times New Roman"/>
          <w:kern w:val="2"/>
          <w:sz w:val="21"/>
          <w:szCs w:val="24"/>
          <w:lang w:eastAsia="zh-CN"/>
        </w:rPr>
        <w:t>）</w:t>
      </w:r>
      <w:r>
        <w:rPr>
          <w:rFonts w:hint="default" w:ascii="Times New Roman" w:hAnsi="Times New Roman" w:eastAsia="宋体" w:cs="Times New Roman"/>
          <w:kern w:val="2"/>
          <w:sz w:val="21"/>
          <w:szCs w:val="24"/>
          <w:lang w:eastAsia="zh-CN"/>
        </w:rPr>
        <w:t>、镍、钴、锰、铝、镁等为主要原料生产的稀土系储氢合金材料的产品碳足迹量化。</w:t>
      </w:r>
    </w:p>
    <w:p w14:paraId="1F6C93E5">
      <w:pPr>
        <w:keepNext/>
        <w:keepLines/>
        <w:tabs>
          <w:tab w:val="center" w:pos="4677"/>
        </w:tabs>
        <w:adjustRightInd w:val="0"/>
        <w:snapToGrid w:val="0"/>
        <w:spacing w:before="317" w:beforeLines="100" w:after="317" w:afterLines="100" w:line="360" w:lineRule="auto"/>
        <w:jc w:val="both"/>
        <w:outlineLvl w:val="0"/>
        <w:rPr>
          <w:rFonts w:hint="default" w:ascii="Times New Roman" w:hAnsi="Times New Roman" w:eastAsia="黑体" w:cs="Times New Roman"/>
          <w:bCs/>
          <w:kern w:val="44"/>
          <w:sz w:val="21"/>
          <w:szCs w:val="44"/>
          <w:lang w:eastAsia="zh-CN"/>
        </w:rPr>
      </w:pPr>
      <w:bookmarkStart w:id="19" w:name="_Toc20399"/>
      <w:bookmarkStart w:id="20" w:name="_Toc132113211"/>
      <w:bookmarkStart w:id="21" w:name="_Toc11096"/>
      <w:bookmarkStart w:id="22" w:name="_Toc531265188"/>
      <w:bookmarkStart w:id="23" w:name="_Toc20985"/>
      <w:bookmarkStart w:id="24" w:name="_Toc2981"/>
      <w:bookmarkStart w:id="25" w:name="_Toc12888_WPSOffice_Level1"/>
      <w:bookmarkStart w:id="26" w:name="_Toc20169_WPSOffice_Level1"/>
      <w:bookmarkStart w:id="27" w:name="_Toc5016"/>
      <w:r>
        <w:rPr>
          <w:rFonts w:hint="default" w:ascii="Times New Roman" w:hAnsi="Times New Roman" w:eastAsia="黑体" w:cs="Times New Roman"/>
          <w:bCs/>
          <w:kern w:val="44"/>
          <w:sz w:val="21"/>
          <w:szCs w:val="44"/>
          <w:lang w:eastAsia="zh-CN"/>
        </w:rPr>
        <w:t>2 规范性引用文件</w:t>
      </w:r>
      <w:bookmarkEnd w:id="18"/>
      <w:bookmarkEnd w:id="19"/>
      <w:bookmarkEnd w:id="20"/>
      <w:bookmarkEnd w:id="21"/>
      <w:bookmarkEnd w:id="22"/>
      <w:bookmarkEnd w:id="23"/>
      <w:bookmarkEnd w:id="24"/>
      <w:bookmarkEnd w:id="25"/>
      <w:bookmarkEnd w:id="26"/>
      <w:bookmarkEnd w:id="27"/>
    </w:p>
    <w:p w14:paraId="17DA430E">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下列文件中的内容通过文中的规范性引用而构成本文件必不可少的条款。其中，注日期的引用文件，仅该日期对应的版本适用于本文件；凡是不注日期的引用文件，其最新版本（包括所有的修改单）适用于本文件。</w:t>
      </w:r>
    </w:p>
    <w:p w14:paraId="320B477D">
      <w:pPr>
        <w:adjustRightInd w:val="0"/>
        <w:snapToGrid w:val="0"/>
        <w:spacing w:after="0" w:line="360" w:lineRule="auto"/>
        <w:ind w:left="420"/>
        <w:jc w:val="both"/>
        <w:rPr>
          <w:rFonts w:hint="default" w:ascii="Times New Roman" w:hAnsi="Times New Roman" w:eastAsia="宋体" w:cs="Times New Roman"/>
          <w:color w:val="auto"/>
          <w:kern w:val="2"/>
          <w:sz w:val="21"/>
          <w:szCs w:val="21"/>
          <w:lang w:eastAsia="zh-CN"/>
        </w:rPr>
      </w:pPr>
      <w:r>
        <w:rPr>
          <w:rFonts w:hint="default" w:ascii="Times New Roman" w:hAnsi="Times New Roman" w:eastAsia="宋体" w:cs="Times New Roman"/>
          <w:color w:val="auto"/>
          <w:kern w:val="2"/>
          <w:sz w:val="21"/>
          <w:szCs w:val="21"/>
          <w:lang w:eastAsia="zh-CN"/>
        </w:rPr>
        <w:t>GB/T 15676 稀土术语</w:t>
      </w:r>
    </w:p>
    <w:p w14:paraId="7BC5B0BF">
      <w:pPr>
        <w:adjustRightInd w:val="0"/>
        <w:snapToGrid w:val="0"/>
        <w:spacing w:after="0" w:line="360" w:lineRule="auto"/>
        <w:ind w:left="420"/>
        <w:jc w:val="both"/>
        <w:rPr>
          <w:rFonts w:hint="default" w:ascii="Times New Roman" w:hAnsi="Times New Roman" w:eastAsia="宋体" w:cs="Times New Roman"/>
          <w:color w:val="auto"/>
          <w:kern w:val="2"/>
          <w:sz w:val="21"/>
          <w:szCs w:val="21"/>
          <w:lang w:eastAsia="zh-CN"/>
        </w:rPr>
      </w:pPr>
      <w:r>
        <w:rPr>
          <w:rFonts w:hint="default" w:ascii="Times New Roman" w:hAnsi="Times New Roman" w:eastAsia="宋体" w:cs="Times New Roman"/>
          <w:color w:val="auto"/>
          <w:kern w:val="2"/>
          <w:sz w:val="21"/>
          <w:szCs w:val="21"/>
          <w:lang w:eastAsia="zh-CN"/>
        </w:rPr>
        <w:t>GB/T 19001 质量管理体系 要求</w:t>
      </w:r>
    </w:p>
    <w:p w14:paraId="05DBF737">
      <w:pPr>
        <w:adjustRightInd w:val="0"/>
        <w:snapToGrid w:val="0"/>
        <w:spacing w:after="0" w:line="360" w:lineRule="auto"/>
        <w:ind w:left="420"/>
        <w:jc w:val="both"/>
        <w:rPr>
          <w:rFonts w:hint="default" w:ascii="Times New Roman" w:hAnsi="Times New Roman" w:eastAsia="宋体" w:cs="Times New Roman"/>
          <w:color w:val="auto"/>
          <w:kern w:val="2"/>
          <w:sz w:val="21"/>
          <w:szCs w:val="21"/>
          <w:lang w:eastAsia="zh-CN"/>
        </w:rPr>
      </w:pPr>
      <w:r>
        <w:rPr>
          <w:rFonts w:hint="default" w:ascii="Times New Roman" w:hAnsi="Times New Roman" w:eastAsia="宋体" w:cs="Times New Roman"/>
          <w:color w:val="auto"/>
          <w:kern w:val="2"/>
          <w:sz w:val="21"/>
          <w:szCs w:val="21"/>
          <w:lang w:eastAsia="zh-CN"/>
        </w:rPr>
        <w:t>GB/T 24040-2008 环境管理 生命周期评价 原则与框架</w:t>
      </w:r>
    </w:p>
    <w:p w14:paraId="3689F051">
      <w:pPr>
        <w:adjustRightInd w:val="0"/>
        <w:snapToGrid w:val="0"/>
        <w:spacing w:after="0" w:line="360" w:lineRule="auto"/>
        <w:ind w:left="420"/>
        <w:jc w:val="both"/>
        <w:rPr>
          <w:rFonts w:hint="default" w:ascii="Times New Roman" w:hAnsi="Times New Roman" w:eastAsia="宋体" w:cs="Times New Roman"/>
          <w:color w:val="auto"/>
          <w:kern w:val="2"/>
          <w:sz w:val="21"/>
          <w:szCs w:val="21"/>
          <w:lang w:eastAsia="zh-CN"/>
        </w:rPr>
      </w:pPr>
      <w:r>
        <w:rPr>
          <w:rFonts w:hint="default" w:ascii="Times New Roman" w:hAnsi="Times New Roman" w:eastAsia="宋体" w:cs="Times New Roman"/>
          <w:color w:val="auto"/>
          <w:kern w:val="2"/>
          <w:sz w:val="21"/>
          <w:szCs w:val="21"/>
          <w:lang w:eastAsia="zh-CN"/>
        </w:rPr>
        <w:t>GB/T 24044-2008 环境管理 生命周期评价 要求与指南</w:t>
      </w:r>
    </w:p>
    <w:p w14:paraId="132497CB">
      <w:pPr>
        <w:adjustRightInd w:val="0"/>
        <w:snapToGrid w:val="0"/>
        <w:spacing w:after="0" w:line="360" w:lineRule="auto"/>
        <w:ind w:left="420"/>
        <w:jc w:val="both"/>
        <w:rPr>
          <w:rFonts w:hint="default" w:ascii="Times New Roman" w:hAnsi="Times New Roman" w:eastAsia="宋体" w:cs="Times New Roman"/>
          <w:color w:val="auto"/>
          <w:kern w:val="2"/>
          <w:sz w:val="21"/>
          <w:szCs w:val="21"/>
          <w:lang w:eastAsia="zh-CN"/>
        </w:rPr>
      </w:pPr>
      <w:r>
        <w:rPr>
          <w:rFonts w:hint="default" w:ascii="Times New Roman" w:hAnsi="Times New Roman" w:eastAsia="宋体" w:cs="Times New Roman"/>
          <w:color w:val="auto"/>
          <w:kern w:val="2"/>
          <w:sz w:val="21"/>
          <w:szCs w:val="21"/>
          <w:lang w:eastAsia="zh-CN"/>
        </w:rPr>
        <w:t>GB/T 24067-2024 温室气体 产品碳足迹 量化要求和指南</w:t>
      </w:r>
    </w:p>
    <w:p w14:paraId="475F8D0D">
      <w:pPr>
        <w:adjustRightInd w:val="0"/>
        <w:snapToGrid w:val="0"/>
        <w:spacing w:after="0" w:line="360" w:lineRule="auto"/>
        <w:ind w:left="420"/>
        <w:jc w:val="both"/>
        <w:rPr>
          <w:rFonts w:hint="default" w:ascii="Times New Roman" w:hAnsi="Times New Roman" w:eastAsia="宋体" w:cs="Times New Roman"/>
          <w:color w:val="auto"/>
          <w:kern w:val="2"/>
          <w:sz w:val="21"/>
          <w:szCs w:val="21"/>
          <w:lang w:eastAsia="zh-CN"/>
        </w:rPr>
      </w:pPr>
      <w:r>
        <w:rPr>
          <w:rFonts w:hint="default" w:ascii="Times New Roman" w:hAnsi="Times New Roman" w:eastAsia="宋体" w:cs="Times New Roman"/>
          <w:color w:val="auto"/>
          <w:kern w:val="2"/>
          <w:sz w:val="21"/>
          <w:szCs w:val="21"/>
          <w:lang w:eastAsia="zh-CN"/>
        </w:rPr>
        <w:t>GB/T 32150</w:t>
      </w:r>
      <w:r>
        <w:rPr>
          <w:rFonts w:hint="eastAsia" w:ascii="Times New Roman" w:hAnsi="Times New Roman" w:eastAsia="宋体" w:cs="Times New Roman"/>
          <w:color w:val="auto"/>
          <w:kern w:val="2"/>
          <w:sz w:val="21"/>
          <w:szCs w:val="21"/>
          <w:lang w:val="en-US" w:eastAsia="zh-CN"/>
        </w:rPr>
        <w:t>-2015</w:t>
      </w:r>
      <w:r>
        <w:rPr>
          <w:rFonts w:hint="default" w:ascii="Times New Roman" w:hAnsi="Times New Roman" w:eastAsia="宋体" w:cs="Times New Roman"/>
          <w:color w:val="auto"/>
          <w:kern w:val="2"/>
          <w:sz w:val="21"/>
          <w:szCs w:val="21"/>
          <w:lang w:eastAsia="zh-CN"/>
        </w:rPr>
        <w:t xml:space="preserve"> 工业企业温室气体排放核算和报告通则</w:t>
      </w:r>
    </w:p>
    <w:p w14:paraId="684939FC">
      <w:pPr>
        <w:adjustRightInd w:val="0"/>
        <w:snapToGrid w:val="0"/>
        <w:spacing w:after="0" w:line="360" w:lineRule="auto"/>
        <w:ind w:left="420"/>
        <w:jc w:val="both"/>
        <w:rPr>
          <w:rFonts w:hint="default" w:ascii="Times New Roman" w:hAnsi="Times New Roman" w:eastAsia="宋体" w:cs="Times New Roman"/>
          <w:color w:val="auto"/>
          <w:kern w:val="2"/>
          <w:sz w:val="21"/>
          <w:szCs w:val="21"/>
          <w:lang w:eastAsia="zh-CN"/>
        </w:rPr>
      </w:pPr>
      <w:r>
        <w:rPr>
          <w:rFonts w:hint="default" w:ascii="Times New Roman" w:hAnsi="Times New Roman" w:eastAsia="宋体" w:cs="Times New Roman"/>
          <w:color w:val="auto"/>
          <w:kern w:val="2"/>
          <w:sz w:val="21"/>
          <w:szCs w:val="21"/>
          <w:lang w:eastAsia="zh-CN"/>
        </w:rPr>
        <w:t>GB/T 32161 生态设计产品评价通则</w:t>
      </w:r>
    </w:p>
    <w:p w14:paraId="5011E62F">
      <w:pPr>
        <w:adjustRightInd w:val="0"/>
        <w:snapToGrid w:val="0"/>
        <w:spacing w:after="0" w:line="360" w:lineRule="auto"/>
        <w:ind w:left="420"/>
        <w:jc w:val="both"/>
        <w:rPr>
          <w:rFonts w:hint="default" w:ascii="Times New Roman" w:hAnsi="Times New Roman" w:eastAsia="宋体" w:cs="Times New Roman"/>
          <w:color w:val="auto"/>
          <w:kern w:val="2"/>
          <w:sz w:val="21"/>
          <w:szCs w:val="21"/>
          <w:lang w:eastAsia="zh-CN"/>
        </w:rPr>
      </w:pPr>
      <w:r>
        <w:rPr>
          <w:rFonts w:hint="default" w:ascii="Times New Roman" w:hAnsi="Times New Roman" w:eastAsia="宋体" w:cs="Times New Roman"/>
          <w:color w:val="auto"/>
          <w:kern w:val="2"/>
          <w:sz w:val="21"/>
          <w:szCs w:val="21"/>
          <w:lang w:eastAsia="zh-CN"/>
        </w:rPr>
        <w:t>T/CAB 0399 温室气体 产品碳足迹量化方法与要求 金属氢化物镍电池</w:t>
      </w:r>
    </w:p>
    <w:p w14:paraId="04704CB7">
      <w:pPr>
        <w:adjustRightInd w:val="0"/>
        <w:snapToGrid w:val="0"/>
        <w:spacing w:after="0" w:line="360" w:lineRule="auto"/>
        <w:ind w:left="420"/>
        <w:jc w:val="both"/>
        <w:rPr>
          <w:rFonts w:hint="default" w:ascii="Times New Roman" w:hAnsi="Times New Roman" w:eastAsia="宋体" w:cs="Times New Roman"/>
          <w:color w:val="auto"/>
          <w:kern w:val="2"/>
          <w:sz w:val="21"/>
          <w:szCs w:val="21"/>
          <w:lang w:eastAsia="zh-CN"/>
        </w:rPr>
      </w:pPr>
      <w:r>
        <w:rPr>
          <w:rFonts w:hint="default" w:ascii="Times New Roman" w:hAnsi="Times New Roman" w:eastAsia="宋体" w:cs="Times New Roman"/>
          <w:color w:val="auto"/>
          <w:kern w:val="2"/>
          <w:sz w:val="21"/>
          <w:szCs w:val="21"/>
          <w:lang w:eastAsia="zh-CN"/>
        </w:rPr>
        <w:t>T/REIANM 0102 产品生命周期评价技术规范 稀土储氢合金</w:t>
      </w:r>
    </w:p>
    <w:p w14:paraId="12119B2C">
      <w:pPr>
        <w:keepNext/>
        <w:keepLines/>
        <w:adjustRightInd w:val="0"/>
        <w:snapToGrid w:val="0"/>
        <w:spacing w:before="317" w:beforeLines="100" w:after="317" w:afterLines="100" w:line="360" w:lineRule="auto"/>
        <w:jc w:val="both"/>
        <w:outlineLvl w:val="0"/>
        <w:rPr>
          <w:rFonts w:hint="default" w:ascii="Times New Roman" w:hAnsi="Times New Roman" w:eastAsia="黑体" w:cs="Times New Roman"/>
          <w:bCs/>
          <w:kern w:val="44"/>
          <w:sz w:val="21"/>
          <w:szCs w:val="44"/>
          <w:lang w:eastAsia="zh-CN"/>
        </w:rPr>
      </w:pPr>
      <w:bookmarkStart w:id="28" w:name="_Toc531265189"/>
      <w:bookmarkStart w:id="29" w:name="_Toc21777"/>
      <w:bookmarkStart w:id="30" w:name="_Toc24038"/>
      <w:bookmarkStart w:id="31" w:name="_Toc18355"/>
      <w:bookmarkStart w:id="32" w:name="_Toc1817"/>
      <w:bookmarkStart w:id="33" w:name="_Toc29644_WPSOffice_Level1"/>
      <w:bookmarkStart w:id="34" w:name="_Toc25600"/>
      <w:bookmarkStart w:id="35" w:name="_Toc23079_WPSOffice_Level1"/>
      <w:bookmarkStart w:id="36" w:name="_Toc132113212"/>
      <w:r>
        <w:rPr>
          <w:rFonts w:hint="default" w:ascii="Times New Roman" w:hAnsi="Times New Roman" w:eastAsia="黑体" w:cs="Times New Roman"/>
          <w:bCs/>
          <w:kern w:val="44"/>
          <w:sz w:val="21"/>
          <w:szCs w:val="44"/>
          <w:lang w:eastAsia="zh-CN"/>
        </w:rPr>
        <w:t>3 术语和定义</w:t>
      </w:r>
      <w:bookmarkEnd w:id="28"/>
      <w:bookmarkEnd w:id="29"/>
      <w:bookmarkEnd w:id="30"/>
      <w:bookmarkEnd w:id="31"/>
      <w:bookmarkEnd w:id="32"/>
      <w:bookmarkEnd w:id="33"/>
      <w:bookmarkEnd w:id="34"/>
      <w:bookmarkEnd w:id="35"/>
      <w:bookmarkEnd w:id="36"/>
    </w:p>
    <w:p w14:paraId="4AE7E861">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GB/T 15676、GB/T 24040、GB/T 24044、GB/T 24067、GB/T 32150界定的以及下列术语和定义适用于本文件。</w:t>
      </w:r>
    </w:p>
    <w:p w14:paraId="250295D5">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 xml:space="preserve">3.1  </w:t>
      </w:r>
    </w:p>
    <w:p w14:paraId="6F3AC53F">
      <w:pPr>
        <w:adjustRightInd w:val="0"/>
        <w:snapToGrid w:val="0"/>
        <w:spacing w:before="158" w:beforeLines="50" w:after="158" w:afterLines="5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黑体" w:cs="Times New Roman"/>
          <w:kern w:val="2"/>
          <w:sz w:val="21"/>
          <w:szCs w:val="24"/>
          <w:lang w:eastAsia="zh-CN"/>
        </w:rPr>
        <w:t>稀土系储氢合金材料 rare earth-based hydrogen storage alloy materials</w:t>
      </w:r>
    </w:p>
    <w:p w14:paraId="4A2E2B58">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bookmarkStart w:id="37" w:name="_Hlk199926816"/>
      <w:r>
        <w:rPr>
          <w:rFonts w:hint="default" w:ascii="Times New Roman" w:hAnsi="Times New Roman" w:eastAsia="宋体" w:cs="Times New Roman"/>
          <w:kern w:val="2"/>
          <w:sz w:val="21"/>
          <w:szCs w:val="24"/>
          <w:lang w:eastAsia="zh-CN"/>
        </w:rPr>
        <w:t>以稀土为强键合氢化物形成元素，与镍、钴、锰、铝、镁等金属元素组成，在一定温度和压力条件下能够可逆地大量吸收和释放氢气，且吸/放氢反应快、可逆性优良的合金材料。</w:t>
      </w:r>
    </w:p>
    <w:p w14:paraId="79CCA719">
      <w:pPr>
        <w:adjustRightInd w:val="0"/>
        <w:snapToGrid w:val="0"/>
        <w:spacing w:after="0" w:line="360" w:lineRule="auto"/>
        <w:ind w:firstLine="420" w:firstLineChars="200"/>
        <w:jc w:val="both"/>
        <w:rPr>
          <w:rFonts w:hint="default" w:ascii="Times New Roman" w:hAnsi="Times New Roman" w:cs="Times New Roman"/>
          <w:color w:val="auto"/>
          <w:kern w:val="2"/>
          <w:sz w:val="21"/>
          <w:szCs w:val="24"/>
          <w:lang w:eastAsia="zh-CN"/>
        </w:rPr>
      </w:pPr>
      <w:r>
        <w:rPr>
          <w:rFonts w:hint="default" w:ascii="Times New Roman" w:hAnsi="Times New Roman" w:eastAsia="宋体" w:cs="Times New Roman"/>
          <w:color w:val="auto"/>
          <w:kern w:val="2"/>
          <w:sz w:val="21"/>
          <w:szCs w:val="24"/>
          <w:lang w:eastAsia="zh-CN"/>
        </w:rPr>
        <w:t>[来源：GB/T 15676—2015，6.2.1、6.2.2，有修改]</w:t>
      </w:r>
      <w:bookmarkEnd w:id="37"/>
    </w:p>
    <w:p w14:paraId="3B336138">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 xml:space="preserve">3.2  </w:t>
      </w:r>
    </w:p>
    <w:p w14:paraId="3D2573FD">
      <w:pPr>
        <w:adjustRightInd w:val="0"/>
        <w:snapToGrid w:val="0"/>
        <w:spacing w:before="158" w:beforeLines="50" w:after="158" w:afterLines="5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黑体" w:cs="Times New Roman"/>
          <w:kern w:val="2"/>
          <w:sz w:val="21"/>
          <w:szCs w:val="24"/>
          <w:lang w:eastAsia="zh-CN"/>
        </w:rPr>
        <w:t>温室气体 greenhouse gas</w:t>
      </w:r>
      <w:r>
        <w:rPr>
          <w:rFonts w:hint="default" w:ascii="Times New Roman" w:hAnsi="Times New Roman" w:eastAsia="黑体" w:cs="Times New Roman"/>
          <w:kern w:val="2"/>
          <w:sz w:val="21"/>
          <w:szCs w:val="24"/>
          <w:lang w:val="en-US" w:eastAsia="zh-CN"/>
        </w:rPr>
        <w:t>；</w:t>
      </w:r>
      <w:r>
        <w:rPr>
          <w:rFonts w:hint="default" w:ascii="Times New Roman" w:hAnsi="Times New Roman" w:eastAsia="黑体" w:cs="Times New Roman"/>
          <w:kern w:val="2"/>
          <w:sz w:val="21"/>
          <w:szCs w:val="24"/>
          <w:lang w:eastAsia="zh-CN"/>
        </w:rPr>
        <w:t>GHG</w:t>
      </w:r>
    </w:p>
    <w:p w14:paraId="2E96BC1A">
      <w:pPr>
        <w:keepNext w:val="0"/>
        <w:keepLines w:val="0"/>
        <w:pageBreakBefore w:val="0"/>
        <w:widowControl/>
        <w:suppressLineNumbers w:val="0"/>
        <w:kinsoku/>
        <w:wordWrap/>
        <w:overflowPunct/>
        <w:topLinePunct w:val="0"/>
        <w:autoSpaceDE/>
        <w:autoSpaceDN/>
        <w:bidi w:val="0"/>
        <w:adjustRightInd/>
        <w:snapToGrid/>
        <w:spacing w:after="0"/>
        <w:ind w:firstLine="420" w:firstLineChars="200"/>
        <w:jc w:val="left"/>
        <w:textAlignment w:val="auto"/>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大气层中自然存在的和由于人类活动产生的能够吸收和散发地球表面、大气层和云层所产生的、波长在红外光谱内的辐射的气态成分。</w:t>
      </w:r>
    </w:p>
    <w:p w14:paraId="7FC7C414">
      <w:pPr>
        <w:keepNext w:val="0"/>
        <w:keepLines w:val="0"/>
        <w:widowControl/>
        <w:suppressLineNumbers w:val="0"/>
        <w:ind w:firstLine="422" w:firstLineChars="200"/>
        <w:jc w:val="left"/>
        <w:rPr>
          <w:rFonts w:hint="default" w:ascii="Times New Roman" w:hAnsi="Times New Roman" w:eastAsia="宋体" w:cs="Times New Roman"/>
          <w:b/>
          <w:bCs/>
          <w:kern w:val="2"/>
          <w:sz w:val="21"/>
          <w:szCs w:val="24"/>
          <w:lang w:eastAsia="zh-CN"/>
        </w:rPr>
      </w:pPr>
      <w:r>
        <w:rPr>
          <w:rFonts w:hint="default" w:ascii="Times New Roman" w:hAnsi="Times New Roman" w:eastAsia="宋体" w:cs="Times New Roman"/>
          <w:b/>
          <w:bCs/>
          <w:kern w:val="2"/>
          <w:sz w:val="21"/>
          <w:szCs w:val="24"/>
          <w:lang w:eastAsia="zh-CN"/>
        </w:rPr>
        <w:t>注：如无特别说明，本文件中的温室气体主要包括二氧化碳（CO</w:t>
      </w:r>
      <w:r>
        <w:rPr>
          <w:rFonts w:hint="default" w:ascii="Times New Roman" w:hAnsi="Times New Roman" w:eastAsia="宋体" w:cs="Times New Roman"/>
          <w:b/>
          <w:bCs/>
          <w:kern w:val="2"/>
          <w:sz w:val="21"/>
          <w:szCs w:val="24"/>
          <w:vertAlign w:val="subscript"/>
          <w:lang w:eastAsia="zh-CN"/>
        </w:rPr>
        <w:t>2</w:t>
      </w:r>
      <w:r>
        <w:rPr>
          <w:rFonts w:hint="default" w:ascii="Times New Roman" w:hAnsi="Times New Roman" w:eastAsia="宋体" w:cs="Times New Roman"/>
          <w:b/>
          <w:bCs/>
          <w:kern w:val="2"/>
          <w:sz w:val="21"/>
          <w:szCs w:val="24"/>
          <w:lang w:eastAsia="zh-CN"/>
        </w:rPr>
        <w:t>）。</w:t>
      </w:r>
    </w:p>
    <w:p w14:paraId="7CDD4245">
      <w:pPr>
        <w:adjustRightInd w:val="0"/>
        <w:snapToGrid w:val="0"/>
        <w:spacing w:after="0" w:line="360" w:lineRule="auto"/>
        <w:ind w:firstLine="420" w:firstLineChars="200"/>
        <w:jc w:val="both"/>
        <w:rPr>
          <w:rFonts w:hint="default" w:ascii="Times New Roman" w:hAnsi="Times New Roman" w:eastAsia="宋体" w:cs="Times New Roman"/>
          <w:color w:val="auto"/>
          <w:kern w:val="2"/>
          <w:sz w:val="21"/>
          <w:szCs w:val="24"/>
          <w:lang w:eastAsia="zh-CN"/>
        </w:rPr>
      </w:pPr>
      <w:r>
        <w:rPr>
          <w:rFonts w:hint="default" w:ascii="Times New Roman" w:hAnsi="Times New Roman" w:eastAsia="宋体" w:cs="Times New Roman"/>
          <w:kern w:val="2"/>
          <w:sz w:val="21"/>
          <w:szCs w:val="24"/>
          <w:lang w:eastAsia="zh-CN"/>
        </w:rPr>
        <w:t>[来源：GB/T 24067—2024，3.2.1]</w:t>
      </w:r>
    </w:p>
    <w:p w14:paraId="4F44480D">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 xml:space="preserve">3.3  </w:t>
      </w:r>
    </w:p>
    <w:p w14:paraId="4F98C13A">
      <w:pPr>
        <w:adjustRightInd w:val="0"/>
        <w:snapToGrid w:val="0"/>
        <w:spacing w:before="158" w:beforeLines="50" w:after="158" w:afterLines="50" w:line="360" w:lineRule="auto"/>
        <w:ind w:firstLine="420" w:firstLineChars="200"/>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全球变暖潜势  global warming potential；GWP</w:t>
      </w:r>
    </w:p>
    <w:p w14:paraId="09C15E0B">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将单位质量的某种温室气体在给定时间段内辐射强迫的影响与等量二氧化碳辐射强迫影响相关联的系数。</w:t>
      </w:r>
    </w:p>
    <w:p w14:paraId="06891E2C">
      <w:pPr>
        <w:adjustRightInd w:val="0"/>
        <w:snapToGrid w:val="0"/>
        <w:spacing w:before="158" w:beforeLines="50" w:after="158" w:afterLines="50" w:line="360" w:lineRule="auto"/>
        <w:ind w:firstLine="420" w:firstLineChars="200"/>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[来源：GB/T 24067—2024，3.2.4，有修改]</w:t>
      </w:r>
    </w:p>
    <w:p w14:paraId="68198F7E">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3.</w:t>
      </w:r>
      <w:r>
        <w:rPr>
          <w:rFonts w:hint="eastAsia" w:ascii="Times New Roman" w:hAnsi="Times New Roman" w:eastAsia="黑体" w:cs="Times New Roman"/>
          <w:kern w:val="2"/>
          <w:sz w:val="21"/>
          <w:szCs w:val="24"/>
          <w:lang w:val="en-US" w:eastAsia="zh-CN"/>
        </w:rPr>
        <w:t>4</w:t>
      </w:r>
      <w:r>
        <w:rPr>
          <w:rFonts w:hint="default" w:ascii="Times New Roman" w:hAnsi="Times New Roman" w:eastAsia="黑体" w:cs="Times New Roman"/>
          <w:kern w:val="2"/>
          <w:sz w:val="21"/>
          <w:szCs w:val="24"/>
          <w:lang w:eastAsia="zh-CN"/>
        </w:rPr>
        <w:t xml:space="preserve">  </w:t>
      </w:r>
    </w:p>
    <w:p w14:paraId="098D05A6">
      <w:pPr>
        <w:adjustRightInd w:val="0"/>
        <w:snapToGrid w:val="0"/>
        <w:spacing w:before="158" w:beforeLines="50" w:after="158" w:afterLines="5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黑体" w:cs="Times New Roman"/>
          <w:kern w:val="2"/>
          <w:sz w:val="21"/>
          <w:szCs w:val="24"/>
          <w:lang w:eastAsia="zh-CN"/>
        </w:rPr>
        <w:t>产品碳足迹 carbon footprint of a product；CFP</w:t>
      </w:r>
    </w:p>
    <w:p w14:paraId="021E6C81">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产品系统中的</w:t>
      </w:r>
      <w:r>
        <w:rPr>
          <w:rFonts w:hint="default" w:ascii="Times New Roman" w:hAnsi="Times New Roman" w:eastAsia="宋体" w:cs="Times New Roman"/>
          <w:kern w:val="2"/>
          <w:sz w:val="21"/>
          <w:szCs w:val="24"/>
          <w:lang w:val="en-US" w:eastAsia="zh-CN"/>
        </w:rPr>
        <w:t>GHG</w:t>
      </w:r>
      <w:r>
        <w:rPr>
          <w:rFonts w:hint="default" w:ascii="Times New Roman" w:hAnsi="Times New Roman" w:eastAsia="宋体" w:cs="Times New Roman"/>
          <w:kern w:val="2"/>
          <w:sz w:val="21"/>
          <w:szCs w:val="24"/>
          <w:lang w:eastAsia="zh-CN"/>
        </w:rPr>
        <w:t>排放量和</w:t>
      </w:r>
      <w:r>
        <w:rPr>
          <w:rFonts w:hint="default" w:ascii="Times New Roman" w:hAnsi="Times New Roman" w:eastAsia="宋体" w:cs="Times New Roman"/>
          <w:kern w:val="2"/>
          <w:sz w:val="21"/>
          <w:szCs w:val="24"/>
          <w:lang w:val="en-US" w:eastAsia="zh-CN"/>
        </w:rPr>
        <w:t>GHG</w:t>
      </w:r>
      <w:r>
        <w:rPr>
          <w:rFonts w:hint="default" w:ascii="Times New Roman" w:hAnsi="Times New Roman" w:eastAsia="宋体" w:cs="Times New Roman"/>
          <w:kern w:val="2"/>
          <w:sz w:val="21"/>
          <w:szCs w:val="24"/>
          <w:lang w:eastAsia="zh-CN"/>
        </w:rPr>
        <w:t>清除量之和，以二氧化碳当量表示，</w:t>
      </w:r>
      <w:r>
        <w:rPr>
          <w:rFonts w:hint="default" w:ascii="Times New Roman" w:hAnsi="Times New Roman" w:eastAsia="宋体" w:cs="Times New Roman"/>
          <w:kern w:val="2"/>
          <w:sz w:val="21"/>
          <w:szCs w:val="24"/>
          <w:lang w:val="en-US" w:eastAsia="zh-CN"/>
        </w:rPr>
        <w:t>并</w:t>
      </w:r>
      <w:r>
        <w:rPr>
          <w:rFonts w:hint="default" w:ascii="Times New Roman" w:hAnsi="Times New Roman" w:eastAsia="宋体" w:cs="Times New Roman"/>
          <w:kern w:val="2"/>
          <w:sz w:val="21"/>
          <w:szCs w:val="24"/>
          <w:lang w:eastAsia="zh-CN"/>
        </w:rPr>
        <w:t>基于气候变化</w:t>
      </w:r>
      <w:r>
        <w:rPr>
          <w:rFonts w:hint="default" w:ascii="Times New Roman" w:hAnsi="Times New Roman" w:eastAsia="宋体" w:cs="Times New Roman"/>
          <w:kern w:val="2"/>
          <w:sz w:val="21"/>
          <w:szCs w:val="24"/>
          <w:lang w:val="en-US" w:eastAsia="zh-CN"/>
        </w:rPr>
        <w:t>这一</w:t>
      </w:r>
      <w:r>
        <w:rPr>
          <w:rFonts w:hint="default" w:ascii="Times New Roman" w:hAnsi="Times New Roman" w:eastAsia="宋体" w:cs="Times New Roman"/>
          <w:kern w:val="2"/>
          <w:sz w:val="21"/>
          <w:szCs w:val="24"/>
          <w:lang w:eastAsia="zh-CN"/>
        </w:rPr>
        <w:t>单一</w:t>
      </w:r>
      <w:r>
        <w:rPr>
          <w:rFonts w:hint="default" w:ascii="Times New Roman" w:hAnsi="Times New Roman" w:eastAsia="宋体" w:cs="Times New Roman"/>
          <w:kern w:val="2"/>
          <w:sz w:val="21"/>
          <w:szCs w:val="24"/>
          <w:lang w:val="en-US" w:eastAsia="zh-CN"/>
        </w:rPr>
        <w:t>环境影响类型进行</w:t>
      </w:r>
      <w:r>
        <w:rPr>
          <w:rFonts w:hint="default" w:ascii="Times New Roman" w:hAnsi="Times New Roman" w:eastAsia="宋体" w:cs="Times New Roman"/>
          <w:kern w:val="2"/>
          <w:sz w:val="21"/>
          <w:szCs w:val="24"/>
          <w:lang w:eastAsia="zh-CN"/>
        </w:rPr>
        <w:t>生命周期评价。</w:t>
      </w:r>
    </w:p>
    <w:p w14:paraId="1687A252">
      <w:pPr>
        <w:adjustRightInd w:val="0"/>
        <w:snapToGrid w:val="0"/>
        <w:spacing w:after="0" w:line="360" w:lineRule="auto"/>
        <w:ind w:firstLine="422" w:firstLineChars="200"/>
        <w:jc w:val="both"/>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注：产品碳足迹研究报告中记录了产品碳足迹的量化结果，以每个功能单位的二氧化碳当量表示。</w:t>
      </w:r>
    </w:p>
    <w:p w14:paraId="485EAB1A">
      <w:pPr>
        <w:adjustRightInd w:val="0"/>
        <w:snapToGrid w:val="0"/>
        <w:spacing w:after="0" w:line="360" w:lineRule="auto"/>
        <w:ind w:firstLine="420" w:firstLineChars="200"/>
        <w:jc w:val="both"/>
        <w:rPr>
          <w:rFonts w:hint="default" w:ascii="Times New Roman" w:hAnsi="Times New Roman" w:eastAsia="宋体" w:cs="Times New Roman"/>
          <w:color w:val="auto"/>
          <w:kern w:val="2"/>
          <w:sz w:val="21"/>
          <w:szCs w:val="21"/>
          <w:lang w:eastAsia="zh-CN"/>
        </w:rPr>
      </w:pPr>
      <w:r>
        <w:rPr>
          <w:rFonts w:hint="default" w:ascii="Times New Roman" w:hAnsi="Times New Roman" w:cs="Times New Roman"/>
          <w:color w:val="auto"/>
          <w:kern w:val="2"/>
          <w:sz w:val="21"/>
          <w:szCs w:val="24"/>
          <w:lang w:eastAsia="zh-CN"/>
        </w:rPr>
        <w:t>[来</w:t>
      </w:r>
      <w:r>
        <w:rPr>
          <w:rFonts w:hint="default" w:ascii="Times New Roman" w:hAnsi="Times New Roman" w:eastAsia="宋体" w:cs="Times New Roman"/>
          <w:color w:val="auto"/>
          <w:kern w:val="2"/>
          <w:sz w:val="21"/>
          <w:szCs w:val="21"/>
          <w:lang w:eastAsia="zh-CN"/>
        </w:rPr>
        <w:t>源：GB/T 24067-2024，3.1.1</w:t>
      </w:r>
      <w:r>
        <w:rPr>
          <w:rFonts w:hint="default" w:ascii="Times New Roman" w:hAnsi="Times New Roman" w:cs="Times New Roman"/>
          <w:color w:val="auto"/>
          <w:kern w:val="2"/>
          <w:sz w:val="21"/>
          <w:szCs w:val="24"/>
          <w:lang w:eastAsia="zh-CN"/>
        </w:rPr>
        <w:t>]</w:t>
      </w:r>
    </w:p>
    <w:p w14:paraId="67A5F0A5">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3.</w:t>
      </w:r>
      <w:r>
        <w:rPr>
          <w:rFonts w:hint="eastAsia" w:ascii="Times New Roman" w:hAnsi="Times New Roman" w:eastAsia="黑体" w:cs="Times New Roman"/>
          <w:kern w:val="2"/>
          <w:sz w:val="21"/>
          <w:szCs w:val="24"/>
          <w:lang w:val="en-US" w:eastAsia="zh-CN"/>
        </w:rPr>
        <w:t>5</w:t>
      </w:r>
      <w:r>
        <w:rPr>
          <w:rFonts w:hint="default" w:ascii="Times New Roman" w:hAnsi="Times New Roman" w:eastAsia="黑体" w:cs="Times New Roman"/>
          <w:kern w:val="2"/>
          <w:sz w:val="21"/>
          <w:szCs w:val="24"/>
          <w:lang w:eastAsia="zh-CN"/>
        </w:rPr>
        <w:t xml:space="preserve">  </w:t>
      </w:r>
    </w:p>
    <w:p w14:paraId="640DCF64">
      <w:pPr>
        <w:adjustRightInd w:val="0"/>
        <w:snapToGrid w:val="0"/>
        <w:spacing w:before="158" w:beforeLines="50" w:after="158" w:afterLines="5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黑体" w:cs="Times New Roman"/>
          <w:kern w:val="2"/>
          <w:sz w:val="21"/>
          <w:szCs w:val="24"/>
          <w:lang w:eastAsia="zh-CN"/>
        </w:rPr>
        <w:t>生命周期 life cycle</w:t>
      </w:r>
    </w:p>
    <w:p w14:paraId="1D0F4086">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产品系统中前后衔接的一系列阶段，从自然界或从自然资源中获取原材料（包括再生回收料），直至最终处置。</w:t>
      </w:r>
    </w:p>
    <w:p w14:paraId="20B2E24E">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[来源：</w:t>
      </w:r>
      <w:r>
        <w:rPr>
          <w:rFonts w:hint="default" w:ascii="Times New Roman" w:hAnsi="Times New Roman" w:cs="Times New Roman"/>
          <w:color w:val="auto"/>
          <w:kern w:val="2"/>
          <w:sz w:val="21"/>
          <w:szCs w:val="24"/>
          <w:lang w:eastAsia="zh-CN"/>
        </w:rPr>
        <w:t>GB/T 24040-2008，3.1，有修改</w:t>
      </w:r>
      <w:r>
        <w:rPr>
          <w:rFonts w:hint="default" w:ascii="Times New Roman" w:hAnsi="Times New Roman" w:eastAsia="宋体" w:cs="Times New Roman"/>
          <w:kern w:val="2"/>
          <w:sz w:val="21"/>
          <w:szCs w:val="24"/>
          <w:lang w:eastAsia="zh-CN"/>
        </w:rPr>
        <w:t>]</w:t>
      </w:r>
    </w:p>
    <w:p w14:paraId="4872DDF0">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3.</w:t>
      </w:r>
      <w:r>
        <w:rPr>
          <w:rFonts w:hint="eastAsia" w:ascii="Times New Roman" w:hAnsi="Times New Roman" w:eastAsia="黑体" w:cs="Times New Roman"/>
          <w:kern w:val="2"/>
          <w:sz w:val="21"/>
          <w:szCs w:val="24"/>
          <w:lang w:val="en-US" w:eastAsia="zh-CN"/>
        </w:rPr>
        <w:t>6</w:t>
      </w:r>
      <w:r>
        <w:rPr>
          <w:rFonts w:hint="default" w:ascii="Times New Roman" w:hAnsi="Times New Roman" w:eastAsia="黑体" w:cs="Times New Roman"/>
          <w:kern w:val="2"/>
          <w:sz w:val="21"/>
          <w:szCs w:val="24"/>
          <w:lang w:eastAsia="zh-CN"/>
        </w:rPr>
        <w:t xml:space="preserve">  </w:t>
      </w:r>
    </w:p>
    <w:p w14:paraId="79B90EA2">
      <w:pPr>
        <w:adjustRightInd w:val="0"/>
        <w:snapToGrid w:val="0"/>
        <w:spacing w:before="158" w:beforeLines="50" w:after="158" w:afterLines="5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黑体" w:cs="Times New Roman"/>
          <w:kern w:val="2"/>
          <w:sz w:val="21"/>
          <w:szCs w:val="24"/>
          <w:lang w:eastAsia="zh-CN"/>
        </w:rPr>
        <w:t>系统边界 system boundary</w:t>
      </w:r>
    </w:p>
    <w:p w14:paraId="4B7363DF">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通过一组准则确定哪些单元过程属于产品系统的一部分。</w:t>
      </w:r>
    </w:p>
    <w:p w14:paraId="24CB4824">
      <w:pPr>
        <w:adjustRightInd w:val="0"/>
        <w:snapToGrid w:val="0"/>
        <w:spacing w:after="0" w:line="360" w:lineRule="auto"/>
        <w:ind w:firstLine="420" w:firstLineChars="200"/>
        <w:jc w:val="both"/>
        <w:rPr>
          <w:rFonts w:hint="default" w:ascii="Times New Roman" w:hAnsi="Times New Roman" w:cs="Times New Roman"/>
          <w:kern w:val="2"/>
          <w:sz w:val="21"/>
          <w:szCs w:val="24"/>
          <w:lang w:eastAsia="zh-CN"/>
        </w:rPr>
      </w:pPr>
      <w:r>
        <w:rPr>
          <w:rFonts w:hint="default" w:ascii="Times New Roman" w:hAnsi="Times New Roman" w:cs="Times New Roman"/>
          <w:kern w:val="2"/>
          <w:sz w:val="21"/>
          <w:szCs w:val="24"/>
          <w:lang w:eastAsia="zh-CN"/>
        </w:rPr>
        <w:t>[</w:t>
      </w:r>
      <w:r>
        <w:rPr>
          <w:rFonts w:hint="default" w:ascii="Times New Roman" w:hAnsi="Times New Roman" w:eastAsia="宋体" w:cs="Times New Roman"/>
          <w:kern w:val="2"/>
          <w:sz w:val="21"/>
          <w:szCs w:val="24"/>
          <w:lang w:eastAsia="zh-CN"/>
        </w:rPr>
        <w:t>来源：</w:t>
      </w:r>
      <w:bookmarkStart w:id="38" w:name="OLE_LINK5"/>
      <w:r>
        <w:rPr>
          <w:rFonts w:hint="default" w:ascii="Times New Roman" w:hAnsi="Times New Roman" w:eastAsia="宋体" w:cs="Times New Roman"/>
          <w:kern w:val="2"/>
          <w:sz w:val="21"/>
          <w:szCs w:val="24"/>
          <w:lang w:eastAsia="zh-CN"/>
        </w:rPr>
        <w:t>GB/T 24044-2008</w:t>
      </w:r>
      <w:bookmarkEnd w:id="38"/>
      <w:r>
        <w:rPr>
          <w:rFonts w:hint="default" w:ascii="Times New Roman" w:hAnsi="Times New Roman" w:eastAsia="宋体" w:cs="Times New Roman"/>
          <w:kern w:val="2"/>
          <w:sz w:val="21"/>
          <w:szCs w:val="24"/>
          <w:lang w:eastAsia="zh-CN"/>
        </w:rPr>
        <w:t>，3.32</w:t>
      </w:r>
      <w:r>
        <w:rPr>
          <w:rFonts w:hint="default" w:ascii="Times New Roman" w:hAnsi="Times New Roman" w:cs="Times New Roman"/>
          <w:kern w:val="2"/>
          <w:sz w:val="21"/>
          <w:szCs w:val="24"/>
          <w:lang w:eastAsia="zh-CN"/>
        </w:rPr>
        <w:t>]</w:t>
      </w:r>
    </w:p>
    <w:p w14:paraId="259B56A9">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3.</w:t>
      </w:r>
      <w:r>
        <w:rPr>
          <w:rFonts w:hint="eastAsia" w:ascii="Times New Roman" w:hAnsi="Times New Roman" w:eastAsia="黑体" w:cs="Times New Roman"/>
          <w:kern w:val="2"/>
          <w:sz w:val="21"/>
          <w:szCs w:val="24"/>
          <w:lang w:val="en-US" w:eastAsia="zh-CN"/>
        </w:rPr>
        <w:t>7</w:t>
      </w:r>
      <w:r>
        <w:rPr>
          <w:rFonts w:hint="default" w:ascii="Times New Roman" w:hAnsi="Times New Roman" w:eastAsia="黑体" w:cs="Times New Roman"/>
          <w:kern w:val="2"/>
          <w:sz w:val="21"/>
          <w:szCs w:val="24"/>
          <w:lang w:eastAsia="zh-CN"/>
        </w:rPr>
        <w:t xml:space="preserve">  </w:t>
      </w:r>
    </w:p>
    <w:p w14:paraId="33A72F1D">
      <w:pPr>
        <w:adjustRightInd w:val="0"/>
        <w:snapToGrid w:val="0"/>
        <w:spacing w:before="158" w:beforeLines="50" w:after="158" w:afterLines="5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黑体" w:cs="Times New Roman"/>
          <w:kern w:val="2"/>
          <w:sz w:val="21"/>
          <w:szCs w:val="24"/>
          <w:lang w:eastAsia="zh-CN"/>
        </w:rPr>
        <w:t>声明单位 declare</w:t>
      </w:r>
      <w:r>
        <w:rPr>
          <w:rFonts w:hint="eastAsia" w:ascii="Times New Roman" w:hAnsi="Times New Roman" w:eastAsia="黑体" w:cs="Times New Roman"/>
          <w:kern w:val="2"/>
          <w:sz w:val="21"/>
          <w:szCs w:val="24"/>
          <w:lang w:val="en-US" w:eastAsia="zh-CN"/>
        </w:rPr>
        <w:t>d</w:t>
      </w:r>
      <w:r>
        <w:rPr>
          <w:rFonts w:hint="default" w:ascii="Times New Roman" w:hAnsi="Times New Roman" w:eastAsia="黑体" w:cs="Times New Roman"/>
          <w:kern w:val="2"/>
          <w:sz w:val="21"/>
          <w:szCs w:val="24"/>
          <w:lang w:eastAsia="zh-CN"/>
        </w:rPr>
        <w:t xml:space="preserve"> unit</w:t>
      </w:r>
    </w:p>
    <w:p w14:paraId="6898D8EE">
      <w:pPr>
        <w:adjustRightInd w:val="0"/>
        <w:snapToGrid w:val="0"/>
        <w:spacing w:after="0" w:line="360" w:lineRule="auto"/>
        <w:ind w:firstLine="424" w:firstLineChars="202"/>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用来量化产品部分碳足迹的基准单位。</w:t>
      </w:r>
    </w:p>
    <w:p w14:paraId="5185B53A">
      <w:pPr>
        <w:adjustRightInd w:val="0"/>
        <w:snapToGrid w:val="0"/>
        <w:spacing w:after="0" w:line="360" w:lineRule="auto"/>
        <w:ind w:firstLine="420" w:firstLineChars="200"/>
        <w:jc w:val="both"/>
        <w:rPr>
          <w:rFonts w:hint="default" w:ascii="Times New Roman" w:hAnsi="Times New Roman" w:cs="Times New Roman"/>
          <w:kern w:val="2"/>
          <w:sz w:val="21"/>
          <w:szCs w:val="24"/>
          <w:lang w:eastAsia="zh-CN"/>
        </w:rPr>
      </w:pPr>
      <w:r>
        <w:rPr>
          <w:rFonts w:hint="default" w:ascii="Times New Roman" w:hAnsi="Times New Roman" w:cs="Times New Roman"/>
          <w:kern w:val="2"/>
          <w:sz w:val="21"/>
          <w:szCs w:val="24"/>
          <w:lang w:eastAsia="zh-CN"/>
        </w:rPr>
        <w:t>[来源</w:t>
      </w:r>
      <w:r>
        <w:rPr>
          <w:rFonts w:hint="default" w:ascii="Times New Roman" w:hAnsi="Times New Roman" w:eastAsia="宋体" w:cs="Times New Roman"/>
          <w:kern w:val="2"/>
          <w:sz w:val="21"/>
          <w:szCs w:val="24"/>
          <w:lang w:eastAsia="zh-CN"/>
        </w:rPr>
        <w:t>：GB/T 24067-2024，3.3.8，有修改</w:t>
      </w:r>
      <w:r>
        <w:rPr>
          <w:rFonts w:hint="default" w:ascii="Times New Roman" w:hAnsi="Times New Roman" w:cs="Times New Roman"/>
          <w:kern w:val="2"/>
          <w:sz w:val="21"/>
          <w:szCs w:val="24"/>
          <w:lang w:eastAsia="zh-CN"/>
        </w:rPr>
        <w:t>]</w:t>
      </w:r>
    </w:p>
    <w:p w14:paraId="5031D375">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3.</w:t>
      </w:r>
      <w:r>
        <w:rPr>
          <w:rFonts w:hint="eastAsia" w:ascii="Times New Roman" w:hAnsi="Times New Roman" w:eastAsia="黑体" w:cs="Times New Roman"/>
          <w:kern w:val="2"/>
          <w:sz w:val="21"/>
          <w:szCs w:val="24"/>
          <w:lang w:val="en-US" w:eastAsia="zh-CN"/>
        </w:rPr>
        <w:t>8</w:t>
      </w:r>
      <w:r>
        <w:rPr>
          <w:rFonts w:hint="default" w:ascii="Times New Roman" w:hAnsi="Times New Roman" w:eastAsia="黑体" w:cs="Times New Roman"/>
          <w:kern w:val="2"/>
          <w:sz w:val="21"/>
          <w:szCs w:val="24"/>
          <w:lang w:eastAsia="zh-CN"/>
        </w:rPr>
        <w:t xml:space="preserve">  </w:t>
      </w:r>
    </w:p>
    <w:p w14:paraId="228A0D2B">
      <w:pPr>
        <w:adjustRightInd w:val="0"/>
        <w:snapToGrid w:val="0"/>
        <w:spacing w:before="158" w:beforeLines="50" w:after="158" w:afterLines="5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黑体" w:cs="Times New Roman"/>
          <w:kern w:val="2"/>
          <w:sz w:val="21"/>
          <w:szCs w:val="24"/>
          <w:lang w:val="en-US" w:eastAsia="zh-CN"/>
        </w:rPr>
        <w:t>功能单位</w:t>
      </w:r>
      <w:r>
        <w:rPr>
          <w:rFonts w:hint="default" w:ascii="Times New Roman" w:hAnsi="Times New Roman" w:eastAsia="黑体" w:cs="Times New Roman"/>
          <w:kern w:val="2"/>
          <w:sz w:val="21"/>
          <w:szCs w:val="24"/>
          <w:lang w:eastAsia="zh-CN"/>
        </w:rPr>
        <w:t xml:space="preserve"> functional unit</w:t>
      </w:r>
    </w:p>
    <w:p w14:paraId="6278A377">
      <w:pPr>
        <w:adjustRightInd w:val="0"/>
        <w:snapToGrid w:val="0"/>
        <w:spacing w:after="0" w:line="360" w:lineRule="auto"/>
        <w:ind w:firstLine="424" w:firstLineChars="202"/>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用来作为基准单位量化的产品系统性能。</w:t>
      </w:r>
    </w:p>
    <w:p w14:paraId="0ADAB91D">
      <w:pPr>
        <w:adjustRightInd w:val="0"/>
        <w:snapToGrid w:val="0"/>
        <w:spacing w:after="0" w:line="360" w:lineRule="auto"/>
        <w:ind w:firstLine="422" w:firstLineChars="200"/>
        <w:jc w:val="both"/>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注：当系统边界扩展为“从摇篮到坟墓”（包含使用阶段）时，功能单位宜以单位储氢容量（如吸收1 kg氢气）或单位质量材料为基准。</w:t>
      </w:r>
    </w:p>
    <w:p w14:paraId="5487D22D">
      <w:pPr>
        <w:adjustRightInd w:val="0"/>
        <w:snapToGrid w:val="0"/>
        <w:spacing w:after="0" w:line="360" w:lineRule="auto"/>
        <w:ind w:firstLine="420" w:firstLineChars="200"/>
        <w:jc w:val="both"/>
        <w:rPr>
          <w:rFonts w:hint="default" w:ascii="Times New Roman" w:hAnsi="Times New Roman" w:cs="Times New Roman"/>
          <w:kern w:val="2"/>
          <w:sz w:val="21"/>
          <w:szCs w:val="24"/>
          <w:lang w:eastAsia="zh-CN"/>
        </w:rPr>
      </w:pPr>
      <w:r>
        <w:rPr>
          <w:rFonts w:hint="default" w:ascii="Times New Roman" w:hAnsi="Times New Roman" w:cs="Times New Roman"/>
          <w:kern w:val="2"/>
          <w:sz w:val="21"/>
          <w:szCs w:val="24"/>
          <w:lang w:eastAsia="zh-CN"/>
        </w:rPr>
        <w:t>[来源：GB/T 24040-2008，3.20，有修改]</w:t>
      </w:r>
    </w:p>
    <w:p w14:paraId="55E824A9">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3.</w:t>
      </w:r>
      <w:r>
        <w:rPr>
          <w:rFonts w:hint="eastAsia" w:ascii="Times New Roman" w:hAnsi="Times New Roman" w:eastAsia="黑体" w:cs="Times New Roman"/>
          <w:kern w:val="2"/>
          <w:sz w:val="21"/>
          <w:szCs w:val="24"/>
          <w:lang w:val="en-US" w:eastAsia="zh-CN"/>
        </w:rPr>
        <w:t>9</w:t>
      </w:r>
      <w:r>
        <w:rPr>
          <w:rFonts w:hint="default" w:ascii="Times New Roman" w:hAnsi="Times New Roman" w:eastAsia="黑体" w:cs="Times New Roman"/>
          <w:kern w:val="2"/>
          <w:sz w:val="21"/>
          <w:szCs w:val="24"/>
          <w:lang w:eastAsia="zh-CN"/>
        </w:rPr>
        <w:t xml:space="preserve"> </w:t>
      </w:r>
    </w:p>
    <w:p w14:paraId="45D33F5C">
      <w:pPr>
        <w:adjustRightInd w:val="0"/>
        <w:snapToGrid w:val="0"/>
        <w:spacing w:before="158" w:beforeLines="50" w:after="158" w:afterLines="5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黑体" w:cs="Times New Roman"/>
          <w:kern w:val="2"/>
          <w:sz w:val="21"/>
          <w:szCs w:val="24"/>
          <w:lang w:val="en-US" w:eastAsia="zh-CN"/>
        </w:rPr>
        <w:t>基本流</w:t>
      </w:r>
      <w:r>
        <w:rPr>
          <w:rFonts w:hint="default" w:ascii="Times New Roman" w:hAnsi="Times New Roman" w:eastAsia="黑体" w:cs="Times New Roman"/>
          <w:kern w:val="2"/>
          <w:sz w:val="21"/>
          <w:szCs w:val="24"/>
          <w:lang w:eastAsia="zh-CN"/>
        </w:rPr>
        <w:t xml:space="preserve"> elementary flow</w:t>
      </w:r>
    </w:p>
    <w:p w14:paraId="1C6FCA25">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取自环境，进入所研究系统之前没有经过人为转化的物质或能量，或者是离开所研究系统，进入环境之后不再进行人为转化的物质或能量。</w:t>
      </w:r>
    </w:p>
    <w:p w14:paraId="2765D5AA">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[来源：GB/T 24040-2008，3.12]</w:t>
      </w:r>
    </w:p>
    <w:p w14:paraId="1C00C11C">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3.</w:t>
      </w:r>
      <w:r>
        <w:rPr>
          <w:rFonts w:hint="eastAsia" w:ascii="Times New Roman" w:hAnsi="Times New Roman" w:eastAsia="黑体" w:cs="Times New Roman"/>
          <w:kern w:val="2"/>
          <w:sz w:val="21"/>
          <w:szCs w:val="24"/>
          <w:lang w:val="en-US" w:eastAsia="zh-CN"/>
        </w:rPr>
        <w:t>10</w:t>
      </w:r>
      <w:r>
        <w:rPr>
          <w:rFonts w:hint="default" w:ascii="Times New Roman" w:hAnsi="Times New Roman" w:eastAsia="黑体" w:cs="Times New Roman"/>
          <w:kern w:val="2"/>
          <w:sz w:val="21"/>
          <w:szCs w:val="24"/>
          <w:lang w:eastAsia="zh-CN"/>
        </w:rPr>
        <w:t xml:space="preserve">  </w:t>
      </w:r>
    </w:p>
    <w:p w14:paraId="2BCF932F">
      <w:pPr>
        <w:adjustRightInd w:val="0"/>
        <w:snapToGrid w:val="0"/>
        <w:spacing w:before="158" w:beforeLines="50" w:after="158" w:afterLines="5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黑体" w:cs="Times New Roman"/>
          <w:kern w:val="2"/>
          <w:sz w:val="21"/>
          <w:szCs w:val="24"/>
          <w:lang w:eastAsia="zh-CN"/>
        </w:rPr>
        <w:t>共生产品 co-product</w:t>
      </w:r>
    </w:p>
    <w:p w14:paraId="75D14C8C">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同一单元过程或产品系统中产出的两种或两种以上的产品。</w:t>
      </w:r>
    </w:p>
    <w:p w14:paraId="2757F97A">
      <w:pPr>
        <w:adjustRightInd w:val="0"/>
        <w:snapToGrid w:val="0"/>
        <w:spacing w:after="0" w:line="360" w:lineRule="auto"/>
        <w:ind w:firstLine="420" w:firstLineChars="200"/>
        <w:jc w:val="both"/>
        <w:rPr>
          <w:rFonts w:hint="default" w:ascii="Times New Roman" w:hAnsi="Times New Roman" w:eastAsia="黑体" w:cs="Times New Roman"/>
          <w:kern w:val="2"/>
          <w:sz w:val="21"/>
          <w:szCs w:val="24"/>
          <w:lang w:eastAsia="zh-CN"/>
        </w:rPr>
      </w:pPr>
      <w:r>
        <w:rPr>
          <w:rFonts w:hint="default" w:ascii="Times New Roman" w:hAnsi="Times New Roman" w:eastAsia="宋体" w:cs="Times New Roman"/>
          <w:kern w:val="2"/>
          <w:sz w:val="21"/>
          <w:szCs w:val="24"/>
          <w:lang w:eastAsia="zh-CN"/>
        </w:rPr>
        <w:t>[来源：GB/T 24040-2008，3.10]</w:t>
      </w:r>
    </w:p>
    <w:p w14:paraId="00448CB5">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3.1</w:t>
      </w:r>
      <w:r>
        <w:rPr>
          <w:rFonts w:hint="eastAsia" w:ascii="Times New Roman" w:hAnsi="Times New Roman" w:eastAsia="黑体" w:cs="Times New Roman"/>
          <w:kern w:val="2"/>
          <w:sz w:val="21"/>
          <w:szCs w:val="24"/>
          <w:lang w:val="en-US" w:eastAsia="zh-CN"/>
        </w:rPr>
        <w:t>1</w:t>
      </w:r>
      <w:r>
        <w:rPr>
          <w:rFonts w:hint="default" w:ascii="Times New Roman" w:hAnsi="Times New Roman" w:eastAsia="黑体" w:cs="Times New Roman"/>
          <w:kern w:val="2"/>
          <w:sz w:val="21"/>
          <w:szCs w:val="24"/>
          <w:lang w:eastAsia="zh-CN"/>
        </w:rPr>
        <w:t xml:space="preserve">  </w:t>
      </w:r>
    </w:p>
    <w:p w14:paraId="60D6AC75">
      <w:pPr>
        <w:adjustRightInd w:val="0"/>
        <w:snapToGrid w:val="0"/>
        <w:spacing w:before="158" w:beforeLines="50" w:after="158" w:afterLines="5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黑体" w:cs="Times New Roman"/>
          <w:kern w:val="2"/>
          <w:sz w:val="21"/>
          <w:szCs w:val="24"/>
          <w:lang w:eastAsia="zh-CN"/>
        </w:rPr>
        <w:t>生命周期清单分析 life cycle inventory analysis；LCI</w:t>
      </w:r>
    </w:p>
    <w:p w14:paraId="4A66D717">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生命周期评价中对所研究产品整个生命周期中输入和输出进行汇编和量化的阶段。</w:t>
      </w:r>
    </w:p>
    <w:p w14:paraId="519A71A1">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[来源：GB/T 24040-2008，3.3]</w:t>
      </w:r>
    </w:p>
    <w:p w14:paraId="02B7522E">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3.1</w:t>
      </w:r>
      <w:r>
        <w:rPr>
          <w:rFonts w:hint="eastAsia" w:ascii="Times New Roman" w:hAnsi="Times New Roman" w:eastAsia="黑体" w:cs="Times New Roman"/>
          <w:kern w:val="2"/>
          <w:sz w:val="21"/>
          <w:szCs w:val="24"/>
          <w:lang w:val="en-US" w:eastAsia="zh-CN"/>
        </w:rPr>
        <w:t>2</w:t>
      </w:r>
      <w:r>
        <w:rPr>
          <w:rFonts w:hint="default" w:ascii="Times New Roman" w:hAnsi="Times New Roman" w:eastAsia="黑体" w:cs="Times New Roman"/>
          <w:kern w:val="2"/>
          <w:sz w:val="21"/>
          <w:szCs w:val="24"/>
          <w:lang w:eastAsia="zh-CN"/>
        </w:rPr>
        <w:t xml:space="preserve">  </w:t>
      </w:r>
    </w:p>
    <w:p w14:paraId="52991995">
      <w:pPr>
        <w:adjustRightInd w:val="0"/>
        <w:snapToGrid w:val="0"/>
        <w:spacing w:before="158" w:beforeLines="50" w:after="158" w:afterLines="5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黑体" w:cs="Times New Roman"/>
          <w:kern w:val="2"/>
          <w:sz w:val="21"/>
          <w:szCs w:val="24"/>
          <w:lang w:eastAsia="zh-CN"/>
        </w:rPr>
        <w:t>初级数据 primary data</w:t>
      </w:r>
    </w:p>
    <w:p w14:paraId="0B11F628">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通过直接测量或基于直接测量的计算得到的过程或活动的量化值。</w:t>
      </w:r>
    </w:p>
    <w:p w14:paraId="579CC2A8">
      <w:pPr>
        <w:adjustRightInd w:val="0"/>
        <w:snapToGrid w:val="0"/>
        <w:spacing w:after="0" w:line="360" w:lineRule="auto"/>
        <w:ind w:firstLine="420" w:firstLineChars="200"/>
        <w:jc w:val="both"/>
        <w:rPr>
          <w:rFonts w:hint="default" w:ascii="Times New Roman" w:hAnsi="Times New Roman" w:eastAsia="黑体" w:cs="Times New Roman"/>
          <w:kern w:val="2"/>
          <w:sz w:val="21"/>
          <w:szCs w:val="24"/>
          <w:lang w:eastAsia="zh-CN"/>
        </w:rPr>
      </w:pPr>
      <w:r>
        <w:rPr>
          <w:rFonts w:hint="default" w:ascii="Times New Roman" w:hAnsi="Times New Roman" w:cs="Times New Roman"/>
          <w:kern w:val="2"/>
          <w:sz w:val="21"/>
          <w:szCs w:val="24"/>
          <w:lang w:eastAsia="zh-CN"/>
        </w:rPr>
        <w:t>[来</w:t>
      </w:r>
      <w:r>
        <w:rPr>
          <w:rFonts w:hint="default" w:ascii="Times New Roman" w:hAnsi="Times New Roman" w:eastAsia="宋体" w:cs="Times New Roman"/>
          <w:kern w:val="2"/>
          <w:sz w:val="21"/>
          <w:szCs w:val="24"/>
          <w:lang w:eastAsia="zh-CN"/>
        </w:rPr>
        <w:t>源：GB/T 24067-2024，3.6.1，有修</w:t>
      </w:r>
      <w:r>
        <w:rPr>
          <w:rFonts w:hint="default" w:ascii="Times New Roman" w:hAnsi="Times New Roman" w:cs="Times New Roman"/>
          <w:kern w:val="2"/>
          <w:sz w:val="21"/>
          <w:szCs w:val="24"/>
          <w:lang w:eastAsia="zh-CN"/>
        </w:rPr>
        <w:t>改]</w:t>
      </w:r>
    </w:p>
    <w:p w14:paraId="20FD4D19">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3.1</w:t>
      </w:r>
      <w:r>
        <w:rPr>
          <w:rFonts w:hint="eastAsia" w:ascii="Times New Roman" w:hAnsi="Times New Roman" w:eastAsia="黑体" w:cs="Times New Roman"/>
          <w:kern w:val="2"/>
          <w:sz w:val="21"/>
          <w:szCs w:val="24"/>
          <w:lang w:val="en-US" w:eastAsia="zh-CN"/>
        </w:rPr>
        <w:t>3</w:t>
      </w:r>
      <w:r>
        <w:rPr>
          <w:rFonts w:hint="default" w:ascii="Times New Roman" w:hAnsi="Times New Roman" w:eastAsia="黑体" w:cs="Times New Roman"/>
          <w:kern w:val="2"/>
          <w:sz w:val="21"/>
          <w:szCs w:val="24"/>
          <w:lang w:eastAsia="zh-CN"/>
        </w:rPr>
        <w:t xml:space="preserve">  </w:t>
      </w:r>
    </w:p>
    <w:p w14:paraId="79F26028">
      <w:pPr>
        <w:adjustRightInd w:val="0"/>
        <w:snapToGrid w:val="0"/>
        <w:spacing w:before="158" w:beforeLines="50" w:after="158" w:afterLines="5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黑体" w:cs="Times New Roman"/>
          <w:kern w:val="2"/>
          <w:sz w:val="21"/>
          <w:szCs w:val="24"/>
          <w:lang w:eastAsia="zh-CN"/>
        </w:rPr>
        <w:t>次级数据 secondary data</w:t>
      </w:r>
    </w:p>
    <w:p w14:paraId="7A48A233">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不符合初级数据要求的数据。</w:t>
      </w:r>
    </w:p>
    <w:p w14:paraId="4A762420">
      <w:pPr>
        <w:adjustRightInd w:val="0"/>
        <w:snapToGrid w:val="0"/>
        <w:spacing w:after="0" w:line="360" w:lineRule="auto"/>
        <w:ind w:firstLine="498" w:firstLineChars="236"/>
        <w:jc w:val="both"/>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注1：次级数据是经权威机构验证且具有可信度的数据，可来源于数据库、公开文献、国家排放因子、计算估算数据或其他具有代表性的数据，推荐使用本土化数据库。</w:t>
      </w:r>
    </w:p>
    <w:p w14:paraId="463F1478">
      <w:pPr>
        <w:adjustRightInd w:val="0"/>
        <w:snapToGrid w:val="0"/>
        <w:spacing w:after="0" w:line="360" w:lineRule="auto"/>
        <w:ind w:firstLine="498" w:firstLineChars="236"/>
        <w:jc w:val="both"/>
        <w:rPr>
          <w:rFonts w:hint="eastAsia" w:ascii="宋体" w:hAnsi="宋体" w:eastAsia="宋体" w:cs="宋体"/>
          <w:b/>
          <w:bCs/>
          <w:kern w:val="2"/>
          <w:sz w:val="21"/>
          <w:szCs w:val="21"/>
          <w:lang w:eastAsia="zh-CN"/>
        </w:rPr>
      </w:pPr>
      <w:r>
        <w:rPr>
          <w:rFonts w:hint="eastAsia" w:ascii="宋体" w:hAnsi="宋体" w:eastAsia="宋体" w:cs="宋体"/>
          <w:b/>
          <w:bCs/>
          <w:kern w:val="2"/>
          <w:sz w:val="21"/>
          <w:szCs w:val="21"/>
          <w:lang w:eastAsia="zh-CN"/>
        </w:rPr>
        <w:t>注2：次级数据可包括从代替过程或估算获得的数据。</w:t>
      </w:r>
    </w:p>
    <w:p w14:paraId="183A9DED">
      <w:pPr>
        <w:adjustRightInd w:val="0"/>
        <w:snapToGrid w:val="0"/>
        <w:spacing w:after="0" w:line="360" w:lineRule="auto"/>
        <w:ind w:firstLine="420" w:firstLineChars="200"/>
        <w:jc w:val="both"/>
        <w:rPr>
          <w:rFonts w:hint="default" w:ascii="Times New Roman" w:hAnsi="Times New Roman" w:eastAsia="黑体" w:cs="Times New Roman"/>
          <w:kern w:val="2"/>
          <w:sz w:val="21"/>
          <w:szCs w:val="24"/>
          <w:lang w:eastAsia="zh-CN"/>
        </w:rPr>
      </w:pPr>
      <w:r>
        <w:rPr>
          <w:rFonts w:hint="default" w:ascii="Times New Roman" w:hAnsi="Times New Roman" w:cs="Times New Roman"/>
          <w:kern w:val="2"/>
          <w:sz w:val="21"/>
          <w:szCs w:val="24"/>
          <w:lang w:eastAsia="zh-CN"/>
        </w:rPr>
        <w:t>[</w:t>
      </w:r>
      <w:r>
        <w:rPr>
          <w:rFonts w:hint="default" w:ascii="Times New Roman" w:hAnsi="Times New Roman" w:eastAsia="宋体" w:cs="Times New Roman"/>
          <w:kern w:val="2"/>
          <w:sz w:val="21"/>
          <w:szCs w:val="24"/>
          <w:lang w:eastAsia="zh-CN"/>
        </w:rPr>
        <w:t>来源：GB/T 24067-2024，3.6.3</w:t>
      </w:r>
      <w:r>
        <w:rPr>
          <w:rFonts w:hint="default" w:ascii="Times New Roman" w:hAnsi="Times New Roman" w:cs="Times New Roman"/>
          <w:kern w:val="2"/>
          <w:sz w:val="21"/>
          <w:szCs w:val="24"/>
          <w:lang w:eastAsia="zh-CN"/>
        </w:rPr>
        <w:t>]</w:t>
      </w:r>
    </w:p>
    <w:p w14:paraId="0F8DF221">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3.1</w:t>
      </w:r>
      <w:r>
        <w:rPr>
          <w:rFonts w:hint="eastAsia" w:ascii="Times New Roman" w:hAnsi="Times New Roman" w:eastAsia="黑体" w:cs="Times New Roman"/>
          <w:kern w:val="2"/>
          <w:sz w:val="21"/>
          <w:szCs w:val="24"/>
          <w:lang w:val="en-US" w:eastAsia="zh-CN"/>
        </w:rPr>
        <w:t>4</w:t>
      </w:r>
      <w:r>
        <w:rPr>
          <w:rFonts w:hint="default" w:ascii="Times New Roman" w:hAnsi="Times New Roman" w:eastAsia="黑体" w:cs="Times New Roman"/>
          <w:kern w:val="2"/>
          <w:sz w:val="21"/>
          <w:szCs w:val="24"/>
          <w:lang w:eastAsia="zh-CN"/>
        </w:rPr>
        <w:t xml:space="preserve">  </w:t>
      </w:r>
    </w:p>
    <w:p w14:paraId="538EA7AA">
      <w:pPr>
        <w:adjustRightInd w:val="0"/>
        <w:snapToGrid w:val="0"/>
        <w:spacing w:before="158" w:beforeLines="50" w:after="158" w:afterLines="5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黑体" w:cs="Times New Roman"/>
          <w:kern w:val="2"/>
          <w:sz w:val="21"/>
          <w:szCs w:val="24"/>
          <w:lang w:eastAsia="zh-CN"/>
        </w:rPr>
        <w:t>取舍准则 cut-off criteria</w:t>
      </w:r>
    </w:p>
    <w:p w14:paraId="22C31022">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对与单元过程或产品系统相关的物质和能量流的数量或环境影响重要性程度是否被排除在研究范围之外所</w:t>
      </w:r>
      <w:r>
        <w:rPr>
          <w:rFonts w:hint="default" w:ascii="Times New Roman" w:hAnsi="Times New Roman" w:eastAsia="宋体" w:cs="Times New Roman"/>
          <w:kern w:val="2"/>
          <w:sz w:val="21"/>
          <w:szCs w:val="24"/>
          <w:lang w:val="en-US" w:eastAsia="zh-CN"/>
        </w:rPr>
        <w:t>作</w:t>
      </w:r>
      <w:r>
        <w:rPr>
          <w:rFonts w:hint="default" w:ascii="Times New Roman" w:hAnsi="Times New Roman" w:eastAsia="宋体" w:cs="Times New Roman"/>
          <w:kern w:val="2"/>
          <w:sz w:val="21"/>
          <w:szCs w:val="24"/>
          <w:lang w:eastAsia="zh-CN"/>
        </w:rPr>
        <w:t>的规定。</w:t>
      </w:r>
    </w:p>
    <w:p w14:paraId="304EA6FE">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cs="Times New Roman"/>
          <w:kern w:val="2"/>
          <w:sz w:val="21"/>
          <w:szCs w:val="24"/>
          <w:lang w:eastAsia="zh-CN"/>
        </w:rPr>
        <w:t>[来</w:t>
      </w:r>
      <w:r>
        <w:rPr>
          <w:rFonts w:hint="default" w:ascii="Times New Roman" w:hAnsi="Times New Roman" w:eastAsia="宋体" w:cs="Times New Roman"/>
          <w:kern w:val="2"/>
          <w:sz w:val="21"/>
          <w:szCs w:val="24"/>
          <w:lang w:eastAsia="zh-CN"/>
        </w:rPr>
        <w:t>源：GB/T 24044-2008，3.18</w:t>
      </w:r>
      <w:r>
        <w:rPr>
          <w:rFonts w:hint="default" w:ascii="Times New Roman" w:hAnsi="Times New Roman" w:cs="Times New Roman"/>
          <w:kern w:val="2"/>
          <w:sz w:val="21"/>
          <w:szCs w:val="24"/>
          <w:lang w:eastAsia="zh-CN"/>
        </w:rPr>
        <w:t>]</w:t>
      </w:r>
    </w:p>
    <w:p w14:paraId="5469326B">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3.1</w:t>
      </w:r>
      <w:r>
        <w:rPr>
          <w:rFonts w:hint="eastAsia" w:ascii="Times New Roman" w:hAnsi="Times New Roman" w:eastAsia="黑体" w:cs="Times New Roman"/>
          <w:kern w:val="2"/>
          <w:sz w:val="21"/>
          <w:szCs w:val="24"/>
          <w:lang w:val="en-US" w:eastAsia="zh-CN"/>
        </w:rPr>
        <w:t>5</w:t>
      </w:r>
      <w:r>
        <w:rPr>
          <w:rFonts w:hint="default" w:ascii="Times New Roman" w:hAnsi="Times New Roman" w:eastAsia="黑体" w:cs="Times New Roman"/>
          <w:kern w:val="2"/>
          <w:sz w:val="21"/>
          <w:szCs w:val="24"/>
          <w:lang w:eastAsia="zh-CN"/>
        </w:rPr>
        <w:t xml:space="preserve">  </w:t>
      </w:r>
    </w:p>
    <w:p w14:paraId="62C00C09">
      <w:pPr>
        <w:adjustRightInd w:val="0"/>
        <w:snapToGrid w:val="0"/>
        <w:spacing w:before="158" w:beforeLines="50" w:after="158" w:afterLines="5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黑体" w:cs="Times New Roman"/>
          <w:kern w:val="2"/>
          <w:sz w:val="21"/>
          <w:szCs w:val="24"/>
          <w:lang w:eastAsia="zh-CN"/>
        </w:rPr>
        <w:t>活动数据 activity data (AD)</w:t>
      </w:r>
    </w:p>
    <w:p w14:paraId="08875AF5">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导致温室气体排放的生产或消费活动量的表征值。</w:t>
      </w:r>
    </w:p>
    <w:p w14:paraId="657B621E">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黑体" w:cs="Times New Roman"/>
          <w:kern w:val="2"/>
          <w:sz w:val="21"/>
          <w:szCs w:val="21"/>
          <w:lang w:eastAsia="zh-CN"/>
        </w:rPr>
        <w:t>注：如各种化石燃料的消耗量、原材料的使用量、购入的电量、购入的热量等</w:t>
      </w:r>
      <w:r>
        <w:rPr>
          <w:rFonts w:hint="default" w:ascii="Times New Roman" w:hAnsi="Times New Roman" w:eastAsia="宋体" w:cs="Times New Roman"/>
          <w:kern w:val="2"/>
          <w:sz w:val="21"/>
          <w:szCs w:val="21"/>
          <w:lang w:eastAsia="zh-CN"/>
        </w:rPr>
        <w:t>。</w:t>
      </w:r>
    </w:p>
    <w:p w14:paraId="7C9A94F3">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[来源：GB/T 32150</w:t>
      </w:r>
      <w:r>
        <w:rPr>
          <w:rFonts w:hint="default" w:ascii="Times New Roman" w:hAnsi="Times New Roman" w:eastAsia="宋体" w:cs="Times New Roman"/>
          <w:kern w:val="2"/>
          <w:sz w:val="21"/>
          <w:szCs w:val="24"/>
          <w:lang w:val="en-US" w:eastAsia="zh-CN"/>
        </w:rPr>
        <w:t>-</w:t>
      </w:r>
      <w:r>
        <w:rPr>
          <w:rFonts w:hint="default" w:ascii="Times New Roman" w:hAnsi="Times New Roman" w:eastAsia="宋体" w:cs="Times New Roman"/>
          <w:kern w:val="2"/>
          <w:sz w:val="21"/>
          <w:szCs w:val="24"/>
          <w:lang w:eastAsia="zh-CN"/>
        </w:rPr>
        <w:t>2015，3.12]</w:t>
      </w:r>
    </w:p>
    <w:p w14:paraId="3A895BC1">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3.1</w:t>
      </w:r>
      <w:r>
        <w:rPr>
          <w:rFonts w:hint="eastAsia" w:ascii="Times New Roman" w:hAnsi="Times New Roman" w:eastAsia="黑体" w:cs="Times New Roman"/>
          <w:kern w:val="2"/>
          <w:sz w:val="21"/>
          <w:szCs w:val="24"/>
          <w:lang w:val="en-US" w:eastAsia="zh-CN"/>
        </w:rPr>
        <w:t>6</w:t>
      </w:r>
      <w:r>
        <w:rPr>
          <w:rFonts w:hint="default" w:ascii="Times New Roman" w:hAnsi="Times New Roman" w:eastAsia="黑体" w:cs="Times New Roman"/>
          <w:kern w:val="2"/>
          <w:sz w:val="21"/>
          <w:szCs w:val="24"/>
          <w:lang w:eastAsia="zh-CN"/>
        </w:rPr>
        <w:t xml:space="preserve">  </w:t>
      </w:r>
    </w:p>
    <w:p w14:paraId="779A8981">
      <w:pPr>
        <w:adjustRightInd w:val="0"/>
        <w:snapToGrid w:val="0"/>
        <w:spacing w:before="158" w:beforeLines="50" w:after="158" w:afterLines="5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黑体" w:cs="Times New Roman"/>
          <w:kern w:val="2"/>
          <w:sz w:val="21"/>
          <w:szCs w:val="24"/>
          <w:lang w:eastAsia="zh-CN"/>
        </w:rPr>
        <w:t>数据质量等级 data quality rating；DQR</w:t>
      </w:r>
    </w:p>
    <w:p w14:paraId="5FB7233B">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根据数据的时间代表性、技术代表性、地理代表性和准确度等参数计算得到的数据质量评价指标。</w:t>
      </w:r>
    </w:p>
    <w:p w14:paraId="5D57EDB4">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[来源：参照欧盟PEF（Product Environmental Footprint）数据质量评价方法，见T/CAB 0399-2025附录B]</w:t>
      </w:r>
    </w:p>
    <w:p w14:paraId="1583F537">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3.1</w:t>
      </w:r>
      <w:r>
        <w:rPr>
          <w:rFonts w:hint="eastAsia" w:ascii="Times New Roman" w:hAnsi="Times New Roman" w:eastAsia="黑体" w:cs="Times New Roman"/>
          <w:kern w:val="2"/>
          <w:sz w:val="21"/>
          <w:szCs w:val="24"/>
          <w:lang w:val="en-US" w:eastAsia="zh-CN"/>
        </w:rPr>
        <w:t>7</w:t>
      </w:r>
      <w:r>
        <w:rPr>
          <w:rFonts w:hint="default" w:ascii="Times New Roman" w:hAnsi="Times New Roman" w:eastAsia="黑体" w:cs="Times New Roman"/>
          <w:kern w:val="2"/>
          <w:sz w:val="21"/>
          <w:szCs w:val="24"/>
          <w:lang w:eastAsia="zh-CN"/>
        </w:rPr>
        <w:t xml:space="preserve">  </w:t>
      </w:r>
    </w:p>
    <w:p w14:paraId="2E01FA80">
      <w:pPr>
        <w:adjustRightInd w:val="0"/>
        <w:snapToGrid w:val="0"/>
        <w:spacing w:before="158" w:beforeLines="50" w:after="158" w:afterLines="5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黑体" w:cs="Times New Roman"/>
          <w:kern w:val="2"/>
          <w:sz w:val="21"/>
          <w:szCs w:val="24"/>
          <w:lang w:eastAsia="zh-CN"/>
        </w:rPr>
        <w:t>再生稀土原料 recycled rare earth material</w:t>
      </w:r>
    </w:p>
    <w:p w14:paraId="5C8C3315">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从废旧稀土产品、稀土加工废料或报废储氢合金中回收并经处理后可重新用于稀土系储氢合金生产的含稀土物料。</w:t>
      </w:r>
    </w:p>
    <w:p w14:paraId="1ECEBD43">
      <w:pPr>
        <w:adjustRightInd w:val="0"/>
        <w:snapToGrid w:val="0"/>
        <w:spacing w:after="0" w:line="360" w:lineRule="auto"/>
        <w:ind w:firstLine="420" w:firstLineChars="200"/>
        <w:jc w:val="both"/>
        <w:rPr>
          <w:rFonts w:hint="default" w:ascii="Times New Roman" w:hAnsi="Times New Roman" w:eastAsia="宋体" w:cs="Times New Roman"/>
          <w:b/>
          <w:bCs/>
          <w:kern w:val="2"/>
          <w:sz w:val="21"/>
          <w:szCs w:val="24"/>
          <w:lang w:eastAsia="zh-CN"/>
        </w:rPr>
      </w:pPr>
      <w:r>
        <w:rPr>
          <w:rFonts w:hint="default" w:ascii="Times New Roman" w:hAnsi="Times New Roman" w:eastAsia="黑体" w:cs="Times New Roman"/>
          <w:kern w:val="2"/>
          <w:sz w:val="21"/>
          <w:szCs w:val="21"/>
          <w:lang w:eastAsia="zh-CN"/>
        </w:rPr>
        <w:t>注：再生稀土原料包括回收的混合稀土金属、单一稀土氧化物、稀土盐类以及可直接回炉的废旧储氢合金</w:t>
      </w:r>
      <w:r>
        <w:rPr>
          <w:rFonts w:hint="eastAsia" w:ascii="Times New Roman" w:hAnsi="Times New Roman" w:eastAsia="黑体" w:cs="Times New Roman"/>
          <w:kern w:val="2"/>
          <w:sz w:val="21"/>
          <w:szCs w:val="21"/>
          <w:lang w:val="en-US" w:eastAsia="zh-CN"/>
        </w:rPr>
        <w:t>原</w:t>
      </w:r>
      <w:r>
        <w:rPr>
          <w:rFonts w:hint="default" w:ascii="Times New Roman" w:hAnsi="Times New Roman" w:eastAsia="黑体" w:cs="Times New Roman"/>
          <w:kern w:val="2"/>
          <w:sz w:val="21"/>
          <w:szCs w:val="21"/>
          <w:lang w:eastAsia="zh-CN"/>
        </w:rPr>
        <w:t>料等。</w:t>
      </w:r>
    </w:p>
    <w:p w14:paraId="3785C7D6">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[来源：GB/T 24044-2008]</w:t>
      </w:r>
    </w:p>
    <w:p w14:paraId="54F17E0F">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3.1</w:t>
      </w:r>
      <w:r>
        <w:rPr>
          <w:rFonts w:hint="eastAsia" w:ascii="Times New Roman" w:hAnsi="Times New Roman" w:eastAsia="黑体" w:cs="Times New Roman"/>
          <w:kern w:val="2"/>
          <w:sz w:val="21"/>
          <w:szCs w:val="24"/>
          <w:lang w:val="en-US" w:eastAsia="zh-CN"/>
        </w:rPr>
        <w:t>8</w:t>
      </w:r>
      <w:r>
        <w:rPr>
          <w:rFonts w:hint="default" w:ascii="Times New Roman" w:hAnsi="Times New Roman" w:eastAsia="黑体" w:cs="Times New Roman"/>
          <w:kern w:val="2"/>
          <w:sz w:val="21"/>
          <w:szCs w:val="24"/>
          <w:lang w:eastAsia="zh-CN"/>
        </w:rPr>
        <w:t xml:space="preserve"> </w:t>
      </w:r>
    </w:p>
    <w:p w14:paraId="3626E408">
      <w:pPr>
        <w:adjustRightInd w:val="0"/>
        <w:snapToGrid w:val="0"/>
        <w:spacing w:before="158" w:beforeLines="50" w:after="158" w:afterLines="5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黑体" w:cs="Times New Roman"/>
          <w:kern w:val="2"/>
          <w:sz w:val="21"/>
          <w:szCs w:val="24"/>
          <w:lang w:eastAsia="zh-CN"/>
        </w:rPr>
        <w:t>追溯信息 traceability information</w:t>
      </w:r>
      <w:r>
        <w:rPr>
          <w:rFonts w:hint="eastAsia" w:ascii="Times New Roman" w:hAnsi="Times New Roman" w:eastAsia="黑体" w:cs="Times New Roman"/>
          <w:kern w:val="2"/>
          <w:sz w:val="21"/>
          <w:szCs w:val="24"/>
          <w:lang w:val="en-US" w:eastAsia="zh-CN"/>
        </w:rPr>
        <w:t xml:space="preserve"> </w:t>
      </w:r>
    </w:p>
    <w:p w14:paraId="3F4992C8">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用于记录和追踪稀土原料从开采、冶炼分离到储氢合金生产全过程的相关数据和信息，包括原料来源、生产工艺、能源消耗、排放数据等。</w:t>
      </w:r>
    </w:p>
    <w:p w14:paraId="30E5BAEB">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[来源：</w:t>
      </w:r>
      <w:r>
        <w:rPr>
          <w:rFonts w:hint="default" w:ascii="Times New Roman" w:hAnsi="Times New Roman" w:eastAsia="宋体" w:cs="Times New Roman"/>
          <w:kern w:val="2"/>
          <w:sz w:val="21"/>
          <w:szCs w:val="24"/>
          <w:lang w:eastAsia="zh-CN"/>
        </w:rPr>
        <w:fldChar w:fldCharType="begin"/>
      </w:r>
      <w:r>
        <w:rPr>
          <w:rFonts w:hint="default" w:ascii="Times New Roman" w:hAnsi="Times New Roman" w:eastAsia="宋体" w:cs="Times New Roman"/>
          <w:kern w:val="2"/>
          <w:sz w:val="21"/>
          <w:szCs w:val="24"/>
          <w:lang w:eastAsia="zh-CN"/>
        </w:rPr>
        <w:instrText xml:space="preserve"> HYPERLINK "https://openstd.samr.gov.cn/bzgk/gb/newGbInfo?hcno=C6B5AB0C55B10DE6E05397E0A8B0A9A6" \h </w:instrText>
      </w:r>
      <w:r>
        <w:rPr>
          <w:rFonts w:hint="default" w:ascii="Times New Roman" w:hAnsi="Times New Roman" w:eastAsia="宋体" w:cs="Times New Roman"/>
          <w:kern w:val="2"/>
          <w:sz w:val="21"/>
          <w:szCs w:val="24"/>
          <w:lang w:eastAsia="zh-CN"/>
        </w:rPr>
        <w:fldChar w:fldCharType="separate"/>
      </w:r>
      <w:r>
        <w:rPr>
          <w:rFonts w:hint="default" w:ascii="Times New Roman" w:hAnsi="Times New Roman" w:eastAsia="宋体" w:cs="Times New Roman"/>
          <w:kern w:val="2"/>
          <w:sz w:val="21"/>
          <w:szCs w:val="24"/>
          <w:lang w:eastAsia="zh-CN"/>
        </w:rPr>
        <w:t>GB/T 19001-2016</w:t>
      </w:r>
      <w:r>
        <w:rPr>
          <w:rFonts w:hint="default" w:ascii="Times New Roman" w:hAnsi="Times New Roman" w:eastAsia="宋体" w:cs="Times New Roman"/>
          <w:kern w:val="2"/>
          <w:sz w:val="21"/>
          <w:szCs w:val="24"/>
          <w:lang w:eastAsia="zh-CN"/>
        </w:rPr>
        <w:fldChar w:fldCharType="end"/>
      </w:r>
      <w:r>
        <w:rPr>
          <w:rFonts w:hint="default" w:ascii="Times New Roman" w:hAnsi="Times New Roman" w:eastAsia="宋体" w:cs="Times New Roman"/>
          <w:kern w:val="2"/>
          <w:sz w:val="21"/>
          <w:szCs w:val="24"/>
          <w:lang w:eastAsia="zh-CN"/>
        </w:rPr>
        <w:t>]</w:t>
      </w:r>
    </w:p>
    <w:p w14:paraId="64D0E051">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3.</w:t>
      </w:r>
      <w:r>
        <w:rPr>
          <w:rFonts w:hint="eastAsia" w:ascii="Times New Roman" w:hAnsi="Times New Roman" w:eastAsia="黑体" w:cs="Times New Roman"/>
          <w:kern w:val="2"/>
          <w:sz w:val="21"/>
          <w:szCs w:val="24"/>
          <w:lang w:val="en-US" w:eastAsia="zh-CN"/>
        </w:rPr>
        <w:t>19</w:t>
      </w:r>
      <w:r>
        <w:rPr>
          <w:rFonts w:hint="default" w:ascii="Times New Roman" w:hAnsi="Times New Roman" w:eastAsia="黑体" w:cs="Times New Roman"/>
          <w:kern w:val="2"/>
          <w:sz w:val="21"/>
          <w:szCs w:val="24"/>
          <w:lang w:eastAsia="zh-CN"/>
        </w:rPr>
        <w:t xml:space="preserve"> </w:t>
      </w:r>
    </w:p>
    <w:p w14:paraId="0E1009EC">
      <w:pPr>
        <w:adjustRightInd w:val="0"/>
        <w:snapToGrid w:val="0"/>
        <w:spacing w:before="158" w:beforeLines="50" w:after="158" w:afterLines="50" w:line="360" w:lineRule="auto"/>
        <w:ind w:firstLine="420" w:firstLineChars="200"/>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分级披露 graded disclosure</w:t>
      </w:r>
    </w:p>
    <w:p w14:paraId="08972F10">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根据碳足迹信息使用场景和受众的不同，将碳足迹信息划分为不同层级进行差异化公开报告的方式。</w:t>
      </w:r>
    </w:p>
    <w:p w14:paraId="5F3E8A81">
      <w:pPr>
        <w:adjustRightInd w:val="0"/>
        <w:snapToGrid w:val="0"/>
        <w:spacing w:after="0" w:line="360" w:lineRule="auto"/>
        <w:ind w:firstLine="422" w:firstLineChars="200"/>
        <w:jc w:val="both"/>
        <w:rPr>
          <w:rFonts w:hint="default" w:ascii="Times New Roman" w:hAnsi="Times New Roman" w:eastAsia="宋体" w:cs="Times New Roman"/>
          <w:b/>
          <w:bCs/>
          <w:kern w:val="2"/>
          <w:sz w:val="21"/>
          <w:szCs w:val="24"/>
          <w:lang w:eastAsia="zh-CN"/>
        </w:rPr>
      </w:pPr>
      <w:r>
        <w:rPr>
          <w:rFonts w:hint="default" w:ascii="Times New Roman" w:hAnsi="Times New Roman" w:eastAsia="宋体" w:cs="Times New Roman"/>
          <w:b/>
          <w:bCs/>
          <w:kern w:val="2"/>
          <w:sz w:val="21"/>
          <w:szCs w:val="24"/>
          <w:lang w:eastAsia="zh-CN"/>
        </w:rPr>
        <w:t>注：分级披露包括内部管理级、国内申报级和国际跨境级三个层级。</w:t>
      </w:r>
    </w:p>
    <w:p w14:paraId="42CA9E3F">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[来源：GB/T 24067-2024；欧盟PEF/OEF分级披露规则]</w:t>
      </w:r>
    </w:p>
    <w:p w14:paraId="2D33D1AA">
      <w:pPr>
        <w:adjustRightInd w:val="0"/>
        <w:snapToGrid w:val="0"/>
        <w:spacing w:after="0" w:line="360" w:lineRule="auto"/>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3.2</w:t>
      </w:r>
      <w:r>
        <w:rPr>
          <w:rFonts w:hint="eastAsia" w:ascii="Times New Roman" w:hAnsi="Times New Roman" w:eastAsia="宋体" w:cs="Times New Roman"/>
          <w:kern w:val="2"/>
          <w:sz w:val="21"/>
          <w:szCs w:val="24"/>
          <w:lang w:val="en-US" w:eastAsia="zh-CN"/>
        </w:rPr>
        <w:t>0</w:t>
      </w:r>
      <w:r>
        <w:rPr>
          <w:rFonts w:hint="default" w:ascii="Times New Roman" w:hAnsi="Times New Roman" w:eastAsia="宋体" w:cs="Times New Roman"/>
          <w:kern w:val="2"/>
          <w:sz w:val="21"/>
          <w:szCs w:val="24"/>
          <w:lang w:eastAsia="zh-CN"/>
        </w:rPr>
        <w:t xml:space="preserve"> </w:t>
      </w:r>
    </w:p>
    <w:p w14:paraId="75378074">
      <w:pPr>
        <w:adjustRightInd w:val="0"/>
        <w:snapToGrid w:val="0"/>
        <w:spacing w:before="158" w:beforeLines="50" w:after="158" w:afterLines="50" w:line="360" w:lineRule="auto"/>
        <w:ind w:firstLine="420" w:firstLineChars="200"/>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绿色标签 green label</w:t>
      </w:r>
    </w:p>
    <w:p w14:paraId="3911467E">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依据产品碳足迹量化结果和相关环境标准，经第三方验证后授予产品的环境绩效标识，用于向消费者或采购方传递产品环境信息。</w:t>
      </w:r>
    </w:p>
    <w:p w14:paraId="4028BC96">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[来源：GB/T 24024-2001]</w:t>
      </w:r>
    </w:p>
    <w:p w14:paraId="571168FB">
      <w:pPr>
        <w:adjustRightInd w:val="0"/>
        <w:snapToGrid w:val="0"/>
        <w:spacing w:after="0" w:line="360" w:lineRule="auto"/>
        <w:jc w:val="both"/>
        <w:rPr>
          <w:rFonts w:hint="eastAsia" w:ascii="Times New Roman" w:hAnsi="Times New Roman" w:eastAsia="宋体" w:cs="Times New Roman"/>
          <w:kern w:val="2"/>
          <w:sz w:val="21"/>
          <w:szCs w:val="24"/>
          <w:lang w:val="en-US" w:eastAsia="zh-CN"/>
        </w:rPr>
      </w:pPr>
      <w:r>
        <w:rPr>
          <w:rFonts w:hint="default" w:ascii="Times New Roman" w:hAnsi="Times New Roman" w:eastAsia="宋体" w:cs="Times New Roman"/>
          <w:kern w:val="2"/>
          <w:sz w:val="21"/>
          <w:szCs w:val="24"/>
          <w:lang w:eastAsia="zh-CN"/>
        </w:rPr>
        <w:t>3.2</w:t>
      </w:r>
      <w:r>
        <w:rPr>
          <w:rFonts w:hint="eastAsia" w:ascii="Times New Roman" w:hAnsi="Times New Roman" w:eastAsia="宋体" w:cs="Times New Roman"/>
          <w:kern w:val="2"/>
          <w:sz w:val="21"/>
          <w:szCs w:val="24"/>
          <w:lang w:val="en-US" w:eastAsia="zh-CN"/>
        </w:rPr>
        <w:t xml:space="preserve">1 </w:t>
      </w:r>
    </w:p>
    <w:p w14:paraId="22FF1B00">
      <w:pPr>
        <w:adjustRightInd w:val="0"/>
        <w:snapToGrid w:val="0"/>
        <w:spacing w:before="158" w:beforeLines="50" w:after="158" w:afterLines="50" w:line="360" w:lineRule="auto"/>
        <w:ind w:firstLine="420" w:firstLineChars="200"/>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行业基准 industry benchmark</w:t>
      </w:r>
    </w:p>
    <w:p w14:paraId="0797633C">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在同一行业内，基于代表性样本数据计算得到的产品碳足迹参考值，用于横向比较和评价特定产品碳足迹绩效水平。</w:t>
      </w:r>
    </w:p>
    <w:p w14:paraId="772B3BE9">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[新增内容来源：GB/T 32161-2015；欧盟PEF基准值设定方法]</w:t>
      </w:r>
    </w:p>
    <w:p w14:paraId="587B5579">
      <w:pPr>
        <w:adjustRightInd w:val="0"/>
        <w:snapToGrid w:val="0"/>
        <w:spacing w:after="0" w:line="360" w:lineRule="auto"/>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3.2</w:t>
      </w:r>
      <w:r>
        <w:rPr>
          <w:rFonts w:hint="eastAsia" w:ascii="Times New Roman" w:hAnsi="Times New Roman" w:eastAsia="宋体" w:cs="Times New Roman"/>
          <w:kern w:val="2"/>
          <w:sz w:val="21"/>
          <w:szCs w:val="24"/>
          <w:lang w:val="en-US" w:eastAsia="zh-CN"/>
        </w:rPr>
        <w:t>2</w:t>
      </w:r>
      <w:r>
        <w:rPr>
          <w:rFonts w:hint="default" w:ascii="Times New Roman" w:hAnsi="Times New Roman" w:eastAsia="宋体" w:cs="Times New Roman"/>
          <w:kern w:val="2"/>
          <w:sz w:val="21"/>
          <w:szCs w:val="24"/>
          <w:lang w:eastAsia="zh-CN"/>
        </w:rPr>
        <w:t xml:space="preserve"> </w:t>
      </w:r>
    </w:p>
    <w:p w14:paraId="4E616910">
      <w:pPr>
        <w:adjustRightInd w:val="0"/>
        <w:snapToGrid w:val="0"/>
        <w:spacing w:before="158" w:beforeLines="50" w:after="158" w:afterLines="50" w:line="360" w:lineRule="auto"/>
        <w:ind w:firstLine="420" w:firstLineChars="200"/>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减排潜力 emission reduction potential</w:t>
      </w:r>
    </w:p>
    <w:p w14:paraId="6329E251">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在现有技术条件下，通过采取改进措施可降低产品碳足迹的最大理论空间或预期可实现空间。</w:t>
      </w:r>
    </w:p>
    <w:p w14:paraId="487D598F">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[来源：IPCC 2006国家温室气体清单指南]</w:t>
      </w:r>
    </w:p>
    <w:p w14:paraId="5FE2634E">
      <w:pPr>
        <w:keepNext/>
        <w:keepLines/>
        <w:adjustRightInd w:val="0"/>
        <w:snapToGrid w:val="0"/>
        <w:spacing w:before="317" w:beforeLines="100" w:after="317" w:afterLines="100" w:line="360" w:lineRule="auto"/>
        <w:jc w:val="both"/>
        <w:outlineLvl w:val="0"/>
        <w:rPr>
          <w:rFonts w:hint="default" w:ascii="Times New Roman" w:hAnsi="Times New Roman" w:eastAsia="黑体" w:cs="Times New Roman"/>
          <w:bCs/>
          <w:kern w:val="44"/>
          <w:sz w:val="21"/>
          <w:szCs w:val="44"/>
          <w:lang w:eastAsia="zh-CN"/>
        </w:rPr>
      </w:pPr>
      <w:bookmarkStart w:id="39" w:name="_Toc21906"/>
      <w:bookmarkStart w:id="40" w:name="_Toc132113213"/>
      <w:bookmarkStart w:id="41" w:name="_Toc11488"/>
      <w:bookmarkStart w:id="42" w:name="_Toc5389"/>
      <w:bookmarkStart w:id="43" w:name="_Toc531265190"/>
      <w:bookmarkStart w:id="44" w:name="_Toc25103"/>
      <w:r>
        <w:rPr>
          <w:rFonts w:hint="default" w:ascii="Times New Roman" w:hAnsi="Times New Roman" w:eastAsia="黑体" w:cs="Times New Roman"/>
          <w:bCs/>
          <w:kern w:val="44"/>
          <w:sz w:val="21"/>
          <w:szCs w:val="44"/>
          <w:lang w:eastAsia="zh-CN"/>
        </w:rPr>
        <w:t xml:space="preserve">4 </w:t>
      </w:r>
      <w:bookmarkEnd w:id="39"/>
      <w:bookmarkEnd w:id="40"/>
      <w:bookmarkEnd w:id="41"/>
      <w:bookmarkEnd w:id="42"/>
      <w:bookmarkEnd w:id="43"/>
      <w:r>
        <w:rPr>
          <w:rFonts w:hint="default" w:ascii="Times New Roman" w:hAnsi="Times New Roman" w:eastAsia="黑体" w:cs="Times New Roman"/>
          <w:bCs/>
          <w:kern w:val="44"/>
          <w:sz w:val="21"/>
          <w:szCs w:val="44"/>
          <w:lang w:eastAsia="zh-CN"/>
        </w:rPr>
        <w:t>量化目的</w:t>
      </w:r>
      <w:bookmarkEnd w:id="44"/>
    </w:p>
    <w:p w14:paraId="63F51EFB">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量化稀土系储氢合金材料生命周期内所有显著的温室气体排放量和清除量（以二氧化碳当量（CO2e）表示），计算稀土系储氢合金材料产品对全球变暖的潜在贡献。</w:t>
      </w:r>
    </w:p>
    <w:p w14:paraId="6BAF0A9A">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基于本文件开展稀土系储氢合金材料产品碳足迹量化研究的目的包括但不限于以下方面：</w:t>
      </w:r>
    </w:p>
    <w:p w14:paraId="3492C16B">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a）评价稀土系储氢合金材料产品对气候变化的潜在影响；</w:t>
      </w:r>
    </w:p>
    <w:p w14:paraId="715633E7">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b）便于生产者与上下游供应链或消费者之间的温室气体排放信息沟通；</w:t>
      </w:r>
    </w:p>
    <w:p w14:paraId="12ED2592">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c）用于企业了解自身稀土系储氢合金材料产品的碳足迹，改进生产工艺，降低温室气体排放；</w:t>
      </w:r>
    </w:p>
    <w:p w14:paraId="2D9FC789">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r>
        <w:rPr>
          <w:rFonts w:hint="default" w:ascii="Times New Roman" w:hAnsi="Times New Roman" w:eastAsia="宋体" w:cs="Times New Roman"/>
          <w:kern w:val="2"/>
          <w:sz w:val="21"/>
          <w:szCs w:val="24"/>
          <w:lang w:eastAsia="zh-CN"/>
        </w:rPr>
        <w:t>d）用于建立稀土产业碳标识制度。</w:t>
      </w:r>
    </w:p>
    <w:p w14:paraId="130C7822">
      <w:pPr>
        <w:keepNext/>
        <w:keepLines/>
        <w:adjustRightInd w:val="0"/>
        <w:snapToGrid w:val="0"/>
        <w:spacing w:before="317" w:beforeLines="100" w:after="317" w:afterLines="100" w:line="360" w:lineRule="auto"/>
        <w:jc w:val="both"/>
        <w:outlineLvl w:val="0"/>
        <w:rPr>
          <w:rFonts w:hint="default" w:ascii="Times New Roman" w:hAnsi="Times New Roman" w:eastAsia="黑体" w:cs="Times New Roman"/>
          <w:bCs/>
          <w:kern w:val="44"/>
          <w:sz w:val="21"/>
          <w:szCs w:val="44"/>
          <w:lang w:eastAsia="zh-CN"/>
        </w:rPr>
      </w:pPr>
      <w:bookmarkStart w:id="45" w:name="_Toc381480744"/>
      <w:bookmarkStart w:id="46" w:name="_Toc531265194"/>
      <w:bookmarkStart w:id="47" w:name="_Toc23570"/>
      <w:bookmarkStart w:id="48" w:name="_Toc18216"/>
      <w:bookmarkStart w:id="49" w:name="_Toc28040"/>
      <w:bookmarkStart w:id="50" w:name="_Toc31792_WPSOffice_Level1"/>
      <w:bookmarkStart w:id="51" w:name="_Toc3785_WPSOffice_Level1"/>
      <w:bookmarkStart w:id="52" w:name="_Toc17885"/>
      <w:bookmarkStart w:id="53" w:name="_Toc132113214"/>
      <w:bookmarkStart w:id="54" w:name="_Toc4513"/>
      <w:r>
        <w:rPr>
          <w:rFonts w:hint="default" w:ascii="Times New Roman" w:hAnsi="Times New Roman" w:eastAsia="黑体" w:cs="Times New Roman"/>
          <w:bCs/>
          <w:kern w:val="44"/>
          <w:sz w:val="21"/>
          <w:szCs w:val="44"/>
          <w:lang w:eastAsia="zh-CN"/>
        </w:rPr>
        <w:t xml:space="preserve">5 </w:t>
      </w:r>
      <w:bookmarkEnd w:id="45"/>
      <w:bookmarkEnd w:id="46"/>
      <w:bookmarkEnd w:id="47"/>
      <w:bookmarkEnd w:id="48"/>
      <w:bookmarkEnd w:id="49"/>
      <w:bookmarkEnd w:id="50"/>
      <w:bookmarkEnd w:id="51"/>
      <w:bookmarkEnd w:id="52"/>
      <w:bookmarkEnd w:id="53"/>
      <w:r>
        <w:rPr>
          <w:rFonts w:hint="default" w:ascii="Times New Roman" w:hAnsi="Times New Roman" w:eastAsia="黑体" w:cs="Times New Roman"/>
          <w:bCs/>
          <w:kern w:val="44"/>
          <w:sz w:val="21"/>
          <w:szCs w:val="44"/>
          <w:lang w:eastAsia="zh-CN"/>
        </w:rPr>
        <w:t>量化范围</w:t>
      </w:r>
      <w:bookmarkEnd w:id="54"/>
    </w:p>
    <w:p w14:paraId="0E5C28F1">
      <w:pPr>
        <w:keepNext/>
        <w:keepLines/>
        <w:adjustRightInd w:val="0"/>
        <w:snapToGrid w:val="0"/>
        <w:spacing w:before="317" w:beforeLines="100" w:after="317" w:afterLines="100" w:line="360" w:lineRule="auto"/>
        <w:jc w:val="both"/>
        <w:outlineLvl w:val="9"/>
        <w:rPr>
          <w:rFonts w:hint="default" w:ascii="Times New Roman" w:hAnsi="Times New Roman" w:eastAsia="黑体" w:cs="Times New Roman"/>
          <w:bCs/>
          <w:kern w:val="44"/>
          <w:sz w:val="21"/>
          <w:szCs w:val="44"/>
          <w:lang w:eastAsia="zh-CN"/>
        </w:rPr>
      </w:pPr>
      <w:bookmarkStart w:id="55" w:name="_Toc27544"/>
      <w:bookmarkStart w:id="56" w:name="_Toc531265195"/>
      <w:r>
        <w:rPr>
          <w:rFonts w:hint="default" w:ascii="Times New Roman" w:hAnsi="Times New Roman" w:eastAsia="黑体" w:cs="Times New Roman"/>
          <w:bCs/>
          <w:kern w:val="44"/>
          <w:sz w:val="21"/>
          <w:szCs w:val="44"/>
          <w:lang w:val="en-US" w:eastAsia="zh-CN"/>
        </w:rPr>
        <w:t xml:space="preserve">5.1 </w:t>
      </w:r>
      <w:r>
        <w:rPr>
          <w:rFonts w:hint="eastAsia" w:ascii="Times New Roman" w:hAnsi="Times New Roman" w:eastAsia="黑体" w:cs="Times New Roman"/>
          <w:bCs/>
          <w:kern w:val="44"/>
          <w:sz w:val="21"/>
          <w:szCs w:val="44"/>
          <w:lang w:val="en-US" w:eastAsia="zh-CN"/>
        </w:rPr>
        <w:t>声明单位</w:t>
      </w:r>
      <w:r>
        <w:rPr>
          <w:rFonts w:hint="default" w:ascii="Times New Roman" w:hAnsi="Times New Roman" w:eastAsia="黑体" w:cs="Times New Roman"/>
          <w:bCs/>
          <w:kern w:val="44"/>
          <w:sz w:val="21"/>
          <w:szCs w:val="44"/>
          <w:lang w:val="en-US" w:eastAsia="zh-CN"/>
        </w:rPr>
        <w:t xml:space="preserve"> </w:t>
      </w:r>
    </w:p>
    <w:p w14:paraId="7D88195B">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val="en-US" w:eastAsia="zh-CN"/>
        </w:rPr>
      </w:pPr>
      <w:r>
        <w:rPr>
          <w:rFonts w:hint="default" w:ascii="Times New Roman" w:hAnsi="Times New Roman" w:eastAsia="宋体" w:cs="Times New Roman"/>
          <w:kern w:val="2"/>
          <w:sz w:val="21"/>
          <w:szCs w:val="24"/>
          <w:lang w:val="en-US" w:eastAsia="zh-CN"/>
        </w:rPr>
        <w:t>产品碳足迹研究应明确规定声明单位。声明单位应与产品碳足迹研究的目的和范围保持一致，其主要目的是为相关的输入和输出数据的归一化提供参考基准。因此应对声明单位做出明确的定义并使其可量化。</w:t>
      </w:r>
    </w:p>
    <w:p w14:paraId="20CC84BA">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val="en-US" w:eastAsia="zh-CN"/>
        </w:rPr>
      </w:pPr>
      <w:r>
        <w:rPr>
          <w:rFonts w:hint="default" w:ascii="Times New Roman" w:hAnsi="Times New Roman" w:eastAsia="宋体" w:cs="Times New Roman"/>
          <w:kern w:val="2"/>
          <w:sz w:val="21"/>
          <w:szCs w:val="24"/>
          <w:lang w:val="en-US" w:eastAsia="zh-CN"/>
        </w:rPr>
        <w:t>本文件规定的声明单位为1 t稀土系储氢合金材料。</w:t>
      </w:r>
    </w:p>
    <w:p w14:paraId="6F2200BE">
      <w:pPr>
        <w:adjustRightInd w:val="0"/>
        <w:snapToGrid w:val="0"/>
        <w:spacing w:after="0" w:line="360" w:lineRule="auto"/>
        <w:ind w:firstLine="422" w:firstLineChars="200"/>
        <w:jc w:val="both"/>
        <w:rPr>
          <w:rFonts w:hint="default" w:ascii="Times New Roman" w:hAnsi="Times New Roman" w:eastAsia="宋体" w:cs="Times New Roman"/>
          <w:b/>
          <w:bCs/>
          <w:kern w:val="2"/>
          <w:sz w:val="21"/>
          <w:szCs w:val="24"/>
          <w:lang w:eastAsia="zh-CN"/>
        </w:rPr>
      </w:pPr>
      <w:r>
        <w:rPr>
          <w:rFonts w:hint="default" w:ascii="Times New Roman" w:hAnsi="Times New Roman" w:eastAsia="宋体" w:cs="Times New Roman"/>
          <w:b/>
          <w:bCs/>
          <w:kern w:val="2"/>
          <w:sz w:val="21"/>
          <w:szCs w:val="24"/>
          <w:lang w:val="en-US" w:eastAsia="zh-CN"/>
        </w:rPr>
        <w:t>注：当系统边界扩展为“从摇篮到坟墓”（包含使用阶段）时，可采用功能单位表示。稀土系储氢合金材料的功能是储存并释放氢气，功能单位可规定为单位储氢容量（如吸收1 kg氢气）或单位质量材料，具体应根据研究目的确定，并与声明单位保持一致。</w:t>
      </w:r>
    </w:p>
    <w:bookmarkEnd w:id="55"/>
    <w:bookmarkEnd w:id="56"/>
    <w:p w14:paraId="51036FDD">
      <w:pPr>
        <w:keepNext/>
        <w:keepLines/>
        <w:adjustRightInd w:val="0"/>
        <w:snapToGrid w:val="0"/>
        <w:spacing w:before="317" w:beforeLines="100" w:after="317" w:afterLines="100" w:line="360" w:lineRule="auto"/>
        <w:jc w:val="both"/>
        <w:outlineLvl w:val="9"/>
        <w:rPr>
          <w:rFonts w:hint="default" w:ascii="Times New Roman" w:hAnsi="Times New Roman" w:eastAsia="黑体" w:cs="Times New Roman"/>
          <w:bCs/>
          <w:kern w:val="44"/>
          <w:sz w:val="21"/>
          <w:szCs w:val="44"/>
          <w:lang w:eastAsia="zh-CN"/>
        </w:rPr>
      </w:pPr>
      <w:bookmarkStart w:id="57" w:name="_Toc1879"/>
      <w:bookmarkStart w:id="58" w:name="_Toc16947_WPSOffice_Level1"/>
      <w:bookmarkStart w:id="59" w:name="_Toc17504"/>
      <w:bookmarkStart w:id="60" w:name="_Toc531265198"/>
      <w:bookmarkStart w:id="61" w:name="_Toc381480747"/>
      <w:bookmarkStart w:id="62" w:name="_Toc12538_WPSOffice_Level1"/>
      <w:r>
        <w:rPr>
          <w:rFonts w:hint="default" w:ascii="Times New Roman" w:hAnsi="Times New Roman" w:eastAsia="黑体" w:cs="Times New Roman"/>
          <w:bCs/>
          <w:kern w:val="44"/>
          <w:sz w:val="21"/>
          <w:szCs w:val="44"/>
          <w:lang w:eastAsia="zh-CN"/>
        </w:rPr>
        <w:t>5.</w:t>
      </w:r>
      <w:r>
        <w:rPr>
          <w:rFonts w:hint="eastAsia" w:ascii="Times New Roman" w:hAnsi="Times New Roman" w:eastAsia="黑体" w:cs="Times New Roman"/>
          <w:bCs/>
          <w:kern w:val="44"/>
          <w:sz w:val="21"/>
          <w:szCs w:val="44"/>
          <w:lang w:val="en-US" w:eastAsia="zh-CN"/>
        </w:rPr>
        <w:t>2</w:t>
      </w:r>
      <w:r>
        <w:rPr>
          <w:rFonts w:hint="default" w:ascii="Times New Roman" w:hAnsi="Times New Roman" w:eastAsia="黑体" w:cs="Times New Roman"/>
          <w:bCs/>
          <w:kern w:val="44"/>
          <w:sz w:val="21"/>
          <w:szCs w:val="44"/>
          <w:lang w:eastAsia="zh-CN"/>
        </w:rPr>
        <w:t xml:space="preserve"> </w:t>
      </w:r>
      <w:bookmarkEnd w:id="57"/>
      <w:bookmarkEnd w:id="58"/>
      <w:bookmarkEnd w:id="59"/>
      <w:bookmarkEnd w:id="60"/>
      <w:bookmarkEnd w:id="61"/>
      <w:bookmarkEnd w:id="62"/>
      <w:r>
        <w:rPr>
          <w:rFonts w:hint="default" w:ascii="Times New Roman" w:hAnsi="Times New Roman" w:eastAsia="黑体" w:cs="Times New Roman"/>
          <w:bCs/>
          <w:kern w:val="44"/>
          <w:sz w:val="21"/>
          <w:szCs w:val="44"/>
          <w:lang w:eastAsia="zh-CN"/>
        </w:rPr>
        <w:t>系统边界</w:t>
      </w:r>
    </w:p>
    <w:p w14:paraId="4EE2FCD8">
      <w:pPr>
        <w:adjustRightInd w:val="0"/>
        <w:snapToGrid w:val="0"/>
        <w:spacing w:after="0" w:line="360" w:lineRule="auto"/>
        <w:ind w:firstLine="420" w:firstLineChars="200"/>
        <w:jc w:val="both"/>
        <w:rPr>
          <w:rFonts w:hint="default" w:ascii="Times New Roman" w:hAnsi="Times New Roman" w:eastAsia="宋体" w:cs="Times New Roman"/>
          <w:kern w:val="2"/>
          <w:sz w:val="21"/>
          <w:szCs w:val="24"/>
          <w:lang w:eastAsia="zh-CN"/>
        </w:rPr>
      </w:pPr>
      <w:bookmarkStart w:id="63" w:name="_Toc531265199"/>
      <w:bookmarkStart w:id="64" w:name="_Toc3107"/>
      <w:bookmarkStart w:id="65" w:name="_Toc32083_WPSOffice_Level2"/>
      <w:bookmarkStart w:id="66" w:name="_Toc13270_WPSOffice_Level2"/>
      <w:bookmarkStart w:id="67" w:name="_Toc381480748"/>
      <w:bookmarkStart w:id="68" w:name="_Toc13768"/>
      <w:r>
        <w:rPr>
          <w:rFonts w:hint="default" w:ascii="Times New Roman" w:hAnsi="Times New Roman" w:eastAsia="宋体" w:cs="Times New Roman"/>
          <w:kern w:val="2"/>
          <w:sz w:val="21"/>
          <w:szCs w:val="24"/>
          <w:lang w:eastAsia="zh-CN"/>
        </w:rPr>
        <w:t>稀土系储氢合金材料产品生命周期系统边界分为“从摇篮到大门”和“从摇篮到坟墓”两种类型。本文件以“从摇篮到大门”为基本系统边界，即从原辅材料获取及加工阶段开始，至稀土系储氢合金材料产品出厂为止；当研究目的需要时，系统边界可扩展为“从摇篮到坟墓”，进一步包括使用阶段和生命末期阶段。产品生命周期系统边界如图1所示。</w:t>
      </w:r>
    </w:p>
    <w:p w14:paraId="20A21589">
      <w:pPr>
        <w:adjustRightInd w:val="0"/>
        <w:snapToGrid w:val="0"/>
        <w:spacing w:after="0" w:line="360" w:lineRule="auto"/>
        <w:ind w:firstLine="422" w:firstLineChars="200"/>
        <w:jc w:val="both"/>
        <w:rPr>
          <w:rFonts w:hint="default" w:ascii="Times New Roman" w:hAnsi="Times New Roman" w:eastAsia="宋体" w:cs="Times New Roman"/>
          <w:b/>
          <w:bCs/>
          <w:kern w:val="2"/>
          <w:sz w:val="21"/>
          <w:szCs w:val="24"/>
          <w:lang w:val="en-US" w:eastAsia="zh-CN"/>
        </w:rPr>
      </w:pPr>
      <w:r>
        <w:rPr>
          <w:rFonts w:hint="default" w:ascii="Times New Roman" w:hAnsi="Times New Roman" w:eastAsia="宋体" w:cs="Times New Roman"/>
          <w:b/>
          <w:bCs/>
          <w:kern w:val="2"/>
          <w:sz w:val="21"/>
          <w:szCs w:val="24"/>
          <w:lang w:val="en-US" w:eastAsia="zh-CN"/>
        </w:rPr>
        <w:t>注：以上各阶段均包括环境排放处理工序、能源与辅助工序，以及运输过程。</w:t>
      </w:r>
    </w:p>
    <w:p w14:paraId="2DBB6C82">
      <w:pPr>
        <w:adjustRightInd w:val="0"/>
        <w:snapToGrid w:val="0"/>
        <w:spacing w:after="0" w:line="360" w:lineRule="auto"/>
        <w:ind w:firstLine="422" w:firstLineChars="200"/>
        <w:jc w:val="both"/>
        <w:rPr>
          <w:rFonts w:hint="default" w:ascii="Times New Roman" w:hAnsi="Times New Roman" w:eastAsia="宋体" w:cs="Times New Roman"/>
          <w:b/>
          <w:bCs/>
          <w:kern w:val="2"/>
          <w:sz w:val="21"/>
          <w:szCs w:val="24"/>
          <w:lang w:val="en-US" w:eastAsia="zh-CN"/>
        </w:rPr>
      </w:pPr>
      <w:bookmarkStart w:id="102" w:name="_GoBack"/>
      <w:bookmarkEnd w:id="102"/>
    </w:p>
    <w:p w14:paraId="2778F6E6">
      <w:pPr>
        <w:adjustRightInd w:val="0"/>
        <w:snapToGrid w:val="0"/>
        <w:spacing w:before="158" w:beforeLines="50" w:after="158" w:afterLines="50" w:line="360" w:lineRule="auto"/>
        <w:jc w:val="center"/>
        <w:rPr>
          <w:rFonts w:hint="default" w:ascii="Times New Roman" w:hAnsi="Times New Roman" w:eastAsia="宋体" w:cs="Times New Roman"/>
          <w:kern w:val="2"/>
          <w:sz w:val="21"/>
          <w:szCs w:val="21"/>
          <w:lang w:eastAsia="zh-CN"/>
        </w:rPr>
      </w:pPr>
      <w:r>
        <w:rPr>
          <w:rFonts w:hint="default" w:ascii="Times New Roman" w:hAnsi="Times New Roman" w:eastAsia="黑体" w:cs="Times New Roman"/>
          <w:kern w:val="2"/>
          <w:sz w:val="21"/>
          <w:szCs w:val="24"/>
          <w:lang w:eastAsia="zh-CN"/>
        </w:rPr>
        <w:drawing>
          <wp:inline distT="0" distB="0" distL="114300" distR="114300">
            <wp:extent cx="5723255" cy="3445510"/>
            <wp:effectExtent l="0" t="0" r="1270" b="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18"/>
                    <a:stretch>
                      <a:fillRect/>
                    </a:stretch>
                  </pic:blipFill>
                  <pic:spPr>
                    <a:xfrm>
                      <a:off x="0" y="0"/>
                      <a:ext cx="5723255" cy="3445510"/>
                    </a:xfrm>
                    <a:prstGeom prst="rect">
                      <a:avLst/>
                    </a:prstGeom>
                  </pic:spPr>
                </pic:pic>
              </a:graphicData>
            </a:graphic>
          </wp:inline>
        </w:drawing>
      </w:r>
      <w:bookmarkEnd w:id="63"/>
      <w:bookmarkEnd w:id="64"/>
      <w:bookmarkEnd w:id="65"/>
      <w:bookmarkEnd w:id="66"/>
      <w:bookmarkEnd w:id="67"/>
      <w:bookmarkEnd w:id="68"/>
      <w:bookmarkStart w:id="69" w:name="_Toc24444_WPSOffice_Level2"/>
      <w:bookmarkStart w:id="70" w:name="_Toc3986_WPSOffice_Level2"/>
      <w:bookmarkStart w:id="71" w:name="_Toc788"/>
    </w:p>
    <w:p w14:paraId="56F2DAA8">
      <w:pPr>
        <w:adjustRightInd w:val="0"/>
        <w:snapToGrid w:val="0"/>
        <w:spacing w:after="0" w:line="360" w:lineRule="auto"/>
        <w:ind w:firstLine="360" w:firstLineChars="200"/>
        <w:jc w:val="center"/>
        <w:rPr>
          <w:rFonts w:hint="default" w:ascii="Times New Roman" w:hAnsi="Times New Roman" w:eastAsia="宋体" w:cs="Times New Roman"/>
          <w:kern w:val="2"/>
          <w:sz w:val="21"/>
          <w:szCs w:val="21"/>
          <w:lang w:eastAsia="zh-CN"/>
        </w:rPr>
      </w:pPr>
      <w:r>
        <w:rPr>
          <w:rFonts w:hint="default" w:ascii="Times New Roman" w:hAnsi="Times New Roman" w:eastAsia="黑体" w:cs="Times New Roman"/>
          <w:kern w:val="2"/>
          <w:sz w:val="18"/>
          <w:szCs w:val="18"/>
          <w:lang w:eastAsia="zh-CN"/>
        </w:rPr>
        <w:t>图1  稀土系储氢合金材料产品生命周期系统边界</w:t>
      </w:r>
    </w:p>
    <w:p w14:paraId="533BF23C">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val="en-US" w:eastAsia="zh-CN"/>
        </w:rPr>
      </w:pPr>
      <w:r>
        <w:rPr>
          <w:rFonts w:hint="default" w:ascii="Times New Roman" w:hAnsi="Times New Roman" w:eastAsia="黑体" w:cs="Times New Roman"/>
          <w:kern w:val="2"/>
          <w:sz w:val="21"/>
          <w:szCs w:val="24"/>
          <w:lang w:val="en-US" w:eastAsia="zh-CN"/>
        </w:rPr>
        <w:t>5.</w:t>
      </w:r>
      <w:r>
        <w:rPr>
          <w:rFonts w:hint="eastAsia" w:ascii="Times New Roman" w:hAnsi="Times New Roman" w:eastAsia="黑体" w:cs="Times New Roman"/>
          <w:kern w:val="2"/>
          <w:sz w:val="21"/>
          <w:szCs w:val="24"/>
          <w:lang w:val="en-US" w:eastAsia="zh-CN"/>
        </w:rPr>
        <w:t>2.1</w:t>
      </w:r>
      <w:r>
        <w:rPr>
          <w:rFonts w:hint="default" w:ascii="Times New Roman" w:hAnsi="Times New Roman" w:eastAsia="黑体" w:cs="Times New Roman"/>
          <w:kern w:val="2"/>
          <w:sz w:val="21"/>
          <w:szCs w:val="24"/>
          <w:lang w:val="en-US" w:eastAsia="zh-CN"/>
        </w:rPr>
        <w:t xml:space="preserve"> 原辅材料获取及加工阶段</w:t>
      </w:r>
    </w:p>
    <w:p w14:paraId="14E5582E">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val="en-US" w:eastAsia="zh-CN"/>
        </w:rPr>
        <w:t>稀土系储氢合金材料生产所需稀土金属等各类原辅材料，从自然环境中提取矿产资源到原辅材料出厂的全过程，包括稀土开采选矿、冶炼分离，镍、钴等金属的采矿、冶炼与精炼，耐火材料及惰性气体等辅助材料的获取与生产，电力、天然气等能源的获取，以及再生稀土原料的回收与加工。</w:t>
      </w:r>
      <w:r>
        <w:rPr>
          <w:rFonts w:hint="eastAsia" w:ascii="Times New Roman" w:hAnsi="Times New Roman" w:eastAsia="宋体" w:cs="Times New Roman"/>
          <w:kern w:val="2"/>
          <w:sz w:val="21"/>
          <w:szCs w:val="21"/>
          <w:lang w:val="en-US" w:eastAsia="zh-CN"/>
        </w:rPr>
        <w:t xml:space="preserve">  </w:t>
      </w:r>
    </w:p>
    <w:p w14:paraId="3690A691">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5.</w:t>
      </w:r>
      <w:r>
        <w:rPr>
          <w:rFonts w:hint="eastAsia" w:ascii="Times New Roman" w:hAnsi="Times New Roman" w:eastAsia="黑体" w:cs="Times New Roman"/>
          <w:kern w:val="2"/>
          <w:sz w:val="21"/>
          <w:szCs w:val="24"/>
          <w:lang w:val="en-US" w:eastAsia="zh-CN"/>
        </w:rPr>
        <w:t>2</w:t>
      </w:r>
      <w:r>
        <w:rPr>
          <w:rFonts w:hint="default" w:ascii="Times New Roman" w:hAnsi="Times New Roman" w:eastAsia="黑体" w:cs="Times New Roman"/>
          <w:kern w:val="2"/>
          <w:sz w:val="21"/>
          <w:szCs w:val="24"/>
          <w:lang w:eastAsia="zh-CN"/>
        </w:rPr>
        <w:t>.</w:t>
      </w:r>
      <w:r>
        <w:rPr>
          <w:rFonts w:hint="eastAsia" w:ascii="Times New Roman" w:hAnsi="Times New Roman" w:eastAsia="黑体" w:cs="Times New Roman"/>
          <w:kern w:val="2"/>
          <w:sz w:val="21"/>
          <w:szCs w:val="24"/>
          <w:lang w:val="en-US" w:eastAsia="zh-CN"/>
        </w:rPr>
        <w:t>2</w:t>
      </w:r>
      <w:r>
        <w:rPr>
          <w:rFonts w:hint="default" w:ascii="Times New Roman" w:hAnsi="Times New Roman" w:eastAsia="黑体" w:cs="Times New Roman"/>
          <w:kern w:val="2"/>
          <w:sz w:val="21"/>
          <w:szCs w:val="24"/>
          <w:lang w:eastAsia="zh-CN"/>
        </w:rPr>
        <w:t xml:space="preserve">  </w:t>
      </w:r>
      <w:r>
        <w:rPr>
          <w:rFonts w:hint="eastAsia" w:ascii="Times New Roman" w:hAnsi="Times New Roman" w:eastAsia="黑体" w:cs="Times New Roman"/>
          <w:kern w:val="2"/>
          <w:sz w:val="21"/>
          <w:szCs w:val="24"/>
          <w:lang w:val="en-US" w:eastAsia="zh-CN"/>
        </w:rPr>
        <w:t>生产阶段</w:t>
      </w:r>
    </w:p>
    <w:p w14:paraId="6B7AF8F4">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稀土系储氢合金材料生产阶段包括称重配料（C1）、熔炼（C2）、退火（C3）、检测（C4）、破碎制粉（C5）、检验包装（C6）等工序，以及厂内运输、辅助工序和环保设施运行。</w:t>
      </w:r>
    </w:p>
    <w:p w14:paraId="72F05D1F">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5.</w:t>
      </w:r>
      <w:r>
        <w:rPr>
          <w:rFonts w:hint="eastAsia" w:ascii="Times New Roman" w:hAnsi="Times New Roman" w:eastAsia="黑体" w:cs="Times New Roman"/>
          <w:kern w:val="2"/>
          <w:sz w:val="21"/>
          <w:szCs w:val="24"/>
          <w:lang w:val="en-US" w:eastAsia="zh-CN"/>
        </w:rPr>
        <w:t>2</w:t>
      </w:r>
      <w:r>
        <w:rPr>
          <w:rFonts w:hint="default" w:ascii="Times New Roman" w:hAnsi="Times New Roman" w:eastAsia="黑体" w:cs="Times New Roman"/>
          <w:kern w:val="2"/>
          <w:sz w:val="21"/>
          <w:szCs w:val="24"/>
          <w:lang w:eastAsia="zh-CN"/>
        </w:rPr>
        <w:t>.</w:t>
      </w:r>
      <w:r>
        <w:rPr>
          <w:rFonts w:hint="eastAsia" w:ascii="Times New Roman" w:hAnsi="Times New Roman" w:eastAsia="黑体" w:cs="Times New Roman"/>
          <w:kern w:val="2"/>
          <w:sz w:val="21"/>
          <w:szCs w:val="24"/>
          <w:lang w:val="en-US" w:eastAsia="zh-CN"/>
        </w:rPr>
        <w:t>3</w:t>
      </w:r>
      <w:r>
        <w:rPr>
          <w:rFonts w:hint="default" w:ascii="Times New Roman" w:hAnsi="Times New Roman" w:eastAsia="黑体" w:cs="Times New Roman"/>
          <w:kern w:val="2"/>
          <w:sz w:val="21"/>
          <w:szCs w:val="24"/>
          <w:lang w:eastAsia="zh-CN"/>
        </w:rPr>
        <w:t xml:space="preserve">  </w:t>
      </w:r>
      <w:r>
        <w:rPr>
          <w:rFonts w:hint="eastAsia" w:ascii="Times New Roman" w:hAnsi="Times New Roman" w:eastAsia="黑体" w:cs="Times New Roman"/>
          <w:kern w:val="2"/>
          <w:sz w:val="21"/>
          <w:szCs w:val="24"/>
          <w:lang w:val="en-US" w:eastAsia="zh-CN"/>
        </w:rPr>
        <w:t>使用阶段</w:t>
      </w:r>
    </w:p>
    <w:p w14:paraId="0FF96AFA">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使用阶段为稀土系储氢合金材料在下游应用领域（如金属氢化物镍电池、储氢装置等）中的使用过程。当系统边界为“从摇篮到大门”时，不包括本阶段。</w:t>
      </w:r>
    </w:p>
    <w:p w14:paraId="07003062">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5.</w:t>
      </w:r>
      <w:r>
        <w:rPr>
          <w:rFonts w:hint="eastAsia" w:ascii="Times New Roman" w:hAnsi="Times New Roman" w:eastAsia="黑体" w:cs="Times New Roman"/>
          <w:kern w:val="2"/>
          <w:sz w:val="21"/>
          <w:szCs w:val="24"/>
          <w:lang w:val="en-US" w:eastAsia="zh-CN"/>
        </w:rPr>
        <w:t>2</w:t>
      </w:r>
      <w:r>
        <w:rPr>
          <w:rFonts w:hint="default" w:ascii="Times New Roman" w:hAnsi="Times New Roman" w:eastAsia="黑体" w:cs="Times New Roman"/>
          <w:kern w:val="2"/>
          <w:sz w:val="21"/>
          <w:szCs w:val="24"/>
          <w:lang w:eastAsia="zh-CN"/>
        </w:rPr>
        <w:t>.</w:t>
      </w:r>
      <w:r>
        <w:rPr>
          <w:rFonts w:hint="eastAsia" w:ascii="Times New Roman" w:hAnsi="Times New Roman" w:eastAsia="黑体" w:cs="Times New Roman"/>
          <w:kern w:val="2"/>
          <w:sz w:val="21"/>
          <w:szCs w:val="24"/>
          <w:lang w:val="en-US" w:eastAsia="zh-CN"/>
        </w:rPr>
        <w:t>4</w:t>
      </w:r>
      <w:r>
        <w:rPr>
          <w:rFonts w:hint="default" w:ascii="Times New Roman" w:hAnsi="Times New Roman" w:eastAsia="黑体" w:cs="Times New Roman"/>
          <w:kern w:val="2"/>
          <w:sz w:val="21"/>
          <w:szCs w:val="24"/>
          <w:lang w:eastAsia="zh-CN"/>
        </w:rPr>
        <w:t xml:space="preserve">  </w:t>
      </w:r>
      <w:r>
        <w:rPr>
          <w:rFonts w:hint="eastAsia" w:ascii="Times New Roman" w:hAnsi="Times New Roman" w:eastAsia="黑体" w:cs="Times New Roman"/>
          <w:kern w:val="2"/>
          <w:sz w:val="21"/>
          <w:szCs w:val="24"/>
          <w:lang w:val="en-US" w:eastAsia="zh-CN"/>
        </w:rPr>
        <w:t>生命末期阶段</w:t>
      </w:r>
    </w:p>
    <w:p w14:paraId="3ED6118E">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生命末期阶段为稀土系储氢合金材料及其下游产品废弃后的收集、拆解、预处理、回收再生或处置过程。当系统边界为“从摇篮到大门”时，不包括本阶段；回收得到的再生稀土原料重新用于储氢合金生产时，其系统边界按5.2.5界定。</w:t>
      </w:r>
    </w:p>
    <w:p w14:paraId="42CFA101">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val="en-US" w:eastAsia="zh-CN"/>
        </w:rPr>
        <w:t>5.</w:t>
      </w:r>
      <w:r>
        <w:rPr>
          <w:rFonts w:hint="eastAsia" w:ascii="Times New Roman" w:hAnsi="Times New Roman" w:eastAsia="黑体" w:cs="Times New Roman"/>
          <w:kern w:val="2"/>
          <w:sz w:val="21"/>
          <w:szCs w:val="24"/>
          <w:lang w:val="en-US" w:eastAsia="zh-CN"/>
        </w:rPr>
        <w:t>2</w:t>
      </w:r>
      <w:r>
        <w:rPr>
          <w:rFonts w:hint="default" w:ascii="Times New Roman" w:hAnsi="Times New Roman" w:eastAsia="黑体" w:cs="Times New Roman"/>
          <w:kern w:val="2"/>
          <w:sz w:val="21"/>
          <w:szCs w:val="24"/>
          <w:lang w:val="en-US" w:eastAsia="zh-CN"/>
        </w:rPr>
        <w:t>.</w:t>
      </w:r>
      <w:r>
        <w:rPr>
          <w:rFonts w:hint="eastAsia" w:ascii="Times New Roman" w:hAnsi="Times New Roman" w:eastAsia="黑体" w:cs="Times New Roman"/>
          <w:kern w:val="2"/>
          <w:sz w:val="21"/>
          <w:szCs w:val="24"/>
          <w:lang w:val="en-US" w:eastAsia="zh-CN"/>
        </w:rPr>
        <w:t>5</w:t>
      </w:r>
      <w:r>
        <w:rPr>
          <w:rFonts w:hint="default" w:ascii="Times New Roman" w:hAnsi="Times New Roman" w:eastAsia="黑体" w:cs="Times New Roman"/>
          <w:kern w:val="2"/>
          <w:sz w:val="21"/>
          <w:szCs w:val="24"/>
          <w:lang w:val="en-US" w:eastAsia="zh-CN"/>
        </w:rPr>
        <w:t xml:space="preserve">  再生稀土原料系统边界</w:t>
      </w:r>
    </w:p>
    <w:p w14:paraId="777AB7CC">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当稀土系储氢合金生产使用再生稀土原料时，其系统边界应涵盖再生原料从废旧产品收集到回用于生产的全过程，具体包括：</w:t>
      </w:r>
    </w:p>
    <w:p w14:paraId="319FADEB">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a）废旧稀土产品/储氢合金的收集与运输；</w:t>
      </w:r>
    </w:p>
    <w:p w14:paraId="1828029A">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b）拆解、分类与预处理（破碎、分选、除杂等）；</w:t>
      </w:r>
    </w:p>
    <w:p w14:paraId="4C71BF0D">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c）稀土元素提取与纯化（湿法冶金、火法冶金或电化学回收等）；</w:t>
      </w:r>
    </w:p>
    <w:p w14:paraId="1DF02396">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d）再生稀土物料的运输与交付。</w:t>
      </w:r>
    </w:p>
    <w:p w14:paraId="2DE69F54">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再生稀土原料的排放分摊应遵循以下原则：</w:t>
      </w:r>
    </w:p>
    <w:p w14:paraId="6F07730D">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a）若再生稀土原料来自本企业生产的废旧产品回收（闭环回收），回收过程的环境负荷应全额计入本产品系统；</w:t>
      </w:r>
    </w:p>
    <w:p w14:paraId="6426BAE8">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b）若再生稀土原料来自外部废旧产品（开环回收），回收过程的环境负荷应根据质量分配或经济分配原则在回收商和本产品之间分摊；</w:t>
      </w:r>
    </w:p>
    <w:p w14:paraId="2798CC9E">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c）再生稀土原料替代原生稀土原料产生的环境效益（即避免的原生稀土开采冶炼排放）不应从本产品碳足迹中扣除，但可在减排潜力评估中单独报告。</w:t>
      </w:r>
    </w:p>
    <w:p w14:paraId="337BF078">
      <w:pPr>
        <w:adjustRightInd w:val="0"/>
        <w:snapToGrid w:val="0"/>
        <w:spacing w:after="0" w:line="360" w:lineRule="auto"/>
        <w:ind w:firstLine="422" w:firstLineChars="200"/>
        <w:jc w:val="both"/>
        <w:rPr>
          <w:rFonts w:hint="eastAsia" w:ascii="Times New Roman" w:hAnsi="Times New Roman" w:eastAsia="宋体" w:cs="Times New Roman"/>
          <w:b/>
          <w:bCs/>
          <w:kern w:val="2"/>
          <w:sz w:val="21"/>
          <w:szCs w:val="21"/>
          <w:lang w:eastAsia="zh-CN"/>
        </w:rPr>
      </w:pPr>
      <w:r>
        <w:rPr>
          <w:rFonts w:hint="eastAsia" w:ascii="Times New Roman" w:hAnsi="Times New Roman" w:eastAsia="宋体" w:cs="Times New Roman"/>
          <w:b/>
          <w:bCs/>
          <w:kern w:val="2"/>
          <w:sz w:val="21"/>
          <w:szCs w:val="21"/>
          <w:lang w:eastAsia="zh-CN"/>
        </w:rPr>
        <w:t>注：再生稀土原料的具体核算方法参见附录E。</w:t>
      </w:r>
    </w:p>
    <w:p w14:paraId="39B01346">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当同时涉及原生稀土原料和再生稀土原料时，应对两条生产路径分别界定系统边界：</w:t>
      </w:r>
    </w:p>
    <w:p w14:paraId="77219F99">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eastAsia="zh-CN"/>
        </w:rPr>
        <w:t>原生稀土路线：系统边界应覆盖稀土矿开采、选矿、冶炼分离、稀土氧化物制备、稀土金属冶炼等过程，包括各阶段的原材料消耗、能源消耗、运输过程及相关温室气体排放，直至获得可用于储氢合金生产的稀土金属原料。</w:t>
      </w:r>
    </w:p>
    <w:p w14:paraId="10C2E7B0">
      <w:pPr>
        <w:adjustRightInd w:val="0"/>
        <w:snapToGrid w:val="0"/>
        <w:spacing w:after="0" w:line="360" w:lineRule="auto"/>
        <w:ind w:firstLine="420" w:firstLineChars="200"/>
        <w:jc w:val="both"/>
        <w:rPr>
          <w:rFonts w:hint="eastAsia" w:ascii="Times New Roman" w:hAnsi="Times New Roman" w:eastAsia="黑体" w:cs="Times New Roman"/>
          <w:b/>
          <w:bCs/>
          <w:sz w:val="21"/>
          <w:szCs w:val="21"/>
          <w:lang w:eastAsia="zh-CN"/>
        </w:rPr>
      </w:pPr>
      <w:r>
        <w:rPr>
          <w:rFonts w:hint="eastAsia" w:ascii="Times New Roman" w:hAnsi="Times New Roman" w:eastAsia="宋体" w:cs="Times New Roman"/>
          <w:kern w:val="2"/>
          <w:sz w:val="21"/>
          <w:szCs w:val="21"/>
          <w:lang w:eastAsia="zh-CN"/>
        </w:rPr>
        <w:t>再生稀土路线：系统边界应覆盖废旧稀土材料或废旧储氢合金的收集、运输、预处理、稀土元素回收、分离提纯及再生稀土金属制备过程。废旧材料进入回收系统前的历史生产过程不应重复计入，避免生命周期排放重复计算。</w:t>
      </w:r>
    </w:p>
    <w:bookmarkEnd w:id="69"/>
    <w:bookmarkEnd w:id="70"/>
    <w:bookmarkEnd w:id="71"/>
    <w:p w14:paraId="63D41EBA">
      <w:pPr>
        <w:keepNext/>
        <w:keepLines/>
        <w:adjustRightInd w:val="0"/>
        <w:snapToGrid w:val="0"/>
        <w:spacing w:before="317" w:beforeLines="100" w:after="317" w:afterLines="100" w:line="360" w:lineRule="auto"/>
        <w:jc w:val="both"/>
        <w:outlineLvl w:val="0"/>
        <w:rPr>
          <w:rFonts w:hint="default" w:ascii="Times New Roman" w:hAnsi="Times New Roman" w:eastAsia="黑体" w:cs="Times New Roman"/>
          <w:bCs/>
          <w:kern w:val="44"/>
          <w:sz w:val="21"/>
          <w:szCs w:val="44"/>
          <w:lang w:eastAsia="zh-CN"/>
        </w:rPr>
      </w:pPr>
      <w:bookmarkStart w:id="72" w:name="_Toc24620"/>
      <w:r>
        <w:rPr>
          <w:rFonts w:hint="default" w:ascii="Times New Roman" w:hAnsi="Times New Roman" w:eastAsia="黑体" w:cs="Times New Roman"/>
          <w:bCs/>
          <w:kern w:val="44"/>
          <w:sz w:val="21"/>
          <w:szCs w:val="44"/>
          <w:lang w:eastAsia="zh-CN"/>
        </w:rPr>
        <w:t>6 数据和质量</w:t>
      </w:r>
      <w:bookmarkEnd w:id="72"/>
    </w:p>
    <w:p w14:paraId="3B71715A">
      <w:pPr>
        <w:keepNext/>
        <w:keepLines/>
        <w:adjustRightInd w:val="0"/>
        <w:snapToGrid w:val="0"/>
        <w:spacing w:before="317" w:beforeLines="100" w:after="317" w:afterLines="100" w:line="360" w:lineRule="auto"/>
        <w:jc w:val="both"/>
        <w:outlineLvl w:val="9"/>
        <w:rPr>
          <w:rFonts w:hint="default" w:ascii="Times New Roman" w:hAnsi="Times New Roman" w:eastAsia="黑体" w:cs="Times New Roman"/>
          <w:bCs/>
          <w:kern w:val="44"/>
          <w:sz w:val="21"/>
          <w:szCs w:val="44"/>
          <w:lang w:eastAsia="zh-CN"/>
        </w:rPr>
      </w:pPr>
      <w:r>
        <w:rPr>
          <w:rFonts w:hint="default" w:ascii="Times New Roman" w:hAnsi="Times New Roman" w:eastAsia="黑体" w:cs="Times New Roman"/>
          <w:bCs/>
          <w:kern w:val="44"/>
          <w:sz w:val="21"/>
          <w:szCs w:val="44"/>
          <w:lang w:eastAsia="zh-CN"/>
        </w:rPr>
        <w:t xml:space="preserve">6.1 </w:t>
      </w:r>
      <w:r>
        <w:rPr>
          <w:rFonts w:hint="default" w:ascii="Times New Roman" w:hAnsi="Times New Roman" w:eastAsia="黑体" w:cs="Times New Roman"/>
          <w:bCs/>
          <w:kern w:val="44"/>
          <w:sz w:val="21"/>
          <w:szCs w:val="44"/>
          <w:highlight w:val="none"/>
          <w:lang w:eastAsia="zh-CN"/>
        </w:rPr>
        <w:t>数据描述</w:t>
      </w:r>
    </w:p>
    <w:p w14:paraId="57911984">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稀土系储氢合金材料的碳足迹量化需要收集</w:t>
      </w:r>
      <w:r>
        <w:rPr>
          <w:rFonts w:hint="eastAsia" w:ascii="Times New Roman" w:hAnsi="Times New Roman" w:eastAsia="宋体" w:cs="Times New Roman"/>
          <w:kern w:val="2"/>
          <w:sz w:val="21"/>
          <w:szCs w:val="21"/>
          <w:lang w:val="en-US" w:eastAsia="zh-CN"/>
        </w:rPr>
        <w:t>初级数据</w:t>
      </w:r>
      <w:r>
        <w:rPr>
          <w:rFonts w:hint="default" w:ascii="Times New Roman" w:hAnsi="Times New Roman" w:eastAsia="宋体" w:cs="Times New Roman"/>
          <w:kern w:val="2"/>
          <w:sz w:val="21"/>
          <w:szCs w:val="21"/>
          <w:lang w:eastAsia="zh-CN"/>
        </w:rPr>
        <w:t>和</w:t>
      </w:r>
      <w:r>
        <w:rPr>
          <w:rFonts w:hint="eastAsia" w:ascii="Times New Roman" w:hAnsi="Times New Roman" w:eastAsia="宋体" w:cs="Times New Roman"/>
          <w:kern w:val="2"/>
          <w:sz w:val="21"/>
          <w:szCs w:val="21"/>
          <w:lang w:val="en-US" w:eastAsia="zh-CN"/>
        </w:rPr>
        <w:t>次级</w:t>
      </w:r>
      <w:r>
        <w:rPr>
          <w:rFonts w:hint="default" w:ascii="Times New Roman" w:hAnsi="Times New Roman" w:eastAsia="宋体" w:cs="Times New Roman"/>
          <w:kern w:val="2"/>
          <w:sz w:val="21"/>
          <w:szCs w:val="21"/>
          <w:lang w:eastAsia="zh-CN"/>
        </w:rPr>
        <w:t>数据。</w:t>
      </w:r>
    </w:p>
    <w:p w14:paraId="464F15F8">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val="en-US" w:eastAsia="zh-CN"/>
        </w:rPr>
        <w:t>初级</w:t>
      </w:r>
      <w:r>
        <w:rPr>
          <w:rFonts w:hint="default" w:ascii="Times New Roman" w:hAnsi="Times New Roman" w:eastAsia="宋体" w:cs="Times New Roman"/>
          <w:kern w:val="2"/>
          <w:sz w:val="21"/>
          <w:szCs w:val="21"/>
          <w:lang w:eastAsia="zh-CN"/>
        </w:rPr>
        <w:t>数据包括稀土系储氢合金材料生产制造阶段的原辅材料消耗、能源消耗、废弃物排放、运输（包括运输形式、运输距离和运输量等），以及共生产品回收利用等数据，对数据的获得方式和来源均应予以说明。若生产现场包含多个地域、多个工厂，应在报告中清晰描述，并采用基于产量的加权平均值。</w:t>
      </w:r>
    </w:p>
    <w:p w14:paraId="425326F9">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eastAsia" w:ascii="Times New Roman" w:hAnsi="Times New Roman" w:eastAsia="宋体" w:cs="Times New Roman"/>
          <w:kern w:val="2"/>
          <w:sz w:val="21"/>
          <w:szCs w:val="21"/>
          <w:lang w:val="en-US" w:eastAsia="zh-CN"/>
        </w:rPr>
        <w:t>次级</w:t>
      </w:r>
      <w:r>
        <w:rPr>
          <w:rFonts w:hint="default" w:ascii="Times New Roman" w:hAnsi="Times New Roman" w:eastAsia="宋体" w:cs="Times New Roman"/>
          <w:kern w:val="2"/>
          <w:sz w:val="21"/>
          <w:szCs w:val="21"/>
          <w:lang w:eastAsia="zh-CN"/>
        </w:rPr>
        <w:t>数据包括原辅材料与能源获取、生产制造阶段的生命周期清单数据，以及运输所需的运输生命周期清单数据。所有数据应予以详细说明，包括数据来源、数据时间、数据类型等。</w:t>
      </w:r>
    </w:p>
    <w:p w14:paraId="44742E86">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作为一般性规则，稀土系储氢合金材料生产制造过程，应使用</w:t>
      </w:r>
      <w:r>
        <w:rPr>
          <w:rFonts w:hint="eastAsia" w:ascii="Times New Roman" w:hAnsi="Times New Roman" w:eastAsia="宋体" w:cs="Times New Roman"/>
          <w:kern w:val="2"/>
          <w:sz w:val="21"/>
          <w:szCs w:val="21"/>
          <w:lang w:val="en-US" w:eastAsia="zh-CN"/>
        </w:rPr>
        <w:t>初级</w:t>
      </w:r>
      <w:r>
        <w:rPr>
          <w:rFonts w:hint="default" w:ascii="Times New Roman" w:hAnsi="Times New Roman" w:eastAsia="宋体" w:cs="Times New Roman"/>
          <w:kern w:val="2"/>
          <w:sz w:val="21"/>
          <w:szCs w:val="21"/>
          <w:lang w:eastAsia="zh-CN"/>
        </w:rPr>
        <w:t>数据。对于上游过程，应优先使用</w:t>
      </w:r>
      <w:r>
        <w:rPr>
          <w:rFonts w:hint="eastAsia" w:ascii="Times New Roman" w:hAnsi="Times New Roman" w:eastAsia="宋体" w:cs="Times New Roman"/>
          <w:kern w:val="2"/>
          <w:sz w:val="21"/>
          <w:szCs w:val="21"/>
          <w:lang w:val="en-US" w:eastAsia="zh-CN"/>
        </w:rPr>
        <w:t>初级</w:t>
      </w:r>
      <w:r>
        <w:rPr>
          <w:rFonts w:hint="default" w:ascii="Times New Roman" w:hAnsi="Times New Roman" w:eastAsia="宋体" w:cs="Times New Roman"/>
          <w:kern w:val="2"/>
          <w:sz w:val="21"/>
          <w:szCs w:val="21"/>
          <w:lang w:eastAsia="zh-CN"/>
        </w:rPr>
        <w:t>数据，如</w:t>
      </w:r>
      <w:r>
        <w:rPr>
          <w:rFonts w:hint="eastAsia" w:ascii="Times New Roman" w:hAnsi="Times New Roman" w:eastAsia="宋体" w:cs="Times New Roman"/>
          <w:kern w:val="2"/>
          <w:sz w:val="21"/>
          <w:szCs w:val="21"/>
          <w:lang w:val="en-US" w:eastAsia="zh-CN"/>
        </w:rPr>
        <w:t>初级</w:t>
      </w:r>
      <w:r>
        <w:rPr>
          <w:rFonts w:hint="default" w:ascii="Times New Roman" w:hAnsi="Times New Roman" w:eastAsia="宋体" w:cs="Times New Roman"/>
          <w:kern w:val="2"/>
          <w:sz w:val="21"/>
          <w:szCs w:val="21"/>
          <w:lang w:eastAsia="zh-CN"/>
        </w:rPr>
        <w:t>数据不可获取，也可使用</w:t>
      </w:r>
      <w:r>
        <w:rPr>
          <w:rFonts w:hint="eastAsia" w:ascii="Times New Roman" w:hAnsi="Times New Roman" w:eastAsia="宋体" w:cs="Times New Roman"/>
          <w:kern w:val="2"/>
          <w:sz w:val="21"/>
          <w:szCs w:val="21"/>
          <w:lang w:val="en-US" w:eastAsia="zh-CN"/>
        </w:rPr>
        <w:t>次级</w:t>
      </w:r>
      <w:r>
        <w:rPr>
          <w:rFonts w:hint="default" w:ascii="Times New Roman" w:hAnsi="Times New Roman" w:eastAsia="宋体" w:cs="Times New Roman"/>
          <w:kern w:val="2"/>
          <w:sz w:val="21"/>
          <w:szCs w:val="21"/>
          <w:lang w:eastAsia="zh-CN"/>
        </w:rPr>
        <w:t>数据。</w:t>
      </w:r>
    </w:p>
    <w:p w14:paraId="50F830D8">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当使用再生稀土原料时，其数据收集还应符合附录E的规定。</w:t>
      </w:r>
    </w:p>
    <w:p w14:paraId="04D4C388">
      <w:pPr>
        <w:keepNext/>
        <w:keepLines/>
        <w:adjustRightInd w:val="0"/>
        <w:snapToGrid w:val="0"/>
        <w:spacing w:before="317" w:beforeLines="100" w:after="317" w:afterLines="100" w:line="360" w:lineRule="auto"/>
        <w:jc w:val="both"/>
        <w:outlineLvl w:val="9"/>
        <w:rPr>
          <w:rFonts w:hint="default" w:ascii="Times New Roman" w:hAnsi="Times New Roman" w:eastAsia="黑体" w:cs="Times New Roman"/>
          <w:bCs/>
          <w:kern w:val="44"/>
          <w:sz w:val="21"/>
          <w:szCs w:val="44"/>
          <w:lang w:eastAsia="zh-CN"/>
        </w:rPr>
      </w:pPr>
      <w:r>
        <w:rPr>
          <w:rFonts w:hint="default" w:ascii="Times New Roman" w:hAnsi="Times New Roman" w:eastAsia="黑体" w:cs="Times New Roman"/>
          <w:bCs/>
          <w:kern w:val="44"/>
          <w:sz w:val="21"/>
          <w:szCs w:val="44"/>
          <w:lang w:eastAsia="zh-CN"/>
        </w:rPr>
        <w:t>6.</w:t>
      </w:r>
      <w:r>
        <w:rPr>
          <w:rFonts w:hint="eastAsia" w:ascii="Times New Roman" w:hAnsi="Times New Roman" w:eastAsia="黑体" w:cs="Times New Roman"/>
          <w:bCs/>
          <w:kern w:val="44"/>
          <w:sz w:val="21"/>
          <w:szCs w:val="44"/>
          <w:lang w:val="en-US" w:eastAsia="zh-CN"/>
        </w:rPr>
        <w:t>2</w:t>
      </w:r>
      <w:r>
        <w:rPr>
          <w:rFonts w:hint="default" w:ascii="Times New Roman" w:hAnsi="Times New Roman" w:eastAsia="黑体" w:cs="Times New Roman"/>
          <w:bCs/>
          <w:kern w:val="44"/>
          <w:sz w:val="21"/>
          <w:szCs w:val="44"/>
          <w:lang w:eastAsia="zh-CN"/>
        </w:rPr>
        <w:t xml:space="preserve"> 数据质量要求</w:t>
      </w:r>
    </w:p>
    <w:p w14:paraId="0DCB47B9">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val="en-US" w:eastAsia="zh-CN"/>
        </w:rPr>
      </w:pPr>
      <w:r>
        <w:rPr>
          <w:rFonts w:hint="default" w:ascii="Times New Roman" w:hAnsi="Times New Roman" w:eastAsia="黑体" w:cs="Times New Roman"/>
          <w:kern w:val="2"/>
          <w:sz w:val="21"/>
          <w:szCs w:val="24"/>
          <w:lang w:val="en-US" w:eastAsia="zh-CN"/>
        </w:rPr>
        <w:t>6</w:t>
      </w:r>
      <w:r>
        <w:rPr>
          <w:rFonts w:hint="default" w:ascii="Times New Roman" w:hAnsi="Times New Roman" w:eastAsia="黑体" w:cs="Times New Roman"/>
          <w:kern w:val="2"/>
          <w:sz w:val="21"/>
          <w:szCs w:val="24"/>
          <w:lang w:eastAsia="zh-CN"/>
        </w:rPr>
        <w:t>.</w:t>
      </w:r>
      <w:r>
        <w:rPr>
          <w:rFonts w:hint="eastAsia" w:ascii="Times New Roman" w:hAnsi="Times New Roman" w:eastAsia="黑体" w:cs="Times New Roman"/>
          <w:kern w:val="2"/>
          <w:sz w:val="21"/>
          <w:szCs w:val="24"/>
          <w:lang w:val="en-US" w:eastAsia="zh-CN"/>
        </w:rPr>
        <w:t>2.</w:t>
      </w:r>
      <w:r>
        <w:rPr>
          <w:rFonts w:hint="default" w:ascii="Times New Roman" w:hAnsi="Times New Roman" w:eastAsia="黑体" w:cs="Times New Roman"/>
          <w:kern w:val="2"/>
          <w:sz w:val="21"/>
          <w:szCs w:val="24"/>
          <w:lang w:val="en-US" w:eastAsia="zh-CN"/>
        </w:rPr>
        <w:t xml:space="preserve">1 </w:t>
      </w:r>
      <w:r>
        <w:rPr>
          <w:rFonts w:hint="eastAsia" w:ascii="Times New Roman" w:hAnsi="Times New Roman" w:eastAsia="黑体" w:cs="Times New Roman"/>
          <w:kern w:val="2"/>
          <w:sz w:val="21"/>
          <w:szCs w:val="24"/>
          <w:lang w:val="en-US" w:eastAsia="zh-CN"/>
        </w:rPr>
        <w:t>初级</w:t>
      </w:r>
      <w:r>
        <w:rPr>
          <w:rFonts w:hint="default" w:ascii="Times New Roman" w:hAnsi="Times New Roman" w:eastAsia="黑体" w:cs="Times New Roman"/>
          <w:kern w:val="2"/>
          <w:sz w:val="21"/>
          <w:szCs w:val="24"/>
          <w:lang w:val="en-US" w:eastAsia="zh-CN"/>
        </w:rPr>
        <w:t xml:space="preserve">数据的质量要求  </w:t>
      </w:r>
    </w:p>
    <w:p w14:paraId="07717A16">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a）</w:t>
      </w:r>
      <w:r>
        <w:rPr>
          <w:rFonts w:hint="default" w:ascii="Times New Roman" w:hAnsi="Times New Roman" w:eastAsia="宋体" w:cs="Times New Roman"/>
          <w:kern w:val="2"/>
          <w:sz w:val="21"/>
          <w:szCs w:val="21"/>
          <w:lang w:val="en-US" w:eastAsia="zh-CN"/>
        </w:rPr>
        <w:t xml:space="preserve"> 代表性：初级数据应按照企业生产单元收集所确定范围内的生产统计数据；数据的时间边界应规定产品具有代表性的时间段，宜考虑数据在本年度和跨年度的变化，并在可能的情况下使用代表所选时间段趋势的数值，若产品的某一单元过程与一个特定时间段相关联，时间边界应涵盖产品生命周期中该特定时间段，优先使用最近1年连续生产的数据；</w:t>
      </w:r>
    </w:p>
    <w:p w14:paraId="5F6C8495">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b）</w:t>
      </w:r>
      <w:r>
        <w:rPr>
          <w:rFonts w:hint="default" w:ascii="Times New Roman" w:hAnsi="Times New Roman" w:eastAsia="宋体" w:cs="Times New Roman"/>
          <w:kern w:val="2"/>
          <w:sz w:val="21"/>
          <w:szCs w:val="21"/>
          <w:lang w:val="en-US" w:eastAsia="zh-CN"/>
        </w:rPr>
        <w:t xml:space="preserve"> 完整性：初级数据应按6.4的数据取舍原则，采集生产现场的初级数据；回收提取的再生资源名称、数量和去向等内容应列出；产品的含量声明应列出，采用材料或化学物质清单的形式表示，包括其环境和危险特性的信息，按照表1列出构成产品的材料或化学物质的详细组分信息；材料或化学物质的总重量应列出，至少应为声明/功能单位产品的99%；受专利保护材料或化学物质、高度机密的数据和受专门法律权利保护（包括专利和商标）的物质可以不列入详细信息中，但建议告知有这类材料存在的相关信息；</w:t>
      </w:r>
    </w:p>
    <w:p w14:paraId="449AA9B1">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val="en-US" w:eastAsia="zh-CN"/>
        </w:rPr>
      </w:pPr>
    </w:p>
    <w:p w14:paraId="2E5704B6">
      <w:pPr>
        <w:adjustRightInd w:val="0"/>
        <w:snapToGrid w:val="0"/>
        <w:spacing w:after="0" w:line="360" w:lineRule="auto"/>
        <w:ind w:firstLine="420" w:firstLineChars="200"/>
        <w:jc w:val="center"/>
        <w:rPr>
          <w:rFonts w:hint="default" w:ascii="Times New Roman" w:hAnsi="Times New Roman" w:eastAsia="宋体" w:cs="Times New Roman"/>
          <w:kern w:val="2"/>
          <w:sz w:val="21"/>
          <w:szCs w:val="21"/>
          <w:lang w:val="en-US" w:eastAsia="zh-CN"/>
        </w:rPr>
      </w:pPr>
      <w:r>
        <w:rPr>
          <w:rFonts w:hint="default" w:ascii="Times New Roman" w:hAnsi="Times New Roman" w:eastAsia="宋体" w:cs="Times New Roman"/>
          <w:kern w:val="2"/>
          <w:sz w:val="21"/>
          <w:szCs w:val="21"/>
          <w:lang w:val="en-US" w:eastAsia="zh-CN"/>
        </w:rPr>
        <w:t>表1 材料或化学物质详细组分</w:t>
      </w:r>
    </w:p>
    <w:tbl>
      <w:tblPr>
        <w:tblStyle w:val="12"/>
        <w:tblW w:w="4988" w:type="pct"/>
        <w:tblInd w:w="0" w:type="dxa"/>
        <w:tblBorders>
          <w:top w:val="single" w:color="1A5276" w:sz="12" w:space="0"/>
          <w:left w:val="none" w:color="auto" w:sz="0" w:space="0"/>
          <w:bottom w:val="single" w:color="1A5276" w:sz="12" w:space="0"/>
          <w:right w:val="none" w:color="auto" w:sz="0" w:space="0"/>
          <w:insideH w:val="single" w:color="D5D8DC" w:sz="4" w:space="0"/>
          <w:insideV w:val="none" w:color="auto" w:sz="0" w:space="0"/>
        </w:tblBorders>
        <w:tblLayout w:type="autofit"/>
        <w:tblCellMar>
          <w:top w:w="0" w:type="dxa"/>
          <w:left w:w="10" w:type="dxa"/>
          <w:bottom w:w="0" w:type="dxa"/>
          <w:right w:w="10" w:type="dxa"/>
        </w:tblCellMar>
      </w:tblPr>
      <w:tblGrid>
        <w:gridCol w:w="4471"/>
        <w:gridCol w:w="3211"/>
        <w:gridCol w:w="1322"/>
      </w:tblGrid>
      <w:tr w14:paraId="0164E6B8">
        <w:tblPrEx>
          <w:tblBorders>
            <w:top w:val="single" w:color="1A5276" w:sz="12" w:space="0"/>
            <w:left w:val="none" w:color="auto" w:sz="0" w:space="0"/>
            <w:bottom w:val="single" w:color="1A5276" w:sz="12" w:space="0"/>
            <w:right w:val="none" w:color="auto" w:sz="0" w:space="0"/>
            <w:insideH w:val="single" w:color="D5D8DC" w:sz="4" w:space="0"/>
            <w:insideV w:val="none" w:color="auto" w:sz="0" w:space="0"/>
          </w:tblBorders>
          <w:tblCellMar>
            <w:top w:w="0" w:type="dxa"/>
            <w:left w:w="10" w:type="dxa"/>
            <w:bottom w:w="0" w:type="dxa"/>
            <w:right w:w="10" w:type="dxa"/>
          </w:tblCellMar>
        </w:tblPrEx>
        <w:trPr>
          <w:tblHeader/>
        </w:trPr>
        <w:tc>
          <w:tcPr>
            <w:tcBorders>
              <w:top w:val="single" w:color="000000" w:sz="12" w:space="0"/>
              <w:bottom w:val="single" w:color="000000" w:sz="4" w:space="0"/>
              <w:tl2br w:val="nil"/>
            </w:tcBorders>
            <w:shd w:val="clear" w:color="auto" w:fill="FFFFFF"/>
          </w:tcPr>
          <w:p w14:paraId="7F6F64D2">
            <w:pPr>
              <w:widowControl/>
              <w:spacing w:before="40" w:after="40" w:line="360" w:lineRule="auto"/>
              <w:ind w:firstLine="0"/>
              <w:jc w:val="center"/>
              <w:rPr>
                <w:rFonts w:hint="default" w:ascii="Times New Roman" w:hAnsi="Times New Roman" w:eastAsia="宋体" w:cs="Times New Roman"/>
                <w:b w:val="0"/>
                <w:color w:val="000000"/>
                <w:sz w:val="24"/>
              </w:rPr>
            </w:pPr>
            <w:r>
              <w:rPr>
                <w:rFonts w:hint="default" w:ascii="Times New Roman" w:hAnsi="Times New Roman" w:eastAsia="宋体" w:cs="Times New Roman"/>
                <w:b w:val="0"/>
                <w:color w:val="000000"/>
                <w:sz w:val="20"/>
              </w:rPr>
              <w:t>材料或化学物质</w:t>
            </w:r>
          </w:p>
        </w:tc>
        <w:tc>
          <w:tcPr>
            <w:tcBorders>
              <w:top w:val="single" w:color="000000" w:sz="12" w:space="0"/>
              <w:bottom w:val="single" w:color="000000" w:sz="4" w:space="0"/>
            </w:tcBorders>
            <w:shd w:val="clear" w:color="auto" w:fill="FFFFFF"/>
          </w:tcPr>
          <w:p w14:paraId="5CF99514">
            <w:pPr>
              <w:widowControl/>
              <w:spacing w:before="40" w:after="40" w:line="360" w:lineRule="auto"/>
              <w:ind w:firstLine="0"/>
              <w:jc w:val="center"/>
              <w:rPr>
                <w:rFonts w:hint="default" w:ascii="Times New Roman" w:hAnsi="Times New Roman" w:eastAsia="宋体" w:cs="Times New Roman"/>
                <w:b w:val="0"/>
                <w:color w:val="000000"/>
                <w:sz w:val="24"/>
              </w:rPr>
            </w:pPr>
            <w:r>
              <w:rPr>
                <w:rFonts w:hint="default" w:ascii="Times New Roman" w:hAnsi="Times New Roman" w:eastAsia="宋体" w:cs="Times New Roman"/>
                <w:b w:val="0"/>
                <w:color w:val="000000"/>
                <w:sz w:val="20"/>
              </w:rPr>
              <w:t>质量百分比</w:t>
            </w:r>
          </w:p>
        </w:tc>
        <w:tc>
          <w:tcPr>
            <w:tcBorders>
              <w:top w:val="single" w:color="000000" w:sz="12" w:space="0"/>
              <w:bottom w:val="single" w:color="000000" w:sz="4" w:space="0"/>
            </w:tcBorders>
            <w:shd w:val="clear" w:color="auto" w:fill="FFFFFF"/>
          </w:tcPr>
          <w:p w14:paraId="125052F4">
            <w:pPr>
              <w:widowControl/>
              <w:spacing w:before="40" w:after="40" w:line="360" w:lineRule="auto"/>
              <w:ind w:firstLine="0"/>
              <w:jc w:val="center"/>
              <w:rPr>
                <w:rFonts w:hint="default" w:ascii="Times New Roman" w:hAnsi="Times New Roman" w:eastAsia="宋体" w:cs="Times New Roman"/>
                <w:b w:val="0"/>
                <w:color w:val="000000"/>
                <w:sz w:val="24"/>
              </w:rPr>
            </w:pPr>
            <w:r>
              <w:rPr>
                <w:rFonts w:hint="default" w:ascii="Times New Roman" w:hAnsi="Times New Roman" w:eastAsia="宋体" w:cs="Times New Roman"/>
                <w:b w:val="0"/>
                <w:color w:val="000000"/>
                <w:sz w:val="20"/>
              </w:rPr>
              <w:t>备注</w:t>
            </w:r>
          </w:p>
        </w:tc>
      </w:tr>
      <w:tr w14:paraId="090F2C78">
        <w:tblPrEx>
          <w:tblBorders>
            <w:top w:val="single" w:color="1A5276" w:sz="12" w:space="0"/>
            <w:left w:val="none" w:color="auto" w:sz="0" w:space="0"/>
            <w:bottom w:val="single" w:color="1A5276" w:sz="12" w:space="0"/>
            <w:right w:val="none" w:color="auto" w:sz="0" w:space="0"/>
            <w:insideH w:val="single" w:color="D5D8DC" w:sz="4" w:space="0"/>
            <w:insideV w:val="none" w:color="auto" w:sz="0" w:space="0"/>
          </w:tblBorders>
          <w:tblCellMar>
            <w:top w:w="0" w:type="dxa"/>
            <w:left w:w="10" w:type="dxa"/>
            <w:bottom w:w="0" w:type="dxa"/>
            <w:right w:w="10" w:type="dxa"/>
          </w:tblCellMar>
        </w:tblPrEx>
        <w:tc>
          <w:tcPr>
            <w:tcBorders>
              <w:top w:val="single" w:color="000000" w:sz="4" w:space="0"/>
              <w:bottom w:val="nil"/>
            </w:tcBorders>
            <w:shd w:val="clear" w:color="auto" w:fill="FFFFFF"/>
          </w:tcPr>
          <w:p w14:paraId="42880194">
            <w:pPr>
              <w:widowControl/>
              <w:spacing w:before="40" w:after="40" w:line="360" w:lineRule="auto"/>
              <w:ind w:firstLine="0"/>
              <w:jc w:val="center"/>
              <w:rPr>
                <w:rFonts w:hint="default" w:ascii="Times New Roman" w:hAnsi="Times New Roman" w:eastAsia="宋体" w:cs="Times New Roman"/>
                <w:b w:val="0"/>
                <w:color w:val="000000"/>
                <w:sz w:val="24"/>
              </w:rPr>
            </w:pPr>
          </w:p>
        </w:tc>
        <w:tc>
          <w:tcPr>
            <w:tcBorders>
              <w:top w:val="single" w:color="000000" w:sz="4" w:space="0"/>
              <w:bottom w:val="nil"/>
            </w:tcBorders>
            <w:shd w:val="clear" w:color="auto" w:fill="FFFFFF"/>
          </w:tcPr>
          <w:p w14:paraId="1527458D">
            <w:pPr>
              <w:widowControl/>
              <w:spacing w:before="40" w:after="40" w:line="360" w:lineRule="auto"/>
              <w:ind w:firstLine="0"/>
              <w:jc w:val="center"/>
              <w:rPr>
                <w:rFonts w:hint="default" w:ascii="Times New Roman" w:hAnsi="Times New Roman" w:eastAsia="宋体" w:cs="Times New Roman"/>
                <w:b w:val="0"/>
                <w:color w:val="000000"/>
                <w:sz w:val="24"/>
              </w:rPr>
            </w:pPr>
          </w:p>
        </w:tc>
        <w:tc>
          <w:tcPr>
            <w:tcBorders>
              <w:top w:val="single" w:color="000000" w:sz="4" w:space="0"/>
              <w:bottom w:val="nil"/>
            </w:tcBorders>
            <w:shd w:val="clear" w:color="auto" w:fill="FFFFFF"/>
          </w:tcPr>
          <w:p w14:paraId="6C18959D">
            <w:pPr>
              <w:widowControl/>
              <w:spacing w:before="40" w:after="40" w:line="360" w:lineRule="auto"/>
              <w:ind w:firstLine="0"/>
              <w:jc w:val="center"/>
              <w:rPr>
                <w:rFonts w:hint="default" w:ascii="Times New Roman" w:hAnsi="Times New Roman" w:eastAsia="宋体" w:cs="Times New Roman"/>
                <w:b w:val="0"/>
                <w:color w:val="000000"/>
                <w:sz w:val="24"/>
              </w:rPr>
            </w:pPr>
          </w:p>
        </w:tc>
      </w:tr>
      <w:tr w14:paraId="758940B9">
        <w:tblPrEx>
          <w:tblBorders>
            <w:top w:val="single" w:color="1A5276" w:sz="12" w:space="0"/>
            <w:left w:val="none" w:color="auto" w:sz="0" w:space="0"/>
            <w:bottom w:val="single" w:color="1A5276" w:sz="12" w:space="0"/>
            <w:right w:val="none" w:color="auto" w:sz="0" w:space="0"/>
            <w:insideH w:val="single" w:color="D5D8DC" w:sz="4" w:space="0"/>
            <w:insideV w:val="none" w:color="auto" w:sz="0" w:space="0"/>
          </w:tblBorders>
          <w:tblCellMar>
            <w:top w:w="0" w:type="dxa"/>
            <w:left w:w="10" w:type="dxa"/>
            <w:bottom w:w="0" w:type="dxa"/>
            <w:right w:w="10" w:type="dxa"/>
          </w:tblCellMar>
        </w:tblPrEx>
        <w:tc>
          <w:tcPr>
            <w:tcBorders>
              <w:top w:val="nil"/>
              <w:bottom w:val="nil"/>
            </w:tcBorders>
            <w:shd w:val="clear" w:color="auto" w:fill="FFFFFF"/>
          </w:tcPr>
          <w:p w14:paraId="7279F877">
            <w:pPr>
              <w:widowControl/>
              <w:spacing w:before="40" w:after="40" w:line="360" w:lineRule="auto"/>
              <w:ind w:firstLine="0"/>
              <w:jc w:val="center"/>
              <w:rPr>
                <w:rFonts w:hint="default" w:ascii="Times New Roman" w:hAnsi="Times New Roman" w:eastAsia="宋体" w:cs="Times New Roman"/>
                <w:b w:val="0"/>
                <w:color w:val="000000"/>
                <w:sz w:val="24"/>
              </w:rPr>
            </w:pPr>
          </w:p>
        </w:tc>
        <w:tc>
          <w:tcPr>
            <w:tcBorders>
              <w:top w:val="nil"/>
              <w:bottom w:val="nil"/>
            </w:tcBorders>
            <w:shd w:val="clear" w:color="auto" w:fill="FFFFFF"/>
          </w:tcPr>
          <w:p w14:paraId="1F74FEDC">
            <w:pPr>
              <w:widowControl/>
              <w:spacing w:before="40" w:after="40" w:line="360" w:lineRule="auto"/>
              <w:ind w:firstLine="0"/>
              <w:jc w:val="center"/>
              <w:rPr>
                <w:rFonts w:hint="default" w:ascii="Times New Roman" w:hAnsi="Times New Roman" w:eastAsia="宋体" w:cs="Times New Roman"/>
                <w:b w:val="0"/>
                <w:color w:val="000000"/>
                <w:sz w:val="24"/>
              </w:rPr>
            </w:pPr>
          </w:p>
        </w:tc>
        <w:tc>
          <w:tcPr>
            <w:tcBorders>
              <w:top w:val="nil"/>
              <w:bottom w:val="nil"/>
            </w:tcBorders>
            <w:shd w:val="clear" w:color="auto" w:fill="FFFFFF"/>
          </w:tcPr>
          <w:p w14:paraId="5490DA62">
            <w:pPr>
              <w:widowControl/>
              <w:spacing w:before="40" w:after="40" w:line="360" w:lineRule="auto"/>
              <w:ind w:firstLine="0"/>
              <w:jc w:val="center"/>
              <w:rPr>
                <w:rFonts w:hint="default" w:ascii="Times New Roman" w:hAnsi="Times New Roman" w:eastAsia="宋体" w:cs="Times New Roman"/>
                <w:b w:val="0"/>
                <w:color w:val="000000"/>
                <w:sz w:val="24"/>
              </w:rPr>
            </w:pPr>
          </w:p>
        </w:tc>
      </w:tr>
      <w:tr w14:paraId="2E03D1C8">
        <w:tblPrEx>
          <w:tblBorders>
            <w:top w:val="single" w:color="1A5276" w:sz="12" w:space="0"/>
            <w:left w:val="none" w:color="auto" w:sz="0" w:space="0"/>
            <w:bottom w:val="single" w:color="1A5276" w:sz="12" w:space="0"/>
            <w:right w:val="none" w:color="auto" w:sz="0" w:space="0"/>
            <w:insideH w:val="single" w:color="D5D8DC" w:sz="4" w:space="0"/>
            <w:insideV w:val="none" w:color="auto" w:sz="0" w:space="0"/>
          </w:tblBorders>
          <w:tblCellMar>
            <w:top w:w="0" w:type="dxa"/>
            <w:left w:w="10" w:type="dxa"/>
            <w:bottom w:w="0" w:type="dxa"/>
            <w:right w:w="10" w:type="dxa"/>
          </w:tblCellMar>
        </w:tblPrEx>
        <w:tc>
          <w:tcPr>
            <w:tcBorders>
              <w:top w:val="nil"/>
              <w:bottom w:val="nil"/>
            </w:tcBorders>
            <w:shd w:val="clear" w:color="auto" w:fill="FFFFFF"/>
          </w:tcPr>
          <w:p w14:paraId="093D26F6">
            <w:pPr>
              <w:widowControl/>
              <w:spacing w:before="40" w:after="40" w:line="360" w:lineRule="auto"/>
              <w:ind w:firstLine="0"/>
              <w:jc w:val="center"/>
              <w:rPr>
                <w:rFonts w:hint="default" w:ascii="Times New Roman" w:hAnsi="Times New Roman" w:eastAsia="宋体" w:cs="Times New Roman"/>
                <w:b w:val="0"/>
                <w:color w:val="000000"/>
                <w:sz w:val="24"/>
              </w:rPr>
            </w:pPr>
          </w:p>
        </w:tc>
        <w:tc>
          <w:tcPr>
            <w:tcBorders>
              <w:top w:val="nil"/>
              <w:bottom w:val="nil"/>
            </w:tcBorders>
            <w:shd w:val="clear" w:color="auto" w:fill="FFFFFF"/>
          </w:tcPr>
          <w:p w14:paraId="656EADAA">
            <w:pPr>
              <w:widowControl/>
              <w:spacing w:before="40" w:after="40" w:line="360" w:lineRule="auto"/>
              <w:ind w:firstLine="0"/>
              <w:jc w:val="center"/>
              <w:rPr>
                <w:rFonts w:hint="default" w:ascii="Times New Roman" w:hAnsi="Times New Roman" w:eastAsia="宋体" w:cs="Times New Roman"/>
                <w:b w:val="0"/>
                <w:color w:val="000000"/>
                <w:sz w:val="24"/>
              </w:rPr>
            </w:pPr>
          </w:p>
        </w:tc>
        <w:tc>
          <w:tcPr>
            <w:tcBorders>
              <w:top w:val="nil"/>
              <w:bottom w:val="nil"/>
            </w:tcBorders>
            <w:shd w:val="clear" w:color="auto" w:fill="FFFFFF"/>
          </w:tcPr>
          <w:p w14:paraId="1806E38A">
            <w:pPr>
              <w:widowControl/>
              <w:spacing w:before="40" w:after="40" w:line="360" w:lineRule="auto"/>
              <w:ind w:firstLine="0"/>
              <w:jc w:val="center"/>
              <w:rPr>
                <w:rFonts w:hint="default" w:ascii="Times New Roman" w:hAnsi="Times New Roman" w:eastAsia="宋体" w:cs="Times New Roman"/>
                <w:b w:val="0"/>
                <w:color w:val="000000"/>
                <w:sz w:val="24"/>
              </w:rPr>
            </w:pPr>
          </w:p>
        </w:tc>
      </w:tr>
      <w:tr w14:paraId="21DD39A6">
        <w:tblPrEx>
          <w:tblBorders>
            <w:top w:val="single" w:color="1A5276" w:sz="12" w:space="0"/>
            <w:left w:val="none" w:color="auto" w:sz="0" w:space="0"/>
            <w:bottom w:val="single" w:color="1A5276" w:sz="12" w:space="0"/>
            <w:right w:val="none" w:color="auto" w:sz="0" w:space="0"/>
            <w:insideH w:val="single" w:color="D5D8DC" w:sz="4" w:space="0"/>
            <w:insideV w:val="none" w:color="auto" w:sz="0" w:space="0"/>
          </w:tblBorders>
          <w:tblCellMar>
            <w:top w:w="0" w:type="dxa"/>
            <w:left w:w="10" w:type="dxa"/>
            <w:bottom w:w="0" w:type="dxa"/>
            <w:right w:w="10" w:type="dxa"/>
          </w:tblCellMar>
        </w:tblPrEx>
        <w:tc>
          <w:tcPr>
            <w:tcBorders>
              <w:top w:val="nil"/>
              <w:bottom w:val="nil"/>
            </w:tcBorders>
            <w:shd w:val="clear" w:color="auto" w:fill="FFFFFF"/>
          </w:tcPr>
          <w:p w14:paraId="34384875">
            <w:pPr>
              <w:widowControl/>
              <w:spacing w:before="40" w:after="40" w:line="360" w:lineRule="auto"/>
              <w:ind w:firstLine="0"/>
              <w:jc w:val="center"/>
              <w:rPr>
                <w:rFonts w:hint="default" w:ascii="Times New Roman" w:hAnsi="Times New Roman" w:eastAsia="宋体" w:cs="Times New Roman"/>
                <w:b w:val="0"/>
                <w:color w:val="000000"/>
                <w:sz w:val="24"/>
              </w:rPr>
            </w:pPr>
          </w:p>
        </w:tc>
        <w:tc>
          <w:tcPr>
            <w:tcBorders>
              <w:top w:val="nil"/>
              <w:bottom w:val="nil"/>
            </w:tcBorders>
            <w:shd w:val="clear" w:color="auto" w:fill="FFFFFF"/>
          </w:tcPr>
          <w:p w14:paraId="7377647D">
            <w:pPr>
              <w:widowControl/>
              <w:spacing w:before="40" w:after="40" w:line="360" w:lineRule="auto"/>
              <w:ind w:firstLine="0"/>
              <w:jc w:val="center"/>
              <w:rPr>
                <w:rFonts w:hint="default" w:ascii="Times New Roman" w:hAnsi="Times New Roman" w:eastAsia="宋体" w:cs="Times New Roman"/>
                <w:b w:val="0"/>
                <w:color w:val="000000"/>
                <w:sz w:val="24"/>
              </w:rPr>
            </w:pPr>
          </w:p>
        </w:tc>
        <w:tc>
          <w:tcPr>
            <w:tcBorders>
              <w:top w:val="nil"/>
              <w:bottom w:val="nil"/>
            </w:tcBorders>
            <w:shd w:val="clear" w:color="auto" w:fill="FFFFFF"/>
          </w:tcPr>
          <w:p w14:paraId="37EE19CB">
            <w:pPr>
              <w:widowControl/>
              <w:spacing w:before="40" w:after="40" w:line="360" w:lineRule="auto"/>
              <w:ind w:firstLine="0"/>
              <w:jc w:val="center"/>
              <w:rPr>
                <w:rFonts w:hint="default" w:ascii="Times New Roman" w:hAnsi="Times New Roman" w:eastAsia="宋体" w:cs="Times New Roman"/>
                <w:b w:val="0"/>
                <w:color w:val="000000"/>
                <w:sz w:val="24"/>
              </w:rPr>
            </w:pPr>
          </w:p>
        </w:tc>
      </w:tr>
      <w:tr w14:paraId="178AFC55">
        <w:tblPrEx>
          <w:tblBorders>
            <w:top w:val="single" w:color="1A5276" w:sz="12" w:space="0"/>
            <w:left w:val="none" w:color="auto" w:sz="0" w:space="0"/>
            <w:bottom w:val="single" w:color="1A5276" w:sz="12" w:space="0"/>
            <w:right w:val="none" w:color="auto" w:sz="0" w:space="0"/>
            <w:insideH w:val="single" w:color="D5D8DC" w:sz="4" w:space="0"/>
            <w:insideV w:val="none" w:color="auto" w:sz="0" w:space="0"/>
          </w:tblBorders>
          <w:tblCellMar>
            <w:top w:w="0" w:type="dxa"/>
            <w:left w:w="10" w:type="dxa"/>
            <w:bottom w:w="0" w:type="dxa"/>
            <w:right w:w="10" w:type="dxa"/>
          </w:tblCellMar>
        </w:tblPrEx>
        <w:tc>
          <w:tcPr>
            <w:tcBorders>
              <w:top w:val="nil"/>
              <w:bottom w:val="single" w:color="000000" w:sz="12" w:space="0"/>
            </w:tcBorders>
            <w:shd w:val="clear" w:color="auto" w:fill="FFFFFF"/>
          </w:tcPr>
          <w:p w14:paraId="37C326FF">
            <w:pPr>
              <w:widowControl/>
              <w:spacing w:before="40" w:after="40" w:line="360" w:lineRule="auto"/>
              <w:ind w:firstLine="0"/>
              <w:jc w:val="center"/>
              <w:rPr>
                <w:rFonts w:hint="default" w:ascii="Times New Roman" w:hAnsi="Times New Roman" w:eastAsia="宋体" w:cs="Times New Roman"/>
                <w:b w:val="0"/>
                <w:color w:val="000000"/>
                <w:sz w:val="24"/>
              </w:rPr>
            </w:pPr>
            <w:r>
              <w:rPr>
                <w:rFonts w:hint="default" w:ascii="Times New Roman" w:hAnsi="Times New Roman" w:eastAsia="宋体" w:cs="Times New Roman"/>
                <w:b w:val="0"/>
                <w:color w:val="000000"/>
                <w:sz w:val="20"/>
                <w:lang w:eastAsia="zh-CN"/>
              </w:rPr>
              <w:t>……</w:t>
            </w:r>
          </w:p>
        </w:tc>
        <w:tc>
          <w:tcPr>
            <w:tcBorders>
              <w:top w:val="nil"/>
              <w:bottom w:val="single" w:color="000000" w:sz="12" w:space="0"/>
            </w:tcBorders>
            <w:shd w:val="clear" w:color="auto" w:fill="FFFFFF"/>
          </w:tcPr>
          <w:p w14:paraId="3EB64FAD">
            <w:pPr>
              <w:widowControl/>
              <w:spacing w:before="40" w:after="40" w:line="360" w:lineRule="auto"/>
              <w:ind w:firstLine="0"/>
              <w:jc w:val="center"/>
              <w:rPr>
                <w:rFonts w:hint="default" w:ascii="Times New Roman" w:hAnsi="Times New Roman" w:eastAsia="宋体" w:cs="Times New Roman"/>
                <w:b w:val="0"/>
                <w:color w:val="000000"/>
                <w:sz w:val="24"/>
              </w:rPr>
            </w:pPr>
          </w:p>
        </w:tc>
        <w:tc>
          <w:tcPr>
            <w:tcBorders>
              <w:top w:val="nil"/>
              <w:bottom w:val="single" w:color="000000" w:sz="12" w:space="0"/>
            </w:tcBorders>
            <w:shd w:val="clear" w:color="auto" w:fill="FFFFFF"/>
          </w:tcPr>
          <w:p w14:paraId="1CE6A348">
            <w:pPr>
              <w:widowControl/>
              <w:spacing w:before="40" w:after="40" w:line="360" w:lineRule="auto"/>
              <w:ind w:firstLine="0"/>
              <w:jc w:val="center"/>
              <w:rPr>
                <w:rFonts w:hint="default" w:ascii="Times New Roman" w:hAnsi="Times New Roman" w:eastAsia="宋体" w:cs="Times New Roman"/>
                <w:b w:val="0"/>
                <w:color w:val="000000"/>
                <w:sz w:val="24"/>
              </w:rPr>
            </w:pPr>
          </w:p>
        </w:tc>
      </w:tr>
    </w:tbl>
    <w:p w14:paraId="4379F742">
      <w:pPr>
        <w:adjustRightInd w:val="0"/>
        <w:snapToGrid w:val="0"/>
        <w:spacing w:after="0" w:line="360" w:lineRule="auto"/>
        <w:ind w:firstLine="361" w:firstLineChars="200"/>
        <w:jc w:val="both"/>
        <w:rPr>
          <w:rFonts w:hint="default" w:ascii="Times New Roman" w:hAnsi="Times New Roman" w:eastAsia="宋体" w:cs="Times New Roman"/>
          <w:b/>
          <w:bCs/>
          <w:kern w:val="2"/>
          <w:sz w:val="18"/>
          <w:szCs w:val="18"/>
          <w:lang w:val="en-US" w:eastAsia="zh-CN"/>
        </w:rPr>
      </w:pPr>
      <w:r>
        <w:rPr>
          <w:rFonts w:hint="default" w:ascii="Times New Roman" w:hAnsi="Times New Roman" w:eastAsia="宋体" w:cs="Times New Roman"/>
          <w:b/>
          <w:bCs/>
          <w:kern w:val="2"/>
          <w:sz w:val="18"/>
          <w:szCs w:val="18"/>
          <w:lang w:val="en-US" w:eastAsia="zh-CN"/>
        </w:rPr>
        <w:t>注：表中材料或化学物质的具体名称由企业按产品实际情况填写。</w:t>
      </w:r>
    </w:p>
    <w:p w14:paraId="18C4A026">
      <w:pPr>
        <w:adjustRightInd w:val="0"/>
        <w:snapToGrid w:val="0"/>
        <w:spacing w:after="0" w:line="360" w:lineRule="auto"/>
        <w:ind w:firstLine="422" w:firstLineChars="200"/>
        <w:jc w:val="both"/>
        <w:rPr>
          <w:rFonts w:hint="default" w:ascii="Times New Roman" w:hAnsi="Times New Roman" w:eastAsia="宋体" w:cs="Times New Roman"/>
          <w:b/>
          <w:bCs/>
          <w:kern w:val="2"/>
          <w:sz w:val="21"/>
          <w:szCs w:val="21"/>
          <w:lang w:val="en-US" w:eastAsia="zh-CN"/>
        </w:rPr>
      </w:pPr>
    </w:p>
    <w:p w14:paraId="04C71C5A">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c）</w:t>
      </w:r>
      <w:r>
        <w:rPr>
          <w:rFonts w:hint="default" w:ascii="Times New Roman" w:hAnsi="Times New Roman" w:eastAsia="宋体" w:cs="Times New Roman"/>
          <w:kern w:val="2"/>
          <w:sz w:val="21"/>
          <w:szCs w:val="21"/>
          <w:lang w:val="en-US" w:eastAsia="zh-CN"/>
        </w:rPr>
        <w:t xml:space="preserve"> 准确性：初级数据中的资源、能源、原材料消耗数据应来自生产单元的实际生产统计记录；环境排放数据优先选择相关的环境监测报告，或由排污因子或物料平衡公式计算获得。所有初级数据均应转换为单位产品，且需要详细记录相关的原始数据、数据来源、计算过程等；</w:t>
      </w:r>
    </w:p>
    <w:p w14:paraId="6DE4529A">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d）</w:t>
      </w:r>
      <w:r>
        <w:rPr>
          <w:rFonts w:hint="default" w:ascii="Times New Roman" w:hAnsi="Times New Roman" w:eastAsia="宋体" w:cs="Times New Roman"/>
          <w:kern w:val="2"/>
          <w:sz w:val="21"/>
          <w:szCs w:val="21"/>
          <w:lang w:val="en-US" w:eastAsia="zh-CN"/>
        </w:rPr>
        <w:t xml:space="preserve"> 一致性：企业初级数据收集时应保持相同的数据来源、统计口径、处理规则等。初级数据应按照工序单元进行数据收集。</w:t>
      </w:r>
    </w:p>
    <w:p w14:paraId="4A061C23">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val="en-US" w:eastAsia="zh-CN"/>
        </w:rPr>
      </w:pPr>
      <w:r>
        <w:rPr>
          <w:rFonts w:hint="default" w:ascii="Times New Roman" w:hAnsi="Times New Roman" w:eastAsia="黑体" w:cs="Times New Roman"/>
          <w:kern w:val="2"/>
          <w:sz w:val="21"/>
          <w:szCs w:val="24"/>
          <w:lang w:val="en-US" w:eastAsia="zh-CN"/>
        </w:rPr>
        <w:t>6</w:t>
      </w:r>
      <w:r>
        <w:rPr>
          <w:rFonts w:hint="default" w:ascii="Times New Roman" w:hAnsi="Times New Roman" w:eastAsia="黑体" w:cs="Times New Roman"/>
          <w:kern w:val="2"/>
          <w:sz w:val="21"/>
          <w:szCs w:val="24"/>
          <w:lang w:eastAsia="zh-CN"/>
        </w:rPr>
        <w:t>.</w:t>
      </w:r>
      <w:r>
        <w:rPr>
          <w:rFonts w:hint="eastAsia" w:ascii="Times New Roman" w:hAnsi="Times New Roman" w:eastAsia="黑体" w:cs="Times New Roman"/>
          <w:kern w:val="2"/>
          <w:sz w:val="21"/>
          <w:szCs w:val="24"/>
          <w:lang w:val="en-US" w:eastAsia="zh-CN"/>
        </w:rPr>
        <w:t>2</w:t>
      </w:r>
      <w:r>
        <w:rPr>
          <w:rFonts w:hint="default" w:ascii="Times New Roman" w:hAnsi="Times New Roman" w:eastAsia="黑体" w:cs="Times New Roman"/>
          <w:kern w:val="2"/>
          <w:sz w:val="21"/>
          <w:szCs w:val="24"/>
          <w:lang w:val="en-US" w:eastAsia="zh-CN"/>
        </w:rPr>
        <w:t xml:space="preserve">.2 </w:t>
      </w:r>
      <w:r>
        <w:rPr>
          <w:rFonts w:hint="eastAsia" w:ascii="Times New Roman" w:hAnsi="Times New Roman" w:eastAsia="黑体" w:cs="Times New Roman"/>
          <w:kern w:val="2"/>
          <w:sz w:val="21"/>
          <w:szCs w:val="24"/>
          <w:lang w:val="en-US" w:eastAsia="zh-CN"/>
        </w:rPr>
        <w:t>次级</w:t>
      </w:r>
      <w:r>
        <w:rPr>
          <w:rFonts w:hint="default" w:ascii="Times New Roman" w:hAnsi="Times New Roman" w:eastAsia="黑体" w:cs="Times New Roman"/>
          <w:kern w:val="2"/>
          <w:sz w:val="21"/>
          <w:szCs w:val="24"/>
          <w:lang w:val="en-US" w:eastAsia="zh-CN"/>
        </w:rPr>
        <w:t xml:space="preserve">数据的质量要求  </w:t>
      </w:r>
    </w:p>
    <w:p w14:paraId="4624D28A">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a）</w:t>
      </w:r>
      <w:r>
        <w:rPr>
          <w:rFonts w:hint="default" w:ascii="Times New Roman" w:hAnsi="Times New Roman" w:eastAsia="宋体" w:cs="Times New Roman"/>
          <w:kern w:val="2"/>
          <w:sz w:val="21"/>
          <w:szCs w:val="21"/>
          <w:lang w:val="en-US" w:eastAsia="zh-CN"/>
        </w:rPr>
        <w:t xml:space="preserve"> 准确性：次级数据的参考年份应尽可能是最新的，应优先选择评价企业原材料供应商提供的符合GB/T 24044标准要求的、经第三方独立验证的上游产品生命周期评价报告中的数据。若无，应选择代表中国国内平均生产水平的生命周期评价数据，数据的参考年限应选择近年数据，一般不超过5年；</w:t>
      </w:r>
    </w:p>
    <w:p w14:paraId="5E04500E">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b）</w:t>
      </w:r>
      <w:r>
        <w:rPr>
          <w:rFonts w:hint="default" w:ascii="Times New Roman" w:hAnsi="Times New Roman" w:eastAsia="宋体" w:cs="Times New Roman"/>
          <w:kern w:val="2"/>
          <w:sz w:val="21"/>
          <w:szCs w:val="21"/>
          <w:lang w:val="en-US" w:eastAsia="zh-CN"/>
        </w:rPr>
        <w:t xml:space="preserve"> 完整性和代表性：次级数据的系统边界应该从资源获取到原辅材料或能源产品出厂为止，生命周期清单数据集原则上应涵盖所有对影响类别产生相应程度影响的基本流；</w:t>
      </w:r>
    </w:p>
    <w:p w14:paraId="040E3DF4">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c）</w:t>
      </w:r>
      <w:r>
        <w:rPr>
          <w:rFonts w:hint="default" w:ascii="Times New Roman" w:hAnsi="Times New Roman" w:eastAsia="宋体" w:cs="Times New Roman"/>
          <w:kern w:val="2"/>
          <w:sz w:val="21"/>
          <w:szCs w:val="21"/>
          <w:lang w:val="en-US" w:eastAsia="zh-CN"/>
        </w:rPr>
        <w:t xml:space="preserve"> 一致性：应将次级数据转换为一致的物质名录后再进行计算。同一验证机构对同类产品生命周期评价的次级数据选择应保持一致，如果次级数据更新，则生命周期评价报告也应更新。</w:t>
      </w:r>
    </w:p>
    <w:p w14:paraId="5E2640F1">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val="en-US" w:eastAsia="zh-CN"/>
        </w:rPr>
      </w:pPr>
      <w:r>
        <w:rPr>
          <w:rFonts w:hint="default" w:ascii="Times New Roman" w:hAnsi="Times New Roman" w:eastAsia="黑体" w:cs="Times New Roman"/>
          <w:kern w:val="2"/>
          <w:sz w:val="21"/>
          <w:szCs w:val="24"/>
          <w:lang w:val="en-US" w:eastAsia="zh-CN"/>
        </w:rPr>
        <w:t>6</w:t>
      </w:r>
      <w:r>
        <w:rPr>
          <w:rFonts w:hint="default" w:ascii="Times New Roman" w:hAnsi="Times New Roman" w:eastAsia="黑体" w:cs="Times New Roman"/>
          <w:kern w:val="2"/>
          <w:sz w:val="21"/>
          <w:szCs w:val="24"/>
          <w:lang w:eastAsia="zh-CN"/>
        </w:rPr>
        <w:t>.</w:t>
      </w:r>
      <w:r>
        <w:rPr>
          <w:rFonts w:hint="eastAsia" w:ascii="Times New Roman" w:hAnsi="Times New Roman" w:eastAsia="黑体" w:cs="Times New Roman"/>
          <w:kern w:val="2"/>
          <w:sz w:val="21"/>
          <w:szCs w:val="24"/>
          <w:lang w:val="en-US" w:eastAsia="zh-CN"/>
        </w:rPr>
        <w:t>2</w:t>
      </w:r>
      <w:r>
        <w:rPr>
          <w:rFonts w:hint="default" w:ascii="Times New Roman" w:hAnsi="Times New Roman" w:eastAsia="黑体" w:cs="Times New Roman"/>
          <w:kern w:val="2"/>
          <w:sz w:val="21"/>
          <w:szCs w:val="24"/>
          <w:lang w:val="en-US" w:eastAsia="zh-CN"/>
        </w:rPr>
        <w:t>.</w:t>
      </w:r>
      <w:r>
        <w:rPr>
          <w:rFonts w:hint="eastAsia" w:ascii="Times New Roman" w:hAnsi="Times New Roman" w:eastAsia="黑体" w:cs="Times New Roman"/>
          <w:kern w:val="2"/>
          <w:sz w:val="21"/>
          <w:szCs w:val="24"/>
          <w:lang w:val="en-US" w:eastAsia="zh-CN"/>
        </w:rPr>
        <w:t>3</w:t>
      </w:r>
      <w:r>
        <w:rPr>
          <w:rFonts w:hint="default" w:ascii="Times New Roman" w:hAnsi="Times New Roman" w:eastAsia="黑体" w:cs="Times New Roman"/>
          <w:kern w:val="2"/>
          <w:sz w:val="21"/>
          <w:szCs w:val="24"/>
          <w:lang w:val="en-US" w:eastAsia="zh-CN"/>
        </w:rPr>
        <w:t xml:space="preserve"> </w:t>
      </w:r>
      <w:r>
        <w:rPr>
          <w:rFonts w:hint="eastAsia" w:ascii="Times New Roman" w:hAnsi="Times New Roman" w:eastAsia="黑体" w:cs="Times New Roman"/>
          <w:kern w:val="2"/>
          <w:sz w:val="21"/>
          <w:szCs w:val="24"/>
          <w:lang w:val="en-US" w:eastAsia="zh-CN"/>
        </w:rPr>
        <w:t>数据质量评价</w:t>
      </w:r>
      <w:r>
        <w:rPr>
          <w:rFonts w:hint="default" w:ascii="Times New Roman" w:hAnsi="Times New Roman" w:eastAsia="黑体" w:cs="Times New Roman"/>
          <w:kern w:val="2"/>
          <w:sz w:val="21"/>
          <w:szCs w:val="24"/>
          <w:lang w:val="en-US" w:eastAsia="zh-CN"/>
        </w:rPr>
        <w:t xml:space="preserve">  </w:t>
      </w:r>
    </w:p>
    <w:p w14:paraId="4A1DCB73">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本文件按照附录B规定的数据质量评价方法对数据进行评价。</w:t>
      </w:r>
    </w:p>
    <w:p w14:paraId="59307FBF">
      <w:pPr>
        <w:keepNext/>
        <w:keepLines/>
        <w:adjustRightInd w:val="0"/>
        <w:snapToGrid w:val="0"/>
        <w:spacing w:before="317" w:beforeLines="100" w:after="317" w:afterLines="100" w:line="360" w:lineRule="auto"/>
        <w:jc w:val="both"/>
        <w:outlineLvl w:val="9"/>
        <w:rPr>
          <w:rFonts w:hint="default" w:ascii="Times New Roman" w:hAnsi="Times New Roman" w:eastAsia="黑体" w:cs="Times New Roman"/>
          <w:bCs/>
          <w:kern w:val="44"/>
          <w:sz w:val="21"/>
          <w:szCs w:val="44"/>
          <w:lang w:val="en-US" w:eastAsia="zh-CN"/>
        </w:rPr>
      </w:pPr>
      <w:r>
        <w:rPr>
          <w:rFonts w:hint="default" w:ascii="Times New Roman" w:hAnsi="Times New Roman" w:eastAsia="黑体" w:cs="Times New Roman"/>
          <w:bCs/>
          <w:kern w:val="44"/>
          <w:sz w:val="21"/>
          <w:szCs w:val="44"/>
          <w:lang w:val="en-US" w:eastAsia="zh-CN"/>
        </w:rPr>
        <w:t>6</w:t>
      </w:r>
      <w:r>
        <w:rPr>
          <w:rFonts w:hint="default" w:ascii="Times New Roman" w:hAnsi="Times New Roman" w:eastAsia="黑体" w:cs="Times New Roman"/>
          <w:bCs/>
          <w:kern w:val="44"/>
          <w:sz w:val="21"/>
          <w:szCs w:val="44"/>
          <w:lang w:eastAsia="zh-CN"/>
        </w:rPr>
        <w:t>.</w:t>
      </w:r>
      <w:r>
        <w:rPr>
          <w:rFonts w:hint="eastAsia" w:ascii="Times New Roman" w:hAnsi="Times New Roman" w:eastAsia="黑体" w:cs="Times New Roman"/>
          <w:bCs/>
          <w:kern w:val="44"/>
          <w:sz w:val="21"/>
          <w:szCs w:val="44"/>
          <w:lang w:val="en-US" w:eastAsia="zh-CN"/>
        </w:rPr>
        <w:t>3</w:t>
      </w:r>
      <w:r>
        <w:rPr>
          <w:rFonts w:hint="default" w:ascii="Times New Roman" w:hAnsi="Times New Roman" w:eastAsia="黑体" w:cs="Times New Roman"/>
          <w:bCs/>
          <w:kern w:val="44"/>
          <w:sz w:val="21"/>
          <w:szCs w:val="44"/>
          <w:lang w:val="en-US" w:eastAsia="zh-CN"/>
        </w:rPr>
        <w:t xml:space="preserve"> </w:t>
      </w:r>
      <w:r>
        <w:rPr>
          <w:rFonts w:hint="eastAsia" w:ascii="Times New Roman" w:hAnsi="Times New Roman" w:eastAsia="黑体" w:cs="Times New Roman"/>
          <w:bCs/>
          <w:kern w:val="44"/>
          <w:sz w:val="21"/>
          <w:szCs w:val="44"/>
          <w:lang w:val="en-US" w:eastAsia="zh-CN"/>
        </w:rPr>
        <w:t>追溯数据</w:t>
      </w:r>
      <w:r>
        <w:rPr>
          <w:rFonts w:hint="default" w:ascii="Times New Roman" w:hAnsi="Times New Roman" w:eastAsia="黑体" w:cs="Times New Roman"/>
          <w:bCs/>
          <w:kern w:val="44"/>
          <w:sz w:val="21"/>
          <w:szCs w:val="44"/>
          <w:lang w:val="en-US" w:eastAsia="zh-CN"/>
        </w:rPr>
        <w:t xml:space="preserve">要求  </w:t>
      </w:r>
    </w:p>
    <w:p w14:paraId="5B182E74">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当开展碳足迹量化时，应与稀土原料追溯信息相绑定，确保碳足迹数据与原料来源的可追溯性。追溯数据应包括：</w:t>
      </w:r>
    </w:p>
    <w:p w14:paraId="3862B7B0">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a）稀土原料的来源信息（矿源或回收源、供应商名称、产地等）；</w:t>
      </w:r>
    </w:p>
    <w:p w14:paraId="46352A34">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b）稀土冶炼分离企业的能源消耗和排放数据；</w:t>
      </w:r>
    </w:p>
    <w:p w14:paraId="22F57C37">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c）原料运输路径和运输方式；</w:t>
      </w:r>
    </w:p>
    <w:p w14:paraId="43AF6BE1">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d）各批次原料的化学成分检测报告。</w:t>
      </w:r>
    </w:p>
    <w:p w14:paraId="1E2DD8AC">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碳足迹核算应与稀土产品追溯体系中的批次管理信息相衔接，实现“原料追溯—生产能耗—碳足迹数据”的联动核验。追溯数据应与碳足迹量化数据一并保存，保存期限不少于5年。</w:t>
      </w:r>
    </w:p>
    <w:p w14:paraId="7008D903">
      <w:pPr>
        <w:keepNext/>
        <w:keepLines/>
        <w:adjustRightInd w:val="0"/>
        <w:snapToGrid w:val="0"/>
        <w:spacing w:before="317" w:beforeLines="100" w:after="317" w:afterLines="100" w:line="360" w:lineRule="auto"/>
        <w:jc w:val="both"/>
        <w:outlineLvl w:val="9"/>
        <w:rPr>
          <w:rFonts w:hint="default" w:ascii="Times New Roman" w:hAnsi="Times New Roman" w:eastAsia="黑体" w:cs="Times New Roman"/>
          <w:bCs/>
          <w:kern w:val="44"/>
          <w:sz w:val="21"/>
          <w:szCs w:val="44"/>
          <w:lang w:eastAsia="zh-CN"/>
        </w:rPr>
      </w:pPr>
      <w:r>
        <w:rPr>
          <w:rFonts w:hint="default" w:ascii="Times New Roman" w:hAnsi="Times New Roman" w:eastAsia="黑体" w:cs="Times New Roman"/>
          <w:bCs/>
          <w:kern w:val="44"/>
          <w:sz w:val="21"/>
          <w:szCs w:val="44"/>
          <w:lang w:eastAsia="zh-CN"/>
        </w:rPr>
        <w:t>6.</w:t>
      </w:r>
      <w:r>
        <w:rPr>
          <w:rFonts w:hint="eastAsia" w:ascii="Times New Roman" w:hAnsi="Times New Roman" w:eastAsia="黑体" w:cs="Times New Roman"/>
          <w:bCs/>
          <w:kern w:val="44"/>
          <w:sz w:val="21"/>
          <w:szCs w:val="44"/>
          <w:lang w:val="en-US" w:eastAsia="zh-CN"/>
        </w:rPr>
        <w:t>4</w:t>
      </w:r>
      <w:r>
        <w:rPr>
          <w:rFonts w:hint="default" w:ascii="Times New Roman" w:hAnsi="Times New Roman" w:eastAsia="黑体" w:cs="Times New Roman"/>
          <w:bCs/>
          <w:kern w:val="44"/>
          <w:sz w:val="21"/>
          <w:szCs w:val="44"/>
          <w:lang w:eastAsia="zh-CN"/>
        </w:rPr>
        <w:t xml:space="preserve"> </w:t>
      </w:r>
      <w:r>
        <w:rPr>
          <w:rFonts w:hint="eastAsia" w:ascii="Times New Roman" w:hAnsi="Times New Roman" w:eastAsia="黑体" w:cs="Times New Roman"/>
          <w:bCs/>
          <w:kern w:val="44"/>
          <w:sz w:val="21"/>
          <w:szCs w:val="44"/>
          <w:lang w:val="en-US" w:eastAsia="zh-CN"/>
        </w:rPr>
        <w:t>取舍原则</w:t>
      </w:r>
    </w:p>
    <w:p w14:paraId="39D9D572">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在稀土系储氢合金材料产品碳足迹量化过程中，物质和能量数据的取舍应遵循如下准则：</w:t>
      </w:r>
    </w:p>
    <w:p w14:paraId="703F5B78">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a）能源的所有输入均列出；</w:t>
      </w:r>
    </w:p>
    <w:p w14:paraId="1222102A">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b）原料的所有输入均列出；</w:t>
      </w:r>
    </w:p>
    <w:p w14:paraId="040DE680">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c）辅助材料质量小于原料总消耗1%的项目输入可忽略；</w:t>
      </w:r>
    </w:p>
    <w:p w14:paraId="54F56CDE">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d）小于固体废弃物排放总量1%的一般性固体废弃物可忽略；</w:t>
      </w:r>
    </w:p>
    <w:p w14:paraId="217C1282">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e）道路与厂房等基础设施、各工序的设备安装、厂区内人员及生活设施涉及的消耗和排放，均忽略；</w:t>
      </w:r>
    </w:p>
    <w:p w14:paraId="4DC684CD">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f）取舍准则不适用于有毒有害物质，任何有毒有害的材料和物质均应包含于清单中；</w:t>
      </w:r>
    </w:p>
    <w:p w14:paraId="5BBAA6D4">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g）系统中被忽略的物料总量，不得超过质量、能量或环境排放的5%。</w:t>
      </w:r>
    </w:p>
    <w:p w14:paraId="1ECF9BC0">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在评价目标和范围确定阶段，应确定允许省略次要过程的取舍准则。所选择的取舍准则对评价结果产生的影响应在产品碳足迹报告中予以说明。</w:t>
      </w:r>
    </w:p>
    <w:p w14:paraId="20E8125F">
      <w:pPr>
        <w:keepNext/>
        <w:keepLines/>
        <w:adjustRightInd w:val="0"/>
        <w:snapToGrid w:val="0"/>
        <w:spacing w:before="317" w:beforeLines="100" w:after="317" w:afterLines="100" w:line="360" w:lineRule="auto"/>
        <w:jc w:val="both"/>
        <w:outlineLvl w:val="0"/>
        <w:rPr>
          <w:rFonts w:hint="default" w:ascii="Times New Roman" w:hAnsi="Times New Roman" w:eastAsia="黑体" w:cs="Times New Roman"/>
          <w:bCs/>
          <w:kern w:val="44"/>
          <w:sz w:val="21"/>
          <w:szCs w:val="44"/>
          <w:lang w:eastAsia="zh-CN"/>
        </w:rPr>
      </w:pPr>
      <w:bookmarkStart w:id="73" w:name="_Toc4403"/>
      <w:r>
        <w:rPr>
          <w:rFonts w:hint="eastAsia" w:ascii="Times New Roman" w:hAnsi="Times New Roman" w:eastAsia="黑体" w:cs="Times New Roman"/>
          <w:bCs/>
          <w:kern w:val="44"/>
          <w:sz w:val="21"/>
          <w:szCs w:val="44"/>
          <w:lang w:val="en-US" w:eastAsia="zh-CN"/>
        </w:rPr>
        <w:t>7</w:t>
      </w:r>
      <w:r>
        <w:rPr>
          <w:rFonts w:hint="default" w:ascii="Times New Roman" w:hAnsi="Times New Roman" w:eastAsia="黑体" w:cs="Times New Roman"/>
          <w:bCs/>
          <w:kern w:val="44"/>
          <w:sz w:val="21"/>
          <w:szCs w:val="44"/>
          <w:lang w:eastAsia="zh-CN"/>
        </w:rPr>
        <w:t xml:space="preserve"> </w:t>
      </w:r>
      <w:r>
        <w:rPr>
          <w:rFonts w:hint="eastAsia" w:ascii="Times New Roman" w:hAnsi="Times New Roman" w:eastAsia="黑体" w:cs="Times New Roman"/>
          <w:bCs/>
          <w:kern w:val="44"/>
          <w:sz w:val="21"/>
          <w:szCs w:val="44"/>
          <w:lang w:val="en-US" w:eastAsia="zh-CN"/>
        </w:rPr>
        <w:t>产品碳足迹计算方法</w:t>
      </w:r>
      <w:bookmarkEnd w:id="73"/>
    </w:p>
    <w:p w14:paraId="3FA44D39">
      <w:pPr>
        <w:keepNext/>
        <w:keepLines/>
        <w:adjustRightInd w:val="0"/>
        <w:snapToGrid w:val="0"/>
        <w:spacing w:before="317" w:beforeLines="100" w:after="317" w:afterLines="100" w:line="360" w:lineRule="auto"/>
        <w:jc w:val="both"/>
        <w:outlineLvl w:val="9"/>
        <w:rPr>
          <w:rFonts w:hint="default" w:ascii="Times New Roman" w:hAnsi="Times New Roman" w:eastAsia="黑体" w:cs="Times New Roman"/>
          <w:bCs/>
          <w:kern w:val="44"/>
          <w:sz w:val="21"/>
          <w:szCs w:val="44"/>
          <w:lang w:val="en-US" w:eastAsia="zh-CN"/>
        </w:rPr>
      </w:pPr>
      <w:r>
        <w:rPr>
          <w:rFonts w:hint="eastAsia" w:ascii="Times New Roman" w:hAnsi="Times New Roman" w:eastAsia="黑体" w:cs="Times New Roman"/>
          <w:bCs/>
          <w:kern w:val="44"/>
          <w:sz w:val="21"/>
          <w:szCs w:val="44"/>
          <w:lang w:val="en-US" w:eastAsia="zh-CN"/>
        </w:rPr>
        <w:t>7</w:t>
      </w:r>
      <w:r>
        <w:rPr>
          <w:rFonts w:hint="default" w:ascii="Times New Roman" w:hAnsi="Times New Roman" w:eastAsia="黑体" w:cs="Times New Roman"/>
          <w:bCs/>
          <w:kern w:val="44"/>
          <w:sz w:val="21"/>
          <w:szCs w:val="44"/>
          <w:lang w:eastAsia="zh-CN"/>
        </w:rPr>
        <w:t xml:space="preserve">.1 </w:t>
      </w:r>
      <w:r>
        <w:rPr>
          <w:rFonts w:hint="default" w:ascii="Times New Roman" w:hAnsi="Times New Roman" w:eastAsia="黑体" w:cs="Times New Roman"/>
          <w:bCs/>
          <w:kern w:val="44"/>
          <w:sz w:val="21"/>
          <w:szCs w:val="44"/>
          <w:highlight w:val="none"/>
          <w:lang w:eastAsia="zh-CN"/>
        </w:rPr>
        <w:t>数据</w:t>
      </w:r>
      <w:r>
        <w:rPr>
          <w:rFonts w:hint="eastAsia" w:ascii="Times New Roman" w:hAnsi="Times New Roman" w:eastAsia="黑体" w:cs="Times New Roman"/>
          <w:bCs/>
          <w:kern w:val="44"/>
          <w:sz w:val="21"/>
          <w:szCs w:val="44"/>
          <w:highlight w:val="none"/>
          <w:lang w:val="en-US" w:eastAsia="zh-CN"/>
        </w:rPr>
        <w:t>收集</w:t>
      </w:r>
    </w:p>
    <w:p w14:paraId="1D8FF3DD">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产品碳足迹量化的数据收集应符合第6章的规定，数据宜以一个自然年为收集周期；在保证数据质量的情况下，企业可根据实际情况调整数据统计或采样周期。各生命周期阶段收集的数据主要包括：</w:t>
      </w:r>
    </w:p>
    <w:p w14:paraId="39111C6D">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a）原辅材料获取及加工阶段：各类原辅材料的消耗量及其上游生产的生命周期清单数据，能源消耗量及其上游生命周期清单数据，原辅材料及能源的运输工具、核定载重量、运输重量和运输距离；</w:t>
      </w:r>
    </w:p>
    <w:p w14:paraId="047C13A3">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b）生产阶段：原料投入量（各类金属原料及回炉料等），辅助材料消耗量（坩埚、耐火材料、氩气、氮气等），能源消耗量（电力、天然气、柴油、汽油等），产品产量及不合格品、回炉料数量，炉渣、超细粉、粉尘等废弃物的产生量及处置方式，原料、辅料、产品的厂内运输数据，共生产品的种类、数量和去向；</w:t>
      </w:r>
    </w:p>
    <w:p w14:paraId="412BCCF5">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c）使用阶段（系统边界扩展为“从摇篮到坟墓”时）：下游应用过程中的能源消耗及维护等数据；</w:t>
      </w:r>
    </w:p>
    <w:p w14:paraId="4F244AD8">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d）生命末期阶段（系统边界扩展为“从摇篮到坟墓”时）：废旧产品的收集、运输、预处理、回收再生及处置过程的活动数据。</w:t>
      </w:r>
    </w:p>
    <w:p w14:paraId="77731702">
      <w:pPr>
        <w:keepNext/>
        <w:keepLines/>
        <w:adjustRightInd w:val="0"/>
        <w:snapToGrid w:val="0"/>
        <w:spacing w:before="317" w:beforeLines="100" w:after="317" w:afterLines="100" w:line="360" w:lineRule="auto"/>
        <w:jc w:val="both"/>
        <w:outlineLvl w:val="9"/>
        <w:rPr>
          <w:rFonts w:hint="default" w:ascii="Times New Roman" w:hAnsi="Times New Roman" w:eastAsia="黑体" w:cs="Times New Roman"/>
          <w:bCs/>
          <w:kern w:val="44"/>
          <w:sz w:val="21"/>
          <w:szCs w:val="44"/>
          <w:lang w:val="en-US" w:eastAsia="zh-CN"/>
        </w:rPr>
      </w:pPr>
      <w:r>
        <w:rPr>
          <w:rFonts w:hint="eastAsia" w:ascii="Times New Roman" w:hAnsi="Times New Roman" w:eastAsia="黑体" w:cs="Times New Roman"/>
          <w:bCs/>
          <w:kern w:val="44"/>
          <w:sz w:val="21"/>
          <w:szCs w:val="44"/>
          <w:lang w:val="en-US" w:eastAsia="zh-CN"/>
        </w:rPr>
        <w:t>7</w:t>
      </w:r>
      <w:r>
        <w:rPr>
          <w:rFonts w:hint="default" w:ascii="Times New Roman" w:hAnsi="Times New Roman" w:eastAsia="黑体" w:cs="Times New Roman"/>
          <w:bCs/>
          <w:kern w:val="44"/>
          <w:sz w:val="21"/>
          <w:szCs w:val="44"/>
          <w:lang w:eastAsia="zh-CN"/>
        </w:rPr>
        <w:t>.</w:t>
      </w:r>
      <w:r>
        <w:rPr>
          <w:rFonts w:hint="eastAsia" w:ascii="Times New Roman" w:hAnsi="Times New Roman" w:eastAsia="黑体" w:cs="Times New Roman"/>
          <w:bCs/>
          <w:kern w:val="44"/>
          <w:sz w:val="21"/>
          <w:szCs w:val="44"/>
          <w:lang w:val="en-US" w:eastAsia="zh-CN"/>
        </w:rPr>
        <w:t>2</w:t>
      </w:r>
      <w:r>
        <w:rPr>
          <w:rFonts w:hint="default" w:ascii="Times New Roman" w:hAnsi="Times New Roman" w:eastAsia="黑体" w:cs="Times New Roman"/>
          <w:bCs/>
          <w:kern w:val="44"/>
          <w:sz w:val="21"/>
          <w:szCs w:val="44"/>
          <w:lang w:eastAsia="zh-CN"/>
        </w:rPr>
        <w:t xml:space="preserve"> 数据</w:t>
      </w:r>
      <w:r>
        <w:rPr>
          <w:rFonts w:hint="eastAsia" w:ascii="Times New Roman" w:hAnsi="Times New Roman" w:eastAsia="黑体" w:cs="Times New Roman"/>
          <w:bCs/>
          <w:kern w:val="44"/>
          <w:sz w:val="21"/>
          <w:szCs w:val="44"/>
          <w:lang w:val="en-US" w:eastAsia="zh-CN"/>
        </w:rPr>
        <w:t>校验与确认</w:t>
      </w:r>
    </w:p>
    <w:p w14:paraId="1C2E834B">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在数据收集过程中应对数据的有效性进行检查，以确认并提供证据证明数据质量符合第6章的规定。</w:t>
      </w:r>
    </w:p>
    <w:p w14:paraId="71729CD9">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数据校验可通过建立质量平衡、能量平衡、碳平衡和（或）排放因子的比较分析或其他适当的方法。由于每个单元过程均遵守物质和能量守恒定律，因此物质和能量的平衡能为单元过程描述的准确性提供有效的检查。</w:t>
      </w:r>
    </w:p>
    <w:p w14:paraId="0C7B4044">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在数据确认过程中若发现明显不合理的数据，应分析原因，予以替换，替换的数据应满足数据质量要求；对每种类型的数据如发现缺失，对缺失的数据宜代之以合理的数据或采用同类技术单元过程报送的数据计算出来的数值。</w:t>
      </w:r>
    </w:p>
    <w:p w14:paraId="0170362F">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当数据类型涉及等价物质并具有类似的环境影响时，允许进行数据合并。同一工序的不同生产设备，若其生产技术水平相当，输入输出种类基本相同，可采取数据合并。</w:t>
      </w:r>
    </w:p>
    <w:p w14:paraId="6616C432">
      <w:pPr>
        <w:keepNext/>
        <w:keepLines/>
        <w:adjustRightInd w:val="0"/>
        <w:snapToGrid w:val="0"/>
        <w:spacing w:before="317" w:beforeLines="100" w:after="317" w:afterLines="100" w:line="360" w:lineRule="auto"/>
        <w:jc w:val="both"/>
        <w:outlineLvl w:val="9"/>
        <w:rPr>
          <w:rFonts w:hint="default" w:ascii="Times New Roman" w:hAnsi="Times New Roman" w:eastAsia="黑体" w:cs="Times New Roman"/>
          <w:bCs/>
          <w:kern w:val="44"/>
          <w:sz w:val="21"/>
          <w:szCs w:val="44"/>
          <w:lang w:val="en-US" w:eastAsia="zh-CN"/>
        </w:rPr>
      </w:pPr>
      <w:r>
        <w:rPr>
          <w:rFonts w:hint="eastAsia" w:ascii="Times New Roman" w:hAnsi="Times New Roman" w:eastAsia="黑体" w:cs="Times New Roman"/>
          <w:bCs/>
          <w:kern w:val="44"/>
          <w:sz w:val="21"/>
          <w:szCs w:val="44"/>
          <w:lang w:val="en-US" w:eastAsia="zh-CN"/>
        </w:rPr>
        <w:t>7</w:t>
      </w:r>
      <w:r>
        <w:rPr>
          <w:rFonts w:hint="default" w:ascii="Times New Roman" w:hAnsi="Times New Roman" w:eastAsia="黑体" w:cs="Times New Roman"/>
          <w:bCs/>
          <w:kern w:val="44"/>
          <w:sz w:val="21"/>
          <w:szCs w:val="44"/>
          <w:lang w:eastAsia="zh-CN"/>
        </w:rPr>
        <w:t>.</w:t>
      </w:r>
      <w:r>
        <w:rPr>
          <w:rFonts w:hint="eastAsia" w:ascii="Times New Roman" w:hAnsi="Times New Roman" w:eastAsia="黑体" w:cs="Times New Roman"/>
          <w:bCs/>
          <w:kern w:val="44"/>
          <w:sz w:val="21"/>
          <w:szCs w:val="44"/>
          <w:lang w:val="en-US" w:eastAsia="zh-CN"/>
        </w:rPr>
        <w:t>3</w:t>
      </w:r>
      <w:r>
        <w:rPr>
          <w:rFonts w:hint="default" w:ascii="Times New Roman" w:hAnsi="Times New Roman" w:eastAsia="黑体" w:cs="Times New Roman"/>
          <w:bCs/>
          <w:kern w:val="44"/>
          <w:sz w:val="21"/>
          <w:szCs w:val="44"/>
          <w:lang w:eastAsia="zh-CN"/>
        </w:rPr>
        <w:t xml:space="preserve"> 数据</w:t>
      </w:r>
      <w:r>
        <w:rPr>
          <w:rFonts w:hint="eastAsia" w:ascii="Times New Roman" w:hAnsi="Times New Roman" w:eastAsia="黑体" w:cs="Times New Roman"/>
          <w:bCs/>
          <w:kern w:val="44"/>
          <w:sz w:val="21"/>
          <w:szCs w:val="44"/>
          <w:lang w:val="en-US" w:eastAsia="zh-CN"/>
        </w:rPr>
        <w:t>分配</w:t>
      </w:r>
    </w:p>
    <w:p w14:paraId="3DF7C5A3">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数据分配的原则是以输入和输出之间的物质平衡为基础，一个单元过程分配的输入和输出总和应与其分配前的输入和输出相等。</w:t>
      </w:r>
    </w:p>
    <w:p w14:paraId="3B2F767A">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对共生产品按照以下程序进行分配：</w:t>
      </w:r>
    </w:p>
    <w:p w14:paraId="399B6B39">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a）尽量避免或减少出现分配。如可能，应通过将单元过程划分为两个或多个子过程并收集与这些子过程相关的环境数据，以避免分配；</w:t>
      </w:r>
    </w:p>
    <w:p w14:paraId="1E977F64">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b）如无法划分两个或多个子过程并收集相关环境数据，应使用能反映其物理关系的方式来进行分配，比如质量分配、热量分配等；</w:t>
      </w:r>
    </w:p>
    <w:p w14:paraId="72325F26">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c）当物理关系不能确定或不能用作分配依据时，用其经济关系来进行分配，如产品产值或利润比例关系等。如果使用经济分配，要考虑的参考值由生产商设定的产品销售价格（三年的平均市场价格）表示。</w:t>
      </w:r>
    </w:p>
    <w:p w14:paraId="71A6C5EE">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以上分配原则和程序也适用于再利用和回收，需考虑材料固有属性的变化。</w:t>
      </w:r>
    </w:p>
    <w:p w14:paraId="415AEE4C">
      <w:pPr>
        <w:keepNext/>
        <w:keepLines/>
        <w:adjustRightInd w:val="0"/>
        <w:snapToGrid w:val="0"/>
        <w:spacing w:before="317" w:beforeLines="100" w:after="317" w:afterLines="100" w:line="360" w:lineRule="auto"/>
        <w:jc w:val="both"/>
        <w:outlineLvl w:val="9"/>
        <w:rPr>
          <w:rFonts w:hint="default" w:ascii="Times New Roman" w:hAnsi="Times New Roman" w:eastAsia="黑体" w:cs="Times New Roman"/>
          <w:bCs/>
          <w:kern w:val="44"/>
          <w:sz w:val="21"/>
          <w:szCs w:val="44"/>
          <w:lang w:val="en-US" w:eastAsia="zh-CN"/>
        </w:rPr>
      </w:pPr>
      <w:r>
        <w:rPr>
          <w:rFonts w:hint="eastAsia" w:ascii="Times New Roman" w:hAnsi="Times New Roman" w:eastAsia="黑体" w:cs="Times New Roman"/>
          <w:bCs/>
          <w:kern w:val="44"/>
          <w:sz w:val="21"/>
          <w:szCs w:val="44"/>
          <w:lang w:val="en-US" w:eastAsia="zh-CN"/>
        </w:rPr>
        <w:t>7</w:t>
      </w:r>
      <w:r>
        <w:rPr>
          <w:rFonts w:hint="default" w:ascii="Times New Roman" w:hAnsi="Times New Roman" w:eastAsia="黑体" w:cs="Times New Roman"/>
          <w:bCs/>
          <w:kern w:val="44"/>
          <w:sz w:val="21"/>
          <w:szCs w:val="44"/>
          <w:lang w:eastAsia="zh-CN"/>
        </w:rPr>
        <w:t>.</w:t>
      </w:r>
      <w:r>
        <w:rPr>
          <w:rFonts w:hint="eastAsia" w:ascii="Times New Roman" w:hAnsi="Times New Roman" w:eastAsia="黑体" w:cs="Times New Roman"/>
          <w:bCs/>
          <w:kern w:val="44"/>
          <w:sz w:val="21"/>
          <w:szCs w:val="44"/>
          <w:lang w:val="en-US" w:eastAsia="zh-CN"/>
        </w:rPr>
        <w:t>4</w:t>
      </w:r>
      <w:r>
        <w:rPr>
          <w:rFonts w:hint="default" w:ascii="Times New Roman" w:hAnsi="Times New Roman" w:eastAsia="黑体" w:cs="Times New Roman"/>
          <w:bCs/>
          <w:kern w:val="44"/>
          <w:sz w:val="21"/>
          <w:szCs w:val="44"/>
          <w:lang w:eastAsia="zh-CN"/>
        </w:rPr>
        <w:t xml:space="preserve"> </w:t>
      </w:r>
      <w:r>
        <w:rPr>
          <w:rFonts w:hint="eastAsia" w:ascii="Times New Roman" w:hAnsi="Times New Roman" w:eastAsia="黑体" w:cs="Times New Roman"/>
          <w:bCs/>
          <w:kern w:val="44"/>
          <w:sz w:val="21"/>
          <w:szCs w:val="44"/>
          <w:lang w:val="en-US" w:eastAsia="zh-CN"/>
        </w:rPr>
        <w:t>碳足迹因子选择</w:t>
      </w:r>
    </w:p>
    <w:p w14:paraId="21470101">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碳足迹因子选择原则的优先顺序如下：</w:t>
      </w:r>
    </w:p>
    <w:p w14:paraId="4C855221">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a）优先采用供应商提供的经第三方验证的碳足迹因子；</w:t>
      </w:r>
    </w:p>
    <w:p w14:paraId="42645E9F">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b）其次可采用国家/行业正式公布的产品碳足迹因子；</w:t>
      </w:r>
    </w:p>
    <w:p w14:paraId="5ED43009">
      <w:pPr>
        <w:adjustRightInd w:val="0"/>
        <w:snapToGrid w:val="0"/>
        <w:spacing w:after="0" w:line="360" w:lineRule="auto"/>
        <w:ind w:firstLine="420" w:firstLineChars="200"/>
        <w:jc w:val="both"/>
        <w:rPr>
          <w:rFonts w:hint="eastAsia"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t>c）以上数据均不能获得时，可采用生命周期评价数据库中的替代数据，并论证数据的可信度。</w:t>
      </w:r>
    </w:p>
    <w:p w14:paraId="1D2D328B">
      <w:pPr>
        <w:keepNext/>
        <w:keepLines/>
        <w:adjustRightInd w:val="0"/>
        <w:snapToGrid w:val="0"/>
        <w:spacing w:before="317" w:beforeLines="100" w:after="317" w:afterLines="100" w:line="360" w:lineRule="auto"/>
        <w:jc w:val="both"/>
        <w:outlineLvl w:val="9"/>
        <w:rPr>
          <w:rFonts w:hint="default" w:ascii="Times New Roman" w:hAnsi="Times New Roman" w:eastAsia="黑体" w:cs="Times New Roman"/>
          <w:bCs/>
          <w:kern w:val="44"/>
          <w:sz w:val="21"/>
          <w:szCs w:val="44"/>
          <w:lang w:val="en-US" w:eastAsia="zh-CN"/>
        </w:rPr>
      </w:pPr>
      <w:r>
        <w:rPr>
          <w:rFonts w:hint="default" w:ascii="Times New Roman" w:hAnsi="Times New Roman" w:eastAsia="黑体" w:cs="Times New Roman"/>
          <w:bCs/>
          <w:kern w:val="44"/>
          <w:sz w:val="21"/>
          <w:szCs w:val="44"/>
          <w:lang w:val="en-US" w:eastAsia="zh-CN"/>
        </w:rPr>
        <w:t>7.</w:t>
      </w:r>
      <w:r>
        <w:rPr>
          <w:rFonts w:hint="eastAsia" w:ascii="Times New Roman" w:hAnsi="Times New Roman" w:eastAsia="黑体" w:cs="Times New Roman"/>
          <w:bCs/>
          <w:kern w:val="44"/>
          <w:sz w:val="21"/>
          <w:szCs w:val="44"/>
          <w:lang w:val="en-US" w:eastAsia="zh-CN"/>
        </w:rPr>
        <w:t>5</w:t>
      </w:r>
      <w:r>
        <w:rPr>
          <w:rFonts w:hint="default" w:ascii="Times New Roman" w:hAnsi="Times New Roman" w:eastAsia="黑体" w:cs="Times New Roman"/>
          <w:bCs/>
          <w:kern w:val="44"/>
          <w:sz w:val="21"/>
          <w:szCs w:val="44"/>
          <w:lang w:val="en-US" w:eastAsia="zh-CN"/>
        </w:rPr>
        <w:t xml:space="preserve"> 特定（电力）温室气体排放因子</w:t>
      </w:r>
    </w:p>
    <w:p w14:paraId="69F8C141">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7.</w:t>
      </w:r>
      <w:r>
        <w:rPr>
          <w:rFonts w:hint="eastAsia" w:ascii="Times New Roman" w:hAnsi="Times New Roman" w:eastAsia="黑体" w:cs="Times New Roman"/>
          <w:kern w:val="2"/>
          <w:sz w:val="21"/>
          <w:szCs w:val="24"/>
          <w:lang w:val="en-US" w:eastAsia="zh-CN"/>
        </w:rPr>
        <w:t>5.1</w:t>
      </w:r>
      <w:r>
        <w:rPr>
          <w:rFonts w:hint="default" w:ascii="Times New Roman" w:hAnsi="Times New Roman" w:eastAsia="黑体" w:cs="Times New Roman"/>
          <w:kern w:val="2"/>
          <w:sz w:val="21"/>
          <w:szCs w:val="24"/>
          <w:lang w:eastAsia="zh-CN"/>
        </w:rPr>
        <w:t xml:space="preserve"> 内部发电</w:t>
      </w:r>
    </w:p>
    <w:p w14:paraId="071AD4C0">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当稀土</w:t>
      </w:r>
      <w:r>
        <w:rPr>
          <w:rFonts w:hint="default" w:ascii="Times New Roman" w:hAnsi="Times New Roman" w:eastAsia="宋体" w:cs="Times New Roman"/>
          <w:kern w:val="2"/>
          <w:sz w:val="21"/>
          <w:szCs w:val="21"/>
          <w:lang w:val="en-US" w:eastAsia="zh-CN"/>
        </w:rPr>
        <w:t>系储氢合金材料</w:t>
      </w:r>
      <w:r>
        <w:rPr>
          <w:rFonts w:hint="default" w:ascii="Times New Roman" w:hAnsi="Times New Roman" w:eastAsia="宋体" w:cs="Times New Roman"/>
          <w:kern w:val="2"/>
          <w:sz w:val="21"/>
          <w:szCs w:val="21"/>
          <w:lang w:eastAsia="zh-CN"/>
        </w:rPr>
        <w:t>消耗的电能为内部发电（例如现场发电），且未向第三方出售，则应将该电力的生命周期数据用于</w:t>
      </w:r>
      <w:r>
        <w:rPr>
          <w:rFonts w:hint="default" w:ascii="Times New Roman" w:hAnsi="Times New Roman" w:eastAsia="宋体" w:cs="Times New Roman"/>
          <w:kern w:val="2"/>
          <w:sz w:val="21"/>
          <w:szCs w:val="21"/>
          <w:lang w:val="en-US" w:eastAsia="zh-CN"/>
        </w:rPr>
        <w:t>稀土系储氢合金材料</w:t>
      </w:r>
      <w:r>
        <w:rPr>
          <w:rFonts w:hint="default" w:ascii="Times New Roman" w:hAnsi="Times New Roman" w:eastAsia="宋体" w:cs="Times New Roman"/>
          <w:kern w:val="2"/>
          <w:sz w:val="21"/>
          <w:szCs w:val="21"/>
          <w:lang w:eastAsia="zh-CN"/>
        </w:rPr>
        <w:t>的碳足迹量化。</w:t>
      </w:r>
    </w:p>
    <w:p w14:paraId="2B608013">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7.5.2 直供电力</w:t>
      </w:r>
    </w:p>
    <w:p w14:paraId="301E26D4">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如果该组织与发电站之间具有专用输电线路，且所消耗的电力未向第三方出售，则使用该电力供应商提供的电力温室气体排放因子。</w:t>
      </w:r>
    </w:p>
    <w:p w14:paraId="0FC46943">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bookmarkStart w:id="74" w:name="_Hlk199925332"/>
      <w:r>
        <w:rPr>
          <w:rFonts w:hint="default" w:ascii="Times New Roman" w:hAnsi="Times New Roman" w:eastAsia="黑体" w:cs="Times New Roman"/>
          <w:kern w:val="2"/>
          <w:sz w:val="21"/>
          <w:szCs w:val="24"/>
          <w:lang w:eastAsia="zh-CN"/>
        </w:rPr>
        <w:t>7.5.3 电网电力</w:t>
      </w:r>
    </w:p>
    <w:bookmarkEnd w:id="74"/>
    <w:p w14:paraId="4D5436A0">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当电力供应商通过合同工具的形式保证电力供应，应使用此供应商特定电力生产的生命周期数据，电力产品应：</w:t>
      </w:r>
    </w:p>
    <w:p w14:paraId="07E7B36A">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——传递电力生产单位相关信息以及发电机组特征信息；</w:t>
      </w:r>
    </w:p>
    <w:p w14:paraId="75E3263D">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——保证唯一的使用权；</w:t>
      </w:r>
    </w:p>
    <w:p w14:paraId="61A9AD49">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——由报告实体或报告实体代表追踪、赎回、报废或注销；</w:t>
      </w:r>
    </w:p>
    <w:p w14:paraId="4CA07C26">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——接近合同工具的适用期限，并包括相应的时间长度。</w:t>
      </w:r>
    </w:p>
    <w:p w14:paraId="3878CA8C">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当无法获得供应商的具体电力信息时，应使用与电力来源相关的电网GHG排放量。相关电网GHG排放量应反映相关地区的电力消耗情况，不包括任何之前已声明归属的电力。如果没有电力追踪系统，所选电网GHG排放量应反映该地区的电力消费情况。</w:t>
      </w:r>
    </w:p>
    <w:p w14:paraId="74CAB76A">
      <w:pPr>
        <w:adjustRightInd w:val="0"/>
        <w:snapToGrid w:val="0"/>
        <w:spacing w:after="0" w:line="360" w:lineRule="auto"/>
        <w:ind w:firstLine="422" w:firstLineChars="200"/>
        <w:jc w:val="both"/>
        <w:rPr>
          <w:rFonts w:hint="default" w:ascii="Times New Roman" w:hAnsi="Times New Roman" w:eastAsia="宋体" w:cs="Times New Roman"/>
          <w:b/>
          <w:bCs/>
          <w:kern w:val="2"/>
          <w:sz w:val="21"/>
          <w:szCs w:val="21"/>
          <w:lang w:eastAsia="zh-CN"/>
        </w:rPr>
      </w:pPr>
      <w:r>
        <w:rPr>
          <w:rFonts w:hint="default" w:ascii="Times New Roman" w:hAnsi="Times New Roman" w:eastAsia="宋体" w:cs="Times New Roman"/>
          <w:b/>
          <w:bCs/>
          <w:kern w:val="2"/>
          <w:sz w:val="21"/>
          <w:szCs w:val="21"/>
          <w:lang w:eastAsia="zh-CN"/>
        </w:rPr>
        <w:t>注1：合同工具是指双方之间签订，用于出售和购买能源的任意形式的合约。如能源属性证书、电力交易合同等。报告实体可根据目标用户的需求选择合同工具的类型。</w:t>
      </w:r>
    </w:p>
    <w:p w14:paraId="2C83F9DB">
      <w:pPr>
        <w:adjustRightInd w:val="0"/>
        <w:snapToGrid w:val="0"/>
        <w:spacing w:after="0" w:line="360" w:lineRule="auto"/>
        <w:ind w:firstLine="422" w:firstLineChars="200"/>
        <w:jc w:val="both"/>
        <w:rPr>
          <w:rFonts w:hint="default" w:ascii="Times New Roman" w:hAnsi="Times New Roman" w:eastAsia="宋体" w:cs="Times New Roman"/>
          <w:b/>
          <w:bCs/>
          <w:kern w:val="2"/>
          <w:sz w:val="21"/>
          <w:szCs w:val="21"/>
          <w:lang w:eastAsia="zh-CN"/>
        </w:rPr>
      </w:pPr>
      <w:r>
        <w:rPr>
          <w:rFonts w:hint="default" w:ascii="Times New Roman" w:hAnsi="Times New Roman" w:eastAsia="宋体" w:cs="Times New Roman"/>
          <w:b/>
          <w:bCs/>
          <w:kern w:val="2"/>
          <w:sz w:val="21"/>
          <w:szCs w:val="21"/>
          <w:lang w:eastAsia="zh-CN"/>
        </w:rPr>
        <w:t>注2：发电机特征信息包括设备的登记名称、所有者和产生的能源性质、发电量和提供的可再生能源等。</w:t>
      </w:r>
    </w:p>
    <w:p w14:paraId="4D65D33E">
      <w:pPr>
        <w:adjustRightInd w:val="0"/>
        <w:snapToGrid w:val="0"/>
        <w:spacing w:after="0" w:line="360" w:lineRule="auto"/>
        <w:ind w:firstLine="422"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b/>
          <w:bCs/>
          <w:kern w:val="2"/>
          <w:sz w:val="21"/>
          <w:szCs w:val="21"/>
          <w:lang w:eastAsia="zh-CN"/>
        </w:rPr>
        <w:t>注3：如果难以获得电力供应系统内某一过程的具体生命周期数据，可使用公认数据库[如来自生态环境部、联合国环境规划署（UNEP）或联合国气候变化框架公约（UNFCCC）等中的数据]。</w:t>
      </w:r>
    </w:p>
    <w:p w14:paraId="1307DFA4">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如果非化石能源电力证书在出售时不直接与电力本身关联，来自非化石能源的部分电力作为非化石电力出售，但没有被排除在电网组合排放因子之外，在这种情况下，应使用电力跟踪系统开展相关消费电网组合分析，并在产品碳足迹报告中进行单独报告，以此来展示结果的差异。</w:t>
      </w:r>
    </w:p>
    <w:p w14:paraId="5B2D0963">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7.5.4</w:t>
      </w:r>
      <w:r>
        <w:rPr>
          <w:rFonts w:hint="eastAsia" w:ascii="Times New Roman" w:hAnsi="Times New Roman" w:eastAsia="黑体" w:cs="Times New Roman"/>
          <w:kern w:val="2"/>
          <w:sz w:val="21"/>
          <w:szCs w:val="24"/>
          <w:lang w:val="en-US" w:eastAsia="zh-CN"/>
        </w:rPr>
        <w:t xml:space="preserve"> </w:t>
      </w:r>
      <w:r>
        <w:rPr>
          <w:rFonts w:hint="default" w:ascii="Times New Roman" w:hAnsi="Times New Roman" w:eastAsia="黑体" w:cs="Times New Roman"/>
          <w:kern w:val="2"/>
          <w:sz w:val="21"/>
          <w:szCs w:val="24"/>
          <w:lang w:eastAsia="zh-CN"/>
        </w:rPr>
        <w:t>其他电力</w:t>
      </w:r>
    </w:p>
    <w:p w14:paraId="081E7868">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自发自用的和通过市场化交易购入使用的非化石能源电力消费量的排放因子为零；如果一个企业有多种类型的电力来源，在计算碳足迹时，应使用加权平均的方法核算电力排放因子。</w:t>
      </w:r>
    </w:p>
    <w:p w14:paraId="31026092">
      <w:pPr>
        <w:keepNext/>
        <w:keepLines/>
        <w:adjustRightInd w:val="0"/>
        <w:snapToGrid w:val="0"/>
        <w:spacing w:before="317" w:beforeLines="100" w:after="317" w:afterLines="100" w:line="360" w:lineRule="auto"/>
        <w:jc w:val="both"/>
        <w:outlineLvl w:val="9"/>
        <w:rPr>
          <w:rFonts w:hint="default" w:ascii="Times New Roman" w:hAnsi="Times New Roman" w:eastAsia="黑体" w:cs="Times New Roman"/>
          <w:bCs/>
          <w:kern w:val="44"/>
          <w:sz w:val="21"/>
          <w:szCs w:val="44"/>
          <w:lang w:eastAsia="zh-CN"/>
        </w:rPr>
      </w:pPr>
      <w:r>
        <w:rPr>
          <w:rFonts w:hint="default" w:ascii="Times New Roman" w:hAnsi="Times New Roman" w:eastAsia="黑体" w:cs="Times New Roman"/>
          <w:bCs/>
          <w:kern w:val="44"/>
          <w:sz w:val="21"/>
          <w:szCs w:val="44"/>
          <w:lang w:eastAsia="zh-CN"/>
        </w:rPr>
        <w:t>7.</w:t>
      </w:r>
      <w:r>
        <w:rPr>
          <w:rFonts w:hint="eastAsia" w:ascii="Times New Roman" w:hAnsi="Times New Roman" w:eastAsia="黑体" w:cs="Times New Roman"/>
          <w:bCs/>
          <w:kern w:val="44"/>
          <w:sz w:val="21"/>
          <w:szCs w:val="44"/>
          <w:lang w:val="en-US" w:eastAsia="zh-CN"/>
        </w:rPr>
        <w:t>6</w:t>
      </w:r>
      <w:r>
        <w:rPr>
          <w:rFonts w:hint="default" w:ascii="Times New Roman" w:hAnsi="Times New Roman" w:eastAsia="黑体" w:cs="Times New Roman"/>
          <w:bCs/>
          <w:kern w:val="44"/>
          <w:sz w:val="21"/>
          <w:szCs w:val="44"/>
          <w:lang w:eastAsia="zh-CN"/>
        </w:rPr>
        <w:t xml:space="preserve"> </w:t>
      </w:r>
      <w:r>
        <w:rPr>
          <w:rFonts w:hint="eastAsia" w:ascii="Times New Roman" w:hAnsi="Times New Roman" w:eastAsia="黑体" w:cs="Times New Roman"/>
          <w:bCs/>
          <w:kern w:val="44"/>
          <w:sz w:val="21"/>
          <w:szCs w:val="44"/>
          <w:lang w:val="en-US" w:eastAsia="zh-CN"/>
        </w:rPr>
        <w:t>清单计算</w:t>
      </w:r>
    </w:p>
    <w:p w14:paraId="2E3426D3">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生命周期清单分析结果通常表现为一系列的数据表，展示每声明单位产品在每个生命周期阶段/单元过程中的资源使用量（如原辅材料和能源），以及释放到环境中的排放物（如温室气体、废弃物等）。清单计算应按原辅材料获取及加工阶段、生产阶段、使用阶段和生命末期阶段（适用时）分阶段进行，并确保：</w:t>
      </w:r>
    </w:p>
    <w:p w14:paraId="408D6A3A">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a）所有单元过程的输入输出数据均归一化为声明单位（1 t稀土系储氢合金材料）；</w:t>
      </w:r>
    </w:p>
    <w:p w14:paraId="57318391">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b）所有温室气体排放量统一折算为二氧化碳当量（CO2e）；</w:t>
      </w:r>
    </w:p>
    <w:p w14:paraId="569C131F">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c）各阶段排放量加总得到产品碳足迹总量。</w:t>
      </w:r>
    </w:p>
    <w:p w14:paraId="1F5CD3D0">
      <w:pPr>
        <w:keepNext/>
        <w:keepLines/>
        <w:adjustRightInd w:val="0"/>
        <w:snapToGrid w:val="0"/>
        <w:spacing w:before="317" w:beforeLines="100" w:after="317" w:afterLines="100" w:line="360" w:lineRule="auto"/>
        <w:jc w:val="both"/>
        <w:outlineLvl w:val="9"/>
        <w:rPr>
          <w:rFonts w:hint="default" w:ascii="Times New Roman" w:hAnsi="Times New Roman" w:eastAsia="黑体" w:cs="Times New Roman"/>
          <w:bCs/>
          <w:kern w:val="44"/>
          <w:sz w:val="21"/>
          <w:szCs w:val="44"/>
          <w:lang w:eastAsia="zh-CN"/>
        </w:rPr>
      </w:pPr>
      <w:r>
        <w:rPr>
          <w:rFonts w:hint="default" w:ascii="Times New Roman" w:hAnsi="Times New Roman" w:eastAsia="黑体" w:cs="Times New Roman"/>
          <w:bCs/>
          <w:kern w:val="44"/>
          <w:sz w:val="21"/>
          <w:szCs w:val="44"/>
          <w:lang w:eastAsia="zh-CN"/>
        </w:rPr>
        <w:t>7.</w:t>
      </w:r>
      <w:r>
        <w:rPr>
          <w:rFonts w:hint="eastAsia" w:ascii="Times New Roman" w:hAnsi="Times New Roman" w:eastAsia="黑体" w:cs="Times New Roman"/>
          <w:bCs/>
          <w:kern w:val="44"/>
          <w:sz w:val="21"/>
          <w:szCs w:val="44"/>
          <w:lang w:val="en-US" w:eastAsia="zh-CN"/>
        </w:rPr>
        <w:t>7</w:t>
      </w:r>
      <w:r>
        <w:rPr>
          <w:rFonts w:hint="default" w:ascii="Times New Roman" w:hAnsi="Times New Roman" w:eastAsia="黑体" w:cs="Times New Roman"/>
          <w:bCs/>
          <w:kern w:val="44"/>
          <w:sz w:val="21"/>
          <w:szCs w:val="44"/>
          <w:lang w:eastAsia="zh-CN"/>
        </w:rPr>
        <w:t xml:space="preserve"> </w:t>
      </w:r>
      <w:r>
        <w:rPr>
          <w:rFonts w:hint="eastAsia" w:ascii="Times New Roman" w:hAnsi="Times New Roman" w:eastAsia="黑体" w:cs="Times New Roman"/>
          <w:bCs/>
          <w:kern w:val="44"/>
          <w:sz w:val="21"/>
          <w:szCs w:val="44"/>
          <w:lang w:val="en-US" w:eastAsia="zh-CN"/>
        </w:rPr>
        <w:t>产品碳足迹计算方法</w:t>
      </w:r>
    </w:p>
    <w:p w14:paraId="2AA6A407">
      <w:pPr>
        <w:adjustRightInd w:val="0"/>
        <w:snapToGrid w:val="0"/>
        <w:spacing w:after="0" w:line="360" w:lineRule="auto"/>
        <w:ind w:left="418" w:leftChars="190" w:firstLine="0" w:firstLineChars="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稀土系储氢合金材料碳足迹计算方法见公式（1）：</w:t>
      </w:r>
    </w:p>
    <w:p w14:paraId="4C321A5D">
      <w:pPr>
        <w:adjustRightInd w:val="0"/>
        <w:snapToGrid w:val="0"/>
        <w:spacing w:after="0" w:line="360" w:lineRule="auto"/>
        <w:ind w:firstLine="420" w:firstLineChars="200"/>
        <w:jc w:val="center"/>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drawing>
          <wp:inline distT="0" distB="0" distL="0" distR="0">
            <wp:extent cx="2362200" cy="190500"/>
            <wp:effectExtent l="0" t="0" r="0" b="0"/>
            <wp:docPr id="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362200" cy="190500"/>
                    </a:xfrm>
                    <a:prstGeom prst="rect">
                      <a:avLst/>
                    </a:prstGeom>
                    <a:noFill/>
                    <a:ln>
                      <a:noFill/>
                    </a:ln>
                  </pic:spPr>
                </pic:pic>
              </a:graphicData>
            </a:graphic>
          </wp:inline>
        </w:drawing>
      </w:r>
      <w:r>
        <w:rPr>
          <w:rFonts w:hint="default" w:ascii="Times New Roman" w:hAnsi="Times New Roman" w:eastAsia="宋体" w:cs="Times New Roman"/>
          <w:kern w:val="2"/>
          <w:sz w:val="21"/>
          <w:szCs w:val="21"/>
          <w:lang w:eastAsia="zh-CN"/>
        </w:rPr>
        <w:t>..............................</w:t>
      </w:r>
      <w:r>
        <w:rPr>
          <w:rFonts w:hint="eastAsia" w:ascii="Times New Roman" w:hAnsi="Times New Roman" w:eastAsia="宋体" w:cs="Times New Roman"/>
          <w:kern w:val="2"/>
          <w:sz w:val="21"/>
          <w:szCs w:val="21"/>
          <w:lang w:eastAsia="zh-CN"/>
        </w:rPr>
        <w:t>(</w:t>
      </w:r>
      <w:r>
        <w:rPr>
          <w:rFonts w:hint="default" w:ascii="Times New Roman" w:hAnsi="Times New Roman" w:eastAsia="宋体" w:cs="Times New Roman"/>
          <w:kern w:val="2"/>
          <w:sz w:val="21"/>
          <w:szCs w:val="21"/>
          <w:lang w:eastAsia="zh-CN"/>
        </w:rPr>
        <w:t>1</w:t>
      </w:r>
      <w:r>
        <w:rPr>
          <w:rFonts w:hint="eastAsia" w:ascii="Times New Roman" w:hAnsi="Times New Roman" w:eastAsia="宋体" w:cs="Times New Roman"/>
          <w:kern w:val="2"/>
          <w:sz w:val="21"/>
          <w:szCs w:val="21"/>
          <w:lang w:eastAsia="zh-CN"/>
        </w:rPr>
        <w:t>)</w:t>
      </w:r>
    </w:p>
    <w:p w14:paraId="74545BFF">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式中：</w:t>
      </w:r>
    </w:p>
    <w:p w14:paraId="0F4E002F">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i/>
          <w:iCs/>
          <w:kern w:val="2"/>
          <w:sz w:val="21"/>
          <w:szCs w:val="21"/>
          <w:lang w:eastAsia="zh-CN"/>
        </w:rPr>
        <w:t>CFP</w:t>
      </w:r>
      <w:r>
        <w:rPr>
          <w:rFonts w:hint="default" w:ascii="Times New Roman" w:hAnsi="Times New Roman" w:eastAsia="宋体" w:cs="Times New Roman"/>
          <w:i/>
          <w:iCs/>
          <w:kern w:val="2"/>
          <w:sz w:val="21"/>
          <w:szCs w:val="21"/>
          <w:vertAlign w:val="subscript"/>
          <w:lang w:eastAsia="zh-CN"/>
        </w:rPr>
        <w:t>GHG</w:t>
      </w:r>
      <w:r>
        <w:rPr>
          <w:rFonts w:hint="default" w:ascii="Times New Roman" w:hAnsi="Times New Roman" w:eastAsia="宋体" w:cs="Times New Roman"/>
          <w:kern w:val="2"/>
          <w:sz w:val="21"/>
          <w:szCs w:val="21"/>
          <w:lang w:eastAsia="zh-CN"/>
        </w:rPr>
        <w:t>——稀土</w:t>
      </w:r>
      <w:r>
        <w:rPr>
          <w:rFonts w:hint="default" w:ascii="Times New Roman" w:hAnsi="Times New Roman" w:eastAsia="宋体" w:cs="Times New Roman"/>
          <w:kern w:val="2"/>
          <w:sz w:val="21"/>
          <w:szCs w:val="21"/>
          <w:lang w:val="en-US" w:eastAsia="zh-CN"/>
        </w:rPr>
        <w:t>系储氢合金材料产品</w:t>
      </w:r>
      <w:r>
        <w:rPr>
          <w:rFonts w:hint="default" w:ascii="Times New Roman" w:hAnsi="Times New Roman" w:eastAsia="宋体" w:cs="Times New Roman"/>
          <w:kern w:val="2"/>
          <w:sz w:val="21"/>
          <w:szCs w:val="21"/>
          <w:lang w:eastAsia="zh-CN"/>
        </w:rPr>
        <w:t>碳足迹，以吨二氧化碳当量每吨</w:t>
      </w:r>
      <w:r>
        <w:rPr>
          <w:rFonts w:hint="eastAsia" w:ascii="Times New Roman" w:hAnsi="Times New Roman" w:eastAsia="宋体" w:cs="Times New Roman"/>
          <w:kern w:val="2"/>
          <w:sz w:val="21"/>
          <w:szCs w:val="21"/>
          <w:lang w:eastAsia="zh-CN"/>
        </w:rPr>
        <w:t>（</w:t>
      </w:r>
      <w:r>
        <w:rPr>
          <w:rFonts w:hint="default" w:ascii="Times New Roman" w:hAnsi="Times New Roman" w:eastAsia="宋体" w:cs="Times New Roman"/>
          <w:kern w:val="2"/>
          <w:sz w:val="21"/>
          <w:szCs w:val="21"/>
          <w:lang w:eastAsia="zh-CN"/>
        </w:rPr>
        <w:t>tCO</w:t>
      </w:r>
      <w:r>
        <w:rPr>
          <w:rFonts w:hint="default" w:ascii="Times New Roman" w:hAnsi="Times New Roman" w:eastAsia="宋体" w:cs="Times New Roman"/>
          <w:kern w:val="2"/>
          <w:sz w:val="21"/>
          <w:szCs w:val="21"/>
          <w:vertAlign w:val="subscript"/>
          <w:lang w:eastAsia="zh-CN"/>
        </w:rPr>
        <w:t>2</w:t>
      </w:r>
      <w:r>
        <w:rPr>
          <w:rFonts w:hint="default" w:ascii="Times New Roman" w:hAnsi="Times New Roman" w:eastAsia="宋体" w:cs="Times New Roman"/>
          <w:kern w:val="2"/>
          <w:sz w:val="21"/>
          <w:szCs w:val="21"/>
          <w:lang w:eastAsia="zh-CN"/>
        </w:rPr>
        <w:t>e/t</w:t>
      </w:r>
      <w:r>
        <w:rPr>
          <w:rFonts w:hint="eastAsia" w:ascii="Times New Roman" w:hAnsi="Times New Roman" w:eastAsia="宋体" w:cs="Times New Roman"/>
          <w:kern w:val="2"/>
          <w:sz w:val="21"/>
          <w:szCs w:val="21"/>
          <w:lang w:eastAsia="zh-CN"/>
        </w:rPr>
        <w:t>）</w:t>
      </w:r>
      <w:r>
        <w:rPr>
          <w:rFonts w:hint="default" w:ascii="Times New Roman" w:hAnsi="Times New Roman" w:eastAsia="宋体" w:cs="Times New Roman"/>
          <w:kern w:val="2"/>
          <w:sz w:val="21"/>
          <w:szCs w:val="21"/>
          <w:lang w:eastAsia="zh-CN"/>
        </w:rPr>
        <w:t>计；</w:t>
      </w:r>
    </w:p>
    <w:p w14:paraId="1FAE95A9">
      <w:pPr>
        <w:adjustRightInd w:val="0"/>
        <w:snapToGrid w:val="0"/>
        <w:spacing w:after="0" w:line="360" w:lineRule="auto"/>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drawing>
          <wp:inline distT="0" distB="0" distL="0" distR="0">
            <wp:extent cx="476250" cy="190500"/>
            <wp:effectExtent l="0" t="0" r="0" b="0"/>
            <wp:docPr id="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476250" cy="190500"/>
                    </a:xfrm>
                    <a:prstGeom prst="rect">
                      <a:avLst/>
                    </a:prstGeom>
                    <a:noFill/>
                    <a:ln>
                      <a:noFill/>
                    </a:ln>
                  </pic:spPr>
                </pic:pic>
              </a:graphicData>
            </a:graphic>
          </wp:inline>
        </w:drawing>
      </w:r>
      <w:r>
        <w:rPr>
          <w:rFonts w:hint="default" w:ascii="Times New Roman" w:hAnsi="Times New Roman" w:eastAsia="宋体" w:cs="Times New Roman"/>
          <w:kern w:val="2"/>
          <w:sz w:val="21"/>
          <w:szCs w:val="21"/>
          <w:lang w:eastAsia="zh-CN"/>
        </w:rPr>
        <w:t xml:space="preserve">——系统边界内，各声明单位中第i种活动的GHG排放和清除相关数据（包括初级数据和次级数据），单位根据具体排放源确定； </w:t>
      </w:r>
    </w:p>
    <w:p w14:paraId="5E4AB570">
      <w:pPr>
        <w:adjustRightInd w:val="0"/>
        <w:snapToGrid w:val="0"/>
        <w:spacing w:after="0" w:line="360" w:lineRule="auto"/>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drawing>
          <wp:inline distT="0" distB="0" distL="0" distR="0">
            <wp:extent cx="685800" cy="190500"/>
            <wp:effectExtent l="0" t="0" r="0" b="0"/>
            <wp:docPr id="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685800" cy="190500"/>
                    </a:xfrm>
                    <a:prstGeom prst="rect">
                      <a:avLst/>
                    </a:prstGeom>
                    <a:noFill/>
                    <a:ln>
                      <a:noFill/>
                    </a:ln>
                  </pic:spPr>
                </pic:pic>
              </a:graphicData>
            </a:graphic>
          </wp:inline>
        </w:drawing>
      </w:r>
      <w:r>
        <w:rPr>
          <w:rFonts w:hint="default" w:ascii="Times New Roman" w:hAnsi="Times New Roman" w:eastAsia="宋体" w:cs="Times New Roman"/>
          <w:kern w:val="2"/>
          <w:sz w:val="21"/>
          <w:szCs w:val="21"/>
          <w:lang w:eastAsia="zh-CN"/>
        </w:rPr>
        <w:t>——第i种活动对应的温室气体j的排放因子，单位与GHG活动数据相匹配；</w:t>
      </w:r>
    </w:p>
    <w:p w14:paraId="24C4E5C1">
      <w:pPr>
        <w:adjustRightInd w:val="0"/>
        <w:snapToGrid w:val="0"/>
        <w:spacing w:after="0" w:line="360" w:lineRule="auto"/>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drawing>
          <wp:inline distT="0" distB="0" distL="0" distR="0">
            <wp:extent cx="581025" cy="190500"/>
            <wp:effectExtent l="0" t="0" r="0" b="0"/>
            <wp:docPr id="1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81025" cy="190500"/>
                    </a:xfrm>
                    <a:prstGeom prst="rect">
                      <a:avLst/>
                    </a:prstGeom>
                    <a:noFill/>
                    <a:ln>
                      <a:noFill/>
                    </a:ln>
                  </pic:spPr>
                </pic:pic>
              </a:graphicData>
            </a:graphic>
          </wp:inline>
        </w:drawing>
      </w:r>
      <w:r>
        <w:rPr>
          <w:rFonts w:hint="default" w:ascii="Times New Roman" w:hAnsi="Times New Roman" w:eastAsia="宋体" w:cs="Times New Roman"/>
          <w:kern w:val="2"/>
          <w:sz w:val="21"/>
          <w:szCs w:val="21"/>
          <w:lang w:eastAsia="zh-CN"/>
        </w:rPr>
        <w:t>——温室气体j的GWP值，按</w:t>
      </w:r>
      <w:r>
        <w:rPr>
          <w:rFonts w:hint="eastAsia" w:ascii="Times New Roman" w:hAnsi="Times New Roman" w:eastAsia="宋体" w:cs="Times New Roman"/>
          <w:kern w:val="2"/>
          <w:sz w:val="21"/>
          <w:szCs w:val="21"/>
          <w:lang w:val="en-US" w:eastAsia="zh-CN"/>
        </w:rPr>
        <w:t>7.8</w:t>
      </w:r>
      <w:r>
        <w:rPr>
          <w:rFonts w:hint="default" w:ascii="Times New Roman" w:hAnsi="Times New Roman" w:eastAsia="宋体" w:cs="Times New Roman"/>
          <w:kern w:val="2"/>
          <w:sz w:val="21"/>
          <w:szCs w:val="21"/>
          <w:lang w:eastAsia="zh-CN"/>
        </w:rPr>
        <w:t>中的规定取值。</w:t>
      </w:r>
    </w:p>
    <w:p w14:paraId="293C7939">
      <w:pPr>
        <w:keepNext/>
        <w:keepLines/>
        <w:adjustRightInd w:val="0"/>
        <w:snapToGrid w:val="0"/>
        <w:spacing w:before="317" w:beforeLines="100" w:after="317" w:afterLines="100" w:line="360" w:lineRule="auto"/>
        <w:jc w:val="both"/>
        <w:outlineLvl w:val="9"/>
        <w:rPr>
          <w:rFonts w:hint="default" w:ascii="Times New Roman" w:hAnsi="Times New Roman" w:eastAsia="黑体" w:cs="Times New Roman"/>
          <w:bCs/>
          <w:kern w:val="44"/>
          <w:sz w:val="21"/>
          <w:szCs w:val="44"/>
          <w:lang w:eastAsia="zh-CN"/>
        </w:rPr>
      </w:pPr>
      <w:r>
        <w:rPr>
          <w:rFonts w:hint="eastAsia" w:ascii="Times New Roman" w:hAnsi="Times New Roman" w:eastAsia="黑体" w:cs="Times New Roman"/>
          <w:bCs/>
          <w:kern w:val="44"/>
          <w:sz w:val="21"/>
          <w:szCs w:val="44"/>
          <w:lang w:val="en-US" w:eastAsia="zh-CN"/>
        </w:rPr>
        <w:t>7.8</w:t>
      </w:r>
      <w:r>
        <w:rPr>
          <w:rFonts w:hint="default" w:ascii="Times New Roman" w:hAnsi="Times New Roman" w:eastAsia="黑体" w:cs="Times New Roman"/>
          <w:bCs/>
          <w:kern w:val="44"/>
          <w:sz w:val="21"/>
          <w:szCs w:val="44"/>
          <w:lang w:eastAsia="zh-CN"/>
        </w:rPr>
        <w:t xml:space="preserve"> GWP参数的选取</w:t>
      </w:r>
    </w:p>
    <w:p w14:paraId="76877A57">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应通过排放或清除的GHG的质量乘以IPCC给出的100年全球变暖潜势（GWP）（见附录C），来计算产品每种温室气体排放和清除的潜在气候变化影响，以tCO2e/t（排放量）计。</w:t>
      </w:r>
    </w:p>
    <w:p w14:paraId="375AB106">
      <w:pPr>
        <w:adjustRightInd w:val="0"/>
        <w:snapToGrid w:val="0"/>
        <w:spacing w:after="0" w:line="360" w:lineRule="auto"/>
        <w:ind w:firstLine="422" w:firstLineChars="200"/>
        <w:jc w:val="both"/>
        <w:rPr>
          <w:rFonts w:hint="default" w:ascii="Times New Roman" w:hAnsi="Times New Roman" w:eastAsia="宋体" w:cs="Times New Roman"/>
          <w:b/>
          <w:bCs/>
          <w:kern w:val="2"/>
          <w:sz w:val="21"/>
          <w:szCs w:val="21"/>
          <w:lang w:eastAsia="zh-CN"/>
        </w:rPr>
      </w:pPr>
      <w:r>
        <w:rPr>
          <w:rFonts w:hint="default" w:ascii="Times New Roman" w:hAnsi="Times New Roman" w:eastAsia="宋体" w:cs="Times New Roman"/>
          <w:b/>
          <w:bCs/>
          <w:kern w:val="2"/>
          <w:sz w:val="21"/>
          <w:szCs w:val="21"/>
          <w:lang w:eastAsia="zh-CN"/>
        </w:rPr>
        <w:t>注1：产品碳足迹为所有温室气体潜在气候变化影响的总和。</w:t>
      </w:r>
    </w:p>
    <w:p w14:paraId="383A4942">
      <w:pPr>
        <w:adjustRightInd w:val="0"/>
        <w:snapToGrid w:val="0"/>
        <w:spacing w:after="0" w:line="360" w:lineRule="auto"/>
        <w:ind w:firstLine="422" w:firstLineChars="200"/>
        <w:jc w:val="both"/>
        <w:rPr>
          <w:rFonts w:hint="default" w:ascii="Times New Roman" w:hAnsi="Times New Roman" w:eastAsia="宋体" w:cs="Times New Roman"/>
          <w:b/>
          <w:bCs/>
          <w:kern w:val="2"/>
          <w:sz w:val="21"/>
          <w:szCs w:val="21"/>
          <w:lang w:eastAsia="zh-CN"/>
        </w:rPr>
      </w:pPr>
      <w:r>
        <w:rPr>
          <w:rFonts w:hint="default" w:ascii="Times New Roman" w:hAnsi="Times New Roman" w:eastAsia="宋体" w:cs="Times New Roman"/>
          <w:b/>
          <w:bCs/>
          <w:kern w:val="2"/>
          <w:sz w:val="21"/>
          <w:szCs w:val="21"/>
          <w:lang w:eastAsia="zh-CN"/>
        </w:rPr>
        <w:t>若IPCC修订了GWP，应使用最新数值，否则应在报告中说明。</w:t>
      </w:r>
    </w:p>
    <w:p w14:paraId="77661581">
      <w:pPr>
        <w:adjustRightInd w:val="0"/>
        <w:snapToGrid w:val="0"/>
        <w:spacing w:after="0" w:line="360" w:lineRule="auto"/>
        <w:ind w:firstLine="422" w:firstLineChars="200"/>
        <w:jc w:val="both"/>
        <w:rPr>
          <w:rFonts w:hint="default" w:ascii="Times New Roman" w:hAnsi="Times New Roman" w:eastAsia="宋体" w:cs="Times New Roman"/>
          <w:b/>
          <w:bCs/>
          <w:kern w:val="2"/>
          <w:sz w:val="21"/>
          <w:szCs w:val="21"/>
          <w:lang w:eastAsia="zh-CN"/>
        </w:rPr>
      </w:pPr>
      <w:r>
        <w:rPr>
          <w:rFonts w:hint="default" w:ascii="Times New Roman" w:hAnsi="Times New Roman" w:eastAsia="宋体" w:cs="Times New Roman"/>
          <w:b/>
          <w:bCs/>
          <w:kern w:val="2"/>
          <w:sz w:val="21"/>
          <w:szCs w:val="21"/>
          <w:lang w:eastAsia="zh-CN"/>
        </w:rPr>
        <w:t>除GWP100外，还可以使用IPCC提供的其他时间范围的GWP和GTP，但宜单独报告。</w:t>
      </w:r>
    </w:p>
    <w:p w14:paraId="2D2B38EF">
      <w:pPr>
        <w:adjustRightInd w:val="0"/>
        <w:snapToGrid w:val="0"/>
        <w:spacing w:after="0" w:line="360" w:lineRule="auto"/>
        <w:ind w:firstLine="422" w:firstLineChars="200"/>
        <w:jc w:val="both"/>
        <w:rPr>
          <w:rFonts w:hint="default" w:ascii="Times New Roman" w:hAnsi="Times New Roman" w:eastAsia="宋体" w:cs="Times New Roman"/>
          <w:b/>
          <w:bCs/>
          <w:kern w:val="2"/>
          <w:sz w:val="21"/>
          <w:szCs w:val="21"/>
          <w:lang w:eastAsia="zh-CN"/>
        </w:rPr>
      </w:pPr>
      <w:r>
        <w:rPr>
          <w:rFonts w:hint="default" w:ascii="Times New Roman" w:hAnsi="Times New Roman" w:eastAsia="宋体" w:cs="Times New Roman"/>
          <w:b/>
          <w:bCs/>
          <w:kern w:val="2"/>
          <w:sz w:val="21"/>
          <w:szCs w:val="21"/>
          <w:lang w:eastAsia="zh-CN"/>
        </w:rPr>
        <w:t>注2：GWP100代表短期的气候变化影响，可反映变暖速度。100年GTP代表长期的气候变化影响，可反映长期温升。与其他时间范围相比，选择100年的时间范围并无任何科学依据。该时间范围是国际公约的一个价值判断，它权衡了不同时间范围内可能发生的影响。</w:t>
      </w:r>
    </w:p>
    <w:p w14:paraId="3875B5E8">
      <w:pPr>
        <w:keepNext/>
        <w:keepLines/>
        <w:adjustRightInd w:val="0"/>
        <w:snapToGrid w:val="0"/>
        <w:spacing w:before="317" w:beforeLines="100" w:after="317" w:afterLines="100" w:line="360" w:lineRule="auto"/>
        <w:jc w:val="both"/>
        <w:outlineLvl w:val="9"/>
        <w:rPr>
          <w:rFonts w:hint="default" w:ascii="Times New Roman" w:hAnsi="Times New Roman" w:eastAsia="黑体" w:cs="Times New Roman"/>
          <w:kern w:val="2"/>
          <w:sz w:val="21"/>
          <w:szCs w:val="24"/>
          <w:lang w:val="en-US" w:eastAsia="zh-CN"/>
        </w:rPr>
      </w:pPr>
      <w:r>
        <w:rPr>
          <w:rFonts w:hint="eastAsia" w:ascii="Times New Roman" w:hAnsi="Times New Roman" w:eastAsia="黑体" w:cs="Times New Roman"/>
          <w:bCs/>
          <w:kern w:val="44"/>
          <w:sz w:val="21"/>
          <w:szCs w:val="44"/>
          <w:lang w:val="en-US" w:eastAsia="zh-CN"/>
        </w:rPr>
        <w:t>7.9</w:t>
      </w:r>
      <w:r>
        <w:rPr>
          <w:rFonts w:hint="default" w:ascii="Times New Roman" w:hAnsi="Times New Roman" w:eastAsia="黑体" w:cs="Times New Roman"/>
          <w:bCs/>
          <w:kern w:val="44"/>
          <w:sz w:val="21"/>
          <w:szCs w:val="44"/>
          <w:lang w:eastAsia="zh-CN"/>
        </w:rPr>
        <w:t xml:space="preserve"> </w:t>
      </w:r>
      <w:r>
        <w:rPr>
          <w:rFonts w:hint="eastAsia" w:ascii="Times New Roman" w:hAnsi="Times New Roman" w:eastAsia="黑体" w:cs="Times New Roman"/>
          <w:bCs/>
          <w:kern w:val="44"/>
          <w:sz w:val="21"/>
          <w:szCs w:val="44"/>
          <w:lang w:val="en-US" w:eastAsia="zh-CN"/>
        </w:rPr>
        <w:t>不确定性分析</w:t>
      </w:r>
    </w:p>
    <w:p w14:paraId="785DF5FF">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产品碳足迹量化应进行不确定性分析，以评估碳足迹结果的可靠性和置信区间。不确定性分析应包括：</w:t>
      </w:r>
    </w:p>
    <w:p w14:paraId="68C7D480">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a）参数不确定性：评估输入数据（活动数据、排放因子、GWP值）的变异性和不确定度；</w:t>
      </w:r>
    </w:p>
    <w:p w14:paraId="7C0E5E94">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b）模型不确定性：评估系统边界设定、分配方法选择等模型假设对结果的影响；</w:t>
      </w:r>
    </w:p>
    <w:p w14:paraId="27B4C4C4">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c）传播不确定性：采用误差传播法或蒙特卡洛模拟方法计算不确定性在模型中的传播。</w:t>
      </w:r>
    </w:p>
    <w:p w14:paraId="2FF2D1E0">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不确定性分析应报告以下内容：</w:t>
      </w:r>
    </w:p>
    <w:p w14:paraId="25D7A9D6">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a）碳足迹结果的均值和标准差；</w:t>
      </w:r>
    </w:p>
    <w:p w14:paraId="4FD067FB">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b）95%置信区间；</w:t>
      </w:r>
    </w:p>
    <w:p w14:paraId="7B10193B">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c）对结果影响最大的不确定性来源排序；</w:t>
      </w:r>
    </w:p>
    <w:p w14:paraId="50E13CE9">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d）降低不确定性的建议措施。</w:t>
      </w:r>
    </w:p>
    <w:p w14:paraId="5AE9DABA">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不确定性分析的详细方法见附录G。</w:t>
      </w:r>
    </w:p>
    <w:p w14:paraId="05C64508">
      <w:pPr>
        <w:keepNext/>
        <w:keepLines/>
        <w:adjustRightInd w:val="0"/>
        <w:snapToGrid w:val="0"/>
        <w:spacing w:before="317" w:beforeLines="100" w:after="317" w:afterLines="100" w:line="360" w:lineRule="auto"/>
        <w:jc w:val="both"/>
        <w:outlineLvl w:val="0"/>
        <w:rPr>
          <w:rFonts w:hint="default" w:ascii="Times New Roman" w:hAnsi="Times New Roman" w:eastAsia="黑体" w:cs="Times New Roman"/>
          <w:bCs/>
          <w:kern w:val="44"/>
          <w:sz w:val="21"/>
          <w:szCs w:val="44"/>
          <w:lang w:eastAsia="zh-CN"/>
        </w:rPr>
      </w:pPr>
      <w:bookmarkStart w:id="75" w:name="_Toc19156"/>
      <w:r>
        <w:rPr>
          <w:rFonts w:hint="eastAsia" w:ascii="Times New Roman" w:hAnsi="Times New Roman" w:eastAsia="黑体" w:cs="Times New Roman"/>
          <w:bCs/>
          <w:kern w:val="44"/>
          <w:sz w:val="21"/>
          <w:szCs w:val="44"/>
          <w:lang w:val="en-US" w:eastAsia="zh-CN"/>
        </w:rPr>
        <w:t>8</w:t>
      </w:r>
      <w:r>
        <w:rPr>
          <w:rFonts w:hint="default" w:ascii="Times New Roman" w:hAnsi="Times New Roman" w:eastAsia="黑体" w:cs="Times New Roman"/>
          <w:bCs/>
          <w:kern w:val="44"/>
          <w:sz w:val="21"/>
          <w:szCs w:val="44"/>
          <w:lang w:eastAsia="zh-CN"/>
        </w:rPr>
        <w:t xml:space="preserve"> 结果解释</w:t>
      </w:r>
      <w:bookmarkEnd w:id="75"/>
    </w:p>
    <w:p w14:paraId="3487903A">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稀土系储氢合金材料产品碳足迹研究的生命周期结果解释阶段应包括以下步骤：</w:t>
      </w:r>
    </w:p>
    <w:p w14:paraId="5A9010C4">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a）根据生命周期清单分析和生命周期影响评价的稀土系储氢合金材料产品碳足迹的量化结果，识别显著环节（可包括生命周期阶段、单元过程或流）；</w:t>
      </w:r>
    </w:p>
    <w:p w14:paraId="05D53790">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b）完整性、一致性和敏感性分析的评估；</w:t>
      </w:r>
    </w:p>
    <w:p w14:paraId="5F762D0F">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c）结论、局限性和建议的编制。</w:t>
      </w:r>
    </w:p>
    <w:p w14:paraId="3FE01016">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按照产品碳足迹研究的目的和范围，对产品碳足迹的量化结果进行解释，解释应包括以下内容：</w:t>
      </w:r>
    </w:p>
    <w:p w14:paraId="5E202225">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a）说明产品碳足迹和各生命周期阶段的碳足迹；</w:t>
      </w:r>
    </w:p>
    <w:p w14:paraId="79FA9AB1">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b）分析不确定性，包括取舍准则的应用、上游数据的获取等；</w:t>
      </w:r>
    </w:p>
    <w:p w14:paraId="44010D46">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c）详细记录选定的分配程序；</w:t>
      </w:r>
    </w:p>
    <w:p w14:paraId="1F6A66C5">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d）说明产品碳足迹研究的局限性。</w:t>
      </w:r>
    </w:p>
    <w:p w14:paraId="701B3552">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结果解释宜包括以下内容：</w:t>
      </w:r>
    </w:p>
    <w:p w14:paraId="59C92DE4">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a）分析重要输入、输出和方法学选择（包括分配程序）的敏感性，以了解结果的敏感性和不确定性；</w:t>
      </w:r>
    </w:p>
    <w:p w14:paraId="04C9F7E5">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b）评估改进建议对结果的影响；</w:t>
      </w:r>
    </w:p>
    <w:p w14:paraId="38F29624">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c）针对关键排放环节提出减排改进建议。</w:t>
      </w:r>
    </w:p>
    <w:p w14:paraId="00CD298A">
      <w:pPr>
        <w:adjustRightInd w:val="0"/>
        <w:snapToGrid w:val="0"/>
        <w:spacing w:after="0" w:line="360" w:lineRule="auto"/>
        <w:ind w:firstLine="422" w:firstLineChars="200"/>
        <w:jc w:val="both"/>
        <w:rPr>
          <w:rFonts w:hint="default" w:ascii="Times New Roman" w:hAnsi="Times New Roman" w:eastAsia="宋体" w:cs="Times New Roman"/>
          <w:b/>
          <w:bCs/>
          <w:kern w:val="2"/>
          <w:sz w:val="21"/>
          <w:szCs w:val="21"/>
          <w:lang w:eastAsia="zh-CN"/>
        </w:rPr>
      </w:pPr>
      <w:r>
        <w:rPr>
          <w:rFonts w:hint="default" w:ascii="Times New Roman" w:hAnsi="Times New Roman" w:eastAsia="宋体" w:cs="Times New Roman"/>
          <w:b/>
          <w:bCs/>
          <w:kern w:val="2"/>
          <w:sz w:val="21"/>
          <w:szCs w:val="21"/>
          <w:lang w:eastAsia="zh-CN"/>
        </w:rPr>
        <w:t>注：根据行业实测数据分析，合金锭退火工序、镍/镧/钴等金属原料上游排放是影响稀土系储氢合金材料碳足迹的关键因素。降低电耗（尤其是退火工序电耗）、优化合金配方（如适当降低高碳排金属用量）、提高工序成材率是减少碳足迹的主要改进方向。</w:t>
      </w:r>
    </w:p>
    <w:p w14:paraId="1A04E19D">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eastAsia" w:ascii="Times New Roman" w:hAnsi="Times New Roman" w:eastAsia="黑体" w:cs="Times New Roman"/>
          <w:kern w:val="2"/>
          <w:sz w:val="21"/>
          <w:szCs w:val="24"/>
          <w:lang w:val="en-US" w:eastAsia="zh-CN"/>
        </w:rPr>
        <w:t>8.1</w:t>
      </w:r>
      <w:r>
        <w:rPr>
          <w:rFonts w:hint="default" w:ascii="Times New Roman" w:hAnsi="Times New Roman" w:eastAsia="黑体" w:cs="Times New Roman"/>
          <w:kern w:val="2"/>
          <w:sz w:val="21"/>
          <w:szCs w:val="24"/>
          <w:lang w:eastAsia="zh-CN"/>
        </w:rPr>
        <w:t xml:space="preserve"> </w:t>
      </w:r>
      <w:r>
        <w:rPr>
          <w:rFonts w:hint="eastAsia" w:ascii="Times New Roman" w:hAnsi="Times New Roman" w:eastAsia="黑体" w:cs="Times New Roman"/>
          <w:kern w:val="2"/>
          <w:sz w:val="21"/>
          <w:szCs w:val="24"/>
          <w:lang w:val="en-US" w:eastAsia="zh-CN"/>
        </w:rPr>
        <w:t>减排潜力评估</w:t>
      </w:r>
    </w:p>
    <w:p w14:paraId="22DD526C">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在完成碳足迹量化分析后，应对关键排放环节的减排潜力进行系统评估。减排潜力评估应包括：</w:t>
      </w:r>
    </w:p>
    <w:p w14:paraId="6582E188">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a）工序级减排潜力：对生产阶段各工序（C1～C6）分别计算理论减排空间和可实现减排空间；</w:t>
      </w:r>
    </w:p>
    <w:p w14:paraId="21F6BB98">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b）原材料替代减排潜力：评估使用低碳原材料（如低碳镍、再生稀土原料）替代现有原材料的减排效果；</w:t>
      </w:r>
    </w:p>
    <w:p w14:paraId="087A2DF1">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c）能源结构优化减排潜力：评估使用可再生能源电力替代电网电力的减排效果；</w:t>
      </w:r>
    </w:p>
    <w:p w14:paraId="67B13A49">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d）工艺改进减排潜力：评估采用先进生产工艺（如连续熔炼、低温退火等）的减排效果。</w:t>
      </w:r>
    </w:p>
    <w:p w14:paraId="32A8B989">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减排潜力计算方法：</w:t>
      </w:r>
    </w:p>
    <w:p w14:paraId="39421D21">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减排潜力＝（基准情景排放量－改进情景排放量）/基准情景排放量×100%</w:t>
      </w:r>
    </w:p>
    <w:p w14:paraId="4E869CF8">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减排潜力评估应区分理论最大潜力与技术可行潜力，并在报告中明确说明评估假设条件。减排潜力评估的详细方法见附录G。</w:t>
      </w:r>
    </w:p>
    <w:p w14:paraId="263E0585">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val="en-US" w:eastAsia="zh-CN"/>
        </w:rPr>
      </w:pPr>
      <w:r>
        <w:rPr>
          <w:rFonts w:hint="eastAsia" w:ascii="Times New Roman" w:hAnsi="Times New Roman" w:eastAsia="黑体" w:cs="Times New Roman"/>
          <w:kern w:val="2"/>
          <w:sz w:val="21"/>
          <w:szCs w:val="24"/>
          <w:lang w:val="en-US" w:eastAsia="zh-CN"/>
        </w:rPr>
        <w:t>8</w:t>
      </w:r>
      <w:r>
        <w:rPr>
          <w:rFonts w:hint="default" w:ascii="Times New Roman" w:hAnsi="Times New Roman" w:eastAsia="黑体" w:cs="Times New Roman"/>
          <w:kern w:val="2"/>
          <w:sz w:val="21"/>
          <w:szCs w:val="24"/>
          <w:lang w:eastAsia="zh-CN"/>
        </w:rPr>
        <w:t>.</w:t>
      </w:r>
      <w:r>
        <w:rPr>
          <w:rFonts w:hint="eastAsia" w:ascii="Times New Roman" w:hAnsi="Times New Roman" w:eastAsia="黑体" w:cs="Times New Roman"/>
          <w:kern w:val="2"/>
          <w:sz w:val="21"/>
          <w:szCs w:val="24"/>
          <w:lang w:val="en-US" w:eastAsia="zh-CN"/>
        </w:rPr>
        <w:t>2</w:t>
      </w:r>
      <w:r>
        <w:rPr>
          <w:rFonts w:hint="default" w:ascii="Times New Roman" w:hAnsi="Times New Roman" w:eastAsia="黑体" w:cs="Times New Roman"/>
          <w:kern w:val="2"/>
          <w:sz w:val="21"/>
          <w:szCs w:val="24"/>
          <w:lang w:eastAsia="zh-CN"/>
        </w:rPr>
        <w:t xml:space="preserve"> </w:t>
      </w:r>
      <w:r>
        <w:rPr>
          <w:rFonts w:hint="eastAsia" w:ascii="Times New Roman" w:hAnsi="Times New Roman" w:eastAsia="黑体" w:cs="Times New Roman"/>
          <w:kern w:val="2"/>
          <w:sz w:val="21"/>
          <w:szCs w:val="24"/>
          <w:lang w:val="en-US" w:eastAsia="zh-CN"/>
        </w:rPr>
        <w:t>行业基准对标</w:t>
      </w:r>
    </w:p>
    <w:p w14:paraId="03D10A20">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为评估企业碳足迹绩效水平，应进行行业基准对标分析。行业基准对标应包括：</w:t>
      </w:r>
    </w:p>
    <w:p w14:paraId="198EE4C0">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a）碳足迹基准值：依据行业代表性样本数据，按合金类型分别计算碳足迹基准值（P50）、先进值（P25）和落后值（P75）；</w:t>
      </w:r>
    </w:p>
    <w:p w14:paraId="08AD3556">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b）能效分级：根据单位产品综合能耗，将稀土系储氢合金生产企业划分为领先、先进、平均和落后四个等级；</w:t>
      </w:r>
    </w:p>
    <w:p w14:paraId="16CF63D5">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c）绿色制造评级：综合考虑碳足迹、能耗、资源利用效率等指标，按附录H的方法进行绿色制造评级。</w:t>
      </w:r>
    </w:p>
    <w:p w14:paraId="491BB6CA">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对标结果应在碳足迹报告中以图表形式呈现，并注明数据来源和统计口径。</w:t>
      </w:r>
    </w:p>
    <w:p w14:paraId="097AF337">
      <w:pPr>
        <w:adjustRightInd w:val="0"/>
        <w:snapToGrid w:val="0"/>
        <w:spacing w:after="0" w:line="360" w:lineRule="auto"/>
        <w:ind w:firstLine="420" w:firstLineChars="200"/>
        <w:jc w:val="both"/>
        <w:rPr>
          <w:rFonts w:hint="default" w:ascii="Times New Roman" w:hAnsi="Times New Roman" w:eastAsia="黑体" w:cs="Times New Roman"/>
          <w:kern w:val="2"/>
          <w:sz w:val="21"/>
          <w:szCs w:val="21"/>
          <w:lang w:eastAsia="zh-CN"/>
        </w:rPr>
      </w:pPr>
      <w:r>
        <w:rPr>
          <w:rFonts w:hint="default" w:ascii="Times New Roman" w:hAnsi="Times New Roman" w:eastAsia="宋体" w:cs="Times New Roman"/>
          <w:kern w:val="2"/>
          <w:sz w:val="21"/>
          <w:szCs w:val="21"/>
          <w:lang w:eastAsia="zh-CN"/>
        </w:rPr>
        <w:t>行业基准对标可参考稀土产地碳足迹核算报告及碳足迹数据。不同稀土金属单质在各产区的碳足迹值存在差异，基准值测算应结合产地特征进行修正。</w:t>
      </w:r>
    </w:p>
    <w:p w14:paraId="519B4EAE">
      <w:pPr>
        <w:keepNext/>
        <w:keepLines/>
        <w:adjustRightInd w:val="0"/>
        <w:snapToGrid w:val="0"/>
        <w:spacing w:before="317" w:beforeLines="100" w:after="317" w:afterLines="100" w:line="360" w:lineRule="auto"/>
        <w:jc w:val="both"/>
        <w:outlineLvl w:val="0"/>
        <w:rPr>
          <w:rFonts w:hint="default" w:ascii="Times New Roman" w:hAnsi="Times New Roman" w:eastAsia="黑体" w:cs="Times New Roman"/>
          <w:bCs/>
          <w:kern w:val="44"/>
          <w:sz w:val="21"/>
          <w:szCs w:val="44"/>
          <w:lang w:eastAsia="zh-CN"/>
        </w:rPr>
      </w:pPr>
      <w:bookmarkStart w:id="76" w:name="_Toc4034"/>
      <w:r>
        <w:rPr>
          <w:rFonts w:hint="eastAsia" w:ascii="Times New Roman" w:hAnsi="Times New Roman" w:eastAsia="黑体" w:cs="Times New Roman"/>
          <w:bCs/>
          <w:kern w:val="44"/>
          <w:sz w:val="21"/>
          <w:szCs w:val="44"/>
          <w:lang w:val="en-US" w:eastAsia="zh-CN"/>
        </w:rPr>
        <w:t>9</w:t>
      </w:r>
      <w:r>
        <w:rPr>
          <w:rFonts w:hint="default" w:ascii="Times New Roman" w:hAnsi="Times New Roman" w:eastAsia="黑体" w:cs="Times New Roman"/>
          <w:bCs/>
          <w:kern w:val="44"/>
          <w:sz w:val="21"/>
          <w:szCs w:val="44"/>
          <w:lang w:eastAsia="zh-CN"/>
        </w:rPr>
        <w:t xml:space="preserve"> 产品碳足迹报告</w:t>
      </w:r>
      <w:bookmarkEnd w:id="76"/>
    </w:p>
    <w:p w14:paraId="20AA9FE8">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产品碳足迹报告宜以报告、声明、证书和（或）标签的形式描述碳足迹量化结果，且应以声明单位的二氧化碳当量进行表述。若采用产品碳足迹证书和（或）产品碳足迹标签，宜同时出具产品碳足迹报告。依据本文件编制的产品碳足迹报告应符合GB/T 24067第9章的要求，报告模板可参考附录D。</w:t>
      </w:r>
    </w:p>
    <w:p w14:paraId="210542FF">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产品碳足迹披露应符合国家或地方法律法规及有关规定。</w:t>
      </w:r>
    </w:p>
    <w:p w14:paraId="04B18C5E">
      <w:pPr>
        <w:keepNext/>
        <w:keepLines/>
        <w:adjustRightInd w:val="0"/>
        <w:snapToGrid w:val="0"/>
        <w:spacing w:before="317" w:beforeLines="100" w:after="317" w:afterLines="100" w:line="360" w:lineRule="auto"/>
        <w:jc w:val="both"/>
        <w:outlineLvl w:val="0"/>
        <w:rPr>
          <w:rFonts w:hint="default" w:ascii="Times New Roman" w:hAnsi="Times New Roman" w:eastAsia="黑体" w:cs="Times New Roman"/>
          <w:bCs/>
          <w:kern w:val="44"/>
          <w:sz w:val="21"/>
          <w:szCs w:val="44"/>
          <w:lang w:eastAsia="zh-CN"/>
        </w:rPr>
      </w:pPr>
      <w:bookmarkStart w:id="77" w:name="_Toc9143"/>
      <w:r>
        <w:rPr>
          <w:rFonts w:hint="eastAsia" w:ascii="Times New Roman" w:hAnsi="Times New Roman" w:eastAsia="黑体" w:cs="Times New Roman"/>
          <w:bCs/>
          <w:kern w:val="44"/>
          <w:sz w:val="21"/>
          <w:szCs w:val="44"/>
          <w:lang w:val="en-US" w:eastAsia="zh-CN"/>
        </w:rPr>
        <w:t>10</w:t>
      </w:r>
      <w:r>
        <w:rPr>
          <w:rFonts w:hint="default" w:ascii="Times New Roman" w:hAnsi="Times New Roman" w:eastAsia="黑体" w:cs="Times New Roman"/>
          <w:bCs/>
          <w:kern w:val="44"/>
          <w:sz w:val="21"/>
          <w:szCs w:val="44"/>
          <w:lang w:eastAsia="zh-CN"/>
        </w:rPr>
        <w:t xml:space="preserve"> 产品碳足迹</w:t>
      </w:r>
      <w:r>
        <w:rPr>
          <w:rFonts w:hint="eastAsia" w:ascii="Times New Roman" w:hAnsi="Times New Roman" w:eastAsia="黑体" w:cs="Times New Roman"/>
          <w:bCs/>
          <w:kern w:val="44"/>
          <w:sz w:val="21"/>
          <w:szCs w:val="44"/>
          <w:lang w:val="en-US" w:eastAsia="zh-CN"/>
        </w:rPr>
        <w:t>声明</w:t>
      </w:r>
      <w:bookmarkEnd w:id="77"/>
    </w:p>
    <w:p w14:paraId="32777BEC">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如需进行产品碳足迹声明时，可按照GB/T 24025或ISO 14026的规定进行，相关声明可用于具有相同功能的不同产品之间的比较。</w:t>
      </w:r>
    </w:p>
    <w:p w14:paraId="717DC62B">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当碳足迹结果满足特定阈值要求时，可申请产品碳足迹绿色标签。绿色标签的申请应满足以下条件：</w:t>
      </w:r>
    </w:p>
    <w:p w14:paraId="138CE67E">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a）产品碳足迹值低于行业基准值的P50水平；</w:t>
      </w:r>
    </w:p>
    <w:p w14:paraId="0CBFFE2E">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b）已通过具有资质的第三方机构验证；</w:t>
      </w:r>
    </w:p>
    <w:p w14:paraId="72919235">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c）数据质量评价结果符合附录B的规定；</w:t>
      </w:r>
    </w:p>
    <w:p w14:paraId="04783FD7">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d）已建立有效的数据追溯和管理体系。</w:t>
      </w:r>
    </w:p>
    <w:p w14:paraId="376B96B5">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注：行业基准值是指基于行业代表性样本数据（样本量不少于10家），按附录H规定的方法，分合金类型计算得到的产品碳足迹基准值（P50）、先进值（P25）和落后值（P75）；行业基准值应每3年更新一次。</w:t>
      </w:r>
    </w:p>
    <w:p w14:paraId="220BDED0">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绿色标签的标注格式、使用规范和有效期管理应符合附录F的规定。</w:t>
      </w:r>
    </w:p>
    <w:p w14:paraId="7542C13B">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1ADC4DE1">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bookmarkStart w:id="78" w:name="_Toc12147"/>
      <w:bookmarkStart w:id="79" w:name="_Hlk131067526"/>
      <w:bookmarkStart w:id="80" w:name="_Toc29457"/>
      <w:bookmarkStart w:id="81" w:name="_Toc11457"/>
      <w:bookmarkStart w:id="82" w:name="_Toc27489"/>
      <w:bookmarkStart w:id="83" w:name="_Toc531265229"/>
      <w:bookmarkStart w:id="84" w:name="_Toc132113217"/>
    </w:p>
    <w:p w14:paraId="58364517">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02B22442">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24B68995">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31ADEEE7">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31B031AD">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3757DAB1">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28F21BAC">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16773397">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2338E44B">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545F2AC4">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201E75D1">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7AE9E50C">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660B6406">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6B2C835F">
      <w:pPr>
        <w:rPr>
          <w:rFonts w:hint="default" w:ascii="Times New Roman" w:hAnsi="Times New Roman" w:eastAsia="宋体" w:cs="Times New Roman"/>
          <w:kern w:val="2"/>
          <w:sz w:val="21"/>
          <w:szCs w:val="21"/>
          <w:lang w:eastAsia="zh-CN"/>
        </w:rPr>
        <w:sectPr>
          <w:headerReference r:id="rId14" w:type="default"/>
          <w:footerReference r:id="rId15" w:type="default"/>
          <w:pgSz w:w="11906" w:h="16838"/>
          <w:pgMar w:top="1800" w:right="1440" w:bottom="1440" w:left="1440" w:header="720" w:footer="720" w:gutter="0"/>
          <w:cols w:space="720" w:num="1"/>
        </w:sectPr>
      </w:pPr>
    </w:p>
    <w:p w14:paraId="1EC1A790">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bookmarkStart w:id="85" w:name="_Toc22283"/>
      <w:r>
        <w:rPr>
          <w:rFonts w:hint="default" w:ascii="Times New Roman" w:hAnsi="Times New Roman" w:eastAsia="黑体" w:cs="Times New Roman"/>
          <w:bCs/>
          <w:kern w:val="44"/>
          <w:sz w:val="21"/>
          <w:szCs w:val="44"/>
          <w:lang w:eastAsia="zh-CN"/>
        </w:rPr>
        <w:t>附录A</w:t>
      </w:r>
      <w:bookmarkEnd w:id="85"/>
    </w:p>
    <w:p w14:paraId="0C54B8F7">
      <w:pPr>
        <w:keepNext/>
        <w:keepLines/>
        <w:adjustRightInd w:val="0"/>
        <w:snapToGrid w:val="0"/>
        <w:spacing w:before="100" w:after="90" w:line="240" w:lineRule="auto"/>
        <w:jc w:val="center"/>
        <w:outlineLvl w:val="9"/>
        <w:rPr>
          <w:rFonts w:hint="default" w:ascii="Times New Roman" w:hAnsi="Times New Roman" w:eastAsia="黑体" w:cs="Times New Roman"/>
          <w:bCs/>
          <w:kern w:val="44"/>
          <w:sz w:val="21"/>
          <w:szCs w:val="44"/>
          <w:lang w:eastAsia="zh-CN"/>
        </w:rPr>
      </w:pPr>
      <w:r>
        <w:rPr>
          <w:rFonts w:hint="default" w:ascii="Times New Roman" w:hAnsi="Times New Roman" w:eastAsia="黑体" w:cs="Times New Roman"/>
          <w:bCs/>
          <w:kern w:val="44"/>
          <w:sz w:val="21"/>
          <w:szCs w:val="44"/>
          <w:lang w:eastAsia="zh-CN"/>
        </w:rPr>
        <w:t>（资料性）</w:t>
      </w:r>
    </w:p>
    <w:p w14:paraId="195F0CED">
      <w:pPr>
        <w:keepNext/>
        <w:keepLines/>
        <w:adjustRightInd w:val="0"/>
        <w:snapToGrid w:val="0"/>
        <w:spacing w:before="100" w:after="90" w:line="240" w:lineRule="auto"/>
        <w:jc w:val="center"/>
        <w:outlineLvl w:val="9"/>
        <w:rPr>
          <w:rFonts w:hint="default" w:ascii="Times New Roman" w:hAnsi="Times New Roman" w:eastAsia="黑体" w:cs="Times New Roman"/>
          <w:b/>
          <w:color w:val="1A5276"/>
          <w:sz w:val="32"/>
          <w:szCs w:val="22"/>
        </w:rPr>
      </w:pPr>
      <w:r>
        <w:rPr>
          <w:rFonts w:hint="default" w:ascii="Times New Roman" w:hAnsi="Times New Roman" w:eastAsia="黑体" w:cs="Times New Roman"/>
          <w:bCs/>
          <w:kern w:val="44"/>
          <w:sz w:val="21"/>
          <w:szCs w:val="44"/>
          <w:lang w:eastAsia="zh-CN"/>
        </w:rPr>
        <w:t>数据收集表</w:t>
      </w:r>
      <w:bookmarkStart w:id="86" w:name="_TA"/>
      <w:bookmarkEnd w:id="86"/>
    </w:p>
    <w:p w14:paraId="69EF5E4A">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eastAsia" w:ascii="Times New Roman" w:hAnsi="Times New Roman" w:eastAsia="宋体" w:cs="Times New Roman"/>
          <w:kern w:val="2"/>
          <w:sz w:val="21"/>
          <w:szCs w:val="21"/>
          <w:lang w:val="en-US" w:eastAsia="zh-CN"/>
        </w:rPr>
        <w:t>初级</w:t>
      </w:r>
      <w:r>
        <w:rPr>
          <w:rFonts w:hint="default" w:ascii="Times New Roman" w:hAnsi="Times New Roman" w:eastAsia="宋体" w:cs="Times New Roman"/>
          <w:kern w:val="2"/>
          <w:sz w:val="21"/>
          <w:szCs w:val="21"/>
        </w:rPr>
        <w:t>数据收集汇总表见表A.1。</w:t>
      </w:r>
    </w:p>
    <w:p w14:paraId="4E4DF89F">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p>
    <w:tbl>
      <w:tblPr>
        <w:tblStyle w:val="12"/>
        <w:tblpPr w:leftFromText="180" w:rightFromText="180" w:vertAnchor="text" w:horzAnchor="page" w:tblpX="1452" w:tblpY="337"/>
        <w:tblOverlap w:val="never"/>
        <w:tblW w:w="9062" w:type="dxa"/>
        <w:tblInd w:w="0" w:type="dxa"/>
        <w:tblBorders>
          <w:top w:val="none" w:color="1A5276" w:sz="12" w:space="0"/>
          <w:left w:val="none" w:color="auto" w:sz="0" w:space="0"/>
          <w:bottom w:val="none" w:color="1A5276" w:sz="12" w:space="0"/>
          <w:right w:val="none" w:color="auto" w:sz="0" w:space="0"/>
          <w:insideH w:val="none" w:color="D5D8DC" w:sz="4" w:space="0"/>
          <w:insideV w:val="none" w:color="auto" w:sz="0" w:space="0"/>
        </w:tblBorders>
        <w:tblLayout w:type="autofit"/>
        <w:tblCellMar>
          <w:top w:w="0" w:type="dxa"/>
          <w:left w:w="10" w:type="dxa"/>
          <w:bottom w:w="0" w:type="dxa"/>
          <w:right w:w="10" w:type="dxa"/>
        </w:tblCellMar>
      </w:tblPr>
      <w:tblGrid>
        <w:gridCol w:w="5088"/>
        <w:gridCol w:w="745"/>
        <w:gridCol w:w="712"/>
        <w:gridCol w:w="1118"/>
        <w:gridCol w:w="1399"/>
      </w:tblGrid>
      <w:tr w14:paraId="67776F64">
        <w:tblPrEx>
          <w:tblBorders>
            <w:top w:val="none" w:color="1A5276" w:sz="12" w:space="0"/>
            <w:left w:val="none" w:color="auto" w:sz="0" w:space="0"/>
            <w:bottom w:val="none" w:color="1A5276" w:sz="12" w:space="0"/>
            <w:right w:val="none" w:color="auto" w:sz="0" w:space="0"/>
            <w:insideH w:val="none" w:color="D5D8DC" w:sz="4" w:space="0"/>
            <w:insideV w:val="none" w:color="auto" w:sz="0" w:space="0"/>
          </w:tblBorders>
          <w:tblCellMar>
            <w:top w:w="0" w:type="dxa"/>
            <w:left w:w="10" w:type="dxa"/>
            <w:bottom w:w="0" w:type="dxa"/>
            <w:right w:w="10" w:type="dxa"/>
          </w:tblCellMar>
        </w:tblPrEx>
        <w:trPr>
          <w:trHeight w:val="0" w:hRule="atLeast"/>
          <w:tblHeader/>
        </w:trPr>
        <w:tc>
          <w:tcPr>
            <w:tcW w:w="5088" w:type="dxa"/>
            <w:tcBorders>
              <w:top w:val="single" w:color="000000" w:sz="12" w:space="0"/>
              <w:left w:val="nil"/>
              <w:bottom w:val="single" w:color="000000" w:sz="4" w:space="0"/>
              <w:right w:val="nil"/>
              <w:tl2br w:val="nil"/>
            </w:tcBorders>
            <w:shd w:val="clear" w:color="auto" w:fill="FFFFFF"/>
            <w:noWrap w:val="0"/>
            <w:tcMar>
              <w:top w:w="-1" w:type="dxa"/>
              <w:left w:w="-1" w:type="dxa"/>
              <w:bottom w:w="-1" w:type="dxa"/>
              <w:right w:w="-1" w:type="dxa"/>
            </w:tcMar>
            <w:vAlign w:val="center"/>
          </w:tcPr>
          <w:p w14:paraId="346A66BF">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r>
              <w:rPr>
                <w:rFonts w:hint="default" w:ascii="Times New Roman" w:hAnsi="Times New Roman" w:eastAsia="宋体" w:cs="Times New Roman"/>
                <w:b w:val="0"/>
                <w:bCs/>
                <w:color w:val="000000"/>
                <w:kern w:val="2"/>
                <w:sz w:val="21"/>
                <w:szCs w:val="21"/>
              </w:rPr>
              <w:t>项目</w:t>
            </w:r>
          </w:p>
        </w:tc>
        <w:tc>
          <w:tcPr>
            <w:tcW w:w="745" w:type="dxa"/>
            <w:tcBorders>
              <w:top w:val="single" w:color="000000" w:sz="12" w:space="0"/>
              <w:left w:val="nil"/>
              <w:bottom w:val="single" w:color="000000" w:sz="4" w:space="0"/>
              <w:right w:val="nil"/>
            </w:tcBorders>
            <w:shd w:val="clear" w:color="auto" w:fill="FFFFFF"/>
            <w:noWrap w:val="0"/>
            <w:tcMar>
              <w:top w:w="-1" w:type="dxa"/>
              <w:left w:w="-1" w:type="dxa"/>
              <w:bottom w:w="-1" w:type="dxa"/>
              <w:right w:w="-1" w:type="dxa"/>
            </w:tcMar>
            <w:vAlign w:val="center"/>
          </w:tcPr>
          <w:p w14:paraId="15FC6B4C">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r>
              <w:rPr>
                <w:rFonts w:hint="default" w:ascii="Times New Roman" w:hAnsi="Times New Roman" w:eastAsia="宋体" w:cs="Times New Roman"/>
                <w:b w:val="0"/>
                <w:bCs/>
                <w:color w:val="000000"/>
                <w:kern w:val="2"/>
                <w:sz w:val="21"/>
                <w:szCs w:val="21"/>
              </w:rPr>
              <w:t>数量</w:t>
            </w:r>
          </w:p>
        </w:tc>
        <w:tc>
          <w:tcPr>
            <w:tcW w:w="712" w:type="dxa"/>
            <w:tcBorders>
              <w:top w:val="single" w:color="000000" w:sz="12" w:space="0"/>
              <w:left w:val="nil"/>
              <w:bottom w:val="single" w:color="000000" w:sz="4" w:space="0"/>
              <w:right w:val="nil"/>
            </w:tcBorders>
            <w:shd w:val="clear" w:color="auto" w:fill="FFFFFF"/>
            <w:noWrap w:val="0"/>
            <w:tcMar>
              <w:top w:w="-1" w:type="dxa"/>
              <w:left w:w="-1" w:type="dxa"/>
              <w:bottom w:w="-1" w:type="dxa"/>
              <w:right w:w="-1" w:type="dxa"/>
            </w:tcMar>
            <w:vAlign w:val="center"/>
          </w:tcPr>
          <w:p w14:paraId="5C5EDD90">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r>
              <w:rPr>
                <w:rFonts w:hint="default" w:ascii="Times New Roman" w:hAnsi="Times New Roman" w:eastAsia="宋体" w:cs="Times New Roman"/>
                <w:b w:val="0"/>
                <w:bCs/>
                <w:color w:val="000000"/>
                <w:kern w:val="2"/>
                <w:sz w:val="21"/>
                <w:szCs w:val="21"/>
              </w:rPr>
              <w:t>单位</w:t>
            </w:r>
          </w:p>
        </w:tc>
        <w:tc>
          <w:tcPr>
            <w:tcW w:w="1118" w:type="dxa"/>
            <w:tcBorders>
              <w:top w:val="single" w:color="000000" w:sz="12" w:space="0"/>
              <w:left w:val="nil"/>
              <w:bottom w:val="single" w:color="000000" w:sz="4" w:space="0"/>
              <w:right w:val="nil"/>
            </w:tcBorders>
            <w:shd w:val="clear" w:color="auto" w:fill="FFFFFF"/>
            <w:noWrap w:val="0"/>
            <w:tcMar>
              <w:top w:w="-1" w:type="dxa"/>
              <w:left w:w="-1" w:type="dxa"/>
              <w:bottom w:w="-1" w:type="dxa"/>
              <w:right w:w="-1" w:type="dxa"/>
            </w:tcMar>
            <w:vAlign w:val="center"/>
          </w:tcPr>
          <w:p w14:paraId="5D523D6D">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r>
              <w:rPr>
                <w:rFonts w:hint="default" w:ascii="Times New Roman" w:hAnsi="Times New Roman" w:eastAsia="宋体" w:cs="Times New Roman"/>
                <w:b w:val="0"/>
                <w:bCs/>
                <w:color w:val="000000"/>
                <w:kern w:val="2"/>
                <w:sz w:val="21"/>
                <w:szCs w:val="21"/>
              </w:rPr>
              <w:t>数据来源</w:t>
            </w:r>
          </w:p>
        </w:tc>
        <w:tc>
          <w:tcPr>
            <w:tcW w:w="1399" w:type="dxa"/>
            <w:tcBorders>
              <w:top w:val="single" w:color="000000" w:sz="12" w:space="0"/>
              <w:left w:val="nil"/>
              <w:bottom w:val="single" w:color="000000" w:sz="4" w:space="0"/>
              <w:right w:val="nil"/>
            </w:tcBorders>
            <w:shd w:val="clear" w:color="auto" w:fill="FFFFFF"/>
            <w:noWrap w:val="0"/>
            <w:tcMar>
              <w:top w:w="-1" w:type="dxa"/>
              <w:left w:w="-1" w:type="dxa"/>
              <w:bottom w:w="-1" w:type="dxa"/>
              <w:right w:w="-1" w:type="dxa"/>
            </w:tcMar>
            <w:vAlign w:val="center"/>
          </w:tcPr>
          <w:p w14:paraId="77EA27DA">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r>
              <w:rPr>
                <w:rFonts w:hint="default" w:ascii="Times New Roman" w:hAnsi="Times New Roman" w:eastAsia="宋体" w:cs="Times New Roman"/>
                <w:b w:val="0"/>
                <w:bCs/>
                <w:color w:val="000000"/>
                <w:kern w:val="2"/>
                <w:sz w:val="21"/>
                <w:szCs w:val="21"/>
              </w:rPr>
              <w:t>备注</w:t>
            </w:r>
          </w:p>
        </w:tc>
      </w:tr>
      <w:tr w14:paraId="4798E164">
        <w:tblPrEx>
          <w:tblBorders>
            <w:top w:val="none" w:color="1A5276" w:sz="12" w:space="0"/>
            <w:left w:val="none" w:color="auto" w:sz="0" w:space="0"/>
            <w:bottom w:val="none" w:color="1A5276" w:sz="12" w:space="0"/>
            <w:right w:val="none" w:color="auto" w:sz="0" w:space="0"/>
            <w:insideH w:val="none" w:color="D5D8DC" w:sz="4" w:space="0"/>
            <w:insideV w:val="none" w:color="auto" w:sz="0" w:space="0"/>
          </w:tblBorders>
          <w:tblCellMar>
            <w:top w:w="0" w:type="dxa"/>
            <w:left w:w="10" w:type="dxa"/>
            <w:bottom w:w="0" w:type="dxa"/>
            <w:right w:w="10" w:type="dxa"/>
          </w:tblCellMar>
        </w:tblPrEx>
        <w:trPr>
          <w:trHeight w:val="0" w:hRule="atLeast"/>
        </w:trPr>
        <w:tc>
          <w:tcPr>
            <w:tcW w:w="5088" w:type="dxa"/>
            <w:tcBorders>
              <w:top w:val="single" w:color="000000" w:sz="4" w:space="0"/>
              <w:left w:val="nil"/>
              <w:bottom w:val="nil"/>
              <w:right w:val="nil"/>
            </w:tcBorders>
            <w:shd w:val="clear" w:color="auto" w:fill="FFFFFF"/>
            <w:noWrap w:val="0"/>
            <w:tcMar>
              <w:top w:w="-1" w:type="dxa"/>
              <w:left w:w="-1" w:type="dxa"/>
              <w:bottom w:w="-1" w:type="dxa"/>
              <w:right w:w="-1" w:type="dxa"/>
            </w:tcMar>
            <w:vAlign w:val="center"/>
          </w:tcPr>
          <w:p w14:paraId="142C2C31">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color w:val="000000"/>
                <w:kern w:val="2"/>
                <w:sz w:val="21"/>
                <w:szCs w:val="21"/>
                <w:lang w:val="en-US" w:eastAsia="en-US"/>
              </w:rPr>
            </w:pPr>
            <w:r>
              <w:rPr>
                <w:rFonts w:hint="default" w:ascii="Times New Roman" w:hAnsi="Times New Roman" w:eastAsia="宋体" w:cs="Times New Roman"/>
                <w:b w:val="0"/>
                <w:color w:val="000000"/>
                <w:kern w:val="2"/>
                <w:sz w:val="21"/>
                <w:szCs w:val="21"/>
                <w:lang w:eastAsia="zh-CN"/>
              </w:rPr>
              <w:t>物料输入（各类金属原料、辅助材料等）</w:t>
            </w:r>
          </w:p>
        </w:tc>
        <w:tc>
          <w:tcPr>
            <w:tcW w:w="745" w:type="dxa"/>
            <w:tcBorders>
              <w:top w:val="single" w:color="000000" w:sz="4" w:space="0"/>
              <w:left w:val="nil"/>
              <w:bottom w:val="nil"/>
              <w:right w:val="nil"/>
            </w:tcBorders>
            <w:shd w:val="clear" w:color="auto" w:fill="FFFFFF"/>
            <w:noWrap w:val="0"/>
            <w:tcMar>
              <w:top w:w="-1" w:type="dxa"/>
              <w:left w:w="-1" w:type="dxa"/>
              <w:bottom w:w="-1" w:type="dxa"/>
              <w:right w:w="-1" w:type="dxa"/>
            </w:tcMar>
            <w:vAlign w:val="center"/>
          </w:tcPr>
          <w:p w14:paraId="361A71AC">
            <w:pPr>
              <w:adjustRightInd w:val="0"/>
              <w:snapToGrid w:val="0"/>
              <w:spacing w:after="0" w:line="240" w:lineRule="auto"/>
              <w:ind w:left="0" w:leftChars="0" w:right="0" w:rightChars="0" w:firstLine="0" w:firstLineChars="0"/>
              <w:jc w:val="left"/>
              <w:rPr>
                <w:rFonts w:hint="default" w:ascii="Times New Roman" w:hAnsi="Times New Roman" w:eastAsia="宋体" w:cs="Times New Roman"/>
                <w:b w:val="0"/>
                <w:color w:val="000000"/>
                <w:kern w:val="2"/>
                <w:sz w:val="21"/>
                <w:szCs w:val="21"/>
              </w:rPr>
            </w:pPr>
          </w:p>
        </w:tc>
        <w:tc>
          <w:tcPr>
            <w:tcW w:w="712" w:type="dxa"/>
            <w:tcBorders>
              <w:top w:val="single" w:color="000000" w:sz="4" w:space="0"/>
              <w:left w:val="nil"/>
              <w:bottom w:val="nil"/>
              <w:right w:val="nil"/>
            </w:tcBorders>
            <w:shd w:val="clear" w:color="auto" w:fill="FFFFFF"/>
            <w:noWrap w:val="0"/>
            <w:tcMar>
              <w:top w:w="-1" w:type="dxa"/>
              <w:left w:w="-1" w:type="dxa"/>
              <w:bottom w:w="-1" w:type="dxa"/>
              <w:right w:w="-1" w:type="dxa"/>
            </w:tcMar>
            <w:vAlign w:val="center"/>
          </w:tcPr>
          <w:p w14:paraId="585847BF">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color w:val="000000"/>
                <w:kern w:val="2"/>
                <w:sz w:val="21"/>
                <w:szCs w:val="21"/>
              </w:rPr>
            </w:pPr>
          </w:p>
        </w:tc>
        <w:tc>
          <w:tcPr>
            <w:tcW w:w="1118" w:type="dxa"/>
            <w:tcBorders>
              <w:top w:val="single" w:color="000000" w:sz="4" w:space="0"/>
              <w:left w:val="nil"/>
              <w:bottom w:val="nil"/>
              <w:right w:val="nil"/>
            </w:tcBorders>
            <w:shd w:val="clear" w:color="auto" w:fill="FFFFFF"/>
            <w:noWrap w:val="0"/>
            <w:tcMar>
              <w:top w:w="-1" w:type="dxa"/>
              <w:left w:w="-1" w:type="dxa"/>
              <w:bottom w:w="-1" w:type="dxa"/>
              <w:right w:w="-1" w:type="dxa"/>
            </w:tcMar>
            <w:vAlign w:val="center"/>
          </w:tcPr>
          <w:p w14:paraId="1C784022">
            <w:pPr>
              <w:adjustRightInd w:val="0"/>
              <w:snapToGrid w:val="0"/>
              <w:spacing w:after="0" w:line="240" w:lineRule="auto"/>
              <w:ind w:left="0" w:leftChars="0" w:right="0" w:rightChars="0" w:firstLine="0" w:firstLineChars="0"/>
              <w:jc w:val="left"/>
              <w:rPr>
                <w:rFonts w:hint="default" w:ascii="Times New Roman" w:hAnsi="Times New Roman" w:eastAsia="宋体" w:cs="Times New Roman"/>
                <w:b w:val="0"/>
                <w:color w:val="000000"/>
                <w:kern w:val="2"/>
                <w:sz w:val="21"/>
                <w:szCs w:val="21"/>
              </w:rPr>
            </w:pPr>
          </w:p>
        </w:tc>
        <w:tc>
          <w:tcPr>
            <w:tcW w:w="1399" w:type="dxa"/>
            <w:tcBorders>
              <w:top w:val="single" w:color="000000" w:sz="4" w:space="0"/>
              <w:left w:val="nil"/>
              <w:bottom w:val="nil"/>
              <w:right w:val="nil"/>
            </w:tcBorders>
            <w:shd w:val="clear" w:color="auto" w:fill="FFFFFF"/>
            <w:noWrap w:val="0"/>
            <w:tcMar>
              <w:top w:w="-1" w:type="dxa"/>
              <w:left w:w="-1" w:type="dxa"/>
              <w:bottom w:w="-1" w:type="dxa"/>
              <w:right w:w="-1" w:type="dxa"/>
            </w:tcMar>
            <w:vAlign w:val="center"/>
          </w:tcPr>
          <w:p w14:paraId="15DD56FC">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color w:val="000000"/>
                <w:kern w:val="2"/>
                <w:sz w:val="21"/>
                <w:szCs w:val="21"/>
              </w:rPr>
            </w:pPr>
          </w:p>
        </w:tc>
      </w:tr>
      <w:tr w14:paraId="43AE4F93">
        <w:tblPrEx>
          <w:tblBorders>
            <w:top w:val="none" w:color="1A5276" w:sz="12" w:space="0"/>
            <w:left w:val="none" w:color="auto" w:sz="0" w:space="0"/>
            <w:bottom w:val="none" w:color="1A5276" w:sz="12" w:space="0"/>
            <w:right w:val="none" w:color="auto" w:sz="0" w:space="0"/>
            <w:insideH w:val="none" w:color="D5D8DC" w:sz="4" w:space="0"/>
            <w:insideV w:val="none" w:color="auto" w:sz="0" w:space="0"/>
          </w:tblBorders>
          <w:tblCellMar>
            <w:top w:w="0" w:type="dxa"/>
            <w:left w:w="10" w:type="dxa"/>
            <w:bottom w:w="0" w:type="dxa"/>
            <w:right w:w="10" w:type="dxa"/>
          </w:tblCellMar>
        </w:tblPrEx>
        <w:trPr>
          <w:trHeight w:val="0" w:hRule="atLeast"/>
        </w:trPr>
        <w:tc>
          <w:tcPr>
            <w:tcW w:w="5088" w:type="dxa"/>
            <w:tcBorders>
              <w:top w:val="nil"/>
              <w:left w:val="nil"/>
              <w:bottom w:val="nil"/>
              <w:right w:val="nil"/>
            </w:tcBorders>
            <w:shd w:val="clear" w:color="auto" w:fill="FFFFFF"/>
            <w:noWrap w:val="0"/>
            <w:tcMar>
              <w:top w:w="-1" w:type="dxa"/>
              <w:left w:w="-1" w:type="dxa"/>
              <w:bottom w:w="-1" w:type="dxa"/>
              <w:right w:w="-1" w:type="dxa"/>
            </w:tcMar>
            <w:vAlign w:val="center"/>
          </w:tcPr>
          <w:p w14:paraId="0C7D5709">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color w:val="000000"/>
                <w:kern w:val="2"/>
                <w:sz w:val="21"/>
                <w:szCs w:val="21"/>
                <w:lang w:val="en-US" w:eastAsia="en-US"/>
              </w:rPr>
            </w:pPr>
            <w:r>
              <w:rPr>
                <w:rFonts w:hint="default" w:ascii="Times New Roman" w:hAnsi="Times New Roman" w:eastAsia="宋体" w:cs="Times New Roman"/>
                <w:b w:val="0"/>
                <w:color w:val="000000"/>
                <w:kern w:val="2"/>
                <w:sz w:val="21"/>
                <w:szCs w:val="21"/>
                <w:lang w:eastAsia="zh-CN"/>
              </w:rPr>
              <w:t>能源输入（电力、天然气、燃料等）</w:t>
            </w:r>
          </w:p>
        </w:tc>
        <w:tc>
          <w:tcPr>
            <w:tcW w:w="745" w:type="dxa"/>
            <w:tcBorders>
              <w:top w:val="nil"/>
              <w:left w:val="nil"/>
              <w:bottom w:val="nil"/>
              <w:right w:val="nil"/>
            </w:tcBorders>
            <w:shd w:val="clear" w:color="auto" w:fill="FFFFFF"/>
            <w:noWrap w:val="0"/>
            <w:tcMar>
              <w:top w:w="-1" w:type="dxa"/>
              <w:left w:w="-1" w:type="dxa"/>
              <w:bottom w:w="-1" w:type="dxa"/>
              <w:right w:w="-1" w:type="dxa"/>
            </w:tcMar>
            <w:vAlign w:val="center"/>
          </w:tcPr>
          <w:p w14:paraId="30002132">
            <w:pPr>
              <w:adjustRightInd w:val="0"/>
              <w:snapToGrid w:val="0"/>
              <w:spacing w:after="0" w:line="240" w:lineRule="auto"/>
              <w:ind w:left="0" w:leftChars="0" w:right="0" w:rightChars="0" w:firstLine="0" w:firstLineChars="0"/>
              <w:jc w:val="left"/>
              <w:rPr>
                <w:rFonts w:hint="default" w:ascii="Times New Roman" w:hAnsi="Times New Roman" w:eastAsia="宋体" w:cs="Times New Roman"/>
                <w:b w:val="0"/>
                <w:color w:val="000000"/>
                <w:kern w:val="2"/>
                <w:sz w:val="21"/>
                <w:szCs w:val="21"/>
              </w:rPr>
            </w:pPr>
          </w:p>
        </w:tc>
        <w:tc>
          <w:tcPr>
            <w:tcW w:w="712" w:type="dxa"/>
            <w:tcBorders>
              <w:top w:val="nil"/>
              <w:left w:val="nil"/>
              <w:bottom w:val="nil"/>
              <w:right w:val="nil"/>
            </w:tcBorders>
            <w:shd w:val="clear" w:color="auto" w:fill="FFFFFF"/>
            <w:noWrap w:val="0"/>
            <w:tcMar>
              <w:top w:w="-1" w:type="dxa"/>
              <w:left w:w="-1" w:type="dxa"/>
              <w:bottom w:w="-1" w:type="dxa"/>
              <w:right w:w="-1" w:type="dxa"/>
            </w:tcMar>
            <w:vAlign w:val="center"/>
          </w:tcPr>
          <w:p w14:paraId="0F9D4393">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color w:val="000000"/>
                <w:kern w:val="2"/>
                <w:sz w:val="21"/>
                <w:szCs w:val="21"/>
              </w:rPr>
            </w:pPr>
          </w:p>
        </w:tc>
        <w:tc>
          <w:tcPr>
            <w:tcW w:w="1118" w:type="dxa"/>
            <w:tcBorders>
              <w:top w:val="nil"/>
              <w:left w:val="nil"/>
              <w:bottom w:val="nil"/>
              <w:right w:val="nil"/>
            </w:tcBorders>
            <w:shd w:val="clear" w:color="auto" w:fill="FFFFFF"/>
            <w:noWrap w:val="0"/>
            <w:tcMar>
              <w:top w:w="-1" w:type="dxa"/>
              <w:left w:w="-1" w:type="dxa"/>
              <w:bottom w:w="-1" w:type="dxa"/>
              <w:right w:w="-1" w:type="dxa"/>
            </w:tcMar>
            <w:vAlign w:val="center"/>
          </w:tcPr>
          <w:p w14:paraId="57042A8F">
            <w:pPr>
              <w:adjustRightInd w:val="0"/>
              <w:snapToGrid w:val="0"/>
              <w:spacing w:after="0" w:line="240" w:lineRule="auto"/>
              <w:ind w:left="0" w:leftChars="0" w:right="0" w:rightChars="0" w:firstLine="0" w:firstLineChars="0"/>
              <w:jc w:val="left"/>
              <w:rPr>
                <w:rFonts w:hint="default" w:ascii="Times New Roman" w:hAnsi="Times New Roman" w:eastAsia="宋体" w:cs="Times New Roman"/>
                <w:b w:val="0"/>
                <w:color w:val="000000"/>
                <w:kern w:val="2"/>
                <w:sz w:val="21"/>
                <w:szCs w:val="21"/>
              </w:rPr>
            </w:pPr>
          </w:p>
        </w:tc>
        <w:tc>
          <w:tcPr>
            <w:tcW w:w="1399" w:type="dxa"/>
            <w:tcBorders>
              <w:top w:val="nil"/>
              <w:left w:val="nil"/>
              <w:bottom w:val="nil"/>
              <w:right w:val="nil"/>
            </w:tcBorders>
            <w:shd w:val="clear" w:color="auto" w:fill="FFFFFF"/>
            <w:noWrap w:val="0"/>
            <w:tcMar>
              <w:top w:w="-1" w:type="dxa"/>
              <w:left w:w="-1" w:type="dxa"/>
              <w:bottom w:w="-1" w:type="dxa"/>
              <w:right w:w="-1" w:type="dxa"/>
            </w:tcMar>
            <w:vAlign w:val="center"/>
          </w:tcPr>
          <w:p w14:paraId="22E58C6C">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color w:val="000000"/>
                <w:kern w:val="2"/>
                <w:sz w:val="21"/>
                <w:szCs w:val="21"/>
              </w:rPr>
            </w:pPr>
          </w:p>
        </w:tc>
      </w:tr>
      <w:tr w14:paraId="0A7F090B">
        <w:tblPrEx>
          <w:tblBorders>
            <w:top w:val="none" w:color="1A5276" w:sz="12" w:space="0"/>
            <w:left w:val="none" w:color="auto" w:sz="0" w:space="0"/>
            <w:bottom w:val="none" w:color="1A5276" w:sz="12" w:space="0"/>
            <w:right w:val="none" w:color="auto" w:sz="0" w:space="0"/>
            <w:insideH w:val="none" w:color="D5D8DC" w:sz="4" w:space="0"/>
            <w:insideV w:val="none" w:color="auto" w:sz="0" w:space="0"/>
          </w:tblBorders>
          <w:tblCellMar>
            <w:top w:w="0" w:type="dxa"/>
            <w:left w:w="10" w:type="dxa"/>
            <w:bottom w:w="0" w:type="dxa"/>
            <w:right w:w="10" w:type="dxa"/>
          </w:tblCellMar>
        </w:tblPrEx>
        <w:trPr>
          <w:trHeight w:val="0" w:hRule="atLeast"/>
        </w:trPr>
        <w:tc>
          <w:tcPr>
            <w:tcW w:w="5088" w:type="dxa"/>
            <w:tcBorders>
              <w:top w:val="nil"/>
              <w:left w:val="nil"/>
              <w:bottom w:val="nil"/>
              <w:right w:val="nil"/>
            </w:tcBorders>
            <w:shd w:val="clear" w:color="auto" w:fill="FFFFFF"/>
            <w:noWrap w:val="0"/>
            <w:tcMar>
              <w:top w:w="-1" w:type="dxa"/>
              <w:left w:w="-1" w:type="dxa"/>
              <w:bottom w:w="-1" w:type="dxa"/>
              <w:right w:w="-1" w:type="dxa"/>
            </w:tcMar>
            <w:vAlign w:val="center"/>
          </w:tcPr>
          <w:p w14:paraId="6B5875EB">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color w:val="000000"/>
                <w:kern w:val="2"/>
                <w:sz w:val="21"/>
                <w:szCs w:val="21"/>
                <w:lang w:val="en-US" w:eastAsia="en-US"/>
              </w:rPr>
            </w:pPr>
            <w:r>
              <w:rPr>
                <w:rFonts w:hint="default" w:ascii="Times New Roman" w:hAnsi="Times New Roman" w:eastAsia="宋体" w:cs="Times New Roman"/>
                <w:b w:val="0"/>
                <w:color w:val="000000"/>
                <w:kern w:val="2"/>
                <w:sz w:val="21"/>
                <w:szCs w:val="21"/>
                <w:lang w:eastAsia="zh-CN"/>
              </w:rPr>
              <w:t>产品输出（产品产量、回炉料、不合格品等）</w:t>
            </w:r>
          </w:p>
        </w:tc>
        <w:tc>
          <w:tcPr>
            <w:tcW w:w="745" w:type="dxa"/>
            <w:tcBorders>
              <w:top w:val="nil"/>
              <w:left w:val="nil"/>
              <w:bottom w:val="nil"/>
              <w:right w:val="nil"/>
            </w:tcBorders>
            <w:shd w:val="clear" w:color="auto" w:fill="FFFFFF"/>
            <w:noWrap w:val="0"/>
            <w:tcMar>
              <w:top w:w="-1" w:type="dxa"/>
              <w:left w:w="-1" w:type="dxa"/>
              <w:bottom w:w="-1" w:type="dxa"/>
              <w:right w:w="-1" w:type="dxa"/>
            </w:tcMar>
            <w:vAlign w:val="center"/>
          </w:tcPr>
          <w:p w14:paraId="1F5085A0">
            <w:pPr>
              <w:adjustRightInd w:val="0"/>
              <w:snapToGrid w:val="0"/>
              <w:spacing w:after="0" w:line="240" w:lineRule="auto"/>
              <w:ind w:left="0" w:leftChars="0" w:right="0" w:rightChars="0" w:firstLine="0" w:firstLineChars="0"/>
              <w:jc w:val="left"/>
              <w:rPr>
                <w:rFonts w:hint="default" w:ascii="Times New Roman" w:hAnsi="Times New Roman" w:eastAsia="宋体" w:cs="Times New Roman"/>
                <w:b w:val="0"/>
                <w:color w:val="000000"/>
                <w:kern w:val="2"/>
                <w:sz w:val="21"/>
                <w:szCs w:val="21"/>
              </w:rPr>
            </w:pPr>
          </w:p>
        </w:tc>
        <w:tc>
          <w:tcPr>
            <w:tcW w:w="712" w:type="dxa"/>
            <w:tcBorders>
              <w:top w:val="nil"/>
              <w:left w:val="nil"/>
              <w:bottom w:val="nil"/>
              <w:right w:val="nil"/>
            </w:tcBorders>
            <w:shd w:val="clear" w:color="auto" w:fill="FFFFFF"/>
            <w:noWrap w:val="0"/>
            <w:tcMar>
              <w:top w:w="-1" w:type="dxa"/>
              <w:left w:w="-1" w:type="dxa"/>
              <w:bottom w:w="-1" w:type="dxa"/>
              <w:right w:w="-1" w:type="dxa"/>
            </w:tcMar>
            <w:vAlign w:val="center"/>
          </w:tcPr>
          <w:p w14:paraId="7186A97A">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color w:val="000000"/>
                <w:kern w:val="2"/>
                <w:sz w:val="21"/>
                <w:szCs w:val="21"/>
              </w:rPr>
            </w:pPr>
          </w:p>
        </w:tc>
        <w:tc>
          <w:tcPr>
            <w:tcW w:w="1118" w:type="dxa"/>
            <w:tcBorders>
              <w:top w:val="nil"/>
              <w:left w:val="nil"/>
              <w:bottom w:val="nil"/>
              <w:right w:val="nil"/>
            </w:tcBorders>
            <w:shd w:val="clear" w:color="auto" w:fill="FFFFFF"/>
            <w:noWrap w:val="0"/>
            <w:tcMar>
              <w:top w:w="-1" w:type="dxa"/>
              <w:left w:w="-1" w:type="dxa"/>
              <w:bottom w:w="-1" w:type="dxa"/>
              <w:right w:w="-1" w:type="dxa"/>
            </w:tcMar>
            <w:vAlign w:val="center"/>
          </w:tcPr>
          <w:p w14:paraId="06CA760D">
            <w:pPr>
              <w:adjustRightInd w:val="0"/>
              <w:snapToGrid w:val="0"/>
              <w:spacing w:after="0" w:line="240" w:lineRule="auto"/>
              <w:ind w:left="0" w:leftChars="0" w:right="0" w:rightChars="0" w:firstLine="0" w:firstLineChars="0"/>
              <w:jc w:val="left"/>
              <w:rPr>
                <w:rFonts w:hint="default" w:ascii="Times New Roman" w:hAnsi="Times New Roman" w:eastAsia="宋体" w:cs="Times New Roman"/>
                <w:b w:val="0"/>
                <w:color w:val="000000"/>
                <w:kern w:val="2"/>
                <w:sz w:val="21"/>
                <w:szCs w:val="21"/>
              </w:rPr>
            </w:pPr>
          </w:p>
        </w:tc>
        <w:tc>
          <w:tcPr>
            <w:tcW w:w="1399" w:type="dxa"/>
            <w:tcBorders>
              <w:top w:val="nil"/>
              <w:left w:val="nil"/>
              <w:bottom w:val="nil"/>
              <w:right w:val="nil"/>
            </w:tcBorders>
            <w:shd w:val="clear" w:color="auto" w:fill="FFFFFF"/>
            <w:noWrap w:val="0"/>
            <w:tcMar>
              <w:top w:w="-1" w:type="dxa"/>
              <w:left w:w="-1" w:type="dxa"/>
              <w:bottom w:w="-1" w:type="dxa"/>
              <w:right w:w="-1" w:type="dxa"/>
            </w:tcMar>
            <w:vAlign w:val="center"/>
          </w:tcPr>
          <w:p w14:paraId="670E363C">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color w:val="000000"/>
                <w:kern w:val="2"/>
                <w:sz w:val="21"/>
                <w:szCs w:val="21"/>
              </w:rPr>
            </w:pPr>
          </w:p>
        </w:tc>
      </w:tr>
      <w:tr w14:paraId="27034FD8">
        <w:tblPrEx>
          <w:tblBorders>
            <w:top w:val="none" w:color="1A5276" w:sz="12" w:space="0"/>
            <w:left w:val="none" w:color="auto" w:sz="0" w:space="0"/>
            <w:bottom w:val="none" w:color="1A5276" w:sz="12" w:space="0"/>
            <w:right w:val="none" w:color="auto" w:sz="0" w:space="0"/>
            <w:insideH w:val="none" w:color="D5D8DC" w:sz="4" w:space="0"/>
            <w:insideV w:val="none" w:color="auto" w:sz="0" w:space="0"/>
          </w:tblBorders>
          <w:tblCellMar>
            <w:top w:w="0" w:type="dxa"/>
            <w:left w:w="10" w:type="dxa"/>
            <w:bottom w:w="0" w:type="dxa"/>
            <w:right w:w="10" w:type="dxa"/>
          </w:tblCellMar>
        </w:tblPrEx>
        <w:trPr>
          <w:trHeight w:val="0" w:hRule="atLeast"/>
        </w:trPr>
        <w:tc>
          <w:tcPr>
            <w:tcW w:w="5088" w:type="dxa"/>
            <w:tcBorders>
              <w:top w:val="nil"/>
              <w:left w:val="nil"/>
              <w:bottom w:val="nil"/>
              <w:right w:val="nil"/>
            </w:tcBorders>
            <w:shd w:val="clear" w:color="auto" w:fill="FFFFFF"/>
            <w:noWrap w:val="0"/>
            <w:tcMar>
              <w:top w:w="-1" w:type="dxa"/>
              <w:left w:w="-1" w:type="dxa"/>
              <w:bottom w:w="-1" w:type="dxa"/>
              <w:right w:w="-1" w:type="dxa"/>
            </w:tcMar>
            <w:vAlign w:val="center"/>
          </w:tcPr>
          <w:p w14:paraId="49DE89CB">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color w:val="000000"/>
                <w:kern w:val="2"/>
                <w:sz w:val="21"/>
                <w:szCs w:val="21"/>
                <w:lang w:val="en-US" w:eastAsia="en-US"/>
              </w:rPr>
            </w:pPr>
            <w:r>
              <w:rPr>
                <w:rFonts w:hint="default" w:ascii="Times New Roman" w:hAnsi="Times New Roman" w:eastAsia="宋体" w:cs="Times New Roman"/>
                <w:b w:val="0"/>
                <w:color w:val="000000"/>
                <w:kern w:val="2"/>
                <w:sz w:val="21"/>
                <w:szCs w:val="21"/>
                <w:lang w:eastAsia="zh-CN"/>
              </w:rPr>
              <w:t>废弃物输出（炉渣、超细粉、粉尘等）</w:t>
            </w:r>
          </w:p>
        </w:tc>
        <w:tc>
          <w:tcPr>
            <w:tcW w:w="745" w:type="dxa"/>
            <w:tcBorders>
              <w:top w:val="nil"/>
              <w:left w:val="nil"/>
              <w:bottom w:val="nil"/>
              <w:right w:val="nil"/>
            </w:tcBorders>
            <w:shd w:val="clear" w:color="auto" w:fill="FFFFFF"/>
            <w:noWrap w:val="0"/>
            <w:tcMar>
              <w:top w:w="-1" w:type="dxa"/>
              <w:left w:w="-1" w:type="dxa"/>
              <w:bottom w:w="-1" w:type="dxa"/>
              <w:right w:w="-1" w:type="dxa"/>
            </w:tcMar>
            <w:vAlign w:val="center"/>
          </w:tcPr>
          <w:p w14:paraId="393AFAE6">
            <w:pPr>
              <w:adjustRightInd w:val="0"/>
              <w:snapToGrid w:val="0"/>
              <w:spacing w:after="0" w:line="240" w:lineRule="auto"/>
              <w:ind w:left="0" w:leftChars="0" w:right="0" w:rightChars="0" w:firstLine="0" w:firstLineChars="0"/>
              <w:jc w:val="left"/>
              <w:rPr>
                <w:rFonts w:hint="default" w:ascii="Times New Roman" w:hAnsi="Times New Roman" w:eastAsia="宋体" w:cs="Times New Roman"/>
                <w:b w:val="0"/>
                <w:color w:val="000000"/>
                <w:kern w:val="2"/>
                <w:sz w:val="21"/>
                <w:szCs w:val="21"/>
              </w:rPr>
            </w:pPr>
          </w:p>
        </w:tc>
        <w:tc>
          <w:tcPr>
            <w:tcW w:w="712" w:type="dxa"/>
            <w:tcBorders>
              <w:top w:val="nil"/>
              <w:left w:val="nil"/>
              <w:bottom w:val="nil"/>
              <w:right w:val="nil"/>
            </w:tcBorders>
            <w:shd w:val="clear" w:color="auto" w:fill="FFFFFF"/>
            <w:noWrap w:val="0"/>
            <w:tcMar>
              <w:top w:w="-1" w:type="dxa"/>
              <w:left w:w="-1" w:type="dxa"/>
              <w:bottom w:w="-1" w:type="dxa"/>
              <w:right w:w="-1" w:type="dxa"/>
            </w:tcMar>
            <w:vAlign w:val="center"/>
          </w:tcPr>
          <w:p w14:paraId="7EA2DC95">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color w:val="000000"/>
                <w:kern w:val="2"/>
                <w:sz w:val="21"/>
                <w:szCs w:val="21"/>
              </w:rPr>
            </w:pPr>
          </w:p>
        </w:tc>
        <w:tc>
          <w:tcPr>
            <w:tcW w:w="1118" w:type="dxa"/>
            <w:tcBorders>
              <w:top w:val="nil"/>
              <w:left w:val="nil"/>
              <w:bottom w:val="nil"/>
              <w:right w:val="nil"/>
            </w:tcBorders>
            <w:shd w:val="clear" w:color="auto" w:fill="FFFFFF"/>
            <w:noWrap w:val="0"/>
            <w:tcMar>
              <w:top w:w="-1" w:type="dxa"/>
              <w:left w:w="-1" w:type="dxa"/>
              <w:bottom w:w="-1" w:type="dxa"/>
              <w:right w:w="-1" w:type="dxa"/>
            </w:tcMar>
            <w:vAlign w:val="center"/>
          </w:tcPr>
          <w:p w14:paraId="2CB88272">
            <w:pPr>
              <w:adjustRightInd w:val="0"/>
              <w:snapToGrid w:val="0"/>
              <w:spacing w:after="0" w:line="240" w:lineRule="auto"/>
              <w:ind w:left="0" w:leftChars="0" w:right="0" w:rightChars="0" w:firstLine="0" w:firstLineChars="0"/>
              <w:jc w:val="left"/>
              <w:rPr>
                <w:rFonts w:hint="default" w:ascii="Times New Roman" w:hAnsi="Times New Roman" w:eastAsia="宋体" w:cs="Times New Roman"/>
                <w:b w:val="0"/>
                <w:color w:val="000000"/>
                <w:kern w:val="2"/>
                <w:sz w:val="21"/>
                <w:szCs w:val="21"/>
              </w:rPr>
            </w:pPr>
          </w:p>
        </w:tc>
        <w:tc>
          <w:tcPr>
            <w:tcW w:w="1399" w:type="dxa"/>
            <w:tcBorders>
              <w:top w:val="nil"/>
              <w:left w:val="nil"/>
              <w:bottom w:val="nil"/>
              <w:right w:val="nil"/>
            </w:tcBorders>
            <w:shd w:val="clear" w:color="auto" w:fill="FFFFFF"/>
            <w:noWrap w:val="0"/>
            <w:tcMar>
              <w:top w:w="-1" w:type="dxa"/>
              <w:left w:w="-1" w:type="dxa"/>
              <w:bottom w:w="-1" w:type="dxa"/>
              <w:right w:w="-1" w:type="dxa"/>
            </w:tcMar>
            <w:vAlign w:val="center"/>
          </w:tcPr>
          <w:p w14:paraId="698ED3F5">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color w:val="000000"/>
                <w:kern w:val="2"/>
                <w:sz w:val="21"/>
                <w:szCs w:val="21"/>
              </w:rPr>
            </w:pPr>
          </w:p>
        </w:tc>
      </w:tr>
      <w:tr w14:paraId="410354F4">
        <w:tblPrEx>
          <w:tblBorders>
            <w:top w:val="none" w:color="1A5276" w:sz="12" w:space="0"/>
            <w:left w:val="none" w:color="auto" w:sz="0" w:space="0"/>
            <w:bottom w:val="none" w:color="1A5276" w:sz="12" w:space="0"/>
            <w:right w:val="none" w:color="auto" w:sz="0" w:space="0"/>
            <w:insideH w:val="none" w:color="D5D8DC" w:sz="4" w:space="0"/>
            <w:insideV w:val="none" w:color="auto" w:sz="0" w:space="0"/>
          </w:tblBorders>
          <w:tblCellMar>
            <w:top w:w="0" w:type="dxa"/>
            <w:left w:w="10" w:type="dxa"/>
            <w:bottom w:w="0" w:type="dxa"/>
            <w:right w:w="10" w:type="dxa"/>
          </w:tblCellMar>
        </w:tblPrEx>
        <w:trPr>
          <w:trHeight w:val="0" w:hRule="atLeast"/>
        </w:trPr>
        <w:tc>
          <w:tcPr>
            <w:tcW w:w="5088" w:type="dxa"/>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2527C32B">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color w:val="000000"/>
                <w:kern w:val="2"/>
                <w:sz w:val="21"/>
                <w:szCs w:val="21"/>
                <w:lang w:val="en-US" w:eastAsia="en-US"/>
              </w:rPr>
            </w:pPr>
            <w:r>
              <w:rPr>
                <w:rFonts w:hint="default" w:ascii="Times New Roman" w:hAnsi="Times New Roman" w:eastAsia="宋体" w:cs="Times New Roman"/>
                <w:b w:val="0"/>
                <w:color w:val="000000"/>
                <w:kern w:val="2"/>
                <w:sz w:val="21"/>
                <w:szCs w:val="21"/>
                <w:lang w:eastAsia="zh-CN"/>
              </w:rPr>
              <w:t>运输（运输方式、运输距离、运输量等）</w:t>
            </w:r>
          </w:p>
        </w:tc>
        <w:tc>
          <w:tcPr>
            <w:tcW w:w="745" w:type="dxa"/>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3E8C6297">
            <w:pPr>
              <w:adjustRightInd w:val="0"/>
              <w:snapToGrid w:val="0"/>
              <w:spacing w:after="0" w:line="240" w:lineRule="auto"/>
              <w:ind w:left="0" w:leftChars="0" w:right="0" w:rightChars="0" w:firstLine="0" w:firstLineChars="0"/>
              <w:jc w:val="left"/>
              <w:rPr>
                <w:rFonts w:hint="default" w:ascii="Times New Roman" w:hAnsi="Times New Roman" w:eastAsia="宋体" w:cs="Times New Roman"/>
                <w:b w:val="0"/>
                <w:color w:val="000000"/>
                <w:kern w:val="2"/>
                <w:sz w:val="21"/>
                <w:szCs w:val="21"/>
              </w:rPr>
            </w:pPr>
          </w:p>
        </w:tc>
        <w:tc>
          <w:tcPr>
            <w:tcW w:w="712" w:type="dxa"/>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3E62BD74">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color w:val="000000"/>
                <w:kern w:val="2"/>
                <w:sz w:val="21"/>
                <w:szCs w:val="21"/>
              </w:rPr>
            </w:pPr>
          </w:p>
        </w:tc>
        <w:tc>
          <w:tcPr>
            <w:tcW w:w="1118" w:type="dxa"/>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4F89EFC3">
            <w:pPr>
              <w:adjustRightInd w:val="0"/>
              <w:snapToGrid w:val="0"/>
              <w:spacing w:after="0" w:line="240" w:lineRule="auto"/>
              <w:ind w:left="0" w:leftChars="0" w:right="0" w:rightChars="0" w:firstLine="0" w:firstLineChars="0"/>
              <w:jc w:val="left"/>
              <w:rPr>
                <w:rFonts w:hint="default" w:ascii="Times New Roman" w:hAnsi="Times New Roman" w:eastAsia="宋体" w:cs="Times New Roman"/>
                <w:b w:val="0"/>
                <w:color w:val="000000"/>
                <w:kern w:val="2"/>
                <w:sz w:val="21"/>
                <w:szCs w:val="21"/>
              </w:rPr>
            </w:pPr>
          </w:p>
        </w:tc>
        <w:tc>
          <w:tcPr>
            <w:tcW w:w="1399" w:type="dxa"/>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57718B21">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color w:val="000000"/>
                <w:kern w:val="2"/>
                <w:sz w:val="21"/>
                <w:szCs w:val="21"/>
              </w:rPr>
            </w:pPr>
          </w:p>
        </w:tc>
      </w:tr>
    </w:tbl>
    <w:p w14:paraId="492F6EB0">
      <w:pPr>
        <w:adjustRightInd w:val="0"/>
        <w:snapToGrid w:val="0"/>
        <w:spacing w:after="0" w:line="360" w:lineRule="auto"/>
        <w:jc w:val="center"/>
        <w:rPr>
          <w:rFonts w:hint="default" w:ascii="Times New Roman" w:hAnsi="Times New Roman" w:eastAsia="黑体" w:cs="Times New Roman"/>
          <w:kern w:val="2"/>
          <w:sz w:val="18"/>
          <w:szCs w:val="18"/>
        </w:rPr>
      </w:pPr>
      <w:r>
        <w:rPr>
          <w:rFonts w:hint="default" w:ascii="Times New Roman" w:hAnsi="Times New Roman" w:eastAsia="黑体" w:cs="Times New Roman"/>
          <w:kern w:val="2"/>
          <w:sz w:val="18"/>
          <w:szCs w:val="18"/>
        </w:rPr>
        <w:t>表A.1 初级数据收集汇总表示例</w:t>
      </w:r>
    </w:p>
    <w:p w14:paraId="47AF47E6">
      <w:pPr>
        <w:adjustRightInd w:val="0"/>
        <w:snapToGrid w:val="0"/>
        <w:spacing w:after="0" w:line="360" w:lineRule="auto"/>
        <w:jc w:val="both"/>
        <w:rPr>
          <w:rFonts w:hint="eastAsia" w:ascii="黑体" w:hAnsi="黑体" w:eastAsia="黑体" w:cs="黑体"/>
          <w:kern w:val="2"/>
          <w:sz w:val="18"/>
          <w:szCs w:val="18"/>
        </w:rPr>
      </w:pPr>
      <w:r>
        <w:rPr>
          <w:rFonts w:hint="eastAsia" w:ascii="黑体" w:hAnsi="黑体" w:eastAsia="黑体" w:cs="黑体"/>
          <w:kern w:val="2"/>
          <w:sz w:val="18"/>
          <w:szCs w:val="18"/>
        </w:rPr>
        <w:t>注：表中项目为示例，不同企业的生产工艺和物料种类可能存在差异，企业可根据实际情况增减调整。</w:t>
      </w:r>
    </w:p>
    <w:p w14:paraId="25C3D1D0">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eastAsia" w:ascii="Times New Roman" w:hAnsi="Times New Roman" w:eastAsia="宋体" w:cs="Times New Roman"/>
          <w:kern w:val="2"/>
          <w:sz w:val="21"/>
          <w:szCs w:val="21"/>
          <w:lang w:val="en-US" w:eastAsia="zh-CN"/>
        </w:rPr>
        <w:t>次级</w:t>
      </w:r>
      <w:r>
        <w:rPr>
          <w:rFonts w:hint="default" w:ascii="Times New Roman" w:hAnsi="Times New Roman" w:eastAsia="宋体" w:cs="Times New Roman"/>
          <w:kern w:val="2"/>
          <w:sz w:val="21"/>
          <w:szCs w:val="21"/>
        </w:rPr>
        <w:t>数据收集表见表A.2。</w:t>
      </w:r>
    </w:p>
    <w:p w14:paraId="38C87C4C">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p>
    <w:p w14:paraId="21F7AF8E">
      <w:pPr>
        <w:adjustRightInd w:val="0"/>
        <w:snapToGrid w:val="0"/>
        <w:spacing w:after="0" w:line="360" w:lineRule="auto"/>
        <w:jc w:val="center"/>
        <w:rPr>
          <w:rFonts w:hint="default" w:ascii="Times New Roman" w:hAnsi="Times New Roman" w:eastAsia="黑体" w:cs="Times New Roman"/>
          <w:kern w:val="2"/>
          <w:sz w:val="18"/>
          <w:szCs w:val="18"/>
        </w:rPr>
      </w:pPr>
      <w:r>
        <w:rPr>
          <w:rFonts w:hint="default" w:ascii="Times New Roman" w:hAnsi="Times New Roman" w:eastAsia="黑体" w:cs="Times New Roman"/>
          <w:kern w:val="2"/>
          <w:sz w:val="18"/>
          <w:szCs w:val="18"/>
        </w:rPr>
        <w:t xml:space="preserve">表A.2 </w:t>
      </w:r>
      <w:r>
        <w:rPr>
          <w:rFonts w:hint="eastAsia" w:ascii="Times New Roman" w:hAnsi="Times New Roman" w:eastAsia="黑体" w:cs="Times New Roman"/>
          <w:kern w:val="2"/>
          <w:sz w:val="18"/>
          <w:szCs w:val="18"/>
          <w:lang w:val="en-US" w:eastAsia="zh-CN"/>
        </w:rPr>
        <w:t>次级</w:t>
      </w:r>
      <w:r>
        <w:rPr>
          <w:rFonts w:hint="default" w:ascii="Times New Roman" w:hAnsi="Times New Roman" w:eastAsia="黑体" w:cs="Times New Roman"/>
          <w:kern w:val="2"/>
          <w:sz w:val="18"/>
          <w:szCs w:val="18"/>
        </w:rPr>
        <w:t>数据收集表示例</w:t>
      </w:r>
    </w:p>
    <w:tbl>
      <w:tblPr>
        <w:tblStyle w:val="12"/>
        <w:tblW w:w="9109" w:type="dxa"/>
        <w:jc w:val="center"/>
        <w:tblBorders>
          <w:top w:val="none" w:color="1A5276" w:sz="12" w:space="0"/>
          <w:left w:val="none" w:color="auto" w:sz="0" w:space="0"/>
          <w:bottom w:val="none" w:color="1A5276" w:sz="12" w:space="0"/>
          <w:right w:val="none" w:color="auto" w:sz="0" w:space="0"/>
          <w:insideH w:val="none" w:color="D5D8DC" w:sz="4" w:space="0"/>
          <w:insideV w:val="none" w:color="auto" w:sz="0" w:space="0"/>
        </w:tblBorders>
        <w:tblLayout w:type="autofit"/>
        <w:tblCellMar>
          <w:top w:w="0" w:type="dxa"/>
          <w:left w:w="10" w:type="dxa"/>
          <w:bottom w:w="0" w:type="dxa"/>
          <w:right w:w="10" w:type="dxa"/>
        </w:tblCellMar>
      </w:tblPr>
      <w:tblGrid>
        <w:gridCol w:w="3109"/>
        <w:gridCol w:w="1379"/>
        <w:gridCol w:w="1380"/>
        <w:gridCol w:w="1257"/>
        <w:gridCol w:w="1984"/>
      </w:tblGrid>
      <w:tr w14:paraId="08DD98B3">
        <w:tblPrEx>
          <w:tblBorders>
            <w:top w:val="none" w:color="1A5276" w:sz="12" w:space="0"/>
            <w:left w:val="none" w:color="auto" w:sz="0" w:space="0"/>
            <w:bottom w:val="none" w:color="1A5276" w:sz="12" w:space="0"/>
            <w:right w:val="none" w:color="auto" w:sz="0" w:space="0"/>
            <w:insideH w:val="none" w:color="D5D8DC" w:sz="4" w:space="0"/>
            <w:insideV w:val="none" w:color="auto" w:sz="0" w:space="0"/>
          </w:tblBorders>
          <w:tblCellMar>
            <w:top w:w="0" w:type="dxa"/>
            <w:left w:w="10" w:type="dxa"/>
            <w:bottom w:w="0" w:type="dxa"/>
            <w:right w:w="10" w:type="dxa"/>
          </w:tblCellMar>
        </w:tblPrEx>
        <w:trPr>
          <w:trHeight w:val="337" w:hRule="atLeast"/>
          <w:tblHeader/>
          <w:jc w:val="center"/>
        </w:trPr>
        <w:tc>
          <w:tcPr>
            <w:tcW w:w="3109" w:type="dxa"/>
            <w:tcBorders>
              <w:top w:val="single" w:color="000000" w:sz="12" w:space="0"/>
              <w:left w:val="nil"/>
              <w:bottom w:val="single" w:color="000000" w:sz="4" w:space="0"/>
              <w:right w:val="nil"/>
              <w:tl2br w:val="nil"/>
            </w:tcBorders>
            <w:shd w:val="clear" w:color="auto" w:fill="FFFFFF"/>
            <w:noWrap w:val="0"/>
            <w:tcMar>
              <w:top w:w="-1" w:type="dxa"/>
              <w:left w:w="-1" w:type="dxa"/>
              <w:bottom w:w="-1" w:type="dxa"/>
              <w:right w:w="-1" w:type="dxa"/>
            </w:tcMar>
            <w:vAlign w:val="center"/>
          </w:tcPr>
          <w:p w14:paraId="30AC3D35">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r>
              <w:rPr>
                <w:rFonts w:hint="default" w:ascii="Times New Roman" w:hAnsi="Times New Roman" w:eastAsia="宋体" w:cs="Times New Roman"/>
                <w:b w:val="0"/>
                <w:bCs/>
                <w:color w:val="000000"/>
                <w:kern w:val="2"/>
                <w:sz w:val="21"/>
                <w:szCs w:val="21"/>
              </w:rPr>
              <w:t>单元过程</w:t>
            </w:r>
          </w:p>
        </w:tc>
        <w:tc>
          <w:tcPr>
            <w:tcW w:w="1379" w:type="dxa"/>
            <w:tcBorders>
              <w:top w:val="single" w:color="000000" w:sz="12" w:space="0"/>
              <w:left w:val="nil"/>
              <w:bottom w:val="single" w:color="000000" w:sz="4" w:space="0"/>
              <w:right w:val="nil"/>
            </w:tcBorders>
            <w:shd w:val="clear" w:color="auto" w:fill="FFFFFF"/>
            <w:noWrap w:val="0"/>
            <w:tcMar>
              <w:top w:w="-1" w:type="dxa"/>
              <w:left w:w="-1" w:type="dxa"/>
              <w:bottom w:w="-1" w:type="dxa"/>
              <w:right w:w="-1" w:type="dxa"/>
            </w:tcMar>
            <w:vAlign w:val="center"/>
          </w:tcPr>
          <w:p w14:paraId="2F7D5870">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r>
              <w:rPr>
                <w:rFonts w:hint="eastAsia" w:ascii="Times New Roman" w:hAnsi="Times New Roman" w:eastAsia="宋体" w:cs="Times New Roman"/>
                <w:b w:val="0"/>
                <w:bCs/>
                <w:color w:val="000000"/>
                <w:kern w:val="2"/>
                <w:sz w:val="21"/>
                <w:szCs w:val="21"/>
                <w:lang w:val="en-US" w:eastAsia="zh-CN"/>
              </w:rPr>
              <w:t>基准</w:t>
            </w:r>
            <w:r>
              <w:rPr>
                <w:rFonts w:hint="default" w:ascii="Times New Roman" w:hAnsi="Times New Roman" w:eastAsia="宋体" w:cs="Times New Roman"/>
                <w:b w:val="0"/>
                <w:bCs/>
                <w:color w:val="000000"/>
                <w:kern w:val="2"/>
                <w:sz w:val="21"/>
                <w:szCs w:val="21"/>
              </w:rPr>
              <w:t>单位</w:t>
            </w:r>
          </w:p>
        </w:tc>
        <w:tc>
          <w:tcPr>
            <w:tcW w:w="1380" w:type="dxa"/>
            <w:tcBorders>
              <w:top w:val="single" w:color="000000" w:sz="12" w:space="0"/>
              <w:left w:val="nil"/>
              <w:bottom w:val="single" w:color="000000" w:sz="4" w:space="0"/>
              <w:right w:val="nil"/>
            </w:tcBorders>
            <w:shd w:val="clear" w:color="auto" w:fill="FFFFFF"/>
            <w:noWrap w:val="0"/>
            <w:tcMar>
              <w:top w:w="-1" w:type="dxa"/>
              <w:left w:w="-1" w:type="dxa"/>
              <w:bottom w:w="-1" w:type="dxa"/>
              <w:right w:w="-1" w:type="dxa"/>
            </w:tcMar>
            <w:vAlign w:val="center"/>
          </w:tcPr>
          <w:p w14:paraId="4DE1A715">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r>
              <w:rPr>
                <w:rFonts w:hint="eastAsia" w:ascii="Times New Roman" w:hAnsi="Times New Roman" w:eastAsia="宋体" w:cs="Times New Roman"/>
                <w:b w:val="0"/>
                <w:bCs/>
                <w:color w:val="000000"/>
                <w:kern w:val="2"/>
                <w:sz w:val="21"/>
                <w:szCs w:val="21"/>
                <w:lang w:val="en-US" w:eastAsia="zh-CN"/>
              </w:rPr>
              <w:t>次级</w:t>
            </w:r>
            <w:r>
              <w:rPr>
                <w:rFonts w:hint="default" w:ascii="Times New Roman" w:hAnsi="Times New Roman" w:eastAsia="宋体" w:cs="Times New Roman"/>
                <w:b w:val="0"/>
                <w:bCs/>
                <w:color w:val="000000"/>
                <w:kern w:val="2"/>
                <w:sz w:val="21"/>
                <w:szCs w:val="21"/>
              </w:rPr>
              <w:t>数据</w:t>
            </w:r>
          </w:p>
        </w:tc>
        <w:tc>
          <w:tcPr>
            <w:tcW w:w="1257" w:type="dxa"/>
            <w:tcBorders>
              <w:top w:val="single" w:color="000000" w:sz="12" w:space="0"/>
              <w:left w:val="nil"/>
              <w:bottom w:val="single" w:color="000000" w:sz="4" w:space="0"/>
              <w:right w:val="nil"/>
            </w:tcBorders>
            <w:shd w:val="clear" w:color="auto" w:fill="FFFFFF"/>
            <w:noWrap w:val="0"/>
            <w:tcMar>
              <w:top w:w="-1" w:type="dxa"/>
              <w:left w:w="-1" w:type="dxa"/>
              <w:bottom w:w="-1" w:type="dxa"/>
              <w:right w:w="-1" w:type="dxa"/>
            </w:tcMar>
            <w:vAlign w:val="center"/>
          </w:tcPr>
          <w:p w14:paraId="6591147B">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r>
              <w:rPr>
                <w:rFonts w:hint="default" w:ascii="Times New Roman" w:hAnsi="Times New Roman" w:eastAsia="宋体" w:cs="Times New Roman"/>
                <w:b w:val="0"/>
                <w:bCs/>
                <w:color w:val="000000"/>
                <w:kern w:val="2"/>
                <w:sz w:val="21"/>
                <w:szCs w:val="21"/>
              </w:rPr>
              <w:t>数据描述</w:t>
            </w:r>
          </w:p>
        </w:tc>
        <w:tc>
          <w:tcPr>
            <w:tcW w:w="1984" w:type="dxa"/>
            <w:tcBorders>
              <w:top w:val="single" w:color="000000" w:sz="12" w:space="0"/>
              <w:left w:val="nil"/>
              <w:bottom w:val="single" w:color="000000" w:sz="4" w:space="0"/>
              <w:right w:val="nil"/>
            </w:tcBorders>
            <w:shd w:val="clear" w:color="auto" w:fill="FFFFFF"/>
            <w:noWrap w:val="0"/>
            <w:tcMar>
              <w:top w:w="-1" w:type="dxa"/>
              <w:left w:w="-1" w:type="dxa"/>
              <w:bottom w:w="-1" w:type="dxa"/>
              <w:right w:w="-1" w:type="dxa"/>
            </w:tcMar>
            <w:vAlign w:val="center"/>
          </w:tcPr>
          <w:p w14:paraId="6371EED1">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r>
              <w:rPr>
                <w:rFonts w:hint="default" w:ascii="Times New Roman" w:hAnsi="Times New Roman" w:eastAsia="宋体" w:cs="Times New Roman"/>
                <w:b w:val="0"/>
                <w:bCs/>
                <w:color w:val="000000"/>
                <w:kern w:val="2"/>
                <w:sz w:val="21"/>
                <w:szCs w:val="21"/>
              </w:rPr>
              <w:t>备注</w:t>
            </w:r>
          </w:p>
        </w:tc>
      </w:tr>
      <w:tr w14:paraId="6C92A024">
        <w:tblPrEx>
          <w:tblBorders>
            <w:top w:val="none" w:color="1A5276" w:sz="12" w:space="0"/>
            <w:left w:val="none" w:color="auto" w:sz="0" w:space="0"/>
            <w:bottom w:val="none" w:color="1A5276" w:sz="12" w:space="0"/>
            <w:right w:val="none" w:color="auto" w:sz="0" w:space="0"/>
            <w:insideH w:val="none" w:color="D5D8DC" w:sz="4" w:space="0"/>
            <w:insideV w:val="none" w:color="auto" w:sz="0" w:space="0"/>
          </w:tblBorders>
          <w:tblCellMar>
            <w:top w:w="0" w:type="dxa"/>
            <w:left w:w="10" w:type="dxa"/>
            <w:bottom w:w="0" w:type="dxa"/>
            <w:right w:w="10" w:type="dxa"/>
          </w:tblCellMar>
        </w:tblPrEx>
        <w:trPr>
          <w:trHeight w:val="0" w:hRule="atLeast"/>
          <w:jc w:val="center"/>
        </w:trPr>
        <w:tc>
          <w:tcPr>
            <w:tcW w:w="3109" w:type="dxa"/>
            <w:tcBorders>
              <w:top w:val="single" w:color="000000" w:sz="4" w:space="0"/>
              <w:left w:val="nil"/>
              <w:bottom w:val="nil"/>
              <w:right w:val="nil"/>
            </w:tcBorders>
            <w:shd w:val="clear" w:color="auto" w:fill="FFFFFF"/>
            <w:noWrap w:val="0"/>
            <w:tcMar>
              <w:top w:w="-1" w:type="dxa"/>
              <w:left w:w="-1" w:type="dxa"/>
              <w:bottom w:w="-1" w:type="dxa"/>
              <w:right w:w="-1" w:type="dxa"/>
            </w:tcMar>
            <w:vAlign w:val="center"/>
          </w:tcPr>
          <w:p w14:paraId="58536DDF">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混合稀土金属生产</w:t>
            </w:r>
          </w:p>
        </w:tc>
        <w:tc>
          <w:tcPr>
            <w:tcW w:w="1379" w:type="dxa"/>
            <w:tcBorders>
              <w:top w:val="single" w:color="000000" w:sz="4" w:space="0"/>
              <w:left w:val="nil"/>
              <w:bottom w:val="nil"/>
              <w:right w:val="nil"/>
            </w:tcBorders>
            <w:shd w:val="clear" w:color="auto" w:fill="FFFFFF"/>
            <w:noWrap w:val="0"/>
            <w:tcMar>
              <w:top w:w="-1" w:type="dxa"/>
              <w:left w:w="-1" w:type="dxa"/>
              <w:bottom w:w="-1" w:type="dxa"/>
              <w:right w:w="-1" w:type="dxa"/>
            </w:tcMar>
            <w:vAlign w:val="center"/>
          </w:tcPr>
          <w:p w14:paraId="729FD434">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1kg</w:t>
            </w:r>
          </w:p>
        </w:tc>
        <w:tc>
          <w:tcPr>
            <w:tcW w:w="1380" w:type="dxa"/>
            <w:tcBorders>
              <w:top w:val="single" w:color="000000" w:sz="4" w:space="0"/>
              <w:left w:val="nil"/>
              <w:bottom w:val="nil"/>
              <w:right w:val="nil"/>
            </w:tcBorders>
            <w:shd w:val="clear" w:color="auto" w:fill="FFFFFF"/>
            <w:noWrap w:val="0"/>
            <w:tcMar>
              <w:top w:w="-1" w:type="dxa"/>
              <w:left w:w="-1" w:type="dxa"/>
              <w:bottom w:w="-1" w:type="dxa"/>
              <w:right w:w="-1" w:type="dxa"/>
            </w:tcMar>
            <w:vAlign w:val="center"/>
          </w:tcPr>
          <w:p w14:paraId="6EDB8FF0">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p>
        </w:tc>
        <w:tc>
          <w:tcPr>
            <w:tcW w:w="1257" w:type="dxa"/>
            <w:tcBorders>
              <w:top w:val="single" w:color="000000" w:sz="4" w:space="0"/>
              <w:left w:val="nil"/>
              <w:bottom w:val="nil"/>
              <w:right w:val="nil"/>
            </w:tcBorders>
            <w:shd w:val="clear" w:color="auto" w:fill="FFFFFF"/>
            <w:noWrap w:val="0"/>
            <w:tcMar>
              <w:top w:w="-1" w:type="dxa"/>
              <w:left w:w="-1" w:type="dxa"/>
              <w:bottom w:w="-1" w:type="dxa"/>
              <w:right w:w="-1" w:type="dxa"/>
            </w:tcMar>
            <w:vAlign w:val="center"/>
          </w:tcPr>
          <w:p w14:paraId="2424D09D">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p>
        </w:tc>
        <w:tc>
          <w:tcPr>
            <w:tcW w:w="1984" w:type="dxa"/>
            <w:tcBorders>
              <w:top w:val="single" w:color="000000" w:sz="4" w:space="0"/>
              <w:left w:val="nil"/>
              <w:bottom w:val="nil"/>
              <w:right w:val="nil"/>
            </w:tcBorders>
            <w:shd w:val="clear" w:color="auto" w:fill="FFFFFF"/>
            <w:noWrap w:val="0"/>
            <w:tcMar>
              <w:top w:w="-1" w:type="dxa"/>
              <w:left w:w="-1" w:type="dxa"/>
              <w:bottom w:w="-1" w:type="dxa"/>
              <w:right w:w="-1" w:type="dxa"/>
            </w:tcMar>
            <w:vAlign w:val="center"/>
          </w:tcPr>
          <w:p w14:paraId="346D4B67">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p>
        </w:tc>
      </w:tr>
      <w:tr w14:paraId="0AA43DC1">
        <w:tblPrEx>
          <w:tblBorders>
            <w:top w:val="none" w:color="1A5276" w:sz="12" w:space="0"/>
            <w:left w:val="none" w:color="auto" w:sz="0" w:space="0"/>
            <w:bottom w:val="none" w:color="1A5276" w:sz="12" w:space="0"/>
            <w:right w:val="none" w:color="auto" w:sz="0" w:space="0"/>
            <w:insideH w:val="none" w:color="D5D8DC" w:sz="4" w:space="0"/>
            <w:insideV w:val="none" w:color="auto" w:sz="0" w:space="0"/>
          </w:tblBorders>
          <w:tblCellMar>
            <w:top w:w="0" w:type="dxa"/>
            <w:left w:w="10" w:type="dxa"/>
            <w:bottom w:w="0" w:type="dxa"/>
            <w:right w:w="10" w:type="dxa"/>
          </w:tblCellMar>
        </w:tblPrEx>
        <w:trPr>
          <w:trHeight w:val="0" w:hRule="atLeast"/>
          <w:jc w:val="center"/>
        </w:trPr>
        <w:tc>
          <w:tcPr>
            <w:tcW w:w="3109" w:type="dxa"/>
            <w:tcBorders>
              <w:top w:val="nil"/>
              <w:left w:val="nil"/>
              <w:bottom w:val="nil"/>
              <w:right w:val="nil"/>
            </w:tcBorders>
            <w:shd w:val="clear" w:color="auto" w:fill="FFFFFF"/>
            <w:noWrap w:val="0"/>
            <w:tcMar>
              <w:top w:w="-1" w:type="dxa"/>
              <w:left w:w="-1" w:type="dxa"/>
              <w:bottom w:w="-1" w:type="dxa"/>
              <w:right w:w="-1" w:type="dxa"/>
            </w:tcMar>
            <w:vAlign w:val="center"/>
          </w:tcPr>
          <w:p w14:paraId="1DCB027D">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金属镍生产</w:t>
            </w:r>
          </w:p>
        </w:tc>
        <w:tc>
          <w:tcPr>
            <w:tcW w:w="1379" w:type="dxa"/>
            <w:tcBorders>
              <w:top w:val="nil"/>
              <w:left w:val="nil"/>
              <w:bottom w:val="nil"/>
              <w:right w:val="nil"/>
            </w:tcBorders>
            <w:shd w:val="clear" w:color="auto" w:fill="FFFFFF"/>
            <w:noWrap w:val="0"/>
            <w:tcMar>
              <w:top w:w="-1" w:type="dxa"/>
              <w:left w:w="-1" w:type="dxa"/>
              <w:bottom w:w="-1" w:type="dxa"/>
              <w:right w:w="-1" w:type="dxa"/>
            </w:tcMar>
            <w:vAlign w:val="center"/>
          </w:tcPr>
          <w:p w14:paraId="3DB99AFE">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1kg</w:t>
            </w:r>
          </w:p>
        </w:tc>
        <w:tc>
          <w:tcPr>
            <w:tcW w:w="1380" w:type="dxa"/>
            <w:tcBorders>
              <w:top w:val="nil"/>
              <w:left w:val="nil"/>
              <w:bottom w:val="nil"/>
              <w:right w:val="nil"/>
            </w:tcBorders>
            <w:shd w:val="clear" w:color="auto" w:fill="FFFFFF"/>
            <w:noWrap w:val="0"/>
            <w:tcMar>
              <w:top w:w="-1" w:type="dxa"/>
              <w:left w:w="-1" w:type="dxa"/>
              <w:bottom w:w="-1" w:type="dxa"/>
              <w:right w:w="-1" w:type="dxa"/>
            </w:tcMar>
            <w:vAlign w:val="center"/>
          </w:tcPr>
          <w:p w14:paraId="59234937">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p>
        </w:tc>
        <w:tc>
          <w:tcPr>
            <w:tcW w:w="1257" w:type="dxa"/>
            <w:tcBorders>
              <w:top w:val="nil"/>
              <w:left w:val="nil"/>
              <w:bottom w:val="nil"/>
              <w:right w:val="nil"/>
            </w:tcBorders>
            <w:shd w:val="clear" w:color="auto" w:fill="FFFFFF"/>
            <w:noWrap w:val="0"/>
            <w:tcMar>
              <w:top w:w="-1" w:type="dxa"/>
              <w:left w:w="-1" w:type="dxa"/>
              <w:bottom w:w="-1" w:type="dxa"/>
              <w:right w:w="-1" w:type="dxa"/>
            </w:tcMar>
            <w:vAlign w:val="center"/>
          </w:tcPr>
          <w:p w14:paraId="75AE6DBE">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p>
        </w:tc>
        <w:tc>
          <w:tcPr>
            <w:tcW w:w="1984" w:type="dxa"/>
            <w:tcBorders>
              <w:top w:val="nil"/>
              <w:left w:val="nil"/>
              <w:bottom w:val="nil"/>
              <w:right w:val="nil"/>
            </w:tcBorders>
            <w:shd w:val="clear" w:color="auto" w:fill="FFFFFF"/>
            <w:noWrap w:val="0"/>
            <w:tcMar>
              <w:top w:w="-1" w:type="dxa"/>
              <w:left w:w="-1" w:type="dxa"/>
              <w:bottom w:w="-1" w:type="dxa"/>
              <w:right w:w="-1" w:type="dxa"/>
            </w:tcMar>
            <w:vAlign w:val="center"/>
          </w:tcPr>
          <w:p w14:paraId="61760B4E">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p>
        </w:tc>
      </w:tr>
      <w:tr w14:paraId="23E2E1D4">
        <w:tblPrEx>
          <w:tblBorders>
            <w:top w:val="none" w:color="1A5276" w:sz="12" w:space="0"/>
            <w:left w:val="none" w:color="auto" w:sz="0" w:space="0"/>
            <w:bottom w:val="none" w:color="1A5276" w:sz="12" w:space="0"/>
            <w:right w:val="none" w:color="auto" w:sz="0" w:space="0"/>
            <w:insideH w:val="none" w:color="D5D8DC" w:sz="4" w:space="0"/>
            <w:insideV w:val="none" w:color="auto" w:sz="0" w:space="0"/>
          </w:tblBorders>
          <w:tblCellMar>
            <w:top w:w="0" w:type="dxa"/>
            <w:left w:w="10" w:type="dxa"/>
            <w:bottom w:w="0" w:type="dxa"/>
            <w:right w:w="10" w:type="dxa"/>
          </w:tblCellMar>
        </w:tblPrEx>
        <w:trPr>
          <w:trHeight w:val="0" w:hRule="atLeast"/>
          <w:jc w:val="center"/>
        </w:trPr>
        <w:tc>
          <w:tcPr>
            <w:tcW w:w="3109" w:type="dxa"/>
            <w:tcBorders>
              <w:top w:val="nil"/>
              <w:left w:val="nil"/>
              <w:bottom w:val="nil"/>
              <w:right w:val="nil"/>
            </w:tcBorders>
            <w:shd w:val="clear" w:color="auto" w:fill="FFFFFF"/>
            <w:noWrap w:val="0"/>
            <w:tcMar>
              <w:top w:w="-1" w:type="dxa"/>
              <w:left w:w="-1" w:type="dxa"/>
              <w:bottom w:w="-1" w:type="dxa"/>
              <w:right w:w="-1" w:type="dxa"/>
            </w:tcMar>
            <w:vAlign w:val="center"/>
          </w:tcPr>
          <w:p w14:paraId="127B2462">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金属钴生产</w:t>
            </w:r>
          </w:p>
        </w:tc>
        <w:tc>
          <w:tcPr>
            <w:tcW w:w="1379" w:type="dxa"/>
            <w:tcBorders>
              <w:top w:val="nil"/>
              <w:left w:val="nil"/>
              <w:bottom w:val="nil"/>
              <w:right w:val="nil"/>
            </w:tcBorders>
            <w:shd w:val="clear" w:color="auto" w:fill="FFFFFF"/>
            <w:noWrap w:val="0"/>
            <w:tcMar>
              <w:top w:w="-1" w:type="dxa"/>
              <w:left w:w="-1" w:type="dxa"/>
              <w:bottom w:w="-1" w:type="dxa"/>
              <w:right w:w="-1" w:type="dxa"/>
            </w:tcMar>
            <w:vAlign w:val="center"/>
          </w:tcPr>
          <w:p w14:paraId="7C93692F">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1kg</w:t>
            </w:r>
          </w:p>
        </w:tc>
        <w:tc>
          <w:tcPr>
            <w:tcW w:w="1380" w:type="dxa"/>
            <w:tcBorders>
              <w:top w:val="nil"/>
              <w:left w:val="nil"/>
              <w:bottom w:val="nil"/>
              <w:right w:val="nil"/>
            </w:tcBorders>
            <w:shd w:val="clear" w:color="auto" w:fill="FFFFFF"/>
            <w:noWrap w:val="0"/>
            <w:tcMar>
              <w:top w:w="-1" w:type="dxa"/>
              <w:left w:w="-1" w:type="dxa"/>
              <w:bottom w:w="-1" w:type="dxa"/>
              <w:right w:w="-1" w:type="dxa"/>
            </w:tcMar>
            <w:vAlign w:val="center"/>
          </w:tcPr>
          <w:p w14:paraId="49FA6952">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p>
        </w:tc>
        <w:tc>
          <w:tcPr>
            <w:tcW w:w="1257" w:type="dxa"/>
            <w:tcBorders>
              <w:top w:val="nil"/>
              <w:left w:val="nil"/>
              <w:bottom w:val="nil"/>
              <w:right w:val="nil"/>
            </w:tcBorders>
            <w:shd w:val="clear" w:color="auto" w:fill="FFFFFF"/>
            <w:noWrap w:val="0"/>
            <w:tcMar>
              <w:top w:w="-1" w:type="dxa"/>
              <w:left w:w="-1" w:type="dxa"/>
              <w:bottom w:w="-1" w:type="dxa"/>
              <w:right w:w="-1" w:type="dxa"/>
            </w:tcMar>
            <w:vAlign w:val="center"/>
          </w:tcPr>
          <w:p w14:paraId="0468E586">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p>
        </w:tc>
        <w:tc>
          <w:tcPr>
            <w:tcW w:w="1984" w:type="dxa"/>
            <w:tcBorders>
              <w:top w:val="nil"/>
              <w:left w:val="nil"/>
              <w:bottom w:val="nil"/>
              <w:right w:val="nil"/>
            </w:tcBorders>
            <w:shd w:val="clear" w:color="auto" w:fill="FFFFFF"/>
            <w:noWrap w:val="0"/>
            <w:tcMar>
              <w:top w:w="-1" w:type="dxa"/>
              <w:left w:w="-1" w:type="dxa"/>
              <w:bottom w:w="-1" w:type="dxa"/>
              <w:right w:w="-1" w:type="dxa"/>
            </w:tcMar>
            <w:vAlign w:val="center"/>
          </w:tcPr>
          <w:p w14:paraId="0AB1483C">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p>
        </w:tc>
      </w:tr>
      <w:tr w14:paraId="5043018E">
        <w:tblPrEx>
          <w:tblBorders>
            <w:top w:val="none" w:color="1A5276" w:sz="12" w:space="0"/>
            <w:left w:val="none" w:color="auto" w:sz="0" w:space="0"/>
            <w:bottom w:val="none" w:color="1A5276" w:sz="12" w:space="0"/>
            <w:right w:val="none" w:color="auto" w:sz="0" w:space="0"/>
            <w:insideH w:val="none" w:color="D5D8DC" w:sz="4" w:space="0"/>
            <w:insideV w:val="none" w:color="auto" w:sz="0" w:space="0"/>
          </w:tblBorders>
          <w:tblCellMar>
            <w:top w:w="0" w:type="dxa"/>
            <w:left w:w="10" w:type="dxa"/>
            <w:bottom w:w="0" w:type="dxa"/>
            <w:right w:w="10" w:type="dxa"/>
          </w:tblCellMar>
        </w:tblPrEx>
        <w:trPr>
          <w:trHeight w:val="0" w:hRule="atLeast"/>
          <w:jc w:val="center"/>
        </w:trPr>
        <w:tc>
          <w:tcPr>
            <w:tcW w:w="3109" w:type="dxa"/>
            <w:tcBorders>
              <w:top w:val="nil"/>
              <w:left w:val="nil"/>
              <w:bottom w:val="nil"/>
              <w:right w:val="nil"/>
            </w:tcBorders>
            <w:shd w:val="clear" w:color="auto" w:fill="FFFFFF"/>
            <w:noWrap w:val="0"/>
            <w:tcMar>
              <w:top w:w="-1" w:type="dxa"/>
              <w:left w:w="-1" w:type="dxa"/>
              <w:bottom w:w="-1" w:type="dxa"/>
              <w:right w:w="-1" w:type="dxa"/>
            </w:tcMar>
            <w:vAlign w:val="center"/>
          </w:tcPr>
          <w:p w14:paraId="43FCEC60">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电力生产</w:t>
            </w:r>
          </w:p>
        </w:tc>
        <w:tc>
          <w:tcPr>
            <w:tcW w:w="1379" w:type="dxa"/>
            <w:tcBorders>
              <w:top w:val="nil"/>
              <w:left w:val="nil"/>
              <w:bottom w:val="nil"/>
              <w:right w:val="nil"/>
            </w:tcBorders>
            <w:shd w:val="clear" w:color="auto" w:fill="FFFFFF"/>
            <w:noWrap w:val="0"/>
            <w:tcMar>
              <w:top w:w="-1" w:type="dxa"/>
              <w:left w:w="-1" w:type="dxa"/>
              <w:bottom w:w="-1" w:type="dxa"/>
              <w:right w:w="-1" w:type="dxa"/>
            </w:tcMar>
            <w:vAlign w:val="center"/>
          </w:tcPr>
          <w:p w14:paraId="1CB44D91">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1kWh</w:t>
            </w:r>
          </w:p>
        </w:tc>
        <w:tc>
          <w:tcPr>
            <w:tcW w:w="1380" w:type="dxa"/>
            <w:tcBorders>
              <w:top w:val="nil"/>
              <w:left w:val="nil"/>
              <w:bottom w:val="nil"/>
              <w:right w:val="nil"/>
            </w:tcBorders>
            <w:shd w:val="clear" w:color="auto" w:fill="FFFFFF"/>
            <w:noWrap w:val="0"/>
            <w:tcMar>
              <w:top w:w="-1" w:type="dxa"/>
              <w:left w:w="-1" w:type="dxa"/>
              <w:bottom w:w="-1" w:type="dxa"/>
              <w:right w:w="-1" w:type="dxa"/>
            </w:tcMar>
            <w:vAlign w:val="center"/>
          </w:tcPr>
          <w:p w14:paraId="42D9D181">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p>
        </w:tc>
        <w:tc>
          <w:tcPr>
            <w:tcW w:w="1257" w:type="dxa"/>
            <w:tcBorders>
              <w:top w:val="nil"/>
              <w:left w:val="nil"/>
              <w:bottom w:val="nil"/>
              <w:right w:val="nil"/>
            </w:tcBorders>
            <w:shd w:val="clear" w:color="auto" w:fill="FFFFFF"/>
            <w:noWrap w:val="0"/>
            <w:tcMar>
              <w:top w:w="-1" w:type="dxa"/>
              <w:left w:w="-1" w:type="dxa"/>
              <w:bottom w:w="-1" w:type="dxa"/>
              <w:right w:w="-1" w:type="dxa"/>
            </w:tcMar>
            <w:vAlign w:val="center"/>
          </w:tcPr>
          <w:p w14:paraId="4482CC2A">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p>
        </w:tc>
        <w:tc>
          <w:tcPr>
            <w:tcW w:w="1984" w:type="dxa"/>
            <w:tcBorders>
              <w:top w:val="nil"/>
              <w:left w:val="nil"/>
              <w:bottom w:val="nil"/>
              <w:right w:val="nil"/>
            </w:tcBorders>
            <w:shd w:val="clear" w:color="auto" w:fill="FFFFFF"/>
            <w:noWrap w:val="0"/>
            <w:tcMar>
              <w:top w:w="-1" w:type="dxa"/>
              <w:left w:w="-1" w:type="dxa"/>
              <w:bottom w:w="-1" w:type="dxa"/>
              <w:right w:w="-1" w:type="dxa"/>
            </w:tcMar>
            <w:vAlign w:val="center"/>
          </w:tcPr>
          <w:p w14:paraId="50AEBBD2">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p>
        </w:tc>
      </w:tr>
      <w:tr w14:paraId="108284AE">
        <w:tblPrEx>
          <w:tblBorders>
            <w:top w:val="none" w:color="1A5276" w:sz="12" w:space="0"/>
            <w:left w:val="none" w:color="auto" w:sz="0" w:space="0"/>
            <w:bottom w:val="none" w:color="1A5276" w:sz="12" w:space="0"/>
            <w:right w:val="none" w:color="auto" w:sz="0" w:space="0"/>
            <w:insideH w:val="none" w:color="D5D8DC" w:sz="4" w:space="0"/>
            <w:insideV w:val="none" w:color="auto" w:sz="0" w:space="0"/>
          </w:tblBorders>
          <w:tblCellMar>
            <w:top w:w="0" w:type="dxa"/>
            <w:left w:w="10" w:type="dxa"/>
            <w:bottom w:w="0" w:type="dxa"/>
            <w:right w:w="10" w:type="dxa"/>
          </w:tblCellMar>
        </w:tblPrEx>
        <w:trPr>
          <w:trHeight w:val="0" w:hRule="atLeast"/>
          <w:jc w:val="center"/>
        </w:trPr>
        <w:tc>
          <w:tcPr>
            <w:tcW w:w="3109" w:type="dxa"/>
            <w:tcBorders>
              <w:top w:val="nil"/>
              <w:left w:val="nil"/>
              <w:bottom w:val="nil"/>
              <w:right w:val="nil"/>
            </w:tcBorders>
            <w:shd w:val="clear" w:color="auto" w:fill="FFFFFF"/>
            <w:noWrap w:val="0"/>
            <w:tcMar>
              <w:top w:w="-1" w:type="dxa"/>
              <w:left w:w="-1" w:type="dxa"/>
              <w:bottom w:w="-1" w:type="dxa"/>
              <w:right w:w="-1" w:type="dxa"/>
            </w:tcMar>
            <w:vAlign w:val="center"/>
          </w:tcPr>
          <w:p w14:paraId="281368FB">
            <w:pPr>
              <w:adjustRightInd w:val="0"/>
              <w:snapToGrid w:val="0"/>
              <w:spacing w:after="0" w:line="240" w:lineRule="auto"/>
              <w:ind w:left="0" w:leftChars="0" w:right="0" w:rightChars="0" w:firstLine="0" w:firstLineChars="0"/>
              <w:jc w:val="center"/>
              <w:rPr>
                <w:rFonts w:hint="eastAsia" w:ascii="Times New Roman" w:hAnsi="Times New Roman" w:eastAsia="宋体" w:cs="Times New Roman"/>
                <w:b w:val="0"/>
                <w:bCs w:val="0"/>
                <w:color w:val="000000"/>
                <w:kern w:val="2"/>
                <w:sz w:val="21"/>
                <w:szCs w:val="21"/>
                <w:lang w:eastAsia="zh-CN"/>
              </w:rPr>
            </w:pPr>
            <w:r>
              <w:rPr>
                <w:rFonts w:hint="eastAsia" w:ascii="Times New Roman" w:hAnsi="Times New Roman" w:eastAsia="宋体" w:cs="Times New Roman"/>
                <w:b w:val="0"/>
                <w:bCs w:val="0"/>
                <w:color w:val="000000"/>
                <w:kern w:val="2"/>
                <w:sz w:val="21"/>
                <w:szCs w:val="21"/>
                <w:lang w:val="en-US" w:eastAsia="zh-CN"/>
              </w:rPr>
              <w:t>运输</w:t>
            </w:r>
          </w:p>
        </w:tc>
        <w:tc>
          <w:tcPr>
            <w:tcW w:w="1379" w:type="dxa"/>
            <w:tcBorders>
              <w:top w:val="nil"/>
              <w:left w:val="nil"/>
              <w:bottom w:val="nil"/>
              <w:right w:val="nil"/>
            </w:tcBorders>
            <w:shd w:val="clear" w:color="auto" w:fill="FFFFFF"/>
            <w:noWrap w:val="0"/>
            <w:tcMar>
              <w:top w:w="-1" w:type="dxa"/>
              <w:left w:w="-1" w:type="dxa"/>
              <w:bottom w:w="-1" w:type="dxa"/>
              <w:right w:w="-1" w:type="dxa"/>
            </w:tcMar>
            <w:vAlign w:val="center"/>
          </w:tcPr>
          <w:p w14:paraId="704AA3D8">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lang w:eastAsia="zh-CN"/>
              </w:rPr>
              <w:t>1 t·km</w:t>
            </w:r>
          </w:p>
        </w:tc>
        <w:tc>
          <w:tcPr>
            <w:tcW w:w="1380" w:type="dxa"/>
            <w:tcBorders>
              <w:top w:val="nil"/>
              <w:left w:val="nil"/>
              <w:bottom w:val="nil"/>
              <w:right w:val="nil"/>
            </w:tcBorders>
            <w:shd w:val="clear" w:color="auto" w:fill="FFFFFF"/>
            <w:noWrap w:val="0"/>
            <w:tcMar>
              <w:top w:w="-1" w:type="dxa"/>
              <w:left w:w="-1" w:type="dxa"/>
              <w:bottom w:w="-1" w:type="dxa"/>
              <w:right w:w="-1" w:type="dxa"/>
            </w:tcMar>
            <w:vAlign w:val="center"/>
          </w:tcPr>
          <w:p w14:paraId="41838E62">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p>
        </w:tc>
        <w:tc>
          <w:tcPr>
            <w:tcW w:w="1257" w:type="dxa"/>
            <w:tcBorders>
              <w:top w:val="nil"/>
              <w:left w:val="nil"/>
              <w:bottom w:val="nil"/>
              <w:right w:val="nil"/>
            </w:tcBorders>
            <w:shd w:val="clear" w:color="auto" w:fill="FFFFFF"/>
            <w:noWrap w:val="0"/>
            <w:tcMar>
              <w:top w:w="-1" w:type="dxa"/>
              <w:left w:w="-1" w:type="dxa"/>
              <w:bottom w:w="-1" w:type="dxa"/>
              <w:right w:w="-1" w:type="dxa"/>
            </w:tcMar>
            <w:vAlign w:val="center"/>
          </w:tcPr>
          <w:p w14:paraId="32A9A18D">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p>
        </w:tc>
        <w:tc>
          <w:tcPr>
            <w:tcW w:w="1984" w:type="dxa"/>
            <w:tcBorders>
              <w:top w:val="nil"/>
              <w:left w:val="nil"/>
              <w:bottom w:val="nil"/>
              <w:right w:val="nil"/>
            </w:tcBorders>
            <w:shd w:val="clear" w:color="auto" w:fill="FFFFFF"/>
            <w:noWrap w:val="0"/>
            <w:tcMar>
              <w:top w:w="-1" w:type="dxa"/>
              <w:left w:w="-1" w:type="dxa"/>
              <w:bottom w:w="-1" w:type="dxa"/>
              <w:right w:w="-1" w:type="dxa"/>
            </w:tcMar>
            <w:vAlign w:val="center"/>
          </w:tcPr>
          <w:p w14:paraId="6C96B819">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p>
        </w:tc>
      </w:tr>
      <w:tr w14:paraId="0F256E52">
        <w:tblPrEx>
          <w:tblBorders>
            <w:top w:val="none" w:color="1A5276" w:sz="12" w:space="0"/>
            <w:left w:val="none" w:color="auto" w:sz="0" w:space="0"/>
            <w:bottom w:val="none" w:color="1A5276" w:sz="12" w:space="0"/>
            <w:right w:val="none" w:color="auto" w:sz="0" w:space="0"/>
            <w:insideH w:val="none" w:color="D5D8DC" w:sz="4" w:space="0"/>
            <w:insideV w:val="none" w:color="auto" w:sz="0" w:space="0"/>
          </w:tblBorders>
          <w:tblCellMar>
            <w:top w:w="0" w:type="dxa"/>
            <w:left w:w="10" w:type="dxa"/>
            <w:bottom w:w="0" w:type="dxa"/>
            <w:right w:w="10" w:type="dxa"/>
          </w:tblCellMar>
        </w:tblPrEx>
        <w:trPr>
          <w:trHeight w:val="0" w:hRule="atLeast"/>
          <w:jc w:val="center"/>
        </w:trPr>
        <w:tc>
          <w:tcPr>
            <w:tcW w:w="3109" w:type="dxa"/>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4A2A6601">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lang w:val="en-US" w:eastAsia="zh-CN"/>
              </w:rPr>
              <w:t>……</w:t>
            </w:r>
          </w:p>
        </w:tc>
        <w:tc>
          <w:tcPr>
            <w:tcW w:w="1379" w:type="dxa"/>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455B2D1D">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p>
        </w:tc>
        <w:tc>
          <w:tcPr>
            <w:tcW w:w="1380" w:type="dxa"/>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31C3D43E">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p>
        </w:tc>
        <w:tc>
          <w:tcPr>
            <w:tcW w:w="1257" w:type="dxa"/>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023D124A">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p>
        </w:tc>
        <w:tc>
          <w:tcPr>
            <w:tcW w:w="1984" w:type="dxa"/>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5767AB9B">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p>
        </w:tc>
      </w:tr>
      <w:bookmarkEnd w:id="78"/>
      <w:bookmarkEnd w:id="79"/>
      <w:bookmarkEnd w:id="80"/>
      <w:bookmarkEnd w:id="81"/>
      <w:bookmarkEnd w:id="82"/>
      <w:bookmarkEnd w:id="83"/>
      <w:bookmarkEnd w:id="84"/>
    </w:tbl>
    <w:p w14:paraId="2FF7E580">
      <w:pPr>
        <w:adjustRightInd w:val="0"/>
        <w:snapToGrid w:val="0"/>
        <w:spacing w:after="0" w:line="360" w:lineRule="auto"/>
        <w:jc w:val="both"/>
        <w:rPr>
          <w:rFonts w:hint="default" w:ascii="Times New Roman" w:hAnsi="Times New Roman" w:eastAsia="黑体" w:cs="Times New Roman"/>
          <w:bCs/>
          <w:kern w:val="44"/>
          <w:sz w:val="21"/>
          <w:szCs w:val="44"/>
          <w:lang w:eastAsia="zh-CN"/>
        </w:rPr>
      </w:pPr>
      <w:r>
        <w:rPr>
          <w:rFonts w:hint="eastAsia" w:ascii="黑体" w:hAnsi="黑体" w:eastAsia="黑体" w:cs="黑体"/>
          <w:kern w:val="2"/>
          <w:sz w:val="18"/>
          <w:szCs w:val="18"/>
        </w:rPr>
        <w:t>注：表中项目为示例，不同企业的生产工艺和物料种类可能存在差异，企业可根据实际情况增减调整。</w:t>
      </w:r>
      <w:r>
        <w:rPr>
          <w:rFonts w:hint="default" w:ascii="Times New Roman" w:hAnsi="Times New Roman" w:eastAsia="黑体" w:cs="Times New Roman"/>
          <w:bCs/>
          <w:kern w:val="44"/>
          <w:sz w:val="21"/>
          <w:szCs w:val="44"/>
          <w:lang w:eastAsia="zh-CN"/>
        </w:rPr>
        <w:br w:type="page"/>
      </w:r>
    </w:p>
    <w:p w14:paraId="1244BDF6">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bookmarkStart w:id="87" w:name="_Toc26919"/>
      <w:r>
        <w:rPr>
          <w:rFonts w:hint="default" w:ascii="Times New Roman" w:hAnsi="Times New Roman" w:eastAsia="黑体" w:cs="Times New Roman"/>
          <w:bCs/>
          <w:kern w:val="44"/>
          <w:sz w:val="21"/>
          <w:szCs w:val="44"/>
          <w:lang w:eastAsia="zh-CN"/>
        </w:rPr>
        <w:t>附录B</w:t>
      </w:r>
      <w:bookmarkEnd w:id="87"/>
    </w:p>
    <w:p w14:paraId="54951BA1">
      <w:pPr>
        <w:keepNext/>
        <w:keepLines/>
        <w:adjustRightInd w:val="0"/>
        <w:snapToGrid w:val="0"/>
        <w:spacing w:before="100" w:after="90" w:line="240" w:lineRule="auto"/>
        <w:jc w:val="center"/>
        <w:outlineLvl w:val="9"/>
        <w:rPr>
          <w:rFonts w:hint="default" w:ascii="Times New Roman" w:hAnsi="Times New Roman" w:eastAsia="黑体" w:cs="Times New Roman"/>
          <w:bCs/>
          <w:kern w:val="44"/>
          <w:sz w:val="21"/>
          <w:szCs w:val="44"/>
          <w:lang w:eastAsia="zh-CN"/>
        </w:rPr>
      </w:pPr>
      <w:r>
        <w:rPr>
          <w:rFonts w:hint="default" w:ascii="Times New Roman" w:hAnsi="Times New Roman" w:eastAsia="黑体" w:cs="Times New Roman"/>
          <w:bCs/>
          <w:kern w:val="44"/>
          <w:sz w:val="21"/>
          <w:szCs w:val="44"/>
          <w:lang w:eastAsia="zh-CN"/>
        </w:rPr>
        <w:t xml:space="preserve">（资料性） </w:t>
      </w:r>
    </w:p>
    <w:p w14:paraId="2D3980AF">
      <w:pPr>
        <w:keepNext/>
        <w:keepLines/>
        <w:adjustRightInd w:val="0"/>
        <w:snapToGrid w:val="0"/>
        <w:spacing w:before="100" w:after="90" w:line="240" w:lineRule="auto"/>
        <w:jc w:val="center"/>
        <w:outlineLvl w:val="9"/>
        <w:rPr>
          <w:rFonts w:hint="default" w:ascii="Times New Roman" w:hAnsi="Times New Roman" w:eastAsia="黑体" w:cs="Times New Roman"/>
          <w:bCs/>
          <w:kern w:val="44"/>
          <w:sz w:val="21"/>
          <w:szCs w:val="44"/>
          <w:lang w:eastAsia="zh-CN"/>
        </w:rPr>
      </w:pPr>
      <w:r>
        <w:rPr>
          <w:rFonts w:hint="default" w:ascii="Times New Roman" w:hAnsi="Times New Roman" w:eastAsia="黑体" w:cs="Times New Roman"/>
          <w:bCs/>
          <w:kern w:val="44"/>
          <w:sz w:val="21"/>
          <w:szCs w:val="44"/>
          <w:lang w:eastAsia="zh-CN"/>
        </w:rPr>
        <w:t>数据质量评价方法</w:t>
      </w:r>
      <w:bookmarkStart w:id="88" w:name="_TB"/>
      <w:bookmarkEnd w:id="88"/>
    </w:p>
    <w:p w14:paraId="7CF0FFAC">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val="en-US" w:eastAsia="zh-CN"/>
        </w:rPr>
      </w:pPr>
      <w:r>
        <w:rPr>
          <w:rFonts w:hint="default" w:ascii="Times New Roman" w:hAnsi="Times New Roman" w:eastAsia="黑体" w:cs="Times New Roman"/>
          <w:kern w:val="2"/>
          <w:sz w:val="21"/>
          <w:szCs w:val="24"/>
          <w:lang w:val="en-US" w:eastAsia="zh-CN"/>
        </w:rPr>
        <w:t>B.1 概述</w:t>
      </w:r>
    </w:p>
    <w:p w14:paraId="1EB34639">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本方法参考了欧盟产品环境足迹（PEF）数据质量评价方法。</w:t>
      </w:r>
    </w:p>
    <w:p w14:paraId="4A45F214">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val="en-US" w:eastAsia="zh-CN"/>
        </w:rPr>
      </w:pPr>
      <w:r>
        <w:rPr>
          <w:rFonts w:hint="default" w:ascii="Times New Roman" w:hAnsi="Times New Roman" w:eastAsia="黑体" w:cs="Times New Roman"/>
          <w:kern w:val="2"/>
          <w:sz w:val="21"/>
          <w:szCs w:val="24"/>
          <w:lang w:val="en-US" w:eastAsia="zh-CN"/>
        </w:rPr>
        <w:t xml:space="preserve">B.2 </w:t>
      </w:r>
      <w:r>
        <w:rPr>
          <w:rFonts w:hint="eastAsia" w:ascii="Times New Roman" w:hAnsi="Times New Roman" w:eastAsia="黑体" w:cs="Times New Roman"/>
          <w:kern w:val="2"/>
          <w:sz w:val="21"/>
          <w:szCs w:val="24"/>
          <w:lang w:val="en-US" w:eastAsia="zh-CN"/>
        </w:rPr>
        <w:t>初级</w:t>
      </w:r>
      <w:r>
        <w:rPr>
          <w:rFonts w:hint="default" w:ascii="Times New Roman" w:hAnsi="Times New Roman" w:eastAsia="黑体" w:cs="Times New Roman"/>
          <w:kern w:val="2"/>
          <w:sz w:val="21"/>
          <w:szCs w:val="24"/>
          <w:lang w:val="en-US" w:eastAsia="zh-CN"/>
        </w:rPr>
        <w:t>数据</w:t>
      </w:r>
    </w:p>
    <w:p w14:paraId="28900C6C">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 xml:space="preserve">B.2.1 </w:t>
      </w:r>
      <w:r>
        <w:rPr>
          <w:rFonts w:hint="eastAsia" w:ascii="Times New Roman" w:hAnsi="Times New Roman" w:eastAsia="黑体" w:cs="Times New Roman"/>
          <w:kern w:val="2"/>
          <w:sz w:val="21"/>
          <w:szCs w:val="24"/>
          <w:lang w:val="en-US" w:eastAsia="zh-CN"/>
        </w:rPr>
        <w:t>初级</w:t>
      </w:r>
      <w:r>
        <w:rPr>
          <w:rFonts w:hint="default" w:ascii="Times New Roman" w:hAnsi="Times New Roman" w:eastAsia="黑体" w:cs="Times New Roman"/>
          <w:kern w:val="2"/>
          <w:sz w:val="21"/>
          <w:szCs w:val="24"/>
          <w:lang w:eastAsia="zh-CN"/>
        </w:rPr>
        <w:t>数据质量等级计算公式及结果评价</w:t>
      </w:r>
    </w:p>
    <w:p w14:paraId="5A293CD1">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针对收集的</w:t>
      </w:r>
      <w:r>
        <w:rPr>
          <w:rFonts w:hint="eastAsia" w:ascii="Times New Roman" w:hAnsi="Times New Roman" w:eastAsia="宋体" w:cs="Times New Roman"/>
          <w:kern w:val="2"/>
          <w:sz w:val="21"/>
          <w:szCs w:val="21"/>
          <w:lang w:val="en-US" w:eastAsia="zh-CN"/>
        </w:rPr>
        <w:t>初级</w:t>
      </w:r>
      <w:r>
        <w:rPr>
          <w:rFonts w:hint="default" w:ascii="Times New Roman" w:hAnsi="Times New Roman" w:eastAsia="宋体" w:cs="Times New Roman"/>
          <w:kern w:val="2"/>
          <w:sz w:val="21"/>
          <w:szCs w:val="21"/>
        </w:rPr>
        <w:t>数据，应当根据公式（B.1）计算其数据质量等级，要求最终DQR AD</w:t>
      </w:r>
      <w:r>
        <w:rPr>
          <w:rFonts w:hint="eastAsia" w:ascii="Times New Roman" w:hAnsi="Times New Roman" w:eastAsia="宋体" w:cs="Times New Roman"/>
          <w:kern w:val="2"/>
          <w:sz w:val="21"/>
          <w:szCs w:val="21"/>
          <w:lang w:val="en-US" w:eastAsia="zh-CN"/>
        </w:rPr>
        <w:t>≤</w:t>
      </w:r>
      <w:r>
        <w:rPr>
          <w:rFonts w:hint="default" w:ascii="Times New Roman" w:hAnsi="Times New Roman" w:eastAsia="宋体" w:cs="Times New Roman"/>
          <w:kern w:val="2"/>
          <w:sz w:val="21"/>
          <w:szCs w:val="21"/>
        </w:rPr>
        <w:t>2</w:t>
      </w:r>
      <w:r>
        <w:rPr>
          <w:rFonts w:hint="eastAsia" w:ascii="Times New Roman" w:hAnsi="Times New Roman" w:eastAsia="宋体" w:cs="Times New Roman"/>
          <w:kern w:val="2"/>
          <w:sz w:val="21"/>
          <w:szCs w:val="21"/>
          <w:lang w:val="en-US" w:eastAsia="zh-CN"/>
        </w:rPr>
        <w:t>.0</w:t>
      </w:r>
      <w:r>
        <w:rPr>
          <w:rFonts w:hint="default" w:ascii="Times New Roman" w:hAnsi="Times New Roman" w:eastAsia="宋体" w:cs="Times New Roman"/>
          <w:kern w:val="2"/>
          <w:sz w:val="21"/>
          <w:szCs w:val="21"/>
        </w:rPr>
        <w:t>分，则认为收集的</w:t>
      </w:r>
      <w:r>
        <w:rPr>
          <w:rFonts w:hint="eastAsia" w:ascii="Times New Roman" w:hAnsi="Times New Roman" w:eastAsia="宋体" w:cs="Times New Roman"/>
          <w:kern w:val="2"/>
          <w:sz w:val="21"/>
          <w:szCs w:val="21"/>
          <w:lang w:val="en-US" w:eastAsia="zh-CN"/>
        </w:rPr>
        <w:t>初级</w:t>
      </w:r>
      <w:r>
        <w:rPr>
          <w:rFonts w:hint="default" w:ascii="Times New Roman" w:hAnsi="Times New Roman" w:eastAsia="宋体" w:cs="Times New Roman"/>
          <w:kern w:val="2"/>
          <w:sz w:val="21"/>
          <w:szCs w:val="21"/>
        </w:rPr>
        <w:t>数据质量合格。</w:t>
      </w:r>
    </w:p>
    <w:p w14:paraId="13078C7F">
      <w:pPr>
        <w:adjustRightInd w:val="0"/>
        <w:snapToGrid w:val="0"/>
        <w:spacing w:after="0" w:line="360" w:lineRule="auto"/>
        <w:ind w:firstLine="420" w:firstLineChars="200"/>
        <w:jc w:val="center"/>
        <w:rPr>
          <w:rFonts w:hint="default" w:ascii="Times New Roman" w:hAnsi="Times New Roman" w:eastAsia="宋体" w:cs="Times New Roman"/>
          <w:kern w:val="2"/>
          <w:sz w:val="21"/>
          <w:szCs w:val="21"/>
          <w:lang w:val="en-US"/>
        </w:rPr>
      </w:pPr>
      <m:oMath>
        <m:sSub>
          <m:sSubPr>
            <m:ctrlPr>
              <w:rPr>
                <w:rFonts w:hint="default" w:ascii="Cambria Math" w:hAnsi="Cambria Math" w:cs="Times New Roman"/>
                <w:i/>
                <w:kern w:val="2"/>
                <w:sz w:val="21"/>
                <w:szCs w:val="21"/>
                <w:lang w:val="en-US"/>
              </w:rPr>
            </m:ctrlPr>
          </m:sSubPr>
          <m:e>
            <m:r>
              <m:rPr>
                <m:nor/>
              </m:rPr>
              <w:rPr>
                <w:rFonts w:hint="default" w:ascii="Times New Roman" w:hAnsi="Times New Roman" w:cs="Times New Roman"/>
                <w:i/>
                <w:kern w:val="2"/>
                <w:sz w:val="21"/>
                <w:szCs w:val="21"/>
                <w:lang w:val="en-US" w:eastAsia="zh-CN"/>
              </w:rPr>
              <m:t>DQR</m:t>
            </m:r>
            <m:ctrlPr>
              <w:rPr>
                <w:rFonts w:hint="default" w:ascii="Cambria Math" w:hAnsi="Cambria Math" w:cs="Times New Roman"/>
                <w:i/>
                <w:kern w:val="2"/>
                <w:sz w:val="21"/>
                <w:szCs w:val="21"/>
                <w:lang w:val="en-US"/>
              </w:rPr>
            </m:ctrlPr>
          </m:e>
          <m:sub>
            <m:r>
              <m:rPr>
                <m:nor/>
              </m:rPr>
              <w:rPr>
                <w:rFonts w:hint="default" w:ascii="Times New Roman" w:hAnsi="Times New Roman" w:cs="Times New Roman"/>
                <w:i/>
                <w:kern w:val="2"/>
                <w:sz w:val="21"/>
                <w:szCs w:val="21"/>
                <w:lang w:val="en-US" w:eastAsia="zh-CN"/>
              </w:rPr>
              <m:t>AD</m:t>
            </m:r>
            <m:ctrlPr>
              <w:rPr>
                <w:rFonts w:hint="default" w:ascii="Cambria Math" w:hAnsi="Cambria Math" w:cs="Times New Roman"/>
                <w:i/>
                <w:kern w:val="2"/>
                <w:sz w:val="21"/>
                <w:szCs w:val="21"/>
                <w:lang w:val="en-US"/>
              </w:rPr>
            </m:ctrlPr>
          </m:sub>
        </m:sSub>
        <m:r>
          <m:rPr>
            <m:nor/>
            <m:sty m:val="p"/>
          </m:rPr>
          <w:rPr>
            <w:rFonts w:hint="default" w:ascii="Times New Roman" w:hAnsi="Times New Roman" w:cs="Times New Roman"/>
            <w:b w:val="0"/>
            <w:i w:val="0"/>
            <w:kern w:val="2"/>
            <w:sz w:val="21"/>
            <w:szCs w:val="21"/>
            <w:lang w:val="en-US"/>
          </w:rPr>
          <m:t>=</m:t>
        </m:r>
        <m:f>
          <m:fPr>
            <m:ctrlPr>
              <w:rPr>
                <w:rFonts w:hint="default" w:ascii="Cambria Math" w:hAnsi="Cambria Math" w:cs="Times New Roman"/>
                <w:i/>
                <w:kern w:val="2"/>
                <w:sz w:val="21"/>
                <w:szCs w:val="21"/>
                <w:lang w:val="en-US"/>
              </w:rPr>
            </m:ctrlPr>
          </m:fPr>
          <m:num>
            <m:sSub>
              <m:sSubPr>
                <m:ctrlPr>
                  <w:rPr>
                    <w:rFonts w:hint="default" w:ascii="Cambria Math" w:hAnsi="Cambria Math" w:cs="Times New Roman"/>
                    <w:i/>
                    <w:kern w:val="2"/>
                    <w:sz w:val="21"/>
                    <w:szCs w:val="21"/>
                    <w:lang w:val="en-US"/>
                  </w:rPr>
                </m:ctrlPr>
              </m:sSubPr>
              <m:e>
                <m:r>
                  <m:rPr>
                    <m:nor/>
                  </m:rPr>
                  <w:rPr>
                    <w:rFonts w:hint="default" w:ascii="Times New Roman" w:hAnsi="Times New Roman" w:cs="Times New Roman"/>
                    <w:i/>
                    <w:kern w:val="2"/>
                    <w:sz w:val="21"/>
                    <w:szCs w:val="21"/>
                    <w:lang w:val="en-US" w:eastAsia="zh-CN"/>
                  </w:rPr>
                  <m:t>TiR</m:t>
                </m:r>
                <m:ctrlPr>
                  <w:rPr>
                    <w:rFonts w:hint="default" w:ascii="Cambria Math" w:hAnsi="Cambria Math" w:cs="Times New Roman"/>
                    <w:i/>
                    <w:kern w:val="2"/>
                    <w:sz w:val="21"/>
                    <w:szCs w:val="21"/>
                    <w:lang w:val="en-US"/>
                  </w:rPr>
                </m:ctrlPr>
              </m:e>
              <m:sub>
                <m:r>
                  <m:rPr>
                    <m:nor/>
                  </m:rPr>
                  <w:rPr>
                    <w:rFonts w:hint="default" w:ascii="Times New Roman" w:hAnsi="Times New Roman" w:cs="Times New Roman"/>
                    <w:i/>
                    <w:kern w:val="2"/>
                    <w:sz w:val="21"/>
                    <w:szCs w:val="21"/>
                    <w:lang w:val="en-US" w:eastAsia="zh-CN"/>
                  </w:rPr>
                  <m:t>AD</m:t>
                </m:r>
                <m:ctrlPr>
                  <w:rPr>
                    <w:rFonts w:hint="default" w:ascii="Cambria Math" w:hAnsi="Cambria Math" w:cs="Times New Roman"/>
                    <w:i/>
                    <w:kern w:val="2"/>
                    <w:sz w:val="21"/>
                    <w:szCs w:val="21"/>
                    <w:lang w:val="en-US"/>
                  </w:rPr>
                </m:ctrlPr>
              </m:sub>
            </m:sSub>
            <m:r>
              <m:rPr>
                <m:nor/>
                <m:sty m:val="p"/>
              </m:rPr>
              <w:rPr>
                <w:rFonts w:hint="default" w:ascii="Times New Roman" w:hAnsi="Times New Roman" w:cs="Times New Roman"/>
                <w:b w:val="0"/>
                <w:i w:val="0"/>
                <w:kern w:val="2"/>
                <w:sz w:val="21"/>
                <w:szCs w:val="21"/>
                <w:lang w:val="en-US"/>
              </w:rPr>
              <m:t>+</m:t>
            </m:r>
            <m:sSub>
              <m:sSubPr>
                <m:ctrlPr>
                  <w:rPr>
                    <w:rFonts w:hint="default" w:ascii="Cambria Math" w:hAnsi="Cambria Math" w:cs="Times New Roman"/>
                    <w:i/>
                    <w:kern w:val="2"/>
                    <w:sz w:val="21"/>
                    <w:szCs w:val="21"/>
                    <w:lang w:val="en-US"/>
                  </w:rPr>
                </m:ctrlPr>
              </m:sSubPr>
              <m:e>
                <m:r>
                  <m:rPr>
                    <m:nor/>
                  </m:rPr>
                  <w:rPr>
                    <w:rFonts w:hint="default" w:ascii="Times New Roman" w:hAnsi="Times New Roman" w:cs="Times New Roman"/>
                    <w:i/>
                    <w:kern w:val="2"/>
                    <w:sz w:val="21"/>
                    <w:szCs w:val="21"/>
                    <w:lang w:val="en-US" w:eastAsia="zh-CN"/>
                  </w:rPr>
                  <m:t>TeR</m:t>
                </m:r>
                <m:ctrlPr>
                  <w:rPr>
                    <w:rFonts w:hint="default" w:ascii="Cambria Math" w:hAnsi="Cambria Math" w:cs="Times New Roman"/>
                    <w:i/>
                    <w:kern w:val="2"/>
                    <w:sz w:val="21"/>
                    <w:szCs w:val="21"/>
                    <w:lang w:val="en-US"/>
                  </w:rPr>
                </m:ctrlPr>
              </m:e>
              <m:sub>
                <m:r>
                  <m:rPr>
                    <m:nor/>
                  </m:rPr>
                  <w:rPr>
                    <w:rFonts w:hint="default" w:ascii="Times New Roman" w:hAnsi="Times New Roman" w:cs="Times New Roman"/>
                    <w:i/>
                    <w:kern w:val="2"/>
                    <w:sz w:val="21"/>
                    <w:szCs w:val="21"/>
                    <w:lang w:val="en-US" w:eastAsia="zh-CN"/>
                  </w:rPr>
                  <m:t>AD</m:t>
                </m:r>
                <m:ctrlPr>
                  <w:rPr>
                    <w:rFonts w:hint="default" w:ascii="Cambria Math" w:hAnsi="Cambria Math" w:cs="Times New Roman"/>
                    <w:i/>
                    <w:kern w:val="2"/>
                    <w:sz w:val="21"/>
                    <w:szCs w:val="21"/>
                    <w:lang w:val="en-US"/>
                  </w:rPr>
                </m:ctrlPr>
              </m:sub>
            </m:sSub>
            <m:r>
              <m:rPr>
                <m:nor/>
                <m:sty m:val="p"/>
              </m:rPr>
              <w:rPr>
                <w:rFonts w:hint="default" w:ascii="Times New Roman" w:hAnsi="Times New Roman" w:cs="Times New Roman"/>
                <w:b w:val="0"/>
                <w:i w:val="0"/>
                <w:kern w:val="2"/>
                <w:sz w:val="21"/>
                <w:szCs w:val="21"/>
                <w:lang w:val="en-US"/>
              </w:rPr>
              <m:t>+</m:t>
            </m:r>
            <m:sSub>
              <m:sSubPr>
                <m:ctrlPr>
                  <w:rPr>
                    <w:rFonts w:hint="default" w:ascii="Cambria Math" w:hAnsi="Cambria Math" w:cs="Times New Roman"/>
                    <w:i/>
                    <w:kern w:val="2"/>
                    <w:sz w:val="21"/>
                    <w:szCs w:val="21"/>
                    <w:lang w:val="en-US"/>
                  </w:rPr>
                </m:ctrlPr>
              </m:sSubPr>
              <m:e>
                <m:r>
                  <m:rPr>
                    <m:nor/>
                  </m:rPr>
                  <w:rPr>
                    <w:rFonts w:hint="default" w:ascii="Times New Roman" w:hAnsi="Times New Roman" w:cs="Times New Roman"/>
                    <w:i/>
                    <w:kern w:val="2"/>
                    <w:sz w:val="21"/>
                    <w:szCs w:val="21"/>
                    <w:lang w:val="en-US" w:eastAsia="zh-CN"/>
                  </w:rPr>
                  <m:t>GeR</m:t>
                </m:r>
                <m:ctrlPr>
                  <w:rPr>
                    <w:rFonts w:hint="default" w:ascii="Cambria Math" w:hAnsi="Cambria Math" w:cs="Times New Roman"/>
                    <w:i/>
                    <w:kern w:val="2"/>
                    <w:sz w:val="21"/>
                    <w:szCs w:val="21"/>
                    <w:lang w:val="en-US"/>
                  </w:rPr>
                </m:ctrlPr>
              </m:e>
              <m:sub>
                <m:r>
                  <m:rPr>
                    <m:nor/>
                  </m:rPr>
                  <w:rPr>
                    <w:rFonts w:hint="default" w:ascii="Times New Roman" w:hAnsi="Times New Roman" w:cs="Times New Roman"/>
                    <w:i/>
                    <w:kern w:val="2"/>
                    <w:sz w:val="21"/>
                    <w:szCs w:val="21"/>
                    <w:lang w:val="en-US" w:eastAsia="zh-CN"/>
                  </w:rPr>
                  <m:t>AD</m:t>
                </m:r>
                <m:ctrlPr>
                  <w:rPr>
                    <w:rFonts w:hint="default" w:ascii="Cambria Math" w:hAnsi="Cambria Math" w:cs="Times New Roman"/>
                    <w:i/>
                    <w:kern w:val="2"/>
                    <w:sz w:val="21"/>
                    <w:szCs w:val="21"/>
                    <w:lang w:val="en-US"/>
                  </w:rPr>
                </m:ctrlPr>
              </m:sub>
            </m:sSub>
            <m:r>
              <m:rPr>
                <m:nor/>
                <m:sty m:val="p"/>
              </m:rPr>
              <w:rPr>
                <w:rFonts w:hint="default" w:ascii="Times New Roman" w:hAnsi="Times New Roman" w:cs="Times New Roman"/>
                <w:b w:val="0"/>
                <w:i w:val="0"/>
                <w:kern w:val="2"/>
                <w:sz w:val="21"/>
                <w:szCs w:val="21"/>
                <w:lang w:val="en-US"/>
              </w:rPr>
              <m:t>+</m:t>
            </m:r>
            <m:sSub>
              <m:sSubPr>
                <m:ctrlPr>
                  <w:rPr>
                    <w:rFonts w:hint="default" w:ascii="Cambria Math" w:hAnsi="Cambria Math" w:cs="Times New Roman"/>
                    <w:i/>
                    <w:kern w:val="2"/>
                    <w:sz w:val="21"/>
                    <w:szCs w:val="21"/>
                    <w:lang w:val="en-US"/>
                  </w:rPr>
                </m:ctrlPr>
              </m:sSubPr>
              <m:e>
                <m:r>
                  <m:rPr>
                    <m:nor/>
                  </m:rPr>
                  <w:rPr>
                    <w:rFonts w:hint="default" w:ascii="Times New Roman" w:hAnsi="Times New Roman" w:cs="Times New Roman"/>
                    <w:i/>
                    <w:kern w:val="2"/>
                    <w:sz w:val="21"/>
                    <w:szCs w:val="21"/>
                    <w:lang w:val="en-US" w:eastAsia="zh-CN"/>
                  </w:rPr>
                  <m:t>P</m:t>
                </m:r>
                <m:ctrlPr>
                  <w:rPr>
                    <w:rFonts w:hint="default" w:ascii="Cambria Math" w:hAnsi="Cambria Math" w:cs="Times New Roman"/>
                    <w:i/>
                    <w:kern w:val="2"/>
                    <w:sz w:val="21"/>
                    <w:szCs w:val="21"/>
                    <w:lang w:val="en-US"/>
                  </w:rPr>
                </m:ctrlPr>
              </m:e>
              <m:sub>
                <m:r>
                  <m:rPr>
                    <m:nor/>
                  </m:rPr>
                  <w:rPr>
                    <w:rFonts w:hint="default" w:ascii="Times New Roman" w:hAnsi="Times New Roman" w:cs="Times New Roman"/>
                    <w:i/>
                    <w:kern w:val="2"/>
                    <w:sz w:val="21"/>
                    <w:szCs w:val="21"/>
                    <w:lang w:val="en-US" w:eastAsia="zh-CN"/>
                  </w:rPr>
                  <m:t>AD</m:t>
                </m:r>
                <m:ctrlPr>
                  <w:rPr>
                    <w:rFonts w:hint="default" w:ascii="Cambria Math" w:hAnsi="Cambria Math" w:cs="Times New Roman"/>
                    <w:i/>
                    <w:kern w:val="2"/>
                    <w:sz w:val="21"/>
                    <w:szCs w:val="21"/>
                    <w:lang w:val="en-US"/>
                  </w:rPr>
                </m:ctrlPr>
              </m:sub>
            </m:sSub>
            <m:ctrlPr>
              <w:rPr>
                <w:rFonts w:hint="default" w:ascii="Cambria Math" w:hAnsi="Cambria Math" w:cs="Times New Roman"/>
                <w:i/>
                <w:kern w:val="2"/>
                <w:sz w:val="21"/>
                <w:szCs w:val="21"/>
                <w:lang w:val="en-US"/>
              </w:rPr>
            </m:ctrlPr>
          </m:num>
          <m:den>
            <m:r>
              <m:rPr>
                <m:nor/>
                <m:sty m:val="p"/>
              </m:rPr>
              <w:rPr>
                <w:rFonts w:hint="default" w:ascii="Times New Roman" w:hAnsi="Times New Roman" w:cs="Times New Roman"/>
                <w:b w:val="0"/>
                <w:i w:val="0"/>
                <w:kern w:val="2"/>
                <w:sz w:val="21"/>
                <w:szCs w:val="21"/>
                <w:lang w:val="en-US" w:eastAsia="zh-CN"/>
              </w:rPr>
              <m:t>4</m:t>
            </m:r>
            <m:ctrlPr>
              <w:rPr>
                <w:rFonts w:hint="default" w:ascii="Cambria Math" w:hAnsi="Cambria Math" w:cs="Times New Roman"/>
                <w:i/>
                <w:kern w:val="2"/>
                <w:sz w:val="21"/>
                <w:szCs w:val="21"/>
                <w:lang w:val="en-US"/>
              </w:rPr>
            </m:ctrlPr>
          </m:den>
        </m:f>
      </m:oMath>
      <w:r>
        <w:rPr>
          <w:rFonts w:hint="default" w:ascii="Times New Roman" w:hAnsi="Times New Roman" w:cs="Times New Roman"/>
          <w:i/>
          <w:kern w:val="2"/>
          <w:sz w:val="21"/>
          <w:szCs w:val="21"/>
          <w:lang w:val="en-US" w:eastAsia="zh-CN"/>
        </w:rPr>
        <w:t xml:space="preserve">  </w:t>
      </w:r>
      <m:oMath>
        <m:r>
          <m:rPr>
            <m:nor/>
            <m:sty m:val="p"/>
          </m:rPr>
          <w:rPr>
            <w:rFonts w:hint="default" w:ascii="Times New Roman" w:hAnsi="Times New Roman" w:cs="Times New Roman" w:eastAsiaTheme="minorEastAsia"/>
            <w:b w:val="0"/>
            <w:i w:val="0"/>
            <w:kern w:val="2"/>
            <w:sz w:val="21"/>
            <w:szCs w:val="21"/>
            <w:lang w:val="en-US" w:eastAsia="en-US" w:bidi="ar-SA"/>
          </w:rPr>
          <m:t>.........................(</m:t>
        </m:r>
        <m:r>
          <m:rPr>
            <m:nor/>
          </m:rPr>
          <w:rPr>
            <w:rFonts w:hint="default" w:ascii="Times New Roman" w:hAnsi="Times New Roman" w:cs="Times New Roman" w:eastAsiaTheme="minorEastAsia"/>
            <w:i/>
            <w:kern w:val="2"/>
            <w:sz w:val="21"/>
            <w:szCs w:val="21"/>
            <w:lang w:val="en-US" w:eastAsia="en-US" w:bidi="ar-SA"/>
          </w:rPr>
          <m:t>B</m:t>
        </m:r>
        <m:r>
          <m:rPr>
            <m:nor/>
            <m:sty m:val="p"/>
          </m:rPr>
          <w:rPr>
            <w:rFonts w:hint="default" w:ascii="Times New Roman" w:hAnsi="Times New Roman" w:cs="Times New Roman" w:eastAsiaTheme="minorEastAsia"/>
            <w:b w:val="0"/>
            <w:i w:val="0"/>
            <w:kern w:val="2"/>
            <w:sz w:val="21"/>
            <w:szCs w:val="21"/>
            <w:lang w:val="en-US" w:eastAsia="en-US" w:bidi="ar-SA"/>
          </w:rPr>
          <m:t>.1)</m:t>
        </m:r>
      </m:oMath>
    </w:p>
    <w:p w14:paraId="0806C5F2">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式中：</w:t>
      </w:r>
    </w:p>
    <w:p w14:paraId="017BBDD1">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DQR</w:t>
      </w:r>
      <w:r>
        <w:rPr>
          <w:rFonts w:hint="default" w:ascii="Times New Roman" w:hAnsi="Times New Roman" w:eastAsia="宋体" w:cs="Times New Roman"/>
          <w:kern w:val="2"/>
          <w:sz w:val="21"/>
          <w:szCs w:val="21"/>
          <w:vertAlign w:val="subscript"/>
        </w:rPr>
        <w:t>AD</w:t>
      </w:r>
      <w:r>
        <w:rPr>
          <w:rFonts w:hint="default" w:ascii="Times New Roman" w:hAnsi="Times New Roman" w:eastAsia="宋体" w:cs="Times New Roman"/>
          <w:kern w:val="2"/>
          <w:sz w:val="21"/>
          <w:szCs w:val="21"/>
        </w:rPr>
        <w:t>——</w:t>
      </w:r>
      <w:r>
        <w:rPr>
          <w:rFonts w:hint="eastAsia" w:ascii="Times New Roman" w:hAnsi="Times New Roman" w:eastAsia="宋体" w:cs="Times New Roman"/>
          <w:kern w:val="2"/>
          <w:sz w:val="21"/>
          <w:szCs w:val="21"/>
          <w:lang w:val="en-US" w:eastAsia="zh-CN"/>
        </w:rPr>
        <w:t>初级</w:t>
      </w:r>
      <w:r>
        <w:rPr>
          <w:rFonts w:hint="default" w:ascii="Times New Roman" w:hAnsi="Times New Roman" w:eastAsia="宋体" w:cs="Times New Roman"/>
          <w:kern w:val="2"/>
          <w:sz w:val="21"/>
          <w:szCs w:val="21"/>
        </w:rPr>
        <w:t>数据质量等级；</w:t>
      </w:r>
    </w:p>
    <w:p w14:paraId="6DED64FC">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TiR</w:t>
      </w:r>
      <w:r>
        <w:rPr>
          <w:rFonts w:hint="default" w:ascii="Times New Roman" w:hAnsi="Times New Roman" w:eastAsia="宋体" w:cs="Times New Roman"/>
          <w:kern w:val="2"/>
          <w:sz w:val="21"/>
          <w:szCs w:val="21"/>
          <w:vertAlign w:val="subscript"/>
        </w:rPr>
        <w:t>AD</w:t>
      </w:r>
      <w:r>
        <w:rPr>
          <w:rFonts w:hint="default" w:ascii="Times New Roman" w:hAnsi="Times New Roman" w:eastAsia="宋体" w:cs="Times New Roman"/>
          <w:kern w:val="2"/>
          <w:sz w:val="21"/>
          <w:szCs w:val="21"/>
        </w:rPr>
        <w:t>——</w:t>
      </w:r>
      <w:r>
        <w:rPr>
          <w:rFonts w:hint="eastAsia" w:ascii="Times New Roman" w:hAnsi="Times New Roman" w:eastAsia="宋体" w:cs="Times New Roman"/>
          <w:kern w:val="2"/>
          <w:sz w:val="21"/>
          <w:szCs w:val="21"/>
          <w:lang w:val="en-US" w:eastAsia="zh-CN"/>
        </w:rPr>
        <w:t>初级</w:t>
      </w:r>
      <w:r>
        <w:rPr>
          <w:rFonts w:hint="default" w:ascii="Times New Roman" w:hAnsi="Times New Roman" w:eastAsia="宋体" w:cs="Times New Roman"/>
          <w:kern w:val="2"/>
          <w:sz w:val="21"/>
          <w:szCs w:val="21"/>
        </w:rPr>
        <w:t>数据的时间代表性，根据表B.1规则对数据进行打分；</w:t>
      </w:r>
    </w:p>
    <w:p w14:paraId="710F35EE">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TeR</w:t>
      </w:r>
      <w:r>
        <w:rPr>
          <w:rFonts w:hint="default" w:ascii="Times New Roman" w:hAnsi="Times New Roman" w:eastAsia="宋体" w:cs="Times New Roman"/>
          <w:kern w:val="2"/>
          <w:sz w:val="21"/>
          <w:szCs w:val="21"/>
          <w:vertAlign w:val="subscript"/>
        </w:rPr>
        <w:t>AD</w:t>
      </w:r>
      <w:r>
        <w:rPr>
          <w:rFonts w:hint="default" w:ascii="Times New Roman" w:hAnsi="Times New Roman" w:eastAsia="宋体" w:cs="Times New Roman"/>
          <w:kern w:val="2"/>
          <w:sz w:val="21"/>
          <w:szCs w:val="21"/>
        </w:rPr>
        <w:t>——</w:t>
      </w:r>
      <w:r>
        <w:rPr>
          <w:rFonts w:hint="eastAsia" w:ascii="Times New Roman" w:hAnsi="Times New Roman" w:eastAsia="宋体" w:cs="Times New Roman"/>
          <w:kern w:val="2"/>
          <w:sz w:val="21"/>
          <w:szCs w:val="21"/>
          <w:lang w:val="en-US" w:eastAsia="zh-CN"/>
        </w:rPr>
        <w:t>初级</w:t>
      </w:r>
      <w:r>
        <w:rPr>
          <w:rFonts w:hint="default" w:ascii="Times New Roman" w:hAnsi="Times New Roman" w:eastAsia="宋体" w:cs="Times New Roman"/>
          <w:kern w:val="2"/>
          <w:sz w:val="21"/>
          <w:szCs w:val="21"/>
        </w:rPr>
        <w:t>数据的技术代表性，根据表B.1规则对数据进行打分；</w:t>
      </w:r>
    </w:p>
    <w:p w14:paraId="370D1E8F">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GeR</w:t>
      </w:r>
      <w:r>
        <w:rPr>
          <w:rFonts w:hint="default" w:ascii="Times New Roman" w:hAnsi="Times New Roman" w:eastAsia="宋体" w:cs="Times New Roman"/>
          <w:kern w:val="2"/>
          <w:sz w:val="21"/>
          <w:szCs w:val="21"/>
          <w:vertAlign w:val="subscript"/>
        </w:rPr>
        <w:t>AD</w:t>
      </w:r>
      <w:r>
        <w:rPr>
          <w:rFonts w:hint="default" w:ascii="Times New Roman" w:hAnsi="Times New Roman" w:eastAsia="宋体" w:cs="Times New Roman"/>
          <w:kern w:val="2"/>
          <w:sz w:val="21"/>
          <w:szCs w:val="21"/>
        </w:rPr>
        <w:t>——</w:t>
      </w:r>
      <w:r>
        <w:rPr>
          <w:rFonts w:hint="eastAsia" w:ascii="Times New Roman" w:hAnsi="Times New Roman" w:eastAsia="宋体" w:cs="Times New Roman"/>
          <w:kern w:val="2"/>
          <w:sz w:val="21"/>
          <w:szCs w:val="21"/>
          <w:lang w:val="en-US" w:eastAsia="zh-CN"/>
        </w:rPr>
        <w:t>初级</w:t>
      </w:r>
      <w:r>
        <w:rPr>
          <w:rFonts w:hint="default" w:ascii="Times New Roman" w:hAnsi="Times New Roman" w:eastAsia="宋体" w:cs="Times New Roman"/>
          <w:kern w:val="2"/>
          <w:sz w:val="21"/>
          <w:szCs w:val="21"/>
        </w:rPr>
        <w:t>数据的地理代表性，根据表B.1规则对数据进行打分；</w:t>
      </w:r>
    </w:p>
    <w:p w14:paraId="20E309ED">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P</w:t>
      </w:r>
      <w:r>
        <w:rPr>
          <w:rFonts w:hint="default" w:ascii="Times New Roman" w:hAnsi="Times New Roman" w:eastAsia="宋体" w:cs="Times New Roman"/>
          <w:kern w:val="2"/>
          <w:sz w:val="21"/>
          <w:szCs w:val="21"/>
          <w:vertAlign w:val="subscript"/>
        </w:rPr>
        <w:t>AD</w:t>
      </w:r>
      <w:r>
        <w:rPr>
          <w:rFonts w:hint="default" w:ascii="Times New Roman" w:hAnsi="Times New Roman" w:eastAsia="宋体" w:cs="Times New Roman"/>
          <w:kern w:val="2"/>
          <w:sz w:val="21"/>
          <w:szCs w:val="21"/>
        </w:rPr>
        <w:t>——</w:t>
      </w:r>
      <w:r>
        <w:rPr>
          <w:rFonts w:hint="eastAsia" w:ascii="Times New Roman" w:hAnsi="Times New Roman" w:eastAsia="宋体" w:cs="Times New Roman"/>
          <w:kern w:val="2"/>
          <w:sz w:val="21"/>
          <w:szCs w:val="21"/>
          <w:lang w:val="en-US" w:eastAsia="zh-CN"/>
        </w:rPr>
        <w:t>初级</w:t>
      </w:r>
      <w:r>
        <w:rPr>
          <w:rFonts w:hint="default" w:ascii="Times New Roman" w:hAnsi="Times New Roman" w:eastAsia="宋体" w:cs="Times New Roman"/>
          <w:kern w:val="2"/>
          <w:sz w:val="21"/>
          <w:szCs w:val="21"/>
        </w:rPr>
        <w:t>数据的准确度，根据表B.1规则对数据进行打分。</w:t>
      </w:r>
    </w:p>
    <w:p w14:paraId="08AFA3AC">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p>
    <w:p w14:paraId="4FD60F30">
      <w:pPr>
        <w:adjustRightInd w:val="0"/>
        <w:snapToGrid w:val="0"/>
        <w:spacing w:after="0" w:line="360" w:lineRule="auto"/>
        <w:jc w:val="center"/>
        <w:rPr>
          <w:rFonts w:hint="default" w:ascii="Times New Roman" w:hAnsi="Times New Roman" w:eastAsia="黑体" w:cs="Times New Roman"/>
          <w:kern w:val="2"/>
          <w:sz w:val="21"/>
          <w:szCs w:val="21"/>
        </w:rPr>
      </w:pPr>
      <w:r>
        <w:rPr>
          <w:rFonts w:hint="default" w:ascii="Times New Roman" w:hAnsi="Times New Roman" w:eastAsia="黑体" w:cs="Times New Roman"/>
          <w:kern w:val="2"/>
          <w:sz w:val="21"/>
          <w:szCs w:val="21"/>
        </w:rPr>
        <w:t xml:space="preserve">表B.1 </w:t>
      </w:r>
      <w:r>
        <w:rPr>
          <w:rFonts w:hint="eastAsia" w:ascii="Times New Roman" w:hAnsi="Times New Roman" w:eastAsia="黑体" w:cs="Times New Roman"/>
          <w:kern w:val="2"/>
          <w:sz w:val="21"/>
          <w:szCs w:val="21"/>
          <w:lang w:val="en-US" w:eastAsia="zh-CN"/>
        </w:rPr>
        <w:t>初级</w:t>
      </w:r>
      <w:r>
        <w:rPr>
          <w:rFonts w:hint="default" w:ascii="Times New Roman" w:hAnsi="Times New Roman" w:eastAsia="黑体" w:cs="Times New Roman"/>
          <w:kern w:val="2"/>
          <w:sz w:val="21"/>
          <w:szCs w:val="21"/>
        </w:rPr>
        <w:t>数据TiR</w:t>
      </w:r>
      <w:r>
        <w:rPr>
          <w:rFonts w:hint="default" w:ascii="Times New Roman" w:hAnsi="Times New Roman" w:eastAsia="黑体" w:cs="Times New Roman"/>
          <w:kern w:val="2"/>
          <w:sz w:val="21"/>
          <w:szCs w:val="21"/>
          <w:vertAlign w:val="subscript"/>
        </w:rPr>
        <w:t>AD</w:t>
      </w:r>
      <w:r>
        <w:rPr>
          <w:rFonts w:hint="default" w:ascii="Times New Roman" w:hAnsi="Times New Roman" w:eastAsia="黑体" w:cs="Times New Roman"/>
          <w:kern w:val="2"/>
          <w:sz w:val="21"/>
          <w:szCs w:val="21"/>
        </w:rPr>
        <w:t>、TeR</w:t>
      </w:r>
      <w:r>
        <w:rPr>
          <w:rFonts w:hint="default" w:ascii="Times New Roman" w:hAnsi="Times New Roman" w:eastAsia="黑体" w:cs="Times New Roman"/>
          <w:kern w:val="2"/>
          <w:sz w:val="21"/>
          <w:szCs w:val="21"/>
          <w:vertAlign w:val="subscript"/>
        </w:rPr>
        <w:t>AD</w:t>
      </w:r>
      <w:r>
        <w:rPr>
          <w:rFonts w:hint="default" w:ascii="Times New Roman" w:hAnsi="Times New Roman" w:eastAsia="黑体" w:cs="Times New Roman"/>
          <w:kern w:val="2"/>
          <w:sz w:val="21"/>
          <w:szCs w:val="21"/>
        </w:rPr>
        <w:t>、GeR</w:t>
      </w:r>
      <w:r>
        <w:rPr>
          <w:rFonts w:hint="default" w:ascii="Times New Roman" w:hAnsi="Times New Roman" w:eastAsia="黑体" w:cs="Times New Roman"/>
          <w:kern w:val="2"/>
          <w:sz w:val="21"/>
          <w:szCs w:val="21"/>
          <w:vertAlign w:val="subscript"/>
        </w:rPr>
        <w:t>AD</w:t>
      </w:r>
      <w:r>
        <w:rPr>
          <w:rFonts w:hint="default" w:ascii="Times New Roman" w:hAnsi="Times New Roman" w:eastAsia="黑体" w:cs="Times New Roman"/>
          <w:kern w:val="2"/>
          <w:sz w:val="21"/>
          <w:szCs w:val="21"/>
        </w:rPr>
        <w:t>、P</w:t>
      </w:r>
      <w:r>
        <w:rPr>
          <w:rFonts w:hint="default" w:ascii="Times New Roman" w:hAnsi="Times New Roman" w:eastAsia="黑体" w:cs="Times New Roman"/>
          <w:kern w:val="2"/>
          <w:sz w:val="21"/>
          <w:szCs w:val="21"/>
          <w:vertAlign w:val="subscript"/>
        </w:rPr>
        <w:t>AD</w:t>
      </w:r>
      <w:r>
        <w:rPr>
          <w:rFonts w:hint="default" w:ascii="Times New Roman" w:hAnsi="Times New Roman" w:eastAsia="黑体" w:cs="Times New Roman"/>
          <w:kern w:val="2"/>
          <w:sz w:val="21"/>
          <w:szCs w:val="21"/>
        </w:rPr>
        <w:t>四项参数评分表</w:t>
      </w:r>
    </w:p>
    <w:tbl>
      <w:tblPr>
        <w:tblStyle w:val="12"/>
        <w:tblW w:w="10410" w:type="dxa"/>
        <w:jc w:val="center"/>
        <w:tblBorders>
          <w:top w:val="none" w:color="1A5276" w:sz="12" w:space="0"/>
          <w:left w:val="none" w:color="auto" w:sz="0" w:space="0"/>
          <w:bottom w:val="none" w:color="1A5276" w:sz="12" w:space="0"/>
          <w:right w:val="none" w:color="auto" w:sz="0" w:space="0"/>
          <w:insideH w:val="none" w:color="D5D8DC" w:sz="4" w:space="0"/>
          <w:insideV w:val="none" w:color="auto" w:sz="0" w:space="0"/>
        </w:tblBorders>
        <w:tblLayout w:type="autofit"/>
        <w:tblCellMar>
          <w:top w:w="0" w:type="dxa"/>
          <w:left w:w="10" w:type="dxa"/>
          <w:bottom w:w="0" w:type="dxa"/>
          <w:right w:w="10" w:type="dxa"/>
        </w:tblCellMar>
      </w:tblPr>
      <w:tblGrid>
        <w:gridCol w:w="781"/>
        <w:gridCol w:w="1155"/>
        <w:gridCol w:w="2069"/>
        <w:gridCol w:w="2160"/>
        <w:gridCol w:w="2512"/>
        <w:gridCol w:w="1733"/>
      </w:tblGrid>
      <w:tr w14:paraId="5C33572A">
        <w:tblPrEx>
          <w:tblBorders>
            <w:top w:val="none" w:color="1A5276" w:sz="12" w:space="0"/>
            <w:left w:val="none" w:color="auto" w:sz="0" w:space="0"/>
            <w:bottom w:val="none" w:color="1A5276" w:sz="12" w:space="0"/>
            <w:right w:val="none" w:color="auto" w:sz="0" w:space="0"/>
            <w:insideH w:val="none" w:color="D5D8DC" w:sz="4" w:space="0"/>
            <w:insideV w:val="none" w:color="auto" w:sz="0" w:space="0"/>
          </w:tblBorders>
          <w:tblCellMar>
            <w:top w:w="0" w:type="dxa"/>
            <w:left w:w="10" w:type="dxa"/>
            <w:bottom w:w="0" w:type="dxa"/>
            <w:right w:w="10" w:type="dxa"/>
          </w:tblCellMar>
        </w:tblPrEx>
        <w:trPr>
          <w:trHeight w:val="0" w:hRule="atLeast"/>
          <w:tblHeader/>
          <w:jc w:val="center"/>
        </w:trPr>
        <w:tc>
          <w:tcPr>
            <w:tcW w:w="781" w:type="dxa"/>
            <w:tcBorders>
              <w:top w:val="single" w:color="000000" w:sz="12" w:space="0"/>
              <w:left w:val="nil"/>
              <w:bottom w:val="single" w:color="000000" w:sz="4" w:space="0"/>
              <w:right w:val="nil"/>
              <w:tl2br w:val="nil"/>
            </w:tcBorders>
            <w:shd w:val="clear" w:color="auto" w:fill="FFFFFF"/>
            <w:noWrap w:val="0"/>
            <w:tcMar>
              <w:top w:w="-1" w:type="dxa"/>
              <w:left w:w="-1" w:type="dxa"/>
              <w:bottom w:w="-1" w:type="dxa"/>
              <w:right w:w="-1" w:type="dxa"/>
            </w:tcMar>
            <w:vAlign w:val="center"/>
          </w:tcPr>
          <w:p w14:paraId="6CC085E7">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r>
              <w:rPr>
                <w:rFonts w:hint="default" w:ascii="Times New Roman" w:hAnsi="Times New Roman" w:eastAsia="宋体" w:cs="Times New Roman"/>
                <w:b w:val="0"/>
                <w:bCs/>
                <w:color w:val="000000"/>
                <w:kern w:val="2"/>
                <w:sz w:val="21"/>
                <w:szCs w:val="21"/>
              </w:rPr>
              <w:t>参数</w:t>
            </w:r>
          </w:p>
        </w:tc>
        <w:tc>
          <w:tcPr>
            <w:tcW w:w="1155" w:type="dxa"/>
            <w:tcBorders>
              <w:top w:val="single" w:color="000000" w:sz="12" w:space="0"/>
              <w:left w:val="nil"/>
              <w:bottom w:val="single" w:color="000000" w:sz="4" w:space="0"/>
              <w:right w:val="nil"/>
            </w:tcBorders>
            <w:shd w:val="clear" w:color="auto" w:fill="FFFFFF"/>
            <w:noWrap w:val="0"/>
            <w:tcMar>
              <w:top w:w="-1" w:type="dxa"/>
              <w:left w:w="-1" w:type="dxa"/>
              <w:bottom w:w="-1" w:type="dxa"/>
              <w:right w:w="-1" w:type="dxa"/>
            </w:tcMar>
            <w:vAlign w:val="center"/>
          </w:tcPr>
          <w:p w14:paraId="56D3A502">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r>
              <w:rPr>
                <w:rFonts w:hint="default" w:ascii="Times New Roman" w:hAnsi="Times New Roman" w:eastAsia="宋体" w:cs="Times New Roman"/>
                <w:b w:val="0"/>
                <w:bCs/>
                <w:color w:val="000000"/>
                <w:kern w:val="2"/>
                <w:sz w:val="21"/>
                <w:szCs w:val="21"/>
              </w:rPr>
              <w:t>分值</w:t>
            </w:r>
          </w:p>
        </w:tc>
        <w:tc>
          <w:tcPr>
            <w:tcW w:w="2069" w:type="dxa"/>
            <w:tcBorders>
              <w:top w:val="single" w:color="000000" w:sz="12" w:space="0"/>
              <w:left w:val="nil"/>
              <w:bottom w:val="single" w:color="000000" w:sz="4" w:space="0"/>
              <w:right w:val="nil"/>
            </w:tcBorders>
            <w:shd w:val="clear" w:color="auto" w:fill="FFFFFF"/>
            <w:noWrap w:val="0"/>
            <w:tcMar>
              <w:top w:w="-1" w:type="dxa"/>
              <w:left w:w="-1" w:type="dxa"/>
              <w:bottom w:w="-1" w:type="dxa"/>
              <w:right w:w="-1" w:type="dxa"/>
            </w:tcMar>
            <w:vAlign w:val="center"/>
          </w:tcPr>
          <w:p w14:paraId="4DF0CAEA">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r>
              <w:rPr>
                <w:rFonts w:hint="default" w:ascii="Times New Roman" w:hAnsi="Times New Roman" w:eastAsia="宋体" w:cs="Times New Roman"/>
                <w:b w:val="0"/>
                <w:bCs/>
                <w:color w:val="000000"/>
                <w:kern w:val="2"/>
                <w:sz w:val="21"/>
                <w:szCs w:val="21"/>
              </w:rPr>
              <w:t>1分</w:t>
            </w:r>
          </w:p>
        </w:tc>
        <w:tc>
          <w:tcPr>
            <w:tcW w:w="2160" w:type="dxa"/>
            <w:tcBorders>
              <w:top w:val="single" w:color="000000" w:sz="12" w:space="0"/>
              <w:left w:val="nil"/>
              <w:bottom w:val="single" w:color="000000" w:sz="4" w:space="0"/>
              <w:right w:val="nil"/>
            </w:tcBorders>
            <w:shd w:val="clear" w:color="auto" w:fill="FFFFFF"/>
            <w:noWrap w:val="0"/>
            <w:tcMar>
              <w:top w:w="-1" w:type="dxa"/>
              <w:left w:w="-1" w:type="dxa"/>
              <w:bottom w:w="-1" w:type="dxa"/>
              <w:right w:w="-1" w:type="dxa"/>
            </w:tcMar>
            <w:vAlign w:val="center"/>
          </w:tcPr>
          <w:p w14:paraId="17B4E230">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r>
              <w:rPr>
                <w:rFonts w:hint="default" w:ascii="Times New Roman" w:hAnsi="Times New Roman" w:eastAsia="宋体" w:cs="Times New Roman"/>
                <w:b w:val="0"/>
                <w:bCs/>
                <w:color w:val="000000"/>
                <w:kern w:val="2"/>
                <w:sz w:val="21"/>
                <w:szCs w:val="21"/>
              </w:rPr>
              <w:t>2分</w:t>
            </w:r>
          </w:p>
        </w:tc>
        <w:tc>
          <w:tcPr>
            <w:tcW w:w="2512" w:type="dxa"/>
            <w:tcBorders>
              <w:top w:val="single" w:color="000000" w:sz="12" w:space="0"/>
              <w:left w:val="nil"/>
              <w:bottom w:val="single" w:color="000000" w:sz="4" w:space="0"/>
              <w:right w:val="nil"/>
            </w:tcBorders>
            <w:shd w:val="clear" w:color="auto" w:fill="FFFFFF"/>
            <w:noWrap w:val="0"/>
            <w:tcMar>
              <w:top w:w="-1" w:type="dxa"/>
              <w:left w:w="-1" w:type="dxa"/>
              <w:bottom w:w="-1" w:type="dxa"/>
              <w:right w:w="-1" w:type="dxa"/>
            </w:tcMar>
            <w:vAlign w:val="center"/>
          </w:tcPr>
          <w:p w14:paraId="66BD0AEB">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r>
              <w:rPr>
                <w:rFonts w:hint="default" w:ascii="Times New Roman" w:hAnsi="Times New Roman" w:eastAsia="宋体" w:cs="Times New Roman"/>
                <w:b w:val="0"/>
                <w:bCs/>
                <w:color w:val="000000"/>
                <w:kern w:val="2"/>
                <w:sz w:val="21"/>
                <w:szCs w:val="21"/>
              </w:rPr>
              <w:t>3分</w:t>
            </w:r>
          </w:p>
        </w:tc>
        <w:tc>
          <w:tcPr>
            <w:tcW w:w="1733" w:type="dxa"/>
            <w:tcBorders>
              <w:top w:val="single" w:color="000000" w:sz="12" w:space="0"/>
              <w:left w:val="nil"/>
              <w:bottom w:val="single" w:color="000000" w:sz="4" w:space="0"/>
              <w:right w:val="nil"/>
            </w:tcBorders>
            <w:shd w:val="clear" w:color="auto" w:fill="FFFFFF"/>
            <w:noWrap w:val="0"/>
            <w:tcMar>
              <w:top w:w="-1" w:type="dxa"/>
              <w:left w:w="-1" w:type="dxa"/>
              <w:bottom w:w="-1" w:type="dxa"/>
              <w:right w:w="-1" w:type="dxa"/>
            </w:tcMar>
            <w:vAlign w:val="center"/>
          </w:tcPr>
          <w:p w14:paraId="197342FA">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r>
              <w:rPr>
                <w:rFonts w:hint="default" w:ascii="Times New Roman" w:hAnsi="Times New Roman" w:eastAsia="宋体" w:cs="Times New Roman"/>
                <w:b w:val="0"/>
                <w:bCs w:val="0"/>
                <w:color w:val="000000"/>
                <w:kern w:val="2"/>
                <w:sz w:val="21"/>
                <w:szCs w:val="21"/>
              </w:rPr>
              <w:t>4</w:t>
            </w:r>
            <w:r>
              <w:rPr>
                <w:rFonts w:hint="eastAsia" w:ascii="Times New Roman" w:hAnsi="Times New Roman" w:eastAsia="宋体" w:cs="Times New Roman"/>
                <w:b w:val="0"/>
                <w:bCs w:val="0"/>
                <w:color w:val="000000"/>
                <w:kern w:val="2"/>
                <w:sz w:val="21"/>
                <w:szCs w:val="21"/>
                <w:lang w:eastAsia="zh-CN"/>
              </w:rPr>
              <w:t>～</w:t>
            </w:r>
            <w:r>
              <w:rPr>
                <w:rFonts w:hint="default" w:ascii="Times New Roman" w:hAnsi="Times New Roman" w:eastAsia="宋体" w:cs="Times New Roman"/>
                <w:b w:val="0"/>
                <w:bCs w:val="0"/>
                <w:color w:val="000000"/>
                <w:kern w:val="2"/>
                <w:sz w:val="21"/>
                <w:szCs w:val="21"/>
              </w:rPr>
              <w:t>5分</w:t>
            </w:r>
          </w:p>
        </w:tc>
      </w:tr>
      <w:tr w14:paraId="2F69E2BE">
        <w:tblPrEx>
          <w:tblBorders>
            <w:top w:val="none" w:color="1A5276" w:sz="12" w:space="0"/>
            <w:left w:val="none" w:color="auto" w:sz="0" w:space="0"/>
            <w:bottom w:val="none" w:color="1A5276" w:sz="12" w:space="0"/>
            <w:right w:val="none" w:color="auto" w:sz="0" w:space="0"/>
            <w:insideH w:val="none" w:color="D5D8DC" w:sz="4" w:space="0"/>
            <w:insideV w:val="none" w:color="auto" w:sz="0" w:space="0"/>
          </w:tblBorders>
          <w:tblCellMar>
            <w:top w:w="0" w:type="dxa"/>
            <w:left w:w="10" w:type="dxa"/>
            <w:bottom w:w="0" w:type="dxa"/>
            <w:right w:w="10" w:type="dxa"/>
          </w:tblCellMar>
        </w:tblPrEx>
        <w:trPr>
          <w:trHeight w:val="0" w:hRule="atLeast"/>
          <w:jc w:val="center"/>
        </w:trPr>
        <w:tc>
          <w:tcPr>
            <w:tcW w:w="781" w:type="dxa"/>
            <w:tcBorders>
              <w:top w:val="single" w:color="000000" w:sz="4" w:space="0"/>
              <w:left w:val="nil"/>
              <w:bottom w:val="nil"/>
              <w:right w:val="nil"/>
            </w:tcBorders>
            <w:shd w:val="clear" w:color="auto" w:fill="FFFFFF"/>
            <w:noWrap w:val="0"/>
            <w:tcMar>
              <w:top w:w="-1" w:type="dxa"/>
              <w:left w:w="-1" w:type="dxa"/>
              <w:bottom w:w="-1" w:type="dxa"/>
              <w:right w:w="-1" w:type="dxa"/>
            </w:tcMar>
            <w:vAlign w:val="center"/>
          </w:tcPr>
          <w:p w14:paraId="4F89F974">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TiR</w:t>
            </w:r>
            <w:r>
              <w:rPr>
                <w:rFonts w:hint="default" w:ascii="Times New Roman" w:hAnsi="Times New Roman" w:eastAsia="宋体" w:cs="Times New Roman"/>
                <w:b w:val="0"/>
                <w:bCs w:val="0"/>
                <w:color w:val="000000"/>
                <w:kern w:val="2"/>
                <w:sz w:val="21"/>
                <w:szCs w:val="21"/>
                <w:vertAlign w:val="subscript"/>
              </w:rPr>
              <w:t>AD</w:t>
            </w:r>
          </w:p>
        </w:tc>
        <w:tc>
          <w:tcPr>
            <w:tcW w:w="1155" w:type="dxa"/>
            <w:tcBorders>
              <w:top w:val="single" w:color="000000" w:sz="4" w:space="0"/>
              <w:left w:val="nil"/>
              <w:bottom w:val="nil"/>
              <w:right w:val="nil"/>
            </w:tcBorders>
            <w:shd w:val="clear" w:color="auto" w:fill="FFFFFF"/>
            <w:noWrap w:val="0"/>
            <w:tcMar>
              <w:top w:w="-1" w:type="dxa"/>
              <w:left w:w="-1" w:type="dxa"/>
              <w:bottom w:w="-1" w:type="dxa"/>
              <w:right w:w="-1" w:type="dxa"/>
            </w:tcMar>
            <w:vAlign w:val="center"/>
          </w:tcPr>
          <w:p w14:paraId="5EC4627A">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时间代表性</w:t>
            </w:r>
          </w:p>
        </w:tc>
        <w:tc>
          <w:tcPr>
            <w:tcW w:w="2069" w:type="dxa"/>
            <w:tcBorders>
              <w:top w:val="single" w:color="000000" w:sz="4" w:space="0"/>
              <w:left w:val="nil"/>
              <w:bottom w:val="nil"/>
              <w:right w:val="nil"/>
            </w:tcBorders>
            <w:shd w:val="clear" w:color="auto" w:fill="FFFFFF"/>
            <w:noWrap w:val="0"/>
            <w:tcMar>
              <w:top w:w="-1" w:type="dxa"/>
              <w:left w:w="-1" w:type="dxa"/>
              <w:bottom w:w="-1" w:type="dxa"/>
              <w:right w:w="-1" w:type="dxa"/>
            </w:tcMar>
            <w:vAlign w:val="center"/>
          </w:tcPr>
          <w:p w14:paraId="30BF8A10">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采用最近一年的数据</w:t>
            </w:r>
          </w:p>
        </w:tc>
        <w:tc>
          <w:tcPr>
            <w:tcW w:w="2160" w:type="dxa"/>
            <w:tcBorders>
              <w:top w:val="single" w:color="000000" w:sz="4" w:space="0"/>
              <w:left w:val="nil"/>
              <w:bottom w:val="nil"/>
              <w:right w:val="nil"/>
            </w:tcBorders>
            <w:shd w:val="clear" w:color="auto" w:fill="FFFFFF"/>
            <w:noWrap w:val="0"/>
            <w:tcMar>
              <w:top w:w="-1" w:type="dxa"/>
              <w:left w:w="-1" w:type="dxa"/>
              <w:bottom w:w="-1" w:type="dxa"/>
              <w:right w:w="-1" w:type="dxa"/>
            </w:tcMar>
            <w:vAlign w:val="center"/>
          </w:tcPr>
          <w:p w14:paraId="788EB412">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采用最近两年的数据</w:t>
            </w:r>
          </w:p>
        </w:tc>
        <w:tc>
          <w:tcPr>
            <w:tcW w:w="2512" w:type="dxa"/>
            <w:tcBorders>
              <w:top w:val="single" w:color="000000" w:sz="4" w:space="0"/>
              <w:left w:val="nil"/>
              <w:bottom w:val="nil"/>
              <w:right w:val="nil"/>
            </w:tcBorders>
            <w:shd w:val="clear" w:color="auto" w:fill="FFFFFF"/>
            <w:noWrap w:val="0"/>
            <w:tcMar>
              <w:top w:w="-1" w:type="dxa"/>
              <w:left w:w="-1" w:type="dxa"/>
              <w:bottom w:w="-1" w:type="dxa"/>
              <w:right w:w="-1" w:type="dxa"/>
            </w:tcMar>
            <w:vAlign w:val="center"/>
          </w:tcPr>
          <w:p w14:paraId="19A58207">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采用最近三年的数据</w:t>
            </w:r>
          </w:p>
        </w:tc>
        <w:tc>
          <w:tcPr>
            <w:tcW w:w="1733" w:type="dxa"/>
            <w:tcBorders>
              <w:top w:val="single" w:color="000000" w:sz="4" w:space="0"/>
              <w:left w:val="nil"/>
              <w:bottom w:val="nil"/>
              <w:right w:val="nil"/>
            </w:tcBorders>
            <w:shd w:val="clear" w:color="auto" w:fill="FFFFFF"/>
            <w:noWrap w:val="0"/>
            <w:tcMar>
              <w:top w:w="-1" w:type="dxa"/>
              <w:left w:w="-1" w:type="dxa"/>
              <w:bottom w:w="-1" w:type="dxa"/>
              <w:right w:w="-1" w:type="dxa"/>
            </w:tcMar>
            <w:vAlign w:val="center"/>
          </w:tcPr>
          <w:p w14:paraId="0BC108E0">
            <w:pPr>
              <w:adjustRightInd w:val="0"/>
              <w:snapToGrid w:val="0"/>
              <w:spacing w:after="0" w:line="240" w:lineRule="auto"/>
              <w:ind w:left="0" w:leftChars="0" w:right="0" w:rightChars="0" w:firstLine="0" w:firstLineChars="0"/>
              <w:jc w:val="center"/>
              <w:rPr>
                <w:rFonts w:hint="eastAsia" w:ascii="Times New Roman" w:hAnsi="Times New Roman" w:eastAsia="宋体" w:cs="Times New Roman"/>
                <w:b w:val="0"/>
                <w:bCs w:val="0"/>
                <w:color w:val="000000"/>
                <w:kern w:val="2"/>
                <w:sz w:val="21"/>
                <w:szCs w:val="21"/>
                <w:lang w:val="en-US" w:eastAsia="zh-CN"/>
              </w:rPr>
            </w:pPr>
            <w:r>
              <w:rPr>
                <w:rFonts w:hint="eastAsia" w:ascii="Times New Roman" w:hAnsi="Times New Roman" w:eastAsia="宋体" w:cs="Times New Roman"/>
                <w:b w:val="0"/>
                <w:bCs w:val="0"/>
                <w:color w:val="000000"/>
                <w:kern w:val="2"/>
                <w:sz w:val="21"/>
                <w:szCs w:val="21"/>
                <w:lang w:val="en-US" w:eastAsia="zh-CN"/>
              </w:rPr>
              <w:t>不适用</w:t>
            </w:r>
          </w:p>
        </w:tc>
      </w:tr>
      <w:tr w14:paraId="312CFEAB">
        <w:tblPrEx>
          <w:tblBorders>
            <w:top w:val="none" w:color="1A5276" w:sz="12" w:space="0"/>
            <w:left w:val="none" w:color="auto" w:sz="0" w:space="0"/>
            <w:bottom w:val="none" w:color="1A5276" w:sz="12" w:space="0"/>
            <w:right w:val="none" w:color="auto" w:sz="0" w:space="0"/>
            <w:insideH w:val="none" w:color="D5D8DC" w:sz="4" w:space="0"/>
            <w:insideV w:val="none" w:color="auto" w:sz="0" w:space="0"/>
          </w:tblBorders>
          <w:tblCellMar>
            <w:top w:w="0" w:type="dxa"/>
            <w:left w:w="10" w:type="dxa"/>
            <w:bottom w:w="0" w:type="dxa"/>
            <w:right w:w="10" w:type="dxa"/>
          </w:tblCellMar>
        </w:tblPrEx>
        <w:trPr>
          <w:trHeight w:val="0" w:hRule="atLeast"/>
          <w:jc w:val="center"/>
        </w:trPr>
        <w:tc>
          <w:tcPr>
            <w:tcW w:w="781" w:type="dxa"/>
            <w:tcBorders>
              <w:top w:val="nil"/>
              <w:left w:val="nil"/>
              <w:bottom w:val="nil"/>
              <w:right w:val="nil"/>
            </w:tcBorders>
            <w:shd w:val="clear" w:color="auto" w:fill="FFFFFF"/>
            <w:noWrap w:val="0"/>
            <w:tcMar>
              <w:top w:w="-1" w:type="dxa"/>
              <w:left w:w="-1" w:type="dxa"/>
              <w:bottom w:w="-1" w:type="dxa"/>
              <w:right w:w="-1" w:type="dxa"/>
            </w:tcMar>
            <w:vAlign w:val="center"/>
          </w:tcPr>
          <w:p w14:paraId="716B38BA">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TeR</w:t>
            </w:r>
            <w:r>
              <w:rPr>
                <w:rFonts w:hint="default" w:ascii="Times New Roman" w:hAnsi="Times New Roman" w:eastAsia="宋体" w:cs="Times New Roman"/>
                <w:b w:val="0"/>
                <w:bCs w:val="0"/>
                <w:color w:val="000000"/>
                <w:kern w:val="2"/>
                <w:sz w:val="21"/>
                <w:szCs w:val="21"/>
                <w:vertAlign w:val="subscript"/>
              </w:rPr>
              <w:t>AD</w:t>
            </w:r>
          </w:p>
        </w:tc>
        <w:tc>
          <w:tcPr>
            <w:tcW w:w="1155" w:type="dxa"/>
            <w:tcBorders>
              <w:top w:val="nil"/>
              <w:left w:val="nil"/>
              <w:bottom w:val="nil"/>
              <w:right w:val="nil"/>
            </w:tcBorders>
            <w:shd w:val="clear" w:color="auto" w:fill="FFFFFF"/>
            <w:noWrap w:val="0"/>
            <w:tcMar>
              <w:top w:w="-1" w:type="dxa"/>
              <w:left w:w="-1" w:type="dxa"/>
              <w:bottom w:w="-1" w:type="dxa"/>
              <w:right w:w="-1" w:type="dxa"/>
            </w:tcMar>
            <w:vAlign w:val="center"/>
          </w:tcPr>
          <w:p w14:paraId="341B08F9">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技术代表性</w:t>
            </w:r>
          </w:p>
        </w:tc>
        <w:tc>
          <w:tcPr>
            <w:tcW w:w="2069" w:type="dxa"/>
            <w:tcBorders>
              <w:top w:val="nil"/>
              <w:left w:val="nil"/>
              <w:bottom w:val="nil"/>
              <w:right w:val="nil"/>
            </w:tcBorders>
            <w:shd w:val="clear" w:color="auto" w:fill="FFFFFF"/>
            <w:noWrap w:val="0"/>
            <w:tcMar>
              <w:top w:w="-1" w:type="dxa"/>
              <w:left w:w="-1" w:type="dxa"/>
              <w:bottom w:w="-1" w:type="dxa"/>
              <w:right w:w="-1" w:type="dxa"/>
            </w:tcMar>
            <w:vAlign w:val="center"/>
          </w:tcPr>
          <w:p w14:paraId="7B85E020">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能准确反映工序采用的技术</w:t>
            </w:r>
          </w:p>
        </w:tc>
        <w:tc>
          <w:tcPr>
            <w:tcW w:w="2160" w:type="dxa"/>
            <w:tcBorders>
              <w:top w:val="nil"/>
              <w:left w:val="nil"/>
              <w:bottom w:val="nil"/>
              <w:right w:val="nil"/>
            </w:tcBorders>
            <w:shd w:val="clear" w:color="auto" w:fill="FFFFFF"/>
            <w:noWrap w:val="0"/>
            <w:tcMar>
              <w:top w:w="-1" w:type="dxa"/>
              <w:left w:w="-1" w:type="dxa"/>
              <w:bottom w:w="-1" w:type="dxa"/>
              <w:right w:w="-1" w:type="dxa"/>
            </w:tcMar>
            <w:vAlign w:val="center"/>
          </w:tcPr>
          <w:p w14:paraId="0CD5F141">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可以代表工序使用的技术</w:t>
            </w:r>
          </w:p>
        </w:tc>
        <w:tc>
          <w:tcPr>
            <w:tcW w:w="2512" w:type="dxa"/>
            <w:tcBorders>
              <w:top w:val="nil"/>
              <w:left w:val="nil"/>
              <w:bottom w:val="nil"/>
              <w:right w:val="nil"/>
            </w:tcBorders>
            <w:shd w:val="clear" w:color="auto" w:fill="FFFFFF"/>
            <w:noWrap w:val="0"/>
            <w:tcMar>
              <w:top w:w="-1" w:type="dxa"/>
              <w:left w:w="-1" w:type="dxa"/>
              <w:bottom w:w="-1" w:type="dxa"/>
              <w:right w:w="-1" w:type="dxa"/>
            </w:tcMar>
            <w:vAlign w:val="center"/>
          </w:tcPr>
          <w:p w14:paraId="0E00BDE0">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大致能反映工序使用的技术</w:t>
            </w:r>
          </w:p>
        </w:tc>
        <w:tc>
          <w:tcPr>
            <w:tcW w:w="1733" w:type="dxa"/>
            <w:tcBorders>
              <w:top w:val="nil"/>
              <w:left w:val="nil"/>
              <w:bottom w:val="nil"/>
              <w:right w:val="nil"/>
            </w:tcBorders>
            <w:shd w:val="clear" w:color="auto" w:fill="FFFFFF"/>
            <w:noWrap w:val="0"/>
            <w:tcMar>
              <w:top w:w="-1" w:type="dxa"/>
              <w:left w:w="-1" w:type="dxa"/>
              <w:bottom w:w="-1" w:type="dxa"/>
              <w:right w:w="-1" w:type="dxa"/>
            </w:tcMar>
            <w:vAlign w:val="center"/>
          </w:tcPr>
          <w:p w14:paraId="79696910">
            <w:pPr>
              <w:adjustRightInd w:val="0"/>
              <w:snapToGrid w:val="0"/>
              <w:spacing w:after="0" w:line="240" w:lineRule="auto"/>
              <w:ind w:left="0" w:leftChars="0" w:right="0" w:rightChars="0" w:firstLine="0" w:firstLineChars="0"/>
              <w:jc w:val="center"/>
              <w:rPr>
                <w:rFonts w:hint="eastAsia" w:ascii="Times New Roman" w:hAnsi="Times New Roman" w:eastAsia="宋体" w:cs="Times New Roman"/>
                <w:b w:val="0"/>
                <w:bCs w:val="0"/>
                <w:color w:val="000000"/>
                <w:kern w:val="2"/>
                <w:sz w:val="21"/>
                <w:szCs w:val="21"/>
                <w:lang w:val="en-US" w:eastAsia="zh-CN"/>
              </w:rPr>
            </w:pPr>
            <w:r>
              <w:rPr>
                <w:rFonts w:hint="eastAsia" w:ascii="Times New Roman" w:hAnsi="Times New Roman" w:eastAsia="宋体" w:cs="Times New Roman"/>
                <w:b w:val="0"/>
                <w:bCs w:val="0"/>
                <w:color w:val="000000"/>
                <w:kern w:val="2"/>
                <w:sz w:val="21"/>
                <w:szCs w:val="21"/>
                <w:lang w:val="en-US" w:eastAsia="zh-CN"/>
              </w:rPr>
              <w:t>不适用</w:t>
            </w:r>
          </w:p>
        </w:tc>
      </w:tr>
      <w:tr w14:paraId="0CE5D945">
        <w:tblPrEx>
          <w:tblBorders>
            <w:top w:val="none" w:color="1A5276" w:sz="12" w:space="0"/>
            <w:left w:val="none" w:color="auto" w:sz="0" w:space="0"/>
            <w:bottom w:val="none" w:color="1A5276" w:sz="12" w:space="0"/>
            <w:right w:val="none" w:color="auto" w:sz="0" w:space="0"/>
            <w:insideH w:val="none" w:color="D5D8DC" w:sz="4" w:space="0"/>
            <w:insideV w:val="none" w:color="auto" w:sz="0" w:space="0"/>
          </w:tblBorders>
          <w:tblCellMar>
            <w:top w:w="0" w:type="dxa"/>
            <w:left w:w="10" w:type="dxa"/>
            <w:bottom w:w="0" w:type="dxa"/>
            <w:right w:w="10" w:type="dxa"/>
          </w:tblCellMar>
        </w:tblPrEx>
        <w:trPr>
          <w:trHeight w:val="0" w:hRule="atLeast"/>
          <w:jc w:val="center"/>
        </w:trPr>
        <w:tc>
          <w:tcPr>
            <w:tcW w:w="781" w:type="dxa"/>
            <w:tcBorders>
              <w:top w:val="nil"/>
              <w:left w:val="nil"/>
              <w:bottom w:val="nil"/>
              <w:right w:val="nil"/>
            </w:tcBorders>
            <w:shd w:val="clear" w:color="auto" w:fill="FFFFFF"/>
            <w:noWrap w:val="0"/>
            <w:tcMar>
              <w:top w:w="-1" w:type="dxa"/>
              <w:left w:w="-1" w:type="dxa"/>
              <w:bottom w:w="-1" w:type="dxa"/>
              <w:right w:w="-1" w:type="dxa"/>
            </w:tcMar>
            <w:vAlign w:val="center"/>
          </w:tcPr>
          <w:p w14:paraId="68E8BF06">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GeR</w:t>
            </w:r>
            <w:r>
              <w:rPr>
                <w:rFonts w:hint="default" w:ascii="Times New Roman" w:hAnsi="Times New Roman" w:eastAsia="宋体" w:cs="Times New Roman"/>
                <w:b w:val="0"/>
                <w:bCs w:val="0"/>
                <w:color w:val="000000"/>
                <w:kern w:val="2"/>
                <w:sz w:val="21"/>
                <w:szCs w:val="21"/>
                <w:vertAlign w:val="subscript"/>
              </w:rPr>
              <w:t>AD</w:t>
            </w:r>
          </w:p>
        </w:tc>
        <w:tc>
          <w:tcPr>
            <w:tcW w:w="1155" w:type="dxa"/>
            <w:tcBorders>
              <w:top w:val="nil"/>
              <w:left w:val="nil"/>
              <w:bottom w:val="nil"/>
              <w:right w:val="nil"/>
            </w:tcBorders>
            <w:shd w:val="clear" w:color="auto" w:fill="FFFFFF"/>
            <w:noWrap w:val="0"/>
            <w:tcMar>
              <w:top w:w="-1" w:type="dxa"/>
              <w:left w:w="-1" w:type="dxa"/>
              <w:bottom w:w="-1" w:type="dxa"/>
              <w:right w:w="-1" w:type="dxa"/>
            </w:tcMar>
            <w:vAlign w:val="center"/>
          </w:tcPr>
          <w:p w14:paraId="411148A0">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地理代表性</w:t>
            </w:r>
          </w:p>
        </w:tc>
        <w:tc>
          <w:tcPr>
            <w:tcW w:w="2069" w:type="dxa"/>
            <w:tcBorders>
              <w:top w:val="nil"/>
              <w:left w:val="nil"/>
              <w:bottom w:val="nil"/>
              <w:right w:val="nil"/>
            </w:tcBorders>
            <w:shd w:val="clear" w:color="auto" w:fill="FFFFFF"/>
            <w:noWrap w:val="0"/>
            <w:tcMar>
              <w:top w:w="-1" w:type="dxa"/>
              <w:left w:w="-1" w:type="dxa"/>
              <w:bottom w:w="-1" w:type="dxa"/>
              <w:right w:w="-1" w:type="dxa"/>
            </w:tcMar>
            <w:vAlign w:val="center"/>
          </w:tcPr>
          <w:p w14:paraId="3969A38E">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能准确反映工序使用地区</w:t>
            </w:r>
          </w:p>
        </w:tc>
        <w:tc>
          <w:tcPr>
            <w:tcW w:w="2160" w:type="dxa"/>
            <w:tcBorders>
              <w:top w:val="nil"/>
              <w:left w:val="nil"/>
              <w:bottom w:val="nil"/>
              <w:right w:val="nil"/>
            </w:tcBorders>
            <w:shd w:val="clear" w:color="auto" w:fill="FFFFFF"/>
            <w:noWrap w:val="0"/>
            <w:tcMar>
              <w:top w:w="-1" w:type="dxa"/>
              <w:left w:w="-1" w:type="dxa"/>
              <w:bottom w:w="-1" w:type="dxa"/>
              <w:right w:w="-1" w:type="dxa"/>
            </w:tcMar>
            <w:vAlign w:val="center"/>
          </w:tcPr>
          <w:p w14:paraId="5CBDA72B">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可以代表工序使用地区</w:t>
            </w:r>
          </w:p>
        </w:tc>
        <w:tc>
          <w:tcPr>
            <w:tcW w:w="2512" w:type="dxa"/>
            <w:tcBorders>
              <w:top w:val="nil"/>
              <w:left w:val="nil"/>
              <w:bottom w:val="nil"/>
              <w:right w:val="nil"/>
            </w:tcBorders>
            <w:shd w:val="clear" w:color="auto" w:fill="FFFFFF"/>
            <w:noWrap w:val="0"/>
            <w:tcMar>
              <w:top w:w="-1" w:type="dxa"/>
              <w:left w:w="-1" w:type="dxa"/>
              <w:bottom w:w="-1" w:type="dxa"/>
              <w:right w:w="-1" w:type="dxa"/>
            </w:tcMar>
            <w:vAlign w:val="center"/>
          </w:tcPr>
          <w:p w14:paraId="2A92260A">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大致能反映工序使用地区</w:t>
            </w:r>
          </w:p>
        </w:tc>
        <w:tc>
          <w:tcPr>
            <w:tcW w:w="1733" w:type="dxa"/>
            <w:tcBorders>
              <w:top w:val="nil"/>
              <w:left w:val="nil"/>
              <w:bottom w:val="nil"/>
              <w:right w:val="nil"/>
            </w:tcBorders>
            <w:shd w:val="clear" w:color="auto" w:fill="FFFFFF"/>
            <w:noWrap w:val="0"/>
            <w:tcMar>
              <w:top w:w="-1" w:type="dxa"/>
              <w:left w:w="-1" w:type="dxa"/>
              <w:bottom w:w="-1" w:type="dxa"/>
              <w:right w:w="-1" w:type="dxa"/>
            </w:tcMar>
            <w:vAlign w:val="center"/>
          </w:tcPr>
          <w:p w14:paraId="30874BFD">
            <w:pPr>
              <w:adjustRightInd w:val="0"/>
              <w:snapToGrid w:val="0"/>
              <w:spacing w:after="0" w:line="240" w:lineRule="auto"/>
              <w:ind w:left="0" w:leftChars="0" w:right="0" w:rightChars="0" w:firstLine="0" w:firstLineChars="0"/>
              <w:jc w:val="center"/>
              <w:rPr>
                <w:rFonts w:hint="eastAsia" w:ascii="Times New Roman" w:hAnsi="Times New Roman" w:eastAsia="宋体" w:cs="Times New Roman"/>
                <w:b w:val="0"/>
                <w:bCs w:val="0"/>
                <w:color w:val="000000"/>
                <w:kern w:val="2"/>
                <w:sz w:val="21"/>
                <w:szCs w:val="21"/>
                <w:lang w:val="en-US" w:eastAsia="zh-CN"/>
              </w:rPr>
            </w:pPr>
            <w:r>
              <w:rPr>
                <w:rFonts w:hint="eastAsia" w:ascii="Times New Roman" w:hAnsi="Times New Roman" w:eastAsia="宋体" w:cs="Times New Roman"/>
                <w:b w:val="0"/>
                <w:bCs w:val="0"/>
                <w:color w:val="000000"/>
                <w:kern w:val="2"/>
                <w:sz w:val="21"/>
                <w:szCs w:val="21"/>
                <w:lang w:val="en-US" w:eastAsia="zh-CN"/>
              </w:rPr>
              <w:t>不适用</w:t>
            </w:r>
          </w:p>
        </w:tc>
      </w:tr>
      <w:tr w14:paraId="43BC5305">
        <w:tblPrEx>
          <w:tblBorders>
            <w:top w:val="none" w:color="1A5276" w:sz="12" w:space="0"/>
            <w:left w:val="none" w:color="auto" w:sz="0" w:space="0"/>
            <w:bottom w:val="none" w:color="1A5276" w:sz="12" w:space="0"/>
            <w:right w:val="none" w:color="auto" w:sz="0" w:space="0"/>
            <w:insideH w:val="none" w:color="D5D8DC" w:sz="4" w:space="0"/>
            <w:insideV w:val="none" w:color="auto" w:sz="0" w:space="0"/>
          </w:tblBorders>
          <w:tblCellMar>
            <w:top w:w="0" w:type="dxa"/>
            <w:left w:w="10" w:type="dxa"/>
            <w:bottom w:w="0" w:type="dxa"/>
            <w:right w:w="10" w:type="dxa"/>
          </w:tblCellMar>
        </w:tblPrEx>
        <w:trPr>
          <w:trHeight w:val="0" w:hRule="atLeast"/>
          <w:jc w:val="center"/>
        </w:trPr>
        <w:tc>
          <w:tcPr>
            <w:tcW w:w="781" w:type="dxa"/>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5D09DA3D">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P</w:t>
            </w:r>
            <w:r>
              <w:rPr>
                <w:rFonts w:hint="default" w:ascii="Times New Roman" w:hAnsi="Times New Roman" w:eastAsia="宋体" w:cs="Times New Roman"/>
                <w:b w:val="0"/>
                <w:bCs w:val="0"/>
                <w:color w:val="000000"/>
                <w:kern w:val="2"/>
                <w:sz w:val="21"/>
                <w:szCs w:val="21"/>
                <w:vertAlign w:val="subscript"/>
              </w:rPr>
              <w:t>AD</w:t>
            </w:r>
          </w:p>
        </w:tc>
        <w:tc>
          <w:tcPr>
            <w:tcW w:w="1155" w:type="dxa"/>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4B0FDB2F">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准确度</w:t>
            </w:r>
          </w:p>
        </w:tc>
        <w:tc>
          <w:tcPr>
            <w:tcW w:w="2069" w:type="dxa"/>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2BBA2FF6">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测量/计算并通过外部验证</w:t>
            </w:r>
          </w:p>
        </w:tc>
        <w:tc>
          <w:tcPr>
            <w:tcW w:w="2160" w:type="dxa"/>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04AEADED">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测量/计算并内部验证</w:t>
            </w:r>
          </w:p>
        </w:tc>
        <w:tc>
          <w:tcPr>
            <w:tcW w:w="2512" w:type="dxa"/>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38D0CCAA">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测量/计算/参考文献</w:t>
            </w:r>
          </w:p>
        </w:tc>
        <w:tc>
          <w:tcPr>
            <w:tcW w:w="1733" w:type="dxa"/>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150D785A">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数据不能准确反映实际</w:t>
            </w:r>
          </w:p>
        </w:tc>
      </w:tr>
    </w:tbl>
    <w:p w14:paraId="20C1D9BC">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val="en-US" w:eastAsia="zh-CN"/>
        </w:rPr>
      </w:pPr>
    </w:p>
    <w:p w14:paraId="52CD4417">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val="en-US" w:eastAsia="zh-CN"/>
        </w:rPr>
      </w:pPr>
      <w:r>
        <w:rPr>
          <w:rFonts w:hint="default" w:ascii="Times New Roman" w:hAnsi="Times New Roman" w:eastAsia="黑体" w:cs="Times New Roman"/>
          <w:kern w:val="2"/>
          <w:sz w:val="21"/>
          <w:szCs w:val="24"/>
          <w:lang w:val="en-US" w:eastAsia="zh-CN"/>
        </w:rPr>
        <w:t xml:space="preserve">B.3 </w:t>
      </w:r>
      <w:r>
        <w:rPr>
          <w:rFonts w:hint="eastAsia" w:ascii="Times New Roman" w:hAnsi="Times New Roman" w:eastAsia="黑体" w:cs="Times New Roman"/>
          <w:kern w:val="2"/>
          <w:sz w:val="21"/>
          <w:szCs w:val="24"/>
          <w:lang w:val="en-US" w:eastAsia="zh-CN"/>
        </w:rPr>
        <w:t>次级</w:t>
      </w:r>
      <w:r>
        <w:rPr>
          <w:rFonts w:hint="default" w:ascii="Times New Roman" w:hAnsi="Times New Roman" w:eastAsia="黑体" w:cs="Times New Roman"/>
          <w:kern w:val="2"/>
          <w:sz w:val="21"/>
          <w:szCs w:val="24"/>
          <w:lang w:val="en-US" w:eastAsia="zh-CN"/>
        </w:rPr>
        <w:t>数据</w:t>
      </w:r>
    </w:p>
    <w:p w14:paraId="655DF16C">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 xml:space="preserve">B.3.1 </w:t>
      </w:r>
      <w:r>
        <w:rPr>
          <w:rFonts w:hint="eastAsia" w:ascii="Times New Roman" w:hAnsi="Times New Roman" w:eastAsia="黑体" w:cs="Times New Roman"/>
          <w:kern w:val="2"/>
          <w:sz w:val="21"/>
          <w:szCs w:val="24"/>
          <w:lang w:val="en-US" w:eastAsia="zh-CN"/>
        </w:rPr>
        <w:t>次级</w:t>
      </w:r>
      <w:r>
        <w:rPr>
          <w:rFonts w:hint="default" w:ascii="Times New Roman" w:hAnsi="Times New Roman" w:eastAsia="黑体" w:cs="Times New Roman"/>
          <w:kern w:val="2"/>
          <w:sz w:val="21"/>
          <w:szCs w:val="24"/>
          <w:lang w:eastAsia="zh-CN"/>
        </w:rPr>
        <w:t>数据打分标准</w:t>
      </w:r>
    </w:p>
    <w:p w14:paraId="742BCC8E">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针对引用的</w:t>
      </w:r>
      <w:r>
        <w:rPr>
          <w:rFonts w:hint="eastAsia" w:ascii="Times New Roman" w:hAnsi="Times New Roman" w:eastAsia="宋体" w:cs="Times New Roman"/>
          <w:kern w:val="2"/>
          <w:sz w:val="21"/>
          <w:szCs w:val="21"/>
          <w:lang w:val="en-US" w:eastAsia="zh-CN"/>
        </w:rPr>
        <w:t>次级</w:t>
      </w:r>
      <w:r>
        <w:rPr>
          <w:rFonts w:hint="default" w:ascii="Times New Roman" w:hAnsi="Times New Roman" w:eastAsia="宋体" w:cs="Times New Roman"/>
          <w:kern w:val="2"/>
          <w:sz w:val="21"/>
          <w:szCs w:val="21"/>
        </w:rPr>
        <w:t>数据，应当根据公式（B.2）计算其数据质量等级，要求最终DQR EF &lt;= 3.0分，则认为引用的</w:t>
      </w:r>
      <w:r>
        <w:rPr>
          <w:rFonts w:hint="eastAsia" w:ascii="Times New Roman" w:hAnsi="Times New Roman" w:eastAsia="宋体" w:cs="Times New Roman"/>
          <w:kern w:val="2"/>
          <w:sz w:val="21"/>
          <w:szCs w:val="21"/>
          <w:lang w:val="en-US" w:eastAsia="zh-CN"/>
        </w:rPr>
        <w:t>次级</w:t>
      </w:r>
      <w:r>
        <w:rPr>
          <w:rFonts w:hint="default" w:ascii="Times New Roman" w:hAnsi="Times New Roman" w:eastAsia="宋体" w:cs="Times New Roman"/>
          <w:kern w:val="2"/>
          <w:sz w:val="21"/>
          <w:szCs w:val="21"/>
        </w:rPr>
        <w:t>数据质量合格。</w:t>
      </w:r>
    </w:p>
    <w:p w14:paraId="1E15F04E">
      <w:pPr>
        <w:adjustRightInd w:val="0"/>
        <w:snapToGrid w:val="0"/>
        <w:spacing w:after="0" w:line="360" w:lineRule="auto"/>
        <w:ind w:firstLine="420" w:firstLineChars="200"/>
        <w:jc w:val="center"/>
        <w:rPr>
          <w:rFonts w:hint="default" w:ascii="Times New Roman" w:hAnsi="Times New Roman" w:eastAsia="宋体" w:cs="Times New Roman"/>
          <w:kern w:val="2"/>
          <w:sz w:val="21"/>
          <w:szCs w:val="21"/>
        </w:rPr>
      </w:pPr>
      <m:oMath>
        <m:sSub>
          <m:sSubPr>
            <m:ctrlPr>
              <w:rPr>
                <w:rFonts w:hint="default" w:ascii="Cambria Math" w:hAnsi="Cambria Math" w:cs="Times New Roman"/>
                <w:i/>
                <w:kern w:val="2"/>
                <w:sz w:val="21"/>
                <w:szCs w:val="21"/>
              </w:rPr>
            </m:ctrlPr>
          </m:sSubPr>
          <m:e>
            <m:r>
              <m:rPr>
                <m:nor/>
              </m:rPr>
              <w:rPr>
                <w:rFonts w:hint="default" w:ascii="Times New Roman" w:hAnsi="Times New Roman" w:cs="Times New Roman"/>
                <w:i/>
                <w:kern w:val="2"/>
                <w:sz w:val="21"/>
                <w:szCs w:val="21"/>
                <w:lang w:val="en-US" w:eastAsia="zh-CN"/>
              </w:rPr>
              <m:t>DQR</m:t>
            </m:r>
            <m:ctrlPr>
              <w:rPr>
                <w:rFonts w:hint="default" w:ascii="Cambria Math" w:hAnsi="Cambria Math" w:cs="Times New Roman"/>
                <w:i/>
                <w:kern w:val="2"/>
                <w:sz w:val="21"/>
                <w:szCs w:val="21"/>
              </w:rPr>
            </m:ctrlPr>
          </m:e>
          <m:sub>
            <m:r>
              <m:rPr>
                <m:nor/>
              </m:rPr>
              <w:rPr>
                <w:rFonts w:hint="default" w:ascii="Times New Roman" w:hAnsi="Times New Roman" w:cs="Times New Roman"/>
                <w:i/>
                <w:kern w:val="2"/>
                <w:sz w:val="21"/>
                <w:szCs w:val="21"/>
                <w:lang w:val="en-US" w:eastAsia="zh-CN"/>
              </w:rPr>
              <m:t>EF</m:t>
            </m:r>
            <m:ctrlPr>
              <w:rPr>
                <w:rFonts w:hint="default" w:ascii="Cambria Math" w:hAnsi="Cambria Math" w:cs="Times New Roman"/>
                <w:i/>
                <w:kern w:val="2"/>
                <w:sz w:val="21"/>
                <w:szCs w:val="21"/>
              </w:rPr>
            </m:ctrlPr>
          </m:sub>
        </m:sSub>
        <m:r>
          <m:rPr>
            <m:nor/>
            <m:sty m:val="p"/>
          </m:rPr>
          <w:rPr>
            <w:rFonts w:hint="default" w:ascii="Times New Roman" w:hAnsi="Times New Roman" w:cs="Times New Roman"/>
            <w:b w:val="0"/>
            <w:i w:val="0"/>
            <w:kern w:val="2"/>
            <w:sz w:val="21"/>
            <w:szCs w:val="21"/>
          </w:rPr>
          <m:t>=</m:t>
        </m:r>
        <m:f>
          <m:fPr>
            <m:ctrlPr>
              <w:rPr>
                <w:rFonts w:hint="default" w:ascii="Cambria Math" w:hAnsi="Cambria Math" w:cs="Times New Roman"/>
                <w:i/>
                <w:kern w:val="2"/>
                <w:sz w:val="21"/>
                <w:szCs w:val="21"/>
              </w:rPr>
            </m:ctrlPr>
          </m:fPr>
          <m:num>
            <m:sSub>
              <m:sSubPr>
                <m:ctrlPr>
                  <w:rPr>
                    <w:rFonts w:hint="default" w:ascii="Cambria Math" w:hAnsi="Cambria Math" w:cs="Times New Roman"/>
                    <w:i/>
                    <w:kern w:val="2"/>
                    <w:sz w:val="21"/>
                    <w:szCs w:val="21"/>
                  </w:rPr>
                </m:ctrlPr>
              </m:sSubPr>
              <m:e>
                <m:r>
                  <m:rPr>
                    <m:nor/>
                  </m:rPr>
                  <w:rPr>
                    <w:rFonts w:hint="default" w:ascii="Times New Roman" w:hAnsi="Times New Roman" w:cs="Times New Roman"/>
                    <w:i/>
                    <w:kern w:val="2"/>
                    <w:sz w:val="21"/>
                    <w:szCs w:val="21"/>
                    <w:lang w:val="en-US" w:eastAsia="zh-CN"/>
                  </w:rPr>
                  <m:t>TiR</m:t>
                </m:r>
                <m:ctrlPr>
                  <w:rPr>
                    <w:rFonts w:hint="default" w:ascii="Cambria Math" w:hAnsi="Cambria Math" w:cs="Times New Roman"/>
                    <w:i/>
                    <w:kern w:val="2"/>
                    <w:sz w:val="21"/>
                    <w:szCs w:val="21"/>
                  </w:rPr>
                </m:ctrlPr>
              </m:e>
              <m:sub>
                <m:r>
                  <m:rPr>
                    <m:nor/>
                  </m:rPr>
                  <w:rPr>
                    <w:rFonts w:hint="default" w:ascii="Times New Roman" w:hAnsi="Times New Roman" w:cs="Times New Roman"/>
                    <w:i/>
                    <w:kern w:val="2"/>
                    <w:sz w:val="21"/>
                    <w:szCs w:val="21"/>
                    <w:lang w:val="en-US" w:eastAsia="zh-CN"/>
                  </w:rPr>
                  <m:t>EF</m:t>
                </m:r>
                <m:ctrlPr>
                  <w:rPr>
                    <w:rFonts w:hint="default" w:ascii="Cambria Math" w:hAnsi="Cambria Math" w:cs="Times New Roman"/>
                    <w:i/>
                    <w:kern w:val="2"/>
                    <w:sz w:val="21"/>
                    <w:szCs w:val="21"/>
                  </w:rPr>
                </m:ctrlPr>
              </m:sub>
            </m:sSub>
            <m:r>
              <m:rPr>
                <m:nor/>
                <m:sty m:val="p"/>
              </m:rPr>
              <w:rPr>
                <w:rFonts w:hint="default" w:ascii="Times New Roman" w:hAnsi="Times New Roman" w:cs="Times New Roman"/>
                <w:b w:val="0"/>
                <w:i w:val="0"/>
                <w:kern w:val="2"/>
                <w:sz w:val="21"/>
                <w:szCs w:val="21"/>
              </w:rPr>
              <m:t>+</m:t>
            </m:r>
            <m:sSub>
              <m:sSubPr>
                <m:ctrlPr>
                  <w:rPr>
                    <w:rFonts w:hint="default" w:ascii="Cambria Math" w:hAnsi="Cambria Math" w:cs="Times New Roman"/>
                    <w:i/>
                    <w:kern w:val="2"/>
                    <w:sz w:val="21"/>
                    <w:szCs w:val="21"/>
                  </w:rPr>
                </m:ctrlPr>
              </m:sSubPr>
              <m:e>
                <m:r>
                  <m:rPr>
                    <m:nor/>
                  </m:rPr>
                  <w:rPr>
                    <w:rFonts w:hint="default" w:ascii="Times New Roman" w:hAnsi="Times New Roman" w:cs="Times New Roman"/>
                    <w:i/>
                    <w:kern w:val="2"/>
                    <w:sz w:val="21"/>
                    <w:szCs w:val="21"/>
                    <w:lang w:val="en-US" w:eastAsia="zh-CN"/>
                  </w:rPr>
                  <m:t>TeR</m:t>
                </m:r>
                <m:ctrlPr>
                  <w:rPr>
                    <w:rFonts w:hint="default" w:ascii="Cambria Math" w:hAnsi="Cambria Math" w:cs="Times New Roman"/>
                    <w:i/>
                    <w:kern w:val="2"/>
                    <w:sz w:val="21"/>
                    <w:szCs w:val="21"/>
                  </w:rPr>
                </m:ctrlPr>
              </m:e>
              <m:sub>
                <m:r>
                  <m:rPr>
                    <m:nor/>
                  </m:rPr>
                  <w:rPr>
                    <w:rFonts w:hint="default" w:ascii="Times New Roman" w:hAnsi="Times New Roman" w:cs="Times New Roman"/>
                    <w:i/>
                    <w:kern w:val="2"/>
                    <w:sz w:val="21"/>
                    <w:szCs w:val="21"/>
                    <w:lang w:val="en-US" w:eastAsia="zh-CN"/>
                  </w:rPr>
                  <m:t>EF</m:t>
                </m:r>
                <m:ctrlPr>
                  <w:rPr>
                    <w:rFonts w:hint="default" w:ascii="Cambria Math" w:hAnsi="Cambria Math" w:cs="Times New Roman"/>
                    <w:i/>
                    <w:kern w:val="2"/>
                    <w:sz w:val="21"/>
                    <w:szCs w:val="21"/>
                  </w:rPr>
                </m:ctrlPr>
              </m:sub>
            </m:sSub>
            <m:r>
              <m:rPr>
                <m:nor/>
                <m:sty m:val="p"/>
              </m:rPr>
              <w:rPr>
                <w:rFonts w:hint="default" w:ascii="Times New Roman" w:hAnsi="Times New Roman" w:cs="Times New Roman"/>
                <w:b w:val="0"/>
                <w:i w:val="0"/>
                <w:kern w:val="2"/>
                <w:sz w:val="21"/>
                <w:szCs w:val="21"/>
              </w:rPr>
              <m:t>+</m:t>
            </m:r>
            <m:sSub>
              <m:sSubPr>
                <m:ctrlPr>
                  <w:rPr>
                    <w:rFonts w:hint="default" w:ascii="Cambria Math" w:hAnsi="Cambria Math" w:cs="Times New Roman"/>
                    <w:i/>
                    <w:kern w:val="2"/>
                    <w:sz w:val="21"/>
                    <w:szCs w:val="21"/>
                  </w:rPr>
                </m:ctrlPr>
              </m:sSubPr>
              <m:e>
                <m:r>
                  <m:rPr>
                    <m:nor/>
                  </m:rPr>
                  <w:rPr>
                    <w:rFonts w:hint="default" w:ascii="Times New Roman" w:hAnsi="Times New Roman" w:cs="Times New Roman"/>
                    <w:i/>
                    <w:kern w:val="2"/>
                    <w:sz w:val="21"/>
                    <w:szCs w:val="21"/>
                    <w:lang w:val="en-US" w:eastAsia="zh-CN"/>
                  </w:rPr>
                  <m:t>GeR</m:t>
                </m:r>
                <m:ctrlPr>
                  <w:rPr>
                    <w:rFonts w:hint="default" w:ascii="Cambria Math" w:hAnsi="Cambria Math" w:cs="Times New Roman"/>
                    <w:i/>
                    <w:kern w:val="2"/>
                    <w:sz w:val="21"/>
                    <w:szCs w:val="21"/>
                  </w:rPr>
                </m:ctrlPr>
              </m:e>
              <m:sub>
                <m:r>
                  <m:rPr>
                    <m:nor/>
                  </m:rPr>
                  <w:rPr>
                    <w:rFonts w:hint="default" w:ascii="Times New Roman" w:hAnsi="Times New Roman" w:cs="Times New Roman"/>
                    <w:i/>
                    <w:kern w:val="2"/>
                    <w:sz w:val="21"/>
                    <w:szCs w:val="21"/>
                    <w:lang w:val="en-US" w:eastAsia="zh-CN"/>
                  </w:rPr>
                  <m:t>EF</m:t>
                </m:r>
                <m:ctrlPr>
                  <w:rPr>
                    <w:rFonts w:hint="default" w:ascii="Cambria Math" w:hAnsi="Cambria Math" w:cs="Times New Roman"/>
                    <w:i/>
                    <w:kern w:val="2"/>
                    <w:sz w:val="21"/>
                    <w:szCs w:val="21"/>
                  </w:rPr>
                </m:ctrlPr>
              </m:sub>
            </m:sSub>
            <m:ctrlPr>
              <w:rPr>
                <w:rFonts w:hint="default" w:ascii="Cambria Math" w:hAnsi="Cambria Math" w:cs="Times New Roman"/>
                <w:i/>
                <w:kern w:val="2"/>
                <w:sz w:val="21"/>
                <w:szCs w:val="21"/>
              </w:rPr>
            </m:ctrlPr>
          </m:num>
          <m:den>
            <m:r>
              <m:rPr>
                <m:nor/>
                <m:sty m:val="p"/>
              </m:rPr>
              <w:rPr>
                <w:rFonts w:hint="default" w:ascii="Times New Roman" w:hAnsi="Times New Roman" w:cs="Times New Roman"/>
                <w:b w:val="0"/>
                <w:i w:val="0"/>
                <w:kern w:val="2"/>
                <w:sz w:val="21"/>
                <w:szCs w:val="21"/>
                <w:lang w:val="en-US" w:eastAsia="zh-CN"/>
              </w:rPr>
              <m:t>3</m:t>
            </m:r>
            <m:ctrlPr>
              <w:rPr>
                <w:rFonts w:hint="default" w:ascii="Cambria Math" w:hAnsi="Cambria Math" w:cs="Times New Roman"/>
                <w:i/>
                <w:kern w:val="2"/>
                <w:sz w:val="21"/>
                <w:szCs w:val="21"/>
              </w:rPr>
            </m:ctrlPr>
          </m:den>
        </m:f>
      </m:oMath>
      <w:r>
        <w:rPr>
          <w:rFonts w:hint="default" w:ascii="Times New Roman" w:hAnsi="Times New Roman" w:eastAsia="宋体" w:cs="Times New Roman"/>
          <w:kern w:val="2"/>
          <w:sz w:val="21"/>
          <w:szCs w:val="21"/>
        </w:rPr>
        <w:t xml:space="preserve"> ..............................(B.2)</w:t>
      </w:r>
    </w:p>
    <w:p w14:paraId="23267B76">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式中：</w:t>
      </w:r>
    </w:p>
    <w:p w14:paraId="0D740187">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DQR</w:t>
      </w:r>
      <w:r>
        <w:rPr>
          <w:rFonts w:hint="default" w:ascii="Times New Roman" w:hAnsi="Times New Roman" w:eastAsia="宋体" w:cs="Times New Roman"/>
          <w:kern w:val="2"/>
          <w:sz w:val="21"/>
          <w:szCs w:val="21"/>
          <w:vertAlign w:val="subscript"/>
        </w:rPr>
        <w:t>EF</w:t>
      </w:r>
      <w:r>
        <w:rPr>
          <w:rFonts w:hint="default" w:ascii="Times New Roman" w:hAnsi="Times New Roman" w:eastAsia="宋体" w:cs="Times New Roman"/>
          <w:kern w:val="2"/>
          <w:sz w:val="21"/>
          <w:szCs w:val="21"/>
        </w:rPr>
        <w:t>——</w:t>
      </w:r>
      <w:r>
        <w:rPr>
          <w:rFonts w:hint="eastAsia" w:ascii="Times New Roman" w:hAnsi="Times New Roman" w:eastAsia="宋体" w:cs="Times New Roman"/>
          <w:kern w:val="2"/>
          <w:sz w:val="21"/>
          <w:szCs w:val="21"/>
          <w:lang w:val="en-US" w:eastAsia="zh-CN"/>
        </w:rPr>
        <w:t>次级</w:t>
      </w:r>
      <w:r>
        <w:rPr>
          <w:rFonts w:hint="default" w:ascii="Times New Roman" w:hAnsi="Times New Roman" w:eastAsia="宋体" w:cs="Times New Roman"/>
          <w:kern w:val="2"/>
          <w:sz w:val="21"/>
          <w:szCs w:val="21"/>
        </w:rPr>
        <w:t>数据质量等级；</w:t>
      </w:r>
    </w:p>
    <w:p w14:paraId="19DC5145">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TiR</w:t>
      </w:r>
      <w:r>
        <w:rPr>
          <w:rFonts w:hint="default" w:ascii="Times New Roman" w:hAnsi="Times New Roman" w:eastAsia="宋体" w:cs="Times New Roman"/>
          <w:kern w:val="2"/>
          <w:sz w:val="21"/>
          <w:szCs w:val="21"/>
          <w:vertAlign w:val="subscript"/>
        </w:rPr>
        <w:t>EF</w:t>
      </w:r>
      <w:r>
        <w:rPr>
          <w:rFonts w:hint="default" w:ascii="Times New Roman" w:hAnsi="Times New Roman" w:eastAsia="宋体" w:cs="Times New Roman"/>
          <w:kern w:val="2"/>
          <w:sz w:val="21"/>
          <w:szCs w:val="21"/>
        </w:rPr>
        <w:t>——</w:t>
      </w:r>
      <w:r>
        <w:rPr>
          <w:rFonts w:hint="eastAsia" w:ascii="Times New Roman" w:hAnsi="Times New Roman" w:eastAsia="宋体" w:cs="Times New Roman"/>
          <w:kern w:val="2"/>
          <w:sz w:val="21"/>
          <w:szCs w:val="21"/>
          <w:lang w:val="en-US" w:eastAsia="zh-CN"/>
        </w:rPr>
        <w:t>次级</w:t>
      </w:r>
      <w:r>
        <w:rPr>
          <w:rFonts w:hint="default" w:ascii="Times New Roman" w:hAnsi="Times New Roman" w:eastAsia="宋体" w:cs="Times New Roman"/>
          <w:kern w:val="2"/>
          <w:sz w:val="21"/>
          <w:szCs w:val="21"/>
        </w:rPr>
        <w:t>数据的时间代表性，根据表B.2规则对数据进行打分；</w:t>
      </w:r>
    </w:p>
    <w:p w14:paraId="696EEFE6">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TeR</w:t>
      </w:r>
      <w:r>
        <w:rPr>
          <w:rFonts w:hint="default" w:ascii="Times New Roman" w:hAnsi="Times New Roman" w:eastAsia="宋体" w:cs="Times New Roman"/>
          <w:kern w:val="2"/>
          <w:sz w:val="21"/>
          <w:szCs w:val="21"/>
          <w:vertAlign w:val="subscript"/>
        </w:rPr>
        <w:t>EF</w:t>
      </w:r>
      <w:r>
        <w:rPr>
          <w:rFonts w:hint="default" w:ascii="Times New Roman" w:hAnsi="Times New Roman" w:eastAsia="宋体" w:cs="Times New Roman"/>
          <w:kern w:val="2"/>
          <w:sz w:val="21"/>
          <w:szCs w:val="21"/>
        </w:rPr>
        <w:t>——</w:t>
      </w:r>
      <w:r>
        <w:rPr>
          <w:rFonts w:hint="eastAsia" w:ascii="Times New Roman" w:hAnsi="Times New Roman" w:eastAsia="宋体" w:cs="Times New Roman"/>
          <w:kern w:val="2"/>
          <w:sz w:val="21"/>
          <w:szCs w:val="21"/>
          <w:lang w:val="en-US" w:eastAsia="zh-CN"/>
        </w:rPr>
        <w:t>次级</w:t>
      </w:r>
      <w:r>
        <w:rPr>
          <w:rFonts w:hint="default" w:ascii="Times New Roman" w:hAnsi="Times New Roman" w:eastAsia="宋体" w:cs="Times New Roman"/>
          <w:kern w:val="2"/>
          <w:sz w:val="21"/>
          <w:szCs w:val="21"/>
        </w:rPr>
        <w:t>数据的技术代表性，根据表B.2规则对数据进行打分；</w:t>
      </w:r>
    </w:p>
    <w:p w14:paraId="3C7CAD59">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GeR</w:t>
      </w:r>
      <w:r>
        <w:rPr>
          <w:rFonts w:hint="default" w:ascii="Times New Roman" w:hAnsi="Times New Roman" w:eastAsia="宋体" w:cs="Times New Roman"/>
          <w:kern w:val="2"/>
          <w:sz w:val="21"/>
          <w:szCs w:val="21"/>
          <w:vertAlign w:val="subscript"/>
        </w:rPr>
        <w:t>EF</w:t>
      </w:r>
      <w:r>
        <w:rPr>
          <w:rFonts w:hint="default" w:ascii="Times New Roman" w:hAnsi="Times New Roman" w:eastAsia="宋体" w:cs="Times New Roman"/>
          <w:kern w:val="2"/>
          <w:sz w:val="21"/>
          <w:szCs w:val="21"/>
        </w:rPr>
        <w:t>——</w:t>
      </w:r>
      <w:r>
        <w:rPr>
          <w:rFonts w:hint="eastAsia" w:ascii="Times New Roman" w:hAnsi="Times New Roman" w:eastAsia="宋体" w:cs="Times New Roman"/>
          <w:kern w:val="2"/>
          <w:sz w:val="21"/>
          <w:szCs w:val="21"/>
          <w:lang w:val="en-US" w:eastAsia="zh-CN"/>
        </w:rPr>
        <w:t>次级</w:t>
      </w:r>
      <w:r>
        <w:rPr>
          <w:rFonts w:hint="default" w:ascii="Times New Roman" w:hAnsi="Times New Roman" w:eastAsia="宋体" w:cs="Times New Roman"/>
          <w:kern w:val="2"/>
          <w:sz w:val="21"/>
          <w:szCs w:val="21"/>
        </w:rPr>
        <w:t>数据的地理代表性，根据表B.2规则对数据进行打分。</w:t>
      </w:r>
    </w:p>
    <w:p w14:paraId="19EE27CA">
      <w:pPr>
        <w:adjustRightInd w:val="0"/>
        <w:snapToGrid w:val="0"/>
        <w:spacing w:after="0" w:line="360" w:lineRule="auto"/>
        <w:jc w:val="center"/>
        <w:rPr>
          <w:rFonts w:hint="default" w:ascii="Times New Roman" w:hAnsi="Times New Roman" w:eastAsia="黑体" w:cs="Times New Roman"/>
          <w:kern w:val="2"/>
          <w:sz w:val="18"/>
          <w:szCs w:val="18"/>
        </w:rPr>
      </w:pPr>
    </w:p>
    <w:p w14:paraId="58216AF2">
      <w:pPr>
        <w:adjustRightInd w:val="0"/>
        <w:snapToGrid w:val="0"/>
        <w:spacing w:after="0" w:line="360" w:lineRule="auto"/>
        <w:jc w:val="center"/>
        <w:rPr>
          <w:rFonts w:hint="default" w:ascii="Times New Roman" w:hAnsi="Times New Roman" w:eastAsia="黑体" w:cs="Times New Roman"/>
          <w:kern w:val="2"/>
          <w:sz w:val="21"/>
          <w:szCs w:val="21"/>
        </w:rPr>
      </w:pPr>
      <w:r>
        <w:rPr>
          <w:rFonts w:hint="default" w:ascii="Times New Roman" w:hAnsi="Times New Roman" w:eastAsia="黑体" w:cs="Times New Roman"/>
          <w:kern w:val="2"/>
          <w:sz w:val="21"/>
          <w:szCs w:val="21"/>
        </w:rPr>
        <w:t xml:space="preserve">表B.2 </w:t>
      </w:r>
      <w:r>
        <w:rPr>
          <w:rFonts w:hint="eastAsia" w:ascii="Times New Roman" w:hAnsi="Times New Roman" w:eastAsia="黑体" w:cs="Times New Roman"/>
          <w:kern w:val="2"/>
          <w:sz w:val="21"/>
          <w:szCs w:val="21"/>
          <w:lang w:val="en-US" w:eastAsia="zh-CN"/>
        </w:rPr>
        <w:t>次级</w:t>
      </w:r>
      <w:r>
        <w:rPr>
          <w:rFonts w:hint="default" w:ascii="Times New Roman" w:hAnsi="Times New Roman" w:eastAsia="黑体" w:cs="Times New Roman"/>
          <w:kern w:val="2"/>
          <w:sz w:val="21"/>
          <w:szCs w:val="21"/>
        </w:rPr>
        <w:t>数据TiREF、TeREF、GeREF三项参数评分表</w:t>
      </w:r>
    </w:p>
    <w:tbl>
      <w:tblPr>
        <w:tblStyle w:val="12"/>
        <w:tblW w:w="9771" w:type="dxa"/>
        <w:jc w:val="center"/>
        <w:tblBorders>
          <w:top w:val="single" w:color="1A5276" w:sz="12" w:space="0"/>
          <w:left w:val="none" w:color="auto" w:sz="0" w:space="0"/>
          <w:bottom w:val="single" w:color="1A5276" w:sz="12" w:space="0"/>
          <w:right w:val="none" w:color="auto" w:sz="0" w:space="0"/>
          <w:insideH w:val="single" w:color="D5D8DC" w:sz="4" w:space="0"/>
          <w:insideV w:val="none" w:color="auto" w:sz="0" w:space="0"/>
        </w:tblBorders>
        <w:tblLayout w:type="autofit"/>
        <w:tblCellMar>
          <w:top w:w="0" w:type="dxa"/>
          <w:left w:w="10" w:type="dxa"/>
          <w:bottom w:w="0" w:type="dxa"/>
          <w:right w:w="10" w:type="dxa"/>
        </w:tblCellMar>
      </w:tblPr>
      <w:tblGrid>
        <w:gridCol w:w="564"/>
        <w:gridCol w:w="1085"/>
        <w:gridCol w:w="1617"/>
        <w:gridCol w:w="1942"/>
        <w:gridCol w:w="1950"/>
        <w:gridCol w:w="2613"/>
      </w:tblGrid>
      <w:tr w14:paraId="5430E75B">
        <w:tblPrEx>
          <w:tblBorders>
            <w:top w:val="single" w:color="1A5276" w:sz="12" w:space="0"/>
            <w:left w:val="none" w:color="auto" w:sz="0" w:space="0"/>
            <w:bottom w:val="single" w:color="1A5276" w:sz="12" w:space="0"/>
            <w:right w:val="none" w:color="auto" w:sz="0" w:space="0"/>
            <w:insideH w:val="single" w:color="D5D8DC" w:sz="4" w:space="0"/>
            <w:insideV w:val="none" w:color="auto" w:sz="0" w:space="0"/>
          </w:tblBorders>
          <w:tblCellMar>
            <w:top w:w="0" w:type="dxa"/>
            <w:left w:w="10" w:type="dxa"/>
            <w:bottom w:w="0" w:type="dxa"/>
            <w:right w:w="10" w:type="dxa"/>
          </w:tblCellMar>
        </w:tblPrEx>
        <w:trPr>
          <w:trHeight w:val="0" w:hRule="atLeast"/>
          <w:tblHeader/>
          <w:jc w:val="center"/>
        </w:trPr>
        <w:tc>
          <w:tcPr>
            <w:tcW w:w="564" w:type="dxa"/>
            <w:tcBorders>
              <w:top w:val="single" w:color="000000" w:sz="12" w:space="0"/>
              <w:bottom w:val="single" w:color="000000" w:sz="4" w:space="0"/>
              <w:tl2br w:val="nil"/>
            </w:tcBorders>
            <w:shd w:val="clear" w:color="auto" w:fill="FFFFFF"/>
            <w:vAlign w:val="center"/>
          </w:tcPr>
          <w:p w14:paraId="405BC7CB">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r>
              <w:rPr>
                <w:rFonts w:hint="default" w:ascii="Times New Roman" w:hAnsi="Times New Roman" w:eastAsia="宋体" w:cs="Times New Roman"/>
                <w:b w:val="0"/>
                <w:bCs/>
                <w:color w:val="000000"/>
                <w:kern w:val="2"/>
                <w:sz w:val="21"/>
                <w:szCs w:val="21"/>
              </w:rPr>
              <w:t>参数</w:t>
            </w:r>
          </w:p>
        </w:tc>
        <w:tc>
          <w:tcPr>
            <w:tcW w:w="1085" w:type="dxa"/>
            <w:tcBorders>
              <w:top w:val="single" w:color="000000" w:sz="12" w:space="0"/>
              <w:bottom w:val="single" w:color="000000" w:sz="4" w:space="0"/>
            </w:tcBorders>
            <w:shd w:val="clear" w:color="auto" w:fill="FFFFFF"/>
            <w:vAlign w:val="center"/>
          </w:tcPr>
          <w:p w14:paraId="45FD9C0C">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r>
              <w:rPr>
                <w:rFonts w:hint="default" w:ascii="Times New Roman" w:hAnsi="Times New Roman" w:eastAsia="宋体" w:cs="Times New Roman"/>
                <w:b w:val="0"/>
                <w:bCs/>
                <w:color w:val="000000"/>
                <w:kern w:val="2"/>
                <w:sz w:val="21"/>
                <w:szCs w:val="21"/>
              </w:rPr>
              <w:t>分值</w:t>
            </w:r>
          </w:p>
        </w:tc>
        <w:tc>
          <w:tcPr>
            <w:tcW w:w="1617" w:type="dxa"/>
            <w:tcBorders>
              <w:top w:val="single" w:color="000000" w:sz="12" w:space="0"/>
              <w:bottom w:val="single" w:color="000000" w:sz="4" w:space="0"/>
            </w:tcBorders>
            <w:shd w:val="clear" w:color="auto" w:fill="FFFFFF"/>
            <w:vAlign w:val="center"/>
          </w:tcPr>
          <w:p w14:paraId="0A0C600F">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r>
              <w:rPr>
                <w:rFonts w:hint="default" w:ascii="Times New Roman" w:hAnsi="Times New Roman" w:eastAsia="宋体" w:cs="Times New Roman"/>
                <w:b w:val="0"/>
                <w:bCs/>
                <w:color w:val="000000"/>
                <w:kern w:val="2"/>
                <w:sz w:val="21"/>
                <w:szCs w:val="21"/>
              </w:rPr>
              <w:t>1分</w:t>
            </w:r>
          </w:p>
        </w:tc>
        <w:tc>
          <w:tcPr>
            <w:tcW w:w="1942" w:type="dxa"/>
            <w:tcBorders>
              <w:top w:val="single" w:color="000000" w:sz="12" w:space="0"/>
              <w:bottom w:val="single" w:color="000000" w:sz="4" w:space="0"/>
            </w:tcBorders>
            <w:shd w:val="clear" w:color="auto" w:fill="FFFFFF"/>
            <w:vAlign w:val="center"/>
          </w:tcPr>
          <w:p w14:paraId="69E5A3F3">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r>
              <w:rPr>
                <w:rFonts w:hint="default" w:ascii="Times New Roman" w:hAnsi="Times New Roman" w:eastAsia="宋体" w:cs="Times New Roman"/>
                <w:b w:val="0"/>
                <w:bCs/>
                <w:color w:val="000000"/>
                <w:kern w:val="2"/>
                <w:sz w:val="21"/>
                <w:szCs w:val="21"/>
              </w:rPr>
              <w:t>2分</w:t>
            </w:r>
          </w:p>
        </w:tc>
        <w:tc>
          <w:tcPr>
            <w:tcW w:w="1950" w:type="dxa"/>
            <w:tcBorders>
              <w:top w:val="single" w:color="000000" w:sz="12" w:space="0"/>
              <w:bottom w:val="single" w:color="000000" w:sz="4" w:space="0"/>
            </w:tcBorders>
            <w:shd w:val="clear" w:color="auto" w:fill="FFFFFF"/>
            <w:vAlign w:val="center"/>
          </w:tcPr>
          <w:p w14:paraId="78F9B491">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rPr>
            </w:pPr>
            <w:r>
              <w:rPr>
                <w:rFonts w:hint="default" w:ascii="Times New Roman" w:hAnsi="Times New Roman" w:eastAsia="宋体" w:cs="Times New Roman"/>
                <w:b w:val="0"/>
                <w:bCs/>
                <w:color w:val="000000"/>
                <w:kern w:val="2"/>
                <w:sz w:val="21"/>
                <w:szCs w:val="21"/>
              </w:rPr>
              <w:t>3分</w:t>
            </w:r>
          </w:p>
        </w:tc>
        <w:tc>
          <w:tcPr>
            <w:tcW w:w="2613" w:type="dxa"/>
            <w:tcBorders>
              <w:top w:val="single" w:color="000000" w:sz="12" w:space="0"/>
              <w:bottom w:val="single" w:color="000000" w:sz="4" w:space="0"/>
            </w:tcBorders>
            <w:shd w:val="clear" w:color="auto" w:fill="FFFFFF"/>
            <w:vAlign w:val="center"/>
          </w:tcPr>
          <w:p w14:paraId="74F759BD">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color w:val="000000"/>
                <w:kern w:val="2"/>
                <w:sz w:val="21"/>
                <w:szCs w:val="21"/>
                <w:lang w:val="en-US" w:eastAsia="en-US" w:bidi="ar-SA"/>
              </w:rPr>
            </w:pPr>
            <w:r>
              <w:rPr>
                <w:rFonts w:hint="default" w:ascii="Times New Roman" w:hAnsi="Times New Roman" w:eastAsia="宋体" w:cs="Times New Roman"/>
                <w:b w:val="0"/>
                <w:bCs w:val="0"/>
                <w:color w:val="000000"/>
                <w:kern w:val="2"/>
                <w:sz w:val="21"/>
                <w:szCs w:val="21"/>
              </w:rPr>
              <w:t>4</w:t>
            </w:r>
            <w:r>
              <w:rPr>
                <w:rFonts w:hint="eastAsia" w:ascii="Times New Roman" w:hAnsi="Times New Roman" w:eastAsia="宋体" w:cs="Times New Roman"/>
                <w:b w:val="0"/>
                <w:bCs w:val="0"/>
                <w:color w:val="000000"/>
                <w:kern w:val="2"/>
                <w:sz w:val="21"/>
                <w:szCs w:val="21"/>
                <w:lang w:eastAsia="zh-CN"/>
              </w:rPr>
              <w:t>～</w:t>
            </w:r>
            <w:r>
              <w:rPr>
                <w:rFonts w:hint="default" w:ascii="Times New Roman" w:hAnsi="Times New Roman" w:eastAsia="宋体" w:cs="Times New Roman"/>
                <w:b w:val="0"/>
                <w:bCs w:val="0"/>
                <w:color w:val="000000"/>
                <w:kern w:val="2"/>
                <w:sz w:val="21"/>
                <w:szCs w:val="21"/>
              </w:rPr>
              <w:t>5分</w:t>
            </w:r>
          </w:p>
        </w:tc>
      </w:tr>
      <w:tr w14:paraId="673640CD">
        <w:tblPrEx>
          <w:tblBorders>
            <w:top w:val="single" w:color="1A5276" w:sz="12" w:space="0"/>
            <w:left w:val="none" w:color="auto" w:sz="0" w:space="0"/>
            <w:bottom w:val="single" w:color="1A5276" w:sz="12" w:space="0"/>
            <w:right w:val="none" w:color="auto" w:sz="0" w:space="0"/>
            <w:insideH w:val="single" w:color="D5D8DC" w:sz="4" w:space="0"/>
            <w:insideV w:val="none" w:color="auto" w:sz="0" w:space="0"/>
          </w:tblBorders>
          <w:tblCellMar>
            <w:top w:w="0" w:type="dxa"/>
            <w:left w:w="10" w:type="dxa"/>
            <w:bottom w:w="0" w:type="dxa"/>
            <w:right w:w="10" w:type="dxa"/>
          </w:tblCellMar>
        </w:tblPrEx>
        <w:trPr>
          <w:trHeight w:val="0" w:hRule="atLeast"/>
          <w:jc w:val="center"/>
        </w:trPr>
        <w:tc>
          <w:tcPr>
            <w:tcW w:w="564" w:type="dxa"/>
            <w:tcBorders>
              <w:top w:val="single" w:color="000000" w:sz="4" w:space="0"/>
              <w:bottom w:val="nil"/>
            </w:tcBorders>
            <w:shd w:val="clear" w:color="auto" w:fill="FFFFFF"/>
            <w:vAlign w:val="center"/>
          </w:tcPr>
          <w:p w14:paraId="124A291F">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TiR</w:t>
            </w:r>
            <w:r>
              <w:rPr>
                <w:rFonts w:hint="default" w:ascii="Times New Roman" w:hAnsi="Times New Roman" w:eastAsia="宋体" w:cs="Times New Roman"/>
                <w:b w:val="0"/>
                <w:bCs w:val="0"/>
                <w:color w:val="000000"/>
                <w:kern w:val="2"/>
                <w:sz w:val="21"/>
                <w:szCs w:val="21"/>
                <w:vertAlign w:val="subscript"/>
              </w:rPr>
              <w:t>EF</w:t>
            </w:r>
          </w:p>
        </w:tc>
        <w:tc>
          <w:tcPr>
            <w:tcW w:w="1085" w:type="dxa"/>
            <w:tcBorders>
              <w:top w:val="single" w:color="000000" w:sz="4" w:space="0"/>
              <w:bottom w:val="nil"/>
            </w:tcBorders>
            <w:shd w:val="clear" w:color="auto" w:fill="FFFFFF"/>
            <w:vAlign w:val="center"/>
          </w:tcPr>
          <w:p w14:paraId="6A18BBE3">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时间代表性</w:t>
            </w:r>
          </w:p>
        </w:tc>
        <w:tc>
          <w:tcPr>
            <w:tcW w:w="1617" w:type="dxa"/>
            <w:tcBorders>
              <w:top w:val="single" w:color="000000" w:sz="4" w:space="0"/>
              <w:bottom w:val="nil"/>
            </w:tcBorders>
            <w:shd w:val="clear" w:color="auto" w:fill="FFFFFF"/>
            <w:vAlign w:val="center"/>
          </w:tcPr>
          <w:p w14:paraId="1A325CED">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eastAsia" w:ascii="Times New Roman" w:hAnsi="Times New Roman" w:eastAsia="宋体" w:cs="Times New Roman"/>
                <w:b w:val="0"/>
                <w:bCs w:val="0"/>
                <w:color w:val="000000"/>
                <w:kern w:val="2"/>
                <w:sz w:val="21"/>
                <w:szCs w:val="21"/>
                <w:lang w:val="en-US" w:eastAsia="zh-CN"/>
              </w:rPr>
              <w:t>次级</w:t>
            </w:r>
            <w:r>
              <w:rPr>
                <w:rFonts w:hint="default" w:ascii="Times New Roman" w:hAnsi="Times New Roman" w:eastAsia="宋体" w:cs="Times New Roman"/>
                <w:b w:val="0"/>
                <w:bCs w:val="0"/>
                <w:color w:val="000000"/>
                <w:kern w:val="2"/>
                <w:sz w:val="21"/>
                <w:szCs w:val="21"/>
              </w:rPr>
              <w:t>数据在有效期内</w:t>
            </w:r>
          </w:p>
        </w:tc>
        <w:tc>
          <w:tcPr>
            <w:tcW w:w="1942" w:type="dxa"/>
            <w:tcBorders>
              <w:top w:val="single" w:color="000000" w:sz="4" w:space="0"/>
              <w:bottom w:val="nil"/>
            </w:tcBorders>
            <w:shd w:val="clear" w:color="auto" w:fill="FFFFFF"/>
            <w:vAlign w:val="center"/>
          </w:tcPr>
          <w:p w14:paraId="4BCB8976">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发布日期不超过有效期2年</w:t>
            </w:r>
          </w:p>
        </w:tc>
        <w:tc>
          <w:tcPr>
            <w:tcW w:w="1950" w:type="dxa"/>
            <w:tcBorders>
              <w:top w:val="single" w:color="000000" w:sz="4" w:space="0"/>
              <w:bottom w:val="nil"/>
            </w:tcBorders>
            <w:shd w:val="clear" w:color="auto" w:fill="FFFFFF"/>
            <w:vAlign w:val="center"/>
          </w:tcPr>
          <w:p w14:paraId="3F353766">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发布日期不超过有效期4年</w:t>
            </w:r>
          </w:p>
        </w:tc>
        <w:tc>
          <w:tcPr>
            <w:tcW w:w="2613" w:type="dxa"/>
            <w:tcBorders>
              <w:top w:val="single" w:color="000000" w:sz="4" w:space="0"/>
              <w:bottom w:val="nil"/>
            </w:tcBorders>
            <w:shd w:val="clear" w:color="auto" w:fill="FFFFFF"/>
            <w:vAlign w:val="center"/>
          </w:tcPr>
          <w:p w14:paraId="552F2E95">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lang w:val="en-US" w:eastAsia="en-US" w:bidi="ar-SA"/>
              </w:rPr>
            </w:pPr>
            <w:r>
              <w:rPr>
                <w:rFonts w:hint="default" w:ascii="Times New Roman" w:hAnsi="Times New Roman" w:eastAsia="宋体" w:cs="Times New Roman"/>
                <w:b w:val="0"/>
                <w:bCs w:val="0"/>
                <w:color w:val="000000"/>
                <w:kern w:val="2"/>
                <w:sz w:val="21"/>
                <w:szCs w:val="21"/>
              </w:rPr>
              <w:t>超过有效期6年</w:t>
            </w:r>
          </w:p>
        </w:tc>
      </w:tr>
      <w:tr w14:paraId="1935065D">
        <w:tblPrEx>
          <w:tblBorders>
            <w:top w:val="single" w:color="1A5276" w:sz="12" w:space="0"/>
            <w:left w:val="none" w:color="auto" w:sz="0" w:space="0"/>
            <w:bottom w:val="single" w:color="1A5276" w:sz="12" w:space="0"/>
            <w:right w:val="none" w:color="auto" w:sz="0" w:space="0"/>
            <w:insideH w:val="single" w:color="D5D8DC" w:sz="4" w:space="0"/>
            <w:insideV w:val="none" w:color="auto" w:sz="0" w:space="0"/>
          </w:tblBorders>
          <w:tblCellMar>
            <w:top w:w="0" w:type="dxa"/>
            <w:left w:w="10" w:type="dxa"/>
            <w:bottom w:w="0" w:type="dxa"/>
            <w:right w:w="10" w:type="dxa"/>
          </w:tblCellMar>
        </w:tblPrEx>
        <w:trPr>
          <w:trHeight w:val="0" w:hRule="atLeast"/>
          <w:jc w:val="center"/>
        </w:trPr>
        <w:tc>
          <w:tcPr>
            <w:tcW w:w="564" w:type="dxa"/>
            <w:tcBorders>
              <w:top w:val="nil"/>
              <w:bottom w:val="nil"/>
            </w:tcBorders>
            <w:shd w:val="clear" w:color="auto" w:fill="FFFFFF"/>
            <w:vAlign w:val="center"/>
          </w:tcPr>
          <w:p w14:paraId="27B70FDF">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TeR</w:t>
            </w:r>
            <w:r>
              <w:rPr>
                <w:rFonts w:hint="default" w:ascii="Times New Roman" w:hAnsi="Times New Roman" w:eastAsia="宋体" w:cs="Times New Roman"/>
                <w:b w:val="0"/>
                <w:bCs w:val="0"/>
                <w:color w:val="000000"/>
                <w:kern w:val="2"/>
                <w:sz w:val="21"/>
                <w:szCs w:val="21"/>
                <w:vertAlign w:val="subscript"/>
              </w:rPr>
              <w:t>EF</w:t>
            </w:r>
          </w:p>
        </w:tc>
        <w:tc>
          <w:tcPr>
            <w:tcW w:w="1085" w:type="dxa"/>
            <w:tcBorders>
              <w:top w:val="nil"/>
              <w:bottom w:val="nil"/>
            </w:tcBorders>
            <w:shd w:val="clear" w:color="auto" w:fill="FFFFFF"/>
            <w:vAlign w:val="center"/>
          </w:tcPr>
          <w:p w14:paraId="78A23CEF">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技术代表性</w:t>
            </w:r>
          </w:p>
        </w:tc>
        <w:tc>
          <w:tcPr>
            <w:tcW w:w="1617" w:type="dxa"/>
            <w:tcBorders>
              <w:top w:val="nil"/>
              <w:bottom w:val="nil"/>
            </w:tcBorders>
            <w:shd w:val="clear" w:color="auto" w:fill="FFFFFF"/>
            <w:vAlign w:val="center"/>
          </w:tcPr>
          <w:p w14:paraId="46DB8B45">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与实际使用的技术完全相同</w:t>
            </w:r>
          </w:p>
        </w:tc>
        <w:tc>
          <w:tcPr>
            <w:tcW w:w="1942" w:type="dxa"/>
            <w:tcBorders>
              <w:top w:val="nil"/>
              <w:bottom w:val="nil"/>
            </w:tcBorders>
            <w:shd w:val="clear" w:color="auto" w:fill="FFFFFF"/>
            <w:vAlign w:val="center"/>
          </w:tcPr>
          <w:p w14:paraId="6252FFEE">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包括在实际使用的技术组合中</w:t>
            </w:r>
          </w:p>
        </w:tc>
        <w:tc>
          <w:tcPr>
            <w:tcW w:w="1950" w:type="dxa"/>
            <w:tcBorders>
              <w:top w:val="nil"/>
              <w:bottom w:val="nil"/>
            </w:tcBorders>
            <w:shd w:val="clear" w:color="auto" w:fill="FFFFFF"/>
            <w:vAlign w:val="center"/>
          </w:tcPr>
          <w:p w14:paraId="674AF34A">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与实际使用的技术类似</w:t>
            </w:r>
          </w:p>
        </w:tc>
        <w:tc>
          <w:tcPr>
            <w:tcW w:w="2613" w:type="dxa"/>
            <w:tcBorders>
              <w:top w:val="nil"/>
              <w:bottom w:val="nil"/>
            </w:tcBorders>
            <w:shd w:val="clear" w:color="auto" w:fill="FFFFFF"/>
            <w:vAlign w:val="center"/>
          </w:tcPr>
          <w:p w14:paraId="55C65A9C">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lang w:val="en-US" w:eastAsia="zh-CN" w:bidi="ar-SA"/>
              </w:rPr>
            </w:pPr>
            <w:r>
              <w:rPr>
                <w:rFonts w:hint="eastAsia" w:ascii="Times New Roman" w:hAnsi="Times New Roman" w:eastAsia="宋体" w:cs="Times New Roman"/>
                <w:b w:val="0"/>
                <w:bCs w:val="0"/>
                <w:color w:val="000000"/>
                <w:kern w:val="2"/>
                <w:sz w:val="21"/>
                <w:szCs w:val="21"/>
                <w:lang w:val="en-US" w:eastAsia="zh-CN"/>
              </w:rPr>
              <w:t>技术与实际不同</w:t>
            </w:r>
          </w:p>
        </w:tc>
      </w:tr>
      <w:tr w14:paraId="3E222726">
        <w:tblPrEx>
          <w:tblBorders>
            <w:top w:val="single" w:color="1A5276" w:sz="12" w:space="0"/>
            <w:left w:val="none" w:color="auto" w:sz="0" w:space="0"/>
            <w:bottom w:val="single" w:color="1A5276" w:sz="12" w:space="0"/>
            <w:right w:val="none" w:color="auto" w:sz="0" w:space="0"/>
            <w:insideH w:val="single" w:color="D5D8DC" w:sz="4" w:space="0"/>
            <w:insideV w:val="none" w:color="auto" w:sz="0" w:space="0"/>
          </w:tblBorders>
          <w:tblCellMar>
            <w:top w:w="0" w:type="dxa"/>
            <w:left w:w="10" w:type="dxa"/>
            <w:bottom w:w="0" w:type="dxa"/>
            <w:right w:w="10" w:type="dxa"/>
          </w:tblCellMar>
        </w:tblPrEx>
        <w:trPr>
          <w:trHeight w:val="0" w:hRule="atLeast"/>
          <w:jc w:val="center"/>
        </w:trPr>
        <w:tc>
          <w:tcPr>
            <w:tcW w:w="564" w:type="dxa"/>
            <w:tcBorders>
              <w:top w:val="nil"/>
              <w:bottom w:val="single" w:color="000000" w:sz="12" w:space="0"/>
            </w:tcBorders>
            <w:shd w:val="clear" w:color="auto" w:fill="FFFFFF"/>
            <w:vAlign w:val="center"/>
          </w:tcPr>
          <w:p w14:paraId="12EADF2E">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GeR</w:t>
            </w:r>
            <w:r>
              <w:rPr>
                <w:rFonts w:hint="default" w:ascii="Times New Roman" w:hAnsi="Times New Roman" w:eastAsia="宋体" w:cs="Times New Roman"/>
                <w:b w:val="0"/>
                <w:bCs w:val="0"/>
                <w:color w:val="000000"/>
                <w:kern w:val="2"/>
                <w:sz w:val="21"/>
                <w:szCs w:val="21"/>
                <w:vertAlign w:val="subscript"/>
              </w:rPr>
              <w:t>EF</w:t>
            </w:r>
          </w:p>
        </w:tc>
        <w:tc>
          <w:tcPr>
            <w:tcW w:w="1085" w:type="dxa"/>
            <w:tcBorders>
              <w:top w:val="nil"/>
              <w:bottom w:val="single" w:color="000000" w:sz="12" w:space="0"/>
            </w:tcBorders>
            <w:shd w:val="clear" w:color="auto" w:fill="FFFFFF"/>
            <w:vAlign w:val="center"/>
          </w:tcPr>
          <w:p w14:paraId="6BE060D1">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地理代表性</w:t>
            </w:r>
          </w:p>
        </w:tc>
        <w:tc>
          <w:tcPr>
            <w:tcW w:w="1617" w:type="dxa"/>
            <w:tcBorders>
              <w:top w:val="nil"/>
              <w:bottom w:val="single" w:color="000000" w:sz="12" w:space="0"/>
            </w:tcBorders>
            <w:shd w:val="clear" w:color="auto" w:fill="FFFFFF"/>
            <w:vAlign w:val="center"/>
          </w:tcPr>
          <w:p w14:paraId="3FF590EC">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在同一国家有应用</w:t>
            </w:r>
          </w:p>
        </w:tc>
        <w:tc>
          <w:tcPr>
            <w:tcW w:w="1942" w:type="dxa"/>
            <w:tcBorders>
              <w:top w:val="nil"/>
              <w:bottom w:val="single" w:color="000000" w:sz="12" w:space="0"/>
            </w:tcBorders>
            <w:shd w:val="clear" w:color="auto" w:fill="FFFFFF"/>
            <w:vAlign w:val="center"/>
          </w:tcPr>
          <w:p w14:paraId="6CA6504B">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在同一地区</w:t>
            </w:r>
            <w:r>
              <w:rPr>
                <w:rFonts w:hint="eastAsia" w:ascii="Times New Roman" w:hAnsi="Times New Roman" w:eastAsia="宋体" w:cs="Times New Roman"/>
                <w:b w:val="0"/>
                <w:bCs w:val="0"/>
                <w:color w:val="000000"/>
                <w:kern w:val="2"/>
                <w:sz w:val="21"/>
                <w:szCs w:val="21"/>
                <w:lang w:eastAsia="zh-CN"/>
              </w:rPr>
              <w:t>（</w:t>
            </w:r>
            <w:r>
              <w:rPr>
                <w:rFonts w:hint="default" w:ascii="Times New Roman" w:hAnsi="Times New Roman" w:eastAsia="宋体" w:cs="Times New Roman"/>
                <w:b w:val="0"/>
                <w:bCs w:val="0"/>
                <w:color w:val="000000"/>
                <w:kern w:val="2"/>
                <w:sz w:val="21"/>
                <w:szCs w:val="21"/>
              </w:rPr>
              <w:t>如欧洲</w:t>
            </w:r>
            <w:r>
              <w:rPr>
                <w:rFonts w:hint="eastAsia" w:ascii="Times New Roman" w:hAnsi="Times New Roman" w:eastAsia="宋体" w:cs="Times New Roman"/>
                <w:b w:val="0"/>
                <w:bCs w:val="0"/>
                <w:color w:val="000000"/>
                <w:kern w:val="2"/>
                <w:sz w:val="21"/>
                <w:szCs w:val="21"/>
                <w:lang w:eastAsia="zh-CN"/>
              </w:rPr>
              <w:t>）</w:t>
            </w:r>
            <w:r>
              <w:rPr>
                <w:rFonts w:hint="default" w:ascii="Times New Roman" w:hAnsi="Times New Roman" w:eastAsia="宋体" w:cs="Times New Roman"/>
                <w:b w:val="0"/>
                <w:bCs w:val="0"/>
                <w:color w:val="000000"/>
                <w:kern w:val="2"/>
                <w:sz w:val="21"/>
                <w:szCs w:val="21"/>
              </w:rPr>
              <w:t>有应用</w:t>
            </w:r>
          </w:p>
        </w:tc>
        <w:tc>
          <w:tcPr>
            <w:tcW w:w="1950" w:type="dxa"/>
            <w:tcBorders>
              <w:top w:val="nil"/>
              <w:bottom w:val="single" w:color="000000" w:sz="12" w:space="0"/>
            </w:tcBorders>
            <w:shd w:val="clear" w:color="auto" w:fill="FFFFFF"/>
            <w:vAlign w:val="center"/>
          </w:tcPr>
          <w:p w14:paraId="11AC03A5">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rPr>
            </w:pPr>
            <w:r>
              <w:rPr>
                <w:rFonts w:hint="default" w:ascii="Times New Roman" w:hAnsi="Times New Roman" w:eastAsia="宋体" w:cs="Times New Roman"/>
                <w:b w:val="0"/>
                <w:bCs w:val="0"/>
                <w:color w:val="000000"/>
                <w:kern w:val="2"/>
                <w:sz w:val="21"/>
                <w:szCs w:val="21"/>
              </w:rPr>
              <w:t>只在实际覆盖的其中一个地区有应用</w:t>
            </w:r>
          </w:p>
        </w:tc>
        <w:tc>
          <w:tcPr>
            <w:tcW w:w="2613" w:type="dxa"/>
            <w:tcBorders>
              <w:top w:val="nil"/>
              <w:bottom w:val="single" w:color="000000" w:sz="12" w:space="0"/>
            </w:tcBorders>
            <w:shd w:val="clear" w:color="auto" w:fill="FFFFFF"/>
            <w:vAlign w:val="center"/>
          </w:tcPr>
          <w:p w14:paraId="5B502564">
            <w:pPr>
              <w:adjustRightInd w:val="0"/>
              <w:snapToGrid w:val="0"/>
              <w:spacing w:after="0" w:line="240" w:lineRule="auto"/>
              <w:ind w:left="0" w:leftChars="0" w:right="0" w:rightChars="0" w:firstLine="0" w:firstLineChars="0"/>
              <w:jc w:val="center"/>
              <w:rPr>
                <w:rFonts w:hint="default" w:ascii="Times New Roman" w:hAnsi="Times New Roman" w:eastAsia="宋体" w:cs="Times New Roman"/>
                <w:b w:val="0"/>
                <w:bCs w:val="0"/>
                <w:color w:val="000000"/>
                <w:kern w:val="2"/>
                <w:sz w:val="21"/>
                <w:szCs w:val="21"/>
                <w:lang w:val="en-US" w:eastAsia="en-US" w:bidi="ar-SA"/>
              </w:rPr>
            </w:pPr>
            <w:r>
              <w:rPr>
                <w:rFonts w:hint="default" w:ascii="Times New Roman" w:hAnsi="Times New Roman" w:eastAsia="宋体" w:cs="Times New Roman"/>
                <w:b w:val="0"/>
                <w:bCs w:val="0"/>
                <w:color w:val="000000"/>
                <w:kern w:val="2"/>
                <w:sz w:val="21"/>
                <w:szCs w:val="21"/>
              </w:rPr>
              <w:t>不属于实际使用技术的覆盖地区</w:t>
            </w:r>
          </w:p>
        </w:tc>
      </w:tr>
    </w:tbl>
    <w:p w14:paraId="4F7440BE">
      <w:pPr>
        <w:rPr>
          <w:rFonts w:hint="default" w:ascii="Times New Roman" w:hAnsi="Times New Roman" w:eastAsia="黑体" w:cs="Times New Roman"/>
          <w:b/>
          <w:color w:val="1A5276"/>
          <w:sz w:val="32"/>
          <w:szCs w:val="22"/>
        </w:rPr>
      </w:pPr>
      <w:r>
        <w:rPr>
          <w:rFonts w:hint="default" w:ascii="Times New Roman" w:hAnsi="Times New Roman" w:eastAsia="黑体" w:cs="Times New Roman"/>
          <w:b/>
          <w:color w:val="1A5276"/>
          <w:sz w:val="32"/>
          <w:szCs w:val="22"/>
        </w:rPr>
        <w:br w:type="page"/>
      </w:r>
    </w:p>
    <w:p w14:paraId="2471F32A">
      <w:pPr>
        <w:pageBreakBefore w:val="0"/>
        <w:widowControl w:val="0"/>
        <w:kinsoku/>
        <w:wordWrap/>
        <w:overflowPunct/>
        <w:topLinePunct w:val="0"/>
        <w:autoSpaceDE/>
        <w:autoSpaceDN/>
        <w:bidi w:val="0"/>
        <w:spacing w:line="240" w:lineRule="auto"/>
        <w:jc w:val="center"/>
        <w:textAlignment w:val="auto"/>
        <w:outlineLvl w:val="0"/>
        <w:rPr>
          <w:rFonts w:hint="default" w:ascii="Times New Roman" w:hAnsi="Times New Roman" w:eastAsia="黑体" w:cs="Times New Roman"/>
          <w:bCs/>
          <w:kern w:val="44"/>
          <w:sz w:val="21"/>
          <w:szCs w:val="44"/>
          <w:lang w:eastAsia="zh-CN"/>
        </w:rPr>
      </w:pPr>
      <w:bookmarkStart w:id="89" w:name="_Toc378"/>
      <w:r>
        <w:rPr>
          <w:rFonts w:hint="default" w:ascii="Times New Roman" w:hAnsi="Times New Roman" w:eastAsia="黑体" w:cs="Times New Roman"/>
          <w:bCs/>
          <w:kern w:val="44"/>
          <w:sz w:val="21"/>
          <w:szCs w:val="44"/>
          <w:lang w:eastAsia="zh-CN"/>
        </w:rPr>
        <w:t>附录C</w:t>
      </w:r>
      <w:bookmarkEnd w:id="89"/>
    </w:p>
    <w:p w14:paraId="78694A4A">
      <w:pPr>
        <w:keepNext/>
        <w:keepLines/>
        <w:pageBreakBefore w:val="0"/>
        <w:widowControl w:val="0"/>
        <w:kinsoku/>
        <w:wordWrap/>
        <w:overflowPunct/>
        <w:topLinePunct w:val="0"/>
        <w:autoSpaceDE/>
        <w:autoSpaceDN/>
        <w:bidi w:val="0"/>
        <w:adjustRightInd w:val="0"/>
        <w:snapToGrid w:val="0"/>
        <w:spacing w:before="100" w:after="90" w:line="240" w:lineRule="auto"/>
        <w:jc w:val="center"/>
        <w:textAlignment w:val="auto"/>
        <w:outlineLvl w:val="9"/>
        <w:rPr>
          <w:rFonts w:hint="default" w:ascii="Times New Roman" w:hAnsi="Times New Roman" w:eastAsia="黑体" w:cs="Times New Roman"/>
          <w:bCs/>
          <w:kern w:val="44"/>
          <w:sz w:val="21"/>
          <w:szCs w:val="44"/>
          <w:lang w:eastAsia="zh-CN"/>
        </w:rPr>
      </w:pPr>
      <w:r>
        <w:rPr>
          <w:rFonts w:hint="default" w:ascii="Times New Roman" w:hAnsi="Times New Roman" w:eastAsia="黑体" w:cs="Times New Roman"/>
          <w:bCs/>
          <w:kern w:val="44"/>
          <w:sz w:val="21"/>
          <w:szCs w:val="44"/>
          <w:lang w:eastAsia="zh-CN"/>
        </w:rPr>
        <w:t xml:space="preserve">（资料性） </w:t>
      </w:r>
    </w:p>
    <w:p w14:paraId="725BA71E">
      <w:pPr>
        <w:keepNext/>
        <w:keepLines/>
        <w:pageBreakBefore w:val="0"/>
        <w:widowControl w:val="0"/>
        <w:kinsoku/>
        <w:wordWrap/>
        <w:overflowPunct/>
        <w:topLinePunct w:val="0"/>
        <w:autoSpaceDE/>
        <w:autoSpaceDN/>
        <w:bidi w:val="0"/>
        <w:adjustRightInd w:val="0"/>
        <w:snapToGrid w:val="0"/>
        <w:spacing w:before="100" w:after="90" w:line="240" w:lineRule="auto"/>
        <w:jc w:val="center"/>
        <w:textAlignment w:val="auto"/>
        <w:outlineLvl w:val="9"/>
        <w:rPr>
          <w:rFonts w:hint="default" w:ascii="Times New Roman" w:hAnsi="Times New Roman" w:eastAsia="黑体" w:cs="Times New Roman"/>
          <w:bCs/>
          <w:kern w:val="44"/>
          <w:sz w:val="21"/>
          <w:szCs w:val="44"/>
          <w:lang w:eastAsia="zh-CN"/>
        </w:rPr>
      </w:pPr>
      <w:r>
        <w:rPr>
          <w:rFonts w:hint="default" w:ascii="Times New Roman" w:hAnsi="Times New Roman" w:eastAsia="黑体" w:cs="Times New Roman"/>
          <w:bCs/>
          <w:kern w:val="44"/>
          <w:sz w:val="21"/>
          <w:szCs w:val="44"/>
          <w:lang w:eastAsia="zh-CN"/>
        </w:rPr>
        <w:t>温室气体的全球变暖潜势</w:t>
      </w:r>
      <w:bookmarkStart w:id="90" w:name="_TC"/>
      <w:bookmarkEnd w:id="90"/>
    </w:p>
    <w:p w14:paraId="3DDBD5E5">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部分温室气体的GWP参考值见表C.1。</w:t>
      </w:r>
    </w:p>
    <w:p w14:paraId="41EFB038">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p>
    <w:p w14:paraId="67F06478">
      <w:pPr>
        <w:adjustRightInd w:val="0"/>
        <w:snapToGrid w:val="0"/>
        <w:spacing w:after="0" w:line="360" w:lineRule="auto"/>
        <w:jc w:val="center"/>
        <w:rPr>
          <w:rFonts w:hint="default" w:ascii="Times New Roman" w:hAnsi="Times New Roman" w:eastAsia="黑体" w:cs="Times New Roman"/>
          <w:kern w:val="2"/>
          <w:sz w:val="18"/>
          <w:szCs w:val="18"/>
        </w:rPr>
      </w:pPr>
      <w:r>
        <w:rPr>
          <w:rFonts w:hint="default" w:ascii="Times New Roman" w:hAnsi="Times New Roman" w:eastAsia="黑体" w:cs="Times New Roman"/>
          <w:kern w:val="2"/>
          <w:sz w:val="21"/>
          <w:szCs w:val="21"/>
        </w:rPr>
        <w:t xml:space="preserve">表C.1 </w:t>
      </w:r>
      <w:r>
        <w:rPr>
          <w:rFonts w:hint="eastAsia" w:ascii="Times New Roman" w:hAnsi="Times New Roman" w:eastAsia="黑体" w:cs="Times New Roman"/>
          <w:kern w:val="2"/>
          <w:sz w:val="21"/>
          <w:szCs w:val="21"/>
          <w:lang w:val="en-US" w:eastAsia="zh-CN"/>
        </w:rPr>
        <w:t>部分</w:t>
      </w:r>
      <w:r>
        <w:rPr>
          <w:rFonts w:hint="default" w:ascii="Times New Roman" w:hAnsi="Times New Roman" w:eastAsia="黑体" w:cs="Times New Roman"/>
          <w:kern w:val="2"/>
          <w:sz w:val="21"/>
          <w:szCs w:val="21"/>
        </w:rPr>
        <w:t>温室气体的全球变暖潜势（GWP）</w:t>
      </w:r>
    </w:p>
    <w:tbl>
      <w:tblPr>
        <w:tblStyle w:val="12"/>
        <w:tblW w:w="879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30" w:type="dxa"/>
          <w:left w:w="60" w:type="dxa"/>
          <w:bottom w:w="30" w:type="dxa"/>
          <w:right w:w="60" w:type="dxa"/>
        </w:tblCellMar>
      </w:tblPr>
      <w:tblGrid>
        <w:gridCol w:w="2780"/>
        <w:gridCol w:w="2966"/>
        <w:gridCol w:w="3049"/>
      </w:tblGrid>
      <w:tr w14:paraId="0627FA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60" w:type="dxa"/>
            <w:bottom w:w="30" w:type="dxa"/>
            <w:right w:w="60" w:type="dxa"/>
          </w:tblCellMar>
        </w:tblPrEx>
        <w:trPr>
          <w:jc w:val="center"/>
        </w:trPr>
        <w:tc>
          <w:tcPr>
            <w:tcW w:w="2780" w:type="dxa"/>
            <w:tcBorders>
              <w:top w:val="single" w:color="000000" w:sz="12" w:space="0"/>
              <w:left w:val="nil"/>
              <w:right w:val="nil"/>
              <w:tl2br w:val="nil"/>
            </w:tcBorders>
            <w:shd w:val="clear" w:color="auto" w:fill="FFFFFF"/>
            <w:vAlign w:val="center"/>
          </w:tcPr>
          <w:p w14:paraId="3F301C04">
            <w:pPr>
              <w:spacing w:after="0"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2"/>
                <w:sz w:val="21"/>
                <w:szCs w:val="21"/>
                <w:lang w:eastAsia="zh-CN"/>
              </w:rPr>
              <w:t>气体名称</w:t>
            </w:r>
          </w:p>
        </w:tc>
        <w:tc>
          <w:tcPr>
            <w:tcW w:w="2966" w:type="dxa"/>
            <w:tcBorders>
              <w:top w:val="single" w:color="000000" w:sz="12" w:space="0"/>
              <w:left w:val="nil"/>
              <w:right w:val="nil"/>
            </w:tcBorders>
            <w:shd w:val="clear" w:color="auto" w:fill="FFFFFF"/>
            <w:vAlign w:val="center"/>
          </w:tcPr>
          <w:p w14:paraId="018388B2">
            <w:pPr>
              <w:spacing w:after="0"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2"/>
                <w:sz w:val="21"/>
                <w:szCs w:val="21"/>
                <w:lang w:eastAsia="zh-CN"/>
              </w:rPr>
              <w:t>化学分子式</w:t>
            </w:r>
          </w:p>
        </w:tc>
        <w:tc>
          <w:tcPr>
            <w:tcW w:w="3049" w:type="dxa"/>
            <w:tcBorders>
              <w:top w:val="single" w:color="000000" w:sz="12" w:space="0"/>
              <w:left w:val="nil"/>
              <w:right w:val="nil"/>
            </w:tcBorders>
            <w:shd w:val="clear" w:color="auto" w:fill="FFFFFF"/>
            <w:vAlign w:val="center"/>
          </w:tcPr>
          <w:p w14:paraId="166ADB4C">
            <w:pPr>
              <w:spacing w:after="0"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2"/>
                <w:sz w:val="21"/>
                <w:szCs w:val="21"/>
                <w:lang w:eastAsia="zh-CN"/>
              </w:rPr>
              <w:t>100年的GWP（截至出版时）</w:t>
            </w:r>
          </w:p>
        </w:tc>
      </w:tr>
      <w:tr w14:paraId="19D237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60" w:type="dxa"/>
            <w:bottom w:w="30" w:type="dxa"/>
            <w:right w:w="60" w:type="dxa"/>
          </w:tblCellMar>
        </w:tblPrEx>
        <w:trPr>
          <w:jc w:val="center"/>
        </w:trPr>
        <w:tc>
          <w:tcPr>
            <w:tcW w:w="2780" w:type="dxa"/>
            <w:tcBorders>
              <w:left w:val="nil"/>
              <w:bottom w:val="nil"/>
              <w:right w:val="nil"/>
            </w:tcBorders>
            <w:shd w:val="clear" w:color="auto" w:fill="FFFFFF"/>
            <w:vAlign w:val="center"/>
          </w:tcPr>
          <w:p w14:paraId="433BBE85">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二氧化碳</w:t>
            </w:r>
          </w:p>
        </w:tc>
        <w:tc>
          <w:tcPr>
            <w:tcW w:w="2966" w:type="dxa"/>
            <w:tcBorders>
              <w:left w:val="nil"/>
              <w:bottom w:val="nil"/>
              <w:right w:val="nil"/>
            </w:tcBorders>
            <w:shd w:val="clear" w:color="auto" w:fill="FFFFFF"/>
            <w:vAlign w:val="center"/>
          </w:tcPr>
          <w:p w14:paraId="75450624">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CO</w:t>
            </w:r>
            <w:r>
              <w:rPr>
                <w:rFonts w:hint="default" w:ascii="Times New Roman" w:hAnsi="Times New Roman" w:eastAsia="宋体" w:cs="Times New Roman"/>
                <w:b w:val="0"/>
                <w:color w:val="000000"/>
                <w:kern w:val="2"/>
                <w:sz w:val="21"/>
                <w:szCs w:val="21"/>
                <w:highlight w:val="none"/>
                <w:vertAlign w:val="subscript"/>
                <w:lang w:eastAsia="zh-CN"/>
              </w:rPr>
              <w:t>2</w:t>
            </w:r>
          </w:p>
        </w:tc>
        <w:tc>
          <w:tcPr>
            <w:tcW w:w="3049" w:type="dxa"/>
            <w:tcBorders>
              <w:left w:val="nil"/>
              <w:bottom w:val="nil"/>
              <w:right w:val="nil"/>
            </w:tcBorders>
            <w:shd w:val="clear" w:color="auto" w:fill="FFFFFF"/>
            <w:vAlign w:val="center"/>
          </w:tcPr>
          <w:p w14:paraId="4D703FED">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1</w:t>
            </w:r>
          </w:p>
        </w:tc>
      </w:tr>
      <w:tr w14:paraId="19CEB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60" w:type="dxa"/>
            <w:bottom w:w="30" w:type="dxa"/>
            <w:right w:w="60" w:type="dxa"/>
          </w:tblCellMar>
        </w:tblPrEx>
        <w:trPr>
          <w:jc w:val="center"/>
        </w:trPr>
        <w:tc>
          <w:tcPr>
            <w:tcW w:w="2780" w:type="dxa"/>
            <w:tcBorders>
              <w:top w:val="nil"/>
              <w:left w:val="nil"/>
              <w:bottom w:val="nil"/>
              <w:right w:val="nil"/>
            </w:tcBorders>
            <w:shd w:val="clear" w:color="auto" w:fill="FFFFFF"/>
            <w:vAlign w:val="center"/>
          </w:tcPr>
          <w:p w14:paraId="75907BEA">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甲烷</w:t>
            </w:r>
          </w:p>
        </w:tc>
        <w:tc>
          <w:tcPr>
            <w:tcW w:w="2966" w:type="dxa"/>
            <w:tcBorders>
              <w:top w:val="nil"/>
              <w:left w:val="nil"/>
              <w:bottom w:val="nil"/>
              <w:right w:val="nil"/>
            </w:tcBorders>
            <w:shd w:val="clear" w:color="auto" w:fill="FFFFFF"/>
            <w:vAlign w:val="center"/>
          </w:tcPr>
          <w:p w14:paraId="406EF962">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CH</w:t>
            </w:r>
            <w:r>
              <w:rPr>
                <w:rFonts w:hint="default" w:ascii="Times New Roman" w:hAnsi="Times New Roman" w:eastAsia="宋体" w:cs="Times New Roman"/>
                <w:b w:val="0"/>
                <w:color w:val="000000"/>
                <w:kern w:val="2"/>
                <w:sz w:val="21"/>
                <w:szCs w:val="21"/>
                <w:highlight w:val="none"/>
                <w:vertAlign w:val="subscript"/>
                <w:lang w:eastAsia="zh-CN"/>
              </w:rPr>
              <w:t>4</w:t>
            </w:r>
          </w:p>
        </w:tc>
        <w:tc>
          <w:tcPr>
            <w:tcW w:w="3049" w:type="dxa"/>
            <w:tcBorders>
              <w:top w:val="nil"/>
              <w:left w:val="nil"/>
              <w:bottom w:val="nil"/>
              <w:right w:val="nil"/>
            </w:tcBorders>
            <w:shd w:val="clear" w:color="auto" w:fill="FFFFFF"/>
            <w:vAlign w:val="center"/>
          </w:tcPr>
          <w:p w14:paraId="63BAB8FA">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27.9</w:t>
            </w:r>
          </w:p>
        </w:tc>
      </w:tr>
      <w:tr w14:paraId="68FCD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60" w:type="dxa"/>
            <w:bottom w:w="30" w:type="dxa"/>
            <w:right w:w="60" w:type="dxa"/>
          </w:tblCellMar>
        </w:tblPrEx>
        <w:trPr>
          <w:jc w:val="center"/>
        </w:trPr>
        <w:tc>
          <w:tcPr>
            <w:tcW w:w="2780" w:type="dxa"/>
            <w:tcBorders>
              <w:top w:val="nil"/>
              <w:left w:val="nil"/>
              <w:bottom w:val="nil"/>
              <w:right w:val="nil"/>
            </w:tcBorders>
            <w:shd w:val="clear" w:color="auto" w:fill="FFFFFF"/>
            <w:vAlign w:val="center"/>
          </w:tcPr>
          <w:p w14:paraId="10998DBF">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氧化亚氮</w:t>
            </w:r>
          </w:p>
        </w:tc>
        <w:tc>
          <w:tcPr>
            <w:tcW w:w="2966" w:type="dxa"/>
            <w:tcBorders>
              <w:top w:val="nil"/>
              <w:left w:val="nil"/>
              <w:bottom w:val="nil"/>
              <w:right w:val="nil"/>
            </w:tcBorders>
            <w:shd w:val="clear" w:color="auto" w:fill="FFFFFF"/>
            <w:vAlign w:val="center"/>
          </w:tcPr>
          <w:p w14:paraId="2BB2B7C7">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N</w:t>
            </w:r>
            <w:r>
              <w:rPr>
                <w:rFonts w:hint="default" w:ascii="Times New Roman" w:hAnsi="Times New Roman" w:eastAsia="宋体" w:cs="Times New Roman"/>
                <w:b w:val="0"/>
                <w:color w:val="000000"/>
                <w:kern w:val="2"/>
                <w:sz w:val="21"/>
                <w:szCs w:val="21"/>
                <w:highlight w:val="none"/>
                <w:vertAlign w:val="subscript"/>
                <w:lang w:eastAsia="zh-CN"/>
              </w:rPr>
              <w:t>2</w:t>
            </w:r>
            <w:r>
              <w:rPr>
                <w:rFonts w:hint="default" w:ascii="Times New Roman" w:hAnsi="Times New Roman" w:eastAsia="宋体" w:cs="Times New Roman"/>
                <w:b w:val="0"/>
                <w:color w:val="000000"/>
                <w:kern w:val="2"/>
                <w:sz w:val="21"/>
                <w:szCs w:val="21"/>
                <w:highlight w:val="none"/>
                <w:lang w:eastAsia="zh-CN"/>
              </w:rPr>
              <w:t>O</w:t>
            </w:r>
          </w:p>
        </w:tc>
        <w:tc>
          <w:tcPr>
            <w:tcW w:w="3049" w:type="dxa"/>
            <w:tcBorders>
              <w:top w:val="nil"/>
              <w:left w:val="nil"/>
              <w:bottom w:val="nil"/>
              <w:right w:val="nil"/>
            </w:tcBorders>
            <w:shd w:val="clear" w:color="auto" w:fill="FFFFFF"/>
            <w:vAlign w:val="center"/>
          </w:tcPr>
          <w:p w14:paraId="448EE54C">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273</w:t>
            </w:r>
          </w:p>
        </w:tc>
      </w:tr>
      <w:tr w14:paraId="33EA0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60" w:type="dxa"/>
            <w:bottom w:w="30" w:type="dxa"/>
            <w:right w:w="60" w:type="dxa"/>
          </w:tblCellMar>
        </w:tblPrEx>
        <w:trPr>
          <w:jc w:val="center"/>
        </w:trPr>
        <w:tc>
          <w:tcPr>
            <w:tcW w:w="2780" w:type="dxa"/>
            <w:tcBorders>
              <w:top w:val="nil"/>
              <w:left w:val="nil"/>
              <w:bottom w:val="nil"/>
              <w:right w:val="nil"/>
            </w:tcBorders>
            <w:shd w:val="clear" w:color="auto" w:fill="FFFFFF"/>
            <w:vAlign w:val="center"/>
          </w:tcPr>
          <w:p w14:paraId="185C1BB8">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三氟化氮</w:t>
            </w:r>
          </w:p>
        </w:tc>
        <w:tc>
          <w:tcPr>
            <w:tcW w:w="2966" w:type="dxa"/>
            <w:tcBorders>
              <w:top w:val="nil"/>
              <w:left w:val="nil"/>
              <w:bottom w:val="nil"/>
              <w:right w:val="nil"/>
            </w:tcBorders>
            <w:shd w:val="clear" w:color="auto" w:fill="FFFFFF"/>
            <w:vAlign w:val="center"/>
          </w:tcPr>
          <w:p w14:paraId="3C03E724">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NF</w:t>
            </w:r>
            <w:r>
              <w:rPr>
                <w:rFonts w:hint="default" w:ascii="Times New Roman" w:hAnsi="Times New Roman" w:eastAsia="宋体" w:cs="Times New Roman"/>
                <w:b w:val="0"/>
                <w:color w:val="000000"/>
                <w:kern w:val="2"/>
                <w:sz w:val="21"/>
                <w:szCs w:val="21"/>
                <w:highlight w:val="none"/>
                <w:vertAlign w:val="subscript"/>
                <w:lang w:eastAsia="zh-CN"/>
              </w:rPr>
              <w:t>3</w:t>
            </w:r>
          </w:p>
        </w:tc>
        <w:tc>
          <w:tcPr>
            <w:tcW w:w="3049" w:type="dxa"/>
            <w:tcBorders>
              <w:top w:val="nil"/>
              <w:left w:val="nil"/>
              <w:bottom w:val="nil"/>
              <w:right w:val="nil"/>
            </w:tcBorders>
            <w:shd w:val="clear" w:color="auto" w:fill="FFFFFF"/>
            <w:vAlign w:val="center"/>
          </w:tcPr>
          <w:p w14:paraId="14FD13C3">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17400</w:t>
            </w:r>
          </w:p>
        </w:tc>
      </w:tr>
      <w:tr w14:paraId="47B11A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60" w:type="dxa"/>
            <w:bottom w:w="30" w:type="dxa"/>
            <w:right w:w="60" w:type="dxa"/>
          </w:tblCellMar>
        </w:tblPrEx>
        <w:trPr>
          <w:jc w:val="center"/>
        </w:trPr>
        <w:tc>
          <w:tcPr>
            <w:tcW w:w="2780" w:type="dxa"/>
            <w:tcBorders>
              <w:top w:val="nil"/>
              <w:left w:val="nil"/>
              <w:bottom w:val="nil"/>
              <w:right w:val="nil"/>
            </w:tcBorders>
            <w:shd w:val="clear" w:color="auto" w:fill="FFFFFF"/>
            <w:vAlign w:val="center"/>
          </w:tcPr>
          <w:p w14:paraId="6FA2F29D">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六氟化硫</w:t>
            </w:r>
          </w:p>
        </w:tc>
        <w:tc>
          <w:tcPr>
            <w:tcW w:w="2966" w:type="dxa"/>
            <w:tcBorders>
              <w:top w:val="nil"/>
              <w:left w:val="nil"/>
              <w:bottom w:val="nil"/>
              <w:right w:val="nil"/>
            </w:tcBorders>
            <w:shd w:val="clear" w:color="auto" w:fill="FFFFFF"/>
            <w:vAlign w:val="center"/>
          </w:tcPr>
          <w:p w14:paraId="5DE26C3D">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SF</w:t>
            </w:r>
            <w:r>
              <w:rPr>
                <w:rFonts w:hint="default" w:ascii="Times New Roman" w:hAnsi="Times New Roman" w:eastAsia="宋体" w:cs="Times New Roman"/>
                <w:b w:val="0"/>
                <w:color w:val="000000"/>
                <w:kern w:val="2"/>
                <w:sz w:val="21"/>
                <w:szCs w:val="21"/>
                <w:highlight w:val="none"/>
                <w:vertAlign w:val="subscript"/>
                <w:lang w:eastAsia="zh-CN"/>
              </w:rPr>
              <w:t>6</w:t>
            </w:r>
          </w:p>
        </w:tc>
        <w:tc>
          <w:tcPr>
            <w:tcW w:w="3049" w:type="dxa"/>
            <w:tcBorders>
              <w:top w:val="nil"/>
              <w:left w:val="nil"/>
              <w:bottom w:val="nil"/>
              <w:right w:val="nil"/>
            </w:tcBorders>
            <w:shd w:val="clear" w:color="auto" w:fill="FFFFFF"/>
            <w:vAlign w:val="center"/>
          </w:tcPr>
          <w:p w14:paraId="4C24FE53">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25200</w:t>
            </w:r>
          </w:p>
        </w:tc>
      </w:tr>
      <w:tr w14:paraId="1EED9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60" w:type="dxa"/>
            <w:bottom w:w="30" w:type="dxa"/>
            <w:right w:w="60" w:type="dxa"/>
          </w:tblCellMar>
        </w:tblPrEx>
        <w:trPr>
          <w:jc w:val="center"/>
        </w:trPr>
        <w:tc>
          <w:tcPr>
            <w:tcW w:w="2780" w:type="dxa"/>
            <w:tcBorders>
              <w:top w:val="nil"/>
              <w:left w:val="nil"/>
              <w:bottom w:val="nil"/>
              <w:right w:val="nil"/>
            </w:tcBorders>
            <w:shd w:val="clear" w:color="auto" w:fill="FFFFFF"/>
            <w:vAlign w:val="center"/>
          </w:tcPr>
          <w:p w14:paraId="61FD3C2C">
            <w:pPr>
              <w:spacing w:after="0"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bCs/>
                <w:color w:val="000000"/>
                <w:kern w:val="2"/>
                <w:sz w:val="21"/>
                <w:szCs w:val="21"/>
                <w:lang w:eastAsia="zh-CN"/>
              </w:rPr>
              <w:t>氢氟碳化物（HFCs）</w:t>
            </w:r>
          </w:p>
        </w:tc>
        <w:tc>
          <w:tcPr>
            <w:tcW w:w="2966" w:type="dxa"/>
            <w:tcBorders>
              <w:top w:val="nil"/>
              <w:left w:val="nil"/>
              <w:bottom w:val="nil"/>
              <w:right w:val="nil"/>
            </w:tcBorders>
            <w:shd w:val="clear" w:color="auto" w:fill="FFFFFF"/>
            <w:vAlign w:val="center"/>
          </w:tcPr>
          <w:p w14:paraId="12461EBE">
            <w:pPr>
              <w:spacing w:after="0" w:line="300" w:lineRule="auto"/>
              <w:jc w:val="center"/>
              <w:rPr>
                <w:rFonts w:hint="default" w:ascii="Times New Roman" w:hAnsi="Times New Roman" w:eastAsia="宋体" w:cs="Times New Roman"/>
                <w:b w:val="0"/>
                <w:color w:val="000000"/>
                <w:sz w:val="21"/>
                <w:szCs w:val="21"/>
              </w:rPr>
            </w:pPr>
          </w:p>
        </w:tc>
        <w:tc>
          <w:tcPr>
            <w:tcW w:w="3049" w:type="dxa"/>
            <w:tcBorders>
              <w:top w:val="nil"/>
              <w:left w:val="nil"/>
              <w:bottom w:val="nil"/>
              <w:right w:val="nil"/>
            </w:tcBorders>
            <w:shd w:val="clear" w:color="auto" w:fill="FFFFFF"/>
            <w:vAlign w:val="center"/>
          </w:tcPr>
          <w:p w14:paraId="36ECD635">
            <w:pPr>
              <w:spacing w:after="0" w:line="300" w:lineRule="auto"/>
              <w:jc w:val="center"/>
              <w:rPr>
                <w:rFonts w:hint="default" w:ascii="Times New Roman" w:hAnsi="Times New Roman" w:eastAsia="宋体" w:cs="Times New Roman"/>
                <w:b w:val="0"/>
                <w:color w:val="000000"/>
                <w:sz w:val="21"/>
                <w:szCs w:val="21"/>
              </w:rPr>
            </w:pPr>
          </w:p>
        </w:tc>
      </w:tr>
      <w:tr w14:paraId="46B5D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60" w:type="dxa"/>
            <w:bottom w:w="30" w:type="dxa"/>
            <w:right w:w="60" w:type="dxa"/>
          </w:tblCellMar>
        </w:tblPrEx>
        <w:trPr>
          <w:jc w:val="center"/>
        </w:trPr>
        <w:tc>
          <w:tcPr>
            <w:tcW w:w="2780" w:type="dxa"/>
            <w:tcBorders>
              <w:top w:val="nil"/>
              <w:left w:val="nil"/>
              <w:bottom w:val="nil"/>
              <w:right w:val="nil"/>
            </w:tcBorders>
            <w:shd w:val="clear" w:color="auto" w:fill="FFFFFF"/>
            <w:vAlign w:val="center"/>
          </w:tcPr>
          <w:p w14:paraId="34DED9ED">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HFC-23</w:t>
            </w:r>
          </w:p>
        </w:tc>
        <w:tc>
          <w:tcPr>
            <w:tcW w:w="2966" w:type="dxa"/>
            <w:tcBorders>
              <w:top w:val="nil"/>
              <w:left w:val="nil"/>
              <w:bottom w:val="nil"/>
              <w:right w:val="nil"/>
            </w:tcBorders>
            <w:shd w:val="clear" w:color="auto" w:fill="FFFFFF"/>
            <w:vAlign w:val="center"/>
          </w:tcPr>
          <w:p w14:paraId="5FB54504">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CHF</w:t>
            </w:r>
            <w:r>
              <w:rPr>
                <w:rFonts w:hint="default" w:ascii="Times New Roman" w:hAnsi="Times New Roman" w:eastAsia="宋体" w:cs="Times New Roman"/>
                <w:b w:val="0"/>
                <w:color w:val="000000"/>
                <w:kern w:val="2"/>
                <w:sz w:val="21"/>
                <w:szCs w:val="21"/>
                <w:highlight w:val="none"/>
                <w:vertAlign w:val="subscript"/>
                <w:lang w:eastAsia="zh-CN"/>
              </w:rPr>
              <w:t>3</w:t>
            </w:r>
          </w:p>
        </w:tc>
        <w:tc>
          <w:tcPr>
            <w:tcW w:w="3049" w:type="dxa"/>
            <w:tcBorders>
              <w:top w:val="nil"/>
              <w:left w:val="nil"/>
              <w:bottom w:val="nil"/>
              <w:right w:val="nil"/>
            </w:tcBorders>
            <w:shd w:val="clear" w:color="auto" w:fill="FFFFFF"/>
            <w:vAlign w:val="center"/>
          </w:tcPr>
          <w:p w14:paraId="64913689">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14600</w:t>
            </w:r>
          </w:p>
        </w:tc>
      </w:tr>
      <w:tr w14:paraId="097752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60" w:type="dxa"/>
            <w:bottom w:w="30" w:type="dxa"/>
            <w:right w:w="60" w:type="dxa"/>
          </w:tblCellMar>
        </w:tblPrEx>
        <w:trPr>
          <w:jc w:val="center"/>
        </w:trPr>
        <w:tc>
          <w:tcPr>
            <w:tcW w:w="2780" w:type="dxa"/>
            <w:tcBorders>
              <w:top w:val="nil"/>
              <w:left w:val="nil"/>
              <w:bottom w:val="nil"/>
              <w:right w:val="nil"/>
            </w:tcBorders>
            <w:shd w:val="clear" w:color="auto" w:fill="FFFFFF"/>
            <w:vAlign w:val="center"/>
          </w:tcPr>
          <w:p w14:paraId="0CDD6718">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HFC-32</w:t>
            </w:r>
          </w:p>
        </w:tc>
        <w:tc>
          <w:tcPr>
            <w:tcW w:w="2966" w:type="dxa"/>
            <w:tcBorders>
              <w:top w:val="nil"/>
              <w:left w:val="nil"/>
              <w:bottom w:val="nil"/>
              <w:right w:val="nil"/>
            </w:tcBorders>
            <w:shd w:val="clear" w:color="auto" w:fill="FFFFFF"/>
            <w:vAlign w:val="center"/>
          </w:tcPr>
          <w:p w14:paraId="397D6159">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CH</w:t>
            </w:r>
            <w:r>
              <w:rPr>
                <w:rFonts w:hint="default" w:ascii="Times New Roman" w:hAnsi="Times New Roman" w:eastAsia="宋体" w:cs="Times New Roman"/>
                <w:b w:val="0"/>
                <w:color w:val="000000"/>
                <w:kern w:val="2"/>
                <w:sz w:val="21"/>
                <w:szCs w:val="21"/>
                <w:highlight w:val="none"/>
                <w:vertAlign w:val="subscript"/>
                <w:lang w:eastAsia="zh-CN"/>
              </w:rPr>
              <w:t>2</w:t>
            </w:r>
            <w:r>
              <w:rPr>
                <w:rFonts w:hint="default" w:ascii="Times New Roman" w:hAnsi="Times New Roman" w:eastAsia="宋体" w:cs="Times New Roman"/>
                <w:b w:val="0"/>
                <w:color w:val="000000"/>
                <w:kern w:val="2"/>
                <w:sz w:val="21"/>
                <w:szCs w:val="21"/>
                <w:highlight w:val="none"/>
                <w:lang w:eastAsia="zh-CN"/>
              </w:rPr>
              <w:t>F</w:t>
            </w:r>
            <w:r>
              <w:rPr>
                <w:rFonts w:hint="default" w:ascii="Times New Roman" w:hAnsi="Times New Roman" w:eastAsia="宋体" w:cs="Times New Roman"/>
                <w:b w:val="0"/>
                <w:color w:val="000000"/>
                <w:kern w:val="2"/>
                <w:sz w:val="21"/>
                <w:szCs w:val="21"/>
                <w:highlight w:val="none"/>
                <w:vertAlign w:val="subscript"/>
                <w:lang w:eastAsia="zh-CN"/>
              </w:rPr>
              <w:t>2</w:t>
            </w:r>
          </w:p>
        </w:tc>
        <w:tc>
          <w:tcPr>
            <w:tcW w:w="3049" w:type="dxa"/>
            <w:tcBorders>
              <w:top w:val="nil"/>
              <w:left w:val="nil"/>
              <w:bottom w:val="nil"/>
              <w:right w:val="nil"/>
            </w:tcBorders>
            <w:shd w:val="clear" w:color="auto" w:fill="FFFFFF"/>
            <w:vAlign w:val="center"/>
          </w:tcPr>
          <w:p w14:paraId="3970D52C">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771</w:t>
            </w:r>
          </w:p>
        </w:tc>
      </w:tr>
      <w:tr w14:paraId="03959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60" w:type="dxa"/>
            <w:bottom w:w="30" w:type="dxa"/>
            <w:right w:w="60" w:type="dxa"/>
          </w:tblCellMar>
        </w:tblPrEx>
        <w:trPr>
          <w:jc w:val="center"/>
        </w:trPr>
        <w:tc>
          <w:tcPr>
            <w:tcW w:w="2780" w:type="dxa"/>
            <w:tcBorders>
              <w:top w:val="nil"/>
              <w:left w:val="nil"/>
              <w:bottom w:val="nil"/>
              <w:right w:val="nil"/>
            </w:tcBorders>
            <w:shd w:val="clear" w:color="auto" w:fill="FFFFFF"/>
            <w:vAlign w:val="center"/>
          </w:tcPr>
          <w:p w14:paraId="6EA8D74F">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HFC-41</w:t>
            </w:r>
          </w:p>
        </w:tc>
        <w:tc>
          <w:tcPr>
            <w:tcW w:w="2966" w:type="dxa"/>
            <w:tcBorders>
              <w:top w:val="nil"/>
              <w:left w:val="nil"/>
              <w:bottom w:val="nil"/>
              <w:right w:val="nil"/>
            </w:tcBorders>
            <w:shd w:val="clear" w:color="auto" w:fill="FFFFFF"/>
            <w:vAlign w:val="center"/>
          </w:tcPr>
          <w:p w14:paraId="795C4D15">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CH</w:t>
            </w:r>
            <w:r>
              <w:rPr>
                <w:rFonts w:hint="default" w:ascii="Times New Roman" w:hAnsi="Times New Roman" w:eastAsia="宋体" w:cs="Times New Roman"/>
                <w:b w:val="0"/>
                <w:color w:val="000000"/>
                <w:kern w:val="2"/>
                <w:sz w:val="21"/>
                <w:szCs w:val="21"/>
                <w:highlight w:val="none"/>
                <w:vertAlign w:val="subscript"/>
                <w:lang w:eastAsia="zh-CN"/>
              </w:rPr>
              <w:t>3</w:t>
            </w:r>
            <w:r>
              <w:rPr>
                <w:rFonts w:hint="default" w:ascii="Times New Roman" w:hAnsi="Times New Roman" w:eastAsia="宋体" w:cs="Times New Roman"/>
                <w:b w:val="0"/>
                <w:color w:val="000000"/>
                <w:kern w:val="2"/>
                <w:sz w:val="21"/>
                <w:szCs w:val="21"/>
                <w:highlight w:val="none"/>
                <w:lang w:eastAsia="zh-CN"/>
              </w:rPr>
              <w:t>F</w:t>
            </w:r>
          </w:p>
        </w:tc>
        <w:tc>
          <w:tcPr>
            <w:tcW w:w="3049" w:type="dxa"/>
            <w:tcBorders>
              <w:top w:val="nil"/>
              <w:left w:val="nil"/>
              <w:bottom w:val="nil"/>
              <w:right w:val="nil"/>
            </w:tcBorders>
            <w:shd w:val="clear" w:color="auto" w:fill="FFFFFF"/>
            <w:vAlign w:val="center"/>
          </w:tcPr>
          <w:p w14:paraId="3AF3F5E7">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135</w:t>
            </w:r>
          </w:p>
        </w:tc>
      </w:tr>
      <w:tr w14:paraId="3FFE1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60" w:type="dxa"/>
            <w:bottom w:w="30" w:type="dxa"/>
            <w:right w:w="60" w:type="dxa"/>
          </w:tblCellMar>
        </w:tblPrEx>
        <w:trPr>
          <w:jc w:val="center"/>
        </w:trPr>
        <w:tc>
          <w:tcPr>
            <w:tcW w:w="2780" w:type="dxa"/>
            <w:tcBorders>
              <w:top w:val="nil"/>
              <w:left w:val="nil"/>
              <w:bottom w:val="nil"/>
              <w:right w:val="nil"/>
            </w:tcBorders>
            <w:shd w:val="clear" w:color="auto" w:fill="FFFFFF"/>
            <w:vAlign w:val="center"/>
          </w:tcPr>
          <w:p w14:paraId="17E2BE88">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HFC-125</w:t>
            </w:r>
          </w:p>
        </w:tc>
        <w:tc>
          <w:tcPr>
            <w:tcW w:w="2966" w:type="dxa"/>
            <w:tcBorders>
              <w:top w:val="nil"/>
              <w:left w:val="nil"/>
              <w:bottom w:val="nil"/>
              <w:right w:val="nil"/>
            </w:tcBorders>
            <w:shd w:val="clear" w:color="auto" w:fill="FFFFFF"/>
            <w:vAlign w:val="center"/>
          </w:tcPr>
          <w:p w14:paraId="650B8520">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C</w:t>
            </w:r>
            <w:r>
              <w:rPr>
                <w:rFonts w:hint="default" w:ascii="Times New Roman" w:hAnsi="Times New Roman" w:eastAsia="宋体" w:cs="Times New Roman"/>
                <w:b w:val="0"/>
                <w:color w:val="000000"/>
                <w:kern w:val="2"/>
                <w:sz w:val="21"/>
                <w:szCs w:val="21"/>
                <w:highlight w:val="none"/>
                <w:vertAlign w:val="subscript"/>
                <w:lang w:eastAsia="zh-CN"/>
              </w:rPr>
              <w:t>2</w:t>
            </w:r>
            <w:r>
              <w:rPr>
                <w:rFonts w:hint="default" w:ascii="Times New Roman" w:hAnsi="Times New Roman" w:eastAsia="宋体" w:cs="Times New Roman"/>
                <w:b w:val="0"/>
                <w:color w:val="000000"/>
                <w:kern w:val="2"/>
                <w:sz w:val="21"/>
                <w:szCs w:val="21"/>
                <w:highlight w:val="none"/>
                <w:lang w:eastAsia="zh-CN"/>
              </w:rPr>
              <w:t>HF</w:t>
            </w:r>
            <w:r>
              <w:rPr>
                <w:rFonts w:hint="default" w:ascii="Times New Roman" w:hAnsi="Times New Roman" w:eastAsia="宋体" w:cs="Times New Roman"/>
                <w:b w:val="0"/>
                <w:color w:val="000000"/>
                <w:kern w:val="2"/>
                <w:sz w:val="21"/>
                <w:szCs w:val="21"/>
                <w:highlight w:val="none"/>
                <w:vertAlign w:val="subscript"/>
                <w:lang w:eastAsia="zh-CN"/>
              </w:rPr>
              <w:t>5</w:t>
            </w:r>
          </w:p>
        </w:tc>
        <w:tc>
          <w:tcPr>
            <w:tcW w:w="3049" w:type="dxa"/>
            <w:tcBorders>
              <w:top w:val="nil"/>
              <w:left w:val="nil"/>
              <w:bottom w:val="nil"/>
              <w:right w:val="nil"/>
            </w:tcBorders>
            <w:shd w:val="clear" w:color="auto" w:fill="FFFFFF"/>
            <w:vAlign w:val="center"/>
          </w:tcPr>
          <w:p w14:paraId="32D7409F">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3740</w:t>
            </w:r>
          </w:p>
        </w:tc>
      </w:tr>
      <w:tr w14:paraId="1E26F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60" w:type="dxa"/>
            <w:bottom w:w="30" w:type="dxa"/>
            <w:right w:w="60" w:type="dxa"/>
          </w:tblCellMar>
        </w:tblPrEx>
        <w:trPr>
          <w:jc w:val="center"/>
        </w:trPr>
        <w:tc>
          <w:tcPr>
            <w:tcW w:w="2780" w:type="dxa"/>
            <w:tcBorders>
              <w:top w:val="nil"/>
              <w:left w:val="nil"/>
              <w:bottom w:val="nil"/>
              <w:right w:val="nil"/>
            </w:tcBorders>
            <w:shd w:val="clear" w:color="auto" w:fill="FFFFFF"/>
            <w:vAlign w:val="center"/>
          </w:tcPr>
          <w:p w14:paraId="7E450C0D">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HFC-134</w:t>
            </w:r>
          </w:p>
        </w:tc>
        <w:tc>
          <w:tcPr>
            <w:tcW w:w="2966" w:type="dxa"/>
            <w:tcBorders>
              <w:top w:val="nil"/>
              <w:left w:val="nil"/>
              <w:bottom w:val="nil"/>
              <w:right w:val="nil"/>
            </w:tcBorders>
            <w:shd w:val="clear" w:color="auto" w:fill="FFFFFF"/>
            <w:vAlign w:val="center"/>
          </w:tcPr>
          <w:p w14:paraId="69611BCF">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CHF</w:t>
            </w:r>
            <w:r>
              <w:rPr>
                <w:rFonts w:hint="default" w:ascii="Times New Roman" w:hAnsi="Times New Roman" w:eastAsia="宋体" w:cs="Times New Roman"/>
                <w:b w:val="0"/>
                <w:color w:val="000000"/>
                <w:kern w:val="2"/>
                <w:sz w:val="21"/>
                <w:szCs w:val="21"/>
                <w:highlight w:val="none"/>
                <w:vertAlign w:val="subscript"/>
                <w:lang w:eastAsia="zh-CN"/>
              </w:rPr>
              <w:t>2</w:t>
            </w:r>
            <w:r>
              <w:rPr>
                <w:rFonts w:hint="default" w:ascii="Times New Roman" w:hAnsi="Times New Roman" w:eastAsia="宋体" w:cs="Times New Roman"/>
                <w:b w:val="0"/>
                <w:color w:val="000000"/>
                <w:kern w:val="2"/>
                <w:sz w:val="21"/>
                <w:szCs w:val="21"/>
                <w:highlight w:val="none"/>
                <w:lang w:eastAsia="zh-CN"/>
              </w:rPr>
              <w:t>CHF</w:t>
            </w:r>
            <w:r>
              <w:rPr>
                <w:rFonts w:hint="default" w:ascii="Times New Roman" w:hAnsi="Times New Roman" w:eastAsia="宋体" w:cs="Times New Roman"/>
                <w:b w:val="0"/>
                <w:color w:val="000000"/>
                <w:kern w:val="2"/>
                <w:sz w:val="21"/>
                <w:szCs w:val="21"/>
                <w:highlight w:val="none"/>
                <w:vertAlign w:val="subscript"/>
                <w:lang w:eastAsia="zh-CN"/>
              </w:rPr>
              <w:t>2</w:t>
            </w:r>
          </w:p>
        </w:tc>
        <w:tc>
          <w:tcPr>
            <w:tcW w:w="3049" w:type="dxa"/>
            <w:tcBorders>
              <w:top w:val="nil"/>
              <w:left w:val="nil"/>
              <w:bottom w:val="nil"/>
              <w:right w:val="nil"/>
            </w:tcBorders>
            <w:shd w:val="clear" w:color="auto" w:fill="FFFFFF"/>
            <w:vAlign w:val="center"/>
          </w:tcPr>
          <w:p w14:paraId="4C4C5A04">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1260</w:t>
            </w:r>
          </w:p>
        </w:tc>
      </w:tr>
      <w:tr w14:paraId="69DD2A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60" w:type="dxa"/>
            <w:bottom w:w="30" w:type="dxa"/>
            <w:right w:w="60" w:type="dxa"/>
          </w:tblCellMar>
        </w:tblPrEx>
        <w:trPr>
          <w:jc w:val="center"/>
        </w:trPr>
        <w:tc>
          <w:tcPr>
            <w:tcW w:w="2780" w:type="dxa"/>
            <w:tcBorders>
              <w:top w:val="nil"/>
              <w:left w:val="nil"/>
              <w:bottom w:val="nil"/>
              <w:right w:val="nil"/>
            </w:tcBorders>
            <w:shd w:val="clear" w:color="auto" w:fill="FFFFFF"/>
            <w:vAlign w:val="center"/>
          </w:tcPr>
          <w:p w14:paraId="4E488FE9">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HFC-134a</w:t>
            </w:r>
          </w:p>
        </w:tc>
        <w:tc>
          <w:tcPr>
            <w:tcW w:w="2966" w:type="dxa"/>
            <w:tcBorders>
              <w:top w:val="nil"/>
              <w:left w:val="nil"/>
              <w:bottom w:val="nil"/>
              <w:right w:val="nil"/>
            </w:tcBorders>
            <w:shd w:val="clear" w:color="auto" w:fill="FFFFFF"/>
            <w:vAlign w:val="center"/>
          </w:tcPr>
          <w:p w14:paraId="7322F758">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C</w:t>
            </w:r>
            <w:r>
              <w:rPr>
                <w:rFonts w:hint="default" w:ascii="Times New Roman" w:hAnsi="Times New Roman" w:eastAsia="宋体" w:cs="Times New Roman"/>
                <w:b w:val="0"/>
                <w:color w:val="000000"/>
                <w:kern w:val="2"/>
                <w:sz w:val="21"/>
                <w:szCs w:val="21"/>
                <w:highlight w:val="none"/>
                <w:vertAlign w:val="subscript"/>
                <w:lang w:eastAsia="zh-CN"/>
              </w:rPr>
              <w:t>2</w:t>
            </w:r>
            <w:r>
              <w:rPr>
                <w:rFonts w:hint="default" w:ascii="Times New Roman" w:hAnsi="Times New Roman" w:eastAsia="宋体" w:cs="Times New Roman"/>
                <w:b w:val="0"/>
                <w:color w:val="000000"/>
                <w:kern w:val="2"/>
                <w:sz w:val="21"/>
                <w:szCs w:val="21"/>
                <w:highlight w:val="none"/>
                <w:lang w:eastAsia="zh-CN"/>
              </w:rPr>
              <w:t>H</w:t>
            </w:r>
            <w:r>
              <w:rPr>
                <w:rFonts w:hint="default" w:ascii="Times New Roman" w:hAnsi="Times New Roman" w:eastAsia="宋体" w:cs="Times New Roman"/>
                <w:b w:val="0"/>
                <w:color w:val="000000"/>
                <w:kern w:val="2"/>
                <w:sz w:val="21"/>
                <w:szCs w:val="21"/>
                <w:highlight w:val="none"/>
                <w:vertAlign w:val="subscript"/>
                <w:lang w:eastAsia="zh-CN"/>
              </w:rPr>
              <w:t>2</w:t>
            </w:r>
            <w:r>
              <w:rPr>
                <w:rFonts w:hint="default" w:ascii="Times New Roman" w:hAnsi="Times New Roman" w:eastAsia="宋体" w:cs="Times New Roman"/>
                <w:b w:val="0"/>
                <w:color w:val="000000"/>
                <w:kern w:val="2"/>
                <w:sz w:val="21"/>
                <w:szCs w:val="21"/>
                <w:highlight w:val="none"/>
                <w:lang w:eastAsia="zh-CN"/>
              </w:rPr>
              <w:t>F</w:t>
            </w:r>
            <w:r>
              <w:rPr>
                <w:rFonts w:hint="default" w:ascii="Times New Roman" w:hAnsi="Times New Roman" w:eastAsia="宋体" w:cs="Times New Roman"/>
                <w:b w:val="0"/>
                <w:color w:val="000000"/>
                <w:kern w:val="2"/>
                <w:sz w:val="21"/>
                <w:szCs w:val="21"/>
                <w:highlight w:val="none"/>
                <w:vertAlign w:val="subscript"/>
                <w:lang w:eastAsia="zh-CN"/>
              </w:rPr>
              <w:t>4</w:t>
            </w:r>
          </w:p>
        </w:tc>
        <w:tc>
          <w:tcPr>
            <w:tcW w:w="3049" w:type="dxa"/>
            <w:tcBorders>
              <w:top w:val="nil"/>
              <w:left w:val="nil"/>
              <w:bottom w:val="nil"/>
              <w:right w:val="nil"/>
            </w:tcBorders>
            <w:shd w:val="clear" w:color="auto" w:fill="FFFFFF"/>
            <w:vAlign w:val="center"/>
          </w:tcPr>
          <w:p w14:paraId="3D5C61F6">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1530</w:t>
            </w:r>
          </w:p>
        </w:tc>
      </w:tr>
      <w:tr w14:paraId="1FDCC3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60" w:type="dxa"/>
            <w:bottom w:w="30" w:type="dxa"/>
            <w:right w:w="60" w:type="dxa"/>
          </w:tblCellMar>
        </w:tblPrEx>
        <w:trPr>
          <w:jc w:val="center"/>
        </w:trPr>
        <w:tc>
          <w:tcPr>
            <w:tcW w:w="2780" w:type="dxa"/>
            <w:tcBorders>
              <w:top w:val="nil"/>
              <w:left w:val="nil"/>
              <w:bottom w:val="nil"/>
              <w:right w:val="nil"/>
            </w:tcBorders>
            <w:shd w:val="clear" w:color="auto" w:fill="FFFFFF"/>
            <w:vAlign w:val="center"/>
          </w:tcPr>
          <w:p w14:paraId="2A59A895">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HFC-143</w:t>
            </w:r>
          </w:p>
        </w:tc>
        <w:tc>
          <w:tcPr>
            <w:tcW w:w="2966" w:type="dxa"/>
            <w:tcBorders>
              <w:top w:val="nil"/>
              <w:left w:val="nil"/>
              <w:bottom w:val="nil"/>
              <w:right w:val="nil"/>
            </w:tcBorders>
            <w:shd w:val="clear" w:color="auto" w:fill="FFFFFF"/>
            <w:vAlign w:val="center"/>
          </w:tcPr>
          <w:p w14:paraId="63B5EE9D">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CH</w:t>
            </w:r>
            <w:r>
              <w:rPr>
                <w:rFonts w:hint="default" w:ascii="Times New Roman" w:hAnsi="Times New Roman" w:eastAsia="宋体" w:cs="Times New Roman"/>
                <w:b w:val="0"/>
                <w:color w:val="000000"/>
                <w:kern w:val="2"/>
                <w:sz w:val="21"/>
                <w:szCs w:val="21"/>
                <w:highlight w:val="none"/>
                <w:vertAlign w:val="subscript"/>
                <w:lang w:eastAsia="zh-CN"/>
              </w:rPr>
              <w:t>2</w:t>
            </w:r>
            <w:r>
              <w:rPr>
                <w:rFonts w:hint="default" w:ascii="Times New Roman" w:hAnsi="Times New Roman" w:eastAsia="宋体" w:cs="Times New Roman"/>
                <w:b w:val="0"/>
                <w:color w:val="000000"/>
                <w:kern w:val="2"/>
                <w:sz w:val="21"/>
                <w:szCs w:val="21"/>
                <w:highlight w:val="none"/>
                <w:lang w:eastAsia="zh-CN"/>
              </w:rPr>
              <w:t>FCHF</w:t>
            </w:r>
            <w:r>
              <w:rPr>
                <w:rFonts w:hint="default" w:ascii="Times New Roman" w:hAnsi="Times New Roman" w:eastAsia="宋体" w:cs="Times New Roman"/>
                <w:b w:val="0"/>
                <w:color w:val="000000"/>
                <w:kern w:val="2"/>
                <w:sz w:val="21"/>
                <w:szCs w:val="21"/>
                <w:highlight w:val="none"/>
                <w:vertAlign w:val="subscript"/>
                <w:lang w:eastAsia="zh-CN"/>
              </w:rPr>
              <w:t>2</w:t>
            </w:r>
          </w:p>
        </w:tc>
        <w:tc>
          <w:tcPr>
            <w:tcW w:w="3049" w:type="dxa"/>
            <w:tcBorders>
              <w:top w:val="nil"/>
              <w:left w:val="nil"/>
              <w:bottom w:val="nil"/>
              <w:right w:val="nil"/>
            </w:tcBorders>
            <w:shd w:val="clear" w:color="auto" w:fill="FFFFFF"/>
            <w:vAlign w:val="center"/>
          </w:tcPr>
          <w:p w14:paraId="06D4716D">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364</w:t>
            </w:r>
          </w:p>
        </w:tc>
      </w:tr>
      <w:tr w14:paraId="45ECB2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60" w:type="dxa"/>
            <w:bottom w:w="30" w:type="dxa"/>
            <w:right w:w="60" w:type="dxa"/>
          </w:tblCellMar>
        </w:tblPrEx>
        <w:trPr>
          <w:jc w:val="center"/>
        </w:trPr>
        <w:tc>
          <w:tcPr>
            <w:tcW w:w="2780" w:type="dxa"/>
            <w:tcBorders>
              <w:top w:val="nil"/>
              <w:left w:val="nil"/>
              <w:bottom w:val="nil"/>
              <w:right w:val="nil"/>
            </w:tcBorders>
            <w:shd w:val="clear" w:color="auto" w:fill="FFFFFF"/>
            <w:vAlign w:val="center"/>
          </w:tcPr>
          <w:p w14:paraId="713184AC">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HFC-143a</w:t>
            </w:r>
          </w:p>
        </w:tc>
        <w:tc>
          <w:tcPr>
            <w:tcW w:w="2966" w:type="dxa"/>
            <w:tcBorders>
              <w:top w:val="nil"/>
              <w:left w:val="nil"/>
              <w:bottom w:val="nil"/>
              <w:right w:val="nil"/>
            </w:tcBorders>
            <w:shd w:val="clear" w:color="auto" w:fill="FFFFFF"/>
            <w:vAlign w:val="center"/>
          </w:tcPr>
          <w:p w14:paraId="1DC61707">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CH</w:t>
            </w:r>
            <w:r>
              <w:rPr>
                <w:rFonts w:hint="default" w:ascii="Times New Roman" w:hAnsi="Times New Roman" w:eastAsia="宋体" w:cs="Times New Roman"/>
                <w:b w:val="0"/>
                <w:color w:val="000000"/>
                <w:kern w:val="2"/>
                <w:sz w:val="21"/>
                <w:szCs w:val="21"/>
                <w:highlight w:val="none"/>
                <w:vertAlign w:val="subscript"/>
                <w:lang w:eastAsia="zh-CN"/>
              </w:rPr>
              <w:t>3</w:t>
            </w:r>
            <w:r>
              <w:rPr>
                <w:rFonts w:hint="default" w:ascii="Times New Roman" w:hAnsi="Times New Roman" w:eastAsia="宋体" w:cs="Times New Roman"/>
                <w:b w:val="0"/>
                <w:color w:val="000000"/>
                <w:kern w:val="2"/>
                <w:sz w:val="21"/>
                <w:szCs w:val="21"/>
                <w:highlight w:val="none"/>
                <w:lang w:eastAsia="zh-CN"/>
              </w:rPr>
              <w:t>CF</w:t>
            </w:r>
            <w:r>
              <w:rPr>
                <w:rFonts w:hint="default" w:ascii="Times New Roman" w:hAnsi="Times New Roman" w:eastAsia="宋体" w:cs="Times New Roman"/>
                <w:b w:val="0"/>
                <w:color w:val="000000"/>
                <w:kern w:val="2"/>
                <w:sz w:val="21"/>
                <w:szCs w:val="21"/>
                <w:highlight w:val="none"/>
                <w:vertAlign w:val="subscript"/>
                <w:lang w:eastAsia="zh-CN"/>
              </w:rPr>
              <w:t>3</w:t>
            </w:r>
          </w:p>
        </w:tc>
        <w:tc>
          <w:tcPr>
            <w:tcW w:w="3049" w:type="dxa"/>
            <w:tcBorders>
              <w:top w:val="nil"/>
              <w:left w:val="nil"/>
              <w:bottom w:val="nil"/>
              <w:right w:val="nil"/>
            </w:tcBorders>
            <w:shd w:val="clear" w:color="auto" w:fill="FFFFFF"/>
            <w:vAlign w:val="center"/>
          </w:tcPr>
          <w:p w14:paraId="08707E5C">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5810</w:t>
            </w:r>
          </w:p>
        </w:tc>
      </w:tr>
      <w:tr w14:paraId="614BD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60" w:type="dxa"/>
            <w:bottom w:w="30" w:type="dxa"/>
            <w:right w:w="60" w:type="dxa"/>
          </w:tblCellMar>
        </w:tblPrEx>
        <w:trPr>
          <w:jc w:val="center"/>
        </w:trPr>
        <w:tc>
          <w:tcPr>
            <w:tcW w:w="2780" w:type="dxa"/>
            <w:tcBorders>
              <w:top w:val="nil"/>
              <w:left w:val="nil"/>
              <w:bottom w:val="nil"/>
              <w:right w:val="nil"/>
            </w:tcBorders>
            <w:shd w:val="clear" w:color="auto" w:fill="FFFFFF"/>
            <w:vAlign w:val="center"/>
          </w:tcPr>
          <w:p w14:paraId="073E0CA5">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HFC-152a</w:t>
            </w:r>
          </w:p>
        </w:tc>
        <w:tc>
          <w:tcPr>
            <w:tcW w:w="2966" w:type="dxa"/>
            <w:tcBorders>
              <w:top w:val="nil"/>
              <w:left w:val="nil"/>
              <w:bottom w:val="nil"/>
              <w:right w:val="nil"/>
            </w:tcBorders>
            <w:shd w:val="clear" w:color="auto" w:fill="FFFFFF"/>
            <w:vAlign w:val="center"/>
          </w:tcPr>
          <w:p w14:paraId="67DF1023">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C</w:t>
            </w:r>
            <w:r>
              <w:rPr>
                <w:rFonts w:hint="default" w:ascii="Times New Roman" w:hAnsi="Times New Roman" w:eastAsia="宋体" w:cs="Times New Roman"/>
                <w:b w:val="0"/>
                <w:color w:val="000000"/>
                <w:kern w:val="2"/>
                <w:sz w:val="21"/>
                <w:szCs w:val="21"/>
                <w:highlight w:val="none"/>
                <w:vertAlign w:val="subscript"/>
                <w:lang w:eastAsia="zh-CN"/>
              </w:rPr>
              <w:t>2</w:t>
            </w:r>
            <w:r>
              <w:rPr>
                <w:rFonts w:hint="default" w:ascii="Times New Roman" w:hAnsi="Times New Roman" w:eastAsia="宋体" w:cs="Times New Roman"/>
                <w:b w:val="0"/>
                <w:color w:val="000000"/>
                <w:kern w:val="2"/>
                <w:sz w:val="21"/>
                <w:szCs w:val="21"/>
                <w:highlight w:val="none"/>
                <w:lang w:eastAsia="zh-CN"/>
              </w:rPr>
              <w:t>H</w:t>
            </w:r>
            <w:r>
              <w:rPr>
                <w:rFonts w:hint="default" w:ascii="Times New Roman" w:hAnsi="Times New Roman" w:eastAsia="宋体" w:cs="Times New Roman"/>
                <w:b w:val="0"/>
                <w:color w:val="000000"/>
                <w:kern w:val="2"/>
                <w:sz w:val="21"/>
                <w:szCs w:val="21"/>
                <w:highlight w:val="none"/>
                <w:vertAlign w:val="subscript"/>
                <w:lang w:eastAsia="zh-CN"/>
              </w:rPr>
              <w:t>4</w:t>
            </w:r>
            <w:r>
              <w:rPr>
                <w:rFonts w:hint="default" w:ascii="Times New Roman" w:hAnsi="Times New Roman" w:eastAsia="宋体" w:cs="Times New Roman"/>
                <w:b w:val="0"/>
                <w:color w:val="000000"/>
                <w:kern w:val="2"/>
                <w:sz w:val="21"/>
                <w:szCs w:val="21"/>
                <w:highlight w:val="none"/>
                <w:lang w:eastAsia="zh-CN"/>
              </w:rPr>
              <w:t>F</w:t>
            </w:r>
            <w:r>
              <w:rPr>
                <w:rFonts w:hint="default" w:ascii="Times New Roman" w:hAnsi="Times New Roman" w:eastAsia="宋体" w:cs="Times New Roman"/>
                <w:b w:val="0"/>
                <w:color w:val="000000"/>
                <w:kern w:val="2"/>
                <w:sz w:val="21"/>
                <w:szCs w:val="21"/>
                <w:highlight w:val="none"/>
                <w:vertAlign w:val="subscript"/>
                <w:lang w:eastAsia="zh-CN"/>
              </w:rPr>
              <w:t>2</w:t>
            </w:r>
          </w:p>
        </w:tc>
        <w:tc>
          <w:tcPr>
            <w:tcW w:w="3049" w:type="dxa"/>
            <w:tcBorders>
              <w:top w:val="nil"/>
              <w:left w:val="nil"/>
              <w:bottom w:val="nil"/>
              <w:right w:val="nil"/>
            </w:tcBorders>
            <w:shd w:val="clear" w:color="auto" w:fill="FFFFFF"/>
            <w:vAlign w:val="center"/>
          </w:tcPr>
          <w:p w14:paraId="47871513">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164</w:t>
            </w:r>
          </w:p>
        </w:tc>
      </w:tr>
      <w:tr w14:paraId="60DA7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60" w:type="dxa"/>
            <w:bottom w:w="30" w:type="dxa"/>
            <w:right w:w="60" w:type="dxa"/>
          </w:tblCellMar>
        </w:tblPrEx>
        <w:trPr>
          <w:jc w:val="center"/>
        </w:trPr>
        <w:tc>
          <w:tcPr>
            <w:tcW w:w="2780" w:type="dxa"/>
            <w:tcBorders>
              <w:top w:val="nil"/>
              <w:left w:val="nil"/>
              <w:bottom w:val="nil"/>
              <w:right w:val="nil"/>
            </w:tcBorders>
            <w:shd w:val="clear" w:color="auto" w:fill="FFFFFF"/>
            <w:vAlign w:val="center"/>
          </w:tcPr>
          <w:p w14:paraId="620370A9">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HFC-227ea</w:t>
            </w:r>
          </w:p>
        </w:tc>
        <w:tc>
          <w:tcPr>
            <w:tcW w:w="2966" w:type="dxa"/>
            <w:tcBorders>
              <w:top w:val="nil"/>
              <w:left w:val="nil"/>
              <w:bottom w:val="nil"/>
              <w:right w:val="nil"/>
            </w:tcBorders>
            <w:shd w:val="clear" w:color="auto" w:fill="FFFFFF"/>
            <w:vAlign w:val="center"/>
          </w:tcPr>
          <w:p w14:paraId="75A6D0E2">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C</w:t>
            </w:r>
            <w:r>
              <w:rPr>
                <w:rFonts w:hint="default" w:ascii="Times New Roman" w:hAnsi="Times New Roman" w:eastAsia="宋体" w:cs="Times New Roman"/>
                <w:b w:val="0"/>
                <w:color w:val="000000"/>
                <w:kern w:val="2"/>
                <w:sz w:val="21"/>
                <w:szCs w:val="21"/>
                <w:highlight w:val="none"/>
                <w:vertAlign w:val="subscript"/>
                <w:lang w:eastAsia="zh-CN"/>
              </w:rPr>
              <w:t>3</w:t>
            </w:r>
            <w:r>
              <w:rPr>
                <w:rFonts w:hint="default" w:ascii="Times New Roman" w:hAnsi="Times New Roman" w:eastAsia="宋体" w:cs="Times New Roman"/>
                <w:b w:val="0"/>
                <w:color w:val="000000"/>
                <w:kern w:val="2"/>
                <w:sz w:val="21"/>
                <w:szCs w:val="21"/>
                <w:highlight w:val="none"/>
                <w:lang w:eastAsia="zh-CN"/>
              </w:rPr>
              <w:t>HF</w:t>
            </w:r>
            <w:r>
              <w:rPr>
                <w:rFonts w:hint="default" w:ascii="Times New Roman" w:hAnsi="Times New Roman" w:eastAsia="宋体" w:cs="Times New Roman"/>
                <w:b w:val="0"/>
                <w:color w:val="000000"/>
                <w:kern w:val="2"/>
                <w:sz w:val="21"/>
                <w:szCs w:val="21"/>
                <w:highlight w:val="none"/>
                <w:vertAlign w:val="subscript"/>
                <w:lang w:eastAsia="zh-CN"/>
              </w:rPr>
              <w:t>7</w:t>
            </w:r>
          </w:p>
        </w:tc>
        <w:tc>
          <w:tcPr>
            <w:tcW w:w="3049" w:type="dxa"/>
            <w:tcBorders>
              <w:top w:val="nil"/>
              <w:left w:val="nil"/>
              <w:bottom w:val="nil"/>
              <w:right w:val="nil"/>
            </w:tcBorders>
            <w:shd w:val="clear" w:color="auto" w:fill="FFFFFF"/>
            <w:vAlign w:val="center"/>
          </w:tcPr>
          <w:p w14:paraId="7DE0D79F">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3600</w:t>
            </w:r>
          </w:p>
        </w:tc>
      </w:tr>
      <w:tr w14:paraId="5B50D1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60" w:type="dxa"/>
            <w:bottom w:w="30" w:type="dxa"/>
            <w:right w:w="60" w:type="dxa"/>
          </w:tblCellMar>
        </w:tblPrEx>
        <w:trPr>
          <w:jc w:val="center"/>
        </w:trPr>
        <w:tc>
          <w:tcPr>
            <w:tcW w:w="2780" w:type="dxa"/>
            <w:tcBorders>
              <w:top w:val="nil"/>
              <w:left w:val="nil"/>
              <w:bottom w:val="nil"/>
              <w:right w:val="nil"/>
            </w:tcBorders>
            <w:shd w:val="clear" w:color="auto" w:fill="FFFFFF"/>
            <w:vAlign w:val="center"/>
          </w:tcPr>
          <w:p w14:paraId="1A80640E">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HFC-236fa</w:t>
            </w:r>
          </w:p>
        </w:tc>
        <w:tc>
          <w:tcPr>
            <w:tcW w:w="2966" w:type="dxa"/>
            <w:tcBorders>
              <w:top w:val="nil"/>
              <w:left w:val="nil"/>
              <w:bottom w:val="nil"/>
              <w:right w:val="nil"/>
            </w:tcBorders>
            <w:shd w:val="clear" w:color="auto" w:fill="FFFFFF"/>
            <w:vAlign w:val="center"/>
          </w:tcPr>
          <w:p w14:paraId="0C2A2774">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C</w:t>
            </w:r>
            <w:r>
              <w:rPr>
                <w:rFonts w:hint="default" w:ascii="Times New Roman" w:hAnsi="Times New Roman" w:eastAsia="宋体" w:cs="Times New Roman"/>
                <w:b w:val="0"/>
                <w:color w:val="000000"/>
                <w:kern w:val="2"/>
                <w:sz w:val="21"/>
                <w:szCs w:val="21"/>
                <w:highlight w:val="none"/>
                <w:vertAlign w:val="subscript"/>
                <w:lang w:eastAsia="zh-CN"/>
              </w:rPr>
              <w:t>3</w:t>
            </w:r>
            <w:r>
              <w:rPr>
                <w:rFonts w:hint="default" w:ascii="Times New Roman" w:hAnsi="Times New Roman" w:eastAsia="宋体" w:cs="Times New Roman"/>
                <w:b w:val="0"/>
                <w:color w:val="000000"/>
                <w:kern w:val="2"/>
                <w:sz w:val="21"/>
                <w:szCs w:val="21"/>
                <w:highlight w:val="none"/>
                <w:lang w:eastAsia="zh-CN"/>
              </w:rPr>
              <w:t>H</w:t>
            </w:r>
            <w:r>
              <w:rPr>
                <w:rFonts w:hint="default" w:ascii="Times New Roman" w:hAnsi="Times New Roman" w:eastAsia="宋体" w:cs="Times New Roman"/>
                <w:b w:val="0"/>
                <w:color w:val="000000"/>
                <w:kern w:val="2"/>
                <w:sz w:val="21"/>
                <w:szCs w:val="21"/>
                <w:highlight w:val="none"/>
                <w:vertAlign w:val="subscript"/>
                <w:lang w:eastAsia="zh-CN"/>
              </w:rPr>
              <w:t>2</w:t>
            </w:r>
            <w:r>
              <w:rPr>
                <w:rFonts w:hint="default" w:ascii="Times New Roman" w:hAnsi="Times New Roman" w:eastAsia="宋体" w:cs="Times New Roman"/>
                <w:b w:val="0"/>
                <w:color w:val="000000"/>
                <w:kern w:val="2"/>
                <w:sz w:val="21"/>
                <w:szCs w:val="21"/>
                <w:highlight w:val="none"/>
                <w:lang w:eastAsia="zh-CN"/>
              </w:rPr>
              <w:t>F</w:t>
            </w:r>
            <w:r>
              <w:rPr>
                <w:rFonts w:hint="default" w:ascii="Times New Roman" w:hAnsi="Times New Roman" w:eastAsia="宋体" w:cs="Times New Roman"/>
                <w:b w:val="0"/>
                <w:color w:val="000000"/>
                <w:kern w:val="2"/>
                <w:sz w:val="21"/>
                <w:szCs w:val="21"/>
                <w:highlight w:val="none"/>
                <w:vertAlign w:val="subscript"/>
                <w:lang w:eastAsia="zh-CN"/>
              </w:rPr>
              <w:t>6</w:t>
            </w:r>
          </w:p>
        </w:tc>
        <w:tc>
          <w:tcPr>
            <w:tcW w:w="3049" w:type="dxa"/>
            <w:tcBorders>
              <w:top w:val="nil"/>
              <w:left w:val="nil"/>
              <w:bottom w:val="nil"/>
              <w:right w:val="nil"/>
            </w:tcBorders>
            <w:shd w:val="clear" w:color="auto" w:fill="FFFFFF"/>
            <w:vAlign w:val="center"/>
          </w:tcPr>
          <w:p w14:paraId="5FC47875">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8690</w:t>
            </w:r>
          </w:p>
        </w:tc>
      </w:tr>
      <w:tr w14:paraId="26B132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60" w:type="dxa"/>
            <w:bottom w:w="30" w:type="dxa"/>
            <w:right w:w="60" w:type="dxa"/>
          </w:tblCellMar>
        </w:tblPrEx>
        <w:trPr>
          <w:jc w:val="center"/>
        </w:trPr>
        <w:tc>
          <w:tcPr>
            <w:tcW w:w="2780" w:type="dxa"/>
            <w:tcBorders>
              <w:top w:val="nil"/>
              <w:left w:val="nil"/>
              <w:bottom w:val="nil"/>
              <w:right w:val="nil"/>
            </w:tcBorders>
            <w:shd w:val="clear" w:color="auto" w:fill="FFFFFF"/>
            <w:vAlign w:val="center"/>
          </w:tcPr>
          <w:p w14:paraId="44D3007B">
            <w:pPr>
              <w:spacing w:after="0"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bCs/>
                <w:color w:val="000000"/>
                <w:kern w:val="2"/>
                <w:sz w:val="21"/>
                <w:szCs w:val="21"/>
                <w:lang w:eastAsia="zh-CN"/>
              </w:rPr>
              <w:t>全氟碳化物（PFCs）</w:t>
            </w:r>
          </w:p>
        </w:tc>
        <w:tc>
          <w:tcPr>
            <w:tcW w:w="2966" w:type="dxa"/>
            <w:tcBorders>
              <w:top w:val="nil"/>
              <w:left w:val="nil"/>
              <w:bottom w:val="nil"/>
              <w:right w:val="nil"/>
            </w:tcBorders>
            <w:shd w:val="clear" w:color="auto" w:fill="FFFFFF"/>
            <w:vAlign w:val="center"/>
          </w:tcPr>
          <w:p w14:paraId="05BAF9D1">
            <w:pPr>
              <w:spacing w:after="0" w:line="300" w:lineRule="auto"/>
              <w:jc w:val="center"/>
              <w:rPr>
                <w:rFonts w:hint="default" w:ascii="Times New Roman" w:hAnsi="Times New Roman" w:eastAsia="宋体" w:cs="Times New Roman"/>
                <w:b w:val="0"/>
                <w:color w:val="000000"/>
                <w:sz w:val="21"/>
                <w:szCs w:val="21"/>
              </w:rPr>
            </w:pPr>
          </w:p>
        </w:tc>
        <w:tc>
          <w:tcPr>
            <w:tcW w:w="3049" w:type="dxa"/>
            <w:tcBorders>
              <w:top w:val="nil"/>
              <w:left w:val="nil"/>
              <w:bottom w:val="nil"/>
              <w:right w:val="nil"/>
            </w:tcBorders>
            <w:shd w:val="clear" w:color="auto" w:fill="FFFFFF"/>
            <w:vAlign w:val="center"/>
          </w:tcPr>
          <w:p w14:paraId="3FD95F82">
            <w:pPr>
              <w:spacing w:after="0" w:line="300" w:lineRule="auto"/>
              <w:jc w:val="center"/>
              <w:rPr>
                <w:rFonts w:hint="default" w:ascii="Times New Roman" w:hAnsi="Times New Roman" w:eastAsia="宋体" w:cs="Times New Roman"/>
                <w:b w:val="0"/>
                <w:color w:val="000000"/>
                <w:sz w:val="21"/>
                <w:szCs w:val="21"/>
              </w:rPr>
            </w:pPr>
          </w:p>
        </w:tc>
      </w:tr>
      <w:tr w14:paraId="15AEB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60" w:type="dxa"/>
            <w:bottom w:w="30" w:type="dxa"/>
            <w:right w:w="60" w:type="dxa"/>
          </w:tblCellMar>
        </w:tblPrEx>
        <w:trPr>
          <w:jc w:val="center"/>
        </w:trPr>
        <w:tc>
          <w:tcPr>
            <w:tcW w:w="2780" w:type="dxa"/>
            <w:tcBorders>
              <w:top w:val="nil"/>
              <w:left w:val="nil"/>
              <w:bottom w:val="nil"/>
              <w:right w:val="nil"/>
            </w:tcBorders>
            <w:shd w:val="clear" w:color="auto" w:fill="FFFFFF"/>
            <w:vAlign w:val="center"/>
          </w:tcPr>
          <w:p w14:paraId="54C1A75D">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全氟甲烷（四氟甲烷）</w:t>
            </w:r>
          </w:p>
        </w:tc>
        <w:tc>
          <w:tcPr>
            <w:tcW w:w="2966" w:type="dxa"/>
            <w:tcBorders>
              <w:top w:val="nil"/>
              <w:left w:val="nil"/>
              <w:bottom w:val="nil"/>
              <w:right w:val="nil"/>
            </w:tcBorders>
            <w:shd w:val="clear" w:color="auto" w:fill="FFFFFF"/>
            <w:vAlign w:val="center"/>
          </w:tcPr>
          <w:p w14:paraId="301460FE">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CF</w:t>
            </w:r>
            <w:r>
              <w:rPr>
                <w:rFonts w:hint="default" w:ascii="Times New Roman" w:hAnsi="Times New Roman" w:eastAsia="宋体" w:cs="Times New Roman"/>
                <w:b w:val="0"/>
                <w:color w:val="000000"/>
                <w:kern w:val="2"/>
                <w:sz w:val="21"/>
                <w:szCs w:val="21"/>
                <w:highlight w:val="none"/>
                <w:vertAlign w:val="subscript"/>
                <w:lang w:eastAsia="zh-CN"/>
              </w:rPr>
              <w:t>4</w:t>
            </w:r>
          </w:p>
        </w:tc>
        <w:tc>
          <w:tcPr>
            <w:tcW w:w="3049" w:type="dxa"/>
            <w:tcBorders>
              <w:top w:val="nil"/>
              <w:left w:val="nil"/>
              <w:bottom w:val="nil"/>
              <w:right w:val="nil"/>
            </w:tcBorders>
            <w:shd w:val="clear" w:color="auto" w:fill="FFFFFF"/>
            <w:vAlign w:val="center"/>
          </w:tcPr>
          <w:p w14:paraId="0E4865E2">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7380</w:t>
            </w:r>
          </w:p>
        </w:tc>
      </w:tr>
      <w:tr w14:paraId="1BDA7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60" w:type="dxa"/>
            <w:bottom w:w="30" w:type="dxa"/>
            <w:right w:w="60" w:type="dxa"/>
          </w:tblCellMar>
        </w:tblPrEx>
        <w:trPr>
          <w:jc w:val="center"/>
        </w:trPr>
        <w:tc>
          <w:tcPr>
            <w:tcW w:w="2780" w:type="dxa"/>
            <w:tcBorders>
              <w:top w:val="nil"/>
              <w:left w:val="nil"/>
              <w:bottom w:val="nil"/>
              <w:right w:val="nil"/>
            </w:tcBorders>
            <w:shd w:val="clear" w:color="auto" w:fill="FFFFFF"/>
            <w:vAlign w:val="center"/>
          </w:tcPr>
          <w:p w14:paraId="37CBB592">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全氟乙烷（六氟乙烷）</w:t>
            </w:r>
          </w:p>
        </w:tc>
        <w:tc>
          <w:tcPr>
            <w:tcW w:w="2966" w:type="dxa"/>
            <w:tcBorders>
              <w:top w:val="nil"/>
              <w:left w:val="nil"/>
              <w:bottom w:val="nil"/>
              <w:right w:val="nil"/>
            </w:tcBorders>
            <w:shd w:val="clear" w:color="auto" w:fill="FFFFFF"/>
            <w:vAlign w:val="center"/>
          </w:tcPr>
          <w:p w14:paraId="26475DE4">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C</w:t>
            </w:r>
            <w:r>
              <w:rPr>
                <w:rFonts w:hint="default" w:ascii="Times New Roman" w:hAnsi="Times New Roman" w:eastAsia="宋体" w:cs="Times New Roman"/>
                <w:b w:val="0"/>
                <w:color w:val="000000"/>
                <w:kern w:val="2"/>
                <w:sz w:val="21"/>
                <w:szCs w:val="21"/>
                <w:highlight w:val="none"/>
                <w:vertAlign w:val="subscript"/>
                <w:lang w:eastAsia="zh-CN"/>
              </w:rPr>
              <w:t>2</w:t>
            </w:r>
            <w:r>
              <w:rPr>
                <w:rFonts w:hint="default" w:ascii="Times New Roman" w:hAnsi="Times New Roman" w:eastAsia="宋体" w:cs="Times New Roman"/>
                <w:b w:val="0"/>
                <w:color w:val="000000"/>
                <w:kern w:val="2"/>
                <w:sz w:val="21"/>
                <w:szCs w:val="21"/>
                <w:highlight w:val="none"/>
                <w:lang w:eastAsia="zh-CN"/>
              </w:rPr>
              <w:t>F</w:t>
            </w:r>
            <w:r>
              <w:rPr>
                <w:rFonts w:hint="default" w:ascii="Times New Roman" w:hAnsi="Times New Roman" w:eastAsia="宋体" w:cs="Times New Roman"/>
                <w:b w:val="0"/>
                <w:color w:val="000000"/>
                <w:kern w:val="2"/>
                <w:sz w:val="21"/>
                <w:szCs w:val="21"/>
                <w:highlight w:val="none"/>
                <w:vertAlign w:val="subscript"/>
                <w:lang w:eastAsia="zh-CN"/>
              </w:rPr>
              <w:t>6</w:t>
            </w:r>
          </w:p>
        </w:tc>
        <w:tc>
          <w:tcPr>
            <w:tcW w:w="3049" w:type="dxa"/>
            <w:tcBorders>
              <w:top w:val="nil"/>
              <w:left w:val="nil"/>
              <w:bottom w:val="nil"/>
              <w:right w:val="nil"/>
            </w:tcBorders>
            <w:shd w:val="clear" w:color="auto" w:fill="FFFFFF"/>
            <w:vAlign w:val="center"/>
          </w:tcPr>
          <w:p w14:paraId="7E0E9FF6">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12400</w:t>
            </w:r>
          </w:p>
        </w:tc>
      </w:tr>
      <w:tr w14:paraId="3434D8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60" w:type="dxa"/>
            <w:bottom w:w="30" w:type="dxa"/>
            <w:right w:w="60" w:type="dxa"/>
          </w:tblCellMar>
        </w:tblPrEx>
        <w:trPr>
          <w:jc w:val="center"/>
        </w:trPr>
        <w:tc>
          <w:tcPr>
            <w:tcW w:w="2780" w:type="dxa"/>
            <w:tcBorders>
              <w:top w:val="nil"/>
              <w:left w:val="nil"/>
              <w:bottom w:val="nil"/>
              <w:right w:val="nil"/>
            </w:tcBorders>
            <w:shd w:val="clear" w:color="auto" w:fill="FFFFFF"/>
            <w:vAlign w:val="center"/>
          </w:tcPr>
          <w:p w14:paraId="6DF31E4F">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全氟丙烷</w:t>
            </w:r>
          </w:p>
        </w:tc>
        <w:tc>
          <w:tcPr>
            <w:tcW w:w="2966" w:type="dxa"/>
            <w:tcBorders>
              <w:top w:val="nil"/>
              <w:left w:val="nil"/>
              <w:bottom w:val="nil"/>
              <w:right w:val="nil"/>
            </w:tcBorders>
            <w:shd w:val="clear" w:color="auto" w:fill="FFFFFF"/>
            <w:vAlign w:val="center"/>
          </w:tcPr>
          <w:p w14:paraId="0B049B1C">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C</w:t>
            </w:r>
            <w:r>
              <w:rPr>
                <w:rFonts w:hint="default" w:ascii="Times New Roman" w:hAnsi="Times New Roman" w:eastAsia="宋体" w:cs="Times New Roman"/>
                <w:b w:val="0"/>
                <w:color w:val="000000"/>
                <w:kern w:val="2"/>
                <w:sz w:val="21"/>
                <w:szCs w:val="21"/>
                <w:highlight w:val="none"/>
                <w:vertAlign w:val="subscript"/>
                <w:lang w:eastAsia="zh-CN"/>
              </w:rPr>
              <w:t>3</w:t>
            </w:r>
            <w:r>
              <w:rPr>
                <w:rFonts w:hint="default" w:ascii="Times New Roman" w:hAnsi="Times New Roman" w:eastAsia="宋体" w:cs="Times New Roman"/>
                <w:b w:val="0"/>
                <w:color w:val="000000"/>
                <w:kern w:val="2"/>
                <w:sz w:val="21"/>
                <w:szCs w:val="21"/>
                <w:highlight w:val="none"/>
                <w:lang w:eastAsia="zh-CN"/>
              </w:rPr>
              <w:t>F</w:t>
            </w:r>
            <w:r>
              <w:rPr>
                <w:rFonts w:hint="default" w:ascii="Times New Roman" w:hAnsi="Times New Roman" w:eastAsia="宋体" w:cs="Times New Roman"/>
                <w:b w:val="0"/>
                <w:color w:val="000000"/>
                <w:kern w:val="2"/>
                <w:sz w:val="21"/>
                <w:szCs w:val="21"/>
                <w:highlight w:val="none"/>
                <w:vertAlign w:val="subscript"/>
                <w:lang w:eastAsia="zh-CN"/>
              </w:rPr>
              <w:t>8</w:t>
            </w:r>
          </w:p>
        </w:tc>
        <w:tc>
          <w:tcPr>
            <w:tcW w:w="3049" w:type="dxa"/>
            <w:tcBorders>
              <w:top w:val="nil"/>
              <w:left w:val="nil"/>
              <w:bottom w:val="nil"/>
              <w:right w:val="nil"/>
            </w:tcBorders>
            <w:shd w:val="clear" w:color="auto" w:fill="FFFFFF"/>
            <w:vAlign w:val="center"/>
          </w:tcPr>
          <w:p w14:paraId="616C5B18">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9290</w:t>
            </w:r>
          </w:p>
        </w:tc>
      </w:tr>
      <w:tr w14:paraId="5EDDE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60" w:type="dxa"/>
            <w:bottom w:w="30" w:type="dxa"/>
            <w:right w:w="60" w:type="dxa"/>
          </w:tblCellMar>
        </w:tblPrEx>
        <w:trPr>
          <w:jc w:val="center"/>
        </w:trPr>
        <w:tc>
          <w:tcPr>
            <w:tcW w:w="2780" w:type="dxa"/>
            <w:tcBorders>
              <w:top w:val="nil"/>
              <w:left w:val="nil"/>
              <w:bottom w:val="nil"/>
              <w:right w:val="nil"/>
            </w:tcBorders>
            <w:shd w:val="clear" w:color="auto" w:fill="FFFFFF"/>
            <w:vAlign w:val="center"/>
          </w:tcPr>
          <w:p w14:paraId="38FE8DA5">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全氟丁烷</w:t>
            </w:r>
          </w:p>
        </w:tc>
        <w:tc>
          <w:tcPr>
            <w:tcW w:w="2966" w:type="dxa"/>
            <w:tcBorders>
              <w:top w:val="nil"/>
              <w:left w:val="nil"/>
              <w:bottom w:val="nil"/>
              <w:right w:val="nil"/>
            </w:tcBorders>
            <w:shd w:val="clear" w:color="auto" w:fill="FFFFFF"/>
            <w:vAlign w:val="center"/>
          </w:tcPr>
          <w:p w14:paraId="123918E8">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C</w:t>
            </w:r>
            <w:r>
              <w:rPr>
                <w:rFonts w:hint="default" w:ascii="Times New Roman" w:hAnsi="Times New Roman" w:eastAsia="宋体" w:cs="Times New Roman"/>
                <w:b w:val="0"/>
                <w:color w:val="000000"/>
                <w:kern w:val="2"/>
                <w:sz w:val="21"/>
                <w:szCs w:val="21"/>
                <w:highlight w:val="none"/>
                <w:vertAlign w:val="subscript"/>
                <w:lang w:eastAsia="zh-CN"/>
              </w:rPr>
              <w:t>4</w:t>
            </w:r>
            <w:r>
              <w:rPr>
                <w:rFonts w:hint="default" w:ascii="Times New Roman" w:hAnsi="Times New Roman" w:eastAsia="宋体" w:cs="Times New Roman"/>
                <w:b w:val="0"/>
                <w:color w:val="000000"/>
                <w:kern w:val="2"/>
                <w:sz w:val="21"/>
                <w:szCs w:val="21"/>
                <w:highlight w:val="none"/>
                <w:lang w:eastAsia="zh-CN"/>
              </w:rPr>
              <w:t>F</w:t>
            </w:r>
            <w:r>
              <w:rPr>
                <w:rFonts w:hint="default" w:ascii="Times New Roman" w:hAnsi="Times New Roman" w:eastAsia="宋体" w:cs="Times New Roman"/>
                <w:b w:val="0"/>
                <w:color w:val="000000"/>
                <w:kern w:val="2"/>
                <w:sz w:val="21"/>
                <w:szCs w:val="21"/>
                <w:highlight w:val="none"/>
                <w:vertAlign w:val="subscript"/>
                <w:lang w:eastAsia="zh-CN"/>
              </w:rPr>
              <w:t>10</w:t>
            </w:r>
          </w:p>
        </w:tc>
        <w:tc>
          <w:tcPr>
            <w:tcW w:w="3049" w:type="dxa"/>
            <w:tcBorders>
              <w:top w:val="nil"/>
              <w:left w:val="nil"/>
              <w:bottom w:val="nil"/>
              <w:right w:val="nil"/>
            </w:tcBorders>
            <w:shd w:val="clear" w:color="auto" w:fill="FFFFFF"/>
            <w:vAlign w:val="center"/>
          </w:tcPr>
          <w:p w14:paraId="75623B8F">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10000</w:t>
            </w:r>
          </w:p>
        </w:tc>
      </w:tr>
      <w:tr w14:paraId="058BF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60" w:type="dxa"/>
            <w:bottom w:w="30" w:type="dxa"/>
            <w:right w:w="60" w:type="dxa"/>
          </w:tblCellMar>
        </w:tblPrEx>
        <w:trPr>
          <w:jc w:val="center"/>
        </w:trPr>
        <w:tc>
          <w:tcPr>
            <w:tcW w:w="2780" w:type="dxa"/>
            <w:tcBorders>
              <w:top w:val="nil"/>
              <w:left w:val="nil"/>
              <w:bottom w:val="nil"/>
              <w:right w:val="nil"/>
            </w:tcBorders>
            <w:shd w:val="clear" w:color="auto" w:fill="FFFFFF"/>
            <w:vAlign w:val="center"/>
          </w:tcPr>
          <w:p w14:paraId="02EF5B10">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全氟环丁烷</w:t>
            </w:r>
          </w:p>
        </w:tc>
        <w:tc>
          <w:tcPr>
            <w:tcW w:w="2966" w:type="dxa"/>
            <w:tcBorders>
              <w:top w:val="nil"/>
              <w:left w:val="nil"/>
              <w:bottom w:val="nil"/>
              <w:right w:val="nil"/>
            </w:tcBorders>
            <w:shd w:val="clear" w:color="auto" w:fill="FFFFFF"/>
            <w:vAlign w:val="center"/>
          </w:tcPr>
          <w:p w14:paraId="24085E26">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C</w:t>
            </w:r>
            <w:r>
              <w:rPr>
                <w:rFonts w:hint="default" w:ascii="Times New Roman" w:hAnsi="Times New Roman" w:eastAsia="宋体" w:cs="Times New Roman"/>
                <w:b w:val="0"/>
                <w:color w:val="000000"/>
                <w:kern w:val="2"/>
                <w:sz w:val="21"/>
                <w:szCs w:val="21"/>
                <w:highlight w:val="none"/>
                <w:vertAlign w:val="subscript"/>
                <w:lang w:eastAsia="zh-CN"/>
              </w:rPr>
              <w:t>4</w:t>
            </w:r>
            <w:r>
              <w:rPr>
                <w:rFonts w:hint="default" w:ascii="Times New Roman" w:hAnsi="Times New Roman" w:eastAsia="宋体" w:cs="Times New Roman"/>
                <w:b w:val="0"/>
                <w:color w:val="000000"/>
                <w:kern w:val="2"/>
                <w:sz w:val="21"/>
                <w:szCs w:val="21"/>
                <w:highlight w:val="none"/>
                <w:lang w:eastAsia="zh-CN"/>
              </w:rPr>
              <w:t>F</w:t>
            </w:r>
            <w:r>
              <w:rPr>
                <w:rFonts w:hint="default" w:ascii="Times New Roman" w:hAnsi="Times New Roman" w:eastAsia="宋体" w:cs="Times New Roman"/>
                <w:b w:val="0"/>
                <w:color w:val="000000"/>
                <w:kern w:val="2"/>
                <w:sz w:val="21"/>
                <w:szCs w:val="21"/>
                <w:highlight w:val="none"/>
                <w:vertAlign w:val="subscript"/>
                <w:lang w:eastAsia="zh-CN"/>
              </w:rPr>
              <w:t>8</w:t>
            </w:r>
          </w:p>
        </w:tc>
        <w:tc>
          <w:tcPr>
            <w:tcW w:w="3049" w:type="dxa"/>
            <w:tcBorders>
              <w:top w:val="nil"/>
              <w:left w:val="nil"/>
              <w:bottom w:val="nil"/>
              <w:right w:val="nil"/>
            </w:tcBorders>
            <w:shd w:val="clear" w:color="auto" w:fill="FFFFFF"/>
            <w:vAlign w:val="center"/>
          </w:tcPr>
          <w:p w14:paraId="598896CC">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10200</w:t>
            </w:r>
          </w:p>
        </w:tc>
      </w:tr>
      <w:tr w14:paraId="76276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60" w:type="dxa"/>
            <w:bottom w:w="30" w:type="dxa"/>
            <w:right w:w="60" w:type="dxa"/>
          </w:tblCellMar>
        </w:tblPrEx>
        <w:trPr>
          <w:jc w:val="center"/>
        </w:trPr>
        <w:tc>
          <w:tcPr>
            <w:tcW w:w="2780" w:type="dxa"/>
            <w:tcBorders>
              <w:top w:val="nil"/>
              <w:left w:val="nil"/>
              <w:bottom w:val="nil"/>
              <w:right w:val="nil"/>
            </w:tcBorders>
            <w:shd w:val="clear" w:color="auto" w:fill="FFFFFF"/>
            <w:vAlign w:val="center"/>
          </w:tcPr>
          <w:p w14:paraId="04C20570">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全氟戊烷</w:t>
            </w:r>
          </w:p>
        </w:tc>
        <w:tc>
          <w:tcPr>
            <w:tcW w:w="2966" w:type="dxa"/>
            <w:tcBorders>
              <w:top w:val="nil"/>
              <w:left w:val="nil"/>
              <w:bottom w:val="nil"/>
              <w:right w:val="nil"/>
            </w:tcBorders>
            <w:shd w:val="clear" w:color="auto" w:fill="FFFFFF"/>
            <w:vAlign w:val="center"/>
          </w:tcPr>
          <w:p w14:paraId="623F9E80">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C</w:t>
            </w:r>
            <w:r>
              <w:rPr>
                <w:rFonts w:hint="default" w:ascii="Times New Roman" w:hAnsi="Times New Roman" w:eastAsia="宋体" w:cs="Times New Roman"/>
                <w:b w:val="0"/>
                <w:color w:val="000000"/>
                <w:kern w:val="2"/>
                <w:sz w:val="21"/>
                <w:szCs w:val="21"/>
                <w:highlight w:val="none"/>
                <w:vertAlign w:val="subscript"/>
                <w:lang w:eastAsia="zh-CN"/>
              </w:rPr>
              <w:t>5</w:t>
            </w:r>
            <w:r>
              <w:rPr>
                <w:rFonts w:hint="default" w:ascii="Times New Roman" w:hAnsi="Times New Roman" w:eastAsia="宋体" w:cs="Times New Roman"/>
                <w:b w:val="0"/>
                <w:color w:val="000000"/>
                <w:kern w:val="2"/>
                <w:sz w:val="21"/>
                <w:szCs w:val="21"/>
                <w:highlight w:val="none"/>
                <w:lang w:eastAsia="zh-CN"/>
              </w:rPr>
              <w:t>F</w:t>
            </w:r>
            <w:r>
              <w:rPr>
                <w:rFonts w:hint="default" w:ascii="Times New Roman" w:hAnsi="Times New Roman" w:eastAsia="宋体" w:cs="Times New Roman"/>
                <w:b w:val="0"/>
                <w:color w:val="000000"/>
                <w:kern w:val="2"/>
                <w:sz w:val="21"/>
                <w:szCs w:val="21"/>
                <w:highlight w:val="none"/>
                <w:vertAlign w:val="subscript"/>
                <w:lang w:eastAsia="zh-CN"/>
              </w:rPr>
              <w:t>12</w:t>
            </w:r>
          </w:p>
        </w:tc>
        <w:tc>
          <w:tcPr>
            <w:tcW w:w="3049" w:type="dxa"/>
            <w:tcBorders>
              <w:top w:val="nil"/>
              <w:left w:val="nil"/>
              <w:bottom w:val="nil"/>
              <w:right w:val="nil"/>
            </w:tcBorders>
            <w:shd w:val="clear" w:color="auto" w:fill="FFFFFF"/>
            <w:vAlign w:val="center"/>
          </w:tcPr>
          <w:p w14:paraId="4E277701">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9220</w:t>
            </w:r>
          </w:p>
        </w:tc>
      </w:tr>
      <w:tr w14:paraId="3A03B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60" w:type="dxa"/>
            <w:bottom w:w="30" w:type="dxa"/>
            <w:right w:w="60" w:type="dxa"/>
          </w:tblCellMar>
        </w:tblPrEx>
        <w:trPr>
          <w:jc w:val="center"/>
        </w:trPr>
        <w:tc>
          <w:tcPr>
            <w:tcW w:w="2780" w:type="dxa"/>
            <w:tcBorders>
              <w:top w:val="nil"/>
              <w:left w:val="nil"/>
              <w:bottom w:val="single" w:color="000000" w:sz="12" w:space="0"/>
              <w:right w:val="nil"/>
            </w:tcBorders>
            <w:shd w:val="clear" w:color="auto" w:fill="FFFFFF"/>
            <w:vAlign w:val="center"/>
          </w:tcPr>
          <w:p w14:paraId="6A160CE8">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全氟己烷</w:t>
            </w:r>
          </w:p>
        </w:tc>
        <w:tc>
          <w:tcPr>
            <w:tcW w:w="2966" w:type="dxa"/>
            <w:tcBorders>
              <w:top w:val="nil"/>
              <w:left w:val="nil"/>
              <w:bottom w:val="single" w:color="000000" w:sz="12" w:space="0"/>
              <w:right w:val="nil"/>
            </w:tcBorders>
            <w:shd w:val="clear" w:color="auto" w:fill="FFFFFF"/>
            <w:vAlign w:val="center"/>
          </w:tcPr>
          <w:p w14:paraId="195FF916">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C</w:t>
            </w:r>
            <w:r>
              <w:rPr>
                <w:rFonts w:hint="default" w:ascii="Times New Roman" w:hAnsi="Times New Roman" w:eastAsia="宋体" w:cs="Times New Roman"/>
                <w:b w:val="0"/>
                <w:color w:val="000000"/>
                <w:kern w:val="2"/>
                <w:sz w:val="21"/>
                <w:szCs w:val="21"/>
                <w:highlight w:val="none"/>
                <w:vertAlign w:val="subscript"/>
                <w:lang w:eastAsia="zh-CN"/>
              </w:rPr>
              <w:t>6</w:t>
            </w:r>
            <w:r>
              <w:rPr>
                <w:rFonts w:hint="default" w:ascii="Times New Roman" w:hAnsi="Times New Roman" w:eastAsia="宋体" w:cs="Times New Roman"/>
                <w:b w:val="0"/>
                <w:color w:val="000000"/>
                <w:kern w:val="2"/>
                <w:sz w:val="21"/>
                <w:szCs w:val="21"/>
                <w:highlight w:val="none"/>
                <w:lang w:eastAsia="zh-CN"/>
              </w:rPr>
              <w:t>F</w:t>
            </w:r>
            <w:r>
              <w:rPr>
                <w:rFonts w:hint="default" w:ascii="Times New Roman" w:hAnsi="Times New Roman" w:eastAsia="宋体" w:cs="Times New Roman"/>
                <w:b w:val="0"/>
                <w:color w:val="000000"/>
                <w:kern w:val="2"/>
                <w:sz w:val="21"/>
                <w:szCs w:val="21"/>
                <w:highlight w:val="none"/>
                <w:vertAlign w:val="subscript"/>
                <w:lang w:eastAsia="zh-CN"/>
              </w:rPr>
              <w:t>14</w:t>
            </w:r>
          </w:p>
        </w:tc>
        <w:tc>
          <w:tcPr>
            <w:tcW w:w="3049" w:type="dxa"/>
            <w:tcBorders>
              <w:top w:val="nil"/>
              <w:left w:val="nil"/>
              <w:bottom w:val="single" w:color="000000" w:sz="12" w:space="0"/>
              <w:right w:val="nil"/>
            </w:tcBorders>
            <w:shd w:val="clear" w:color="auto" w:fill="FFFFFF"/>
            <w:vAlign w:val="center"/>
          </w:tcPr>
          <w:p w14:paraId="4D1F97D3">
            <w:pPr>
              <w:spacing w:after="0" w:line="300" w:lineRule="auto"/>
              <w:jc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2"/>
                <w:sz w:val="21"/>
                <w:szCs w:val="21"/>
                <w:highlight w:val="none"/>
                <w:lang w:eastAsia="zh-CN"/>
              </w:rPr>
              <w:t>8620</w:t>
            </w:r>
          </w:p>
        </w:tc>
      </w:tr>
    </w:tbl>
    <w:p w14:paraId="4AFE0CAE">
      <w:pPr>
        <w:adjustRightInd w:val="0"/>
        <w:snapToGrid w:val="0"/>
        <w:spacing w:after="0" w:line="360" w:lineRule="auto"/>
        <w:ind w:firstLine="361" w:firstLineChars="200"/>
        <w:jc w:val="both"/>
        <w:rPr>
          <w:rFonts w:hint="default" w:ascii="Times New Roman" w:hAnsi="Times New Roman" w:eastAsia="黑体" w:cs="Times New Roman"/>
          <w:b/>
          <w:bCs/>
          <w:kern w:val="2"/>
          <w:sz w:val="18"/>
          <w:szCs w:val="18"/>
          <w:highlight w:val="none"/>
          <w:lang w:eastAsia="zh-CN"/>
        </w:rPr>
      </w:pPr>
      <w:r>
        <w:rPr>
          <w:rFonts w:hint="default" w:ascii="Times New Roman" w:hAnsi="Times New Roman" w:eastAsia="黑体" w:cs="Times New Roman"/>
          <w:b/>
          <w:bCs/>
          <w:kern w:val="2"/>
          <w:sz w:val="18"/>
          <w:szCs w:val="18"/>
          <w:highlight w:val="none"/>
          <w:lang w:eastAsia="zh-CN"/>
        </w:rPr>
        <w:t>注：表中数据来源于IPCC《气候变化2021：自然科学基础 第一工作组对政府间气候变化专门委员会第六次评估报告的贡献》；如IPCC修订GWP，应采用最新数值。</w:t>
      </w:r>
    </w:p>
    <w:p w14:paraId="5D25A82C">
      <w:pPr>
        <w:keepNext/>
        <w:keepLines/>
        <w:adjustRightInd w:val="0"/>
        <w:snapToGrid w:val="0"/>
        <w:spacing w:before="100" w:after="90" w:line="240" w:lineRule="auto"/>
        <w:jc w:val="both"/>
        <w:outlineLvl w:val="0"/>
        <w:rPr>
          <w:rFonts w:hint="default" w:ascii="Times New Roman" w:hAnsi="Times New Roman" w:eastAsia="黑体" w:cs="Times New Roman"/>
          <w:bCs/>
          <w:kern w:val="44"/>
          <w:sz w:val="21"/>
          <w:szCs w:val="44"/>
          <w:lang w:eastAsia="zh-CN"/>
        </w:rPr>
      </w:pPr>
    </w:p>
    <w:p w14:paraId="528CD5B5">
      <w:pPr>
        <w:rPr>
          <w:rFonts w:hint="default" w:ascii="Times New Roman" w:hAnsi="Times New Roman" w:eastAsia="黑体" w:cs="Times New Roman"/>
          <w:bCs/>
          <w:kern w:val="44"/>
          <w:sz w:val="21"/>
          <w:szCs w:val="44"/>
          <w:lang w:eastAsia="zh-CN"/>
        </w:rPr>
      </w:pPr>
      <w:r>
        <w:rPr>
          <w:rFonts w:hint="default" w:ascii="Times New Roman" w:hAnsi="Times New Roman" w:eastAsia="黑体" w:cs="Times New Roman"/>
          <w:bCs/>
          <w:kern w:val="44"/>
          <w:sz w:val="21"/>
          <w:szCs w:val="44"/>
          <w:lang w:eastAsia="zh-CN"/>
        </w:rPr>
        <w:br w:type="page"/>
      </w:r>
    </w:p>
    <w:p w14:paraId="1D32C23D">
      <w:pPr>
        <w:pageBreakBefore w:val="0"/>
        <w:widowControl w:val="0"/>
        <w:kinsoku/>
        <w:wordWrap/>
        <w:overflowPunct/>
        <w:topLinePunct w:val="0"/>
        <w:autoSpaceDE/>
        <w:autoSpaceDN/>
        <w:bidi w:val="0"/>
        <w:spacing w:line="240" w:lineRule="auto"/>
        <w:jc w:val="center"/>
        <w:textAlignment w:val="auto"/>
        <w:outlineLvl w:val="0"/>
        <w:rPr>
          <w:rFonts w:hint="default" w:ascii="Times New Roman" w:hAnsi="Times New Roman" w:eastAsia="黑体" w:cs="Times New Roman"/>
          <w:bCs/>
          <w:kern w:val="44"/>
          <w:sz w:val="21"/>
          <w:szCs w:val="44"/>
          <w:lang w:val="en-US" w:eastAsia="zh-CN"/>
        </w:rPr>
      </w:pPr>
      <w:bookmarkStart w:id="91" w:name="_Toc5051"/>
      <w:r>
        <w:rPr>
          <w:rFonts w:hint="default" w:ascii="Times New Roman" w:hAnsi="Times New Roman" w:eastAsia="黑体" w:cs="Times New Roman"/>
          <w:bCs/>
          <w:kern w:val="44"/>
          <w:sz w:val="21"/>
          <w:szCs w:val="44"/>
          <w:lang w:eastAsia="zh-CN"/>
        </w:rPr>
        <w:t>附录</w:t>
      </w:r>
      <w:r>
        <w:rPr>
          <w:rFonts w:hint="eastAsia" w:ascii="Times New Roman" w:hAnsi="Times New Roman" w:eastAsia="黑体" w:cs="Times New Roman"/>
          <w:bCs/>
          <w:kern w:val="44"/>
          <w:sz w:val="21"/>
          <w:szCs w:val="44"/>
          <w:lang w:val="en-US" w:eastAsia="zh-CN"/>
        </w:rPr>
        <w:t>D</w:t>
      </w:r>
      <w:bookmarkEnd w:id="91"/>
    </w:p>
    <w:p w14:paraId="3C3634D7">
      <w:pPr>
        <w:keepNext/>
        <w:keepLines/>
        <w:adjustRightInd w:val="0"/>
        <w:snapToGrid w:val="0"/>
        <w:spacing w:before="100" w:after="90" w:line="240" w:lineRule="auto"/>
        <w:jc w:val="center"/>
        <w:outlineLvl w:val="9"/>
        <w:rPr>
          <w:rFonts w:hint="default" w:ascii="Times New Roman" w:hAnsi="Times New Roman" w:eastAsia="黑体" w:cs="Times New Roman"/>
          <w:bCs/>
          <w:kern w:val="44"/>
          <w:sz w:val="21"/>
          <w:szCs w:val="44"/>
          <w:lang w:eastAsia="zh-CN"/>
        </w:rPr>
      </w:pPr>
      <w:r>
        <w:rPr>
          <w:rFonts w:hint="default" w:ascii="Times New Roman" w:hAnsi="Times New Roman" w:eastAsia="黑体" w:cs="Times New Roman"/>
          <w:bCs/>
          <w:kern w:val="44"/>
          <w:sz w:val="21"/>
          <w:szCs w:val="44"/>
          <w:lang w:eastAsia="zh-CN"/>
        </w:rPr>
        <w:t xml:space="preserve">（资料性） </w:t>
      </w:r>
    </w:p>
    <w:p w14:paraId="3E735894">
      <w:pPr>
        <w:keepNext/>
        <w:keepLines/>
        <w:adjustRightInd w:val="0"/>
        <w:snapToGrid w:val="0"/>
        <w:spacing w:before="100" w:after="90" w:line="240" w:lineRule="auto"/>
        <w:jc w:val="center"/>
        <w:outlineLvl w:val="9"/>
        <w:rPr>
          <w:rFonts w:hint="default" w:ascii="Times New Roman" w:hAnsi="Times New Roman" w:eastAsia="黑体" w:cs="Times New Roman"/>
          <w:bCs/>
          <w:kern w:val="44"/>
          <w:sz w:val="21"/>
          <w:szCs w:val="44"/>
          <w:lang w:eastAsia="zh-CN"/>
        </w:rPr>
      </w:pPr>
      <w:r>
        <w:rPr>
          <w:rFonts w:hint="default" w:ascii="Times New Roman" w:hAnsi="Times New Roman" w:eastAsia="黑体" w:cs="Times New Roman"/>
          <w:bCs/>
          <w:kern w:val="44"/>
          <w:sz w:val="21"/>
          <w:szCs w:val="44"/>
          <w:lang w:eastAsia="zh-CN"/>
        </w:rPr>
        <w:t>产品碳足迹报告模板</w:t>
      </w:r>
      <w:bookmarkStart w:id="92" w:name="_TF"/>
      <w:bookmarkEnd w:id="92"/>
    </w:p>
    <w:p w14:paraId="4A61B425">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产品碳足迹报告格式模板如下。</w:t>
      </w:r>
    </w:p>
    <w:p w14:paraId="297B2189">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0CC8A91A">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48B3BC8B">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7C7A26A7">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7D867FCE">
      <w:pPr>
        <w:adjustRightInd w:val="0"/>
        <w:snapToGrid w:val="0"/>
        <w:spacing w:after="0" w:line="360" w:lineRule="auto"/>
        <w:jc w:val="center"/>
        <w:rPr>
          <w:rFonts w:hint="default" w:ascii="Times New Roman" w:hAnsi="Times New Roman" w:eastAsia="黑体" w:cs="Times New Roman"/>
          <w:kern w:val="2"/>
          <w:sz w:val="36"/>
          <w:szCs w:val="36"/>
          <w:lang w:eastAsia="zh-CN"/>
        </w:rPr>
      </w:pPr>
      <w:r>
        <w:rPr>
          <w:rFonts w:hint="default" w:ascii="Times New Roman" w:hAnsi="Times New Roman" w:eastAsia="黑体" w:cs="Times New Roman"/>
          <w:kern w:val="2"/>
          <w:sz w:val="36"/>
          <w:szCs w:val="36"/>
          <w:lang w:eastAsia="zh-CN"/>
        </w:rPr>
        <w:t>产品碳足迹报告（模板）</w:t>
      </w:r>
    </w:p>
    <w:p w14:paraId="1D8B7C91">
      <w:pPr>
        <w:adjustRightInd w:val="0"/>
        <w:snapToGrid w:val="0"/>
        <w:spacing w:after="0" w:line="360" w:lineRule="auto"/>
        <w:rPr>
          <w:rFonts w:hint="default" w:ascii="Times New Roman" w:hAnsi="Times New Roman" w:eastAsia="黑体" w:cs="Times New Roman"/>
          <w:kern w:val="2"/>
          <w:sz w:val="21"/>
          <w:szCs w:val="21"/>
          <w:lang w:eastAsia="zh-CN"/>
        </w:rPr>
      </w:pPr>
    </w:p>
    <w:p w14:paraId="2C89932D">
      <w:pPr>
        <w:adjustRightInd w:val="0"/>
        <w:snapToGrid w:val="0"/>
        <w:spacing w:after="0" w:line="360" w:lineRule="auto"/>
        <w:rPr>
          <w:rFonts w:hint="default" w:ascii="Times New Roman" w:hAnsi="Times New Roman" w:eastAsia="黑体" w:cs="Times New Roman"/>
          <w:kern w:val="2"/>
          <w:sz w:val="21"/>
          <w:szCs w:val="21"/>
          <w:lang w:eastAsia="zh-CN"/>
        </w:rPr>
      </w:pPr>
    </w:p>
    <w:p w14:paraId="6BF35672">
      <w:pPr>
        <w:adjustRightInd w:val="0"/>
        <w:snapToGrid w:val="0"/>
        <w:spacing w:after="0" w:line="360" w:lineRule="auto"/>
        <w:rPr>
          <w:rFonts w:hint="default" w:ascii="Times New Roman" w:hAnsi="Times New Roman" w:eastAsia="黑体" w:cs="Times New Roman"/>
          <w:kern w:val="2"/>
          <w:sz w:val="21"/>
          <w:szCs w:val="21"/>
          <w:lang w:eastAsia="zh-CN"/>
        </w:rPr>
      </w:pPr>
    </w:p>
    <w:p w14:paraId="501D45F3">
      <w:pPr>
        <w:adjustRightInd w:val="0"/>
        <w:snapToGrid w:val="0"/>
        <w:spacing w:after="0" w:line="360" w:lineRule="auto"/>
        <w:rPr>
          <w:rFonts w:hint="default" w:ascii="Times New Roman" w:hAnsi="Times New Roman" w:eastAsia="黑体" w:cs="Times New Roman"/>
          <w:kern w:val="2"/>
          <w:sz w:val="21"/>
          <w:szCs w:val="21"/>
          <w:lang w:eastAsia="zh-CN"/>
        </w:rPr>
      </w:pPr>
    </w:p>
    <w:p w14:paraId="007F0F66">
      <w:pPr>
        <w:adjustRightInd w:val="0"/>
        <w:snapToGrid w:val="0"/>
        <w:spacing w:after="0" w:line="360" w:lineRule="auto"/>
        <w:rPr>
          <w:rFonts w:hint="default" w:ascii="Times New Roman" w:hAnsi="Times New Roman" w:cs="Times New Roman"/>
          <w:kern w:val="2"/>
          <w:sz w:val="21"/>
          <w:szCs w:val="21"/>
          <w:lang w:eastAsia="zh-CN"/>
        </w:rPr>
      </w:pPr>
    </w:p>
    <w:p w14:paraId="0A2506CC">
      <w:pPr>
        <w:adjustRightInd w:val="0"/>
        <w:snapToGrid w:val="0"/>
        <w:spacing w:after="0" w:line="480" w:lineRule="auto"/>
        <w:jc w:val="center"/>
        <w:rPr>
          <w:rFonts w:hint="default" w:ascii="Times New Roman" w:hAnsi="Times New Roman" w:cs="Times New Roman"/>
          <w:kern w:val="2"/>
          <w:sz w:val="21"/>
          <w:szCs w:val="21"/>
          <w:lang w:eastAsia="zh-CN"/>
        </w:rPr>
      </w:pPr>
      <w:r>
        <w:rPr>
          <w:rFonts w:hint="default" w:ascii="Times New Roman" w:hAnsi="Times New Roman" w:cs="Times New Roman"/>
          <w:kern w:val="2"/>
          <w:sz w:val="21"/>
          <w:szCs w:val="21"/>
          <w:lang w:eastAsia="zh-CN"/>
        </w:rPr>
        <w:t>生产者名称：______________________________</w:t>
      </w:r>
    </w:p>
    <w:p w14:paraId="0DBED48E">
      <w:pPr>
        <w:adjustRightInd w:val="0"/>
        <w:snapToGrid w:val="0"/>
        <w:spacing w:after="0" w:line="480" w:lineRule="auto"/>
        <w:jc w:val="center"/>
        <w:rPr>
          <w:rFonts w:hint="default" w:ascii="Times New Roman" w:hAnsi="Times New Roman" w:cs="Times New Roman"/>
          <w:kern w:val="2"/>
          <w:sz w:val="21"/>
          <w:szCs w:val="21"/>
          <w:lang w:eastAsia="zh-CN"/>
        </w:rPr>
      </w:pPr>
      <w:r>
        <w:rPr>
          <w:rFonts w:hint="default" w:ascii="Times New Roman" w:hAnsi="Times New Roman" w:cs="Times New Roman"/>
          <w:kern w:val="2"/>
          <w:sz w:val="21"/>
          <w:szCs w:val="21"/>
          <w:lang w:eastAsia="zh-CN"/>
        </w:rPr>
        <w:t>产品名称：______________________________</w:t>
      </w:r>
    </w:p>
    <w:p w14:paraId="7CFDC321">
      <w:pPr>
        <w:adjustRightInd w:val="0"/>
        <w:snapToGrid w:val="0"/>
        <w:spacing w:after="0" w:line="480" w:lineRule="auto"/>
        <w:jc w:val="center"/>
        <w:rPr>
          <w:rFonts w:hint="default" w:ascii="Times New Roman" w:hAnsi="Times New Roman" w:cs="Times New Roman"/>
          <w:kern w:val="2"/>
          <w:sz w:val="21"/>
          <w:szCs w:val="21"/>
          <w:lang w:eastAsia="zh-CN"/>
        </w:rPr>
      </w:pPr>
      <w:r>
        <w:rPr>
          <w:rFonts w:hint="default" w:ascii="Times New Roman" w:hAnsi="Times New Roman" w:cs="Times New Roman"/>
          <w:kern w:val="2"/>
          <w:sz w:val="21"/>
          <w:szCs w:val="21"/>
          <w:lang w:eastAsia="zh-CN"/>
        </w:rPr>
        <w:t>产品规格型号：__________________________</w:t>
      </w:r>
    </w:p>
    <w:p w14:paraId="248D3EA9">
      <w:pPr>
        <w:adjustRightInd w:val="0"/>
        <w:snapToGrid w:val="0"/>
        <w:spacing w:after="0" w:line="480" w:lineRule="auto"/>
        <w:jc w:val="center"/>
        <w:rPr>
          <w:rFonts w:hint="default" w:ascii="Times New Roman" w:hAnsi="Times New Roman" w:cs="Times New Roman"/>
          <w:kern w:val="2"/>
          <w:sz w:val="21"/>
          <w:szCs w:val="21"/>
          <w:lang w:eastAsia="zh-CN"/>
        </w:rPr>
      </w:pPr>
      <w:r>
        <w:rPr>
          <w:rFonts w:hint="default" w:ascii="Times New Roman" w:hAnsi="Times New Roman" w:cs="Times New Roman"/>
          <w:kern w:val="2"/>
          <w:sz w:val="21"/>
          <w:szCs w:val="21"/>
          <w:lang w:eastAsia="zh-CN"/>
        </w:rPr>
        <w:t>报告编号：______________________________</w:t>
      </w:r>
    </w:p>
    <w:p w14:paraId="3099A465">
      <w:pPr>
        <w:adjustRightInd w:val="0"/>
        <w:snapToGrid w:val="0"/>
        <w:spacing w:after="0" w:line="480" w:lineRule="auto"/>
        <w:rPr>
          <w:rFonts w:hint="default" w:ascii="Times New Roman" w:hAnsi="Times New Roman" w:cs="Times New Roman"/>
          <w:kern w:val="2"/>
          <w:sz w:val="21"/>
          <w:szCs w:val="21"/>
          <w:lang w:eastAsia="zh-CN"/>
        </w:rPr>
      </w:pPr>
    </w:p>
    <w:p w14:paraId="1B149BC7">
      <w:pPr>
        <w:adjustRightInd w:val="0"/>
        <w:snapToGrid w:val="0"/>
        <w:spacing w:after="0" w:line="480" w:lineRule="auto"/>
        <w:jc w:val="right"/>
        <w:rPr>
          <w:rFonts w:hint="default" w:ascii="Times New Roman" w:hAnsi="Times New Roman" w:cs="Times New Roman"/>
          <w:kern w:val="2"/>
          <w:sz w:val="21"/>
          <w:szCs w:val="21"/>
          <w:lang w:eastAsia="zh-CN"/>
        </w:rPr>
      </w:pPr>
      <w:r>
        <w:rPr>
          <w:rFonts w:hint="default" w:ascii="Times New Roman" w:hAnsi="Times New Roman" w:cs="Times New Roman"/>
          <w:kern w:val="2"/>
          <w:sz w:val="21"/>
          <w:szCs w:val="21"/>
          <w:lang w:eastAsia="zh-CN"/>
        </w:rPr>
        <w:t xml:space="preserve">      </w:t>
      </w:r>
    </w:p>
    <w:p w14:paraId="69A22A7A">
      <w:pPr>
        <w:adjustRightInd w:val="0"/>
        <w:snapToGrid w:val="0"/>
        <w:spacing w:after="0" w:line="360" w:lineRule="auto"/>
        <w:rPr>
          <w:rFonts w:hint="default" w:ascii="Times New Roman" w:hAnsi="Times New Roman" w:cs="Times New Roman"/>
          <w:kern w:val="2"/>
          <w:sz w:val="21"/>
          <w:szCs w:val="21"/>
          <w:u w:val="single"/>
          <w:lang w:eastAsia="zh-CN"/>
        </w:rPr>
      </w:pPr>
    </w:p>
    <w:p w14:paraId="20360CEB">
      <w:pPr>
        <w:adjustRightInd w:val="0"/>
        <w:snapToGrid w:val="0"/>
        <w:spacing w:after="0" w:line="360" w:lineRule="auto"/>
        <w:rPr>
          <w:rFonts w:hint="default" w:ascii="Times New Roman" w:hAnsi="Times New Roman" w:cs="Times New Roman"/>
          <w:kern w:val="2"/>
          <w:sz w:val="21"/>
          <w:szCs w:val="21"/>
          <w:u w:val="single"/>
          <w:lang w:eastAsia="zh-CN"/>
        </w:rPr>
      </w:pPr>
    </w:p>
    <w:p w14:paraId="1713D63F">
      <w:pPr>
        <w:adjustRightInd w:val="0"/>
        <w:snapToGrid w:val="0"/>
        <w:spacing w:after="0" w:line="360" w:lineRule="auto"/>
        <w:rPr>
          <w:rFonts w:hint="default" w:ascii="Times New Roman" w:hAnsi="Times New Roman" w:cs="Times New Roman"/>
          <w:kern w:val="2"/>
          <w:sz w:val="21"/>
          <w:szCs w:val="21"/>
          <w:u w:val="single"/>
          <w:lang w:eastAsia="zh-CN"/>
        </w:rPr>
      </w:pPr>
    </w:p>
    <w:p w14:paraId="791F81A2">
      <w:pPr>
        <w:adjustRightInd w:val="0"/>
        <w:snapToGrid w:val="0"/>
        <w:spacing w:after="0" w:line="360" w:lineRule="auto"/>
        <w:rPr>
          <w:rFonts w:hint="default" w:ascii="Times New Roman" w:hAnsi="Times New Roman" w:cs="Times New Roman"/>
          <w:kern w:val="2"/>
          <w:sz w:val="21"/>
          <w:szCs w:val="21"/>
          <w:u w:val="single"/>
          <w:lang w:eastAsia="zh-CN"/>
        </w:rPr>
      </w:pPr>
    </w:p>
    <w:p w14:paraId="2E8ACD6C">
      <w:pPr>
        <w:adjustRightInd w:val="0"/>
        <w:snapToGrid w:val="0"/>
        <w:spacing w:after="0" w:line="360" w:lineRule="auto"/>
        <w:rPr>
          <w:rFonts w:hint="default" w:ascii="Times New Roman" w:hAnsi="Times New Roman" w:cs="Times New Roman"/>
          <w:kern w:val="2"/>
          <w:sz w:val="21"/>
          <w:szCs w:val="21"/>
          <w:u w:val="single"/>
          <w:lang w:eastAsia="zh-CN"/>
        </w:rPr>
      </w:pPr>
    </w:p>
    <w:p w14:paraId="63A09F80">
      <w:pPr>
        <w:adjustRightInd w:val="0"/>
        <w:snapToGrid w:val="0"/>
        <w:spacing w:after="0" w:line="360" w:lineRule="auto"/>
        <w:rPr>
          <w:rFonts w:hint="default" w:ascii="Times New Roman" w:hAnsi="Times New Roman" w:cs="Times New Roman"/>
          <w:kern w:val="2"/>
          <w:sz w:val="21"/>
          <w:szCs w:val="21"/>
          <w:u w:val="single"/>
          <w:lang w:eastAsia="zh-CN"/>
        </w:rPr>
      </w:pPr>
    </w:p>
    <w:p w14:paraId="13B76C7C">
      <w:pPr>
        <w:adjustRightInd w:val="0"/>
        <w:snapToGrid w:val="0"/>
        <w:spacing w:after="0" w:line="360" w:lineRule="auto"/>
        <w:ind w:firstLine="3360" w:firstLineChars="1600"/>
        <w:jc w:val="right"/>
        <w:rPr>
          <w:rFonts w:hint="default" w:ascii="Times New Roman" w:hAnsi="Times New Roman" w:cs="Times New Roman"/>
          <w:kern w:val="2"/>
          <w:sz w:val="21"/>
          <w:szCs w:val="21"/>
          <w:lang w:eastAsia="zh-CN"/>
        </w:rPr>
      </w:pPr>
      <w:r>
        <w:rPr>
          <w:rFonts w:hint="default" w:ascii="Times New Roman" w:hAnsi="Times New Roman" w:cs="Times New Roman"/>
          <w:kern w:val="2"/>
          <w:sz w:val="21"/>
          <w:szCs w:val="21"/>
          <w:lang w:eastAsia="zh-CN"/>
        </w:rPr>
        <w:t>出具报告机构：            （盖章）</w:t>
      </w:r>
    </w:p>
    <w:p w14:paraId="1CB701A6">
      <w:pPr>
        <w:adjustRightInd w:val="0"/>
        <w:snapToGrid w:val="0"/>
        <w:spacing w:after="0" w:line="360" w:lineRule="auto"/>
        <w:ind w:firstLine="3360" w:firstLineChars="1600"/>
        <w:jc w:val="right"/>
        <w:rPr>
          <w:rFonts w:hint="default" w:ascii="Times New Roman" w:hAnsi="Times New Roman" w:cs="Times New Roman"/>
          <w:kern w:val="2"/>
          <w:sz w:val="21"/>
          <w:szCs w:val="21"/>
          <w:lang w:eastAsia="zh-CN"/>
        </w:rPr>
      </w:pPr>
    </w:p>
    <w:p w14:paraId="3815516D">
      <w:pPr>
        <w:adjustRightInd w:val="0"/>
        <w:snapToGrid w:val="0"/>
        <w:spacing w:after="0" w:line="360" w:lineRule="auto"/>
        <w:ind w:firstLine="5670" w:firstLineChars="2700"/>
        <w:jc w:val="right"/>
        <w:rPr>
          <w:rFonts w:hint="default" w:ascii="Times New Roman" w:hAnsi="Times New Roman" w:cs="Times New Roman"/>
          <w:kern w:val="2"/>
          <w:sz w:val="21"/>
          <w:szCs w:val="21"/>
          <w:lang w:eastAsia="zh-CN"/>
        </w:rPr>
      </w:pPr>
      <w:r>
        <w:rPr>
          <w:rFonts w:hint="default" w:ascii="Times New Roman" w:hAnsi="Times New Roman" w:cs="Times New Roman"/>
          <w:kern w:val="2"/>
          <w:sz w:val="21"/>
          <w:szCs w:val="21"/>
          <w:lang w:eastAsia="zh-CN"/>
        </w:rPr>
        <w:t>日期：      年    月    日</w:t>
      </w:r>
    </w:p>
    <w:p w14:paraId="1622A4E8">
      <w:pPr>
        <w:adjustRightInd w:val="0"/>
        <w:snapToGrid w:val="0"/>
        <w:spacing w:after="0" w:line="360" w:lineRule="auto"/>
        <w:jc w:val="right"/>
        <w:rPr>
          <w:rFonts w:hint="default" w:ascii="Times New Roman" w:hAnsi="Times New Roman" w:cs="Times New Roman"/>
          <w:kern w:val="2"/>
          <w:sz w:val="21"/>
          <w:szCs w:val="21"/>
          <w:u w:val="single"/>
          <w:lang w:eastAsia="zh-CN"/>
        </w:rPr>
      </w:pPr>
    </w:p>
    <w:p w14:paraId="6EE5178A">
      <w:pPr>
        <w:adjustRightInd w:val="0"/>
        <w:snapToGrid w:val="0"/>
        <w:spacing w:after="0" w:line="360" w:lineRule="auto"/>
        <w:rPr>
          <w:rFonts w:hint="default" w:ascii="Times New Roman" w:hAnsi="Times New Roman" w:cs="Times New Roman"/>
          <w:kern w:val="2"/>
          <w:sz w:val="21"/>
          <w:szCs w:val="21"/>
          <w:u w:val="single"/>
          <w:lang w:eastAsia="zh-CN"/>
        </w:rPr>
      </w:pPr>
    </w:p>
    <w:p w14:paraId="1D35C158">
      <w:pPr>
        <w:adjustRightInd w:val="0"/>
        <w:snapToGrid w:val="0"/>
        <w:spacing w:after="0" w:line="360" w:lineRule="auto"/>
        <w:rPr>
          <w:rFonts w:hint="default" w:ascii="Times New Roman" w:hAnsi="Times New Roman" w:cs="Times New Roman"/>
          <w:kern w:val="2"/>
          <w:sz w:val="21"/>
          <w:szCs w:val="21"/>
          <w:lang w:eastAsia="zh-CN"/>
        </w:rPr>
      </w:pPr>
    </w:p>
    <w:p w14:paraId="35E7F8B6">
      <w:pPr>
        <w:widowControl/>
        <w:spacing w:after="0" w:line="240" w:lineRule="auto"/>
        <w:rPr>
          <w:rFonts w:hint="default" w:ascii="Times New Roman" w:hAnsi="Times New Roman" w:cs="Times New Roman"/>
          <w:kern w:val="2"/>
          <w:sz w:val="21"/>
          <w:szCs w:val="21"/>
          <w:lang w:eastAsia="zh-CN"/>
        </w:rPr>
      </w:pPr>
      <w:r>
        <w:rPr>
          <w:rFonts w:hint="default" w:ascii="Times New Roman" w:hAnsi="Times New Roman" w:cs="Times New Roman"/>
          <w:kern w:val="2"/>
          <w:sz w:val="21"/>
          <w:szCs w:val="21"/>
          <w:lang w:eastAsia="zh-CN"/>
        </w:rPr>
        <w:br w:type="page"/>
      </w:r>
    </w:p>
    <w:p w14:paraId="5D673D3D">
      <w:pPr>
        <w:spacing w:before="240" w:beforeLines="100" w:after="240" w:afterLines="100" w:line="240" w:lineRule="auto"/>
        <w:rPr>
          <w:rFonts w:hint="default" w:ascii="Times New Roman" w:hAnsi="Times New Roman" w:eastAsia="黑体" w:cs="Times New Roman"/>
          <w:sz w:val="21"/>
          <w:szCs w:val="21"/>
          <w:lang w:eastAsia="zh-CN"/>
        </w:rPr>
      </w:pPr>
      <w:r>
        <w:rPr>
          <w:rFonts w:hint="default" w:ascii="Times New Roman" w:hAnsi="Times New Roman" w:eastAsia="黑体" w:cs="Times New Roman"/>
          <w:bCs/>
          <w:sz w:val="21"/>
          <w:szCs w:val="21"/>
          <w:lang w:eastAsia="zh-CN"/>
        </w:rPr>
        <w:t>一、概况</w:t>
      </w:r>
    </w:p>
    <w:p w14:paraId="4F6BE29D">
      <w:pPr>
        <w:adjustRightInd w:val="0"/>
        <w:snapToGrid w:val="0"/>
        <w:spacing w:before="120" w:beforeLines="50" w:after="120" w:afterLines="50" w:line="24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1.生产者信息</w:t>
      </w:r>
    </w:p>
    <w:p w14:paraId="55C0E936">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生产者名称：</w:t>
      </w:r>
    </w:p>
    <w:p w14:paraId="36202686">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地址：</w:t>
      </w:r>
    </w:p>
    <w:p w14:paraId="04A6D0E8">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法定代表人：</w:t>
      </w:r>
    </w:p>
    <w:p w14:paraId="3483AB8E">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授权人（联系人）：</w:t>
      </w:r>
    </w:p>
    <w:p w14:paraId="7804E7FC">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联系电话：</w:t>
      </w:r>
    </w:p>
    <w:p w14:paraId="3F99F3EA">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公司概况：</w:t>
      </w:r>
    </w:p>
    <w:p w14:paraId="37A8469C">
      <w:pPr>
        <w:adjustRightInd w:val="0"/>
        <w:snapToGrid w:val="0"/>
        <w:spacing w:before="120" w:beforeLines="50" w:after="120" w:afterLines="50" w:line="240" w:lineRule="auto"/>
        <w:jc w:val="both"/>
        <w:rPr>
          <w:rFonts w:hint="default" w:ascii="Times New Roman" w:hAnsi="Times New Roman" w:eastAsia="黑体" w:cs="Times New Roman"/>
          <w:kern w:val="2"/>
          <w:sz w:val="21"/>
          <w:szCs w:val="24"/>
          <w:lang w:eastAsia="zh-CN"/>
        </w:rPr>
      </w:pPr>
      <w:r>
        <w:rPr>
          <w:rFonts w:hint="eastAsia" w:ascii="Times New Roman" w:hAnsi="Times New Roman" w:eastAsia="黑体" w:cs="Times New Roman"/>
          <w:kern w:val="2"/>
          <w:sz w:val="21"/>
          <w:szCs w:val="24"/>
          <w:lang w:eastAsia="zh-CN"/>
        </w:rPr>
        <w:t>2.</w:t>
      </w:r>
      <w:r>
        <w:rPr>
          <w:rFonts w:hint="default" w:ascii="Times New Roman" w:hAnsi="Times New Roman" w:eastAsia="黑体" w:cs="Times New Roman"/>
          <w:kern w:val="2"/>
          <w:sz w:val="21"/>
          <w:szCs w:val="24"/>
          <w:lang w:eastAsia="zh-CN"/>
        </w:rPr>
        <w:t>产品信息</w:t>
      </w:r>
    </w:p>
    <w:p w14:paraId="774E35B7">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产品名称：</w:t>
      </w:r>
    </w:p>
    <w:p w14:paraId="3D9C5D57">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产品功能：</w:t>
      </w:r>
    </w:p>
    <w:p w14:paraId="02161A2B">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产品介绍：</w:t>
      </w:r>
    </w:p>
    <w:p w14:paraId="61FB51F5">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产品图片：</w:t>
      </w:r>
    </w:p>
    <w:p w14:paraId="4A82E10C">
      <w:pPr>
        <w:adjustRightInd w:val="0"/>
        <w:snapToGrid w:val="0"/>
        <w:spacing w:before="120" w:beforeLines="50" w:after="120" w:afterLines="50" w:line="24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3.量化方法</w:t>
      </w:r>
    </w:p>
    <w:p w14:paraId="314DA9A5">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依据标准：</w:t>
      </w:r>
    </w:p>
    <w:p w14:paraId="0E0E56F8">
      <w:pPr>
        <w:spacing w:line="240" w:lineRule="auto"/>
        <w:ind w:firstLine="420"/>
        <w:rPr>
          <w:rFonts w:hint="default" w:ascii="Times New Roman" w:hAnsi="Times New Roman" w:cs="Times New Roman"/>
          <w:szCs w:val="24"/>
          <w:lang w:eastAsia="zh-CN"/>
        </w:rPr>
      </w:pPr>
    </w:p>
    <w:p w14:paraId="1C74F818">
      <w:pPr>
        <w:spacing w:before="240" w:beforeLines="100" w:after="240" w:afterLines="100" w:line="240" w:lineRule="auto"/>
        <w:rPr>
          <w:rFonts w:hint="default" w:ascii="Times New Roman" w:hAnsi="Times New Roman" w:eastAsia="黑体" w:cs="Times New Roman"/>
          <w:bCs/>
          <w:sz w:val="21"/>
          <w:szCs w:val="21"/>
          <w:lang w:eastAsia="zh-CN"/>
        </w:rPr>
      </w:pPr>
      <w:r>
        <w:rPr>
          <w:rFonts w:hint="default" w:ascii="Times New Roman" w:hAnsi="Times New Roman" w:eastAsia="黑体" w:cs="Times New Roman"/>
          <w:bCs/>
          <w:sz w:val="21"/>
          <w:szCs w:val="21"/>
          <w:lang w:eastAsia="zh-CN"/>
        </w:rPr>
        <w:t>三、量化范围</w:t>
      </w:r>
    </w:p>
    <w:p w14:paraId="6CF9FDAF">
      <w:pPr>
        <w:adjustRightInd w:val="0"/>
        <w:snapToGrid w:val="0"/>
        <w:spacing w:before="120" w:beforeLines="50" w:after="120" w:afterLines="50" w:line="24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1.声明单位：</w:t>
      </w:r>
    </w:p>
    <w:p w14:paraId="01E51B81">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声明单位为1t</w:t>
      </w:r>
      <w:r>
        <w:rPr>
          <w:rFonts w:hint="default" w:ascii="Times New Roman" w:hAnsi="Times New Roman" w:eastAsia="宋体" w:cs="Times New Roman"/>
          <w:kern w:val="2"/>
          <w:sz w:val="21"/>
          <w:szCs w:val="21"/>
          <w:lang w:val="en-US" w:eastAsia="zh-CN"/>
        </w:rPr>
        <w:t>稀土系储氢合金材料</w:t>
      </w:r>
      <w:r>
        <w:rPr>
          <w:rFonts w:hint="default" w:ascii="Times New Roman" w:hAnsi="Times New Roman" w:eastAsia="宋体" w:cs="Times New Roman"/>
          <w:kern w:val="2"/>
          <w:sz w:val="21"/>
          <w:szCs w:val="21"/>
          <w:lang w:eastAsia="zh-CN"/>
        </w:rPr>
        <w:t>产品。</w:t>
      </w:r>
    </w:p>
    <w:p w14:paraId="37E3D027">
      <w:pPr>
        <w:adjustRightInd w:val="0"/>
        <w:snapToGrid w:val="0"/>
        <w:spacing w:before="120" w:beforeLines="50" w:after="120" w:afterLines="50" w:line="24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2.系统边界：</w:t>
      </w:r>
    </w:p>
    <w:p w14:paraId="7DF12D4D">
      <w:pPr>
        <w:adjustRightInd w:val="0"/>
        <w:snapToGrid w:val="0"/>
        <w:spacing w:after="0" w:line="360" w:lineRule="auto"/>
        <w:ind w:left="418" w:leftChars="190" w:firstLine="0" w:firstLineChars="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原辅材料获取及加工阶段、生产阶段（系统边界扩展时还包括使用阶段、生命末期阶段）系统边界见图</w:t>
      </w:r>
      <w:r>
        <w:rPr>
          <w:rFonts w:hint="eastAsia" w:ascii="Times New Roman" w:hAnsi="Times New Roman" w:eastAsia="宋体" w:cs="Times New Roman"/>
          <w:kern w:val="2"/>
          <w:sz w:val="21"/>
          <w:szCs w:val="21"/>
          <w:lang w:val="en-US" w:eastAsia="zh-CN"/>
        </w:rPr>
        <w:t>D</w:t>
      </w:r>
      <w:r>
        <w:rPr>
          <w:rFonts w:hint="default" w:ascii="Times New Roman" w:hAnsi="Times New Roman" w:eastAsia="宋体" w:cs="Times New Roman"/>
          <w:kern w:val="2"/>
          <w:sz w:val="21"/>
          <w:szCs w:val="21"/>
          <w:lang w:eastAsia="zh-CN"/>
        </w:rPr>
        <w:t>.1。</w:t>
      </w:r>
    </w:p>
    <w:p w14:paraId="78F2EBAD">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38A35416">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3549B3B1">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684F056F">
      <w:pPr>
        <w:adjustRightInd w:val="0"/>
        <w:snapToGrid w:val="0"/>
        <w:spacing w:after="0" w:line="360" w:lineRule="auto"/>
        <w:jc w:val="both"/>
        <w:rPr>
          <w:rFonts w:hint="default" w:ascii="Times New Roman" w:hAnsi="Times New Roman" w:eastAsia="宋体" w:cs="Times New Roman"/>
          <w:kern w:val="2"/>
          <w:sz w:val="21"/>
          <w:szCs w:val="21"/>
          <w:lang w:eastAsia="zh-CN"/>
        </w:rPr>
      </w:pPr>
    </w:p>
    <w:p w14:paraId="30B0AABB">
      <w:pPr>
        <w:adjustRightInd w:val="0"/>
        <w:snapToGrid w:val="0"/>
        <w:spacing w:after="0" w:line="360" w:lineRule="auto"/>
        <w:jc w:val="center"/>
        <w:rPr>
          <w:rFonts w:hint="default" w:ascii="Times New Roman" w:hAnsi="Times New Roman" w:eastAsia="黑体" w:cs="Times New Roman"/>
          <w:kern w:val="2"/>
          <w:sz w:val="18"/>
          <w:szCs w:val="18"/>
          <w:lang w:eastAsia="zh-CN"/>
        </w:rPr>
      </w:pPr>
      <w:r>
        <w:rPr>
          <w:rFonts w:hint="default" w:ascii="Times New Roman" w:hAnsi="Times New Roman" w:eastAsia="黑体" w:cs="Times New Roman"/>
          <w:kern w:val="2"/>
          <w:sz w:val="18"/>
          <w:szCs w:val="18"/>
          <w:lang w:eastAsia="zh-CN"/>
        </w:rPr>
        <w:t>图</w:t>
      </w:r>
      <w:r>
        <w:rPr>
          <w:rFonts w:hint="eastAsia" w:ascii="Times New Roman" w:hAnsi="Times New Roman" w:eastAsia="黑体" w:cs="Times New Roman"/>
          <w:kern w:val="2"/>
          <w:sz w:val="18"/>
          <w:szCs w:val="18"/>
          <w:lang w:val="en-US" w:eastAsia="zh-CN"/>
        </w:rPr>
        <w:t>D</w:t>
      </w:r>
      <w:r>
        <w:rPr>
          <w:rFonts w:hint="default" w:ascii="Times New Roman" w:hAnsi="Times New Roman" w:eastAsia="黑体" w:cs="Times New Roman"/>
          <w:kern w:val="2"/>
          <w:sz w:val="18"/>
          <w:szCs w:val="18"/>
          <w:lang w:eastAsia="zh-CN"/>
        </w:rPr>
        <w:t>.1 XX产品碳足迹量化系统边界图</w:t>
      </w:r>
    </w:p>
    <w:p w14:paraId="04F2C358">
      <w:pPr>
        <w:adjustRightInd w:val="0"/>
        <w:snapToGrid w:val="0"/>
        <w:spacing w:before="120" w:beforeLines="50" w:after="120" w:afterLines="50" w:line="24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3.取舍准则：</w:t>
      </w:r>
    </w:p>
    <w:p w14:paraId="2B14DCC2">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采用的取舍准则以</w:t>
      </w:r>
      <w:r>
        <w:rPr>
          <w:rFonts w:hint="default" w:ascii="Times New Roman" w:hAnsi="Times New Roman" w:eastAsia="宋体" w:cs="Times New Roman"/>
          <w:kern w:val="2"/>
          <w:sz w:val="21"/>
          <w:szCs w:val="21"/>
          <w:u w:val="single"/>
          <w:lang w:eastAsia="zh-CN"/>
        </w:rPr>
        <w:t xml:space="preserve">               </w:t>
      </w:r>
      <w:r>
        <w:rPr>
          <w:rFonts w:hint="default" w:ascii="Times New Roman" w:hAnsi="Times New Roman" w:eastAsia="宋体" w:cs="Times New Roman"/>
          <w:kern w:val="2"/>
          <w:sz w:val="21"/>
          <w:szCs w:val="21"/>
          <w:lang w:eastAsia="zh-CN"/>
        </w:rPr>
        <w:t>为依据，具体规则如下：</w:t>
      </w:r>
    </w:p>
    <w:p w14:paraId="1042807E">
      <w:pPr>
        <w:adjustRightInd w:val="0"/>
        <w:snapToGrid w:val="0"/>
        <w:spacing w:before="120" w:beforeLines="50" w:after="120" w:afterLines="50" w:line="24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4.时间范围：</w:t>
      </w:r>
    </w:p>
    <w:p w14:paraId="4AFDB421">
      <w:pPr>
        <w:spacing w:line="240" w:lineRule="auto"/>
        <w:ind w:firstLine="420"/>
        <w:rPr>
          <w:rFonts w:hint="default" w:ascii="Times New Roman" w:hAnsi="Times New Roman" w:cs="Times New Roman"/>
          <w:szCs w:val="24"/>
          <w:lang w:eastAsia="zh-CN"/>
        </w:rPr>
      </w:pPr>
      <w:r>
        <w:rPr>
          <w:rFonts w:hint="default" w:ascii="Times New Roman" w:hAnsi="Times New Roman" w:cs="Times New Roman"/>
          <w:szCs w:val="24"/>
          <w:u w:val="single"/>
          <w:lang w:eastAsia="zh-CN"/>
        </w:rPr>
        <w:t xml:space="preserve">        </w:t>
      </w:r>
      <w:r>
        <w:rPr>
          <w:rFonts w:hint="default" w:ascii="Times New Roman" w:hAnsi="Times New Roman" w:cs="Times New Roman"/>
          <w:szCs w:val="24"/>
          <w:lang w:eastAsia="zh-CN"/>
        </w:rPr>
        <w:t>年度。</w:t>
      </w:r>
    </w:p>
    <w:p w14:paraId="49290C6F">
      <w:pPr>
        <w:spacing w:before="240" w:beforeLines="100" w:after="240" w:afterLines="100" w:line="240" w:lineRule="auto"/>
        <w:rPr>
          <w:rFonts w:hint="default" w:ascii="Times New Roman" w:hAnsi="Times New Roman" w:eastAsia="黑体" w:cs="Times New Roman"/>
          <w:bCs/>
          <w:sz w:val="21"/>
          <w:szCs w:val="21"/>
          <w:lang w:eastAsia="zh-CN"/>
        </w:rPr>
      </w:pPr>
      <w:r>
        <w:rPr>
          <w:rFonts w:hint="default" w:ascii="Times New Roman" w:hAnsi="Times New Roman" w:eastAsia="黑体" w:cs="Times New Roman"/>
          <w:bCs/>
          <w:sz w:val="21"/>
          <w:szCs w:val="21"/>
          <w:lang w:eastAsia="zh-CN"/>
        </w:rPr>
        <w:t>四、清单分析</w:t>
      </w:r>
    </w:p>
    <w:p w14:paraId="0EEB97A7">
      <w:pPr>
        <w:adjustRightInd w:val="0"/>
        <w:snapToGrid w:val="0"/>
        <w:spacing w:before="120" w:beforeLines="50" w:after="120" w:afterLines="50" w:line="24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1.数据来源说明</w:t>
      </w:r>
    </w:p>
    <w:p w14:paraId="1E732535">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初级数据：</w:t>
      </w:r>
    </w:p>
    <w:p w14:paraId="08CCC3AB">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次级数据：</w:t>
      </w:r>
    </w:p>
    <w:p w14:paraId="11D75E7F">
      <w:pPr>
        <w:adjustRightInd w:val="0"/>
        <w:snapToGrid w:val="0"/>
        <w:spacing w:before="120" w:beforeLines="50" w:after="120" w:afterLines="50" w:line="24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2.分配原则与程序</w:t>
      </w:r>
    </w:p>
    <w:p w14:paraId="342DD3B8">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分配依据：</w:t>
      </w:r>
    </w:p>
    <w:p w14:paraId="06726032">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分配程序：</w:t>
      </w:r>
    </w:p>
    <w:p w14:paraId="052FF0D5">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具体分配情况如下：</w:t>
      </w:r>
    </w:p>
    <w:p w14:paraId="05E5A690">
      <w:pPr>
        <w:adjustRightInd w:val="0"/>
        <w:snapToGrid w:val="0"/>
        <w:spacing w:before="120" w:beforeLines="50" w:after="120" w:afterLines="50" w:line="24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3.清单结果及计算</w:t>
      </w:r>
    </w:p>
    <w:p w14:paraId="55F4D23E">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产品生产阶段的碳排放计算说明</w:t>
      </w:r>
      <w:r>
        <w:rPr>
          <w:rFonts w:hint="eastAsia" w:ascii="Times New Roman" w:hAnsi="Times New Roman" w:eastAsia="宋体" w:cs="Times New Roman"/>
          <w:kern w:val="2"/>
          <w:sz w:val="21"/>
          <w:szCs w:val="21"/>
          <w:lang w:eastAsia="zh-CN"/>
        </w:rPr>
        <w:t>见下</w:t>
      </w:r>
      <w:r>
        <w:rPr>
          <w:rFonts w:hint="default" w:ascii="Times New Roman" w:hAnsi="Times New Roman" w:eastAsia="宋体" w:cs="Times New Roman"/>
          <w:kern w:val="2"/>
          <w:sz w:val="21"/>
          <w:szCs w:val="21"/>
          <w:lang w:eastAsia="zh-CN"/>
        </w:rPr>
        <w:t>表</w:t>
      </w:r>
      <w:r>
        <w:rPr>
          <w:rFonts w:hint="eastAsia" w:ascii="Times New Roman" w:hAnsi="Times New Roman" w:eastAsia="宋体" w:cs="Times New Roman"/>
          <w:kern w:val="2"/>
          <w:sz w:val="21"/>
          <w:szCs w:val="21"/>
          <w:lang w:val="en-US" w:eastAsia="zh-CN"/>
        </w:rPr>
        <w:t>D</w:t>
      </w:r>
      <w:r>
        <w:rPr>
          <w:rFonts w:hint="default" w:ascii="Times New Roman" w:hAnsi="Times New Roman" w:eastAsia="宋体" w:cs="Times New Roman"/>
          <w:kern w:val="2"/>
          <w:sz w:val="21"/>
          <w:szCs w:val="21"/>
          <w:lang w:eastAsia="zh-CN"/>
        </w:rPr>
        <w:t>.1</w:t>
      </w:r>
    </w:p>
    <w:p w14:paraId="5F9C9513">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p>
    <w:p w14:paraId="5E0DF1B0">
      <w:pPr>
        <w:adjustRightInd w:val="0"/>
        <w:snapToGrid w:val="0"/>
        <w:spacing w:after="0" w:line="360" w:lineRule="auto"/>
        <w:jc w:val="center"/>
        <w:rPr>
          <w:rFonts w:hint="default" w:ascii="Times New Roman" w:hAnsi="Times New Roman" w:eastAsia="黑体" w:cs="Times New Roman"/>
          <w:kern w:val="2"/>
          <w:sz w:val="18"/>
          <w:szCs w:val="18"/>
          <w:lang w:eastAsia="zh-CN"/>
        </w:rPr>
      </w:pPr>
      <w:r>
        <w:rPr>
          <w:rFonts w:hint="default" w:ascii="Times New Roman" w:hAnsi="Times New Roman" w:eastAsia="黑体" w:cs="Times New Roman"/>
          <w:kern w:val="2"/>
          <w:sz w:val="18"/>
          <w:szCs w:val="18"/>
          <w:lang w:eastAsia="zh-CN"/>
        </w:rPr>
        <w:t>表</w:t>
      </w:r>
      <w:r>
        <w:rPr>
          <w:rFonts w:hint="eastAsia" w:ascii="Times New Roman" w:hAnsi="Times New Roman" w:eastAsia="黑体" w:cs="Times New Roman"/>
          <w:kern w:val="2"/>
          <w:sz w:val="18"/>
          <w:szCs w:val="18"/>
          <w:lang w:val="en-US" w:eastAsia="zh-CN"/>
        </w:rPr>
        <w:t>D</w:t>
      </w:r>
      <w:r>
        <w:rPr>
          <w:rFonts w:hint="default" w:ascii="Times New Roman" w:hAnsi="Times New Roman" w:eastAsia="黑体" w:cs="Times New Roman"/>
          <w:kern w:val="2"/>
          <w:sz w:val="18"/>
          <w:szCs w:val="18"/>
          <w:lang w:eastAsia="zh-CN"/>
        </w:rPr>
        <w:t>.1 产品生命周期碳排放清单示例</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2"/>
        <w:gridCol w:w="1298"/>
        <w:gridCol w:w="1610"/>
        <w:gridCol w:w="1956"/>
        <w:gridCol w:w="1284"/>
      </w:tblGrid>
      <w:tr w14:paraId="75BD9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2442" w:type="dxa"/>
            <w:vAlign w:val="center"/>
          </w:tcPr>
          <w:p w14:paraId="2CA13176">
            <w:pPr>
              <w:widowControl/>
              <w:spacing w:after="0" w:line="240" w:lineRule="auto"/>
              <w:jc w:val="center"/>
              <w:rPr>
                <w:rFonts w:hint="default" w:ascii="Times New Roman" w:hAnsi="Times New Roman" w:cs="Times New Roman"/>
                <w:sz w:val="18"/>
                <w:szCs w:val="18"/>
              </w:rPr>
            </w:pPr>
            <w:r>
              <w:rPr>
                <w:rFonts w:hint="default" w:ascii="Times New Roman" w:hAnsi="Times New Roman" w:cs="Times New Roman"/>
                <w:sz w:val="18"/>
                <w:szCs w:val="18"/>
              </w:rPr>
              <w:t>产品生产阶段</w:t>
            </w:r>
          </w:p>
        </w:tc>
        <w:tc>
          <w:tcPr>
            <w:tcW w:w="1298" w:type="dxa"/>
            <w:vAlign w:val="center"/>
          </w:tcPr>
          <w:p w14:paraId="42272008">
            <w:pPr>
              <w:widowControl/>
              <w:spacing w:after="0" w:line="240" w:lineRule="auto"/>
              <w:jc w:val="center"/>
              <w:rPr>
                <w:rFonts w:hint="eastAsia" w:ascii="Times New Roman" w:hAnsi="Times New Roman" w:cs="Times New Roman" w:eastAsiaTheme="minorEastAsia"/>
                <w:sz w:val="18"/>
                <w:szCs w:val="18"/>
                <w:lang w:eastAsia="zh-CN"/>
              </w:rPr>
            </w:pPr>
            <w:r>
              <w:rPr>
                <w:rFonts w:hint="eastAsia" w:ascii="Times New Roman" w:hAnsi="Times New Roman" w:cs="Times New Roman"/>
                <w:sz w:val="18"/>
                <w:szCs w:val="18"/>
                <w:lang w:val="en-US" w:eastAsia="zh-CN"/>
              </w:rPr>
              <w:t>种类</w:t>
            </w:r>
          </w:p>
        </w:tc>
        <w:tc>
          <w:tcPr>
            <w:tcW w:w="1610" w:type="dxa"/>
            <w:vAlign w:val="center"/>
          </w:tcPr>
          <w:p w14:paraId="6A280924">
            <w:pPr>
              <w:widowControl/>
              <w:spacing w:after="0" w:line="240" w:lineRule="auto"/>
              <w:jc w:val="center"/>
              <w:rPr>
                <w:rFonts w:hint="default" w:ascii="Times New Roman" w:hAnsi="Times New Roman" w:cs="Times New Roman"/>
                <w:sz w:val="18"/>
                <w:szCs w:val="18"/>
              </w:rPr>
            </w:pPr>
            <w:r>
              <w:rPr>
                <w:rFonts w:hint="default" w:ascii="Times New Roman" w:hAnsi="Times New Roman" w:cs="Times New Roman"/>
                <w:sz w:val="18"/>
                <w:szCs w:val="18"/>
              </w:rPr>
              <w:t>活动数据</w:t>
            </w:r>
          </w:p>
        </w:tc>
        <w:tc>
          <w:tcPr>
            <w:tcW w:w="1956" w:type="dxa"/>
            <w:vAlign w:val="center"/>
          </w:tcPr>
          <w:p w14:paraId="62DE09AB">
            <w:pPr>
              <w:widowControl/>
              <w:spacing w:after="0" w:line="240" w:lineRule="auto"/>
              <w:jc w:val="center"/>
              <w:rPr>
                <w:rFonts w:hint="default" w:ascii="Times New Roman" w:hAnsi="Times New Roman" w:cs="Times New Roman"/>
                <w:sz w:val="18"/>
                <w:szCs w:val="18"/>
              </w:rPr>
            </w:pPr>
            <w:r>
              <w:rPr>
                <w:rFonts w:hint="default" w:ascii="Times New Roman" w:hAnsi="Times New Roman" w:cs="Times New Roman"/>
                <w:sz w:val="18"/>
                <w:szCs w:val="18"/>
                <w:lang w:val="en-US" w:eastAsia="zh-CN"/>
              </w:rPr>
              <w:t>碳足迹因子/</w:t>
            </w:r>
            <w:r>
              <w:rPr>
                <w:rFonts w:hint="default" w:ascii="Times New Roman" w:hAnsi="Times New Roman" w:cs="Times New Roman"/>
                <w:sz w:val="18"/>
                <w:szCs w:val="18"/>
              </w:rPr>
              <w:t>排放因子</w:t>
            </w:r>
          </w:p>
        </w:tc>
        <w:tc>
          <w:tcPr>
            <w:tcW w:w="1284" w:type="dxa"/>
            <w:vAlign w:val="center"/>
          </w:tcPr>
          <w:p w14:paraId="60F10B1B">
            <w:pPr>
              <w:widowControl/>
              <w:spacing w:after="0" w:line="240" w:lineRule="auto"/>
              <w:jc w:val="center"/>
              <w:rPr>
                <w:rFonts w:hint="default" w:ascii="Times New Roman" w:hAnsi="Times New Roman" w:cs="Times New Roman"/>
                <w:sz w:val="18"/>
                <w:szCs w:val="18"/>
              </w:rPr>
            </w:pPr>
            <w:r>
              <w:rPr>
                <w:rFonts w:hint="default" w:ascii="Times New Roman" w:hAnsi="Times New Roman" w:cs="Times New Roman"/>
                <w:sz w:val="18"/>
                <w:szCs w:val="18"/>
              </w:rPr>
              <w:t>GHG排放量</w:t>
            </w:r>
          </w:p>
        </w:tc>
      </w:tr>
      <w:tr w14:paraId="0ECC0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442" w:type="dxa"/>
            <w:shd w:val="clear" w:color="auto" w:fill="auto"/>
            <w:vAlign w:val="center"/>
          </w:tcPr>
          <w:p w14:paraId="3B7D89F2">
            <w:pPr>
              <w:spacing w:after="0" w:line="300" w:lineRule="auto"/>
              <w:jc w:val="center"/>
              <w:rPr>
                <w:rFonts w:hint="default" w:asciiTheme="minorHAnsi" w:hAnsiTheme="minorHAnsi" w:eastAsiaTheme="minorEastAsia" w:cstheme="minorBidi"/>
                <w:sz w:val="22"/>
                <w:szCs w:val="22"/>
                <w:highlight w:val="none"/>
                <w:lang w:val="en-US" w:eastAsia="zh-CN" w:bidi="ar-SA"/>
              </w:rPr>
            </w:pPr>
            <w:r>
              <w:rPr>
                <w:rFonts w:hint="default" w:ascii="Times New Roman" w:hAnsi="Times New Roman" w:eastAsia="宋体" w:cs="Times New Roman"/>
                <w:kern w:val="2"/>
                <w:sz w:val="18"/>
                <w:szCs w:val="18"/>
                <w:highlight w:val="none"/>
                <w:lang w:eastAsia="zh-CN"/>
              </w:rPr>
              <w:t>原辅材料获取及加工阶段</w:t>
            </w:r>
          </w:p>
        </w:tc>
        <w:tc>
          <w:tcPr>
            <w:tcW w:w="1298" w:type="dxa"/>
            <w:vAlign w:val="center"/>
          </w:tcPr>
          <w:p w14:paraId="18775118">
            <w:pPr>
              <w:widowControl/>
              <w:spacing w:after="0" w:line="240" w:lineRule="auto"/>
              <w:jc w:val="center"/>
              <w:rPr>
                <w:rFonts w:hint="eastAsia" w:ascii="Times New Roman" w:hAnsi="Times New Roman" w:cs="Times New Roman"/>
                <w:sz w:val="18"/>
                <w:szCs w:val="18"/>
                <w:lang w:val="en-US" w:eastAsia="zh-CN"/>
              </w:rPr>
            </w:pPr>
          </w:p>
        </w:tc>
        <w:tc>
          <w:tcPr>
            <w:tcW w:w="1610" w:type="dxa"/>
            <w:vAlign w:val="center"/>
          </w:tcPr>
          <w:p w14:paraId="1B7EDEDB">
            <w:pPr>
              <w:widowControl/>
              <w:spacing w:after="0" w:line="240" w:lineRule="auto"/>
              <w:jc w:val="center"/>
              <w:rPr>
                <w:rFonts w:hint="default" w:ascii="Times New Roman" w:hAnsi="Times New Roman" w:cs="Times New Roman"/>
                <w:sz w:val="18"/>
                <w:szCs w:val="18"/>
              </w:rPr>
            </w:pPr>
          </w:p>
        </w:tc>
        <w:tc>
          <w:tcPr>
            <w:tcW w:w="1956" w:type="dxa"/>
            <w:vAlign w:val="center"/>
          </w:tcPr>
          <w:p w14:paraId="2C080573">
            <w:pPr>
              <w:widowControl/>
              <w:spacing w:after="0" w:line="240" w:lineRule="auto"/>
              <w:jc w:val="center"/>
              <w:rPr>
                <w:rFonts w:hint="default" w:ascii="Times New Roman" w:hAnsi="Times New Roman" w:cs="Times New Roman"/>
                <w:sz w:val="18"/>
                <w:szCs w:val="18"/>
                <w:lang w:val="en-US" w:eastAsia="zh-CN"/>
              </w:rPr>
            </w:pPr>
          </w:p>
        </w:tc>
        <w:tc>
          <w:tcPr>
            <w:tcW w:w="1284" w:type="dxa"/>
            <w:vAlign w:val="center"/>
          </w:tcPr>
          <w:p w14:paraId="474A18EA">
            <w:pPr>
              <w:widowControl/>
              <w:spacing w:after="0" w:line="240" w:lineRule="auto"/>
              <w:jc w:val="center"/>
              <w:rPr>
                <w:rFonts w:hint="default" w:ascii="Times New Roman" w:hAnsi="Times New Roman" w:cs="Times New Roman"/>
                <w:sz w:val="18"/>
                <w:szCs w:val="18"/>
              </w:rPr>
            </w:pPr>
          </w:p>
        </w:tc>
      </w:tr>
      <w:tr w14:paraId="093CA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442" w:type="dxa"/>
            <w:shd w:val="clear" w:color="auto" w:fill="auto"/>
            <w:vAlign w:val="center"/>
          </w:tcPr>
          <w:p w14:paraId="04626FC3">
            <w:pPr>
              <w:spacing w:after="0" w:line="300" w:lineRule="auto"/>
              <w:jc w:val="center"/>
              <w:rPr>
                <w:rFonts w:hint="eastAsia" w:asciiTheme="minorHAnsi" w:hAnsiTheme="minorHAnsi" w:eastAsiaTheme="minorEastAsia" w:cstheme="minorBidi"/>
                <w:sz w:val="22"/>
                <w:szCs w:val="22"/>
                <w:highlight w:val="none"/>
                <w:lang w:val="en-US" w:eastAsia="zh-CN" w:bidi="ar-SA"/>
              </w:rPr>
            </w:pPr>
            <w:r>
              <w:rPr>
                <w:rFonts w:hint="default" w:ascii="Times New Roman" w:hAnsi="Times New Roman" w:eastAsia="宋体" w:cs="Times New Roman"/>
                <w:kern w:val="2"/>
                <w:sz w:val="18"/>
                <w:szCs w:val="18"/>
                <w:highlight w:val="none"/>
                <w:lang w:eastAsia="zh-CN"/>
              </w:rPr>
              <w:t>原辅材料获取及加工阶段</w:t>
            </w:r>
          </w:p>
        </w:tc>
        <w:tc>
          <w:tcPr>
            <w:tcW w:w="1298" w:type="dxa"/>
            <w:vAlign w:val="center"/>
          </w:tcPr>
          <w:p w14:paraId="108508D0">
            <w:pPr>
              <w:widowControl/>
              <w:spacing w:after="0" w:line="240" w:lineRule="auto"/>
              <w:jc w:val="center"/>
              <w:rPr>
                <w:rFonts w:hint="eastAsia" w:ascii="Times New Roman" w:hAnsi="Times New Roman" w:cs="Times New Roman"/>
                <w:sz w:val="18"/>
                <w:szCs w:val="18"/>
                <w:lang w:val="en-US" w:eastAsia="zh-CN"/>
              </w:rPr>
            </w:pPr>
          </w:p>
        </w:tc>
        <w:tc>
          <w:tcPr>
            <w:tcW w:w="1610" w:type="dxa"/>
            <w:vAlign w:val="center"/>
          </w:tcPr>
          <w:p w14:paraId="2FB79DA9">
            <w:pPr>
              <w:widowControl/>
              <w:spacing w:after="0" w:line="240" w:lineRule="auto"/>
              <w:jc w:val="center"/>
              <w:rPr>
                <w:rFonts w:hint="default" w:ascii="Times New Roman" w:hAnsi="Times New Roman" w:cs="Times New Roman"/>
                <w:sz w:val="18"/>
                <w:szCs w:val="18"/>
              </w:rPr>
            </w:pPr>
          </w:p>
        </w:tc>
        <w:tc>
          <w:tcPr>
            <w:tcW w:w="1956" w:type="dxa"/>
            <w:vAlign w:val="center"/>
          </w:tcPr>
          <w:p w14:paraId="75F450E8">
            <w:pPr>
              <w:widowControl/>
              <w:spacing w:after="0" w:line="240" w:lineRule="auto"/>
              <w:jc w:val="center"/>
              <w:rPr>
                <w:rFonts w:hint="default" w:ascii="Times New Roman" w:hAnsi="Times New Roman" w:cs="Times New Roman"/>
                <w:sz w:val="18"/>
                <w:szCs w:val="18"/>
                <w:lang w:val="en-US" w:eastAsia="zh-CN"/>
              </w:rPr>
            </w:pPr>
          </w:p>
        </w:tc>
        <w:tc>
          <w:tcPr>
            <w:tcW w:w="1284" w:type="dxa"/>
            <w:vAlign w:val="center"/>
          </w:tcPr>
          <w:p w14:paraId="5FB26BAB">
            <w:pPr>
              <w:widowControl/>
              <w:spacing w:after="0" w:line="240" w:lineRule="auto"/>
              <w:jc w:val="center"/>
              <w:rPr>
                <w:rFonts w:hint="default" w:ascii="Times New Roman" w:hAnsi="Times New Roman" w:cs="Times New Roman"/>
                <w:sz w:val="18"/>
                <w:szCs w:val="18"/>
              </w:rPr>
            </w:pPr>
          </w:p>
        </w:tc>
      </w:tr>
      <w:tr w14:paraId="7C3C1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2442" w:type="dxa"/>
            <w:shd w:val="clear" w:color="auto" w:fill="auto"/>
            <w:vAlign w:val="center"/>
          </w:tcPr>
          <w:p w14:paraId="6AB91B39">
            <w:pPr>
              <w:spacing w:after="0" w:line="300" w:lineRule="auto"/>
              <w:jc w:val="center"/>
              <w:rPr>
                <w:rFonts w:hint="eastAsia" w:asciiTheme="minorHAnsi" w:hAnsiTheme="minorHAnsi" w:eastAsiaTheme="minorEastAsia" w:cstheme="minorBidi"/>
                <w:sz w:val="22"/>
                <w:szCs w:val="22"/>
                <w:highlight w:val="none"/>
                <w:lang w:val="en-US" w:eastAsia="zh-CN" w:bidi="ar-SA"/>
              </w:rPr>
            </w:pPr>
            <w:r>
              <w:rPr>
                <w:rFonts w:hint="default" w:ascii="Times New Roman" w:hAnsi="Times New Roman" w:eastAsia="宋体" w:cs="Times New Roman"/>
                <w:kern w:val="2"/>
                <w:sz w:val="18"/>
                <w:szCs w:val="18"/>
                <w:highlight w:val="none"/>
                <w:lang w:eastAsia="zh-CN"/>
              </w:rPr>
              <w:t>生产阶段</w:t>
            </w:r>
          </w:p>
        </w:tc>
        <w:tc>
          <w:tcPr>
            <w:tcW w:w="1298" w:type="dxa"/>
            <w:vAlign w:val="center"/>
          </w:tcPr>
          <w:p w14:paraId="3789F632">
            <w:pPr>
              <w:widowControl/>
              <w:spacing w:after="0" w:line="240" w:lineRule="auto"/>
              <w:jc w:val="center"/>
              <w:rPr>
                <w:rFonts w:hint="eastAsia" w:ascii="Times New Roman" w:hAnsi="Times New Roman" w:cs="Times New Roman"/>
                <w:sz w:val="18"/>
                <w:szCs w:val="18"/>
                <w:lang w:val="en-US" w:eastAsia="zh-CN"/>
              </w:rPr>
            </w:pPr>
          </w:p>
        </w:tc>
        <w:tc>
          <w:tcPr>
            <w:tcW w:w="1610" w:type="dxa"/>
            <w:vAlign w:val="center"/>
          </w:tcPr>
          <w:p w14:paraId="47984286">
            <w:pPr>
              <w:widowControl/>
              <w:spacing w:after="0" w:line="240" w:lineRule="auto"/>
              <w:jc w:val="center"/>
              <w:rPr>
                <w:rFonts w:hint="default" w:ascii="Times New Roman" w:hAnsi="Times New Roman" w:cs="Times New Roman"/>
                <w:sz w:val="18"/>
                <w:szCs w:val="18"/>
              </w:rPr>
            </w:pPr>
          </w:p>
        </w:tc>
        <w:tc>
          <w:tcPr>
            <w:tcW w:w="1956" w:type="dxa"/>
            <w:vAlign w:val="center"/>
          </w:tcPr>
          <w:p w14:paraId="44979A30">
            <w:pPr>
              <w:widowControl/>
              <w:spacing w:after="0" w:line="240" w:lineRule="auto"/>
              <w:jc w:val="center"/>
              <w:rPr>
                <w:rFonts w:hint="default" w:ascii="Times New Roman" w:hAnsi="Times New Roman" w:cs="Times New Roman"/>
                <w:sz w:val="18"/>
                <w:szCs w:val="18"/>
                <w:lang w:val="en-US" w:eastAsia="zh-CN"/>
              </w:rPr>
            </w:pPr>
          </w:p>
        </w:tc>
        <w:tc>
          <w:tcPr>
            <w:tcW w:w="1284" w:type="dxa"/>
            <w:vAlign w:val="center"/>
          </w:tcPr>
          <w:p w14:paraId="31789583">
            <w:pPr>
              <w:widowControl/>
              <w:spacing w:after="0" w:line="240" w:lineRule="auto"/>
              <w:jc w:val="center"/>
              <w:rPr>
                <w:rFonts w:hint="default" w:ascii="Times New Roman" w:hAnsi="Times New Roman" w:cs="Times New Roman"/>
                <w:sz w:val="18"/>
                <w:szCs w:val="18"/>
              </w:rPr>
            </w:pPr>
          </w:p>
        </w:tc>
      </w:tr>
      <w:tr w14:paraId="64F84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442" w:type="dxa"/>
            <w:shd w:val="clear" w:color="auto" w:fill="auto"/>
            <w:vAlign w:val="center"/>
          </w:tcPr>
          <w:p w14:paraId="13706834">
            <w:pPr>
              <w:spacing w:after="0" w:line="300" w:lineRule="auto"/>
              <w:jc w:val="center"/>
              <w:rPr>
                <w:rFonts w:hint="default" w:asciiTheme="minorHAnsi" w:hAnsiTheme="minorHAnsi" w:eastAsiaTheme="minorEastAsia" w:cstheme="minorBidi"/>
                <w:sz w:val="22"/>
                <w:szCs w:val="22"/>
                <w:highlight w:val="none"/>
                <w:lang w:val="en-US" w:eastAsia="zh-CN" w:bidi="ar-SA"/>
              </w:rPr>
            </w:pPr>
            <w:r>
              <w:rPr>
                <w:rFonts w:hint="default" w:ascii="Times New Roman" w:hAnsi="Times New Roman" w:eastAsia="宋体" w:cs="Times New Roman"/>
                <w:kern w:val="2"/>
                <w:sz w:val="18"/>
                <w:szCs w:val="18"/>
                <w:highlight w:val="none"/>
                <w:lang w:eastAsia="zh-CN"/>
              </w:rPr>
              <w:t>生产阶段</w:t>
            </w:r>
          </w:p>
        </w:tc>
        <w:tc>
          <w:tcPr>
            <w:tcW w:w="1298" w:type="dxa"/>
            <w:vAlign w:val="center"/>
          </w:tcPr>
          <w:p w14:paraId="03B6034F">
            <w:pPr>
              <w:widowControl/>
              <w:spacing w:after="0" w:line="240" w:lineRule="auto"/>
              <w:jc w:val="center"/>
              <w:rPr>
                <w:rFonts w:hint="eastAsia" w:ascii="Times New Roman" w:hAnsi="Times New Roman" w:cs="Times New Roman"/>
                <w:sz w:val="18"/>
                <w:szCs w:val="18"/>
                <w:lang w:val="en-US" w:eastAsia="zh-CN"/>
              </w:rPr>
            </w:pPr>
          </w:p>
        </w:tc>
        <w:tc>
          <w:tcPr>
            <w:tcW w:w="1610" w:type="dxa"/>
            <w:vAlign w:val="center"/>
          </w:tcPr>
          <w:p w14:paraId="37864861">
            <w:pPr>
              <w:widowControl/>
              <w:spacing w:after="0" w:line="240" w:lineRule="auto"/>
              <w:jc w:val="center"/>
              <w:rPr>
                <w:rFonts w:hint="default" w:ascii="Times New Roman" w:hAnsi="Times New Roman" w:cs="Times New Roman"/>
                <w:sz w:val="18"/>
                <w:szCs w:val="18"/>
              </w:rPr>
            </w:pPr>
          </w:p>
        </w:tc>
        <w:tc>
          <w:tcPr>
            <w:tcW w:w="1956" w:type="dxa"/>
            <w:vAlign w:val="center"/>
          </w:tcPr>
          <w:p w14:paraId="085563C1">
            <w:pPr>
              <w:widowControl/>
              <w:spacing w:after="0" w:line="240" w:lineRule="auto"/>
              <w:jc w:val="center"/>
              <w:rPr>
                <w:rFonts w:hint="default" w:ascii="Times New Roman" w:hAnsi="Times New Roman" w:cs="Times New Roman"/>
                <w:sz w:val="18"/>
                <w:szCs w:val="18"/>
                <w:lang w:val="en-US" w:eastAsia="zh-CN"/>
              </w:rPr>
            </w:pPr>
          </w:p>
        </w:tc>
        <w:tc>
          <w:tcPr>
            <w:tcW w:w="1284" w:type="dxa"/>
            <w:vAlign w:val="center"/>
          </w:tcPr>
          <w:p w14:paraId="5962BAB4">
            <w:pPr>
              <w:widowControl/>
              <w:spacing w:after="0" w:line="240" w:lineRule="auto"/>
              <w:jc w:val="center"/>
              <w:rPr>
                <w:rFonts w:hint="default" w:ascii="Times New Roman" w:hAnsi="Times New Roman" w:cs="Times New Roman"/>
                <w:sz w:val="18"/>
                <w:szCs w:val="18"/>
              </w:rPr>
            </w:pPr>
          </w:p>
        </w:tc>
      </w:tr>
      <w:tr w14:paraId="26727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2442" w:type="dxa"/>
            <w:shd w:val="clear" w:color="auto" w:fill="auto"/>
            <w:vAlign w:val="center"/>
          </w:tcPr>
          <w:p w14:paraId="4815B682">
            <w:pPr>
              <w:spacing w:after="0" w:line="300" w:lineRule="auto"/>
              <w:jc w:val="center"/>
              <w:rPr>
                <w:rFonts w:hint="eastAsia" w:asciiTheme="minorHAnsi" w:hAnsiTheme="minorHAnsi" w:eastAsiaTheme="minorEastAsia" w:cstheme="minorBidi"/>
                <w:sz w:val="22"/>
                <w:szCs w:val="22"/>
                <w:highlight w:val="none"/>
                <w:lang w:val="en-US" w:eastAsia="zh-CN" w:bidi="ar-SA"/>
              </w:rPr>
            </w:pPr>
            <w:r>
              <w:rPr>
                <w:rFonts w:hint="default" w:ascii="Times New Roman" w:hAnsi="Times New Roman" w:eastAsia="宋体" w:cs="Times New Roman"/>
                <w:kern w:val="2"/>
                <w:sz w:val="18"/>
                <w:szCs w:val="18"/>
                <w:highlight w:val="none"/>
                <w:lang w:eastAsia="zh-CN"/>
              </w:rPr>
              <w:t>使用阶段（适用时）</w:t>
            </w:r>
          </w:p>
        </w:tc>
        <w:tc>
          <w:tcPr>
            <w:tcW w:w="1298" w:type="dxa"/>
            <w:vAlign w:val="center"/>
          </w:tcPr>
          <w:p w14:paraId="0CCEA099">
            <w:pPr>
              <w:widowControl/>
              <w:spacing w:after="0" w:line="240" w:lineRule="auto"/>
              <w:jc w:val="center"/>
              <w:rPr>
                <w:rFonts w:hint="eastAsia" w:ascii="Times New Roman" w:hAnsi="Times New Roman" w:cs="Times New Roman"/>
                <w:sz w:val="18"/>
                <w:szCs w:val="18"/>
                <w:lang w:val="en-US" w:eastAsia="zh-CN"/>
              </w:rPr>
            </w:pPr>
          </w:p>
        </w:tc>
        <w:tc>
          <w:tcPr>
            <w:tcW w:w="1610" w:type="dxa"/>
            <w:vAlign w:val="center"/>
          </w:tcPr>
          <w:p w14:paraId="7339B92A">
            <w:pPr>
              <w:widowControl/>
              <w:spacing w:after="0" w:line="240" w:lineRule="auto"/>
              <w:jc w:val="center"/>
              <w:rPr>
                <w:rFonts w:hint="default" w:ascii="Times New Roman" w:hAnsi="Times New Roman" w:cs="Times New Roman"/>
                <w:sz w:val="18"/>
                <w:szCs w:val="18"/>
              </w:rPr>
            </w:pPr>
          </w:p>
        </w:tc>
        <w:tc>
          <w:tcPr>
            <w:tcW w:w="1956" w:type="dxa"/>
            <w:vAlign w:val="center"/>
          </w:tcPr>
          <w:p w14:paraId="6FDCB03C">
            <w:pPr>
              <w:widowControl/>
              <w:spacing w:after="0" w:line="240" w:lineRule="auto"/>
              <w:jc w:val="center"/>
              <w:rPr>
                <w:rFonts w:hint="default" w:ascii="Times New Roman" w:hAnsi="Times New Roman" w:cs="Times New Roman"/>
                <w:sz w:val="18"/>
                <w:szCs w:val="18"/>
                <w:lang w:val="en-US" w:eastAsia="zh-CN"/>
              </w:rPr>
            </w:pPr>
          </w:p>
        </w:tc>
        <w:tc>
          <w:tcPr>
            <w:tcW w:w="1284" w:type="dxa"/>
            <w:vAlign w:val="center"/>
          </w:tcPr>
          <w:p w14:paraId="6A915A68">
            <w:pPr>
              <w:widowControl/>
              <w:spacing w:after="0" w:line="240" w:lineRule="auto"/>
              <w:jc w:val="center"/>
              <w:rPr>
                <w:rFonts w:hint="default" w:ascii="Times New Roman" w:hAnsi="Times New Roman" w:cs="Times New Roman"/>
                <w:sz w:val="18"/>
                <w:szCs w:val="18"/>
              </w:rPr>
            </w:pPr>
          </w:p>
        </w:tc>
      </w:tr>
      <w:tr w14:paraId="51592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2442" w:type="dxa"/>
            <w:shd w:val="clear" w:color="auto" w:fill="auto"/>
            <w:vAlign w:val="center"/>
          </w:tcPr>
          <w:p w14:paraId="54A946AB">
            <w:pPr>
              <w:spacing w:after="0" w:line="300" w:lineRule="auto"/>
              <w:jc w:val="center"/>
              <w:rPr>
                <w:rFonts w:hint="eastAsia" w:asciiTheme="minorHAnsi" w:hAnsiTheme="minorHAnsi" w:eastAsiaTheme="minorEastAsia" w:cstheme="minorBidi"/>
                <w:sz w:val="22"/>
                <w:szCs w:val="22"/>
                <w:highlight w:val="none"/>
                <w:lang w:val="en-US" w:eastAsia="zh-CN" w:bidi="ar-SA"/>
              </w:rPr>
            </w:pPr>
            <w:r>
              <w:rPr>
                <w:rFonts w:hint="default" w:ascii="Times New Roman" w:hAnsi="Times New Roman" w:eastAsia="宋体" w:cs="Times New Roman"/>
                <w:kern w:val="2"/>
                <w:sz w:val="18"/>
                <w:szCs w:val="18"/>
                <w:highlight w:val="none"/>
                <w:lang w:eastAsia="zh-CN"/>
              </w:rPr>
              <w:t>生命末期阶段（适用时）</w:t>
            </w:r>
          </w:p>
        </w:tc>
        <w:tc>
          <w:tcPr>
            <w:tcW w:w="1298" w:type="dxa"/>
            <w:vAlign w:val="center"/>
          </w:tcPr>
          <w:p w14:paraId="33CF96E9">
            <w:pPr>
              <w:widowControl/>
              <w:spacing w:after="0" w:line="240" w:lineRule="auto"/>
              <w:jc w:val="center"/>
              <w:rPr>
                <w:rFonts w:hint="eastAsia" w:ascii="Times New Roman" w:hAnsi="Times New Roman" w:cs="Times New Roman"/>
                <w:sz w:val="18"/>
                <w:szCs w:val="18"/>
                <w:lang w:val="en-US" w:eastAsia="zh-CN"/>
              </w:rPr>
            </w:pPr>
          </w:p>
        </w:tc>
        <w:tc>
          <w:tcPr>
            <w:tcW w:w="1610" w:type="dxa"/>
            <w:vAlign w:val="center"/>
          </w:tcPr>
          <w:p w14:paraId="14D97387">
            <w:pPr>
              <w:widowControl/>
              <w:spacing w:after="0" w:line="240" w:lineRule="auto"/>
              <w:jc w:val="center"/>
              <w:rPr>
                <w:rFonts w:hint="default" w:ascii="Times New Roman" w:hAnsi="Times New Roman" w:cs="Times New Roman"/>
                <w:sz w:val="18"/>
                <w:szCs w:val="18"/>
              </w:rPr>
            </w:pPr>
          </w:p>
        </w:tc>
        <w:tc>
          <w:tcPr>
            <w:tcW w:w="1956" w:type="dxa"/>
            <w:vAlign w:val="center"/>
          </w:tcPr>
          <w:p w14:paraId="3A528157">
            <w:pPr>
              <w:widowControl/>
              <w:spacing w:after="0" w:line="240" w:lineRule="auto"/>
              <w:jc w:val="center"/>
              <w:rPr>
                <w:rFonts w:hint="default" w:ascii="Times New Roman" w:hAnsi="Times New Roman" w:cs="Times New Roman"/>
                <w:sz w:val="18"/>
                <w:szCs w:val="18"/>
                <w:lang w:val="en-US" w:eastAsia="zh-CN"/>
              </w:rPr>
            </w:pPr>
          </w:p>
        </w:tc>
        <w:tc>
          <w:tcPr>
            <w:tcW w:w="1284" w:type="dxa"/>
            <w:vAlign w:val="center"/>
          </w:tcPr>
          <w:p w14:paraId="55ABFBBF">
            <w:pPr>
              <w:widowControl/>
              <w:spacing w:after="0" w:line="240" w:lineRule="auto"/>
              <w:jc w:val="center"/>
              <w:rPr>
                <w:rFonts w:hint="default" w:ascii="Times New Roman" w:hAnsi="Times New Roman" w:cs="Times New Roman"/>
                <w:sz w:val="18"/>
                <w:szCs w:val="18"/>
              </w:rPr>
            </w:pPr>
          </w:p>
        </w:tc>
      </w:tr>
    </w:tbl>
    <w:p w14:paraId="7C79F298">
      <w:pPr>
        <w:adjustRightInd w:val="0"/>
        <w:snapToGrid w:val="0"/>
        <w:spacing w:after="0" w:line="360" w:lineRule="auto"/>
        <w:jc w:val="both"/>
        <w:rPr>
          <w:rFonts w:hint="default" w:ascii="Times New Roman" w:hAnsi="Times New Roman" w:eastAsia="黑体" w:cs="Times New Roman"/>
          <w:kern w:val="2"/>
          <w:sz w:val="18"/>
          <w:szCs w:val="18"/>
          <w:lang w:eastAsia="zh-CN"/>
        </w:rPr>
      </w:pPr>
    </w:p>
    <w:p w14:paraId="09A94B1C">
      <w:pPr>
        <w:adjustRightInd w:val="0"/>
        <w:snapToGrid w:val="0"/>
        <w:spacing w:before="120" w:beforeLines="50" w:after="120" w:afterLines="50" w:line="24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4.数据质量评价</w:t>
      </w:r>
    </w:p>
    <w:p w14:paraId="55CA113D">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数据质量可从定性和定量两个方面对报告使用的初级数据和次级数据进行评价，具体评价内容包括：数据来源、完整性、数据代表性（时间、地理、技术）和准确性。</w:t>
      </w:r>
    </w:p>
    <w:p w14:paraId="17AFABEF">
      <w:pPr>
        <w:spacing w:before="240" w:beforeLines="100" w:after="240" w:afterLines="100" w:line="240" w:lineRule="auto"/>
        <w:rPr>
          <w:rFonts w:hint="default" w:ascii="Times New Roman" w:hAnsi="Times New Roman" w:eastAsia="黑体" w:cs="Times New Roman"/>
          <w:bCs/>
          <w:sz w:val="21"/>
          <w:szCs w:val="21"/>
          <w:lang w:eastAsia="zh-CN"/>
        </w:rPr>
      </w:pPr>
      <w:r>
        <w:rPr>
          <w:rFonts w:hint="default" w:ascii="Times New Roman" w:hAnsi="Times New Roman" w:eastAsia="黑体" w:cs="Times New Roman"/>
          <w:bCs/>
          <w:sz w:val="21"/>
          <w:szCs w:val="21"/>
          <w:lang w:eastAsia="zh-CN"/>
        </w:rPr>
        <w:t>五、影响评价</w:t>
      </w:r>
    </w:p>
    <w:p w14:paraId="33A8C192">
      <w:pPr>
        <w:adjustRightInd w:val="0"/>
        <w:snapToGrid w:val="0"/>
        <w:spacing w:before="120" w:beforeLines="50" w:after="120" w:afterLines="50" w:line="24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1.影响类型和特征化因子选择</w:t>
      </w:r>
    </w:p>
    <w:p w14:paraId="6118ABE5">
      <w:pPr>
        <w:adjustRightInd w:val="0"/>
        <w:snapToGrid w:val="0"/>
        <w:spacing w:after="0" w:line="360" w:lineRule="auto"/>
        <w:ind w:firstLine="420" w:firstLineChars="200"/>
        <w:jc w:val="both"/>
        <w:rPr>
          <w:rFonts w:hint="default" w:ascii="Times New Roman" w:hAnsi="Times New Roman" w:eastAsia="宋体" w:cs="Times New Roman"/>
          <w:kern w:val="2"/>
          <w:sz w:val="21"/>
          <w:szCs w:val="21"/>
          <w:lang w:eastAsia="zh-CN"/>
        </w:rPr>
      </w:pPr>
      <w:r>
        <w:rPr>
          <w:rFonts w:hint="default" w:ascii="Times New Roman" w:hAnsi="Times New Roman" w:eastAsia="宋体" w:cs="Times New Roman"/>
          <w:kern w:val="2"/>
          <w:sz w:val="21"/>
          <w:szCs w:val="21"/>
          <w:lang w:eastAsia="zh-CN"/>
        </w:rPr>
        <w:t>一般选择联合国政府间气候变化专门委员会（IPCC）给出的100年全球变暖潜势（GWP）。</w:t>
      </w:r>
    </w:p>
    <w:p w14:paraId="7C7BA45B">
      <w:pPr>
        <w:adjustRightInd w:val="0"/>
        <w:snapToGrid w:val="0"/>
        <w:spacing w:before="120" w:beforeLines="50" w:after="120" w:afterLines="50" w:line="24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2.产品碳足迹结果计算</w:t>
      </w:r>
    </w:p>
    <w:p w14:paraId="30905C70">
      <w:pPr>
        <w:spacing w:before="240" w:beforeLines="100" w:after="240" w:afterLines="100" w:line="240" w:lineRule="auto"/>
        <w:rPr>
          <w:rFonts w:hint="default" w:ascii="Times New Roman" w:hAnsi="Times New Roman" w:eastAsia="黑体" w:cs="Times New Roman"/>
          <w:bCs/>
          <w:sz w:val="21"/>
          <w:szCs w:val="21"/>
          <w:lang w:eastAsia="zh-CN"/>
        </w:rPr>
      </w:pPr>
      <w:r>
        <w:rPr>
          <w:rFonts w:hint="default" w:ascii="Times New Roman" w:hAnsi="Times New Roman" w:eastAsia="黑体" w:cs="Times New Roman"/>
          <w:bCs/>
          <w:sz w:val="21"/>
          <w:szCs w:val="21"/>
          <w:lang w:eastAsia="zh-CN"/>
        </w:rPr>
        <w:t>六、结果解释</w:t>
      </w:r>
    </w:p>
    <w:p w14:paraId="319D520B">
      <w:pPr>
        <w:adjustRightInd w:val="0"/>
        <w:snapToGrid w:val="0"/>
        <w:spacing w:before="120" w:beforeLines="50" w:after="120" w:afterLines="50" w:line="24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1.结果说明</w:t>
      </w:r>
    </w:p>
    <w:p w14:paraId="611318A6">
      <w:pPr>
        <w:spacing w:after="0" w:line="360" w:lineRule="auto"/>
        <w:ind w:firstLine="440" w:firstLineChars="200"/>
        <w:rPr>
          <w:rFonts w:hint="default" w:ascii="Times New Roman" w:hAnsi="Times New Roman" w:cs="Times New Roman"/>
          <w:szCs w:val="24"/>
          <w:lang w:eastAsia="zh-CN"/>
        </w:rPr>
      </w:pPr>
      <w:r>
        <w:rPr>
          <w:rFonts w:hint="default" w:ascii="Times New Roman" w:hAnsi="Times New Roman" w:cs="Times New Roman"/>
          <w:szCs w:val="24"/>
          <w:u w:val="single"/>
          <w:lang w:eastAsia="zh-CN"/>
        </w:rPr>
        <w:t xml:space="preserve">         </w:t>
      </w:r>
      <w:r>
        <w:rPr>
          <w:rFonts w:hint="default" w:ascii="Times New Roman" w:hAnsi="Times New Roman" w:cs="Times New Roman"/>
          <w:szCs w:val="24"/>
          <w:lang w:eastAsia="zh-CN"/>
        </w:rPr>
        <w:t>公司生产的</w:t>
      </w:r>
      <w:r>
        <w:rPr>
          <w:rFonts w:hint="default" w:ascii="Times New Roman" w:hAnsi="Times New Roman" w:cs="Times New Roman"/>
          <w:szCs w:val="24"/>
          <w:u w:val="single"/>
          <w:lang w:eastAsia="zh-CN"/>
        </w:rPr>
        <w:t xml:space="preserve">            </w:t>
      </w:r>
      <w:r>
        <w:rPr>
          <w:rFonts w:hint="default" w:ascii="Times New Roman" w:hAnsi="Times New Roman" w:cs="Times New Roman"/>
          <w:szCs w:val="24"/>
          <w:lang w:eastAsia="zh-CN"/>
        </w:rPr>
        <w:t>（填写所评价的产品名称），从</w:t>
      </w:r>
      <w:r>
        <w:rPr>
          <w:rFonts w:hint="default" w:ascii="Times New Roman" w:hAnsi="Times New Roman" w:cs="Times New Roman"/>
          <w:szCs w:val="24"/>
          <w:u w:val="single"/>
          <w:lang w:eastAsia="zh-CN"/>
        </w:rPr>
        <w:t xml:space="preserve">           </w:t>
      </w:r>
      <w:r>
        <w:rPr>
          <w:rFonts w:hint="default" w:ascii="Times New Roman" w:hAnsi="Times New Roman" w:cs="Times New Roman"/>
          <w:szCs w:val="24"/>
          <w:lang w:eastAsia="zh-CN"/>
        </w:rPr>
        <w:t>（</w:t>
      </w:r>
    </w:p>
    <w:p w14:paraId="47A91C66">
      <w:pPr>
        <w:spacing w:after="0" w:line="360" w:lineRule="auto"/>
        <w:rPr>
          <w:rFonts w:hint="default" w:ascii="Times New Roman" w:hAnsi="Times New Roman" w:cs="Times New Roman"/>
          <w:szCs w:val="24"/>
          <w:u w:val="single"/>
          <w:lang w:eastAsia="zh-CN"/>
        </w:rPr>
      </w:pPr>
      <w:r>
        <w:rPr>
          <w:rFonts w:hint="default" w:ascii="Times New Roman" w:hAnsi="Times New Roman" w:cs="Times New Roman"/>
          <w:szCs w:val="24"/>
          <w:lang w:eastAsia="zh-CN"/>
        </w:rPr>
        <w:t>填写某生命周期阶段）到</w:t>
      </w:r>
      <w:r>
        <w:rPr>
          <w:rFonts w:hint="default" w:ascii="Times New Roman" w:hAnsi="Times New Roman" w:cs="Times New Roman"/>
          <w:szCs w:val="24"/>
          <w:u w:val="single"/>
          <w:lang w:eastAsia="zh-CN"/>
        </w:rPr>
        <w:t xml:space="preserve">             </w:t>
      </w:r>
      <w:r>
        <w:rPr>
          <w:rFonts w:hint="default" w:ascii="Times New Roman" w:hAnsi="Times New Roman" w:cs="Times New Roman"/>
          <w:szCs w:val="24"/>
          <w:lang w:eastAsia="zh-CN"/>
        </w:rPr>
        <w:t>（填写某生命周期阶段）生命周期碳足迹为</w:t>
      </w:r>
      <w:r>
        <w:rPr>
          <w:rFonts w:hint="default" w:ascii="Times New Roman" w:hAnsi="Times New Roman" w:cs="Times New Roman"/>
          <w:szCs w:val="24"/>
          <w:u w:val="single"/>
          <w:lang w:eastAsia="zh-CN"/>
        </w:rPr>
        <w:t xml:space="preserve">  </w:t>
      </w:r>
    </w:p>
    <w:p w14:paraId="0A02C94B">
      <w:pPr>
        <w:spacing w:after="0" w:line="360" w:lineRule="auto"/>
        <w:rPr>
          <w:rFonts w:hint="default" w:ascii="Times New Roman" w:hAnsi="Times New Roman" w:cs="Times New Roman"/>
          <w:szCs w:val="24"/>
          <w:lang w:eastAsia="zh-CN"/>
        </w:rPr>
      </w:pPr>
      <w:r>
        <w:rPr>
          <w:rFonts w:hint="default" w:ascii="Times New Roman" w:hAnsi="Times New Roman" w:cs="Times New Roman"/>
          <w:szCs w:val="24"/>
          <w:u w:val="single"/>
          <w:lang w:eastAsia="zh-CN"/>
        </w:rPr>
        <w:t xml:space="preserve">         </w:t>
      </w:r>
      <w:r>
        <w:rPr>
          <w:rFonts w:hint="default" w:ascii="Times New Roman" w:hAnsi="Times New Roman" w:cs="Times New Roman"/>
          <w:szCs w:val="24"/>
          <w:lang w:eastAsia="zh-CN"/>
        </w:rPr>
        <w:t>_tCO</w:t>
      </w:r>
      <w:r>
        <w:rPr>
          <w:rFonts w:hint="default" w:ascii="Times New Roman" w:hAnsi="Times New Roman" w:cs="Times New Roman"/>
          <w:szCs w:val="24"/>
          <w:vertAlign w:val="subscript"/>
          <w:lang w:eastAsia="zh-CN"/>
        </w:rPr>
        <w:t>2</w:t>
      </w:r>
      <w:r>
        <w:rPr>
          <w:rFonts w:hint="default" w:ascii="Times New Roman" w:hAnsi="Times New Roman" w:cs="Times New Roman"/>
          <w:szCs w:val="24"/>
          <w:lang w:eastAsia="zh-CN"/>
        </w:rPr>
        <w:t>e/t</w:t>
      </w:r>
      <w:r>
        <w:rPr>
          <w:rFonts w:hint="eastAsia" w:ascii="Times New Roman" w:hAnsi="Times New Roman" w:cs="Times New Roman"/>
          <w:szCs w:val="24"/>
          <w:lang w:eastAsia="zh-CN"/>
        </w:rPr>
        <w:t>。</w:t>
      </w:r>
      <w:r>
        <w:rPr>
          <w:rFonts w:hint="default" w:ascii="Times New Roman" w:hAnsi="Times New Roman" w:cs="Times New Roman"/>
          <w:szCs w:val="24"/>
          <w:lang w:eastAsia="zh-CN"/>
        </w:rPr>
        <w:t>各生命周期阶段的温室气体排放情况见表</w:t>
      </w:r>
      <w:r>
        <w:rPr>
          <w:rFonts w:hint="eastAsia" w:ascii="Times New Roman" w:hAnsi="Times New Roman" w:cs="Times New Roman"/>
          <w:szCs w:val="24"/>
          <w:lang w:val="en-US" w:eastAsia="zh-CN"/>
        </w:rPr>
        <w:t>D</w:t>
      </w:r>
      <w:r>
        <w:rPr>
          <w:rFonts w:hint="default" w:ascii="Times New Roman" w:hAnsi="Times New Roman" w:cs="Times New Roman"/>
          <w:szCs w:val="24"/>
          <w:lang w:eastAsia="zh-CN"/>
        </w:rPr>
        <w:t>.2。</w:t>
      </w:r>
    </w:p>
    <w:p w14:paraId="79282914">
      <w:pPr>
        <w:adjustRightInd w:val="0"/>
        <w:snapToGrid w:val="0"/>
        <w:spacing w:after="0" w:line="360" w:lineRule="auto"/>
        <w:jc w:val="center"/>
        <w:rPr>
          <w:rFonts w:hint="default" w:ascii="Times New Roman" w:hAnsi="Times New Roman" w:eastAsia="黑体" w:cs="Times New Roman"/>
          <w:kern w:val="2"/>
          <w:sz w:val="18"/>
          <w:szCs w:val="18"/>
          <w:lang w:eastAsia="zh-CN"/>
        </w:rPr>
      </w:pPr>
      <w:r>
        <w:rPr>
          <w:rFonts w:hint="default" w:ascii="Times New Roman" w:hAnsi="Times New Roman" w:eastAsia="黑体" w:cs="Times New Roman"/>
          <w:kern w:val="2"/>
          <w:sz w:val="18"/>
          <w:szCs w:val="18"/>
          <w:lang w:eastAsia="zh-CN"/>
        </w:rPr>
        <w:t>表</w:t>
      </w:r>
      <w:r>
        <w:rPr>
          <w:rFonts w:hint="eastAsia" w:ascii="Times New Roman" w:hAnsi="Times New Roman" w:eastAsia="黑体" w:cs="Times New Roman"/>
          <w:kern w:val="2"/>
          <w:sz w:val="18"/>
          <w:szCs w:val="18"/>
          <w:lang w:val="en-US" w:eastAsia="zh-CN"/>
        </w:rPr>
        <w:t>D</w:t>
      </w:r>
      <w:r>
        <w:rPr>
          <w:rFonts w:hint="default" w:ascii="Times New Roman" w:hAnsi="Times New Roman" w:eastAsia="黑体" w:cs="Times New Roman"/>
          <w:kern w:val="2"/>
          <w:sz w:val="18"/>
          <w:szCs w:val="18"/>
          <w:lang w:eastAsia="zh-CN"/>
        </w:rPr>
        <w:t>.2 产品生命周期各阶段碳排放情况</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0"/>
        <w:gridCol w:w="2410"/>
        <w:gridCol w:w="1701"/>
        <w:gridCol w:w="1355"/>
      </w:tblGrid>
      <w:tr w14:paraId="6C74B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2830" w:type="dxa"/>
            <w:vAlign w:val="center"/>
          </w:tcPr>
          <w:p w14:paraId="700CC0F0">
            <w:pPr>
              <w:spacing w:after="0" w:line="240" w:lineRule="auto"/>
              <w:jc w:val="center"/>
              <w:rPr>
                <w:rFonts w:hint="default" w:ascii="Times New Roman" w:hAnsi="Times New Roman" w:cs="Times New Roman"/>
                <w:sz w:val="18"/>
                <w:szCs w:val="21"/>
              </w:rPr>
            </w:pPr>
            <w:r>
              <w:rPr>
                <w:rFonts w:hint="default" w:ascii="Times New Roman" w:hAnsi="Times New Roman" w:cs="Times New Roman"/>
                <w:sz w:val="18"/>
                <w:szCs w:val="21"/>
              </w:rPr>
              <w:t>生命周期阶段</w:t>
            </w:r>
          </w:p>
        </w:tc>
        <w:tc>
          <w:tcPr>
            <w:tcW w:w="2410" w:type="dxa"/>
            <w:vAlign w:val="center"/>
          </w:tcPr>
          <w:p w14:paraId="2C1CB79B">
            <w:pPr>
              <w:spacing w:after="0" w:line="240" w:lineRule="auto"/>
              <w:jc w:val="center"/>
              <w:rPr>
                <w:rFonts w:hint="default" w:ascii="Times New Roman" w:hAnsi="Times New Roman" w:cs="Times New Roman"/>
                <w:sz w:val="18"/>
                <w:szCs w:val="21"/>
              </w:rPr>
            </w:pPr>
            <w:r>
              <w:rPr>
                <w:rFonts w:hint="default" w:ascii="Times New Roman" w:hAnsi="Times New Roman" w:cs="Times New Roman"/>
                <w:sz w:val="18"/>
                <w:szCs w:val="21"/>
              </w:rPr>
              <w:t>碳足迹/（t CO</w:t>
            </w:r>
            <w:r>
              <w:rPr>
                <w:rFonts w:hint="default" w:ascii="Times New Roman" w:hAnsi="Times New Roman" w:cs="Times New Roman"/>
                <w:sz w:val="18"/>
                <w:szCs w:val="21"/>
                <w:vertAlign w:val="subscript"/>
              </w:rPr>
              <w:t>2</w:t>
            </w:r>
            <w:r>
              <w:rPr>
                <w:rFonts w:hint="default" w:ascii="Times New Roman" w:hAnsi="Times New Roman" w:cs="Times New Roman"/>
                <w:sz w:val="18"/>
                <w:szCs w:val="21"/>
              </w:rPr>
              <w:t>e/</w:t>
            </w:r>
            <w:r>
              <w:rPr>
                <w:rFonts w:hint="default" w:ascii="Times New Roman" w:hAnsi="Times New Roman" w:cs="Times New Roman"/>
                <w:sz w:val="18"/>
                <w:szCs w:val="21"/>
                <w:lang w:val="en-US" w:eastAsia="zh-CN"/>
              </w:rPr>
              <w:t>声明单位</w:t>
            </w:r>
            <w:r>
              <w:rPr>
                <w:rFonts w:hint="default" w:ascii="Times New Roman" w:hAnsi="Times New Roman" w:cs="Times New Roman"/>
                <w:sz w:val="18"/>
                <w:szCs w:val="21"/>
              </w:rPr>
              <w:t>）</w:t>
            </w:r>
          </w:p>
        </w:tc>
        <w:tc>
          <w:tcPr>
            <w:tcW w:w="1701" w:type="dxa"/>
            <w:vAlign w:val="center"/>
          </w:tcPr>
          <w:p w14:paraId="2AB4121B">
            <w:pPr>
              <w:spacing w:after="0" w:line="240" w:lineRule="auto"/>
              <w:jc w:val="center"/>
              <w:rPr>
                <w:rFonts w:hint="default" w:ascii="Times New Roman" w:hAnsi="Times New Roman" w:cs="Times New Roman"/>
                <w:sz w:val="18"/>
                <w:szCs w:val="21"/>
              </w:rPr>
            </w:pPr>
            <w:r>
              <w:rPr>
                <w:rFonts w:hint="default" w:ascii="Times New Roman" w:hAnsi="Times New Roman" w:cs="Times New Roman"/>
                <w:sz w:val="18"/>
                <w:szCs w:val="21"/>
              </w:rPr>
              <w:t>占比/%</w:t>
            </w:r>
          </w:p>
        </w:tc>
        <w:tc>
          <w:tcPr>
            <w:tcW w:w="1355" w:type="dxa"/>
            <w:vAlign w:val="center"/>
          </w:tcPr>
          <w:p w14:paraId="0BFDA9B0">
            <w:pPr>
              <w:spacing w:after="0" w:line="240" w:lineRule="auto"/>
              <w:jc w:val="center"/>
              <w:rPr>
                <w:rFonts w:hint="default" w:ascii="Times New Roman" w:hAnsi="Times New Roman" w:cs="Times New Roman"/>
                <w:sz w:val="18"/>
                <w:szCs w:val="21"/>
              </w:rPr>
            </w:pPr>
            <w:r>
              <w:rPr>
                <w:rFonts w:hint="default" w:ascii="Times New Roman" w:hAnsi="Times New Roman" w:cs="Times New Roman"/>
                <w:sz w:val="18"/>
                <w:szCs w:val="21"/>
              </w:rPr>
              <w:t>备注</w:t>
            </w:r>
          </w:p>
        </w:tc>
      </w:tr>
      <w:tr w14:paraId="4F62E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830" w:type="dxa"/>
            <w:shd w:val="clear" w:color="auto" w:fill="auto"/>
            <w:vAlign w:val="center"/>
          </w:tcPr>
          <w:p w14:paraId="2F01F355">
            <w:pPr>
              <w:spacing w:after="0" w:line="300" w:lineRule="auto"/>
              <w:jc w:val="center"/>
              <w:rPr>
                <w:rFonts w:hint="default" w:asciiTheme="minorHAnsi" w:hAnsiTheme="minorHAnsi" w:eastAsiaTheme="minorEastAsia" w:cstheme="minorBidi"/>
                <w:sz w:val="22"/>
                <w:szCs w:val="22"/>
                <w:highlight w:val="none"/>
                <w:lang w:val="en-US" w:eastAsia="zh-CN" w:bidi="ar-SA"/>
              </w:rPr>
            </w:pPr>
            <w:r>
              <w:rPr>
                <w:rFonts w:hint="default" w:ascii="Times New Roman" w:hAnsi="Times New Roman" w:eastAsia="宋体" w:cs="Times New Roman"/>
                <w:kern w:val="2"/>
                <w:sz w:val="18"/>
                <w:szCs w:val="18"/>
                <w:highlight w:val="none"/>
                <w:lang w:eastAsia="zh-CN"/>
              </w:rPr>
              <w:t>原辅材料获取及加工阶段</w:t>
            </w:r>
          </w:p>
        </w:tc>
        <w:tc>
          <w:tcPr>
            <w:tcW w:w="2410" w:type="dxa"/>
            <w:vAlign w:val="center"/>
          </w:tcPr>
          <w:p w14:paraId="5CF17A00">
            <w:pPr>
              <w:spacing w:after="0" w:line="240" w:lineRule="auto"/>
              <w:jc w:val="center"/>
              <w:rPr>
                <w:rFonts w:hint="default" w:ascii="Times New Roman" w:hAnsi="Times New Roman" w:cs="Times New Roman"/>
                <w:sz w:val="18"/>
                <w:szCs w:val="21"/>
              </w:rPr>
            </w:pPr>
          </w:p>
        </w:tc>
        <w:tc>
          <w:tcPr>
            <w:tcW w:w="1701" w:type="dxa"/>
            <w:vAlign w:val="center"/>
          </w:tcPr>
          <w:p w14:paraId="2DF34D89">
            <w:pPr>
              <w:spacing w:after="0" w:line="240" w:lineRule="auto"/>
              <w:jc w:val="center"/>
              <w:rPr>
                <w:rFonts w:hint="default" w:ascii="Times New Roman" w:hAnsi="Times New Roman" w:cs="Times New Roman"/>
                <w:sz w:val="18"/>
                <w:szCs w:val="21"/>
              </w:rPr>
            </w:pPr>
          </w:p>
        </w:tc>
        <w:tc>
          <w:tcPr>
            <w:tcW w:w="1355" w:type="dxa"/>
            <w:vAlign w:val="center"/>
          </w:tcPr>
          <w:p w14:paraId="719758F2">
            <w:pPr>
              <w:spacing w:after="0" w:line="240" w:lineRule="auto"/>
              <w:jc w:val="center"/>
              <w:rPr>
                <w:rFonts w:hint="default" w:ascii="Times New Roman" w:hAnsi="Times New Roman" w:cs="Times New Roman"/>
                <w:sz w:val="18"/>
                <w:szCs w:val="21"/>
              </w:rPr>
            </w:pPr>
          </w:p>
        </w:tc>
      </w:tr>
      <w:tr w14:paraId="4C8D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2830" w:type="dxa"/>
            <w:shd w:val="clear" w:color="auto" w:fill="auto"/>
            <w:vAlign w:val="center"/>
          </w:tcPr>
          <w:p w14:paraId="6DFE0768">
            <w:pPr>
              <w:spacing w:after="0" w:line="300" w:lineRule="auto"/>
              <w:jc w:val="center"/>
              <w:rPr>
                <w:rFonts w:hint="default" w:asciiTheme="minorHAnsi" w:hAnsiTheme="minorHAnsi" w:eastAsiaTheme="minorEastAsia" w:cstheme="minorBidi"/>
                <w:sz w:val="22"/>
                <w:szCs w:val="22"/>
                <w:highlight w:val="none"/>
                <w:lang w:val="en-US" w:eastAsia="zh-CN" w:bidi="ar-SA"/>
              </w:rPr>
            </w:pPr>
            <w:r>
              <w:rPr>
                <w:rFonts w:hint="default" w:ascii="Times New Roman" w:hAnsi="Times New Roman" w:eastAsia="宋体" w:cs="Times New Roman"/>
                <w:kern w:val="2"/>
                <w:sz w:val="18"/>
                <w:szCs w:val="18"/>
                <w:highlight w:val="none"/>
                <w:lang w:eastAsia="zh-CN"/>
              </w:rPr>
              <w:t>生产阶段</w:t>
            </w:r>
          </w:p>
        </w:tc>
        <w:tc>
          <w:tcPr>
            <w:tcW w:w="2410" w:type="dxa"/>
            <w:vAlign w:val="center"/>
          </w:tcPr>
          <w:p w14:paraId="019DB69B">
            <w:pPr>
              <w:spacing w:after="0" w:line="240" w:lineRule="auto"/>
              <w:jc w:val="center"/>
              <w:rPr>
                <w:rFonts w:hint="default" w:ascii="Times New Roman" w:hAnsi="Times New Roman" w:cs="Times New Roman"/>
                <w:sz w:val="18"/>
                <w:szCs w:val="21"/>
              </w:rPr>
            </w:pPr>
          </w:p>
        </w:tc>
        <w:tc>
          <w:tcPr>
            <w:tcW w:w="1701" w:type="dxa"/>
            <w:vAlign w:val="center"/>
          </w:tcPr>
          <w:p w14:paraId="6BF87D00">
            <w:pPr>
              <w:spacing w:after="0" w:line="240" w:lineRule="auto"/>
              <w:jc w:val="center"/>
              <w:rPr>
                <w:rFonts w:hint="default" w:ascii="Times New Roman" w:hAnsi="Times New Roman" w:cs="Times New Roman"/>
                <w:sz w:val="18"/>
                <w:szCs w:val="21"/>
              </w:rPr>
            </w:pPr>
          </w:p>
        </w:tc>
        <w:tc>
          <w:tcPr>
            <w:tcW w:w="1355" w:type="dxa"/>
            <w:vAlign w:val="center"/>
          </w:tcPr>
          <w:p w14:paraId="619684B1">
            <w:pPr>
              <w:spacing w:after="0" w:line="240" w:lineRule="auto"/>
              <w:jc w:val="center"/>
              <w:rPr>
                <w:rFonts w:hint="default" w:ascii="Times New Roman" w:hAnsi="Times New Roman" w:cs="Times New Roman"/>
                <w:sz w:val="18"/>
                <w:szCs w:val="21"/>
              </w:rPr>
            </w:pPr>
          </w:p>
        </w:tc>
      </w:tr>
      <w:tr w14:paraId="129EA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2830" w:type="dxa"/>
            <w:shd w:val="clear" w:color="auto" w:fill="auto"/>
            <w:vAlign w:val="center"/>
          </w:tcPr>
          <w:p w14:paraId="25155B9A">
            <w:pPr>
              <w:spacing w:after="0" w:line="300" w:lineRule="auto"/>
              <w:jc w:val="center"/>
              <w:rPr>
                <w:rFonts w:hint="default" w:asciiTheme="minorHAnsi" w:hAnsiTheme="minorHAnsi" w:eastAsiaTheme="minorEastAsia" w:cstheme="minorBidi"/>
                <w:sz w:val="22"/>
                <w:szCs w:val="22"/>
                <w:highlight w:val="none"/>
                <w:lang w:val="en-US" w:eastAsia="zh-CN" w:bidi="ar-SA"/>
              </w:rPr>
            </w:pPr>
            <w:r>
              <w:rPr>
                <w:rFonts w:hint="default" w:ascii="Times New Roman" w:hAnsi="Times New Roman" w:eastAsia="宋体" w:cs="Times New Roman"/>
                <w:kern w:val="2"/>
                <w:sz w:val="18"/>
                <w:szCs w:val="18"/>
                <w:highlight w:val="none"/>
                <w:lang w:eastAsia="zh-CN"/>
              </w:rPr>
              <w:t>使用阶段（适用时）</w:t>
            </w:r>
          </w:p>
        </w:tc>
        <w:tc>
          <w:tcPr>
            <w:tcW w:w="2410" w:type="dxa"/>
            <w:vAlign w:val="center"/>
          </w:tcPr>
          <w:p w14:paraId="05B9D6BB">
            <w:pPr>
              <w:spacing w:after="0" w:line="240" w:lineRule="auto"/>
              <w:jc w:val="center"/>
              <w:rPr>
                <w:rFonts w:hint="default" w:ascii="Times New Roman" w:hAnsi="Times New Roman" w:cs="Times New Roman"/>
                <w:sz w:val="18"/>
                <w:szCs w:val="21"/>
              </w:rPr>
            </w:pPr>
          </w:p>
        </w:tc>
        <w:tc>
          <w:tcPr>
            <w:tcW w:w="1701" w:type="dxa"/>
            <w:vAlign w:val="center"/>
          </w:tcPr>
          <w:p w14:paraId="0AB96B08">
            <w:pPr>
              <w:spacing w:after="0" w:line="240" w:lineRule="auto"/>
              <w:jc w:val="center"/>
              <w:rPr>
                <w:rFonts w:hint="default" w:ascii="Times New Roman" w:hAnsi="Times New Roman" w:cs="Times New Roman"/>
                <w:sz w:val="18"/>
                <w:szCs w:val="21"/>
              </w:rPr>
            </w:pPr>
          </w:p>
        </w:tc>
        <w:tc>
          <w:tcPr>
            <w:tcW w:w="1355" w:type="dxa"/>
            <w:vAlign w:val="center"/>
          </w:tcPr>
          <w:p w14:paraId="724B7132">
            <w:pPr>
              <w:spacing w:after="0" w:line="240" w:lineRule="auto"/>
              <w:jc w:val="center"/>
              <w:rPr>
                <w:rFonts w:hint="default" w:ascii="Times New Roman" w:hAnsi="Times New Roman" w:cs="Times New Roman"/>
                <w:sz w:val="18"/>
                <w:szCs w:val="21"/>
              </w:rPr>
            </w:pPr>
          </w:p>
        </w:tc>
      </w:tr>
      <w:tr w14:paraId="2C36E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830" w:type="dxa"/>
            <w:shd w:val="clear" w:color="auto" w:fill="auto"/>
            <w:vAlign w:val="center"/>
          </w:tcPr>
          <w:p w14:paraId="47EB7E83">
            <w:pPr>
              <w:spacing w:after="0" w:line="300" w:lineRule="auto"/>
              <w:jc w:val="center"/>
              <w:rPr>
                <w:rFonts w:hint="default" w:asciiTheme="minorHAnsi" w:hAnsiTheme="minorHAnsi" w:eastAsiaTheme="minorEastAsia" w:cstheme="minorBidi"/>
                <w:sz w:val="22"/>
                <w:szCs w:val="22"/>
                <w:highlight w:val="none"/>
                <w:lang w:val="en-US" w:eastAsia="zh-CN" w:bidi="ar-SA"/>
              </w:rPr>
            </w:pPr>
            <w:r>
              <w:rPr>
                <w:rFonts w:hint="default" w:ascii="Times New Roman" w:hAnsi="Times New Roman" w:eastAsia="宋体" w:cs="Times New Roman"/>
                <w:kern w:val="2"/>
                <w:sz w:val="18"/>
                <w:szCs w:val="18"/>
                <w:highlight w:val="none"/>
                <w:lang w:eastAsia="zh-CN"/>
              </w:rPr>
              <w:t>生命末期阶段（适用时）</w:t>
            </w:r>
          </w:p>
        </w:tc>
        <w:tc>
          <w:tcPr>
            <w:tcW w:w="2410" w:type="dxa"/>
            <w:vAlign w:val="center"/>
          </w:tcPr>
          <w:p w14:paraId="7F348EAB">
            <w:pPr>
              <w:spacing w:after="0" w:line="240" w:lineRule="auto"/>
              <w:jc w:val="center"/>
              <w:rPr>
                <w:rFonts w:hint="default" w:ascii="Times New Roman" w:hAnsi="Times New Roman" w:cs="Times New Roman"/>
                <w:sz w:val="18"/>
                <w:szCs w:val="21"/>
              </w:rPr>
            </w:pPr>
          </w:p>
        </w:tc>
        <w:tc>
          <w:tcPr>
            <w:tcW w:w="1701" w:type="dxa"/>
            <w:vAlign w:val="center"/>
          </w:tcPr>
          <w:p w14:paraId="7F683773">
            <w:pPr>
              <w:spacing w:after="0" w:line="240" w:lineRule="auto"/>
              <w:jc w:val="center"/>
              <w:rPr>
                <w:rFonts w:hint="default" w:ascii="Times New Roman" w:hAnsi="Times New Roman" w:cs="Times New Roman"/>
                <w:sz w:val="18"/>
                <w:szCs w:val="21"/>
              </w:rPr>
            </w:pPr>
          </w:p>
        </w:tc>
        <w:tc>
          <w:tcPr>
            <w:tcW w:w="1355" w:type="dxa"/>
            <w:vAlign w:val="center"/>
          </w:tcPr>
          <w:p w14:paraId="2FFAEF54">
            <w:pPr>
              <w:spacing w:after="0" w:line="240" w:lineRule="auto"/>
              <w:jc w:val="center"/>
              <w:rPr>
                <w:rFonts w:hint="default" w:ascii="Times New Roman" w:hAnsi="Times New Roman" w:cs="Times New Roman"/>
                <w:sz w:val="18"/>
                <w:szCs w:val="21"/>
              </w:rPr>
            </w:pPr>
          </w:p>
        </w:tc>
      </w:tr>
    </w:tbl>
    <w:p w14:paraId="380A638C">
      <w:pPr>
        <w:adjustRightInd w:val="0"/>
        <w:snapToGrid w:val="0"/>
        <w:spacing w:before="120" w:beforeLines="50" w:after="120" w:afterLines="50" w:line="240" w:lineRule="auto"/>
        <w:jc w:val="both"/>
        <w:rPr>
          <w:rFonts w:hint="default" w:ascii="Times New Roman" w:hAnsi="Times New Roman" w:eastAsia="黑体" w:cs="Times New Roman"/>
          <w:kern w:val="2"/>
          <w:sz w:val="21"/>
          <w:szCs w:val="24"/>
          <w:lang w:eastAsia="zh-CN"/>
        </w:rPr>
      </w:pPr>
    </w:p>
    <w:p w14:paraId="5032A77A">
      <w:pPr>
        <w:adjustRightInd w:val="0"/>
        <w:snapToGrid w:val="0"/>
        <w:spacing w:before="120" w:beforeLines="50" w:after="120" w:afterLines="50" w:line="24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2.假设和局限性说明（可选项）</w:t>
      </w:r>
    </w:p>
    <w:p w14:paraId="16D745D2">
      <w:pPr>
        <w:adjustRightInd w:val="0"/>
        <w:snapToGrid w:val="0"/>
        <w:spacing w:after="0" w:line="360" w:lineRule="auto"/>
        <w:ind w:firstLine="420" w:firstLineChars="200"/>
        <w:jc w:val="both"/>
        <w:rPr>
          <w:rFonts w:hint="default" w:ascii="Times New Roman" w:hAnsi="Times New Roman" w:cs="Times New Roman"/>
          <w:szCs w:val="24"/>
          <w:lang w:eastAsia="zh-CN"/>
        </w:rPr>
      </w:pPr>
      <w:r>
        <w:rPr>
          <w:rFonts w:hint="default" w:ascii="Times New Roman" w:hAnsi="Times New Roman" w:eastAsia="宋体" w:cs="Times New Roman"/>
          <w:kern w:val="2"/>
          <w:sz w:val="21"/>
          <w:szCs w:val="21"/>
          <w:lang w:eastAsia="zh-CN"/>
        </w:rPr>
        <w:t>结合量化情况，对范围、数据选择、情景设定等相关的假设和局限进行说明。</w:t>
      </w:r>
    </w:p>
    <w:p w14:paraId="10A42561">
      <w:pPr>
        <w:adjustRightInd w:val="0"/>
        <w:snapToGrid w:val="0"/>
        <w:spacing w:before="120" w:beforeLines="50" w:after="120" w:afterLines="50" w:line="240" w:lineRule="auto"/>
        <w:jc w:val="both"/>
        <w:rPr>
          <w:rFonts w:hint="default" w:ascii="Times New Roman" w:hAnsi="Times New Roman" w:eastAsia="黑体" w:cs="Times New Roman"/>
          <w:kern w:val="2"/>
          <w:sz w:val="21"/>
          <w:szCs w:val="24"/>
          <w:lang w:eastAsia="zh-CN"/>
        </w:rPr>
      </w:pPr>
      <w:r>
        <w:rPr>
          <w:rFonts w:hint="default" w:ascii="Times New Roman" w:hAnsi="Times New Roman" w:eastAsia="黑体" w:cs="Times New Roman"/>
          <w:kern w:val="2"/>
          <w:sz w:val="21"/>
          <w:szCs w:val="24"/>
          <w:lang w:eastAsia="zh-CN"/>
        </w:rPr>
        <w:t>3.改进建议</w:t>
      </w:r>
    </w:p>
    <w:p w14:paraId="621A9148">
      <w:pPr>
        <w:spacing w:line="240" w:lineRule="auto"/>
        <w:rPr>
          <w:rFonts w:hint="default" w:ascii="Times New Roman" w:hAnsi="Times New Roman" w:eastAsia="黑体" w:cs="Times New Roman"/>
          <w:szCs w:val="21"/>
          <w:lang w:eastAsia="zh-CN"/>
        </w:rPr>
      </w:pPr>
    </w:p>
    <w:p w14:paraId="4A45594E">
      <w:pPr>
        <w:spacing w:line="240" w:lineRule="auto"/>
        <w:rPr>
          <w:rFonts w:hint="default" w:ascii="Times New Roman" w:hAnsi="Times New Roman" w:eastAsia="黑体" w:cs="Times New Roman"/>
          <w:szCs w:val="21"/>
          <w:lang w:eastAsia="zh-CN"/>
        </w:rPr>
      </w:pPr>
    </w:p>
    <w:p w14:paraId="4362134A">
      <w:pPr>
        <w:spacing w:line="240" w:lineRule="auto"/>
        <w:jc w:val="center"/>
        <w:rPr>
          <w:rFonts w:hint="default" w:ascii="Times New Roman" w:hAnsi="Times New Roman" w:eastAsia="黑体" w:cs="Times New Roman"/>
          <w:szCs w:val="21"/>
          <w:lang w:eastAsia="zh-CN"/>
        </w:rPr>
      </w:pPr>
    </w:p>
    <w:p w14:paraId="41E97DF1">
      <w:pPr>
        <w:spacing w:line="240" w:lineRule="auto"/>
        <w:jc w:val="center"/>
        <w:rPr>
          <w:rFonts w:hint="default" w:ascii="Times New Roman" w:hAnsi="Times New Roman" w:eastAsia="黑体" w:cs="Times New Roman"/>
          <w:szCs w:val="21"/>
          <w:lang w:eastAsia="zh-CN"/>
        </w:rPr>
      </w:pPr>
    </w:p>
    <w:p w14:paraId="17F75D49">
      <w:pPr>
        <w:spacing w:line="240" w:lineRule="auto"/>
        <w:jc w:val="center"/>
        <w:rPr>
          <w:rFonts w:hint="default" w:ascii="Times New Roman" w:hAnsi="Times New Roman" w:eastAsia="黑体" w:cs="Times New Roman"/>
          <w:szCs w:val="21"/>
          <w:lang w:eastAsia="zh-CN"/>
        </w:rPr>
      </w:pPr>
    </w:p>
    <w:p w14:paraId="38CB01D3">
      <w:pPr>
        <w:spacing w:line="240" w:lineRule="auto"/>
        <w:jc w:val="center"/>
        <w:rPr>
          <w:rFonts w:hint="default" w:ascii="Times New Roman" w:hAnsi="Times New Roman" w:eastAsia="黑体" w:cs="Times New Roman"/>
          <w:szCs w:val="21"/>
          <w:lang w:eastAsia="zh-CN"/>
        </w:rPr>
      </w:pPr>
    </w:p>
    <w:p w14:paraId="246C397D">
      <w:pPr>
        <w:spacing w:line="240" w:lineRule="auto"/>
        <w:jc w:val="center"/>
        <w:rPr>
          <w:rFonts w:hint="default" w:ascii="Times New Roman" w:hAnsi="Times New Roman" w:eastAsia="黑体" w:cs="Times New Roman"/>
          <w:szCs w:val="21"/>
          <w:lang w:eastAsia="zh-CN"/>
        </w:rPr>
      </w:pPr>
    </w:p>
    <w:p w14:paraId="2D0A00BF">
      <w:pPr>
        <w:spacing w:line="240" w:lineRule="auto"/>
        <w:jc w:val="center"/>
        <w:rPr>
          <w:rFonts w:hint="default" w:ascii="Times New Roman" w:hAnsi="Times New Roman" w:eastAsia="黑体" w:cs="Times New Roman"/>
          <w:szCs w:val="21"/>
          <w:lang w:eastAsia="zh-CN"/>
        </w:rPr>
      </w:pPr>
    </w:p>
    <w:p w14:paraId="0406C29D">
      <w:pPr>
        <w:spacing w:line="240" w:lineRule="auto"/>
        <w:jc w:val="center"/>
        <w:rPr>
          <w:rFonts w:hint="default" w:ascii="Times New Roman" w:hAnsi="Times New Roman" w:eastAsia="黑体" w:cs="Times New Roman"/>
          <w:szCs w:val="21"/>
          <w:lang w:eastAsia="zh-CN"/>
        </w:rPr>
      </w:pPr>
    </w:p>
    <w:p w14:paraId="4791F457">
      <w:pPr>
        <w:spacing w:line="240" w:lineRule="auto"/>
        <w:jc w:val="center"/>
        <w:rPr>
          <w:rFonts w:hint="default" w:ascii="Times New Roman" w:hAnsi="Times New Roman" w:eastAsia="黑体" w:cs="Times New Roman"/>
          <w:szCs w:val="21"/>
          <w:lang w:eastAsia="zh-CN"/>
        </w:rPr>
      </w:pPr>
    </w:p>
    <w:p w14:paraId="7033BC68">
      <w:pPr>
        <w:spacing w:line="240" w:lineRule="auto"/>
        <w:jc w:val="center"/>
        <w:rPr>
          <w:rFonts w:hint="default" w:ascii="Times New Roman" w:hAnsi="Times New Roman" w:eastAsia="黑体" w:cs="Times New Roman"/>
          <w:szCs w:val="21"/>
          <w:lang w:eastAsia="zh-CN"/>
        </w:rPr>
      </w:pPr>
    </w:p>
    <w:p w14:paraId="49D221D7">
      <w:pPr>
        <w:spacing w:line="240" w:lineRule="auto"/>
        <w:jc w:val="center"/>
        <w:rPr>
          <w:rFonts w:hint="default" w:ascii="Times New Roman" w:hAnsi="Times New Roman" w:eastAsia="黑体" w:cs="Times New Roman"/>
          <w:szCs w:val="21"/>
          <w:lang w:eastAsia="zh-CN"/>
        </w:rPr>
      </w:pPr>
    </w:p>
    <w:p w14:paraId="089F733B">
      <w:pPr>
        <w:ind w:firstLine="420"/>
        <w:rPr>
          <w:rFonts w:hint="default" w:ascii="Times New Roman" w:hAnsi="Times New Roman" w:cs="Times New Roman"/>
          <w:lang w:eastAsia="zh-CN"/>
        </w:rPr>
      </w:pPr>
    </w:p>
    <w:p w14:paraId="7EF6DF06">
      <w:pPr>
        <w:adjustRightInd w:val="0"/>
        <w:snapToGrid w:val="0"/>
        <w:spacing w:after="0" w:line="360" w:lineRule="auto"/>
        <w:rPr>
          <w:rFonts w:hint="default" w:ascii="Times New Roman" w:hAnsi="Times New Roman" w:cs="Times New Roman"/>
          <w:kern w:val="2"/>
          <w:sz w:val="21"/>
          <w:szCs w:val="21"/>
          <w:lang w:eastAsia="zh-CN"/>
        </w:rPr>
      </w:pPr>
    </w:p>
    <w:p w14:paraId="4F839A7E">
      <w:pPr>
        <w:rPr>
          <w:rFonts w:hint="default" w:ascii="Times New Roman" w:hAnsi="Times New Roman" w:eastAsia="黑体" w:cs="Times New Roman"/>
          <w:bCs/>
          <w:kern w:val="2"/>
          <w:sz w:val="32"/>
          <w:szCs w:val="32"/>
          <w:lang w:eastAsia="zh-CN"/>
        </w:rPr>
      </w:pPr>
      <w:r>
        <w:rPr>
          <w:rFonts w:hint="default" w:ascii="Times New Roman" w:hAnsi="Times New Roman" w:cs="Times New Roman"/>
          <w:kern w:val="2"/>
          <w:sz w:val="21"/>
          <w:szCs w:val="21"/>
          <w:lang w:eastAsia="zh-CN"/>
        </w:rPr>
        <w:br w:type="page"/>
      </w:r>
    </w:p>
    <w:p w14:paraId="170B4E9A">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bookmarkStart w:id="93" w:name="_Toc13760"/>
      <w:r>
        <w:rPr>
          <w:rFonts w:hint="default" w:ascii="Times New Roman" w:hAnsi="Times New Roman" w:eastAsia="黑体" w:cs="Times New Roman"/>
          <w:bCs/>
          <w:kern w:val="44"/>
          <w:sz w:val="21"/>
          <w:szCs w:val="44"/>
          <w:lang w:eastAsia="zh-CN"/>
        </w:rPr>
        <w:t>附录</w:t>
      </w:r>
      <w:r>
        <w:rPr>
          <w:rFonts w:hint="eastAsia" w:ascii="Times New Roman" w:hAnsi="Times New Roman" w:eastAsia="黑体" w:cs="Times New Roman"/>
          <w:bCs/>
          <w:kern w:val="44"/>
          <w:sz w:val="21"/>
          <w:szCs w:val="44"/>
          <w:lang w:val="en-US" w:eastAsia="zh-CN"/>
        </w:rPr>
        <w:t>E</w:t>
      </w:r>
      <w:bookmarkEnd w:id="93"/>
    </w:p>
    <w:p w14:paraId="0DF47A9C">
      <w:pPr>
        <w:keepNext/>
        <w:keepLines/>
        <w:adjustRightInd w:val="0"/>
        <w:snapToGrid w:val="0"/>
        <w:spacing w:before="100" w:after="90" w:line="240" w:lineRule="auto"/>
        <w:jc w:val="center"/>
        <w:outlineLvl w:val="9"/>
        <w:rPr>
          <w:rFonts w:hint="default" w:ascii="Times New Roman" w:hAnsi="Times New Roman" w:eastAsia="黑体" w:cs="Times New Roman"/>
          <w:bCs/>
          <w:kern w:val="44"/>
          <w:sz w:val="21"/>
          <w:szCs w:val="44"/>
          <w:lang w:eastAsia="zh-CN"/>
        </w:rPr>
      </w:pPr>
      <w:r>
        <w:rPr>
          <w:rFonts w:hint="default" w:ascii="Times New Roman" w:hAnsi="Times New Roman" w:eastAsia="黑体" w:cs="Times New Roman"/>
          <w:bCs/>
          <w:kern w:val="44"/>
          <w:sz w:val="21"/>
          <w:szCs w:val="44"/>
          <w:lang w:eastAsia="zh-CN"/>
        </w:rPr>
        <w:t xml:space="preserve">（资料性） </w:t>
      </w:r>
    </w:p>
    <w:p w14:paraId="68FC8D36">
      <w:pPr>
        <w:keepNext/>
        <w:keepLines/>
        <w:adjustRightInd w:val="0"/>
        <w:snapToGrid w:val="0"/>
        <w:spacing w:before="100" w:after="90" w:line="240" w:lineRule="auto"/>
        <w:jc w:val="center"/>
        <w:outlineLvl w:val="9"/>
        <w:rPr>
          <w:rFonts w:hint="default" w:ascii="Times New Roman" w:hAnsi="Times New Roman" w:eastAsia="黑体" w:cs="Times New Roman"/>
          <w:bCs/>
          <w:kern w:val="44"/>
          <w:sz w:val="21"/>
          <w:szCs w:val="44"/>
          <w:lang w:eastAsia="zh-CN"/>
        </w:rPr>
      </w:pPr>
      <w:r>
        <w:rPr>
          <w:rFonts w:hint="default" w:ascii="Times New Roman" w:hAnsi="Times New Roman" w:eastAsia="黑体" w:cs="Times New Roman"/>
          <w:bCs/>
          <w:kern w:val="44"/>
          <w:sz w:val="21"/>
          <w:szCs w:val="44"/>
          <w:lang w:eastAsia="zh-CN"/>
        </w:rPr>
        <w:t>再生稀土原料核算细则</w:t>
      </w:r>
    </w:p>
    <w:p w14:paraId="7F3AB222">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val="en-US" w:eastAsia="zh-CN"/>
        </w:rPr>
      </w:pPr>
      <w:r>
        <w:rPr>
          <w:rFonts w:hint="eastAsia" w:ascii="Times New Roman" w:hAnsi="Times New Roman" w:eastAsia="黑体" w:cs="Times New Roman"/>
          <w:kern w:val="2"/>
          <w:sz w:val="21"/>
          <w:szCs w:val="24"/>
          <w:lang w:val="en-US" w:eastAsia="zh-CN"/>
        </w:rPr>
        <w:t>E</w:t>
      </w:r>
      <w:r>
        <w:rPr>
          <w:rFonts w:hint="default" w:ascii="Times New Roman" w:hAnsi="Times New Roman" w:eastAsia="黑体" w:cs="Times New Roman"/>
          <w:kern w:val="2"/>
          <w:sz w:val="21"/>
          <w:szCs w:val="24"/>
          <w:lang w:val="en-US" w:eastAsia="zh-CN"/>
        </w:rPr>
        <w:t>.1 概述</w:t>
      </w:r>
    </w:p>
    <w:p w14:paraId="2085A8B1">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本附录规定了使用再生稀土原料生产稀土系储氢合金材料时，碳足迹量化的特殊要求和核算方法。再生稀土原料包括废旧储氢合金、稀土加工废料、废电池中的稀土回收物等。</w:t>
      </w:r>
    </w:p>
    <w:p w14:paraId="2E292C2A">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val="en-US" w:eastAsia="zh-CN"/>
        </w:rPr>
      </w:pPr>
      <w:r>
        <w:rPr>
          <w:rFonts w:hint="eastAsia" w:ascii="Times New Roman" w:hAnsi="Times New Roman" w:eastAsia="黑体" w:cs="Times New Roman"/>
          <w:kern w:val="2"/>
          <w:sz w:val="21"/>
          <w:szCs w:val="24"/>
          <w:lang w:val="en-US" w:eastAsia="zh-CN"/>
        </w:rPr>
        <w:t>E</w:t>
      </w:r>
      <w:r>
        <w:rPr>
          <w:rFonts w:hint="default" w:ascii="Times New Roman" w:hAnsi="Times New Roman" w:eastAsia="黑体" w:cs="Times New Roman"/>
          <w:kern w:val="2"/>
          <w:sz w:val="21"/>
          <w:szCs w:val="24"/>
          <w:lang w:val="en-US" w:eastAsia="zh-CN"/>
        </w:rPr>
        <w:t>.2 系统边界</w:t>
      </w:r>
    </w:p>
    <w:p w14:paraId="015BDC09">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eastAsia" w:ascii="Times New Roman" w:hAnsi="Times New Roman" w:eastAsia="黑体" w:cs="Times New Roman"/>
          <w:kern w:val="2"/>
          <w:sz w:val="21"/>
          <w:szCs w:val="24"/>
          <w:lang w:val="en-US" w:eastAsia="zh-CN"/>
        </w:rPr>
        <w:t>E</w:t>
      </w:r>
      <w:r>
        <w:rPr>
          <w:rFonts w:hint="default" w:ascii="Times New Roman" w:hAnsi="Times New Roman" w:eastAsia="黑体" w:cs="Times New Roman"/>
          <w:kern w:val="2"/>
          <w:sz w:val="21"/>
          <w:szCs w:val="24"/>
          <w:lang w:eastAsia="zh-CN"/>
        </w:rPr>
        <w:t>.2.1 闭环回收</w:t>
      </w:r>
    </w:p>
    <w:p w14:paraId="76EB195B">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闭环回收是指废旧稀土产品或储氢合金在本企业内部回收并重新用于生产的过程。闭环回收的系统边界应涵盖：</w:t>
      </w:r>
    </w:p>
    <w:p w14:paraId="148CA382">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a） 废旧产品的收集与厂内运输；</w:t>
      </w:r>
    </w:p>
    <w:p w14:paraId="64CC8F19">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b） 拆解、破碎、分选等预处理；</w:t>
      </w:r>
    </w:p>
    <w:p w14:paraId="3873A5D5">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c） 稀土元素提取与纯化；</w:t>
      </w:r>
    </w:p>
    <w:p w14:paraId="52B30392">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d） 再生稀土物料进入生产系统的运输。</w:t>
      </w:r>
    </w:p>
    <w:p w14:paraId="5CECDA01">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闭环回收过程的环境负荷应全额计入本产品系统的碳足迹。</w:t>
      </w:r>
    </w:p>
    <w:p w14:paraId="088672F8">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eastAsia" w:ascii="Times New Roman" w:hAnsi="Times New Roman" w:eastAsia="黑体" w:cs="Times New Roman"/>
          <w:kern w:val="2"/>
          <w:sz w:val="21"/>
          <w:szCs w:val="24"/>
          <w:lang w:val="en-US" w:eastAsia="zh-CN"/>
        </w:rPr>
        <w:t>E</w:t>
      </w:r>
      <w:r>
        <w:rPr>
          <w:rFonts w:hint="default" w:ascii="Times New Roman" w:hAnsi="Times New Roman" w:eastAsia="黑体" w:cs="Times New Roman"/>
          <w:kern w:val="2"/>
          <w:sz w:val="21"/>
          <w:szCs w:val="24"/>
          <w:lang w:eastAsia="zh-CN"/>
        </w:rPr>
        <w:t>.2.2 开环回收</w:t>
      </w:r>
    </w:p>
    <w:p w14:paraId="132CEBC4">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开环回收是指从外部来源获取废旧稀土产品或储氢合金进行回收的过程。开环回收的系统边界应涵盖：</w:t>
      </w:r>
    </w:p>
    <w:p w14:paraId="3C0131A7">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a） 废旧产品的外部收集与运输至回收设施；</w:t>
      </w:r>
    </w:p>
    <w:p w14:paraId="038AFAC7">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b） 拆解、破碎、分选等预处理；</w:t>
      </w:r>
    </w:p>
    <w:p w14:paraId="4115F643">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c） 稀土元素提取与纯化；</w:t>
      </w:r>
    </w:p>
    <w:p w14:paraId="59FC4739">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d） 再生稀土物料运输至本企业。</w:t>
      </w:r>
    </w:p>
    <w:p w14:paraId="250DB63A">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开环回收过程的环境负荷应在回收商和本产品之间按质量分配或经济分配原则分摊。</w:t>
      </w:r>
    </w:p>
    <w:p w14:paraId="78839424">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eastAsia" w:ascii="Times New Roman" w:hAnsi="Times New Roman" w:eastAsia="黑体" w:cs="Times New Roman"/>
          <w:kern w:val="2"/>
          <w:sz w:val="21"/>
          <w:szCs w:val="24"/>
          <w:lang w:val="en-US" w:eastAsia="zh-CN"/>
        </w:rPr>
        <w:t>E</w:t>
      </w:r>
      <w:r>
        <w:rPr>
          <w:rFonts w:hint="default" w:ascii="Times New Roman" w:hAnsi="Times New Roman" w:eastAsia="黑体" w:cs="Times New Roman"/>
          <w:kern w:val="2"/>
          <w:sz w:val="21"/>
          <w:szCs w:val="24"/>
          <w:lang w:eastAsia="zh-CN"/>
        </w:rPr>
        <w:t>.2.3 排放分配原则</w:t>
      </w:r>
    </w:p>
    <w:p w14:paraId="72494F90">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再生稀土冶炼过程中产生具有经济价值的副产品时，应依据生命周期评价相关原则进行排放分配。分配应遵循以下优先顺序：</w:t>
      </w:r>
    </w:p>
    <w:p w14:paraId="5502783E">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a） 优先采用系统扩展方法，避免人为分摊；</w:t>
      </w:r>
    </w:p>
    <w:p w14:paraId="67339F02">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b） 无法采用系统扩展时，可根据产品间物理关系（如质量、能量等）进行分配；</w:t>
      </w:r>
    </w:p>
    <w:p w14:paraId="17ECE6E0">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c） 当物理关系难以反映产品价值贡献时，可采用经济价值分配方法，参考值由生产商设定的产品销售价格（三年平均市场价格）表示。</w:t>
      </w:r>
    </w:p>
    <w:p w14:paraId="48C31C25">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val="en-US" w:eastAsia="zh-CN"/>
        </w:rPr>
      </w:pPr>
      <w:r>
        <w:rPr>
          <w:rFonts w:hint="eastAsia" w:ascii="Times New Roman" w:hAnsi="Times New Roman" w:eastAsia="黑体" w:cs="Times New Roman"/>
          <w:kern w:val="2"/>
          <w:sz w:val="21"/>
          <w:szCs w:val="24"/>
          <w:lang w:val="en-US" w:eastAsia="zh-CN"/>
        </w:rPr>
        <w:t>E</w:t>
      </w:r>
      <w:r>
        <w:rPr>
          <w:rFonts w:hint="default" w:ascii="Times New Roman" w:hAnsi="Times New Roman" w:eastAsia="黑体" w:cs="Times New Roman"/>
          <w:kern w:val="2"/>
          <w:sz w:val="21"/>
          <w:szCs w:val="24"/>
          <w:lang w:val="en-US" w:eastAsia="zh-CN"/>
        </w:rPr>
        <w:t>.3 再生料减排效益计算</w:t>
      </w:r>
    </w:p>
    <w:p w14:paraId="5A0AF43F">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eastAsia" w:ascii="Times New Roman" w:hAnsi="Times New Roman" w:eastAsia="黑体" w:cs="Times New Roman"/>
          <w:kern w:val="2"/>
          <w:sz w:val="21"/>
          <w:szCs w:val="24"/>
          <w:lang w:val="en-US" w:eastAsia="zh-CN"/>
        </w:rPr>
        <w:t>E</w:t>
      </w:r>
      <w:r>
        <w:rPr>
          <w:rFonts w:hint="default" w:ascii="Times New Roman" w:hAnsi="Times New Roman" w:eastAsia="黑体" w:cs="Times New Roman"/>
          <w:kern w:val="2"/>
          <w:sz w:val="21"/>
          <w:szCs w:val="24"/>
          <w:lang w:eastAsia="zh-CN"/>
        </w:rPr>
        <w:t>.3.1 再生料减排折算系数</w:t>
      </w:r>
    </w:p>
    <w:p w14:paraId="3F01A595">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再生稀土原料的减排折算应按以下规则处理：</w:t>
      </w:r>
    </w:p>
    <w:p w14:paraId="5057CD61">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a） 若再生稀土原料回收后回到本企业储氢合金生产系统内使用（闭环回收），回收过程的环境负荷已全额计入本产品系统，不需要额外折算减排系数；</w:t>
      </w:r>
    </w:p>
    <w:p w14:paraId="730DD843">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 xml:space="preserve">b） 若再生稀土原料回收后作为副产品外卖至其他企业，应视作共生产品，按照 </w:t>
      </w:r>
      <w:r>
        <w:rPr>
          <w:rFonts w:hint="eastAsia" w:ascii="Times New Roman" w:hAnsi="Times New Roman" w:eastAsia="宋体" w:cs="Times New Roman"/>
          <w:kern w:val="2"/>
          <w:sz w:val="21"/>
          <w:szCs w:val="21"/>
          <w:lang w:val="en-US" w:eastAsia="zh-CN"/>
        </w:rPr>
        <w:t>E</w:t>
      </w:r>
      <w:r>
        <w:rPr>
          <w:rFonts w:hint="default" w:ascii="Times New Roman" w:hAnsi="Times New Roman" w:eastAsia="宋体" w:cs="Times New Roman"/>
          <w:kern w:val="2"/>
          <w:sz w:val="21"/>
          <w:szCs w:val="21"/>
        </w:rPr>
        <w:t>.2.3 的分配原则分摊排放责任，外卖部分的排放责任从本产品系统中扣除；</w:t>
      </w:r>
    </w:p>
    <w:p w14:paraId="77334B6C">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c） 再生稀土原料替代原生稀土原料产生的环境效益（即避免的原生稀土开采冶炼排放）不应从本产品碳足迹中扣除，但应在减排潜力评估中单独报告。</w:t>
      </w:r>
    </w:p>
    <w:p w14:paraId="47DBEDB8">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eastAsia" w:ascii="Times New Roman" w:hAnsi="Times New Roman" w:eastAsia="黑体" w:cs="Times New Roman"/>
          <w:kern w:val="2"/>
          <w:sz w:val="21"/>
          <w:szCs w:val="24"/>
          <w:lang w:val="en-US" w:eastAsia="zh-CN"/>
        </w:rPr>
        <w:t>E</w:t>
      </w:r>
      <w:r>
        <w:rPr>
          <w:rFonts w:hint="default" w:ascii="Times New Roman" w:hAnsi="Times New Roman" w:eastAsia="黑体" w:cs="Times New Roman"/>
          <w:kern w:val="2"/>
          <w:sz w:val="21"/>
          <w:szCs w:val="24"/>
          <w:lang w:eastAsia="zh-CN"/>
        </w:rPr>
        <w:t>.3.2 减排效益计算公式</w:t>
      </w:r>
    </w:p>
    <w:p w14:paraId="287BD50E">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再生稀土原料替代原生稀土原料产生的减排效益（避免排放）按公式（</w:t>
      </w:r>
      <w:r>
        <w:rPr>
          <w:rFonts w:hint="eastAsia" w:ascii="Times New Roman" w:hAnsi="Times New Roman" w:eastAsia="宋体" w:cs="Times New Roman"/>
          <w:kern w:val="2"/>
          <w:sz w:val="21"/>
          <w:szCs w:val="21"/>
          <w:lang w:val="en-US" w:eastAsia="zh-CN"/>
        </w:rPr>
        <w:t>E</w:t>
      </w:r>
      <w:r>
        <w:rPr>
          <w:rFonts w:hint="default" w:ascii="Times New Roman" w:hAnsi="Times New Roman" w:eastAsia="宋体" w:cs="Times New Roman"/>
          <w:kern w:val="2"/>
          <w:sz w:val="21"/>
          <w:szCs w:val="21"/>
        </w:rPr>
        <w:t>.1）计算：</w:t>
      </w:r>
    </w:p>
    <w:p w14:paraId="0B9F451D">
      <w:pPr>
        <w:adjustRightInd w:val="0"/>
        <w:snapToGrid w:val="0"/>
        <w:spacing w:after="0" w:line="360" w:lineRule="auto"/>
        <w:ind w:firstLine="420" w:firstLineChars="200"/>
        <w:jc w:val="center"/>
        <w:rPr>
          <w:rFonts w:hint="default" w:ascii="Times New Roman" w:hAnsi="Times New Roman" w:eastAsia="宋体" w:cs="Times New Roman"/>
          <w:i/>
          <w:iCs/>
          <w:kern w:val="2"/>
          <w:sz w:val="21"/>
          <w:szCs w:val="21"/>
        </w:rPr>
      </w:pPr>
      <w:r>
        <w:rPr>
          <w:rFonts w:hint="default" w:ascii="Times New Roman" w:hAnsi="Times New Roman" w:eastAsia="宋体" w:cs="Times New Roman"/>
          <w:i/>
          <w:iCs/>
          <w:kern w:val="2"/>
          <w:sz w:val="21"/>
          <w:szCs w:val="21"/>
        </w:rPr>
        <w:t>E</w:t>
      </w:r>
      <w:r>
        <w:rPr>
          <w:rFonts w:hint="default" w:ascii="Times New Roman" w:hAnsi="Times New Roman" w:eastAsia="宋体" w:cs="Times New Roman"/>
          <w:i/>
          <w:iCs/>
          <w:kern w:val="2"/>
          <w:sz w:val="21"/>
          <w:szCs w:val="21"/>
          <w:vertAlign w:val="subscript"/>
        </w:rPr>
        <w:t>avoided</w:t>
      </w:r>
      <w:r>
        <w:rPr>
          <w:rFonts w:hint="default" w:ascii="Times New Roman" w:hAnsi="Times New Roman" w:eastAsia="宋体" w:cs="Times New Roman"/>
          <w:i/>
          <w:iCs/>
          <w:kern w:val="2"/>
          <w:sz w:val="21"/>
          <w:szCs w:val="21"/>
        </w:rPr>
        <w:t xml:space="preserve"> = (E</w:t>
      </w:r>
      <w:r>
        <w:rPr>
          <w:rFonts w:hint="default" w:ascii="Times New Roman" w:hAnsi="Times New Roman" w:eastAsia="宋体" w:cs="Times New Roman"/>
          <w:i/>
          <w:iCs/>
          <w:kern w:val="2"/>
          <w:sz w:val="21"/>
          <w:szCs w:val="21"/>
          <w:vertAlign w:val="subscript"/>
        </w:rPr>
        <w:t>virgin</w:t>
      </w:r>
      <w:r>
        <w:rPr>
          <w:rFonts w:hint="default" w:ascii="Times New Roman" w:hAnsi="Times New Roman" w:eastAsia="宋体" w:cs="Times New Roman"/>
          <w:i/>
          <w:iCs/>
          <w:kern w:val="2"/>
          <w:sz w:val="21"/>
          <w:szCs w:val="21"/>
        </w:rPr>
        <w:t xml:space="preserve"> - E</w:t>
      </w:r>
      <w:r>
        <w:rPr>
          <w:rFonts w:hint="default" w:ascii="Times New Roman" w:hAnsi="Times New Roman" w:eastAsia="宋体" w:cs="Times New Roman"/>
          <w:i/>
          <w:iCs/>
          <w:kern w:val="2"/>
          <w:sz w:val="21"/>
          <w:szCs w:val="21"/>
          <w:vertAlign w:val="subscript"/>
        </w:rPr>
        <w:t>recycled</w:t>
      </w:r>
      <w:r>
        <w:rPr>
          <w:rFonts w:hint="default" w:ascii="Times New Roman" w:hAnsi="Times New Roman" w:eastAsia="宋体" w:cs="Times New Roman"/>
          <w:i/>
          <w:iCs/>
          <w:kern w:val="2"/>
          <w:sz w:val="21"/>
          <w:szCs w:val="21"/>
        </w:rPr>
        <w:t>) × M</w:t>
      </w:r>
      <w:r>
        <w:rPr>
          <w:rFonts w:hint="default" w:ascii="Times New Roman" w:hAnsi="Times New Roman" w:eastAsia="宋体" w:cs="Times New Roman"/>
          <w:i/>
          <w:iCs/>
          <w:kern w:val="2"/>
          <w:sz w:val="21"/>
          <w:szCs w:val="21"/>
          <w:vertAlign w:val="subscript"/>
        </w:rPr>
        <w:t>recycled</w:t>
      </w:r>
      <w:r>
        <w:rPr>
          <w:rFonts w:hint="default" w:ascii="Times New Roman" w:hAnsi="Times New Roman" w:eastAsia="宋体" w:cs="Times New Roman"/>
          <w:i/>
          <w:iCs/>
          <w:kern w:val="2"/>
          <w:sz w:val="21"/>
          <w:szCs w:val="21"/>
        </w:rPr>
        <w:t xml:space="preserve"> / M</w:t>
      </w:r>
      <w:r>
        <w:rPr>
          <w:rFonts w:hint="default" w:ascii="Times New Roman" w:hAnsi="Times New Roman" w:eastAsia="宋体" w:cs="Times New Roman"/>
          <w:i/>
          <w:iCs/>
          <w:kern w:val="2"/>
          <w:sz w:val="21"/>
          <w:szCs w:val="21"/>
          <w:vertAlign w:val="subscript"/>
        </w:rPr>
        <w:t>product</w:t>
      </w:r>
      <w:r>
        <w:rPr>
          <w:rFonts w:hint="default" w:ascii="Times New Roman" w:hAnsi="Times New Roman" w:eastAsia="宋体" w:cs="Times New Roman"/>
          <w:kern w:val="2"/>
          <w:sz w:val="21"/>
          <w:szCs w:val="21"/>
          <w:lang w:eastAsia="zh-CN"/>
        </w:rPr>
        <w:t>......</w:t>
      </w:r>
      <w:r>
        <w:rPr>
          <w:rFonts w:hint="eastAsia" w:ascii="Times New Roman" w:hAnsi="Times New Roman" w:eastAsia="宋体" w:cs="Times New Roman"/>
          <w:kern w:val="2"/>
          <w:sz w:val="21"/>
          <w:szCs w:val="21"/>
          <w:lang w:val="en-US" w:eastAsia="zh-CN"/>
        </w:rPr>
        <w:t>...........</w:t>
      </w:r>
      <w:r>
        <w:rPr>
          <w:rFonts w:hint="default" w:ascii="Times New Roman" w:hAnsi="Times New Roman" w:eastAsia="宋体" w:cs="Times New Roman"/>
          <w:kern w:val="2"/>
          <w:sz w:val="21"/>
          <w:szCs w:val="21"/>
          <w:lang w:eastAsia="zh-CN"/>
        </w:rPr>
        <w:t>........................</w:t>
      </w:r>
      <w:r>
        <w:rPr>
          <w:rFonts w:hint="eastAsia" w:ascii="Times New Roman" w:hAnsi="Times New Roman" w:eastAsia="宋体" w:cs="Times New Roman"/>
          <w:kern w:val="2"/>
          <w:sz w:val="21"/>
          <w:szCs w:val="21"/>
          <w:lang w:eastAsia="zh-CN"/>
        </w:rPr>
        <w:t>(</w:t>
      </w:r>
      <w:r>
        <w:rPr>
          <w:rFonts w:hint="eastAsia" w:ascii="Times New Roman" w:hAnsi="Times New Roman" w:eastAsia="宋体" w:cs="Times New Roman"/>
          <w:kern w:val="2"/>
          <w:sz w:val="21"/>
          <w:szCs w:val="21"/>
          <w:lang w:val="en-US" w:eastAsia="zh-CN"/>
        </w:rPr>
        <w:t>E.</w:t>
      </w:r>
      <w:r>
        <w:rPr>
          <w:rFonts w:hint="default" w:ascii="Times New Roman" w:hAnsi="Times New Roman" w:eastAsia="宋体" w:cs="Times New Roman"/>
          <w:kern w:val="2"/>
          <w:sz w:val="21"/>
          <w:szCs w:val="21"/>
          <w:lang w:eastAsia="zh-CN"/>
        </w:rPr>
        <w:t>1</w:t>
      </w:r>
      <w:r>
        <w:rPr>
          <w:rFonts w:hint="eastAsia" w:ascii="Times New Roman" w:hAnsi="Times New Roman" w:eastAsia="宋体" w:cs="Times New Roman"/>
          <w:kern w:val="2"/>
          <w:sz w:val="21"/>
          <w:szCs w:val="21"/>
          <w:lang w:eastAsia="zh-CN"/>
        </w:rPr>
        <w:t>)</w:t>
      </w:r>
    </w:p>
    <w:p w14:paraId="299FB4EE">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式中：</w:t>
      </w:r>
    </w:p>
    <w:p w14:paraId="0F20B0CF">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E</w:t>
      </w:r>
      <w:r>
        <w:rPr>
          <w:rFonts w:hint="default" w:ascii="Times New Roman" w:hAnsi="Times New Roman" w:eastAsia="宋体" w:cs="Times New Roman"/>
          <w:kern w:val="2"/>
          <w:sz w:val="21"/>
          <w:szCs w:val="21"/>
          <w:vertAlign w:val="subscript"/>
        </w:rPr>
        <w:t>avoided</w:t>
      </w:r>
      <w:r>
        <w:rPr>
          <w:rFonts w:hint="default" w:ascii="Times New Roman" w:hAnsi="Times New Roman" w:eastAsia="宋体" w:cs="Times New Roman"/>
          <w:kern w:val="2"/>
          <w:sz w:val="21"/>
          <w:szCs w:val="21"/>
        </w:rPr>
        <w:t xml:space="preserve"> —避免的温室气体排放量，单位为千克二氧化碳当量（kg CO</w:t>
      </w:r>
      <w:r>
        <w:rPr>
          <w:rFonts w:hint="default" w:ascii="Times New Roman" w:hAnsi="Times New Roman" w:eastAsia="宋体" w:cs="Times New Roman"/>
          <w:kern w:val="2"/>
          <w:sz w:val="21"/>
          <w:szCs w:val="21"/>
          <w:vertAlign w:val="subscript"/>
        </w:rPr>
        <w:t>2</w:t>
      </w:r>
      <w:r>
        <w:rPr>
          <w:rFonts w:hint="default" w:ascii="Times New Roman" w:hAnsi="Times New Roman" w:eastAsia="宋体" w:cs="Times New Roman"/>
          <w:kern w:val="2"/>
          <w:sz w:val="21"/>
          <w:szCs w:val="21"/>
        </w:rPr>
        <w:t>e）；</w:t>
      </w:r>
    </w:p>
    <w:p w14:paraId="1E2471DC">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E</w:t>
      </w:r>
      <w:r>
        <w:rPr>
          <w:rFonts w:hint="default" w:ascii="Times New Roman" w:hAnsi="Times New Roman" w:eastAsia="宋体" w:cs="Times New Roman"/>
          <w:kern w:val="2"/>
          <w:sz w:val="21"/>
          <w:szCs w:val="21"/>
          <w:vertAlign w:val="subscript"/>
        </w:rPr>
        <w:t>virgin</w:t>
      </w:r>
      <w:r>
        <w:rPr>
          <w:rFonts w:hint="default" w:ascii="Times New Roman" w:hAnsi="Times New Roman" w:eastAsia="宋体" w:cs="Times New Roman"/>
          <w:kern w:val="2"/>
          <w:sz w:val="21"/>
          <w:szCs w:val="21"/>
        </w:rPr>
        <w:t xml:space="preserve"> —生产同等数量原生稀土原料的温室气体排放量，单位为千克二氧化碳当量（kg CO</w:t>
      </w:r>
      <w:r>
        <w:rPr>
          <w:rFonts w:hint="default" w:ascii="Times New Roman" w:hAnsi="Times New Roman" w:eastAsia="宋体" w:cs="Times New Roman"/>
          <w:kern w:val="2"/>
          <w:sz w:val="21"/>
          <w:szCs w:val="21"/>
          <w:vertAlign w:val="subscript"/>
        </w:rPr>
        <w:t>2</w:t>
      </w:r>
      <w:r>
        <w:rPr>
          <w:rFonts w:hint="default" w:ascii="Times New Roman" w:hAnsi="Times New Roman" w:eastAsia="宋体" w:cs="Times New Roman"/>
          <w:kern w:val="2"/>
          <w:sz w:val="21"/>
          <w:szCs w:val="21"/>
        </w:rPr>
        <w:t>e）；</w:t>
      </w:r>
    </w:p>
    <w:p w14:paraId="52C41647">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E</w:t>
      </w:r>
      <w:r>
        <w:rPr>
          <w:rFonts w:hint="default" w:ascii="Times New Roman" w:hAnsi="Times New Roman" w:eastAsia="宋体" w:cs="Times New Roman"/>
          <w:kern w:val="2"/>
          <w:sz w:val="21"/>
          <w:szCs w:val="21"/>
          <w:vertAlign w:val="subscript"/>
        </w:rPr>
        <w:t>recycled</w:t>
      </w:r>
      <w:r>
        <w:rPr>
          <w:rFonts w:hint="default" w:ascii="Times New Roman" w:hAnsi="Times New Roman" w:eastAsia="宋体" w:cs="Times New Roman"/>
          <w:kern w:val="2"/>
          <w:sz w:val="21"/>
          <w:szCs w:val="21"/>
        </w:rPr>
        <w:t xml:space="preserve"> —生产同等数量再生稀土原料的温室气体排放量，单位为千克二氧化碳当量（kg CO</w:t>
      </w:r>
      <w:r>
        <w:rPr>
          <w:rFonts w:hint="default" w:ascii="Times New Roman" w:hAnsi="Times New Roman" w:eastAsia="宋体" w:cs="Times New Roman"/>
          <w:kern w:val="2"/>
          <w:sz w:val="21"/>
          <w:szCs w:val="21"/>
          <w:vertAlign w:val="subscript"/>
        </w:rPr>
        <w:t>2</w:t>
      </w:r>
      <w:r>
        <w:rPr>
          <w:rFonts w:hint="default" w:ascii="Times New Roman" w:hAnsi="Times New Roman" w:eastAsia="宋体" w:cs="Times New Roman"/>
          <w:kern w:val="2"/>
          <w:sz w:val="21"/>
          <w:szCs w:val="21"/>
        </w:rPr>
        <w:t>e）；</w:t>
      </w:r>
    </w:p>
    <w:p w14:paraId="3A4666FD">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M</w:t>
      </w:r>
      <w:r>
        <w:rPr>
          <w:rFonts w:hint="default" w:ascii="Times New Roman" w:hAnsi="Times New Roman" w:eastAsia="宋体" w:cs="Times New Roman"/>
          <w:kern w:val="2"/>
          <w:sz w:val="21"/>
          <w:szCs w:val="21"/>
          <w:vertAlign w:val="subscript"/>
        </w:rPr>
        <w:t>recycled</w:t>
      </w:r>
      <w:r>
        <w:rPr>
          <w:rFonts w:hint="default" w:ascii="Times New Roman" w:hAnsi="Times New Roman" w:eastAsia="宋体" w:cs="Times New Roman"/>
          <w:kern w:val="2"/>
          <w:sz w:val="21"/>
          <w:szCs w:val="21"/>
        </w:rPr>
        <w:t xml:space="preserve"> —再生稀土原料的使用量，单位为千克（kg）；</w:t>
      </w:r>
    </w:p>
    <w:p w14:paraId="53DFE540">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M</w:t>
      </w:r>
      <w:r>
        <w:rPr>
          <w:rFonts w:hint="default" w:ascii="Times New Roman" w:hAnsi="Times New Roman" w:eastAsia="宋体" w:cs="Times New Roman"/>
          <w:kern w:val="2"/>
          <w:sz w:val="21"/>
          <w:szCs w:val="21"/>
          <w:vertAlign w:val="subscript"/>
        </w:rPr>
        <w:t>product</w:t>
      </w:r>
      <w:r>
        <w:rPr>
          <w:rFonts w:hint="default" w:ascii="Times New Roman" w:hAnsi="Times New Roman" w:eastAsia="宋体" w:cs="Times New Roman"/>
          <w:kern w:val="2"/>
          <w:sz w:val="21"/>
          <w:szCs w:val="21"/>
        </w:rPr>
        <w:t xml:space="preserve"> —产品产量，单位为千克（kg）。</w:t>
      </w:r>
    </w:p>
    <w:p w14:paraId="4573B3D2">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val="en-US" w:eastAsia="zh-CN"/>
        </w:rPr>
      </w:pPr>
      <w:r>
        <w:rPr>
          <w:rFonts w:hint="eastAsia" w:ascii="Times New Roman" w:hAnsi="Times New Roman" w:eastAsia="黑体" w:cs="Times New Roman"/>
          <w:kern w:val="2"/>
          <w:sz w:val="21"/>
          <w:szCs w:val="24"/>
          <w:lang w:val="en-US" w:eastAsia="zh-CN"/>
        </w:rPr>
        <w:t>E</w:t>
      </w:r>
      <w:r>
        <w:rPr>
          <w:rFonts w:hint="default" w:ascii="Times New Roman" w:hAnsi="Times New Roman" w:eastAsia="黑体" w:cs="Times New Roman"/>
          <w:kern w:val="2"/>
          <w:sz w:val="21"/>
          <w:szCs w:val="24"/>
          <w:lang w:val="en-US" w:eastAsia="zh-CN"/>
        </w:rPr>
        <w:t>.4 数据要求</w:t>
      </w:r>
    </w:p>
    <w:p w14:paraId="0B397397">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再生稀土原料的数据收集应符合以下要求：</w:t>
      </w:r>
    </w:p>
    <w:p w14:paraId="7B1A7FE5">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a）再生原料的来源和类型（废旧储氢合金、稀土加工废料等）；</w:t>
      </w:r>
    </w:p>
    <w:p w14:paraId="4AC43B2B">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b）再生原料中稀土元素的含量和品位；</w:t>
      </w:r>
    </w:p>
    <w:p w14:paraId="1C383772">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c）再生处理过程的能源消耗（电力、燃料等）和辅助材料消耗；</w:t>
      </w:r>
    </w:p>
    <w:p w14:paraId="40ED5B10">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d）再生处理过程的废弃物排放和处置方式；</w:t>
      </w:r>
    </w:p>
    <w:p w14:paraId="5E68D65B">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e）再生原料的回收率和纯化率；</w:t>
      </w:r>
    </w:p>
    <w:p w14:paraId="22FACDC7">
      <w:pPr>
        <w:ind w:firstLine="420" w:firstLineChars="200"/>
        <w:rPr>
          <w:rFonts w:hint="default" w:ascii="Times New Roman" w:hAnsi="Times New Roman" w:eastAsia="黑体" w:cs="Times New Roman"/>
          <w:bCs/>
          <w:kern w:val="2"/>
          <w:sz w:val="32"/>
          <w:szCs w:val="32"/>
          <w:lang w:eastAsia="zh-CN"/>
        </w:rPr>
      </w:pPr>
      <w:r>
        <w:rPr>
          <w:rFonts w:hint="default" w:ascii="Times New Roman" w:hAnsi="Times New Roman" w:eastAsia="宋体" w:cs="Times New Roman"/>
          <w:kern w:val="2"/>
          <w:sz w:val="21"/>
          <w:szCs w:val="21"/>
        </w:rPr>
        <w:t>f）再生原料的运输距离和运输方式。</w:t>
      </w:r>
    </w:p>
    <w:p w14:paraId="4FFFBD9A">
      <w:pPr>
        <w:rPr>
          <w:rFonts w:hint="default" w:ascii="Times New Roman" w:hAnsi="Times New Roman" w:eastAsia="黑体" w:cs="Times New Roman"/>
          <w:bCs/>
          <w:kern w:val="2"/>
          <w:sz w:val="32"/>
          <w:szCs w:val="32"/>
          <w:lang w:eastAsia="zh-CN"/>
        </w:rPr>
      </w:pPr>
    </w:p>
    <w:p w14:paraId="77535AD1">
      <w:pPr>
        <w:rPr>
          <w:rFonts w:hint="default" w:ascii="Times New Roman" w:hAnsi="Times New Roman" w:eastAsia="黑体" w:cs="Times New Roman"/>
          <w:bCs/>
          <w:kern w:val="2"/>
          <w:sz w:val="32"/>
          <w:szCs w:val="32"/>
          <w:lang w:eastAsia="zh-CN"/>
        </w:rPr>
      </w:pPr>
    </w:p>
    <w:p w14:paraId="4EC35C82">
      <w:pPr>
        <w:rPr>
          <w:rFonts w:hint="default" w:ascii="Times New Roman" w:hAnsi="Times New Roman" w:eastAsia="黑体" w:cs="Times New Roman"/>
          <w:bCs/>
          <w:kern w:val="2"/>
          <w:sz w:val="32"/>
          <w:szCs w:val="32"/>
          <w:lang w:eastAsia="zh-CN"/>
        </w:rPr>
      </w:pPr>
    </w:p>
    <w:p w14:paraId="04CF9516">
      <w:pPr>
        <w:rPr>
          <w:rFonts w:hint="default" w:ascii="Times New Roman" w:hAnsi="Times New Roman" w:eastAsia="黑体" w:cs="Times New Roman"/>
          <w:bCs/>
          <w:kern w:val="2"/>
          <w:sz w:val="32"/>
          <w:szCs w:val="32"/>
          <w:lang w:eastAsia="zh-CN"/>
        </w:rPr>
      </w:pPr>
    </w:p>
    <w:p w14:paraId="4EFBC44E">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bookmarkStart w:id="94" w:name="_Toc17926"/>
      <w:r>
        <w:rPr>
          <w:rFonts w:hint="default" w:ascii="Times New Roman" w:hAnsi="Times New Roman" w:eastAsia="黑体" w:cs="Times New Roman"/>
          <w:bCs/>
          <w:kern w:val="44"/>
          <w:sz w:val="21"/>
          <w:szCs w:val="44"/>
          <w:lang w:eastAsia="zh-CN"/>
        </w:rPr>
        <w:t>附录</w:t>
      </w:r>
      <w:r>
        <w:rPr>
          <w:rFonts w:hint="eastAsia" w:ascii="Times New Roman" w:hAnsi="Times New Roman" w:eastAsia="黑体" w:cs="Times New Roman"/>
          <w:bCs/>
          <w:kern w:val="44"/>
          <w:sz w:val="21"/>
          <w:szCs w:val="44"/>
          <w:lang w:val="en-US" w:eastAsia="zh-CN"/>
        </w:rPr>
        <w:t>F</w:t>
      </w:r>
      <w:bookmarkEnd w:id="94"/>
    </w:p>
    <w:p w14:paraId="6D62621F">
      <w:pPr>
        <w:keepNext/>
        <w:keepLines/>
        <w:adjustRightInd w:val="0"/>
        <w:snapToGrid w:val="0"/>
        <w:spacing w:before="100" w:after="90" w:line="240" w:lineRule="auto"/>
        <w:jc w:val="center"/>
        <w:outlineLvl w:val="9"/>
        <w:rPr>
          <w:rFonts w:hint="default" w:ascii="Times New Roman" w:hAnsi="Times New Roman" w:eastAsia="黑体" w:cs="Times New Roman"/>
          <w:bCs/>
          <w:kern w:val="44"/>
          <w:sz w:val="21"/>
          <w:szCs w:val="44"/>
          <w:lang w:eastAsia="zh-CN"/>
        </w:rPr>
      </w:pPr>
      <w:r>
        <w:rPr>
          <w:rFonts w:hint="default" w:ascii="Times New Roman" w:hAnsi="Times New Roman" w:eastAsia="黑体" w:cs="Times New Roman"/>
          <w:bCs/>
          <w:kern w:val="44"/>
          <w:sz w:val="21"/>
          <w:szCs w:val="44"/>
          <w:lang w:eastAsia="zh-CN"/>
        </w:rPr>
        <w:t xml:space="preserve">（资料性） </w:t>
      </w:r>
    </w:p>
    <w:p w14:paraId="4CD30834">
      <w:pPr>
        <w:keepNext/>
        <w:keepLines/>
        <w:adjustRightInd w:val="0"/>
        <w:snapToGrid w:val="0"/>
        <w:spacing w:before="100" w:after="90" w:line="240" w:lineRule="auto"/>
        <w:jc w:val="center"/>
        <w:outlineLvl w:val="9"/>
        <w:rPr>
          <w:rFonts w:hint="default" w:ascii="Times New Roman" w:hAnsi="Times New Roman" w:eastAsia="黑体" w:cs="Times New Roman"/>
          <w:bCs/>
          <w:kern w:val="44"/>
          <w:sz w:val="21"/>
          <w:szCs w:val="44"/>
          <w:lang w:eastAsia="zh-CN"/>
        </w:rPr>
      </w:pPr>
      <w:r>
        <w:rPr>
          <w:rFonts w:hint="default" w:ascii="Times New Roman" w:hAnsi="Times New Roman" w:eastAsia="黑体" w:cs="Times New Roman"/>
          <w:bCs/>
          <w:kern w:val="44"/>
          <w:sz w:val="21"/>
          <w:szCs w:val="44"/>
          <w:lang w:eastAsia="zh-CN"/>
        </w:rPr>
        <w:t>碳足迹分级披露与绿色标签应用指南</w:t>
      </w:r>
    </w:p>
    <w:p w14:paraId="5AA9DC88">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val="en-US" w:eastAsia="zh-CN"/>
        </w:rPr>
      </w:pPr>
      <w:r>
        <w:rPr>
          <w:rFonts w:hint="eastAsia" w:ascii="Times New Roman" w:hAnsi="Times New Roman" w:eastAsia="黑体" w:cs="Times New Roman"/>
          <w:kern w:val="2"/>
          <w:sz w:val="21"/>
          <w:szCs w:val="24"/>
          <w:lang w:val="en-US" w:eastAsia="zh-CN"/>
        </w:rPr>
        <w:t>F</w:t>
      </w:r>
      <w:r>
        <w:rPr>
          <w:rFonts w:hint="default" w:ascii="Times New Roman" w:hAnsi="Times New Roman" w:eastAsia="黑体" w:cs="Times New Roman"/>
          <w:kern w:val="2"/>
          <w:sz w:val="21"/>
          <w:szCs w:val="24"/>
          <w:lang w:val="en-US" w:eastAsia="zh-CN"/>
        </w:rPr>
        <w:t>.1 分级披露规则</w:t>
      </w:r>
    </w:p>
    <w:p w14:paraId="23427A66">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eastAsia" w:ascii="Times New Roman" w:hAnsi="Times New Roman" w:eastAsia="黑体" w:cs="Times New Roman"/>
          <w:kern w:val="2"/>
          <w:sz w:val="21"/>
          <w:szCs w:val="24"/>
          <w:lang w:val="en-US" w:eastAsia="zh-CN"/>
        </w:rPr>
        <w:t>F</w:t>
      </w:r>
      <w:r>
        <w:rPr>
          <w:rFonts w:hint="default" w:ascii="Times New Roman" w:hAnsi="Times New Roman" w:eastAsia="黑体" w:cs="Times New Roman"/>
          <w:kern w:val="2"/>
          <w:sz w:val="21"/>
          <w:szCs w:val="24"/>
          <w:lang w:eastAsia="zh-CN"/>
        </w:rPr>
        <w:t>.1.1 内部管理级</w:t>
      </w:r>
    </w:p>
    <w:p w14:paraId="7A71EB50">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内部管理级用于企业内部减排分析和持续改进，可披露以下内容：</w:t>
      </w:r>
    </w:p>
    <w:p w14:paraId="7DA14C35">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a） 完整的产品碳足迹数据和各工序分解数据；</w:t>
      </w:r>
    </w:p>
    <w:p w14:paraId="15F8DA4D">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b） 供应商碳足迹详细数据和追溯信息；</w:t>
      </w:r>
    </w:p>
    <w:p w14:paraId="68D6D69D">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c） 敏感性分析和不确定性分析详细结果；</w:t>
      </w:r>
    </w:p>
    <w:p w14:paraId="6CABD1BC">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d） 减排潜力评估和改进建议；</w:t>
      </w:r>
    </w:p>
    <w:p w14:paraId="2320F3D2">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e） 与行业基准的对标分析结果。</w:t>
      </w:r>
    </w:p>
    <w:p w14:paraId="3FAE65CE">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该层级数据仅供内部管理使用，不对外公开。</w:t>
      </w:r>
    </w:p>
    <w:p w14:paraId="4EB42651">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eastAsia" w:ascii="Times New Roman" w:hAnsi="Times New Roman" w:eastAsia="黑体" w:cs="Times New Roman"/>
          <w:kern w:val="2"/>
          <w:sz w:val="21"/>
          <w:szCs w:val="24"/>
          <w:lang w:val="en-US" w:eastAsia="zh-CN"/>
        </w:rPr>
        <w:t>F</w:t>
      </w:r>
      <w:r>
        <w:rPr>
          <w:rFonts w:hint="default" w:ascii="Times New Roman" w:hAnsi="Times New Roman" w:eastAsia="黑体" w:cs="Times New Roman"/>
          <w:kern w:val="2"/>
          <w:sz w:val="21"/>
          <w:szCs w:val="24"/>
          <w:lang w:eastAsia="zh-CN"/>
        </w:rPr>
        <w:t>.1.2 国内绿色产品申报级</w:t>
      </w:r>
    </w:p>
    <w:p w14:paraId="72D16DAD">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国内绿色产品申报级用于国内绿色产品、碳标签、绿色制造等认证申报，应披露以下内容：</w:t>
      </w:r>
    </w:p>
    <w:p w14:paraId="57527F14">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a） 产品碳足迹总量及主要生命周期阶段贡献比例；</w:t>
      </w:r>
    </w:p>
    <w:p w14:paraId="4EC55360">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b） 声明单位及系统边界说明；</w:t>
      </w:r>
    </w:p>
    <w:p w14:paraId="31130BDC">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c） 数据质量评价结果；</w:t>
      </w:r>
    </w:p>
    <w:p w14:paraId="29D1CA15">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d） 不确定性分析结果（置信区间）；</w:t>
      </w:r>
    </w:p>
    <w:p w14:paraId="62A157AD">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e） 与行业基准的对标等级；</w:t>
      </w:r>
    </w:p>
    <w:p w14:paraId="21E5AB74">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f） 第三方验证机构名称和验证意见。</w:t>
      </w:r>
    </w:p>
    <w:p w14:paraId="4FCD254F">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国内绿色产品申报、跨境出口碳足迹要求不统一，应针对具体申报对象查询产品碳足迹准入值。</w:t>
      </w:r>
    </w:p>
    <w:p w14:paraId="23FB3469">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eastAsia" w:ascii="Times New Roman" w:hAnsi="Times New Roman" w:eastAsia="黑体" w:cs="Times New Roman"/>
          <w:kern w:val="2"/>
          <w:sz w:val="21"/>
          <w:szCs w:val="24"/>
          <w:lang w:val="en-US" w:eastAsia="zh-CN"/>
        </w:rPr>
        <w:t>F</w:t>
      </w:r>
      <w:r>
        <w:rPr>
          <w:rFonts w:hint="default" w:ascii="Times New Roman" w:hAnsi="Times New Roman" w:eastAsia="黑体" w:cs="Times New Roman"/>
          <w:kern w:val="2"/>
          <w:sz w:val="21"/>
          <w:szCs w:val="24"/>
          <w:lang w:eastAsia="zh-CN"/>
        </w:rPr>
        <w:t>.1.3 国际跨境级</w:t>
      </w:r>
    </w:p>
    <w:p w14:paraId="44553408">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国际跨境级用于欧盟碳边境调节机制（CBAM）、电池护照等国际贸易场景，应符合目标市场法规要求：</w:t>
      </w:r>
    </w:p>
    <w:p w14:paraId="5E63C2B4">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a） 全生命周期系统边界说明（如目标市场要求"从摇篮到坟墓"）；</w:t>
      </w:r>
    </w:p>
    <w:p w14:paraId="68BA9720">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b） 数据质量等级和不确定性说明；</w:t>
      </w:r>
    </w:p>
    <w:p w14:paraId="44F72222">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c） 第三方验证声明（应符合目标市场认可的国际标准）；</w:t>
      </w:r>
    </w:p>
    <w:p w14:paraId="0B25C7F3">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d） 绿色标签申请相关信息（如适用）。</w:t>
      </w:r>
    </w:p>
    <w:p w14:paraId="752BB866">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val="en-US" w:eastAsia="zh-CN"/>
        </w:rPr>
      </w:pPr>
      <w:r>
        <w:rPr>
          <w:rFonts w:hint="eastAsia" w:ascii="Times New Roman" w:hAnsi="Times New Roman" w:eastAsia="黑体" w:cs="Times New Roman"/>
          <w:kern w:val="2"/>
          <w:sz w:val="21"/>
          <w:szCs w:val="24"/>
          <w:lang w:val="en-US" w:eastAsia="zh-CN"/>
        </w:rPr>
        <w:t>F</w:t>
      </w:r>
      <w:r>
        <w:rPr>
          <w:rFonts w:hint="default" w:ascii="Times New Roman" w:hAnsi="Times New Roman" w:eastAsia="黑体" w:cs="Times New Roman"/>
          <w:kern w:val="2"/>
          <w:sz w:val="21"/>
          <w:szCs w:val="24"/>
          <w:lang w:val="en-US" w:eastAsia="zh-CN"/>
        </w:rPr>
        <w:t>.2 绿色标签应用</w:t>
      </w:r>
    </w:p>
    <w:p w14:paraId="1878376C">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eastAsia" w:ascii="Times New Roman" w:hAnsi="Times New Roman" w:eastAsia="黑体" w:cs="Times New Roman"/>
          <w:kern w:val="2"/>
          <w:sz w:val="21"/>
          <w:szCs w:val="24"/>
          <w:lang w:val="en-US" w:eastAsia="zh-CN"/>
        </w:rPr>
        <w:t>F</w:t>
      </w:r>
      <w:r>
        <w:rPr>
          <w:rFonts w:hint="default" w:ascii="Times New Roman" w:hAnsi="Times New Roman" w:eastAsia="黑体" w:cs="Times New Roman"/>
          <w:kern w:val="2"/>
          <w:sz w:val="21"/>
          <w:szCs w:val="24"/>
          <w:lang w:eastAsia="zh-CN"/>
        </w:rPr>
        <w:t>.2.1 绿色标签申请条件</w:t>
      </w:r>
    </w:p>
    <w:p w14:paraId="256D293C">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产品碳足迹绿色标签的申请应满足以下条件：</w:t>
      </w:r>
    </w:p>
    <w:p w14:paraId="40C051F5">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a） 产品碳足迹值低于行业基准值的P50水平；</w:t>
      </w:r>
    </w:p>
    <w:p w14:paraId="5122032E">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b） 已通过具有资质的第三方机构验证；</w:t>
      </w:r>
    </w:p>
    <w:p w14:paraId="17BAFAD2">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c） 数据质量评价结果符合附录B的规定；</w:t>
      </w:r>
    </w:p>
    <w:p w14:paraId="56D50589">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d） 已建立有效的数据追溯和管理体系。</w:t>
      </w:r>
    </w:p>
    <w:p w14:paraId="7CA7ADDC">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eastAsia" w:ascii="Times New Roman" w:hAnsi="Times New Roman" w:eastAsia="黑体" w:cs="Times New Roman"/>
          <w:kern w:val="2"/>
          <w:sz w:val="21"/>
          <w:szCs w:val="24"/>
          <w:lang w:val="en-US" w:eastAsia="zh-CN"/>
        </w:rPr>
        <w:t>F</w:t>
      </w:r>
      <w:r>
        <w:rPr>
          <w:rFonts w:hint="default" w:ascii="Times New Roman" w:hAnsi="Times New Roman" w:eastAsia="黑体" w:cs="Times New Roman"/>
          <w:kern w:val="2"/>
          <w:sz w:val="21"/>
          <w:szCs w:val="24"/>
          <w:lang w:eastAsia="zh-CN"/>
        </w:rPr>
        <w:t>.2.2 绿色标签标注格式</w:t>
      </w:r>
    </w:p>
    <w:p w14:paraId="617D9B81">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绿色标签应包含以下信息：产品名称、声明单位、碳足迹数值（kg CO2e/声明单位）、验证机构、有效期、二维码（链接至完整碳足迹报告）。</w:t>
      </w:r>
    </w:p>
    <w:p w14:paraId="18851235">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eastAsia" w:ascii="Times New Roman" w:hAnsi="Times New Roman" w:eastAsia="黑体" w:cs="Times New Roman"/>
          <w:kern w:val="2"/>
          <w:sz w:val="21"/>
          <w:szCs w:val="24"/>
          <w:lang w:val="en-US" w:eastAsia="zh-CN"/>
        </w:rPr>
        <w:t>F</w:t>
      </w:r>
      <w:r>
        <w:rPr>
          <w:rFonts w:hint="default" w:ascii="Times New Roman" w:hAnsi="Times New Roman" w:eastAsia="黑体" w:cs="Times New Roman"/>
          <w:kern w:val="2"/>
          <w:sz w:val="21"/>
          <w:szCs w:val="24"/>
          <w:lang w:eastAsia="zh-CN"/>
        </w:rPr>
        <w:t>.2.3 绿色标签有效期管理</w:t>
      </w:r>
    </w:p>
    <w:p w14:paraId="046B8449">
      <w:pPr>
        <w:adjustRightInd w:val="0"/>
        <w:snapToGrid w:val="0"/>
        <w:spacing w:after="0" w:line="360" w:lineRule="auto"/>
        <w:ind w:firstLine="420" w:firstLineChars="200"/>
        <w:jc w:val="both"/>
        <w:rPr>
          <w:rFonts w:hint="default" w:ascii="Times New Roman" w:hAnsi="Times New Roman" w:eastAsia="黑体" w:cs="Times New Roman"/>
          <w:kern w:val="2"/>
          <w:sz w:val="21"/>
          <w:szCs w:val="21"/>
        </w:rPr>
      </w:pPr>
      <w:r>
        <w:rPr>
          <w:rFonts w:hint="default" w:ascii="Times New Roman" w:hAnsi="Times New Roman" w:eastAsia="宋体" w:cs="Times New Roman"/>
          <w:kern w:val="2"/>
          <w:sz w:val="21"/>
          <w:szCs w:val="21"/>
        </w:rPr>
        <w:t>绿色标签有效期为2年。有效期内如产品配方、生产工艺或原材料来源发生重大变化，应重新进行碳足迹量化并申请标签更新。</w:t>
      </w:r>
    </w:p>
    <w:p w14:paraId="50595A7D">
      <w:pPr>
        <w:rPr>
          <w:rFonts w:hint="default" w:ascii="Times New Roman" w:hAnsi="Times New Roman" w:eastAsia="黑体" w:cs="Times New Roman"/>
          <w:bCs/>
          <w:kern w:val="2"/>
          <w:sz w:val="32"/>
          <w:szCs w:val="32"/>
          <w:lang w:eastAsia="zh-CN"/>
        </w:rPr>
      </w:pPr>
    </w:p>
    <w:p w14:paraId="541473BD">
      <w:pPr>
        <w:rPr>
          <w:rFonts w:hint="default" w:ascii="Times New Roman" w:hAnsi="Times New Roman" w:eastAsia="黑体" w:cs="Times New Roman"/>
          <w:bCs/>
          <w:kern w:val="2"/>
          <w:sz w:val="32"/>
          <w:szCs w:val="32"/>
          <w:lang w:eastAsia="zh-CN"/>
        </w:rPr>
      </w:pPr>
    </w:p>
    <w:p w14:paraId="3DF282CB">
      <w:pPr>
        <w:rPr>
          <w:rFonts w:hint="default" w:ascii="Times New Roman" w:hAnsi="Times New Roman" w:eastAsia="黑体" w:cs="Times New Roman"/>
          <w:bCs/>
          <w:kern w:val="2"/>
          <w:sz w:val="32"/>
          <w:szCs w:val="32"/>
          <w:lang w:eastAsia="zh-CN"/>
        </w:rPr>
      </w:pPr>
    </w:p>
    <w:p w14:paraId="21E0C7CA">
      <w:pPr>
        <w:rPr>
          <w:rFonts w:hint="default" w:ascii="Times New Roman" w:hAnsi="Times New Roman" w:eastAsia="黑体" w:cs="Times New Roman"/>
          <w:bCs/>
          <w:kern w:val="2"/>
          <w:sz w:val="32"/>
          <w:szCs w:val="32"/>
          <w:lang w:eastAsia="zh-CN"/>
        </w:rPr>
      </w:pPr>
    </w:p>
    <w:p w14:paraId="0E885E21">
      <w:pPr>
        <w:rPr>
          <w:rFonts w:hint="default" w:ascii="Times New Roman" w:hAnsi="Times New Roman" w:eastAsia="黑体" w:cs="Times New Roman"/>
          <w:bCs/>
          <w:kern w:val="2"/>
          <w:sz w:val="32"/>
          <w:szCs w:val="32"/>
          <w:lang w:eastAsia="zh-CN"/>
        </w:rPr>
      </w:pPr>
    </w:p>
    <w:p w14:paraId="018476BB">
      <w:pPr>
        <w:rPr>
          <w:rFonts w:hint="default" w:ascii="Times New Roman" w:hAnsi="Times New Roman" w:eastAsia="黑体" w:cs="Times New Roman"/>
          <w:bCs/>
          <w:kern w:val="2"/>
          <w:sz w:val="32"/>
          <w:szCs w:val="32"/>
          <w:lang w:eastAsia="zh-CN"/>
        </w:rPr>
      </w:pPr>
    </w:p>
    <w:p w14:paraId="08C5E698">
      <w:pPr>
        <w:rPr>
          <w:rFonts w:hint="default" w:ascii="Times New Roman" w:hAnsi="Times New Roman" w:eastAsia="黑体" w:cs="Times New Roman"/>
          <w:bCs/>
          <w:kern w:val="2"/>
          <w:sz w:val="32"/>
          <w:szCs w:val="32"/>
          <w:lang w:eastAsia="zh-CN"/>
        </w:rPr>
      </w:pPr>
    </w:p>
    <w:p w14:paraId="430233A6">
      <w:pPr>
        <w:rPr>
          <w:rFonts w:hint="default" w:ascii="Times New Roman" w:hAnsi="Times New Roman" w:eastAsia="黑体" w:cs="Times New Roman"/>
          <w:bCs/>
          <w:kern w:val="2"/>
          <w:sz w:val="32"/>
          <w:szCs w:val="32"/>
          <w:lang w:eastAsia="zh-CN"/>
        </w:rPr>
      </w:pPr>
    </w:p>
    <w:p w14:paraId="2896DBD7">
      <w:pPr>
        <w:rPr>
          <w:rFonts w:hint="default" w:ascii="Times New Roman" w:hAnsi="Times New Roman" w:eastAsia="黑体" w:cs="Times New Roman"/>
          <w:bCs/>
          <w:kern w:val="2"/>
          <w:sz w:val="32"/>
          <w:szCs w:val="32"/>
          <w:lang w:eastAsia="zh-CN"/>
        </w:rPr>
      </w:pPr>
    </w:p>
    <w:p w14:paraId="0EFD66C7">
      <w:pPr>
        <w:rPr>
          <w:rFonts w:hint="default" w:ascii="Times New Roman" w:hAnsi="Times New Roman" w:eastAsia="黑体" w:cs="Times New Roman"/>
          <w:bCs/>
          <w:kern w:val="2"/>
          <w:sz w:val="32"/>
          <w:szCs w:val="32"/>
          <w:lang w:eastAsia="zh-CN"/>
        </w:rPr>
      </w:pPr>
    </w:p>
    <w:p w14:paraId="4A395DFA">
      <w:pPr>
        <w:rPr>
          <w:rFonts w:hint="default" w:ascii="Times New Roman" w:hAnsi="Times New Roman" w:eastAsia="黑体" w:cs="Times New Roman"/>
          <w:bCs/>
          <w:kern w:val="2"/>
          <w:sz w:val="32"/>
          <w:szCs w:val="32"/>
          <w:lang w:eastAsia="zh-CN"/>
        </w:rPr>
      </w:pPr>
    </w:p>
    <w:p w14:paraId="5767CEFB">
      <w:pPr>
        <w:rPr>
          <w:rFonts w:hint="default" w:ascii="Times New Roman" w:hAnsi="Times New Roman" w:eastAsia="黑体" w:cs="Times New Roman"/>
          <w:bCs/>
          <w:kern w:val="2"/>
          <w:sz w:val="32"/>
          <w:szCs w:val="32"/>
          <w:lang w:eastAsia="zh-CN"/>
        </w:rPr>
      </w:pPr>
    </w:p>
    <w:p w14:paraId="115D4D1B">
      <w:pPr>
        <w:rPr>
          <w:rFonts w:hint="default" w:ascii="Times New Roman" w:hAnsi="Times New Roman" w:eastAsia="黑体" w:cs="Times New Roman"/>
          <w:bCs/>
          <w:kern w:val="2"/>
          <w:sz w:val="32"/>
          <w:szCs w:val="32"/>
          <w:lang w:eastAsia="zh-CN"/>
        </w:rPr>
      </w:pPr>
    </w:p>
    <w:p w14:paraId="2CA5C3FD">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64AB201B">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bookmarkStart w:id="95" w:name="_Toc28706"/>
      <w:r>
        <w:rPr>
          <w:rFonts w:hint="default" w:ascii="Times New Roman" w:hAnsi="Times New Roman" w:eastAsia="黑体" w:cs="Times New Roman"/>
          <w:bCs/>
          <w:kern w:val="44"/>
          <w:sz w:val="21"/>
          <w:szCs w:val="44"/>
          <w:lang w:eastAsia="zh-CN"/>
        </w:rPr>
        <w:t>附录</w:t>
      </w:r>
      <w:r>
        <w:rPr>
          <w:rFonts w:hint="eastAsia" w:ascii="Times New Roman" w:hAnsi="Times New Roman" w:eastAsia="黑体" w:cs="Times New Roman"/>
          <w:bCs/>
          <w:kern w:val="44"/>
          <w:sz w:val="21"/>
          <w:szCs w:val="44"/>
          <w:lang w:val="en-US" w:eastAsia="zh-CN"/>
        </w:rPr>
        <w:t>G</w:t>
      </w:r>
      <w:bookmarkEnd w:id="95"/>
    </w:p>
    <w:p w14:paraId="37F0F2B0">
      <w:pPr>
        <w:keepNext/>
        <w:keepLines/>
        <w:adjustRightInd w:val="0"/>
        <w:snapToGrid w:val="0"/>
        <w:spacing w:before="100" w:after="90" w:line="240" w:lineRule="auto"/>
        <w:jc w:val="center"/>
        <w:outlineLvl w:val="9"/>
        <w:rPr>
          <w:rFonts w:hint="default" w:ascii="Times New Roman" w:hAnsi="Times New Roman" w:eastAsia="黑体" w:cs="Times New Roman"/>
          <w:bCs/>
          <w:kern w:val="44"/>
          <w:sz w:val="21"/>
          <w:szCs w:val="44"/>
          <w:lang w:eastAsia="zh-CN"/>
        </w:rPr>
      </w:pPr>
      <w:r>
        <w:rPr>
          <w:rFonts w:hint="default" w:ascii="Times New Roman" w:hAnsi="Times New Roman" w:eastAsia="黑体" w:cs="Times New Roman"/>
          <w:bCs/>
          <w:kern w:val="44"/>
          <w:sz w:val="21"/>
          <w:szCs w:val="44"/>
          <w:lang w:eastAsia="zh-CN"/>
        </w:rPr>
        <w:t xml:space="preserve">（资料性） </w:t>
      </w:r>
    </w:p>
    <w:p w14:paraId="511286C1">
      <w:pPr>
        <w:keepNext/>
        <w:keepLines/>
        <w:adjustRightInd w:val="0"/>
        <w:snapToGrid w:val="0"/>
        <w:spacing w:before="100" w:after="90" w:line="240" w:lineRule="auto"/>
        <w:jc w:val="center"/>
        <w:outlineLvl w:val="9"/>
        <w:rPr>
          <w:rFonts w:hint="default" w:ascii="Times New Roman" w:hAnsi="Times New Roman" w:eastAsia="黑体" w:cs="Times New Roman"/>
          <w:bCs/>
          <w:kern w:val="44"/>
          <w:sz w:val="21"/>
          <w:szCs w:val="44"/>
          <w:lang w:eastAsia="zh-CN"/>
        </w:rPr>
      </w:pPr>
      <w:r>
        <w:rPr>
          <w:rFonts w:hint="default" w:ascii="Times New Roman" w:hAnsi="Times New Roman" w:eastAsia="黑体" w:cs="Times New Roman"/>
          <w:bCs/>
          <w:kern w:val="44"/>
          <w:sz w:val="21"/>
          <w:szCs w:val="44"/>
          <w:lang w:eastAsia="zh-CN"/>
        </w:rPr>
        <w:t>不确定性分析与减排潜力评估方法</w:t>
      </w:r>
    </w:p>
    <w:p w14:paraId="0E4B8743">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val="en-US" w:eastAsia="zh-CN"/>
        </w:rPr>
      </w:pPr>
      <w:r>
        <w:rPr>
          <w:rFonts w:hint="eastAsia" w:ascii="Times New Roman" w:hAnsi="Times New Roman" w:eastAsia="黑体" w:cs="Times New Roman"/>
          <w:kern w:val="2"/>
          <w:sz w:val="21"/>
          <w:szCs w:val="24"/>
          <w:lang w:val="en-US" w:eastAsia="zh-CN"/>
        </w:rPr>
        <w:t>G</w:t>
      </w:r>
      <w:r>
        <w:rPr>
          <w:rFonts w:hint="default" w:ascii="Times New Roman" w:hAnsi="Times New Roman" w:eastAsia="黑体" w:cs="Times New Roman"/>
          <w:kern w:val="2"/>
          <w:sz w:val="21"/>
          <w:szCs w:val="24"/>
          <w:lang w:val="en-US" w:eastAsia="zh-CN"/>
        </w:rPr>
        <w:t>.1 不确定性分析方法</w:t>
      </w:r>
    </w:p>
    <w:p w14:paraId="2BCC1F2A">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eastAsia" w:ascii="Times New Roman" w:hAnsi="Times New Roman" w:eastAsia="黑体" w:cs="Times New Roman"/>
          <w:kern w:val="2"/>
          <w:sz w:val="21"/>
          <w:szCs w:val="24"/>
          <w:lang w:val="en-US" w:eastAsia="zh-CN"/>
        </w:rPr>
        <w:t>G</w:t>
      </w:r>
      <w:r>
        <w:rPr>
          <w:rFonts w:hint="default" w:ascii="Times New Roman" w:hAnsi="Times New Roman" w:eastAsia="黑体" w:cs="Times New Roman"/>
          <w:kern w:val="2"/>
          <w:sz w:val="21"/>
          <w:szCs w:val="24"/>
          <w:lang w:eastAsia="zh-CN"/>
        </w:rPr>
        <w:t>.1.1 误差传播法</w:t>
      </w:r>
    </w:p>
    <w:p w14:paraId="53C70BC6">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对于线性模型，当各输入参数的不确定性相互独立时，可采用误差传播法计算合成不确定度。</w:t>
      </w:r>
    </w:p>
    <w:p w14:paraId="3250DCDA">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eastAsia" w:ascii="Times New Roman" w:hAnsi="Times New Roman" w:eastAsia="黑体" w:cs="Times New Roman"/>
          <w:kern w:val="2"/>
          <w:sz w:val="21"/>
          <w:szCs w:val="24"/>
          <w:lang w:val="en-US" w:eastAsia="zh-CN"/>
        </w:rPr>
        <w:t>G</w:t>
      </w:r>
      <w:r>
        <w:rPr>
          <w:rFonts w:hint="default" w:ascii="Times New Roman" w:hAnsi="Times New Roman" w:eastAsia="黑体" w:cs="Times New Roman"/>
          <w:kern w:val="2"/>
          <w:sz w:val="21"/>
          <w:szCs w:val="24"/>
          <w:lang w:eastAsia="zh-CN"/>
        </w:rPr>
        <w:t>.1.2 蒙特卡洛模拟</w:t>
      </w:r>
    </w:p>
    <w:p w14:paraId="518FE9FD">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当模型复杂或参数间存在相关性时，应采用蒙特卡洛模拟方法进行不确定性分析。蒙特卡洛模拟步骤如下：</w:t>
      </w:r>
    </w:p>
    <w:p w14:paraId="06948ECB">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a）定义各输入参数的概率分布（正态分布、对数正态分布、均匀分布等）；</w:t>
      </w:r>
    </w:p>
    <w:p w14:paraId="6858849E">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b）从各参数的概率分布中随机抽样；</w:t>
      </w:r>
    </w:p>
    <w:p w14:paraId="7DA4F791">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c）计算每次抽样的碳足迹结果；</w:t>
      </w:r>
    </w:p>
    <w:p w14:paraId="7904B9F1">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d）重复步骤b）和c）足够次数（≥10,000次）；</w:t>
      </w:r>
    </w:p>
    <w:p w14:paraId="3381CE6E">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e）统计分析模拟结果，计算均值、标准差和95%置信区间。</w:t>
      </w:r>
    </w:p>
    <w:p w14:paraId="185A7FE9">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val="en-US" w:eastAsia="zh-CN"/>
        </w:rPr>
      </w:pPr>
      <w:r>
        <w:rPr>
          <w:rFonts w:hint="eastAsia" w:ascii="Times New Roman" w:hAnsi="Times New Roman" w:eastAsia="黑体" w:cs="Times New Roman"/>
          <w:kern w:val="2"/>
          <w:sz w:val="21"/>
          <w:szCs w:val="24"/>
          <w:lang w:val="en-US" w:eastAsia="zh-CN"/>
        </w:rPr>
        <w:t>G</w:t>
      </w:r>
      <w:r>
        <w:rPr>
          <w:rFonts w:hint="default" w:ascii="Times New Roman" w:hAnsi="Times New Roman" w:eastAsia="黑体" w:cs="Times New Roman"/>
          <w:kern w:val="2"/>
          <w:sz w:val="21"/>
          <w:szCs w:val="24"/>
          <w:lang w:val="en-US" w:eastAsia="zh-CN"/>
        </w:rPr>
        <w:t>.2 减排潜力评估方法</w:t>
      </w:r>
    </w:p>
    <w:p w14:paraId="7E3EE551">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eastAsia" w:ascii="Times New Roman" w:hAnsi="Times New Roman" w:eastAsia="黑体" w:cs="Times New Roman"/>
          <w:kern w:val="2"/>
          <w:sz w:val="21"/>
          <w:szCs w:val="24"/>
          <w:lang w:val="en-US" w:eastAsia="zh-CN"/>
        </w:rPr>
        <w:t>G</w:t>
      </w:r>
      <w:r>
        <w:rPr>
          <w:rFonts w:hint="default" w:ascii="Times New Roman" w:hAnsi="Times New Roman" w:eastAsia="黑体" w:cs="Times New Roman"/>
          <w:kern w:val="2"/>
          <w:sz w:val="21"/>
          <w:szCs w:val="24"/>
          <w:lang w:eastAsia="zh-CN"/>
        </w:rPr>
        <w:t>.2.1 工序级减排潜力</w:t>
      </w:r>
    </w:p>
    <w:p w14:paraId="127959BF">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对生产阶段各工序（C1-C6）分别计算理论减排空间和可实现减排空间。理论减排空间基于该工序的最佳可行技术（BAT）能耗水平计算；可实现减排空间考虑技术成熟度和经济可行性。</w:t>
      </w:r>
    </w:p>
    <w:p w14:paraId="56055924">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eastAsia" w:ascii="Times New Roman" w:hAnsi="Times New Roman" w:eastAsia="黑体" w:cs="Times New Roman"/>
          <w:kern w:val="2"/>
          <w:sz w:val="21"/>
          <w:szCs w:val="24"/>
          <w:lang w:val="en-US" w:eastAsia="zh-CN"/>
        </w:rPr>
        <w:t>G</w:t>
      </w:r>
      <w:r>
        <w:rPr>
          <w:rFonts w:hint="default" w:ascii="Times New Roman" w:hAnsi="Times New Roman" w:eastAsia="黑体" w:cs="Times New Roman"/>
          <w:kern w:val="2"/>
          <w:sz w:val="21"/>
          <w:szCs w:val="24"/>
          <w:lang w:eastAsia="zh-CN"/>
        </w:rPr>
        <w:t>.2.2 原材料替代减排潜力</w:t>
      </w:r>
    </w:p>
    <w:p w14:paraId="3FD2EBD5">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评估使用低碳原材料（如再生稀土原料）替代现有原材料的减排效果。计算方法为替代前后碳足迹差值与基准情景碳足迹的比值。</w:t>
      </w:r>
    </w:p>
    <w:p w14:paraId="4FD0EBB2">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eastAsia" w:ascii="Times New Roman" w:hAnsi="Times New Roman" w:eastAsia="黑体" w:cs="Times New Roman"/>
          <w:kern w:val="2"/>
          <w:sz w:val="21"/>
          <w:szCs w:val="24"/>
          <w:lang w:val="en-US" w:eastAsia="zh-CN"/>
        </w:rPr>
        <w:t>G</w:t>
      </w:r>
      <w:r>
        <w:rPr>
          <w:rFonts w:hint="default" w:ascii="Times New Roman" w:hAnsi="Times New Roman" w:eastAsia="黑体" w:cs="Times New Roman"/>
          <w:kern w:val="2"/>
          <w:sz w:val="21"/>
          <w:szCs w:val="24"/>
          <w:lang w:eastAsia="zh-CN"/>
        </w:rPr>
        <w:t>.2.3 能源结构优化减排潜力</w:t>
      </w:r>
    </w:p>
    <w:p w14:paraId="37A586A6">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评估使用可再生能源电力替代电网电力的减排效果。计算方法为：</w:t>
      </w:r>
    </w:p>
    <w:p w14:paraId="754845A6">
      <w:pPr>
        <w:adjustRightInd w:val="0"/>
        <w:snapToGrid w:val="0"/>
        <w:spacing w:after="0" w:line="360" w:lineRule="auto"/>
        <w:ind w:firstLine="420" w:firstLineChars="200"/>
        <w:jc w:val="both"/>
        <w:rPr>
          <w:rFonts w:hint="default" w:ascii="Times New Roman" w:hAnsi="Times New Roman" w:eastAsia="宋体" w:cs="Times New Roman"/>
          <w:i/>
          <w:iCs/>
          <w:kern w:val="2"/>
          <w:sz w:val="21"/>
          <w:szCs w:val="21"/>
        </w:rPr>
      </w:pPr>
      <w:r>
        <w:rPr>
          <w:rFonts w:hint="default" w:ascii="Times New Roman" w:hAnsi="Times New Roman" w:eastAsia="宋体" w:cs="Times New Roman"/>
          <w:i/>
          <w:iCs/>
          <w:kern w:val="2"/>
          <w:sz w:val="21"/>
          <w:szCs w:val="21"/>
        </w:rPr>
        <w:t>减排潜力=（电网电力排放因子</w:t>
      </w:r>
      <w:r>
        <w:rPr>
          <w:rFonts w:hint="eastAsia" w:ascii="Times New Roman" w:hAnsi="Times New Roman" w:eastAsia="宋体" w:cs="Times New Roman"/>
          <w:i/>
          <w:iCs/>
          <w:kern w:val="2"/>
          <w:sz w:val="21"/>
          <w:szCs w:val="21"/>
          <w:lang w:val="en-US" w:eastAsia="zh-CN"/>
        </w:rPr>
        <w:t>-</w:t>
      </w:r>
      <w:r>
        <w:rPr>
          <w:rFonts w:hint="default" w:ascii="Times New Roman" w:hAnsi="Times New Roman" w:eastAsia="宋体" w:cs="Times New Roman"/>
          <w:i/>
          <w:iCs/>
          <w:kern w:val="2"/>
          <w:sz w:val="21"/>
          <w:szCs w:val="21"/>
        </w:rPr>
        <w:t>可再生能源电力排放因子）×可再生能源电力使用量/产品产量</w:t>
      </w:r>
    </w:p>
    <w:p w14:paraId="2BB9A315">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eastAsia" w:ascii="Times New Roman" w:hAnsi="Times New Roman" w:eastAsia="黑体" w:cs="Times New Roman"/>
          <w:kern w:val="2"/>
          <w:sz w:val="21"/>
          <w:szCs w:val="24"/>
          <w:lang w:val="en-US" w:eastAsia="zh-CN"/>
        </w:rPr>
        <w:t>G</w:t>
      </w:r>
      <w:r>
        <w:rPr>
          <w:rFonts w:hint="default" w:ascii="Times New Roman" w:hAnsi="Times New Roman" w:eastAsia="黑体" w:cs="Times New Roman"/>
          <w:kern w:val="2"/>
          <w:sz w:val="21"/>
          <w:szCs w:val="24"/>
          <w:lang w:eastAsia="zh-CN"/>
        </w:rPr>
        <w:t>.2.4 工艺改进减排潜力</w:t>
      </w:r>
    </w:p>
    <w:p w14:paraId="47BA5441">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评估采用先进工艺减排效果。计算方法为工艺改进前后碳足迹差值与基准情景碳足迹的比值。</w:t>
      </w:r>
    </w:p>
    <w:p w14:paraId="112AB142">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eastAsia" w:ascii="Times New Roman" w:hAnsi="Times New Roman" w:eastAsia="黑体" w:cs="Times New Roman"/>
          <w:kern w:val="2"/>
          <w:sz w:val="21"/>
          <w:szCs w:val="24"/>
          <w:lang w:val="en-US" w:eastAsia="zh-CN"/>
        </w:rPr>
        <w:t>G</w:t>
      </w:r>
      <w:r>
        <w:rPr>
          <w:rFonts w:hint="default" w:ascii="Times New Roman" w:hAnsi="Times New Roman" w:eastAsia="黑体" w:cs="Times New Roman"/>
          <w:kern w:val="2"/>
          <w:sz w:val="21"/>
          <w:szCs w:val="24"/>
          <w:lang w:eastAsia="zh-CN"/>
        </w:rPr>
        <w:t>.2.5 综合减排潜力评估</w:t>
      </w:r>
    </w:p>
    <w:p w14:paraId="2D979A69">
      <w:pPr>
        <w:adjustRightInd w:val="0"/>
        <w:snapToGrid w:val="0"/>
        <w:spacing w:after="0" w:line="360" w:lineRule="auto"/>
        <w:ind w:firstLine="420" w:firstLineChars="200"/>
        <w:jc w:val="both"/>
        <w:rPr>
          <w:rFonts w:hint="default" w:ascii="Times New Roman" w:hAnsi="Times New Roman" w:eastAsia="黑体" w:cs="Times New Roman"/>
          <w:bCs/>
          <w:kern w:val="2"/>
          <w:sz w:val="32"/>
          <w:szCs w:val="32"/>
          <w:lang w:eastAsia="zh-CN"/>
        </w:rPr>
      </w:pPr>
      <w:r>
        <w:rPr>
          <w:rFonts w:hint="default" w:ascii="Times New Roman" w:hAnsi="Times New Roman" w:eastAsia="宋体" w:cs="Times New Roman"/>
          <w:kern w:val="2"/>
          <w:sz w:val="21"/>
          <w:szCs w:val="21"/>
        </w:rPr>
        <w:t>综合减排潜力为各单项减排潜力的叠加，但应考虑措施间的协同效应和重复计算。综合减排潜力不应超过理论最大潜力的80%。</w:t>
      </w:r>
    </w:p>
    <w:p w14:paraId="6B17E700">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5162A7F5">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6F0EA4A8">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391428CF">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072529B9">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20EFDCBF">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3DEDE3AD">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609E1E9B">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205861D8">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039E6E74">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7B53F037">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4036A673">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77154DA3">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1E745D21">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2CC32CF8">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44DBCE24">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6600B105">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3987E2AD">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6E95964C">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3609C866">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61D7DA44">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27F8D315">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07569ACE">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1F8C69E7">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588FC0C8">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10F416CC">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04C4807C">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775346A7">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43C71F16">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0E955ACB">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2F0D7885">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3943D9EC">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7BF3C8A1">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p>
    <w:p w14:paraId="72154EFD">
      <w:pPr>
        <w:keepNext/>
        <w:keepLines/>
        <w:adjustRightInd w:val="0"/>
        <w:snapToGrid w:val="0"/>
        <w:spacing w:before="100" w:after="90" w:line="240" w:lineRule="auto"/>
        <w:jc w:val="both"/>
        <w:outlineLvl w:val="0"/>
        <w:rPr>
          <w:rFonts w:hint="default" w:ascii="Times New Roman" w:hAnsi="Times New Roman" w:eastAsia="黑体" w:cs="Times New Roman"/>
          <w:bCs/>
          <w:kern w:val="44"/>
          <w:sz w:val="21"/>
          <w:szCs w:val="44"/>
          <w:lang w:eastAsia="zh-CN"/>
        </w:rPr>
      </w:pPr>
    </w:p>
    <w:p w14:paraId="13219BCB">
      <w:pPr>
        <w:rPr>
          <w:rFonts w:hint="default" w:ascii="Times New Roman" w:hAnsi="Times New Roman" w:eastAsia="黑体" w:cs="Times New Roman"/>
          <w:bCs/>
          <w:kern w:val="44"/>
          <w:sz w:val="21"/>
          <w:szCs w:val="44"/>
          <w:lang w:eastAsia="zh-CN"/>
        </w:rPr>
      </w:pPr>
      <w:r>
        <w:rPr>
          <w:rFonts w:hint="default" w:ascii="Times New Roman" w:hAnsi="Times New Roman" w:eastAsia="黑体" w:cs="Times New Roman"/>
          <w:bCs/>
          <w:kern w:val="44"/>
          <w:sz w:val="21"/>
          <w:szCs w:val="44"/>
          <w:lang w:eastAsia="zh-CN"/>
        </w:rPr>
        <w:br w:type="page"/>
      </w:r>
    </w:p>
    <w:p w14:paraId="4040C175">
      <w:pPr>
        <w:keepNext/>
        <w:keepLines/>
        <w:adjustRightInd w:val="0"/>
        <w:snapToGrid w:val="0"/>
        <w:spacing w:before="100" w:after="90" w:line="240" w:lineRule="auto"/>
        <w:jc w:val="center"/>
        <w:outlineLvl w:val="0"/>
        <w:rPr>
          <w:rFonts w:hint="default" w:ascii="Times New Roman" w:hAnsi="Times New Roman" w:eastAsia="黑体" w:cs="Times New Roman"/>
          <w:bCs/>
          <w:kern w:val="44"/>
          <w:sz w:val="21"/>
          <w:szCs w:val="44"/>
          <w:lang w:eastAsia="zh-CN"/>
        </w:rPr>
      </w:pPr>
      <w:bookmarkStart w:id="96" w:name="_Toc26427"/>
      <w:r>
        <w:rPr>
          <w:rFonts w:hint="default" w:ascii="Times New Roman" w:hAnsi="Times New Roman" w:eastAsia="黑体" w:cs="Times New Roman"/>
          <w:bCs/>
          <w:kern w:val="44"/>
          <w:sz w:val="21"/>
          <w:szCs w:val="44"/>
          <w:lang w:eastAsia="zh-CN"/>
        </w:rPr>
        <w:t>附录</w:t>
      </w:r>
      <w:r>
        <w:rPr>
          <w:rFonts w:hint="eastAsia" w:ascii="Times New Roman" w:hAnsi="Times New Roman" w:eastAsia="黑体" w:cs="Times New Roman"/>
          <w:bCs/>
          <w:kern w:val="44"/>
          <w:sz w:val="21"/>
          <w:szCs w:val="44"/>
          <w:lang w:val="en-US" w:eastAsia="zh-CN"/>
        </w:rPr>
        <w:t>H</w:t>
      </w:r>
      <w:bookmarkEnd w:id="96"/>
    </w:p>
    <w:p w14:paraId="2B1F9103">
      <w:pPr>
        <w:keepNext/>
        <w:keepLines/>
        <w:adjustRightInd w:val="0"/>
        <w:snapToGrid w:val="0"/>
        <w:spacing w:before="100" w:after="90" w:line="240" w:lineRule="auto"/>
        <w:jc w:val="center"/>
        <w:outlineLvl w:val="9"/>
        <w:rPr>
          <w:rFonts w:hint="default" w:ascii="Times New Roman" w:hAnsi="Times New Roman" w:eastAsia="黑体" w:cs="Times New Roman"/>
          <w:bCs/>
          <w:kern w:val="44"/>
          <w:sz w:val="21"/>
          <w:szCs w:val="44"/>
          <w:lang w:eastAsia="zh-CN"/>
        </w:rPr>
      </w:pPr>
      <w:r>
        <w:rPr>
          <w:rFonts w:hint="default" w:ascii="Times New Roman" w:hAnsi="Times New Roman" w:eastAsia="黑体" w:cs="Times New Roman"/>
          <w:bCs/>
          <w:kern w:val="44"/>
          <w:sz w:val="21"/>
          <w:szCs w:val="44"/>
          <w:lang w:eastAsia="zh-CN"/>
        </w:rPr>
        <w:t xml:space="preserve">（资料性） </w:t>
      </w:r>
    </w:p>
    <w:p w14:paraId="786171BF">
      <w:pPr>
        <w:keepNext/>
        <w:keepLines/>
        <w:adjustRightInd w:val="0"/>
        <w:snapToGrid w:val="0"/>
        <w:spacing w:before="100" w:after="90" w:line="240" w:lineRule="auto"/>
        <w:jc w:val="center"/>
        <w:outlineLvl w:val="9"/>
        <w:rPr>
          <w:rFonts w:hint="default" w:ascii="Times New Roman" w:hAnsi="Times New Roman" w:eastAsia="黑体" w:cs="Times New Roman"/>
          <w:bCs/>
          <w:kern w:val="44"/>
          <w:sz w:val="21"/>
          <w:szCs w:val="44"/>
          <w:lang w:eastAsia="zh-CN"/>
        </w:rPr>
      </w:pPr>
      <w:r>
        <w:rPr>
          <w:rFonts w:hint="default" w:ascii="Times New Roman" w:hAnsi="Times New Roman" w:eastAsia="黑体" w:cs="Times New Roman"/>
          <w:bCs/>
          <w:kern w:val="44"/>
          <w:sz w:val="21"/>
          <w:szCs w:val="44"/>
          <w:lang w:eastAsia="zh-CN"/>
        </w:rPr>
        <w:t>行业基准对标规则</w:t>
      </w:r>
    </w:p>
    <w:p w14:paraId="650970C5">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val="en-US" w:eastAsia="zh-CN"/>
        </w:rPr>
      </w:pPr>
      <w:r>
        <w:rPr>
          <w:rFonts w:hint="eastAsia" w:ascii="Times New Roman" w:hAnsi="Times New Roman" w:eastAsia="黑体" w:cs="Times New Roman"/>
          <w:kern w:val="2"/>
          <w:sz w:val="21"/>
          <w:szCs w:val="24"/>
          <w:lang w:val="en-US" w:eastAsia="zh-CN"/>
        </w:rPr>
        <w:t>H</w:t>
      </w:r>
      <w:r>
        <w:rPr>
          <w:rFonts w:hint="default" w:ascii="Times New Roman" w:hAnsi="Times New Roman" w:eastAsia="黑体" w:cs="Times New Roman"/>
          <w:kern w:val="2"/>
          <w:sz w:val="21"/>
          <w:szCs w:val="24"/>
          <w:lang w:val="en-US" w:eastAsia="zh-CN"/>
        </w:rPr>
        <w:t>.1 碳足迹基准值计算</w:t>
      </w:r>
    </w:p>
    <w:p w14:paraId="1FD663F1">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eastAsia" w:ascii="Times New Roman" w:hAnsi="Times New Roman" w:eastAsia="黑体" w:cs="Times New Roman"/>
          <w:kern w:val="2"/>
          <w:sz w:val="21"/>
          <w:szCs w:val="24"/>
          <w:lang w:val="en-US" w:eastAsia="zh-CN"/>
        </w:rPr>
        <w:t>H</w:t>
      </w:r>
      <w:r>
        <w:rPr>
          <w:rFonts w:hint="default" w:ascii="Times New Roman" w:hAnsi="Times New Roman" w:eastAsia="黑体" w:cs="Times New Roman"/>
          <w:kern w:val="2"/>
          <w:sz w:val="21"/>
          <w:szCs w:val="24"/>
          <w:lang w:eastAsia="zh-CN"/>
        </w:rPr>
        <w:t>.1.1 样本数据采集</w:t>
      </w:r>
    </w:p>
    <w:p w14:paraId="53CFD613">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行业基准值应基于具有代表性的企业样本数据计算。样本应覆盖不同地区、不同规模和不同工艺路线的企业，样本量不应少于10家。</w:t>
      </w:r>
    </w:p>
    <w:p w14:paraId="7941A583">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eastAsia="zh-CN"/>
        </w:rPr>
      </w:pPr>
      <w:r>
        <w:rPr>
          <w:rFonts w:hint="eastAsia" w:ascii="Times New Roman" w:hAnsi="Times New Roman" w:eastAsia="黑体" w:cs="Times New Roman"/>
          <w:kern w:val="2"/>
          <w:sz w:val="21"/>
          <w:szCs w:val="24"/>
          <w:lang w:val="en-US" w:eastAsia="zh-CN"/>
        </w:rPr>
        <w:t>H</w:t>
      </w:r>
      <w:r>
        <w:rPr>
          <w:rFonts w:hint="default" w:ascii="Times New Roman" w:hAnsi="Times New Roman" w:eastAsia="黑体" w:cs="Times New Roman"/>
          <w:kern w:val="2"/>
          <w:sz w:val="21"/>
          <w:szCs w:val="24"/>
          <w:lang w:eastAsia="zh-CN"/>
        </w:rPr>
        <w:t>.1.2 基准值计算方法</w:t>
      </w:r>
    </w:p>
    <w:p w14:paraId="50D5AAEA">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按合金类型分别计算以下统计量：</w:t>
      </w:r>
    </w:p>
    <w:p w14:paraId="39D8B33B">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a） P25（先进值）：25%分位数，代表行业先进水平；</w:t>
      </w:r>
    </w:p>
    <w:p w14:paraId="7D2847F6">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b） P50（基准值）：50%分位数，代表行业平均水平；</w:t>
      </w:r>
    </w:p>
    <w:p w14:paraId="734E619C">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c） P75（落后值）：75%分位数，代表行业落后水平。</w:t>
      </w:r>
    </w:p>
    <w:p w14:paraId="767308F7">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计算前应剔除异常值（超出平均值±3倍标准差的数据）。</w:t>
      </w:r>
    </w:p>
    <w:p w14:paraId="318E83AB">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val="en-US" w:eastAsia="zh-CN"/>
        </w:rPr>
      </w:pPr>
      <w:r>
        <w:rPr>
          <w:rFonts w:hint="eastAsia" w:ascii="Times New Roman" w:hAnsi="Times New Roman" w:eastAsia="黑体" w:cs="Times New Roman"/>
          <w:kern w:val="2"/>
          <w:sz w:val="21"/>
          <w:szCs w:val="24"/>
          <w:lang w:val="en-US" w:eastAsia="zh-CN"/>
        </w:rPr>
        <w:t>H</w:t>
      </w:r>
      <w:r>
        <w:rPr>
          <w:rFonts w:hint="default" w:ascii="Times New Roman" w:hAnsi="Times New Roman" w:eastAsia="黑体" w:cs="Times New Roman"/>
          <w:kern w:val="2"/>
          <w:sz w:val="21"/>
          <w:szCs w:val="24"/>
          <w:lang w:val="en-US" w:eastAsia="zh-CN"/>
        </w:rPr>
        <w:t>.2 能效分级标准</w:t>
      </w:r>
    </w:p>
    <w:p w14:paraId="51CED5F1">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根据单位产品综合能耗，将稀土系储氢合金生产企业划分为以下四个等级：</w:t>
      </w:r>
    </w:p>
    <w:p w14:paraId="32587BF1">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a） 领先级：单位产品综合能耗 ≤ P25；</w:t>
      </w:r>
    </w:p>
    <w:p w14:paraId="5F4EF8BE">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b） 先进级：P25 &lt; 单位产品综合能耗 ≤ P50；</w:t>
      </w:r>
    </w:p>
    <w:p w14:paraId="0B58D8EB">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c） 平均级：P50 &lt; 单位产品综合能耗 ≤ P75；</w:t>
      </w:r>
    </w:p>
    <w:p w14:paraId="63F59BAA">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d） 改进级：单位产品综合能耗 &gt; P75。</w:t>
      </w:r>
    </w:p>
    <w:p w14:paraId="7C02D834">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val="en-US" w:eastAsia="zh-CN"/>
        </w:rPr>
      </w:pPr>
      <w:r>
        <w:rPr>
          <w:rFonts w:hint="eastAsia" w:ascii="Times New Roman" w:hAnsi="Times New Roman" w:eastAsia="黑体" w:cs="Times New Roman"/>
          <w:kern w:val="2"/>
          <w:sz w:val="21"/>
          <w:szCs w:val="24"/>
          <w:lang w:val="en-US" w:eastAsia="zh-CN"/>
        </w:rPr>
        <w:t>H</w:t>
      </w:r>
      <w:r>
        <w:rPr>
          <w:rFonts w:hint="default" w:ascii="Times New Roman" w:hAnsi="Times New Roman" w:eastAsia="黑体" w:cs="Times New Roman"/>
          <w:kern w:val="2"/>
          <w:sz w:val="21"/>
          <w:szCs w:val="24"/>
          <w:lang w:val="en-US" w:eastAsia="zh-CN"/>
        </w:rPr>
        <w:t>.3 绿色制造评级</w:t>
      </w:r>
    </w:p>
    <w:p w14:paraId="1F9FE6CA">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绿色制造评级综合考虑碳足迹、能耗、资源利用效率等指标，采用五星评级体系：</w:t>
      </w:r>
    </w:p>
    <w:p w14:paraId="3B30EFC6">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★★★★★（五星）：碳足迹 ≤ P25，能耗 ≤ P25，资源利用率 ≥ 行业前25%；</w:t>
      </w:r>
    </w:p>
    <w:p w14:paraId="7F98CC2B">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★★★★（四星）：碳足迹 ≤ P50，能耗 ≤ P50，资源利用率 ≥ 行业前50%；</w:t>
      </w:r>
    </w:p>
    <w:p w14:paraId="1799697C">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★★★（三星）：碳足迹 ≤ P75，能耗 ≤ P75，资源利用率 ≥ 行业前75%；</w:t>
      </w:r>
    </w:p>
    <w:p w14:paraId="165A747A">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★★（二星）：碳足迹 &gt; P75 或能耗 &gt; P75；</w:t>
      </w:r>
    </w:p>
    <w:p w14:paraId="4E135CA9">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★（一星）：不满足上述任何条件。</w:t>
      </w:r>
    </w:p>
    <w:p w14:paraId="065BB156">
      <w:pPr>
        <w:adjustRightInd w:val="0"/>
        <w:snapToGrid w:val="0"/>
        <w:spacing w:before="158" w:beforeLines="50" w:after="158" w:afterLines="50" w:line="360" w:lineRule="auto"/>
        <w:jc w:val="both"/>
        <w:rPr>
          <w:rFonts w:hint="default" w:ascii="Times New Roman" w:hAnsi="Times New Roman" w:eastAsia="黑体" w:cs="Times New Roman"/>
          <w:kern w:val="2"/>
          <w:sz w:val="21"/>
          <w:szCs w:val="24"/>
          <w:lang w:val="en-US" w:eastAsia="zh-CN"/>
        </w:rPr>
      </w:pPr>
      <w:r>
        <w:rPr>
          <w:rFonts w:hint="eastAsia" w:ascii="Times New Roman" w:hAnsi="Times New Roman" w:eastAsia="黑体" w:cs="Times New Roman"/>
          <w:kern w:val="2"/>
          <w:sz w:val="21"/>
          <w:szCs w:val="24"/>
          <w:lang w:val="en-US" w:eastAsia="zh-CN"/>
        </w:rPr>
        <w:t>H</w:t>
      </w:r>
      <w:r>
        <w:rPr>
          <w:rFonts w:hint="default" w:ascii="Times New Roman" w:hAnsi="Times New Roman" w:eastAsia="黑体" w:cs="Times New Roman"/>
          <w:kern w:val="2"/>
          <w:sz w:val="21"/>
          <w:szCs w:val="24"/>
          <w:lang w:val="en-US" w:eastAsia="zh-CN"/>
        </w:rPr>
        <w:t>.4 基准值更新周期</w:t>
      </w:r>
    </w:p>
    <w:p w14:paraId="130B9976">
      <w:pPr>
        <w:adjustRightInd w:val="0"/>
        <w:snapToGrid w:val="0"/>
        <w:spacing w:after="0" w:line="360" w:lineRule="auto"/>
        <w:ind w:firstLine="420" w:firstLineChars="20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行业基准值应每3年更新一次。更新时应扩大样本范围，纳入新投产企业和新技术工艺的数据。</w:t>
      </w:r>
    </w:p>
    <w:p w14:paraId="624A9CA3">
      <w:pPr>
        <w:rPr>
          <w:rFonts w:hint="default" w:ascii="Times New Roman" w:hAnsi="Times New Roman" w:eastAsia="黑体" w:cs="Times New Roman"/>
          <w:bCs/>
          <w:kern w:val="2"/>
          <w:sz w:val="32"/>
          <w:szCs w:val="32"/>
          <w:lang w:eastAsia="zh-CN"/>
        </w:rPr>
      </w:pPr>
    </w:p>
    <w:p w14:paraId="28CB320E">
      <w:pPr>
        <w:rPr>
          <w:rFonts w:hint="default" w:ascii="Times New Roman" w:hAnsi="Times New Roman" w:eastAsia="黑体" w:cs="Times New Roman"/>
          <w:bCs/>
          <w:kern w:val="2"/>
          <w:sz w:val="32"/>
          <w:szCs w:val="32"/>
          <w:lang w:eastAsia="zh-CN"/>
        </w:rPr>
      </w:pPr>
      <w:r>
        <w:rPr>
          <w:rFonts w:hint="default" w:ascii="Times New Roman" w:hAnsi="Times New Roman" w:eastAsia="黑体" w:cs="Times New Roman"/>
          <w:bCs/>
          <w:kern w:val="2"/>
          <w:sz w:val="32"/>
          <w:szCs w:val="32"/>
          <w:lang w:eastAsia="zh-CN"/>
        </w:rPr>
        <w:br w:type="page"/>
      </w:r>
    </w:p>
    <w:p w14:paraId="4F3EAC49">
      <w:pPr>
        <w:spacing w:after="0" w:line="360" w:lineRule="auto"/>
        <w:jc w:val="center"/>
        <w:outlineLvl w:val="0"/>
        <w:rPr>
          <w:rFonts w:hint="default" w:ascii="Times New Roman" w:hAnsi="Times New Roman" w:eastAsia="黑体" w:cs="Times New Roman"/>
          <w:bCs/>
          <w:kern w:val="2"/>
          <w:sz w:val="32"/>
          <w:szCs w:val="32"/>
          <w:lang w:eastAsia="zh-CN"/>
        </w:rPr>
      </w:pPr>
      <w:bookmarkStart w:id="97" w:name="_Toc20250"/>
      <w:r>
        <w:rPr>
          <w:rFonts w:hint="default" w:ascii="Times New Roman" w:hAnsi="Times New Roman" w:eastAsia="黑体" w:cs="Times New Roman"/>
          <w:bCs/>
          <w:kern w:val="2"/>
          <w:sz w:val="32"/>
          <w:szCs w:val="32"/>
          <w:lang w:eastAsia="zh-CN"/>
        </w:rPr>
        <w:t>参考文献</w:t>
      </w:r>
      <w:bookmarkEnd w:id="97"/>
      <w:bookmarkStart w:id="98" w:name="_TR"/>
      <w:bookmarkEnd w:id="98"/>
    </w:p>
    <w:p w14:paraId="2D1D75BA">
      <w:pPr>
        <w:widowControl/>
        <w:spacing w:after="0" w:line="360" w:lineRule="auto"/>
        <w:rPr>
          <w:rFonts w:hint="default" w:ascii="Times New Roman" w:hAnsi="Times New Roman" w:cs="Times New Roman"/>
          <w:kern w:val="2"/>
          <w:sz w:val="21"/>
          <w:szCs w:val="21"/>
        </w:rPr>
      </w:pPr>
      <w:r>
        <w:rPr>
          <w:rFonts w:hint="default" w:ascii="Times New Roman" w:hAnsi="Times New Roman" w:eastAsia="宋体" w:cs="Times New Roman"/>
          <w:kern w:val="2"/>
          <w:sz w:val="21"/>
          <w:szCs w:val="21"/>
          <w:lang w:eastAsia="zh-CN"/>
        </w:rPr>
        <w:t>[1] GB/T 24001 环境管理体系 要求及使用指南</w:t>
      </w:r>
    </w:p>
    <w:p w14:paraId="5B1B1529">
      <w:pPr>
        <w:widowControl/>
        <w:spacing w:after="0" w:line="360" w:lineRule="auto"/>
        <w:rPr>
          <w:rFonts w:hint="default" w:ascii="Times New Roman" w:hAnsi="Times New Roman" w:cs="Times New Roman"/>
          <w:kern w:val="2"/>
          <w:sz w:val="21"/>
          <w:szCs w:val="21"/>
        </w:rPr>
      </w:pPr>
      <w:r>
        <w:rPr>
          <w:rFonts w:hint="default" w:ascii="Times New Roman" w:hAnsi="Times New Roman" w:eastAsia="宋体" w:cs="Times New Roman"/>
          <w:kern w:val="2"/>
          <w:sz w:val="21"/>
          <w:szCs w:val="21"/>
          <w:lang w:eastAsia="zh-CN"/>
        </w:rPr>
        <w:t>[2] GB/T 24024 环境管理 环境标志和声明 I型环境标志 原则和程序</w:t>
      </w:r>
    </w:p>
    <w:p w14:paraId="39849A1A">
      <w:pPr>
        <w:widowControl/>
        <w:spacing w:after="0" w:line="360" w:lineRule="auto"/>
        <w:rPr>
          <w:rFonts w:hint="default" w:ascii="Times New Roman" w:hAnsi="Times New Roman" w:cs="Times New Roman"/>
          <w:kern w:val="2"/>
          <w:sz w:val="21"/>
          <w:szCs w:val="21"/>
        </w:rPr>
      </w:pPr>
      <w:r>
        <w:rPr>
          <w:rFonts w:hint="default" w:ascii="Times New Roman" w:hAnsi="Times New Roman" w:eastAsia="宋体" w:cs="Times New Roman"/>
          <w:kern w:val="2"/>
          <w:sz w:val="21"/>
          <w:szCs w:val="21"/>
          <w:lang w:eastAsia="zh-CN"/>
        </w:rPr>
        <w:t>[3] GB/T 24040 环境管理 生命周期评价 原则与框架</w:t>
      </w:r>
    </w:p>
    <w:p w14:paraId="6E270CB7">
      <w:pPr>
        <w:widowControl/>
        <w:spacing w:after="0" w:line="360" w:lineRule="auto"/>
        <w:rPr>
          <w:rFonts w:hint="default" w:ascii="Times New Roman" w:hAnsi="Times New Roman" w:cs="Times New Roman"/>
          <w:kern w:val="2"/>
          <w:sz w:val="21"/>
          <w:szCs w:val="21"/>
        </w:rPr>
      </w:pPr>
      <w:r>
        <w:rPr>
          <w:rFonts w:hint="default" w:ascii="Times New Roman" w:hAnsi="Times New Roman" w:eastAsia="宋体" w:cs="Times New Roman"/>
          <w:kern w:val="2"/>
          <w:sz w:val="21"/>
          <w:szCs w:val="21"/>
          <w:lang w:eastAsia="zh-CN"/>
        </w:rPr>
        <w:t>[4] GB/T 24044 环境管理 生命周期评价 要求与指南</w:t>
      </w:r>
    </w:p>
    <w:p w14:paraId="78939032">
      <w:pPr>
        <w:widowControl/>
        <w:spacing w:after="0" w:line="360" w:lineRule="auto"/>
        <w:rPr>
          <w:rFonts w:hint="default" w:ascii="Times New Roman" w:hAnsi="Times New Roman" w:cs="Times New Roman"/>
          <w:kern w:val="2"/>
          <w:sz w:val="21"/>
          <w:szCs w:val="21"/>
        </w:rPr>
      </w:pPr>
      <w:r>
        <w:rPr>
          <w:rFonts w:hint="default" w:ascii="Times New Roman" w:hAnsi="Times New Roman" w:eastAsia="宋体" w:cs="Times New Roman"/>
          <w:kern w:val="2"/>
          <w:sz w:val="21"/>
          <w:szCs w:val="21"/>
          <w:lang w:eastAsia="zh-CN"/>
        </w:rPr>
        <w:t>[5] GB/T 24067 温室气体 产品碳足迹 量化要求和指南</w:t>
      </w:r>
    </w:p>
    <w:p w14:paraId="75326C39">
      <w:pPr>
        <w:widowControl/>
        <w:spacing w:after="0" w:line="360" w:lineRule="auto"/>
        <w:rPr>
          <w:rFonts w:hint="default" w:ascii="Times New Roman" w:hAnsi="Times New Roman" w:cs="Times New Roman"/>
          <w:kern w:val="2"/>
          <w:sz w:val="21"/>
          <w:szCs w:val="21"/>
        </w:rPr>
      </w:pPr>
      <w:r>
        <w:rPr>
          <w:rFonts w:hint="default" w:ascii="Times New Roman" w:hAnsi="Times New Roman" w:eastAsia="宋体" w:cs="Times New Roman"/>
          <w:kern w:val="2"/>
          <w:sz w:val="21"/>
          <w:szCs w:val="21"/>
          <w:lang w:eastAsia="zh-CN"/>
        </w:rPr>
        <w:t>[6] GB/T 26412 金属氢化物-镍电池负极用稀土系AB5型贮氢合金粉</w:t>
      </w:r>
    </w:p>
    <w:p w14:paraId="171A4A30">
      <w:pPr>
        <w:widowControl/>
        <w:spacing w:after="0" w:line="360" w:lineRule="auto"/>
        <w:rPr>
          <w:rFonts w:hint="default" w:ascii="Times New Roman" w:hAnsi="Times New Roman" w:cs="Times New Roman"/>
          <w:kern w:val="2"/>
          <w:sz w:val="21"/>
          <w:szCs w:val="21"/>
        </w:rPr>
      </w:pPr>
      <w:r>
        <w:rPr>
          <w:rFonts w:hint="default" w:ascii="Times New Roman" w:hAnsi="Times New Roman" w:eastAsia="宋体" w:cs="Times New Roman"/>
          <w:kern w:val="2"/>
          <w:sz w:val="21"/>
          <w:szCs w:val="21"/>
          <w:lang w:eastAsia="zh-CN"/>
        </w:rPr>
        <w:t>[7] GB/T 31963 金属氢化物-镍电池负极用稀土镁系超晶格贮氢合金粉</w:t>
      </w:r>
    </w:p>
    <w:p w14:paraId="3F052380">
      <w:pPr>
        <w:widowControl/>
        <w:spacing w:after="0" w:line="360" w:lineRule="auto"/>
        <w:rPr>
          <w:rFonts w:hint="default" w:ascii="Times New Roman" w:hAnsi="Times New Roman" w:cs="Times New Roman"/>
          <w:kern w:val="2"/>
          <w:sz w:val="21"/>
          <w:szCs w:val="21"/>
        </w:rPr>
      </w:pPr>
      <w:r>
        <w:rPr>
          <w:rFonts w:hint="default" w:ascii="Times New Roman" w:hAnsi="Times New Roman" w:eastAsia="宋体" w:cs="Times New Roman"/>
          <w:kern w:val="2"/>
          <w:sz w:val="21"/>
          <w:szCs w:val="21"/>
          <w:lang w:eastAsia="zh-CN"/>
        </w:rPr>
        <w:t>[8] GB/T 32150 工业企业温室气体排放核算和报告通则</w:t>
      </w:r>
    </w:p>
    <w:p w14:paraId="4BB48708">
      <w:pPr>
        <w:widowControl/>
        <w:spacing w:after="0" w:line="360" w:lineRule="auto"/>
        <w:rPr>
          <w:rFonts w:hint="default" w:ascii="Times New Roman" w:hAnsi="Times New Roman" w:cs="Times New Roman"/>
          <w:kern w:val="2"/>
          <w:sz w:val="21"/>
          <w:szCs w:val="21"/>
        </w:rPr>
      </w:pPr>
      <w:r>
        <w:rPr>
          <w:rFonts w:hint="default" w:ascii="Times New Roman" w:hAnsi="Times New Roman" w:eastAsia="宋体" w:cs="Times New Roman"/>
          <w:kern w:val="2"/>
          <w:sz w:val="21"/>
          <w:szCs w:val="21"/>
          <w:lang w:eastAsia="zh-CN"/>
        </w:rPr>
        <w:t>[9] GB/T 32161 生态设计产品评价通则</w:t>
      </w:r>
    </w:p>
    <w:p w14:paraId="19596715">
      <w:pPr>
        <w:widowControl/>
        <w:spacing w:after="0" w:line="360" w:lineRule="auto"/>
        <w:rPr>
          <w:rFonts w:hint="default" w:ascii="Times New Roman" w:hAnsi="Times New Roman" w:cs="Times New Roman"/>
          <w:kern w:val="2"/>
          <w:sz w:val="21"/>
          <w:szCs w:val="21"/>
        </w:rPr>
      </w:pPr>
      <w:r>
        <w:rPr>
          <w:rFonts w:hint="default" w:ascii="Times New Roman" w:hAnsi="Times New Roman" w:eastAsia="宋体" w:cs="Times New Roman"/>
          <w:kern w:val="2"/>
          <w:sz w:val="21"/>
          <w:szCs w:val="21"/>
          <w:lang w:eastAsia="zh-CN"/>
        </w:rPr>
        <w:t>[10] XB/T 702 金属氢化物镍电池负极用稀土系贮氢合金粉电化学性能的测试 三电极体系测试法</w:t>
      </w:r>
    </w:p>
    <w:p w14:paraId="3802ADB3">
      <w:pPr>
        <w:widowControl/>
        <w:spacing w:after="0" w:line="360" w:lineRule="auto"/>
        <w:rPr>
          <w:rFonts w:hint="default" w:ascii="Times New Roman" w:hAnsi="Times New Roman" w:cs="Times New Roman"/>
          <w:kern w:val="2"/>
          <w:sz w:val="21"/>
          <w:szCs w:val="21"/>
        </w:rPr>
      </w:pPr>
      <w:r>
        <w:rPr>
          <w:rFonts w:hint="default" w:ascii="Times New Roman" w:hAnsi="Times New Roman" w:eastAsia="宋体" w:cs="Times New Roman"/>
          <w:kern w:val="2"/>
          <w:sz w:val="21"/>
          <w:szCs w:val="21"/>
          <w:lang w:eastAsia="zh-CN"/>
        </w:rPr>
        <w:t>[11] T/CAB 0399 温室气体 产品碳足迹量化方法与要求 金属氢化物镍电池</w:t>
      </w:r>
    </w:p>
    <w:p w14:paraId="3E985BF4">
      <w:pPr>
        <w:widowControl/>
        <w:spacing w:after="0" w:line="360" w:lineRule="auto"/>
        <w:rPr>
          <w:rFonts w:hint="default" w:ascii="Times New Roman" w:hAnsi="Times New Roman" w:cs="Times New Roman"/>
          <w:kern w:val="2"/>
          <w:sz w:val="21"/>
          <w:szCs w:val="21"/>
        </w:rPr>
      </w:pPr>
      <w:r>
        <w:rPr>
          <w:rFonts w:hint="default" w:ascii="Times New Roman" w:hAnsi="Times New Roman" w:eastAsia="宋体" w:cs="Times New Roman"/>
          <w:kern w:val="2"/>
          <w:sz w:val="21"/>
          <w:szCs w:val="21"/>
          <w:lang w:eastAsia="zh-CN"/>
        </w:rPr>
        <w:t>[12] T/REIANM 0102 产品生命周期评价技术规范 稀土储氢合金</w:t>
      </w:r>
    </w:p>
    <w:p w14:paraId="7B199B4E">
      <w:pPr>
        <w:widowControl/>
        <w:spacing w:after="0" w:line="360" w:lineRule="auto"/>
        <w:rPr>
          <w:rFonts w:hint="default" w:ascii="Times New Roman" w:hAnsi="Times New Roman" w:cs="Times New Roman"/>
          <w:kern w:val="2"/>
          <w:sz w:val="21"/>
          <w:szCs w:val="21"/>
        </w:rPr>
      </w:pPr>
      <w:r>
        <w:rPr>
          <w:rFonts w:hint="default" w:ascii="Times New Roman" w:hAnsi="Times New Roman" w:eastAsia="宋体" w:cs="Times New Roman"/>
          <w:kern w:val="2"/>
          <w:sz w:val="21"/>
          <w:szCs w:val="21"/>
          <w:lang w:eastAsia="zh-CN"/>
        </w:rPr>
        <w:t>[13] IPCC. Climate Change 2021: The Physical Science Basis. Working Group I contribution to the Sixth Assessment Report of the Intergovernmental Panel on Climate Change</w:t>
      </w:r>
    </w:p>
    <w:p w14:paraId="71FF3718">
      <w:pPr>
        <w:widowControl/>
        <w:spacing w:after="0" w:line="360" w:lineRule="auto"/>
        <w:rPr>
          <w:rFonts w:hint="default" w:ascii="Times New Roman" w:hAnsi="Times New Roman" w:cs="Times New Roman"/>
          <w:kern w:val="2"/>
          <w:sz w:val="21"/>
          <w:szCs w:val="21"/>
        </w:rPr>
      </w:pPr>
      <w:r>
        <w:rPr>
          <w:rFonts w:hint="default" w:ascii="Times New Roman" w:hAnsi="Times New Roman" w:eastAsia="宋体" w:cs="Times New Roman"/>
          <w:kern w:val="2"/>
          <w:sz w:val="21"/>
          <w:szCs w:val="21"/>
          <w:lang w:eastAsia="zh-CN"/>
        </w:rPr>
        <w:t>[14] ISO 14040:2006 Environmental management - Life cycle assessment - Principles and framework</w:t>
      </w:r>
    </w:p>
    <w:p w14:paraId="3D9C7252">
      <w:pPr>
        <w:widowControl/>
        <w:spacing w:after="0" w:line="360" w:lineRule="auto"/>
        <w:rPr>
          <w:rFonts w:hint="default" w:ascii="Times New Roman" w:hAnsi="Times New Roman" w:cs="Times New Roman"/>
          <w:kern w:val="2"/>
          <w:sz w:val="21"/>
          <w:szCs w:val="21"/>
        </w:rPr>
      </w:pPr>
      <w:r>
        <w:rPr>
          <w:rFonts w:hint="default" w:ascii="Times New Roman" w:hAnsi="Times New Roman" w:eastAsia="宋体" w:cs="Times New Roman"/>
          <w:kern w:val="2"/>
          <w:sz w:val="21"/>
          <w:szCs w:val="21"/>
          <w:lang w:eastAsia="zh-CN"/>
        </w:rPr>
        <w:t>[15] ISO 14044:2006 Environmental management - Life cycle assessment - Requirements and guidelines</w:t>
      </w:r>
    </w:p>
    <w:p w14:paraId="2787AD59">
      <w:pPr>
        <w:widowControl/>
        <w:spacing w:after="0" w:line="360" w:lineRule="auto"/>
        <w:rPr>
          <w:rFonts w:hint="default" w:ascii="Times New Roman" w:hAnsi="Times New Roman" w:cs="Times New Roman"/>
          <w:kern w:val="2"/>
          <w:sz w:val="21"/>
          <w:szCs w:val="21"/>
        </w:rPr>
      </w:pPr>
      <w:r>
        <w:rPr>
          <w:rFonts w:hint="default" w:ascii="Times New Roman" w:hAnsi="Times New Roman" w:eastAsia="宋体" w:cs="Times New Roman"/>
          <w:kern w:val="2"/>
          <w:sz w:val="21"/>
          <w:szCs w:val="21"/>
          <w:lang w:eastAsia="zh-CN"/>
        </w:rPr>
        <w:t>[16] ISO/TS 14067:2018 Greenhouse gases - Carbon footprint of products - Requirements and guidelines for quantification and communication</w:t>
      </w:r>
    </w:p>
    <w:p w14:paraId="64A2D609">
      <w:pPr>
        <w:widowControl/>
        <w:spacing w:after="0" w:line="360" w:lineRule="auto"/>
        <w:rPr>
          <w:rFonts w:hint="default" w:ascii="Times New Roman" w:hAnsi="Times New Roman" w:cs="Times New Roman"/>
          <w:kern w:val="2"/>
          <w:sz w:val="21"/>
          <w:szCs w:val="21"/>
        </w:rPr>
      </w:pPr>
      <w:r>
        <w:rPr>
          <w:rFonts w:hint="default" w:ascii="Times New Roman" w:hAnsi="Times New Roman" w:eastAsia="宋体" w:cs="Times New Roman"/>
          <w:kern w:val="2"/>
          <w:sz w:val="21"/>
          <w:szCs w:val="21"/>
          <w:lang w:eastAsia="zh-CN"/>
        </w:rPr>
        <w:t>[17] PAS 2050:2011 Specification for the assessment of the life cycle greenhouse gas emissions of goods and services</w:t>
      </w:r>
    </w:p>
    <w:p w14:paraId="0160C3C6">
      <w:pPr>
        <w:widowControl/>
        <w:spacing w:after="0" w:line="360" w:lineRule="auto"/>
        <w:rPr>
          <w:rFonts w:hint="default" w:ascii="Times New Roman" w:hAnsi="Times New Roman" w:cs="Times New Roman"/>
          <w:kern w:val="2"/>
          <w:sz w:val="21"/>
          <w:szCs w:val="21"/>
        </w:rPr>
      </w:pPr>
      <w:r>
        <w:rPr>
          <w:rFonts w:hint="default" w:ascii="Times New Roman" w:hAnsi="Times New Roman" w:eastAsia="宋体" w:cs="Times New Roman"/>
          <w:kern w:val="2"/>
          <w:sz w:val="21"/>
          <w:szCs w:val="21"/>
          <w:lang w:eastAsia="zh-CN"/>
        </w:rPr>
        <w:t>[18] 包钢集团节能环保中心. 储氢合金粉产品生命周期评价报告[R]. 包头: 包钢集团, 2021</w:t>
      </w:r>
    </w:p>
    <w:p w14:paraId="3E2DF9AF">
      <w:pPr>
        <w:widowControl/>
        <w:spacing w:after="0" w:line="360" w:lineRule="auto"/>
        <w:rPr>
          <w:rFonts w:hint="default" w:ascii="Times New Roman" w:hAnsi="Times New Roman" w:cs="Times New Roman"/>
          <w:kern w:val="2"/>
          <w:sz w:val="21"/>
          <w:szCs w:val="21"/>
        </w:rPr>
      </w:pPr>
      <w:r>
        <w:rPr>
          <w:rFonts w:hint="default" w:ascii="Times New Roman" w:hAnsi="Times New Roman" w:eastAsia="宋体" w:cs="Times New Roman"/>
          <w:kern w:val="2"/>
          <w:sz w:val="21"/>
          <w:szCs w:val="21"/>
          <w:lang w:eastAsia="zh-CN"/>
        </w:rPr>
        <w:t>[19] GB/T 19001 质量管理体系 要求</w:t>
      </w:r>
    </w:p>
    <w:p w14:paraId="17CB6259">
      <w:pPr>
        <w:widowControl/>
        <w:spacing w:after="0" w:line="360" w:lineRule="auto"/>
        <w:rPr>
          <w:rFonts w:hint="default" w:ascii="Times New Roman" w:hAnsi="Times New Roman" w:cs="Times New Roman"/>
          <w:kern w:val="2"/>
          <w:sz w:val="21"/>
          <w:szCs w:val="21"/>
        </w:rPr>
      </w:pPr>
      <w:r>
        <w:rPr>
          <w:rFonts w:hint="default" w:ascii="Times New Roman" w:hAnsi="Times New Roman" w:eastAsia="宋体" w:cs="Times New Roman"/>
          <w:kern w:val="2"/>
          <w:sz w:val="21"/>
          <w:szCs w:val="21"/>
          <w:lang w:eastAsia="zh-CN"/>
        </w:rPr>
        <w:t>[20] GB/T 23331 能源管理体系 要求及使用指南</w:t>
      </w:r>
    </w:p>
    <w:p w14:paraId="557EF83C">
      <w:pPr>
        <w:widowControl/>
        <w:spacing w:after="0" w:line="360" w:lineRule="auto"/>
        <w:rPr>
          <w:rFonts w:hint="default" w:ascii="Times New Roman" w:hAnsi="Times New Roman" w:cs="Times New Roman"/>
          <w:kern w:val="2"/>
          <w:sz w:val="21"/>
          <w:szCs w:val="21"/>
        </w:rPr>
      </w:pPr>
      <w:r>
        <w:rPr>
          <w:rFonts w:hint="default" w:ascii="Times New Roman" w:hAnsi="Times New Roman" w:eastAsia="宋体" w:cs="Times New Roman"/>
          <w:kern w:val="2"/>
          <w:sz w:val="21"/>
          <w:szCs w:val="21"/>
          <w:lang w:eastAsia="zh-CN"/>
        </w:rPr>
        <w:t>[21] GB/T 33635 绿色制造 制造企业绿色供应链管理 导则</w:t>
      </w:r>
    </w:p>
    <w:p w14:paraId="4DF14679">
      <w:pPr>
        <w:widowControl/>
        <w:spacing w:after="0" w:line="360" w:lineRule="auto"/>
        <w:rPr>
          <w:rFonts w:hint="default" w:ascii="Times New Roman" w:hAnsi="Times New Roman" w:cs="Times New Roman"/>
          <w:kern w:val="2"/>
          <w:sz w:val="21"/>
          <w:szCs w:val="21"/>
        </w:rPr>
      </w:pPr>
      <w:r>
        <w:rPr>
          <w:rFonts w:hint="default" w:ascii="Times New Roman" w:hAnsi="Times New Roman" w:eastAsia="宋体" w:cs="Times New Roman"/>
          <w:kern w:val="2"/>
          <w:sz w:val="21"/>
          <w:szCs w:val="21"/>
          <w:lang w:eastAsia="zh-CN"/>
        </w:rPr>
        <w:t>[22] Arshi P., et al. A critical life cycle assessment of present and potential rare earth circularity routes from permanent magnets[J]. Resources, Conservation and Recycling, 2023.</w:t>
      </w:r>
    </w:p>
    <w:p w14:paraId="3451E9A1">
      <w:pPr>
        <w:widowControl/>
        <w:spacing w:after="0" w:line="360" w:lineRule="auto"/>
        <w:rPr>
          <w:rFonts w:hint="default" w:ascii="Times New Roman" w:hAnsi="Times New Roman" w:cs="Times New Roman"/>
          <w:kern w:val="2"/>
          <w:sz w:val="21"/>
          <w:szCs w:val="21"/>
        </w:rPr>
      </w:pPr>
      <w:r>
        <w:rPr>
          <w:rFonts w:hint="default" w:ascii="Times New Roman" w:hAnsi="Times New Roman" w:eastAsia="宋体" w:cs="Times New Roman"/>
          <w:kern w:val="2"/>
          <w:sz w:val="21"/>
          <w:szCs w:val="21"/>
          <w:lang w:eastAsia="zh-CN"/>
        </w:rPr>
        <w:t>[23] 刘汇东, 等. 碳达峰碳中和背景下稀土产品的生命周期评价[J]. 中国稀土学报, 2022.</w:t>
      </w:r>
    </w:p>
    <w:p w14:paraId="6A34A66E">
      <w:pPr>
        <w:widowControl/>
        <w:spacing w:after="0" w:line="360" w:lineRule="auto"/>
        <w:rPr>
          <w:rFonts w:hint="default" w:ascii="Times New Roman" w:hAnsi="Times New Roman" w:cs="Times New Roman"/>
          <w:kern w:val="2"/>
          <w:sz w:val="21"/>
          <w:szCs w:val="21"/>
          <w:highlight w:val="none"/>
        </w:rPr>
      </w:pPr>
      <w:r>
        <w:rPr>
          <w:rFonts w:hint="default" w:ascii="Times New Roman" w:hAnsi="Times New Roman" w:eastAsia="宋体" w:cs="Times New Roman"/>
          <w:kern w:val="2"/>
          <w:sz w:val="21"/>
          <w:szCs w:val="21"/>
          <w:highlight w:val="none"/>
          <w:lang w:eastAsia="zh-CN"/>
        </w:rPr>
        <w:t>[24] GB/T 24025 环境管理 环境标志和声明 I型环境标志 原则和程序</w:t>
      </w:r>
    </w:p>
    <w:p w14:paraId="18038D75">
      <w:pPr>
        <w:widowControl/>
        <w:spacing w:after="0" w:line="360" w:lineRule="auto"/>
        <w:rPr>
          <w:rFonts w:ascii="Times New Roman" w:hAnsi="Times New Roman" w:cs="Times New Roman"/>
          <w:kern w:val="2"/>
          <w:sz w:val="21"/>
          <w:szCs w:val="21"/>
          <w:lang w:eastAsia="zh-CN"/>
        </w:rPr>
      </w:pPr>
      <w:r>
        <w:rPr>
          <w:rFonts w:hint="default" w:ascii="Times New Roman" w:hAnsi="Times New Roman" w:eastAsia="宋体" w:cs="Times New Roman"/>
          <w:kern w:val="2"/>
          <w:sz w:val="21"/>
          <w:szCs w:val="21"/>
          <w:highlight w:val="none"/>
          <w:lang w:eastAsia="zh-CN"/>
        </w:rPr>
        <w:t>[25] ISO 14026:2017 Environmental labels and declarations - Principles, requirements and guidelines for communication of footprint information</w:t>
      </w:r>
    </w:p>
    <w:sectPr>
      <w:footerReference r:id="rId16" w:type="default"/>
      <w:pgSz w:w="11920" w:h="16840"/>
      <w:pgMar w:top="1080" w:right="1640" w:bottom="1180" w:left="1680" w:header="880" w:footer="98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E-BZ">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FZSSK--GBK1-0">
    <w:altName w:val="宋体"/>
    <w:panose1 w:val="00000000000000000000"/>
    <w:charset w:val="86"/>
    <w:family w:val="auto"/>
    <w:pitch w:val="default"/>
    <w:sig w:usb0="00000000" w:usb1="00000000" w:usb2="00000000" w:usb3="00000000" w:csb0="00160000" w:csb1="00000000"/>
  </w:font>
  <w:font w:name="华光小标宋_CNKI">
    <w:altName w:val="微软雅黑"/>
    <w:panose1 w:val="00000000000000000000"/>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ACF3C50" w:usb2="00000016" w:usb3="00000000" w:csb0="0004001F" w:csb1="00000000"/>
  </w:font>
  <w:font w:name="Adobe 仿宋 Std R">
    <w:altName w:val="仿宋"/>
    <w:panose1 w:val="00000000000000000000"/>
    <w:charset w:val="86"/>
    <w:family w:val="roman"/>
    <w:pitch w:val="default"/>
    <w:sig w:usb0="00000000" w:usb1="00000000" w:usb2="00000016" w:usb3="00000000" w:csb0="00060007" w:csb1="00000000"/>
  </w:font>
  <w:font w:name="Cambria Math">
    <w:panose1 w:val="02040503050406030204"/>
    <w:charset w:val="00"/>
    <w:family w:val="auto"/>
    <w:pitch w:val="default"/>
    <w:sig w:usb0="E00006FF" w:usb1="420024FF" w:usb2="02000000" w:usb3="00000000" w:csb0="2000019F" w:csb1="00000000"/>
  </w:font>
  <w:font w:name="Calibri Light">
    <w:panose1 w:val="020F03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1F4F1">
    <w:pPr>
      <w:pStyle w:val="29"/>
      <w:rPr>
        <w:rStyle w:val="15"/>
      </w:rPr>
    </w:pPr>
    <w:r>
      <w:fldChar w:fldCharType="begin"/>
    </w:r>
    <w:r>
      <w:rPr>
        <w:rStyle w:val="15"/>
      </w:rPr>
      <w:instrText xml:space="preserve">PAGE  </w:instrText>
    </w:r>
    <w:r>
      <w:fldChar w:fldCharType="separate"/>
    </w:r>
    <w:r>
      <w:rPr>
        <w:rStyle w:val="15"/>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E9390">
    <w:pPr>
      <w:pStyle w:val="30"/>
      <w:rPr>
        <w:rStyle w:val="15"/>
      </w:rPr>
    </w:pPr>
    <w:r>
      <w:fldChar w:fldCharType="begin"/>
    </w:r>
    <w:r>
      <w:rPr>
        <w:rStyle w:val="15"/>
      </w:rPr>
      <w:instrText xml:space="preserve">PAGE  </w:instrTex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78F89">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DA5AC">
    <w:pPr>
      <w:tabs>
        <w:tab w:val="center" w:pos="4320"/>
      </w:tabs>
      <w:spacing w:after="0" w:line="200" w:lineRule="exact"/>
      <w:rPr>
        <w:sz w:val="20"/>
        <w:szCs w:val="20"/>
      </w:rPr>
    </w:pPr>
    <w:r>
      <w:rPr>
        <w:sz w:val="20"/>
        <w:szCs w:val="20"/>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9662A">
    <w:pPr>
      <w:tabs>
        <w:tab w:val="center" w:pos="4320"/>
      </w:tabs>
      <w:spacing w:after="0" w:line="200" w:lineRule="exact"/>
      <w:rPr>
        <w:sz w:val="20"/>
        <w:szCs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0B0DB">
    <w:pPr>
      <w:widowControl/>
      <w:spacing w:after="120" w:line="360" w:lineRule="auto"/>
      <w:ind w:firstLine="480"/>
      <w:jc w:val="center"/>
      <w:rPr>
        <w:rFonts w:ascii="Times New Roman" w:hAnsi="Times New Roman" w:eastAsia="宋体" w:cs="Times New Roman"/>
        <w:color w:val="1C2833"/>
        <w:sz w:val="24"/>
      </w:rPr>
    </w:pPr>
    <w:r>
      <w:rPr>
        <w:rFonts w:ascii="Times New Roman" w:hAnsi="Times New Roman" w:eastAsia="宋体" w:cs="Times New Roman"/>
        <w:color w:val="1C2833"/>
        <w:sz w:val="24"/>
      </w:rPr>
      <w:fldChar w:fldCharType="begin"/>
    </w:r>
    <w:r>
      <w:rPr>
        <w:rFonts w:ascii="Times New Roman" w:hAnsi="Times New Roman" w:eastAsia="宋体" w:cs="Times New Roman"/>
        <w:color w:val="1C2833"/>
        <w:sz w:val="24"/>
      </w:rPr>
      <w:instrText xml:space="preserve"> PAGE </w:instrText>
    </w:r>
    <w:r>
      <w:rPr>
        <w:rFonts w:ascii="Times New Roman" w:hAnsi="Times New Roman" w:eastAsia="宋体" w:cs="Times New Roman"/>
        <w:color w:val="1C2833"/>
        <w:sz w:val="24"/>
      </w:rPr>
      <w:fldChar w:fldCharType="separate"/>
    </w:r>
    <w:r>
      <w:rPr>
        <w:rFonts w:ascii="Times New Roman" w:hAnsi="Times New Roman" w:eastAsia="宋体" w:cs="Times New Roman"/>
        <w:color w:val="1C2833"/>
        <w:sz w:val="24"/>
      </w:rPr>
      <w:t>1</w:t>
    </w:r>
    <w:r>
      <w:rPr>
        <w:rFonts w:ascii="Times New Roman" w:hAnsi="Times New Roman" w:eastAsia="宋体" w:cs="Times New Roman"/>
        <w:color w:val="1C2833"/>
        <w:sz w:val="24"/>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F5C9B">
    <w:pPr>
      <w:pStyle w:val="29"/>
      <w:jc w:val="left"/>
      <w:rPr>
        <w:rStyle w:val="15"/>
        <w:rFonts w:asciiTheme="majorHAnsi" w:hAnsiTheme="majorHAnsi"/>
      </w:rPr>
    </w:pPr>
    <w:r>
      <mc:AlternateContent>
        <mc:Choice Requires="wps">
          <w:drawing>
            <wp:anchor distT="0" distB="0" distL="114300" distR="114300" simplePos="0" relativeHeight="251661312" behindDoc="0" locked="0" layoutInCell="1" allowOverlap="1">
              <wp:simplePos x="0" y="0"/>
              <wp:positionH relativeFrom="margin">
                <wp:posOffset>2621280</wp:posOffset>
              </wp:positionH>
              <wp:positionV relativeFrom="paragraph">
                <wp:posOffset>61595</wp:posOffset>
              </wp:positionV>
              <wp:extent cx="175260" cy="232410"/>
              <wp:effectExtent l="0" t="0" r="0" b="0"/>
              <wp:wrapNone/>
              <wp:docPr id="12" name="文本框 15"/>
              <wp:cNvGraphicFramePr/>
              <a:graphic xmlns:a="http://schemas.openxmlformats.org/drawingml/2006/main">
                <a:graphicData uri="http://schemas.microsoft.com/office/word/2010/wordprocessingShape">
                  <wps:wsp>
                    <wps:cNvSpPr txBox="1"/>
                    <wps:spPr>
                      <a:xfrm>
                        <a:off x="0" y="0"/>
                        <a:ext cx="175093" cy="232677"/>
                      </a:xfrm>
                      <a:prstGeom prst="rect">
                        <a:avLst/>
                      </a:prstGeom>
                      <a:noFill/>
                      <a:ln w="9525">
                        <a:noFill/>
                      </a:ln>
                    </wps:spPr>
                    <wps:txbx>
                      <w:txbxContent>
                        <w:p w14:paraId="766FC8C0">
                          <w:pPr>
                            <w:pStyle w:val="7"/>
                            <w:jc w:val="center"/>
                          </w:pPr>
                          <w:r>
                            <w:fldChar w:fldCharType="begin"/>
                          </w:r>
                          <w:r>
                            <w:instrText xml:space="preserve"> PAGE  \* MERGEFORMAT </w:instrText>
                          </w:r>
                          <w:r>
                            <w:fldChar w:fldCharType="separate"/>
                          </w:r>
                          <w:r>
                            <w:t>1</w:t>
                          </w:r>
                          <w:r>
                            <w:fldChar w:fldCharType="end"/>
                          </w:r>
                        </w:p>
                      </w:txbxContent>
                    </wps:txbx>
                    <wps:bodyPr vert="horz" wrap="square" lIns="0" tIns="0" rIns="0" bIns="0" anchor="t" anchorCtr="0">
                      <a:noAutofit/>
                    </wps:bodyPr>
                  </wps:wsp>
                </a:graphicData>
              </a:graphic>
            </wp:anchor>
          </w:drawing>
        </mc:Choice>
        <mc:Fallback>
          <w:pict>
            <v:shape id="文本框 15" o:spid="_x0000_s1026" o:spt="202" type="#_x0000_t202" style="position:absolute;left:0pt;margin-left:206.4pt;margin-top:4.85pt;height:18.3pt;width:13.8pt;mso-position-horizontal-relative:margin;z-index:251661312;mso-width-relative:page;mso-height-relative:page;" filled="f" stroked="f" coordsize="21600,21600" o:gfxdata="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OZuKSbY&#10;AAAACAEAAA8AAAAAAAAAAQAgAAAAIgAAAGRycy9kb3ducmV2LnhtbFBLAQIUABQAAAAIAIdO4kBw&#10;9voa5wEAAL0DAAAOAAAAAAAAAAEAIAAAACcBAABkcnMvZTJvRG9jLnhtbFBLBQYAAAAABgAGAFkB&#10;AACABQAAAAA=&#10;">
              <v:fill on="f" focussize="0,0"/>
              <v:stroke on="f"/>
              <v:imagedata o:title=""/>
              <o:lock v:ext="edit" aspectratio="f"/>
              <v:textbox inset="0mm,0mm,0mm,0mm">
                <w:txbxContent>
                  <w:p w14:paraId="766FC8C0">
                    <w:pPr>
                      <w:pStyle w:val="7"/>
                      <w:jc w:val="cente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68C42">
    <w:pPr>
      <w:pStyle w:val="26"/>
      <w:jc w:val="center"/>
      <w:rPr>
        <w:rFonts w:ascii="宋体" w:hAnsi="宋体"/>
      </w:rPr>
    </w:pPr>
    <w:r>
      <w:rPr>
        <w:rFonts w:hint="eastAsia"/>
      </w:rPr>
      <w:t xml:space="preserve">                                                            </w:t>
    </w:r>
    <w:r>
      <w:rPr>
        <w:rFonts w:ascii="宋体" w:hAnsi="宋体"/>
      </w:rPr>
      <w:t xml:space="preserve">GB/T </w:t>
    </w:r>
    <w:r>
      <w:rPr>
        <w:rFonts w:hint="eastAsia" w:ascii="宋体" w:hAnsi="宋体"/>
      </w:rPr>
      <w:t>15677</w:t>
    </w:r>
    <w:r>
      <w:rPr>
        <w:rFonts w:ascii="宋体" w:hAnsi="宋体"/>
      </w:rPr>
      <w:t>—20</w:t>
    </w:r>
    <w:r>
      <w:rPr>
        <w:rFonts w:hint="eastAsia" w:ascii="宋体" w:hAnsi="宋体"/>
      </w:rPr>
      <w:t>2</w:t>
    </w:r>
    <w:r>
      <w:rPr>
        <w:rFonts w:ascii="宋体" w:hAnsi="宋体"/>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37422">
    <w:pPr>
      <w:pStyle w:val="27"/>
    </w:pPr>
    <w:r>
      <w:t>GB/T ××××—200×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8592D">
    <w:pPr>
      <w:pStyle w:val="28"/>
    </w:pPr>
    <w:r>
      <w:t xml:space="preserve">  </w:t>
    </w:r>
    <w:r>
      <w:rPr>
        <w:rFonts w:hint="eastAsia"/>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B2CB9">
    <w:pPr>
      <w:spacing w:after="0" w:line="200" w:lineRule="exact"/>
      <w:rPr>
        <w:sz w:val="20"/>
        <w:szCs w:val="20"/>
      </w:rPr>
    </w:pPr>
    <w:r>
      <w:rPr>
        <w:lang w:eastAsia="zh-CN"/>
      </w:rPr>
      <mc:AlternateContent>
        <mc:Choice Requires="wps">
          <w:drawing>
            <wp:anchor distT="0" distB="0" distL="114300" distR="114300" simplePos="0" relativeHeight="251659264" behindDoc="1" locked="0" layoutInCell="1" allowOverlap="1">
              <wp:simplePos x="0" y="0"/>
              <wp:positionH relativeFrom="page">
                <wp:posOffset>5267325</wp:posOffset>
              </wp:positionH>
              <wp:positionV relativeFrom="page">
                <wp:posOffset>546100</wp:posOffset>
              </wp:positionV>
              <wp:extent cx="1217930" cy="158750"/>
              <wp:effectExtent l="0" t="0" r="0" b="0"/>
              <wp:wrapNone/>
              <wp:docPr id="2" name="Text Box 2"/>
              <wp:cNvGraphicFramePr/>
              <a:graphic xmlns:a="http://schemas.openxmlformats.org/drawingml/2006/main">
                <a:graphicData uri="http://schemas.microsoft.com/office/word/2010/wordprocessingShape">
                  <wps:wsp>
                    <wps:cNvSpPr txBox="1">
                      <a:spLocks noChangeArrowheads="1"/>
                    </wps:cNvSpPr>
                    <wps:spPr bwMode="auto">
                      <a:xfrm>
                        <a:off x="0" y="0"/>
                        <a:ext cx="1217930" cy="158750"/>
                      </a:xfrm>
                      <a:prstGeom prst="rect">
                        <a:avLst/>
                      </a:prstGeom>
                      <a:noFill/>
                      <a:ln>
                        <a:noFill/>
                      </a:ln>
                    </wps:spPr>
                    <wps:txbx>
                      <w:txbxContent>
                        <w:p w14:paraId="7316898D">
                          <w:pPr>
                            <w:spacing w:after="0" w:line="250" w:lineRule="exact"/>
                            <w:ind w:right="-51"/>
                            <w:rPr>
                              <w:rFonts w:ascii="Times New Roman" w:hAnsi="Times New Roman" w:eastAsia="Adobe 仿宋 Std R" w:cs="Times New Roman"/>
                              <w:sz w:val="21"/>
                              <w:szCs w:val="21"/>
                              <w:lang w:eastAsia="zh-CN"/>
                            </w:rPr>
                          </w:pPr>
                          <w:r>
                            <w:rPr>
                              <w:rFonts w:ascii="Times New Roman" w:hAnsi="Times New Roman" w:eastAsia="Adobe 仿宋 Std R" w:cs="Times New Roman"/>
                              <w:spacing w:val="-1"/>
                              <w:w w:val="86"/>
                              <w:sz w:val="21"/>
                              <w:szCs w:val="21"/>
                              <w:lang w:eastAsia="zh-CN"/>
                            </w:rPr>
                            <w:t>T</w:t>
                          </w:r>
                          <w:r>
                            <w:rPr>
                              <w:rFonts w:ascii="Times New Roman" w:hAnsi="Times New Roman" w:eastAsia="Adobe 仿宋 Std R" w:cs="Times New Roman"/>
                              <w:spacing w:val="-1"/>
                              <w:w w:val="86"/>
                              <w:sz w:val="21"/>
                              <w:szCs w:val="21"/>
                            </w:rPr>
                            <w:t>/</w:t>
                          </w:r>
                          <w:r>
                            <w:rPr>
                              <w:rFonts w:ascii="Times New Roman" w:hAnsi="Times New Roman" w:eastAsia="Adobe 仿宋 Std R" w:cs="Times New Roman"/>
                              <w:spacing w:val="-1"/>
                              <w:w w:val="86"/>
                              <w:sz w:val="21"/>
                              <w:szCs w:val="21"/>
                              <w:lang w:eastAsia="zh-CN"/>
                            </w:rPr>
                            <w:t>CNIA</w:t>
                          </w:r>
                          <w:r>
                            <w:rPr>
                              <w:rFonts w:ascii="Times New Roman" w:hAnsi="Times New Roman" w:eastAsia="Adobe 仿宋 Std R" w:cs="Times New Roman"/>
                              <w:w w:val="86"/>
                              <w:sz w:val="21"/>
                              <w:szCs w:val="21"/>
                            </w:rPr>
                            <w:t xml:space="preserve"> </w:t>
                          </w:r>
                          <w:r>
                            <w:rPr>
                              <w:rFonts w:ascii="Times New Roman" w:hAnsi="Times New Roman" w:eastAsia="Adobe 仿宋 Std R" w:cs="Times New Roman"/>
                              <w:spacing w:val="6"/>
                              <w:w w:val="86"/>
                              <w:sz w:val="21"/>
                              <w:szCs w:val="21"/>
                            </w:rPr>
                            <w:t xml:space="preserve"> </w:t>
                          </w:r>
                          <w:r>
                            <w:rPr>
                              <w:rFonts w:ascii="Times New Roman" w:hAnsi="Times New Roman" w:eastAsia="Adobe 仿宋 Std R" w:cs="Times New Roman"/>
                              <w:spacing w:val="-1"/>
                              <w:w w:val="81"/>
                              <w:sz w:val="21"/>
                              <w:szCs w:val="21"/>
                            </w:rPr>
                            <w:t>XXXX</w:t>
                          </w:r>
                          <w:r>
                            <w:rPr>
                              <w:rFonts w:ascii="Times New Roman" w:hAnsi="Times New Roman" w:eastAsia="Adobe 仿宋 Std R" w:cs="Times New Roman"/>
                              <w:spacing w:val="-1"/>
                              <w:w w:val="90"/>
                              <w:sz w:val="21"/>
                              <w:szCs w:val="21"/>
                            </w:rPr>
                            <w:t>-2</w:t>
                          </w:r>
                          <w:r>
                            <w:rPr>
                              <w:rFonts w:ascii="Times New Roman" w:hAnsi="Times New Roman" w:eastAsia="Adobe 仿宋 Std R" w:cs="Times New Roman"/>
                              <w:spacing w:val="1"/>
                              <w:w w:val="90"/>
                              <w:sz w:val="21"/>
                              <w:szCs w:val="21"/>
                            </w:rPr>
                            <w:t>0</w:t>
                          </w:r>
                          <w:r>
                            <w:rPr>
                              <w:rFonts w:ascii="Times New Roman" w:hAnsi="Times New Roman" w:eastAsia="Adobe 仿宋 Std R" w:cs="Times New Roman"/>
                              <w:spacing w:val="-1"/>
                              <w:w w:val="81"/>
                              <w:sz w:val="21"/>
                              <w:szCs w:val="21"/>
                              <w:lang w:eastAsia="zh-CN"/>
                            </w:rPr>
                            <w:t>2X</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414.75pt;margin-top:43pt;height:12.5pt;width:95.9pt;mso-position-horizontal-relative:page;mso-position-vertical-relative:page;z-index:-251657216;mso-width-relative:page;mso-height-relative:page;" filled="f" stroked="f" coordsize="21600,21600" o:gfxdata="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pu1Uj2AAAAAsBAAAPAAAAAAAAAAEAIAAAACIAAABkcnMvZG93bnJl&#10;di54bWxQSwECFAAUAAAACACHTuJACo58Hf0BAAAEBAAADgAAAAAAAAABACAAAAAnAQAAZHJzL2Uy&#10;b0RvYy54bWxQSwUGAAAAAAYABgBZAQAAlgUAAAAA&#10;">
              <v:fill on="f" focussize="0,0"/>
              <v:stroke on="f"/>
              <v:imagedata o:title=""/>
              <o:lock v:ext="edit" aspectratio="f"/>
              <v:textbox inset="0mm,0mm,0mm,0mm">
                <w:txbxContent>
                  <w:p w14:paraId="7316898D">
                    <w:pPr>
                      <w:spacing w:after="0" w:line="250" w:lineRule="exact"/>
                      <w:ind w:right="-51"/>
                      <w:rPr>
                        <w:rFonts w:ascii="Times New Roman" w:hAnsi="Times New Roman" w:eastAsia="Adobe 仿宋 Std R" w:cs="Times New Roman"/>
                        <w:sz w:val="21"/>
                        <w:szCs w:val="21"/>
                        <w:lang w:eastAsia="zh-CN"/>
                      </w:rPr>
                    </w:pPr>
                    <w:r>
                      <w:rPr>
                        <w:rFonts w:ascii="Times New Roman" w:hAnsi="Times New Roman" w:eastAsia="Adobe 仿宋 Std R" w:cs="Times New Roman"/>
                        <w:spacing w:val="-1"/>
                        <w:w w:val="86"/>
                        <w:sz w:val="21"/>
                        <w:szCs w:val="21"/>
                        <w:lang w:eastAsia="zh-CN"/>
                      </w:rPr>
                      <w:t>T</w:t>
                    </w:r>
                    <w:r>
                      <w:rPr>
                        <w:rFonts w:ascii="Times New Roman" w:hAnsi="Times New Roman" w:eastAsia="Adobe 仿宋 Std R" w:cs="Times New Roman"/>
                        <w:spacing w:val="-1"/>
                        <w:w w:val="86"/>
                        <w:sz w:val="21"/>
                        <w:szCs w:val="21"/>
                      </w:rPr>
                      <w:t>/</w:t>
                    </w:r>
                    <w:r>
                      <w:rPr>
                        <w:rFonts w:ascii="Times New Roman" w:hAnsi="Times New Roman" w:eastAsia="Adobe 仿宋 Std R" w:cs="Times New Roman"/>
                        <w:spacing w:val="-1"/>
                        <w:w w:val="86"/>
                        <w:sz w:val="21"/>
                        <w:szCs w:val="21"/>
                        <w:lang w:eastAsia="zh-CN"/>
                      </w:rPr>
                      <w:t>CNIA</w:t>
                    </w:r>
                    <w:r>
                      <w:rPr>
                        <w:rFonts w:ascii="Times New Roman" w:hAnsi="Times New Roman" w:eastAsia="Adobe 仿宋 Std R" w:cs="Times New Roman"/>
                        <w:w w:val="86"/>
                        <w:sz w:val="21"/>
                        <w:szCs w:val="21"/>
                      </w:rPr>
                      <w:t xml:space="preserve"> </w:t>
                    </w:r>
                    <w:r>
                      <w:rPr>
                        <w:rFonts w:ascii="Times New Roman" w:hAnsi="Times New Roman" w:eastAsia="Adobe 仿宋 Std R" w:cs="Times New Roman"/>
                        <w:spacing w:val="6"/>
                        <w:w w:val="86"/>
                        <w:sz w:val="21"/>
                        <w:szCs w:val="21"/>
                      </w:rPr>
                      <w:t xml:space="preserve"> </w:t>
                    </w:r>
                    <w:r>
                      <w:rPr>
                        <w:rFonts w:ascii="Times New Roman" w:hAnsi="Times New Roman" w:eastAsia="Adobe 仿宋 Std R" w:cs="Times New Roman"/>
                        <w:spacing w:val="-1"/>
                        <w:w w:val="81"/>
                        <w:sz w:val="21"/>
                        <w:szCs w:val="21"/>
                      </w:rPr>
                      <w:t>XXXX</w:t>
                    </w:r>
                    <w:r>
                      <w:rPr>
                        <w:rFonts w:ascii="Times New Roman" w:hAnsi="Times New Roman" w:eastAsia="Adobe 仿宋 Std R" w:cs="Times New Roman"/>
                        <w:spacing w:val="-1"/>
                        <w:w w:val="90"/>
                        <w:sz w:val="21"/>
                        <w:szCs w:val="21"/>
                      </w:rPr>
                      <w:t>-2</w:t>
                    </w:r>
                    <w:r>
                      <w:rPr>
                        <w:rFonts w:ascii="Times New Roman" w:hAnsi="Times New Roman" w:eastAsia="Adobe 仿宋 Std R" w:cs="Times New Roman"/>
                        <w:spacing w:val="1"/>
                        <w:w w:val="90"/>
                        <w:sz w:val="21"/>
                        <w:szCs w:val="21"/>
                      </w:rPr>
                      <w:t>0</w:t>
                    </w:r>
                    <w:r>
                      <w:rPr>
                        <w:rFonts w:ascii="Times New Roman" w:hAnsi="Times New Roman" w:eastAsia="Adobe 仿宋 Std R" w:cs="Times New Roman"/>
                        <w:spacing w:val="-1"/>
                        <w:w w:val="81"/>
                        <w:sz w:val="21"/>
                        <w:szCs w:val="21"/>
                        <w:lang w:eastAsia="zh-CN"/>
                      </w:rPr>
                      <w:t>2X</w:t>
                    </w:r>
                  </w:p>
                </w:txbxContent>
              </v:textbox>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CF4D7">
    <w:pPr>
      <w:widowControl/>
      <w:spacing w:after="120" w:line="360" w:lineRule="auto"/>
      <w:ind w:firstLine="480"/>
      <w:jc w:val="center"/>
      <w:rPr>
        <w:rFonts w:ascii="Times New Roman" w:hAnsi="Times New Roman" w:eastAsia="宋体" w:cs="Times New Roman"/>
        <w:color w:val="1C2833"/>
        <w:sz w:val="24"/>
      </w:rPr>
    </w:pPr>
    <w:r>
      <w:rPr>
        <w:rFonts w:ascii="Times New Roman" w:hAnsi="Times New Roman" w:eastAsia="宋体" w:cs="Times New Roman"/>
        <w:color w:val="909497"/>
        <w:sz w:val="18"/>
      </w:rPr>
      <w:t>温室气体 产品碳足迹量化方法与要求 稀土系储氢合金材料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773F3A"/>
    <w:multiLevelType w:val="multilevel"/>
    <w:tmpl w:val="4A773F3A"/>
    <w:lvl w:ilvl="0" w:tentative="0">
      <w:start w:val="7"/>
      <w:numFmt w:val="decimal"/>
      <w:lvlText w:val="%1"/>
      <w:lvlJc w:val="left"/>
      <w:pPr>
        <w:tabs>
          <w:tab w:val="left" w:pos="420"/>
        </w:tabs>
        <w:ind w:left="420" w:hanging="420"/>
      </w:pPr>
      <w:rPr>
        <w:rFonts w:hint="default" w:hAnsi="Times New Roman"/>
      </w:rPr>
    </w:lvl>
    <w:lvl w:ilvl="1" w:tentative="0">
      <w:start w:val="1"/>
      <w:numFmt w:val="lowerLetter"/>
      <w:pStyle w:val="3"/>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gMiSzMTQ2MDc0MzCyUdpeDU4uLM/DyQAsNaAEGABngsAAAA"/>
    <w:docVar w:name="commondata" w:val="eyJoZGlkIjoiODc2YmM0NjZkZGE0ZDcwNDFiZTI1ZGJlNDA2MWEwYzAifQ=="/>
  </w:docVars>
  <w:rsids>
    <w:rsidRoot w:val="181F4046"/>
    <w:rsid w:val="00003B0C"/>
    <w:rsid w:val="000145F7"/>
    <w:rsid w:val="00014858"/>
    <w:rsid w:val="00025AB5"/>
    <w:rsid w:val="000351EB"/>
    <w:rsid w:val="00040D5F"/>
    <w:rsid w:val="00041B78"/>
    <w:rsid w:val="0004515E"/>
    <w:rsid w:val="00046629"/>
    <w:rsid w:val="00053ED6"/>
    <w:rsid w:val="000566B8"/>
    <w:rsid w:val="00056D64"/>
    <w:rsid w:val="00060309"/>
    <w:rsid w:val="00060942"/>
    <w:rsid w:val="00063A22"/>
    <w:rsid w:val="0006681D"/>
    <w:rsid w:val="0006683F"/>
    <w:rsid w:val="0007347F"/>
    <w:rsid w:val="000827E9"/>
    <w:rsid w:val="00085335"/>
    <w:rsid w:val="00087071"/>
    <w:rsid w:val="00097A2E"/>
    <w:rsid w:val="000A0A29"/>
    <w:rsid w:val="000A0A4B"/>
    <w:rsid w:val="000A3B40"/>
    <w:rsid w:val="000A403C"/>
    <w:rsid w:val="000A55D2"/>
    <w:rsid w:val="000A7E77"/>
    <w:rsid w:val="000B194A"/>
    <w:rsid w:val="000B2452"/>
    <w:rsid w:val="000B4BCB"/>
    <w:rsid w:val="000B54A7"/>
    <w:rsid w:val="000B78B5"/>
    <w:rsid w:val="000C6218"/>
    <w:rsid w:val="000C7D30"/>
    <w:rsid w:val="000D23E0"/>
    <w:rsid w:val="000D3735"/>
    <w:rsid w:val="000D3DBA"/>
    <w:rsid w:val="000D6219"/>
    <w:rsid w:val="000D729D"/>
    <w:rsid w:val="000E59BD"/>
    <w:rsid w:val="000F15BF"/>
    <w:rsid w:val="000F5E2F"/>
    <w:rsid w:val="000F7F92"/>
    <w:rsid w:val="00100C33"/>
    <w:rsid w:val="001040C9"/>
    <w:rsid w:val="00106EB1"/>
    <w:rsid w:val="00107DB8"/>
    <w:rsid w:val="00116641"/>
    <w:rsid w:val="0012104E"/>
    <w:rsid w:val="00132966"/>
    <w:rsid w:val="00135AC8"/>
    <w:rsid w:val="00142F2E"/>
    <w:rsid w:val="00144ACD"/>
    <w:rsid w:val="00146291"/>
    <w:rsid w:val="00150DB2"/>
    <w:rsid w:val="0015377E"/>
    <w:rsid w:val="00155E5A"/>
    <w:rsid w:val="001575B9"/>
    <w:rsid w:val="001631E5"/>
    <w:rsid w:val="001755A9"/>
    <w:rsid w:val="0017625C"/>
    <w:rsid w:val="001778A5"/>
    <w:rsid w:val="001809AC"/>
    <w:rsid w:val="0018630E"/>
    <w:rsid w:val="001871CA"/>
    <w:rsid w:val="00190C41"/>
    <w:rsid w:val="00195410"/>
    <w:rsid w:val="00195D9A"/>
    <w:rsid w:val="001A0D52"/>
    <w:rsid w:val="001A4E92"/>
    <w:rsid w:val="001B25B0"/>
    <w:rsid w:val="001B3BFA"/>
    <w:rsid w:val="001C3B5B"/>
    <w:rsid w:val="001C4012"/>
    <w:rsid w:val="001D0A68"/>
    <w:rsid w:val="001D523E"/>
    <w:rsid w:val="001E2B15"/>
    <w:rsid w:val="001E4E2E"/>
    <w:rsid w:val="001F0BDD"/>
    <w:rsid w:val="001F5542"/>
    <w:rsid w:val="001F7BEC"/>
    <w:rsid w:val="00200702"/>
    <w:rsid w:val="002029B8"/>
    <w:rsid w:val="00213529"/>
    <w:rsid w:val="002244E5"/>
    <w:rsid w:val="002264C1"/>
    <w:rsid w:val="00237861"/>
    <w:rsid w:val="00245C66"/>
    <w:rsid w:val="002616E3"/>
    <w:rsid w:val="002620DF"/>
    <w:rsid w:val="002710E8"/>
    <w:rsid w:val="00272383"/>
    <w:rsid w:val="00274F83"/>
    <w:rsid w:val="00277B2C"/>
    <w:rsid w:val="002854D9"/>
    <w:rsid w:val="0028625A"/>
    <w:rsid w:val="00287B69"/>
    <w:rsid w:val="00291C91"/>
    <w:rsid w:val="002A7FB9"/>
    <w:rsid w:val="002B36BC"/>
    <w:rsid w:val="002C3448"/>
    <w:rsid w:val="002C7B7E"/>
    <w:rsid w:val="002D39BD"/>
    <w:rsid w:val="002D5561"/>
    <w:rsid w:val="002D66ED"/>
    <w:rsid w:val="002D7AAE"/>
    <w:rsid w:val="002E0430"/>
    <w:rsid w:val="002E7C76"/>
    <w:rsid w:val="002F0D9E"/>
    <w:rsid w:val="0030045D"/>
    <w:rsid w:val="00310B18"/>
    <w:rsid w:val="003118BF"/>
    <w:rsid w:val="00313AC3"/>
    <w:rsid w:val="00317497"/>
    <w:rsid w:val="00335FBA"/>
    <w:rsid w:val="00336F6C"/>
    <w:rsid w:val="003370B5"/>
    <w:rsid w:val="0034761D"/>
    <w:rsid w:val="003534B9"/>
    <w:rsid w:val="003606E4"/>
    <w:rsid w:val="00363116"/>
    <w:rsid w:val="003671AC"/>
    <w:rsid w:val="00370918"/>
    <w:rsid w:val="00371410"/>
    <w:rsid w:val="00373552"/>
    <w:rsid w:val="0037552C"/>
    <w:rsid w:val="00384245"/>
    <w:rsid w:val="00385E02"/>
    <w:rsid w:val="00390DA3"/>
    <w:rsid w:val="00392735"/>
    <w:rsid w:val="00396580"/>
    <w:rsid w:val="003966DE"/>
    <w:rsid w:val="003A0EED"/>
    <w:rsid w:val="003A1A7F"/>
    <w:rsid w:val="003A7C1F"/>
    <w:rsid w:val="003B361B"/>
    <w:rsid w:val="003C3B48"/>
    <w:rsid w:val="003C4364"/>
    <w:rsid w:val="003E2640"/>
    <w:rsid w:val="003E27BB"/>
    <w:rsid w:val="003E4D5E"/>
    <w:rsid w:val="004011AD"/>
    <w:rsid w:val="004013D5"/>
    <w:rsid w:val="00406FA3"/>
    <w:rsid w:val="00413F5B"/>
    <w:rsid w:val="00421F06"/>
    <w:rsid w:val="0042326C"/>
    <w:rsid w:val="00423EC2"/>
    <w:rsid w:val="0043193F"/>
    <w:rsid w:val="00431C79"/>
    <w:rsid w:val="00437E55"/>
    <w:rsid w:val="0044662C"/>
    <w:rsid w:val="00451A2D"/>
    <w:rsid w:val="00452354"/>
    <w:rsid w:val="0045359A"/>
    <w:rsid w:val="004543A7"/>
    <w:rsid w:val="0046133D"/>
    <w:rsid w:val="00465598"/>
    <w:rsid w:val="0047237E"/>
    <w:rsid w:val="00472AAF"/>
    <w:rsid w:val="00483FB2"/>
    <w:rsid w:val="004841BC"/>
    <w:rsid w:val="0048454F"/>
    <w:rsid w:val="00491B1D"/>
    <w:rsid w:val="00493314"/>
    <w:rsid w:val="004958B8"/>
    <w:rsid w:val="004A41EB"/>
    <w:rsid w:val="004A4515"/>
    <w:rsid w:val="004B1929"/>
    <w:rsid w:val="004B1C29"/>
    <w:rsid w:val="004B71A6"/>
    <w:rsid w:val="004C4E07"/>
    <w:rsid w:val="004C5F79"/>
    <w:rsid w:val="004D739A"/>
    <w:rsid w:val="004D7C06"/>
    <w:rsid w:val="004E233F"/>
    <w:rsid w:val="004F13CF"/>
    <w:rsid w:val="00500593"/>
    <w:rsid w:val="00501308"/>
    <w:rsid w:val="005020BA"/>
    <w:rsid w:val="00511B58"/>
    <w:rsid w:val="00514C3B"/>
    <w:rsid w:val="0052077A"/>
    <w:rsid w:val="00541190"/>
    <w:rsid w:val="00543811"/>
    <w:rsid w:val="00550A60"/>
    <w:rsid w:val="005529F9"/>
    <w:rsid w:val="005617F9"/>
    <w:rsid w:val="00567E46"/>
    <w:rsid w:val="0057480D"/>
    <w:rsid w:val="005816C8"/>
    <w:rsid w:val="00584991"/>
    <w:rsid w:val="005874E4"/>
    <w:rsid w:val="00596EFD"/>
    <w:rsid w:val="005A1067"/>
    <w:rsid w:val="005A2B8D"/>
    <w:rsid w:val="005A7A3B"/>
    <w:rsid w:val="005B1E47"/>
    <w:rsid w:val="005C26B9"/>
    <w:rsid w:val="005C2D4B"/>
    <w:rsid w:val="005C75F6"/>
    <w:rsid w:val="005D0B5A"/>
    <w:rsid w:val="005D1F7A"/>
    <w:rsid w:val="005D46AF"/>
    <w:rsid w:val="005E3843"/>
    <w:rsid w:val="005F11F9"/>
    <w:rsid w:val="005F3189"/>
    <w:rsid w:val="005F348F"/>
    <w:rsid w:val="00614499"/>
    <w:rsid w:val="00614683"/>
    <w:rsid w:val="00614EDC"/>
    <w:rsid w:val="00616CA1"/>
    <w:rsid w:val="00642DF8"/>
    <w:rsid w:val="00643379"/>
    <w:rsid w:val="00644DDD"/>
    <w:rsid w:val="00650783"/>
    <w:rsid w:val="0065688E"/>
    <w:rsid w:val="00662719"/>
    <w:rsid w:val="006641A0"/>
    <w:rsid w:val="00664744"/>
    <w:rsid w:val="0066694E"/>
    <w:rsid w:val="00670766"/>
    <w:rsid w:val="0068060A"/>
    <w:rsid w:val="00684FF3"/>
    <w:rsid w:val="0068614C"/>
    <w:rsid w:val="00694F13"/>
    <w:rsid w:val="00695CD2"/>
    <w:rsid w:val="00697C8A"/>
    <w:rsid w:val="006A3B51"/>
    <w:rsid w:val="006A55D2"/>
    <w:rsid w:val="006A695E"/>
    <w:rsid w:val="006B7107"/>
    <w:rsid w:val="006B772E"/>
    <w:rsid w:val="006C4A50"/>
    <w:rsid w:val="006C75A7"/>
    <w:rsid w:val="006E3BAE"/>
    <w:rsid w:val="006E5618"/>
    <w:rsid w:val="006E7B25"/>
    <w:rsid w:val="006F0D00"/>
    <w:rsid w:val="006F16E8"/>
    <w:rsid w:val="006F1A95"/>
    <w:rsid w:val="00705C8E"/>
    <w:rsid w:val="00721CE5"/>
    <w:rsid w:val="00733459"/>
    <w:rsid w:val="00740CE9"/>
    <w:rsid w:val="00743E85"/>
    <w:rsid w:val="00751E1D"/>
    <w:rsid w:val="00754619"/>
    <w:rsid w:val="00764EAC"/>
    <w:rsid w:val="00765C23"/>
    <w:rsid w:val="007768D7"/>
    <w:rsid w:val="007776FF"/>
    <w:rsid w:val="00782E65"/>
    <w:rsid w:val="0078507E"/>
    <w:rsid w:val="007861DF"/>
    <w:rsid w:val="00795354"/>
    <w:rsid w:val="007A2C9B"/>
    <w:rsid w:val="007A5A2E"/>
    <w:rsid w:val="007A69CD"/>
    <w:rsid w:val="007B0424"/>
    <w:rsid w:val="007B33AD"/>
    <w:rsid w:val="007B38B8"/>
    <w:rsid w:val="007B5481"/>
    <w:rsid w:val="007C2C65"/>
    <w:rsid w:val="007D03B8"/>
    <w:rsid w:val="007D69AB"/>
    <w:rsid w:val="007D7434"/>
    <w:rsid w:val="007E3381"/>
    <w:rsid w:val="007F1B29"/>
    <w:rsid w:val="008014B7"/>
    <w:rsid w:val="0080241C"/>
    <w:rsid w:val="00805DF7"/>
    <w:rsid w:val="00810379"/>
    <w:rsid w:val="00813D0F"/>
    <w:rsid w:val="00817EE0"/>
    <w:rsid w:val="0082491D"/>
    <w:rsid w:val="00825641"/>
    <w:rsid w:val="00826E0A"/>
    <w:rsid w:val="0083240F"/>
    <w:rsid w:val="008324BA"/>
    <w:rsid w:val="00844BBC"/>
    <w:rsid w:val="00847501"/>
    <w:rsid w:val="008502B5"/>
    <w:rsid w:val="008528BE"/>
    <w:rsid w:val="00853CD6"/>
    <w:rsid w:val="00862020"/>
    <w:rsid w:val="00863139"/>
    <w:rsid w:val="0086722E"/>
    <w:rsid w:val="00873BF5"/>
    <w:rsid w:val="00881316"/>
    <w:rsid w:val="00884922"/>
    <w:rsid w:val="00886753"/>
    <w:rsid w:val="00896F32"/>
    <w:rsid w:val="00897B44"/>
    <w:rsid w:val="008A0C7E"/>
    <w:rsid w:val="008A1872"/>
    <w:rsid w:val="008A1EB7"/>
    <w:rsid w:val="008A2314"/>
    <w:rsid w:val="008A3D6E"/>
    <w:rsid w:val="008A7BEC"/>
    <w:rsid w:val="008B518C"/>
    <w:rsid w:val="008C07E1"/>
    <w:rsid w:val="008C3A52"/>
    <w:rsid w:val="008D2128"/>
    <w:rsid w:val="008D34C8"/>
    <w:rsid w:val="008D62CD"/>
    <w:rsid w:val="008D6B26"/>
    <w:rsid w:val="008E0DE1"/>
    <w:rsid w:val="008E16A9"/>
    <w:rsid w:val="008F0410"/>
    <w:rsid w:val="008F2726"/>
    <w:rsid w:val="0090037F"/>
    <w:rsid w:val="00900E3A"/>
    <w:rsid w:val="00903B70"/>
    <w:rsid w:val="00903F12"/>
    <w:rsid w:val="00905CBB"/>
    <w:rsid w:val="0091175E"/>
    <w:rsid w:val="00915730"/>
    <w:rsid w:val="00917A6E"/>
    <w:rsid w:val="009201D4"/>
    <w:rsid w:val="0092231B"/>
    <w:rsid w:val="00925DBF"/>
    <w:rsid w:val="00932102"/>
    <w:rsid w:val="00943C87"/>
    <w:rsid w:val="00944FF5"/>
    <w:rsid w:val="00945B5D"/>
    <w:rsid w:val="0095015D"/>
    <w:rsid w:val="00950554"/>
    <w:rsid w:val="00951C9B"/>
    <w:rsid w:val="00956BDE"/>
    <w:rsid w:val="009609BF"/>
    <w:rsid w:val="00961539"/>
    <w:rsid w:val="009615B1"/>
    <w:rsid w:val="009631E0"/>
    <w:rsid w:val="0096555E"/>
    <w:rsid w:val="0096653E"/>
    <w:rsid w:val="00972B9C"/>
    <w:rsid w:val="00976FE4"/>
    <w:rsid w:val="00977F28"/>
    <w:rsid w:val="009836DA"/>
    <w:rsid w:val="00983A0F"/>
    <w:rsid w:val="009A14E0"/>
    <w:rsid w:val="009A2044"/>
    <w:rsid w:val="009A2299"/>
    <w:rsid w:val="009A5A35"/>
    <w:rsid w:val="009B40DD"/>
    <w:rsid w:val="009B6A21"/>
    <w:rsid w:val="009B6AD7"/>
    <w:rsid w:val="009C0149"/>
    <w:rsid w:val="009C16B8"/>
    <w:rsid w:val="009C4CC8"/>
    <w:rsid w:val="009D0D93"/>
    <w:rsid w:val="009D2451"/>
    <w:rsid w:val="009E2006"/>
    <w:rsid w:val="009E3F14"/>
    <w:rsid w:val="009E3F42"/>
    <w:rsid w:val="009E5B19"/>
    <w:rsid w:val="009E74E7"/>
    <w:rsid w:val="009E7EDF"/>
    <w:rsid w:val="00A00BBE"/>
    <w:rsid w:val="00A06408"/>
    <w:rsid w:val="00A06534"/>
    <w:rsid w:val="00A108BB"/>
    <w:rsid w:val="00A14FA0"/>
    <w:rsid w:val="00A15699"/>
    <w:rsid w:val="00A214F2"/>
    <w:rsid w:val="00A25545"/>
    <w:rsid w:val="00A27F9E"/>
    <w:rsid w:val="00A30D9C"/>
    <w:rsid w:val="00A365DD"/>
    <w:rsid w:val="00A36BD5"/>
    <w:rsid w:val="00A37969"/>
    <w:rsid w:val="00A418E1"/>
    <w:rsid w:val="00A42380"/>
    <w:rsid w:val="00A45657"/>
    <w:rsid w:val="00A45939"/>
    <w:rsid w:val="00A52EFE"/>
    <w:rsid w:val="00A52FEC"/>
    <w:rsid w:val="00A56ACC"/>
    <w:rsid w:val="00A604D9"/>
    <w:rsid w:val="00A622FA"/>
    <w:rsid w:val="00A6271D"/>
    <w:rsid w:val="00A704DF"/>
    <w:rsid w:val="00A708A2"/>
    <w:rsid w:val="00A70BEC"/>
    <w:rsid w:val="00A76B19"/>
    <w:rsid w:val="00A80A56"/>
    <w:rsid w:val="00A816CC"/>
    <w:rsid w:val="00A82CF8"/>
    <w:rsid w:val="00A86DC3"/>
    <w:rsid w:val="00A87413"/>
    <w:rsid w:val="00A8772C"/>
    <w:rsid w:val="00A87F32"/>
    <w:rsid w:val="00A903E9"/>
    <w:rsid w:val="00A93A57"/>
    <w:rsid w:val="00A948AB"/>
    <w:rsid w:val="00A94C1A"/>
    <w:rsid w:val="00A94C8B"/>
    <w:rsid w:val="00AA4034"/>
    <w:rsid w:val="00AA5EBF"/>
    <w:rsid w:val="00AA6C5B"/>
    <w:rsid w:val="00AB5832"/>
    <w:rsid w:val="00AC6620"/>
    <w:rsid w:val="00AD4878"/>
    <w:rsid w:val="00AD507E"/>
    <w:rsid w:val="00AF7087"/>
    <w:rsid w:val="00AF7168"/>
    <w:rsid w:val="00B00587"/>
    <w:rsid w:val="00B00AB9"/>
    <w:rsid w:val="00B01FFE"/>
    <w:rsid w:val="00B0204D"/>
    <w:rsid w:val="00B0666E"/>
    <w:rsid w:val="00B17F69"/>
    <w:rsid w:val="00B22160"/>
    <w:rsid w:val="00B317DF"/>
    <w:rsid w:val="00B332EE"/>
    <w:rsid w:val="00B3555E"/>
    <w:rsid w:val="00B36638"/>
    <w:rsid w:val="00B42672"/>
    <w:rsid w:val="00B4521D"/>
    <w:rsid w:val="00B459C3"/>
    <w:rsid w:val="00B46324"/>
    <w:rsid w:val="00B47E9E"/>
    <w:rsid w:val="00B50B26"/>
    <w:rsid w:val="00B5307E"/>
    <w:rsid w:val="00B74378"/>
    <w:rsid w:val="00B761B8"/>
    <w:rsid w:val="00B817FA"/>
    <w:rsid w:val="00B85DBB"/>
    <w:rsid w:val="00B92A91"/>
    <w:rsid w:val="00BA0D63"/>
    <w:rsid w:val="00BA14B0"/>
    <w:rsid w:val="00BA266F"/>
    <w:rsid w:val="00BA28A7"/>
    <w:rsid w:val="00BB2FFA"/>
    <w:rsid w:val="00BB56CA"/>
    <w:rsid w:val="00BB6971"/>
    <w:rsid w:val="00BC444E"/>
    <w:rsid w:val="00BC5852"/>
    <w:rsid w:val="00BC7CD4"/>
    <w:rsid w:val="00BD480A"/>
    <w:rsid w:val="00BD48AC"/>
    <w:rsid w:val="00BD5948"/>
    <w:rsid w:val="00BE183F"/>
    <w:rsid w:val="00BE199D"/>
    <w:rsid w:val="00BE29D8"/>
    <w:rsid w:val="00BE2DD0"/>
    <w:rsid w:val="00BE3469"/>
    <w:rsid w:val="00BE5E35"/>
    <w:rsid w:val="00BF037B"/>
    <w:rsid w:val="00BF7990"/>
    <w:rsid w:val="00C01300"/>
    <w:rsid w:val="00C044E8"/>
    <w:rsid w:val="00C06C1C"/>
    <w:rsid w:val="00C22244"/>
    <w:rsid w:val="00C22550"/>
    <w:rsid w:val="00C22B33"/>
    <w:rsid w:val="00C22D31"/>
    <w:rsid w:val="00C23003"/>
    <w:rsid w:val="00C30AB0"/>
    <w:rsid w:val="00C32028"/>
    <w:rsid w:val="00C3301C"/>
    <w:rsid w:val="00C53142"/>
    <w:rsid w:val="00C536D8"/>
    <w:rsid w:val="00C54307"/>
    <w:rsid w:val="00C62DBC"/>
    <w:rsid w:val="00C64FD4"/>
    <w:rsid w:val="00C66E62"/>
    <w:rsid w:val="00C67074"/>
    <w:rsid w:val="00C675B0"/>
    <w:rsid w:val="00C702E4"/>
    <w:rsid w:val="00C71D23"/>
    <w:rsid w:val="00C72EB1"/>
    <w:rsid w:val="00C73E73"/>
    <w:rsid w:val="00C74679"/>
    <w:rsid w:val="00C80E5D"/>
    <w:rsid w:val="00C82813"/>
    <w:rsid w:val="00C8654C"/>
    <w:rsid w:val="00C93322"/>
    <w:rsid w:val="00C940AE"/>
    <w:rsid w:val="00CA1D13"/>
    <w:rsid w:val="00CA3AE6"/>
    <w:rsid w:val="00CB254A"/>
    <w:rsid w:val="00CB56D2"/>
    <w:rsid w:val="00CC3FED"/>
    <w:rsid w:val="00CC47FA"/>
    <w:rsid w:val="00CC50B3"/>
    <w:rsid w:val="00CC5657"/>
    <w:rsid w:val="00CC7381"/>
    <w:rsid w:val="00CD0CD3"/>
    <w:rsid w:val="00CD3469"/>
    <w:rsid w:val="00CE2B75"/>
    <w:rsid w:val="00CE41C2"/>
    <w:rsid w:val="00CE49AA"/>
    <w:rsid w:val="00CE7B50"/>
    <w:rsid w:val="00CF095C"/>
    <w:rsid w:val="00CF5F6F"/>
    <w:rsid w:val="00CF655B"/>
    <w:rsid w:val="00CF76D8"/>
    <w:rsid w:val="00D05462"/>
    <w:rsid w:val="00D10B84"/>
    <w:rsid w:val="00D1614A"/>
    <w:rsid w:val="00D239AE"/>
    <w:rsid w:val="00D26399"/>
    <w:rsid w:val="00D27474"/>
    <w:rsid w:val="00D341E4"/>
    <w:rsid w:val="00D40A0C"/>
    <w:rsid w:val="00D44219"/>
    <w:rsid w:val="00D4585D"/>
    <w:rsid w:val="00D517E7"/>
    <w:rsid w:val="00D5305F"/>
    <w:rsid w:val="00D739A2"/>
    <w:rsid w:val="00D745CE"/>
    <w:rsid w:val="00D74787"/>
    <w:rsid w:val="00D8037A"/>
    <w:rsid w:val="00D813A3"/>
    <w:rsid w:val="00D83240"/>
    <w:rsid w:val="00D91390"/>
    <w:rsid w:val="00D92200"/>
    <w:rsid w:val="00D94CBB"/>
    <w:rsid w:val="00DA1875"/>
    <w:rsid w:val="00DA1C50"/>
    <w:rsid w:val="00DA3110"/>
    <w:rsid w:val="00DB0DE1"/>
    <w:rsid w:val="00DB1285"/>
    <w:rsid w:val="00DB1E4F"/>
    <w:rsid w:val="00DB2B92"/>
    <w:rsid w:val="00DB6159"/>
    <w:rsid w:val="00DC1DE9"/>
    <w:rsid w:val="00DC1E99"/>
    <w:rsid w:val="00DC2815"/>
    <w:rsid w:val="00DC4D99"/>
    <w:rsid w:val="00DC670A"/>
    <w:rsid w:val="00DD330D"/>
    <w:rsid w:val="00DE1DA4"/>
    <w:rsid w:val="00DF247F"/>
    <w:rsid w:val="00DF7526"/>
    <w:rsid w:val="00E0000B"/>
    <w:rsid w:val="00E007AD"/>
    <w:rsid w:val="00E10268"/>
    <w:rsid w:val="00E12549"/>
    <w:rsid w:val="00E13C95"/>
    <w:rsid w:val="00E17ECE"/>
    <w:rsid w:val="00E27245"/>
    <w:rsid w:val="00E3034E"/>
    <w:rsid w:val="00E3066D"/>
    <w:rsid w:val="00E33587"/>
    <w:rsid w:val="00E344BA"/>
    <w:rsid w:val="00E34E26"/>
    <w:rsid w:val="00E4552D"/>
    <w:rsid w:val="00E5063F"/>
    <w:rsid w:val="00E543A7"/>
    <w:rsid w:val="00E675A8"/>
    <w:rsid w:val="00E71C0D"/>
    <w:rsid w:val="00E75837"/>
    <w:rsid w:val="00E8231E"/>
    <w:rsid w:val="00E82862"/>
    <w:rsid w:val="00E860B3"/>
    <w:rsid w:val="00E90B3B"/>
    <w:rsid w:val="00EA06C6"/>
    <w:rsid w:val="00EA7C2F"/>
    <w:rsid w:val="00EB0607"/>
    <w:rsid w:val="00EB1E5F"/>
    <w:rsid w:val="00EB2782"/>
    <w:rsid w:val="00EB5D8D"/>
    <w:rsid w:val="00EC10B0"/>
    <w:rsid w:val="00EC30FE"/>
    <w:rsid w:val="00EC5C09"/>
    <w:rsid w:val="00EC6091"/>
    <w:rsid w:val="00ED2A80"/>
    <w:rsid w:val="00ED68C5"/>
    <w:rsid w:val="00EE3322"/>
    <w:rsid w:val="00EF2226"/>
    <w:rsid w:val="00F040EF"/>
    <w:rsid w:val="00F05CD7"/>
    <w:rsid w:val="00F16471"/>
    <w:rsid w:val="00F17A1B"/>
    <w:rsid w:val="00F24E22"/>
    <w:rsid w:val="00F25174"/>
    <w:rsid w:val="00F26407"/>
    <w:rsid w:val="00F306CB"/>
    <w:rsid w:val="00F35833"/>
    <w:rsid w:val="00F4121E"/>
    <w:rsid w:val="00F41EC8"/>
    <w:rsid w:val="00F52899"/>
    <w:rsid w:val="00F70C7E"/>
    <w:rsid w:val="00F718C7"/>
    <w:rsid w:val="00F77D0D"/>
    <w:rsid w:val="00F832E6"/>
    <w:rsid w:val="00F86357"/>
    <w:rsid w:val="00F940EC"/>
    <w:rsid w:val="00FA4E62"/>
    <w:rsid w:val="00FA4FBC"/>
    <w:rsid w:val="00FA54A2"/>
    <w:rsid w:val="00FA6F3B"/>
    <w:rsid w:val="00FB0F73"/>
    <w:rsid w:val="00FB2B0B"/>
    <w:rsid w:val="00FB3723"/>
    <w:rsid w:val="00FB51F6"/>
    <w:rsid w:val="00FC1A7F"/>
    <w:rsid w:val="00FC4436"/>
    <w:rsid w:val="00FC48C7"/>
    <w:rsid w:val="00FC613E"/>
    <w:rsid w:val="00FD4E08"/>
    <w:rsid w:val="00FD63B4"/>
    <w:rsid w:val="00FE0F5E"/>
    <w:rsid w:val="01AA1EDD"/>
    <w:rsid w:val="01E02DFE"/>
    <w:rsid w:val="01EA7755"/>
    <w:rsid w:val="049A2550"/>
    <w:rsid w:val="07581711"/>
    <w:rsid w:val="089F47D7"/>
    <w:rsid w:val="0AAB7D76"/>
    <w:rsid w:val="0BA17CD0"/>
    <w:rsid w:val="0D4870D3"/>
    <w:rsid w:val="0F400490"/>
    <w:rsid w:val="14E7655D"/>
    <w:rsid w:val="1578502B"/>
    <w:rsid w:val="16292DB5"/>
    <w:rsid w:val="181F4046"/>
    <w:rsid w:val="194E1049"/>
    <w:rsid w:val="26E054C2"/>
    <w:rsid w:val="283D640E"/>
    <w:rsid w:val="2F0E5BAD"/>
    <w:rsid w:val="2F0F5A43"/>
    <w:rsid w:val="39AC3D4C"/>
    <w:rsid w:val="3B713A81"/>
    <w:rsid w:val="3BB70085"/>
    <w:rsid w:val="3BC57FD9"/>
    <w:rsid w:val="3C5651C9"/>
    <w:rsid w:val="3EA510AB"/>
    <w:rsid w:val="41EF60C0"/>
    <w:rsid w:val="434B1AB3"/>
    <w:rsid w:val="47EE0603"/>
    <w:rsid w:val="482C010F"/>
    <w:rsid w:val="4BCE1070"/>
    <w:rsid w:val="4BEF4D6E"/>
    <w:rsid w:val="4EAD19EA"/>
    <w:rsid w:val="50CE5FA5"/>
    <w:rsid w:val="51432DDC"/>
    <w:rsid w:val="51695AEF"/>
    <w:rsid w:val="54F41FB5"/>
    <w:rsid w:val="5853154E"/>
    <w:rsid w:val="596F7548"/>
    <w:rsid w:val="59DF307F"/>
    <w:rsid w:val="5AB04BD0"/>
    <w:rsid w:val="5B5033C8"/>
    <w:rsid w:val="629B4C8D"/>
    <w:rsid w:val="649F3623"/>
    <w:rsid w:val="65BD6893"/>
    <w:rsid w:val="66B226A4"/>
    <w:rsid w:val="693356E7"/>
    <w:rsid w:val="69EB3BE2"/>
    <w:rsid w:val="6D677831"/>
    <w:rsid w:val="6E781B1E"/>
    <w:rsid w:val="70125805"/>
    <w:rsid w:val="71EC3450"/>
    <w:rsid w:val="72646D4B"/>
    <w:rsid w:val="73506AF8"/>
    <w:rsid w:val="74E24FE7"/>
    <w:rsid w:val="754819F8"/>
    <w:rsid w:val="7577497F"/>
    <w:rsid w:val="762C424D"/>
    <w:rsid w:val="779B4FE7"/>
    <w:rsid w:val="78A71C74"/>
    <w:rsid w:val="7A0C5E05"/>
    <w:rsid w:val="7A4912C8"/>
    <w:rsid w:val="7B792ACD"/>
    <w:rsid w:val="7BF83D11"/>
    <w:rsid w:val="7FA70D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39" w:semiHidden="0" w:name="Table Grid"/>
    <w:lsdException w:uiPriority="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1"/>
    <w:qFormat/>
    <w:uiPriority w:val="9"/>
    <w:pPr>
      <w:keepNext/>
      <w:keepLines/>
      <w:spacing w:before="100" w:after="90" w:line="240" w:lineRule="auto"/>
      <w:jc w:val="both"/>
      <w:outlineLvl w:val="0"/>
    </w:pPr>
    <w:rPr>
      <w:rFonts w:ascii="宋体" w:hAnsi="宋体" w:eastAsia="黑体" w:cs="Times New Roman"/>
      <w:bCs/>
      <w:kern w:val="44"/>
      <w:sz w:val="21"/>
      <w:szCs w:val="44"/>
      <w:lang w:eastAsia="zh-CN"/>
    </w:rPr>
  </w:style>
  <w:style w:type="paragraph" w:styleId="3">
    <w:name w:val="heading 2"/>
    <w:basedOn w:val="1"/>
    <w:next w:val="1"/>
    <w:link w:val="32"/>
    <w:unhideWhenUsed/>
    <w:qFormat/>
    <w:uiPriority w:val="0"/>
    <w:pPr>
      <w:keepNext/>
      <w:keepLines/>
      <w:numPr>
        <w:ilvl w:val="1"/>
        <w:numId w:val="1"/>
      </w:numPr>
      <w:tabs>
        <w:tab w:val="left" w:pos="420"/>
      </w:tabs>
      <w:spacing w:beforeLines="100" w:after="0" w:afterLines="100" w:line="240" w:lineRule="auto"/>
      <w:outlineLvl w:val="1"/>
    </w:pPr>
    <w:rPr>
      <w:rFonts w:ascii="宋体" w:hAnsi="宋体" w:eastAsia="宋体" w:cs="Times New Roman"/>
      <w:bCs/>
      <w:kern w:val="2"/>
      <w:sz w:val="21"/>
      <w:szCs w:val="30"/>
      <w:lang w:eastAsia="zh-CN"/>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3"/>
    <w:unhideWhenUsed/>
    <w:qFormat/>
    <w:uiPriority w:val="99"/>
    <w:pPr>
      <w:spacing w:after="0" w:line="360" w:lineRule="auto"/>
    </w:pPr>
    <w:rPr>
      <w:rFonts w:ascii="宋体" w:hAnsi="宋体" w:eastAsia="宋体" w:cs="Times New Roman"/>
      <w:kern w:val="2"/>
      <w:sz w:val="21"/>
      <w:szCs w:val="24"/>
      <w:lang w:eastAsia="zh-CN"/>
    </w:rPr>
  </w:style>
  <w:style w:type="paragraph" w:styleId="5">
    <w:name w:val="Body Text Indent 2"/>
    <w:basedOn w:val="1"/>
    <w:qFormat/>
    <w:uiPriority w:val="0"/>
    <w:pPr>
      <w:spacing w:line="440" w:lineRule="exact"/>
      <w:ind w:firstLine="420" w:firstLineChars="200"/>
    </w:pPr>
  </w:style>
  <w:style w:type="paragraph" w:styleId="6">
    <w:name w:val="Balloon Text"/>
    <w:basedOn w:val="1"/>
    <w:link w:val="34"/>
    <w:qFormat/>
    <w:uiPriority w:val="0"/>
    <w:pPr>
      <w:spacing w:after="0" w:line="240" w:lineRule="auto"/>
      <w:jc w:val="both"/>
    </w:pPr>
    <w:rPr>
      <w:rFonts w:ascii="宋体" w:hAnsi="宋体" w:eastAsia="宋体" w:cs="Times New Roman"/>
      <w:kern w:val="2"/>
      <w:sz w:val="18"/>
      <w:szCs w:val="18"/>
      <w:lang w:eastAsia="zh-CN"/>
    </w:rPr>
  </w:style>
  <w:style w:type="paragraph" w:styleId="7">
    <w:name w:val="footer"/>
    <w:basedOn w:val="1"/>
    <w:link w:val="35"/>
    <w:qFormat/>
    <w:uiPriority w:val="99"/>
    <w:pPr>
      <w:tabs>
        <w:tab w:val="center" w:pos="4153"/>
        <w:tab w:val="right" w:pos="8306"/>
      </w:tabs>
      <w:snapToGrid w:val="0"/>
      <w:spacing w:after="0" w:line="360" w:lineRule="auto"/>
    </w:pPr>
    <w:rPr>
      <w:rFonts w:ascii="宋体" w:hAnsi="宋体" w:eastAsia="宋体" w:cs="Times New Roman"/>
      <w:kern w:val="2"/>
      <w:sz w:val="18"/>
      <w:szCs w:val="18"/>
      <w:lang w:eastAsia="zh-CN"/>
    </w:rPr>
  </w:style>
  <w:style w:type="paragraph" w:styleId="8">
    <w:name w:val="header"/>
    <w:basedOn w:val="1"/>
    <w:link w:val="36"/>
    <w:qFormat/>
    <w:uiPriority w:val="0"/>
    <w:pPr>
      <w:pBdr>
        <w:bottom w:val="single" w:color="auto" w:sz="6" w:space="1"/>
      </w:pBdr>
      <w:tabs>
        <w:tab w:val="center" w:pos="4153"/>
        <w:tab w:val="right" w:pos="8306"/>
      </w:tabs>
      <w:snapToGrid w:val="0"/>
      <w:spacing w:after="0" w:line="360" w:lineRule="auto"/>
      <w:jc w:val="center"/>
    </w:pPr>
    <w:rPr>
      <w:rFonts w:ascii="宋体" w:hAnsi="宋体" w:eastAsia="宋体" w:cs="Times New Roman"/>
      <w:kern w:val="2"/>
      <w:sz w:val="18"/>
      <w:szCs w:val="18"/>
      <w:lang w:eastAsia="zh-CN"/>
    </w:rPr>
  </w:style>
  <w:style w:type="paragraph" w:styleId="9">
    <w:name w:val="toc 1"/>
    <w:basedOn w:val="1"/>
    <w:next w:val="1"/>
    <w:unhideWhenUsed/>
    <w:qFormat/>
    <w:uiPriority w:val="39"/>
    <w:pPr>
      <w:widowControl/>
      <w:spacing w:after="100" w:line="259" w:lineRule="auto"/>
    </w:pPr>
    <w:rPr>
      <w:rFonts w:ascii="Calibri" w:hAnsi="Calibri" w:eastAsia="宋体" w:cs="Times New Roman"/>
      <w:lang w:eastAsia="zh-CN"/>
    </w:rPr>
  </w:style>
  <w:style w:type="paragraph" w:styleId="10">
    <w:name w:val="Body Text Indent 3"/>
    <w:basedOn w:val="1"/>
    <w:link w:val="37"/>
    <w:qFormat/>
    <w:uiPriority w:val="0"/>
    <w:pPr>
      <w:spacing w:after="0" w:line="360" w:lineRule="auto"/>
      <w:ind w:firstLine="480" w:firstLineChars="200"/>
      <w:jc w:val="both"/>
    </w:pPr>
    <w:rPr>
      <w:rFonts w:ascii="宋体" w:hAnsi="宋体" w:eastAsia="宋体" w:cs="Times New Roman"/>
      <w:kern w:val="2"/>
      <w:sz w:val="24"/>
      <w:szCs w:val="24"/>
      <w:lang w:eastAsia="zh-CN"/>
    </w:rPr>
  </w:style>
  <w:style w:type="paragraph" w:styleId="11">
    <w:name w:val="annotation subject"/>
    <w:basedOn w:val="4"/>
    <w:next w:val="4"/>
    <w:link w:val="57"/>
    <w:qFormat/>
    <w:uiPriority w:val="0"/>
    <w:pPr>
      <w:spacing w:after="200" w:line="276" w:lineRule="auto"/>
    </w:pPr>
    <w:rPr>
      <w:rFonts w:asciiTheme="minorHAnsi" w:hAnsiTheme="minorHAnsi" w:eastAsiaTheme="minorEastAsia" w:cstheme="minorBidi"/>
      <w:b/>
      <w:bCs/>
      <w:kern w:val="0"/>
      <w:sz w:val="22"/>
      <w:szCs w:val="22"/>
      <w:lang w:eastAsia="en-US"/>
    </w:rPr>
  </w:style>
  <w:style w:type="table" w:styleId="13">
    <w:name w:val="Table Grid"/>
    <w:basedOn w:val="12"/>
    <w:unhideWhenUse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page number"/>
    <w:basedOn w:val="14"/>
    <w:qFormat/>
    <w:uiPriority w:val="0"/>
  </w:style>
  <w:style w:type="character" w:styleId="16">
    <w:name w:val="Hyperlink"/>
    <w:basedOn w:val="14"/>
    <w:unhideWhenUsed/>
    <w:qFormat/>
    <w:uiPriority w:val="99"/>
    <w:rPr>
      <w:color w:val="0563C1" w:themeColor="hyperlink"/>
      <w:u w:val="single"/>
      <w14:textFill>
        <w14:solidFill>
          <w14:schemeClr w14:val="hlink"/>
        </w14:solidFill>
      </w14:textFill>
    </w:rPr>
  </w:style>
  <w:style w:type="character" w:styleId="17">
    <w:name w:val="annotation reference"/>
    <w:basedOn w:val="14"/>
    <w:qFormat/>
    <w:uiPriority w:val="0"/>
    <w:rPr>
      <w:sz w:val="21"/>
      <w:szCs w:val="21"/>
    </w:rPr>
  </w:style>
  <w:style w:type="paragraph" w:customStyle="1" w:styleId="18">
    <w:name w:val="封面正文"/>
    <w:qFormat/>
    <w:uiPriority w:val="0"/>
    <w:pPr>
      <w:jc w:val="both"/>
    </w:pPr>
    <w:rPr>
      <w:rFonts w:ascii="Times New Roman" w:hAnsi="Times New Roman" w:eastAsia="宋体" w:cs="Times New Roman"/>
      <w:lang w:val="en-US" w:eastAsia="zh-CN" w:bidi="ar-SA"/>
    </w:rPr>
  </w:style>
  <w:style w:type="paragraph" w:customStyle="1" w:styleId="19">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0">
    <w:name w:val="发布"/>
    <w:qFormat/>
    <w:uiPriority w:val="0"/>
    <w:rPr>
      <w:rFonts w:ascii="黑体" w:eastAsia="黑体"/>
      <w:spacing w:val="22"/>
      <w:w w:val="100"/>
      <w:position w:val="3"/>
      <w:sz w:val="28"/>
    </w:rPr>
  </w:style>
  <w:style w:type="paragraph" w:customStyle="1" w:styleId="21">
    <w:name w:val="发布部门"/>
    <w:next w:val="1"/>
    <w:qFormat/>
    <w:uiPriority w:val="0"/>
    <w:pPr>
      <w:framePr w:w="7433" w:h="585" w:hRule="exact" w:hSpace="180" w:vSpace="180" w:wrap="around" w:vAnchor="margin" w:hAnchor="margin" w:xAlign="center" w:y="14401" w:anchorLock="1"/>
      <w:jc w:val="center"/>
    </w:pPr>
    <w:rPr>
      <w:rFonts w:ascii="宋体" w:hAnsi="Times New Roman" w:eastAsia="宋体" w:cs="Times New Roman"/>
      <w:b/>
      <w:spacing w:val="20"/>
      <w:w w:val="135"/>
      <w:sz w:val="36"/>
      <w:lang w:val="en-US" w:eastAsia="zh-CN" w:bidi="ar-SA"/>
    </w:rPr>
  </w:style>
  <w:style w:type="paragraph" w:customStyle="1" w:styleId="22">
    <w:name w:val="实施日期"/>
    <w:basedOn w:val="23"/>
    <w:qFormat/>
    <w:uiPriority w:val="0"/>
    <w:pPr>
      <w:framePr w:hSpace="0" w:wrap="around" w:xAlign="right"/>
      <w:jc w:val="right"/>
    </w:pPr>
  </w:style>
  <w:style w:type="paragraph" w:customStyle="1" w:styleId="23">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24">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25">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26">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27">
    <w:name w:val="标准书眉_偶数页"/>
    <w:basedOn w:val="26"/>
    <w:next w:val="1"/>
    <w:qFormat/>
    <w:uiPriority w:val="0"/>
    <w:pPr>
      <w:jc w:val="left"/>
    </w:pPr>
  </w:style>
  <w:style w:type="paragraph" w:customStyle="1" w:styleId="28">
    <w:name w:val="标准书眉一"/>
    <w:qFormat/>
    <w:uiPriority w:val="0"/>
    <w:pPr>
      <w:jc w:val="both"/>
    </w:pPr>
    <w:rPr>
      <w:rFonts w:ascii="Times New Roman" w:hAnsi="Times New Roman" w:eastAsia="宋体" w:cs="Times New Roman"/>
      <w:lang w:val="en-US" w:eastAsia="zh-CN" w:bidi="ar-SA"/>
    </w:rPr>
  </w:style>
  <w:style w:type="paragraph" w:customStyle="1" w:styleId="29">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30">
    <w:name w:val="标准书脚_偶数页"/>
    <w:qFormat/>
    <w:uiPriority w:val="0"/>
    <w:pPr>
      <w:spacing w:before="120"/>
    </w:pPr>
    <w:rPr>
      <w:rFonts w:ascii="Times New Roman" w:hAnsi="Times New Roman" w:eastAsia="宋体" w:cs="Times New Roman"/>
      <w:sz w:val="18"/>
      <w:lang w:val="en-US" w:eastAsia="zh-CN" w:bidi="ar-SA"/>
    </w:rPr>
  </w:style>
  <w:style w:type="character" w:customStyle="1" w:styleId="31">
    <w:name w:val="标题 1 Char"/>
    <w:basedOn w:val="14"/>
    <w:link w:val="2"/>
    <w:qFormat/>
    <w:uiPriority w:val="9"/>
    <w:rPr>
      <w:rFonts w:ascii="宋体" w:hAnsi="宋体" w:eastAsia="黑体" w:cs="Times New Roman"/>
      <w:bCs/>
      <w:kern w:val="44"/>
      <w:sz w:val="21"/>
      <w:szCs w:val="44"/>
    </w:rPr>
  </w:style>
  <w:style w:type="character" w:customStyle="1" w:styleId="32">
    <w:name w:val="标题 2 Char"/>
    <w:basedOn w:val="14"/>
    <w:link w:val="3"/>
    <w:qFormat/>
    <w:uiPriority w:val="0"/>
    <w:rPr>
      <w:rFonts w:ascii="宋体" w:hAnsi="宋体" w:eastAsia="宋体" w:cs="Times New Roman"/>
      <w:bCs/>
      <w:kern w:val="2"/>
      <w:sz w:val="21"/>
      <w:szCs w:val="30"/>
    </w:rPr>
  </w:style>
  <w:style w:type="character" w:customStyle="1" w:styleId="33">
    <w:name w:val="批注文字 Char"/>
    <w:basedOn w:val="14"/>
    <w:link w:val="4"/>
    <w:qFormat/>
    <w:uiPriority w:val="99"/>
    <w:rPr>
      <w:rFonts w:ascii="宋体" w:hAnsi="宋体" w:eastAsia="宋体" w:cs="Times New Roman"/>
      <w:kern w:val="2"/>
      <w:sz w:val="21"/>
      <w:szCs w:val="24"/>
    </w:rPr>
  </w:style>
  <w:style w:type="character" w:customStyle="1" w:styleId="34">
    <w:name w:val="批注框文本 Char"/>
    <w:basedOn w:val="14"/>
    <w:link w:val="6"/>
    <w:qFormat/>
    <w:uiPriority w:val="0"/>
    <w:rPr>
      <w:rFonts w:ascii="宋体" w:hAnsi="宋体" w:eastAsia="宋体" w:cs="Times New Roman"/>
      <w:kern w:val="2"/>
      <w:sz w:val="18"/>
      <w:szCs w:val="18"/>
    </w:rPr>
  </w:style>
  <w:style w:type="character" w:customStyle="1" w:styleId="35">
    <w:name w:val="页脚 Char"/>
    <w:basedOn w:val="14"/>
    <w:link w:val="7"/>
    <w:qFormat/>
    <w:uiPriority w:val="99"/>
    <w:rPr>
      <w:rFonts w:ascii="宋体" w:hAnsi="宋体" w:eastAsia="宋体" w:cs="Times New Roman"/>
      <w:kern w:val="2"/>
      <w:sz w:val="18"/>
      <w:szCs w:val="18"/>
    </w:rPr>
  </w:style>
  <w:style w:type="character" w:customStyle="1" w:styleId="36">
    <w:name w:val="页眉 Char"/>
    <w:basedOn w:val="14"/>
    <w:link w:val="8"/>
    <w:qFormat/>
    <w:uiPriority w:val="0"/>
    <w:rPr>
      <w:rFonts w:ascii="宋体" w:hAnsi="宋体" w:eastAsia="宋体" w:cs="Times New Roman"/>
      <w:kern w:val="2"/>
      <w:sz w:val="18"/>
      <w:szCs w:val="18"/>
    </w:rPr>
  </w:style>
  <w:style w:type="character" w:customStyle="1" w:styleId="37">
    <w:name w:val="正文文本缩进 3 Char"/>
    <w:basedOn w:val="14"/>
    <w:link w:val="10"/>
    <w:qFormat/>
    <w:uiPriority w:val="0"/>
    <w:rPr>
      <w:rFonts w:ascii="宋体" w:hAnsi="宋体" w:eastAsia="宋体" w:cs="Times New Roman"/>
      <w:kern w:val="2"/>
      <w:sz w:val="24"/>
      <w:szCs w:val="24"/>
    </w:rPr>
  </w:style>
  <w:style w:type="paragraph" w:customStyle="1" w:styleId="38">
    <w:name w:val="其他标准称谓"/>
    <w:qFormat/>
    <w:uiPriority w:val="0"/>
    <w:pPr>
      <w:spacing w:line="0" w:lineRule="atLeast"/>
      <w:ind w:firstLine="200"/>
      <w:jc w:val="both"/>
    </w:pPr>
    <w:rPr>
      <w:rFonts w:ascii="黑体" w:hAnsi="黑体" w:eastAsia="黑体" w:cs="宋体"/>
      <w:color w:val="000000"/>
      <w:sz w:val="52"/>
      <w:lang w:val="en-US" w:eastAsia="zh-CN" w:bidi="ar-SA"/>
    </w:rPr>
  </w:style>
  <w:style w:type="paragraph" w:customStyle="1" w:styleId="39">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40">
    <w:name w:val="ENFI表体"/>
    <w:basedOn w:val="1"/>
    <w:qFormat/>
    <w:uiPriority w:val="0"/>
    <w:pPr>
      <w:widowControl/>
      <w:adjustRightInd w:val="0"/>
      <w:snapToGrid w:val="0"/>
      <w:spacing w:after="0" w:line="240" w:lineRule="atLeast"/>
    </w:pPr>
    <w:rPr>
      <w:rFonts w:ascii="宋体" w:hAnsi="宋体" w:eastAsia="仿宋_GB2312" w:cs="Times New Roman"/>
      <w:sz w:val="21"/>
      <w:szCs w:val="24"/>
      <w:lang w:eastAsia="zh-CN"/>
    </w:rPr>
  </w:style>
  <w:style w:type="paragraph" w:customStyle="1" w:styleId="41">
    <w:name w:val="标准标志"/>
    <w:next w:val="1"/>
    <w:qFormat/>
    <w:uiPriority w:val="0"/>
    <w:pPr>
      <w:shd w:val="solid" w:color="FFFFFF" w:fill="FFFFFF"/>
      <w:spacing w:line="0" w:lineRule="atLeast"/>
      <w:ind w:firstLine="200"/>
      <w:jc w:val="right"/>
    </w:pPr>
    <w:rPr>
      <w:rFonts w:ascii="Times New Roman" w:hAnsi="Times New Roman" w:eastAsia="宋体" w:cs="Times New Roman"/>
      <w:b/>
      <w:color w:val="000000"/>
      <w:w w:val="130"/>
      <w:sz w:val="96"/>
      <w:lang w:val="en-US" w:eastAsia="zh-CN" w:bidi="ar-SA"/>
    </w:rPr>
  </w:style>
  <w:style w:type="character" w:customStyle="1" w:styleId="42">
    <w:name w:val="fontstyle01"/>
    <w:basedOn w:val="14"/>
    <w:qFormat/>
    <w:uiPriority w:val="0"/>
    <w:rPr>
      <w:rFonts w:ascii="E-BZ" w:hAnsi="E-BZ" w:eastAsia="E-BZ" w:cs="E-BZ"/>
      <w:color w:val="000000"/>
      <w:sz w:val="20"/>
      <w:szCs w:val="20"/>
    </w:rPr>
  </w:style>
  <w:style w:type="character" w:customStyle="1" w:styleId="43">
    <w:name w:val="fontstyle21"/>
    <w:basedOn w:val="14"/>
    <w:qFormat/>
    <w:uiPriority w:val="0"/>
    <w:rPr>
      <w:rFonts w:ascii="FZSSK--GBK1-0" w:hAnsi="FZSSK--GBK1-0" w:eastAsia="FZSSK--GBK1-0" w:cs="FZSSK--GBK1-0"/>
      <w:color w:val="000000"/>
      <w:sz w:val="20"/>
      <w:szCs w:val="20"/>
    </w:rPr>
  </w:style>
  <w:style w:type="character" w:styleId="44">
    <w:name w:val="Placeholder Text"/>
    <w:basedOn w:val="14"/>
    <w:unhideWhenUsed/>
    <w:qFormat/>
    <w:uiPriority w:val="99"/>
    <w:rPr>
      <w:color w:val="808080"/>
    </w:rPr>
  </w:style>
  <w:style w:type="character" w:customStyle="1" w:styleId="45">
    <w:name w:val="15"/>
    <w:basedOn w:val="14"/>
    <w:qFormat/>
    <w:uiPriority w:val="0"/>
    <w:rPr>
      <w:rFonts w:hint="eastAsia" w:ascii="宋体" w:hAnsi="宋体" w:eastAsia="宋体"/>
      <w:color w:val="000000"/>
      <w:sz w:val="22"/>
      <w:szCs w:val="22"/>
    </w:rPr>
  </w:style>
  <w:style w:type="paragraph" w:customStyle="1" w:styleId="46">
    <w:name w:val="WPSOffice手动目录 1"/>
    <w:qFormat/>
    <w:uiPriority w:val="0"/>
    <w:rPr>
      <w:rFonts w:ascii="Times New Roman" w:hAnsi="Times New Roman" w:eastAsia="宋体" w:cs="Times New Roman"/>
      <w:lang w:val="en-US" w:eastAsia="zh-CN" w:bidi="ar-SA"/>
    </w:rPr>
  </w:style>
  <w:style w:type="paragraph" w:customStyle="1" w:styleId="47">
    <w:name w:val="修订1"/>
    <w:hidden/>
    <w:semiHidden/>
    <w:qFormat/>
    <w:uiPriority w:val="99"/>
    <w:rPr>
      <w:rFonts w:ascii="宋体" w:hAnsi="宋体" w:eastAsia="宋体" w:cs="Times New Roman"/>
      <w:kern w:val="2"/>
      <w:sz w:val="21"/>
      <w:szCs w:val="24"/>
      <w:lang w:val="en-US" w:eastAsia="zh-CN" w:bidi="ar-SA"/>
    </w:rPr>
  </w:style>
  <w:style w:type="table" w:customStyle="1" w:styleId="48">
    <w:name w:val="Table Normal1"/>
    <w:basedOn w:val="12"/>
    <w:qFormat/>
    <w:uiPriority w:val="0"/>
    <w:rPr>
      <w:rFonts w:eastAsia="Times New Roman"/>
    </w:rPr>
    <w:tblPr>
      <w:tblCellMar>
        <w:top w:w="0" w:type="dxa"/>
        <w:left w:w="0" w:type="dxa"/>
        <w:bottom w:w="0" w:type="dxa"/>
        <w:right w:w="0" w:type="dxa"/>
      </w:tblCellMar>
    </w:tblPr>
  </w:style>
  <w:style w:type="paragraph" w:styleId="49">
    <w:name w:val="List Paragraph"/>
    <w:basedOn w:val="1"/>
    <w:qFormat/>
    <w:uiPriority w:val="1"/>
    <w:pPr>
      <w:spacing w:after="0" w:line="360" w:lineRule="auto"/>
      <w:ind w:firstLine="420" w:firstLineChars="200"/>
      <w:jc w:val="both"/>
    </w:pPr>
    <w:rPr>
      <w:rFonts w:ascii="宋体" w:hAnsi="宋体" w:eastAsia="宋体" w:cs="Times New Roman"/>
      <w:kern w:val="2"/>
      <w:sz w:val="21"/>
      <w:szCs w:val="24"/>
      <w:lang w:eastAsia="zh-CN"/>
    </w:rPr>
  </w:style>
  <w:style w:type="table" w:customStyle="1" w:styleId="50">
    <w:name w:val="_Style 89"/>
    <w:basedOn w:val="12"/>
    <w:qFormat/>
    <w:uiPriority w:val="0"/>
    <w:tblPr>
      <w:tblCellMar>
        <w:top w:w="15" w:type="dxa"/>
        <w:left w:w="15" w:type="dxa"/>
        <w:bottom w:w="15" w:type="dxa"/>
        <w:right w:w="15" w:type="dxa"/>
      </w:tblCellMar>
    </w:tblPr>
  </w:style>
  <w:style w:type="table" w:customStyle="1" w:styleId="51">
    <w:name w:val="_Style 90"/>
    <w:basedOn w:val="12"/>
    <w:qFormat/>
    <w:uiPriority w:val="0"/>
    <w:tblPr>
      <w:tblCellMar>
        <w:top w:w="0" w:type="dxa"/>
        <w:left w:w="108" w:type="dxa"/>
        <w:bottom w:w="0" w:type="dxa"/>
        <w:right w:w="108" w:type="dxa"/>
      </w:tblCellMar>
    </w:tblPr>
  </w:style>
  <w:style w:type="table" w:customStyle="1" w:styleId="52">
    <w:name w:val="_Style 83"/>
    <w:basedOn w:val="12"/>
    <w:qFormat/>
    <w:uiPriority w:val="0"/>
    <w:tblPr>
      <w:tblCellMar>
        <w:top w:w="0" w:type="dxa"/>
        <w:left w:w="108" w:type="dxa"/>
        <w:bottom w:w="0" w:type="dxa"/>
        <w:right w:w="108" w:type="dxa"/>
      </w:tblCellMar>
    </w:tblPr>
  </w:style>
  <w:style w:type="table" w:customStyle="1" w:styleId="53">
    <w:name w:val="_Style 84"/>
    <w:basedOn w:val="12"/>
    <w:qFormat/>
    <w:uiPriority w:val="0"/>
    <w:tblPr>
      <w:tblCellMar>
        <w:top w:w="0" w:type="dxa"/>
        <w:left w:w="108" w:type="dxa"/>
        <w:bottom w:w="0" w:type="dxa"/>
        <w:right w:w="108" w:type="dxa"/>
      </w:tblCellMar>
    </w:tblPr>
  </w:style>
  <w:style w:type="table" w:customStyle="1" w:styleId="54">
    <w:name w:val="_Style 901"/>
    <w:basedOn w:val="12"/>
    <w:qFormat/>
    <w:uiPriority w:val="0"/>
    <w:rPr>
      <w:rFonts w:eastAsia="Times New Roman"/>
    </w:rPr>
    <w:tblPr>
      <w:tblCellMar>
        <w:top w:w="0" w:type="dxa"/>
        <w:left w:w="108" w:type="dxa"/>
        <w:bottom w:w="0" w:type="dxa"/>
        <w:right w:w="108" w:type="dxa"/>
      </w:tblCellMar>
    </w:tblPr>
  </w:style>
  <w:style w:type="paragraph" w:customStyle="1" w:styleId="55">
    <w:name w:val="修订2"/>
    <w:hidden/>
    <w:unhideWhenUsed/>
    <w:qFormat/>
    <w:uiPriority w:val="99"/>
    <w:rPr>
      <w:rFonts w:asciiTheme="minorHAnsi" w:hAnsiTheme="minorHAnsi" w:eastAsiaTheme="minorEastAsia" w:cstheme="minorBidi"/>
      <w:sz w:val="22"/>
      <w:szCs w:val="22"/>
      <w:lang w:val="en-US" w:eastAsia="en-US" w:bidi="ar-SA"/>
    </w:rPr>
  </w:style>
  <w:style w:type="paragraph" w:customStyle="1" w:styleId="56">
    <w:name w:val="Revision"/>
    <w:hidden/>
    <w:unhideWhenUsed/>
    <w:qFormat/>
    <w:uiPriority w:val="99"/>
    <w:rPr>
      <w:rFonts w:asciiTheme="minorHAnsi" w:hAnsiTheme="minorHAnsi" w:eastAsiaTheme="minorEastAsia" w:cstheme="minorBidi"/>
      <w:sz w:val="22"/>
      <w:szCs w:val="22"/>
      <w:lang w:val="en-US" w:eastAsia="en-US" w:bidi="ar-SA"/>
    </w:rPr>
  </w:style>
  <w:style w:type="character" w:customStyle="1" w:styleId="57">
    <w:name w:val="批注主题 Char"/>
    <w:basedOn w:val="33"/>
    <w:link w:val="11"/>
    <w:qFormat/>
    <w:uiPriority w:val="0"/>
    <w:rPr>
      <w:rFonts w:asciiTheme="minorHAnsi" w:hAnsiTheme="minorHAnsi" w:eastAsiaTheme="minorEastAsia" w:cstheme="minorBidi"/>
      <w:b/>
      <w:bCs/>
      <w:kern w:val="2"/>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customXml" Target="../customXml/item3.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5.jpeg"/><Relationship Id="rId21" Type="http://schemas.openxmlformats.org/officeDocument/2006/relationships/image" Target="media/image4.jpeg"/><Relationship Id="rId20" Type="http://schemas.openxmlformats.org/officeDocument/2006/relationships/image" Target="media/image3.jpeg"/><Relationship Id="rId2" Type="http://schemas.openxmlformats.org/officeDocument/2006/relationships/settings" Target="settings.xml"/><Relationship Id="rId19" Type="http://schemas.openxmlformats.org/officeDocument/2006/relationships/image" Target="media/image2.jpeg"/><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3ebc52a3-b910-4310-9d11-e76c0a1f941b</errorID>
      <errorWord>：。</errorWord>
      <group>L1_Punc</group>
      <groupName>标点问题</groupName>
      <ability>L2_Punc</ability>
      <abilityName>标点符号检查</abilityName>
      <candidateList>
        <item>：</item>
      </candidateList>
      <explain/>
      <paraID>56AB980A</paraID>
      <start>8</start>
      <end>10</end>
      <status>ignored</status>
      <modifiedWord/>
      <trackRevisions>false</trackRevisions>
    </reviewItem>
    <reviewItem>
      <errorID>f844ef1a-c5bf-4bdb-b52f-e233687d35a3</errorID>
      <errorWord>:</errorWord>
      <group>L1_Format</group>
      <groupName>格式问题</groupName>
      <ability>L2_HalfPunc</ability>
      <abilityName>全半角检查</abilityName>
      <candidateList>
        <item>：</item>
      </candidateList>
      <explain>文本全半角错误。</explain>
      <paraID>21CE199C</paraID>
      <start>60</start>
      <end>61</end>
      <status>modified</status>
      <modifiedWord>：</modifiedWord>
      <trackRevisions>false</trackRevisions>
    </reviewItem>
    <reviewItem>
      <errorID>05abaac0-6628-4ada-9b12-47c97a953cfd</errorID>
      <errorWord>,</errorWord>
      <group>L1_Format</group>
      <groupName>格式问题</groupName>
      <ability>L2_HalfPunc</ability>
      <abilityName>全半角检查</abilityName>
      <candidateList>
        <item>，</item>
      </candidateList>
      <explain>文本全半角错误。</explain>
      <paraID>21CE199C</paraID>
      <start>67</start>
      <end>68</end>
      <status>modified</status>
      <modifiedWord>，</modifiedWord>
      <trackRevisions>false</trackRevisions>
    </reviewItem>
    <reviewItem>
      <errorID>418fb94a-1e9c-4d43-9ed9-69deee5d0971</errorID>
      <errorWord>(</errorWord>
      <group>L1_Format</group>
      <groupName>格式问题</groupName>
      <ability>L2_HalfPunc</ability>
      <abilityName>全半角检查</abilityName>
      <candidateList>
        <item>（</item>
      </candidateList>
      <explain>文本全半角错误。</explain>
      <paraID>21CE199C</paraID>
      <start>85</start>
      <end>86</end>
      <status>modified</status>
      <modifiedWord>（</modifiedWord>
      <trackRevisions>false</trackRevisions>
    </reviewItem>
    <reviewItem>
      <errorID>d279f318-2633-4a73-9514-1e03ed84ec56</errorID>
      <errorWord>)</errorWord>
      <group>L1_Format</group>
      <groupName>格式问题</groupName>
      <ability>L2_HalfPunc</ability>
      <abilityName>全半角检查</abilityName>
      <candidateList>
        <item>）</item>
      </candidateList>
      <explain>文本全半角错误。</explain>
      <paraID>21CE199C</paraID>
      <start>89</start>
      <end>90</end>
      <status>modified</status>
      <modifiedWord>）</modifiedWord>
      <trackRevisions>false</trackRevisions>
    </reviewItem>
    <reviewItem>
      <errorID>362bcf0e-350f-4689-bb46-f2fbf043fb60</errorID>
      <errorWord>且</errorWord>
      <group>L1_Word</group>
      <groupName>字词问题</groupName>
      <ability>L2_Typo</ability>
      <abilityName>字词错误</abilityName>
      <candidateList>
        <item>且具</item>
      </candidateList>
      <explain/>
      <paraID>4A762420</paraID>
      <start>15</start>
      <end>17</end>
      <status>modified</status>
      <modifiedWord>且具</modifiedWord>
      <trackRevisions>false</trackRevisions>
    </reviewItem>
    <reviewItem>
      <errorID>9fa910fe-5ac1-4673-9f4f-08d3f2df52ce</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69C26CF6</paraID>
      <start>0</start>
      <end>2</end>
      <status>modified</status>
      <modifiedWord>a）</modifiedWord>
      <trackRevisions>false</trackRevisions>
    </reviewItem>
    <reviewItem>
      <errorID>90123132-77af-4a5a-973a-43c6827dd281</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36827BC2</paraID>
      <start>0</start>
      <end>2</end>
      <status>modified</status>
      <modifiedWord>b）</modifiedWord>
      <trackRevisions>false</trackRevisions>
    </reviewItem>
    <reviewItem>
      <errorID>4599c549-8865-49d5-b1fc-e12042a20ab9</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19877C9</paraID>
      <start>0</start>
      <end>2</end>
      <status>modified</status>
      <modifiedWord>c）</modifiedWord>
      <trackRevisions>false</trackRevisions>
    </reviewItem>
    <reviewItem>
      <errorID>0e0c5816-9655-41cd-8a7d-c40528f50505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62EBA3C9</paraID>
      <start>0</start>
      <end>2</end>
      <status>modified</status>
      <modifiedWord>d）</modifiedWord>
      <trackRevisions>false</trackRevisions>
    </reviewItem>
    <reviewItem>
      <errorID>57176f57-dc5e-4cd9-94d5-32afc428e095</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1FC8EE73</paraID>
      <start>0</start>
      <end>2</end>
      <status>modified</status>
      <modifiedWord>e）</modifiedWord>
      <trackRevisions>false</trackRevisions>
    </reviewItem>
    <reviewItem>
      <errorID>7c36f9ed-cd4e-454a-974a-e61dea9c3327</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7945CBFD</paraID>
      <start>0</start>
      <end>2</end>
      <status>modified</status>
      <modifiedWord>f）</modifiedWord>
      <trackRevisions>false</trackRevisions>
    </reviewItem>
    <reviewItem>
      <errorID>62145ba9-3ee9-46a5-940c-b7d7a4ba0397</errorID>
      <errorWord>,</errorWord>
      <group>L1_Format</group>
      <groupName>格式问题</groupName>
      <ability>L2_HalfPunc</ability>
      <abilityName>全半角检查</abilityName>
      <candidateList>
        <item>，</item>
      </candidateList>
      <explain>文本全半角错误。</explain>
      <paraID>4F40A389</paraID>
      <start>24</start>
      <end>25</end>
      <status>modified</status>
      <modifiedWord>，</modifiedWord>
      <trackRevisions>false</trackRevisions>
    </reviewItem>
    <reviewItem>
      <errorID>1e0a5475-0109-4487-866c-ba25ee9fc492</errorID>
      <errorWord>:</errorWord>
      <group>L1_Format</group>
      <groupName>格式问题</groupName>
      <ability>L2_HalfPunc</ability>
      <abilityName>全半角检查</abilityName>
      <candidateList>
        <item>：</item>
      </candidateList>
      <explain>文本全半角错误。</explain>
      <paraID>4F40A389</paraID>
      <start>36</start>
      <end>37</end>
      <status>modified</status>
      <modifiedWord>：</modifiedWord>
      <trackRevisions>false</trackRevisions>
    </reviewItem>
    <reviewItem>
      <errorID>29bddbcb-6b93-48d1-acb2-d9f89bed6202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6597306D</paraID>
      <start>0</start>
      <end>2</end>
      <status>modified</status>
      <modifiedWord>a）</modifiedWord>
      <trackRevisions>false</trackRevisions>
    </reviewItem>
    <reviewItem>
      <errorID>9522e8be-e614-429b-91f3-0e4b24cb07c1</errorID>
      <errorWord>(</errorWord>
      <group>L1_Format</group>
      <groupName>格式问题</groupName>
      <ability>L2_HalfPunc</ability>
      <abilityName>全半角检查</abilityName>
      <candidateList>
        <item>（</item>
      </candidateList>
      <explain>文本全半角错误。</explain>
      <paraID>6597306D</paraID>
      <start>5</start>
      <end>6</end>
      <status>modified</status>
      <modifiedWord>（</modifiedWord>
      <trackRevisions>false</trackRevisions>
    </reviewItem>
    <reviewItem>
      <errorID>68cb1f32-e8df-4a38-a519-c83d19296625</errorID>
      <errorWord>)</errorWord>
      <group>L1_Format</group>
      <groupName>格式问题</groupName>
      <ability>L2_HalfPunc</ability>
      <abilityName>全半角检查</abilityName>
      <candidateList>
        <item>）</item>
      </candidateList>
      <explain>文本全半角错误。</explain>
      <paraID>6597306D</paraID>
      <start>8</start>
      <end>9</end>
      <status>modified</status>
      <modifiedWord>）</modifiedWord>
      <trackRevisions>false</trackRevisions>
    </reviewItem>
    <reviewItem>
      <errorID>eeb87562-6cf7-4c93-8c10-621c673c5547</errorID>
      <errorWord>:</errorWord>
      <group>L1_Format</group>
      <groupName>格式问题</groupName>
      <ability>L2_HalfPunc</ability>
      <abilityName>全半角检查</abilityName>
      <candidateList>
        <item>：</item>
      </candidateList>
      <explain>文本全半角错误。</explain>
      <paraID>6597306D</paraID>
      <start>11</start>
      <end>12</end>
      <status>modified</status>
      <modifiedWord>：</modifiedWord>
      <trackRevisions>false</trackRevisions>
    </reviewItem>
    <reviewItem>
      <errorID>f50ff512-eb3b-462d-8c1d-883021b3d802</errorID>
      <errorWord>(</errorWord>
      <group>L1_Format</group>
      <groupName>格式问题</groupName>
      <ability>L2_HalfPunc</ability>
      <abilityName>全半角检查</abilityName>
      <candidateList>
        <item>（</item>
      </candidateList>
      <explain>文本全半角错误。</explain>
      <paraID>6597306D</paraID>
      <start>28</start>
      <end>29</end>
      <status>modified</status>
      <modifiedWord>（</modifiedWord>
      <trackRevisions>false</trackRevisions>
    </reviewItem>
    <reviewItem>
      <errorID>0deb268d-9fa8-4c58-b3c6-30e49ea9302d</errorID>
      <errorWord>)</errorWord>
      <group>L1_Format</group>
      <groupName>格式问题</groupName>
      <ability>L2_HalfPunc</ability>
      <abilityName>全半角检查</abilityName>
      <candidateList>
        <item>）</item>
      </candidateList>
      <explain>文本全半角错误。</explain>
      <paraID>6597306D</paraID>
      <start>32</start>
      <end>33</end>
      <status>modified</status>
      <modifiedWord>）</modifiedWord>
      <trackRevisions>false</trackRevisions>
    </reviewItem>
    <reviewItem>
      <errorID>a5716dba-aeb9-4b05-843a-c81ecf5f1af1</errorID>
      <errorWord>(</errorWord>
      <group>L1_Format</group>
      <groupName>格式问题</groupName>
      <ability>L2_HalfPunc</ability>
      <abilityName>全半角检查</abilityName>
      <candidateList>
        <item>（</item>
      </candidateList>
      <explain>文本全半角错误。</explain>
      <paraID>6597306D</paraID>
      <start>38</start>
      <end>39</end>
      <status>modified</status>
      <modifiedWord>（</modifiedWord>
      <trackRevisions>false</trackRevisions>
    </reviewItem>
    <reviewItem>
      <errorID>820c5747-8edb-4ea6-988d-e77637fa86ad</errorID>
      <errorWord>)</errorWord>
      <group>L1_Format</group>
      <groupName>格式问题</groupName>
      <ability>L2_HalfPunc</ability>
      <abilityName>全半角检查</abilityName>
      <candidateList>
        <item>）</item>
      </candidateList>
      <explain>文本全半角错误。</explain>
      <paraID>6597306D</paraID>
      <start>42</start>
      <end>43</end>
      <status>modified</status>
      <modifiedWord>）</modifiedWord>
      <trackRevisions>false</trackRevisions>
    </reviewItem>
    <reviewItem>
      <errorID>3d14f4be-7800-4745-88e3-15f5f2917932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165A13C4</paraID>
      <start>0</start>
      <end>2</end>
      <status>modified</status>
      <modifiedWord>b）</modifiedWord>
      <trackRevisions>false</trackRevisions>
    </reviewItem>
    <reviewItem>
      <errorID>8b07be47-dcf7-4cb2-9f96-03380eec6f5d</errorID>
      <errorWord>:</errorWord>
      <group>L1_Format</group>
      <groupName>格式问题</groupName>
      <ability>L2_HalfPunc</ability>
      <abilityName>全半角检查</abilityName>
      <candidateList>
        <item>：</item>
      </candidateList>
      <explain>文本全半角错误。</explain>
      <paraID>165A13C4</paraID>
      <start>7</start>
      <end>8</end>
      <status>modified</status>
      <modifiedWord>：</modifiedWord>
      <trackRevisions>false</trackRevisions>
    </reviewItem>
    <reviewItem>
      <errorID>c8c4db4d-4c83-4964-983c-7b0475c236ff</errorID>
      <errorWord>,</errorWord>
      <group>L1_Format</group>
      <groupName>格式问题</groupName>
      <ability>L2_HalfPunc</ability>
      <abilityName>全半角检查</abilityName>
      <candidateList>
        <item>，</item>
      </candidateList>
      <explain>文本全半角错误。</explain>
      <paraID>165A13C4</paraID>
      <start>21</start>
      <end>22</end>
      <status>modified</status>
      <modifiedWord>，</modifiedWord>
      <trackRevisions>false</trackRevisions>
    </reviewItem>
    <reviewItem>
      <errorID>6a18577d-5ca2-4d77-8b08-d630f1f85058</errorID>
      <errorWord>,</errorWord>
      <group>L1_Format</group>
      <groupName>格式问题</groupName>
      <ability>L2_HalfPunc</ability>
      <abilityName>全半角检查</abilityName>
      <candidateList>
        <item>，</item>
      </candidateList>
      <explain>文本全半角错误。</explain>
      <paraID>165A13C4</paraID>
      <start>33</start>
      <end>34</end>
      <status>modified</status>
      <modifiedWord>，</modifiedWord>
      <trackRevisions>false</trackRevisions>
    </reviewItem>
    <reviewItem>
      <errorID>65cf0470-4ca0-4b12-b3d3-bd9475463374</errorID>
      <errorWord>,</errorWord>
      <group>L1_Format</group>
      <groupName>格式问题</groupName>
      <ability>L2_HalfPunc</ability>
      <abilityName>全半角检查</abilityName>
      <candidateList>
        <item>，</item>
      </candidateList>
      <explain>文本全半角错误。</explain>
      <paraID>6F2200BE</paraID>
      <start>10</start>
      <end>11</end>
      <status>modified</status>
      <modifiedWord>，</modifiedWord>
      <trackRevisions>false</trackRevisions>
    </reviewItem>
    <reviewItem>
      <errorID>12aa927b-f427-4b71-b203-f16528a93ec5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11711B05</paraID>
      <start>0</start>
      <end>2</end>
      <status>modified</status>
      <modifiedWord>a）</modifiedWord>
      <trackRevisions>false</trackRevisions>
    </reviewItem>
    <reviewItem>
      <errorID>9e404913-088b-4048-80ba-9ab0ee607a70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618772CE</paraID>
      <start>0</start>
      <end>2</end>
      <status>modified</status>
      <modifiedWord>b）</modifiedWord>
      <trackRevisions>false</trackRevisions>
    </reviewItem>
    <reviewItem>
      <errorID>09517f7a-47f3-4713-9085-07e065270577</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4A4D3B00</paraID>
      <start>0</start>
      <end>2</end>
      <status>modified</status>
      <modifiedWord>c）</modifiedWord>
      <trackRevisions>false</trackRevisions>
    </reviewItem>
    <reviewItem>
      <errorID>48cfa4b5-2407-49d8-aca0-548536b11a97</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FE5272</paraID>
      <start>0</start>
      <end>2</end>
      <status>modified</status>
      <modifiedWord>d）</modifiedWord>
      <trackRevisions>false</trackRevisions>
    </reviewItem>
    <reviewItem>
      <errorID>2e340e31-7123-4ca6-922c-3264dd76a011</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1B01491A</paraID>
      <start>0</start>
      <end>2</end>
      <status>modified</status>
      <modifiedWord>e）</modifiedWord>
      <trackRevisions>false</trackRevisions>
    </reviewItem>
    <reviewItem>
      <errorID>d2919969-5c06-4e54-917d-3010a4d9ee01</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676CC28B</paraID>
      <start>0</start>
      <end>2</end>
      <status>modified</status>
      <modifiedWord>f）</modifiedWord>
      <trackRevisions>false</trackRevisions>
    </reviewItem>
    <reviewItem>
      <errorID>e7268757-1b45-433f-9fad-669be3f21470</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46812240</paraID>
      <start>0</start>
      <end>2</end>
      <status>modified</status>
      <modifiedWord>a）</modifiedWord>
      <trackRevisions>false</trackRevisions>
    </reviewItem>
    <reviewItem>
      <errorID>a8b1f54f-9465-43a4-81c9-170fdc929b14</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272E097A</paraID>
      <start>0</start>
      <end>2</end>
      <status>modified</status>
      <modifiedWord>b）</modifiedWord>
      <trackRevisions>false</trackRevisions>
    </reviewItem>
    <reviewItem>
      <errorID>c926e68c-df25-4e89-a692-f302ee88f9b0</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3993BD85</paraID>
      <start>0</start>
      <end>2</end>
      <status>modified</status>
      <modifiedWord>c）</modifiedWord>
      <trackRevisions>false</trackRevisions>
    </reviewItem>
    <reviewItem>
      <errorID>99c6648d-dc19-440a-8632-e23e8007e56d</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2DAA3538</paraID>
      <start>0</start>
      <end>2</end>
      <status>modified</status>
      <modifiedWord>d）</modifiedWord>
      <trackRevisions>false</trackRevisions>
    </reviewItem>
    <reviewItem>
      <errorID>496d19ee-2025-4d0b-abbb-062c17c13052</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17EA452D</paraID>
      <start>0</start>
      <end>2</end>
      <status>modified</status>
      <modifiedWord>e）</modifiedWord>
      <trackRevisions>false</trackRevisions>
    </reviewItem>
    <reviewItem>
      <errorID>ac8d10be-43cb-4023-a90f-3a92750a5e28</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1B9601F4</paraID>
      <start>0</start>
      <end>2</end>
      <status>modified</status>
      <modifiedWord>f）</modifiedWord>
      <trackRevisions>false</trackRevisions>
    </reviewItem>
    <reviewItem>
      <errorID>5291693e-58cf-42dd-8277-454b5a0b3160</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4DF5CD7A</paraID>
      <start>0</start>
      <end>2</end>
      <status>modified</status>
      <modifiedWord>g）</modifiedWord>
      <trackRevisions>false</trackRevisions>
    </reviewItem>
    <reviewItem>
      <errorID>a7104f34-912a-4c30-8652-1dd49a9f7613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69153CCC</paraID>
      <start>0</start>
      <end>2</end>
      <status>modified</status>
      <modifiedWord>a）</modifiedWord>
      <trackRevisions>false</trackRevisions>
    </reviewItem>
    <reviewItem>
      <errorID>06d59ed6-e7af-4663-a035-97fc373b8e60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591CF6AA</paraID>
      <start>0</start>
      <end>2</end>
      <status>modified</status>
      <modifiedWord>b）</modifiedWord>
      <trackRevisions>false</trackRevisions>
    </reviewItem>
    <reviewItem>
      <errorID>5bc76f36-0143-423b-b8bf-9d1013ee3673</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5F99D9BB</paraID>
      <start>0</start>
      <end>2</end>
      <status>modified</status>
      <modifiedWord>c）</modifiedWord>
      <trackRevisions>false</trackRevisions>
    </reviewItem>
    <reviewItem>
      <errorID>60d5eb61-2283-4272-bc79-3ec25e3a2331</errorID>
      <errorWord>来自于</errorWord>
      <group>L1_Grammar</group>
      <groupName>语法问题</groupName>
      <ability>L2_Grammar</ability>
      <abilityName>语法错误</abilityName>
      <candidateList>
        <item>来自</item>
      </candidateList>
      <explain>该表达中的“来自于”存在语义重复。【词汇解析】来自：表示“来源于”。包含了“于”的意思。</explain>
      <paraID>5F99D9BB</paraID>
      <start>27</start>
      <end>29</end>
      <status>modified</status>
      <modifiedWord>来自</modifiedWord>
      <trackRevisions>false</trackRevisions>
    </reviewItem>
    <reviewItem>
      <errorID>393e3b4a-d5e9-4e66-8d3a-348b9f1ce96e</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2BB4528E</paraID>
      <start>0</start>
      <end>2</end>
      <status>modified</status>
      <modifiedWord>d）</modifiedWord>
      <trackRevisions>false</trackRevisions>
    </reviewItem>
    <reviewItem>
      <errorID>b92c57b7-8690-4c58-8c04-ee5678375ce3</errorID>
      <errorWord>(</errorWord>
      <group>L1_Format</group>
      <groupName>格式问题</groupName>
      <ability>L2_HalfPunc</ability>
      <abilityName>全半角检查</abilityName>
      <candidateList>
        <item>（</item>
      </candidateList>
      <explain>文本全半角错误。</explain>
      <paraID>1F9281A7</paraID>
      <start>6</start>
      <end>7</end>
      <status>modified</status>
      <modifiedWord>（</modifiedWord>
      <trackRevisions>false</trackRevisions>
    </reviewItem>
    <reviewItem>
      <errorID>c8ce22e5-8b85-4b32-a87e-0b8d1c316c52</errorID>
      <errorWord>)</errorWord>
      <group>L1_Format</group>
      <groupName>格式问题</groupName>
      <ability>L2_HalfPunc</ability>
      <abilityName>全半角检查</abilityName>
      <candidateList>
        <item>）</item>
      </candidateList>
      <explain>文本全半角错误。</explain>
      <paraID>1F9281A7</paraID>
      <start>12</start>
      <end>13</end>
      <status>modified</status>
      <modifiedWord>）</modifiedWord>
      <trackRevisions>false</trackRevisions>
    </reviewItem>
    <reviewItem>
      <errorID>5ff68e95-b84d-4db3-acdc-4cdfc33e1511</errorID>
      <errorWord>(</errorWord>
      <group>L1_Format</group>
      <groupName>格式问题</groupName>
      <ability>L2_HalfPunc</ability>
      <abilityName>全半角检查</abilityName>
      <candidateList>
        <item>（</item>
      </candidateList>
      <explain>文本全半角错误。</explain>
      <paraID>5E997890</paraID>
      <start>1</start>
      <end>2</end>
      <status>modified</status>
      <modifiedWord>（</modifiedWord>
      <trackRevisions>false</trackRevisions>
    </reviewItem>
    <reviewItem>
      <errorID>35239b4d-6d4d-4a6f-8468-c81132e10ecb</errorID>
      <errorWord>)</errorWord>
      <group>L1_Format</group>
      <groupName>格式问题</groupName>
      <ability>L2_HalfPunc</ability>
      <abilityName>全半角检查</abilityName>
      <candidateList>
        <item>）</item>
      </candidateList>
      <explain>文本全半角错误。</explain>
      <paraID>5E997890</paraID>
      <start>5</start>
      <end>6</end>
      <status>modified</status>
      <modifiedWord>）</modifiedWord>
      <trackRevisions>false</trackRevisions>
    </reviewItem>
    <reviewItem>
      <errorID>932c830a-cd6b-441c-abc2-8826ab520750</errorID>
      <errorWord>(</errorWord>
      <group>L1_Format</group>
      <groupName>格式问题</groupName>
      <ability>L2_HalfPunc</ability>
      <abilityName>全半角检查</abilityName>
      <candidateList>
        <item>（</item>
      </candidateList>
      <explain>文本全半角错误。</explain>
      <paraID>2969ACB1</paraID>
      <start>2</start>
      <end>3</end>
      <status>modified</status>
      <modifiedWord>（</modifiedWord>
      <trackRevisions>false</trackRevisions>
    </reviewItem>
    <reviewItem>
      <errorID>2aeb6719-7264-4d4a-8f92-902a9c468ad1</errorID>
      <errorWord>)</errorWord>
      <group>L1_Format</group>
      <groupName>格式问题</groupName>
      <ability>L2_HalfPunc</ability>
      <abilityName>全半角检查</abilityName>
      <candidateList>
        <item>）</item>
      </candidateList>
      <explain>文本全半角错误。</explain>
      <paraID>2969ACB1</paraID>
      <start>10</start>
      <end>11</end>
      <status>modified</status>
      <modifiedWord>）</modifiedWord>
      <trackRevisions>false</trackRevisions>
    </reviewItem>
    <reviewItem>
      <errorID>7652996c-e94c-46da-8321-a10cefc4e069</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17C73C2E</paraID>
      <start>0</start>
      <end>2</end>
      <status>modified</status>
      <modifiedWord>a）</modifiedWord>
      <trackRevisions>false</trackRevisions>
    </reviewItem>
    <reviewItem>
      <errorID>6a4a2ac5-3053-4cb9-aa2a-3de4499e696a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21F85F69</paraID>
      <start>0</start>
      <end>2</end>
      <status>modified</status>
      <modifiedWord>b）</modifiedWord>
      <trackRevisions>false</trackRevisions>
    </reviewItem>
    <reviewItem>
      <errorID>c6dcb783-5fdf-4f71-8ef1-1ff6ffa45732</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40E3DF4</paraID>
      <start>0</start>
      <end>2</end>
      <status>modified</status>
      <modifiedWord>c）</modifiedWord>
      <trackRevisions>false</trackRevisions>
    </reviewItem>
    <reviewItem>
      <errorID>07efc1cf-3181-4e64-9d1d-1930233a0103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8D108CC</paraID>
      <start>0</start>
      <end>2</end>
      <status>modified</status>
      <modifiedWord>a）</modifiedWord>
      <trackRevisions>false</trackRevisions>
    </reviewItem>
    <reviewItem>
      <errorID>d593f65a-a30b-4df1-9078-b9da161a1afb</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38539D9F</paraID>
      <start>0</start>
      <end>2</end>
      <status>modified</status>
      <modifiedWord>b）</modifiedWord>
      <trackRevisions>false</trackRevisions>
    </reviewItem>
    <reviewItem>
      <errorID>94d70042-16ec-4434-ac49-5a779cae0c24</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2C79A07C</paraID>
      <start>0</start>
      <end>2</end>
      <status>modified</status>
      <modifiedWord>c）</modifiedWord>
      <trackRevisions>false</trackRevisions>
    </reviewItem>
    <reviewItem>
      <errorID>5b9f4432-cd26-4bcf-b781-b95924406b1d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5A51C86F</paraID>
      <start>0</start>
      <end>2</end>
      <status>modified</status>
      <modifiedWord>a）</modifiedWord>
      <trackRevisions>false</trackRevisions>
    </reviewItem>
    <reviewItem>
      <errorID>a969d1cd-9d89-4a33-8789-2dd9fe887311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46AF507E</paraID>
      <start>0</start>
      <end>2</end>
      <status>modified</status>
      <modifiedWord>a）</modifiedWord>
      <trackRevisions>false</trackRevisions>
    </reviewItem>
    <reviewItem>
      <errorID>445e7138-d4a9-4d56-9533-3203c685b57f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2195DC84</paraID>
      <start>0</start>
      <end>2</end>
      <status>modified</status>
      <modifiedWord>b）</modifiedWord>
      <trackRevisions>false</trackRevisions>
    </reviewItem>
    <reviewItem>
      <errorID>4e0cadc2-fe2e-4bb2-b22f-cfa7f2819de9</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96FD610</paraID>
      <start>0</start>
      <end>2</end>
      <status>modified</status>
      <modifiedWord>c）</modifiedWord>
      <trackRevisions>false</trackRevisions>
    </reviewItem>
    <reviewItem>
      <errorID>ee1b3a2a-8b28-44cc-89cc-afd0018727a1</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5670011E</paraID>
      <start>0</start>
      <end>2</end>
      <status>modified</status>
      <modifiedWord>d）</modifiedWord>
      <trackRevisions>false</trackRevisions>
    </reviewItem>
    <reviewItem>
      <errorID>3d0fea2f-1cb0-4a3c-b6b2-1a021c980e74</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7E6F1C3C</paraID>
      <start>0</start>
      <end>2</end>
      <status>modified</status>
      <modifiedWord>e）</modifiedWord>
      <trackRevisions>false</trackRevisions>
    </reviewItem>
    <reviewItem>
      <errorID>d531c85e-77fd-452c-b2e2-02876925b295</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65BB594B</paraID>
      <start>0</start>
      <end>2</end>
      <status>modified</status>
      <modifiedWord>f）</modifiedWord>
      <trackRevisions>false</trackRevisions>
    </reviewItem>
    <reviewItem>
      <errorID>fe60fc79-ebbc-4347-b70b-f354ebb3af6a</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75AE2C32</paraID>
      <start>0</start>
      <end>2</end>
      <status>modified</status>
      <modifiedWord>g）</modifiedWord>
      <trackRevisions>false</trackRevisions>
    </reviewItem>
    <reviewItem>
      <errorID>22d19e2e-ce67-4d15-a7e0-239e07264682</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39E407D9</paraID>
      <start>0</start>
      <end>2</end>
      <status>modified</status>
      <modifiedWord>h）</modifiedWord>
      <trackRevisions>false</trackRevisions>
    </reviewItem>
    <reviewItem>
      <errorID>61fb80b7-ada8-4a0a-a1c8-c2ec0019ad5f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26E1BD6B</paraID>
      <start>0</start>
      <end>2</end>
      <status>modified</status>
      <modifiedWord>a）</modifiedWord>
      <trackRevisions>false</trackRevisions>
    </reviewItem>
    <reviewItem>
      <errorID>32175082-79a0-42dc-83fa-1f691063a6cc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58B7B008</paraID>
      <start>0</start>
      <end>2</end>
      <status>modified</status>
      <modifiedWord>b）</modifiedWord>
      <trackRevisions>false</trackRevisions>
    </reviewItem>
    <reviewItem>
      <errorID>9a53e806-3ce6-41d0-ad15-f7224d5f0dfe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62A36A71</paraID>
      <start>0</start>
      <end>2</end>
      <status>modified</status>
      <modifiedWord>c）</modifiedWord>
      <trackRevisions>false</trackRevisions>
    </reviewItem>
    <reviewItem>
      <errorID>03a91b78-0d8d-4599-a369-742995084ec6</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E90F065</paraID>
      <start>0</start>
      <end>2</end>
      <status>modified</status>
      <modifiedWord>d）</modifiedWord>
      <trackRevisions>false</trackRevisions>
    </reviewItem>
    <reviewItem>
      <errorID>22507f90-e701-4de8-a0f0-1f7bfc52c8d0</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5622F908</paraID>
      <start>0</start>
      <end>2</end>
      <status>modified</status>
      <modifiedWord>a）</modifiedWord>
      <trackRevisions>false</trackRevisions>
    </reviewItem>
    <reviewItem>
      <errorID>f9674bd6-a17b-435f-b403-0d193db93c1f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D911995</paraID>
      <start>0</start>
      <end>2</end>
      <status>modified</status>
      <modifiedWord>b）</modifiedWord>
      <trackRevisions>false</trackRevisions>
    </reviewItem>
    <reviewItem>
      <errorID>a73c9843-abf7-43a2-99b8-3cf90200bb0b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327B8C0C</paraID>
      <start>0</start>
      <end>2</end>
      <status>modified</status>
      <modifiedWord>c）</modifiedWord>
      <trackRevisions>false</trackRevisions>
    </reviewItem>
    <reviewItem>
      <errorID>729d6b2c-7a14-46ba-ab99-77d1a6d7a455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23E49DF1</paraID>
      <start>0</start>
      <end>2</end>
      <status>modified</status>
      <modifiedWord>d）</modifiedWord>
      <trackRevisions>false</trackRevisions>
    </reviewItem>
    <reviewItem>
      <errorID>db993778-5ec6-4371-bbf1-0ffa026049d2</errorID>
      <errorWord>"</errorWord>
      <group>L1_Format</group>
      <groupName>格式问题</groupName>
      <ability>L2_HalfPunc</ability>
      <abilityName>全半角检查</abilityName>
      <candidateList>
        <item>“</item>
      </candidateList>
      <explain>文本全半角错误。</explain>
      <paraID>231B0AB7</paraID>
      <start>80</start>
      <end>81</end>
      <status>modified</status>
      <modifiedWord>“</modifiedWord>
      <trackRevisions>false</trackRevisions>
    </reviewItem>
    <reviewItem>
      <errorID>c4104106-aeed-4ba7-8214-f3a8973d3f34</errorID>
      <errorWord>"</errorWord>
      <group>L1_Format</group>
      <groupName>格式问题</groupName>
      <ability>L2_HalfPunc</ability>
      <abilityName>全半角检查</abilityName>
      <candidateList>
        <item>”</item>
      </candidateList>
      <explain>文本全半角错误。</explain>
      <paraID>231B0AB7</paraID>
      <start>83</start>
      <end>84</end>
      <status>modified</status>
      <modifiedWord>”</modifiedWord>
      <trackRevisions>false</trackRevisions>
    </reviewItem>
    <reviewItem>
      <errorID>36bd661d-1511-4d93-b11f-38f629be5384</errorID>
      <errorWord>"</errorWord>
      <group>L1_Format</group>
      <groupName>格式问题</groupName>
      <ability>L2_HalfPunc</ability>
      <abilityName>全半角检查</abilityName>
      <candidateList>
        <item>“</item>
      </candidateList>
      <explain>文本全半角错误。</explain>
      <paraID>231B0AB7</paraID>
      <start>90</start>
      <end>91</end>
      <status>modified</status>
      <modifiedWord>“</modifiedWord>
      <trackRevisions>false</trackRevisions>
    </reviewItem>
    <reviewItem>
      <errorID>d8a86f75-58c4-4884-b2f5-48d29634cd34</errorID>
      <errorWord>"</errorWord>
      <group>L1_Format</group>
      <groupName>格式问题</groupName>
      <ability>L2_HalfPunc</ability>
      <abilityName>全半角检查</abilityName>
      <candidateList>
        <item>”</item>
      </candidateList>
      <explain>文本全半角错误。</explain>
      <paraID>231B0AB7</paraID>
      <start>92</start>
      <end>93</end>
      <status>modified</status>
      <modifiedWord>”</modifiedWord>
      <trackRevisions>false</trackRevisions>
    </reviewItem>
    <reviewItem>
      <errorID>53283c4c-b29b-4568-bdfe-645908ba70aa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708CD84D</paraID>
      <start>0</start>
      <end>2</end>
      <status>modified</status>
      <modifiedWord>a）</modifiedWord>
      <trackRevisions>false</trackRevisions>
    </reviewItem>
    <reviewItem>
      <errorID>49070fe1-9bb7-42cf-9975-3b11d0d418d1</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73F3F9E4</paraID>
      <start>0</start>
      <end>2</end>
      <status>modified</status>
      <modifiedWord>b）</modifiedWord>
      <trackRevisions>false</trackRevisions>
    </reviewItem>
    <reviewItem>
      <errorID>19fc50f3-f065-46f3-b9dc-6186016d3e18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10E43F77</paraID>
      <start>0</start>
      <end>2</end>
      <status>modified</status>
      <modifiedWord>c）</modifiedWord>
      <trackRevisions>false</trackRevisions>
    </reviewItem>
    <reviewItem>
      <errorID>ee428d3c-9f3f-43a1-ac4f-38669a7a4da7</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3C2F956F</paraID>
      <start>0</start>
      <end>2</end>
      <status>modified</status>
      <modifiedWord>a）</modifiedWord>
      <trackRevisions>false</trackRevisions>
    </reviewItem>
    <reviewItem>
      <errorID>5d5e07a8-2950-4d03-bff5-94a012d49eb3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A047220</paraID>
      <start>0</start>
      <end>2</end>
      <status>modified</status>
      <modifiedWord>b）</modifiedWord>
      <trackRevisions>false</trackRevisions>
    </reviewItem>
    <reviewItem>
      <errorID>b37a29fd-e6f3-46b8-bc6b-fac5a0d0a40e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1AD14278</paraID>
      <start>0</start>
      <end>2</end>
      <status>modified</status>
      <modifiedWord>c）</modifiedWord>
      <trackRevisions>false</trackRevisions>
    </reviewItem>
    <reviewItem>
      <errorID>2406470b-16ff-45ce-8a2e-dbba7b3001ea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15708E9C</paraID>
      <start>0</start>
      <end>2</end>
      <status>modified</status>
      <modifiedWord>a）</modifiedWord>
      <trackRevisions>false</trackRevisions>
    </reviewItem>
    <reviewItem>
      <errorID>08904409-2554-4dae-b1ce-2a1009ad4959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2D5F9E50</paraID>
      <start>0</start>
      <end>2</end>
      <status>modified</status>
      <modifiedWord>b）</modifiedWord>
      <trackRevisions>false</trackRevisions>
    </reviewItem>
    <reviewItem>
      <errorID>bf340292-4030-4c9f-b75d-a5338a6b2056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11DCF0C2</paraID>
      <start>0</start>
      <end>2</end>
      <status>modified</status>
      <modifiedWord>c）</modifiedWord>
      <trackRevisions>false</trackRevisions>
    </reviewItem>
    <reviewItem>
      <errorID>4a4b5ae0-a3fe-4894-a90b-5c2bdd3071de</errorID>
      <errorWord>,</errorWord>
      <group>L1_Format</group>
      <groupName>格式问题</groupName>
      <ability>L2_HalfPunc</ability>
      <abilityName>全半角检查</abilityName>
      <candidateList>
        <item>，</item>
      </candidateList>
      <explain>文本全半角错误。</explain>
      <paraID>6B2E7686</paraID>
      <start>71</start>
      <end>72</end>
      <status>modified</status>
      <modifiedWord>，</modifiedWord>
      <trackRevisions>false</trackRevisions>
    </reviewItem>
    <reviewItem>
      <errorID>7b12e3e8-764d-4d22-8b99-e4440a0cf6a4</errorID>
      <errorWord>（</errorWord>
      <group>L1_Format</group>
      <groupName>格式问题</groupName>
      <ability>L2_HalfPunc</ability>
      <abilityName>全半角检查</abilityName>
      <candidateList>
        <item>(</item>
      </candidateList>
      <explain>文本全半角错误。</explain>
      <paraID>6444183E</paraID>
      <start>31</start>
      <end>32</end>
      <status>modified</status>
      <modifiedWord>(</modifiedWord>
      <trackRevisions>false</trackRevisions>
    </reviewItem>
    <reviewItem>
      <errorID>bcf8407e-c0a2-45f5-828a-add5752a1089</errorID>
      <errorWord>）</errorWord>
      <group>L1_Format</group>
      <groupName>格式问题</groupName>
      <ability>L2_HalfPunc</ability>
      <abilityName>全半角检查</abilityName>
      <candidateList>
        <item>)</item>
      </candidateList>
      <explain>文本全半角错误。</explain>
      <paraID>6444183E</paraID>
      <start>33</start>
      <end>34</end>
      <status>modified</status>
      <modifiedWord>)</modifiedWord>
      <trackRevisions>false</trackRevisions>
    </reviewItem>
    <reviewItem>
      <errorID>ffce95b2-98c8-4d96-989a-215037c9b15d</errorID>
      <errorWord>(</errorWord>
      <group>L1_Format</group>
      <groupName>格式问题</groupName>
      <ability>L2_HalfPunc</ability>
      <abilityName>全半角检查</abilityName>
      <candidateList>
        <item>（</item>
      </candidateList>
      <explain>文本全半角错误。</explain>
      <paraID>23D7A002</paraID>
      <start>33</start>
      <end>34</end>
      <status>modified</status>
      <modifiedWord>（</modifiedWord>
      <trackRevisions>false</trackRevisions>
    </reviewItem>
    <reviewItem>
      <errorID>097d6de5-3102-43f8-9d48-521206d6df64</errorID>
      <errorWord>)</errorWord>
      <group>L1_Format</group>
      <groupName>格式问题</groupName>
      <ability>L2_HalfPunc</ability>
      <abilityName>全半角检查</abilityName>
      <candidateList>
        <item>）</item>
      </candidateList>
      <explain>文本全半角错误。</explain>
      <paraID>23D7A002</paraID>
      <start>41</start>
      <end>42</end>
      <status>modified</status>
      <modifiedWord>）</modifiedWord>
      <trackRevisions>false</trackRevisions>
    </reviewItem>
    <reviewItem>
      <errorID>57a23e74-0071-4b78-8e01-f63d4ac69f8c</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77BC898C</paraID>
      <start>0</start>
      <end>2</end>
      <status>modified</status>
      <modifiedWord>a）</modifiedWord>
      <trackRevisions>false</trackRevisions>
    </reviewItem>
    <reviewItem>
      <errorID>468b873d-375b-48bf-9e26-49043c746f18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66A2F39D</paraID>
      <start>0</start>
      <end>2</end>
      <status>modified</status>
      <modifiedWord>b）</modifiedWord>
      <trackRevisions>false</trackRevisions>
    </reviewItem>
    <reviewItem>
      <errorID>6cd21510-6044-41ca-83cc-77750769b11d</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67A620FD</paraID>
      <start>0</start>
      <end>2</end>
      <status>modified</status>
      <modifiedWord>c）</modifiedWord>
      <trackRevisions>false</trackRevisions>
    </reviewItem>
    <reviewItem>
      <errorID>0a496328-a2cc-4c6d-9724-ad5d70fb4a88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78355439</paraID>
      <start>0</start>
      <end>2</end>
      <status>modified</status>
      <modifiedWord>a）</modifiedWord>
      <trackRevisions>false</trackRevisions>
    </reviewItem>
    <reviewItem>
      <errorID>f0705e65-a239-4134-9da0-342f7be3e020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CDECB</paraID>
      <start>0</start>
      <end>2</end>
      <status>modified</status>
      <modifiedWord>b）</modifiedWord>
      <trackRevisions>false</trackRevisions>
    </reviewItem>
    <reviewItem>
      <errorID>601d2c62-1ab6-4661-a1f0-0b998b46601e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49FA3DD8</paraID>
      <start>0</start>
      <end>2</end>
      <status>modified</status>
      <modifiedWord>c）</modifiedWord>
      <trackRevisions>false</trackRevisions>
    </reviewItem>
    <reviewItem>
      <errorID>b5dfbba9-907c-405b-ba23-592445bc982d</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4E869CF8</paraID>
      <start>0</start>
      <end>2</end>
      <status>modified</status>
      <modifiedWord>d）</modifiedWord>
      <trackRevisions>false</trackRevisions>
    </reviewItem>
    <reviewItem>
      <errorID>5a0a730e-e09f-4770-b28d-ab74e8f40578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75BD8E12</paraID>
      <start>0</start>
      <end>2</end>
      <status>modified</status>
      <modifiedWord>a）</modifiedWord>
      <trackRevisions>false</trackRevisions>
    </reviewItem>
    <reviewItem>
      <errorID>6296fd2d-66ea-4e41-9972-65b9adfdf257</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E30BE0</paraID>
      <start>0</start>
      <end>2</end>
      <status>modified</status>
      <modifiedWord>b）</modifiedWord>
      <trackRevisions>false</trackRevisions>
    </reviewItem>
    <reviewItem>
      <errorID>e7845389-17dd-4b6c-ba1e-32cb116e8670</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6D4CEA2A</paraID>
      <start>0</start>
      <end>2</end>
      <status>modified</status>
      <modifiedWord>c）</modifiedWord>
      <trackRevisions>false</trackRevisions>
    </reviewItem>
    <reviewItem>
      <errorID>ec0ff964-d23e-4429-a8b3-0649766287a1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3B7D111E</paraID>
      <start>0</start>
      <end>2</end>
      <status>modified</status>
      <modifiedWord>a）</modifiedWord>
      <trackRevisions>false</trackRevisions>
    </reviewItem>
    <reviewItem>
      <errorID>89abcb2b-63a8-48ff-816c-7a0450b00103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469BC173</paraID>
      <start>0</start>
      <end>2</end>
      <status>modified</status>
      <modifiedWord>b）</modifiedWord>
      <trackRevisions>false</trackRevisions>
    </reviewItem>
    <reviewItem>
      <errorID>983fbc4c-4d75-45a5-a2a4-aada0bff17a8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74B334E2</paraID>
      <start>0</start>
      <end>2</end>
      <status>modified</status>
      <modifiedWord>c）</modifiedWord>
      <trackRevisions>false</trackRevisions>
    </reviewItem>
    <reviewItem>
      <errorID>ed33a8c8-e492-4498-a4d8-3d0bf2289b19</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2A81320A</paraID>
      <start>0</start>
      <end>2</end>
      <status>modified</status>
      <modifiedWord>d）</modifiedWord>
      <trackRevisions>false</trackRevisions>
    </reviewItem>
    <reviewItem>
      <errorID>f8344ecb-e891-4e77-b881-a0521f60f980</errorID>
      <errorWord>TeRAD</errorWord>
      <group>L1_English</group>
      <groupName>英文问题</groupName>
      <ability>L2_Spell</ability>
      <abilityName>拼写问题</abilityName>
      <candidateList>
        <item>TeARD</item>
      </candidateList>
      <explain>疑似单词拼写有误，建议将TeRAD修改为TeARD</explain>
      <paraID>716B38BA</paraID>
      <start>0</start>
      <end>5</end>
      <status>ignored</status>
      <modifiedWord/>
      <trackRevisions>false</trackRevisions>
    </reviewItem>
    <reviewItem>
      <errorID>117d6809-3a89-423a-90c9-f5ddf67f3214</errorID>
      <errorWord>~</errorWord>
      <group>L1_Format</group>
      <groupName>格式问题</groupName>
      <ability>L2_HalfPunc</ability>
      <abilityName>全半角检查</abilityName>
      <candidateList>
        <item>～</item>
      </candidateList>
      <explain>文本全半角错误。</explain>
      <paraID>49045F16</paraID>
      <start>1</start>
      <end>2</end>
      <status>modified</status>
      <modifiedWord>～</modifiedWord>
      <trackRevisions>false</trackRevisions>
    </reviewItem>
    <reviewItem>
      <errorID>471ac513-2d64-4686-8ddd-50a5468f949f</errorID>
      <errorWord>TeREF</errorWord>
      <group>L1_English</group>
      <groupName>英文问题</groupName>
      <ability>L2_Spell</ability>
      <abilityName>拼写问题</abilityName>
      <candidateList>
        <item>TeRF</item>
      </candidateList>
      <explain>疑似单词拼写有误，建议将TeREF修改为TeRF</explain>
      <paraID>27B70FDF</paraID>
      <start>0</start>
      <end>5</end>
      <status>ignored</status>
      <modifiedWord/>
      <trackRevisions>false</trackRevisions>
    </reviewItem>
    <reviewItem>
      <errorID>70839cef-e1a1-4090-80a9-90d7e3d32098</errorID>
      <errorWord>(</errorWord>
      <group>L1_Format</group>
      <groupName>格式问题</groupName>
      <ability>L2_HalfPunc</ability>
      <abilityName>全半角检查</abilityName>
      <candidateList>
        <item>（</item>
      </candidateList>
      <explain>文本全半角错误。</explain>
      <paraID>6CA6504B</paraID>
      <start>5</start>
      <end>6</end>
      <status>modified</status>
      <modifiedWord>（</modifiedWord>
      <trackRevisions>false</trackRevisions>
    </reviewItem>
    <reviewItem>
      <errorID>0f74bcd5-aab5-4d2f-ac4e-6f488b2848fa</errorID>
      <errorWord>)</errorWord>
      <group>L1_Format</group>
      <groupName>格式问题</groupName>
      <ability>L2_HalfPunc</ability>
      <abilityName>全半角检查</abilityName>
      <candidateList>
        <item>）</item>
      </candidateList>
      <explain>文本全半角错误。</explain>
      <paraID>6CA6504B</paraID>
      <start>9</start>
      <end>10</end>
      <status>modified</status>
      <modifiedWord>）</modifiedWord>
      <trackRevisions>false</trackRevisions>
    </reviewItem>
    <reviewItem>
      <errorID>e0f9b72e-021e-408f-9cf9-755b2c959bb7</errorID>
      <errorWord>~</errorWord>
      <group>L1_Format</group>
      <groupName>格式问题</groupName>
      <ability>L2_HalfPunc</ability>
      <abilityName>全半角检查</abilityName>
      <candidateList>
        <item>～</item>
      </candidateList>
      <explain>文本全半角错误。</explain>
      <paraID>16652049</paraID>
      <start>1</start>
      <end>2</end>
      <status>modified</status>
      <modifiedWord>～</modifiedWord>
      <trackRevisions>false</trackRevisions>
    </reviewItem>
    <reviewItem>
      <errorID>0ff82a1f-ccc1-42ef-b628-8bb2a0d2c11e</errorID>
      <errorWord>(</errorWord>
      <group>L1_Format</group>
      <groupName>格式问题</groupName>
      <ability>L2_HalfPunc</ability>
      <abilityName>全半角检查</abilityName>
      <candidateList>
        <item>（</item>
      </candidateList>
      <explain>文本全半角错误。</explain>
      <paraID>4FC4CD55</paraID>
      <start>2</start>
      <end>3</end>
      <status>modified</status>
      <modifiedWord>（</modifiedWord>
      <trackRevisions>false</trackRevisions>
    </reviewItem>
    <reviewItem>
      <errorID>8ac65865-bc9b-4319-a653-60ce1def6aad</errorID>
      <errorWord>)</errorWord>
      <group>L1_Format</group>
      <groupName>格式问题</groupName>
      <ability>L2_HalfPunc</ability>
      <abilityName>全半角检查</abilityName>
      <candidateList>
        <item>）</item>
      </candidateList>
      <explain>文本全半角错误。</explain>
      <paraID>4FC4CD55</paraID>
      <start>9</start>
      <end>10</end>
      <status>modified</status>
      <modifiedWord>）</modifiedWord>
      <trackRevisions>false</trackRevisions>
    </reviewItem>
    <reviewItem>
      <errorID>b40359e0-ca16-4c21-bfe4-2661f1505267</errorID>
      <errorWord>见</errorWord>
      <group>L1_Word</group>
      <groupName>字词问题</groupName>
      <ability>L2_Typo</ability>
      <abilityName>字词错误</abilityName>
      <candidateList>
        <item>见下</item>
      </candidateList>
      <explain/>
      <paraID>1773AAEC</paraID>
      <start>15</start>
      <end>17</end>
      <status>modified</status>
      <modifiedWord>见下</modifiedWord>
      <trackRevisions>false</trackRevisions>
    </reviewItem>
    <reviewItem>
      <errorID>0e2a2e6c-bc75-4a7e-830f-c08fffe3afd1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37A8469C</paraID>
      <start>0</start>
      <end>2</end>
      <status>modified</status>
      <modifiedWord>2.</modifiedWord>
      <trackRevisions>false</trackRevisions>
    </reviewItem>
    <reviewItem>
      <errorID>f64c2dc6-f954-41f3-a5dc-d53fb80e9291</errorID>
      <errorWord>见</errorWord>
      <group>L1_Word</group>
      <groupName>字词问题</groupName>
      <ability>L2_Typo</ability>
      <abilityName>字词错误</abilityName>
      <candidateList>
        <item>见下</item>
      </candidateList>
      <explain/>
      <paraID>55F4D23E</paraID>
      <start>14</start>
      <end>16</end>
      <status>modified</status>
      <modifiedWord>见下</modifiedWord>
      <trackRevisions>false</trackRevisions>
    </reviewItem>
    <reviewItem>
      <errorID>a37afb51-023e-4d17-803e-0dd82f34f735</errorID>
      <errorWord>。</errorWord>
      <group>L1_Format</group>
      <groupName>格式问题</groupName>
      <ability>L2_HalfPunc</ability>
      <abilityName>全半角检查</abilityName>
      <candidateList>
        <item>.</item>
      </candidateList>
      <explain>文本全半角错误。</explain>
      <paraID> A02C94B</paraID>
      <start>17</start>
      <end>18</end>
      <status>modified</status>
      <modifiedWord>.</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f38b7ae-5cbd-42bd-9a02-fa01d7c9a6dc}">
  <ds:schemaRefs/>
</ds:datastoreItem>
</file>

<file path=customXml/itemProps3.xml><?xml version="1.0" encoding="utf-8"?>
<ds:datastoreItem xmlns:ds="http://schemas.openxmlformats.org/officeDocument/2006/customXml" ds:itemID="{DD0F7617-6899-4B4D-955D-4440616CD356}">
  <ds:schemaRefs/>
</ds:datastoreItem>
</file>

<file path=docProps/app.xml><?xml version="1.0" encoding="utf-8"?>
<Properties xmlns="http://schemas.openxmlformats.org/officeDocument/2006/extended-properties" xmlns:vt="http://schemas.openxmlformats.org/officeDocument/2006/docPropsVTypes">
  <Template>Normal</Template>
  <Pages>36</Pages>
  <Words>11131</Words>
  <Characters>12384</Characters>
  <Lines>149</Lines>
  <Paragraphs>42</Paragraphs>
  <TotalTime>46</TotalTime>
  <ScaleCrop>false</ScaleCrop>
  <LinksUpToDate>false</LinksUpToDate>
  <CharactersWithSpaces>12702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2025-08-21T07:58:00Z</dcterms:created>
  <dc:creator>丁艳蓉</dc:creator>
  <cp:lastModifiedBy>WPS_1717036521</cp:lastModifiedBy>
  <dcterms:modified xsi:type="dcterms:W3CDTF">2026-09-11T02:33:59Z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DD120E14F5E94050B272BFD0E9D2170E_13</vt:lpwstr>
  </property>
  <property fmtid="{D5CDD505-2E9C-101B-9397-08002B2CF9AE}" pid="4" name="KSOTemplateDocerSaveRecord">
    <vt:lpwstr>eyJoZGlkIjoiMTU3YTE0YzBjZTRlNzEyMjc0ZWE3NTZmYjA4OWU4YjAiLCJ1c2VySWQiOiIxNjA1NzkwMjcyIn0=</vt:lpwstr>
  </property>
</Properties>
</file>