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615E34">
      <w:pPr>
        <w:pStyle w:val="19"/>
        <w:ind w:firstLine="1000" w:firstLineChars="1000"/>
        <w:rPr>
          <w:w w:val="200"/>
          <w:sz w:val="144"/>
          <w:szCs w:val="144"/>
        </w:rPr>
        <w:sectPr>
          <w:headerReference r:id="rId7" w:type="first"/>
          <w:headerReference r:id="rId5" w:type="default"/>
          <w:footerReference r:id="rId8" w:type="default"/>
          <w:headerReference r:id="rId6" w:type="even"/>
          <w:footerReference r:id="rId9" w:type="even"/>
          <w:pgSz w:w="11907" w:h="16839"/>
          <w:pgMar w:top="1304" w:right="851" w:bottom="964" w:left="1418" w:header="1134" w:footer="851" w:gutter="0"/>
          <w:pgNumType w:fmt="decimal" w:start="1"/>
          <w:cols w:space="720" w:num="1"/>
          <w:titlePg/>
          <w:docGrid w:type="lines" w:linePitch="312" w:charSpace="0"/>
        </w:sectPr>
      </w:pPr>
      <w:bookmarkStart w:id="0" w:name="_Hlk190448956"/>
      <w:bookmarkEnd w:id="0"/>
      <w:bookmarkStart w:id="1" w:name="SectionMark0"/>
      <w:r>
        <w:rPr>
          <w:rFonts w:hint="eastAsia" w:asciiTheme="minorHAnsi" w:hAnsiTheme="minorHAnsi" w:eastAsiaTheme="minorEastAsia" w:cstheme="minorBidi"/>
          <w:sz w:val="10"/>
          <w:szCs w:val="10"/>
        </w:rPr>
        <w:t xml:space="preserve"> </w:t>
      </w:r>
      <w:r>
        <w:rPr>
          <w:rFonts w:asciiTheme="minorHAnsi" w:hAnsiTheme="minorHAnsi" w:eastAsiaTheme="minorEastAsia" w:cstheme="minorBidi"/>
          <w:sz w:val="10"/>
          <w:szCs w:val="10"/>
        </w:rPr>
        <w:t xml:space="preserve">                                                                                  </w:t>
      </w:r>
      <w:r>
        <w:rPr>
          <w:rFonts w:asciiTheme="minorHAnsi" w:hAnsiTheme="minorHAnsi" w:eastAsiaTheme="minorEastAsia" w:cstheme="minorBidi"/>
          <w:sz w:val="144"/>
          <w:szCs w:val="144"/>
        </w:rPr>
        <w:t xml:space="preserve">   </w:t>
      </w:r>
      <w:r>
        <w:rPr>
          <w:b/>
          <w:color w:val="000000"/>
          <w:spacing w:val="1"/>
          <w:w w:val="99"/>
          <w:kern w:val="0"/>
          <w:sz w:val="144"/>
          <w:szCs w:val="144"/>
          <w:fitText w:val="1995" w:id="-468006656"/>
        </w:rPr>
        <w:t>X</w:t>
      </w:r>
      <w:r>
        <w:rPr>
          <w:b/>
          <w:color w:val="000000"/>
          <w:spacing w:val="14"/>
          <w:w w:val="99"/>
          <w:kern w:val="0"/>
          <w:sz w:val="144"/>
          <w:szCs w:val="144"/>
          <w:fitText w:val="1995" w:id="-468006656"/>
        </w:rPr>
        <w:t>B</w:t>
      </w:r>
      <w:r>
        <w:rPr>
          <w:w w:val="200"/>
          <w:sz w:val="144"/>
          <w:szCs w:val="144"/>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2017395</wp:posOffset>
                </wp:positionV>
                <wp:extent cx="6121400" cy="0"/>
                <wp:effectExtent l="0" t="0" r="31750" b="19050"/>
                <wp:wrapNone/>
                <wp:docPr id="18" name="直接连接符 18"/>
                <wp:cNvGraphicFramePr/>
                <a:graphic xmlns:a="http://schemas.openxmlformats.org/drawingml/2006/main">
                  <a:graphicData uri="http://schemas.microsoft.com/office/word/2010/wordprocessingShape">
                    <wps:wsp>
                      <wps:cNvCnPr/>
                      <wps:spPr>
                        <a:xfrm>
                          <a:off x="0" y="0"/>
                          <a:ext cx="6121400" cy="0"/>
                        </a:xfrm>
                        <a:prstGeom prst="line">
                          <a:avLst/>
                        </a:prstGeom>
                        <a:ln w="12700" cap="flat" cmpd="sng">
                          <a:solidFill>
                            <a:srgbClr val="800008"/>
                          </a:solidFill>
                          <a:prstDash val="solid"/>
                          <a:headEnd type="none" w="med" len="med"/>
                          <a:tailEnd type="none" w="med" len="med"/>
                        </a:ln>
                      </wps:spPr>
                      <wps:bodyPr/>
                    </wps:wsp>
                  </a:graphicData>
                </a:graphic>
              </wp:anchor>
            </w:drawing>
          </mc:Choice>
          <mc:Fallback>
            <w:pict>
              <v:line id="_x0000_s1026" o:spid="_x0000_s1026" o:spt="20" style="position:absolute;left:0pt;margin-top:158.85pt;height:0pt;width:482pt;mso-position-horizontal:right;mso-position-horizontal-relative:margin;z-index:251667456;mso-width-relative:page;mso-height-relative:page;" filled="f" stroked="t" coordsize="21600,21600" o:gfxdata="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efaTu&#10;1AAAAAgBAAAPAAAAAAAAAAEAIAAAACIAAABkcnMvZG93bnJldi54bWxQSwECFAAUAAAACACHTuJA&#10;MlzjsOwBAADbAwAADgAAAAAAAAABACAAAAAjAQAAZHJzL2Uyb0RvYy54bWxQSwUGAAAAAAYABgBZ&#10;AQAAgQUAAAAA&#10;">
                <v:fill on="f" focussize="0,0"/>
                <v:stroke weight="1pt" color="#800008" joinstyle="round"/>
                <v:imagedata o:title=""/>
                <o:lock v:ext="edit" aspectratio="f"/>
              </v:line>
            </w:pict>
          </mc:Fallback>
        </mc:AlternateContent>
      </w:r>
      <w:r>
        <w:rPr>
          <w:w w:val="200"/>
          <w:sz w:val="144"/>
          <w:szCs w:val="144"/>
        </w:rPr>
        <mc:AlternateContent>
          <mc:Choice Requires="wps">
            <w:drawing>
              <wp:anchor distT="0" distB="0" distL="114300" distR="114300" simplePos="0" relativeHeight="251669504" behindDoc="0" locked="0" layoutInCell="1" allowOverlap="1">
                <wp:simplePos x="0" y="0"/>
                <wp:positionH relativeFrom="margin">
                  <wp:posOffset>5196205</wp:posOffset>
                </wp:positionH>
                <wp:positionV relativeFrom="paragraph">
                  <wp:posOffset>7963535</wp:posOffset>
                </wp:positionV>
                <wp:extent cx="833120" cy="494030"/>
                <wp:effectExtent l="0" t="0" r="24130" b="20320"/>
                <wp:wrapNone/>
                <wp:docPr id="21" name="文本框 21"/>
                <wp:cNvGraphicFramePr/>
                <a:graphic xmlns:a="http://schemas.openxmlformats.org/drawingml/2006/main">
                  <a:graphicData uri="http://schemas.microsoft.com/office/word/2010/wordprocessingShape">
                    <wps:wsp>
                      <wps:cNvSpPr txBox="1">
                        <a:spLocks noChangeArrowheads="1"/>
                      </wps:cNvSpPr>
                      <wps:spPr bwMode="auto">
                        <a:xfrm>
                          <a:off x="0" y="0"/>
                          <a:ext cx="833120" cy="494030"/>
                        </a:xfrm>
                        <a:prstGeom prst="rect">
                          <a:avLst/>
                        </a:prstGeom>
                        <a:solidFill>
                          <a:srgbClr val="FFFFFF">
                            <a:alpha val="0"/>
                          </a:srgbClr>
                        </a:solidFill>
                        <a:ln w="9525">
                          <a:solidFill>
                            <a:srgbClr val="FFFFFF"/>
                          </a:solidFill>
                          <a:miter lim="800000"/>
                        </a:ln>
                        <a:effectLst/>
                      </wps:spPr>
                      <wps:txbx>
                        <w:txbxContent>
                          <w:p w14:paraId="34589AB5">
                            <w:r>
                              <w:rPr>
                                <w:rStyle w:val="21"/>
                                <w:rFonts w:hint="eastAsia" w:hAnsi="黑体"/>
                                <w:bCs/>
                                <w:szCs w:val="28"/>
                              </w:rPr>
                              <w:t>发布</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409.15pt;margin-top:627.05pt;height:38.9pt;width:65.6pt;mso-position-horizontal-relative:margin;z-index:251669504;mso-width-relative:page;mso-height-relative:page;" fillcolor="#FFFFFF" filled="t" stroked="t" coordsize="21600,21600" o:gfxdata="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ynKAb2wAA&#10;AA0BAAAPAAAAAAAAAAEAIAAAACIAAABkcnMvZG93bnJldi54bWxQSwECFAAUAAAACACHTuJAqc0B&#10;ylQCAACzBAAADgAAAAAAAAABACAAAAAqAQAAZHJzL2Uyb0RvYy54bWxQSwUGAAAAAAYABgBZAQAA&#10;8AUAAAAA&#10;">
                <v:fill on="t" opacity="0f" focussize="0,0"/>
                <v:stroke color="#FFFFFF" miterlimit="8" joinstyle="miter"/>
                <v:imagedata o:title=""/>
                <o:lock v:ext="edit" aspectratio="f"/>
                <v:textbox>
                  <w:txbxContent>
                    <w:p w14:paraId="34589AB5">
                      <w:r>
                        <w:rPr>
                          <w:rStyle w:val="21"/>
                          <w:rFonts w:hint="eastAsia" w:hAnsi="黑体"/>
                          <w:bCs/>
                          <w:szCs w:val="28"/>
                        </w:rPr>
                        <w:t>发布</w:t>
                      </w:r>
                    </w:p>
                  </w:txbxContent>
                </v:textbox>
              </v:shape>
            </w:pict>
          </mc:Fallback>
        </mc:AlternateContent>
      </w:r>
      <w:r>
        <w:rPr>
          <w:w w:val="200"/>
          <w:sz w:val="144"/>
          <w:szCs w:val="144"/>
        </w:rPr>
        <mc:AlternateContent>
          <mc:Choice Requires="wps">
            <w:drawing>
              <wp:anchor distT="0" distB="0" distL="114300" distR="114300" simplePos="0" relativeHeight="251668480" behindDoc="0" locked="0" layoutInCell="1" allowOverlap="1">
                <wp:simplePos x="0" y="0"/>
                <wp:positionH relativeFrom="margin">
                  <wp:align>left</wp:align>
                </wp:positionH>
                <wp:positionV relativeFrom="paragraph">
                  <wp:posOffset>7984490</wp:posOffset>
                </wp:positionV>
                <wp:extent cx="6121400" cy="0"/>
                <wp:effectExtent l="0" t="0" r="31750" b="19050"/>
                <wp:wrapNone/>
                <wp:docPr id="17" name="直接连接符 17"/>
                <wp:cNvGraphicFramePr/>
                <a:graphic xmlns:a="http://schemas.openxmlformats.org/drawingml/2006/main">
                  <a:graphicData uri="http://schemas.microsoft.com/office/word/2010/wordprocessingShape">
                    <wps:wsp>
                      <wps:cNvCnPr/>
                      <wps:spPr>
                        <a:xfrm>
                          <a:off x="0" y="0"/>
                          <a:ext cx="6121400" cy="0"/>
                        </a:xfrm>
                        <a:prstGeom prst="line">
                          <a:avLst/>
                        </a:prstGeom>
                        <a:ln w="12700" cap="flat" cmpd="sng">
                          <a:solidFill>
                            <a:srgbClr val="800008"/>
                          </a:solidFill>
                          <a:prstDash val="solid"/>
                          <a:headEnd type="none" w="med" len="med"/>
                          <a:tailEnd type="none" w="med" len="med"/>
                        </a:ln>
                      </wps:spPr>
                      <wps:bodyPr/>
                    </wps:wsp>
                  </a:graphicData>
                </a:graphic>
              </wp:anchor>
            </w:drawing>
          </mc:Choice>
          <mc:Fallback>
            <w:pict>
              <v:line id="_x0000_s1026" o:spid="_x0000_s1026" o:spt="20" style="position:absolute;left:0pt;margin-top:628.7pt;height:0pt;width:482pt;mso-position-horizontal:left;mso-position-horizontal-relative:margin;z-index:251668480;mso-width-relative:page;mso-height-relative:page;" filled="f" stroked="t" coordsize="21600,21600" o:gfxdata="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cV&#10;XqTUAAAACgEAAA8AAAAAAAAAAQAgAAAAIgAAAGRycy9kb3ducmV2LnhtbFBLAQIUABQAAAAIAIdO&#10;4kBtOtTx7gEAANsDAAAOAAAAAAAAAAEAIAAAACMBAABkcnMvZTJvRG9jLnhtbFBLBQYAAAAABgAG&#10;AFkBAACDBQAAAAA=&#10;">
                <v:fill on="f" focussize="0,0"/>
                <v:stroke weight="1pt" color="#800008" joinstyle="round"/>
                <v:imagedata o:title=""/>
                <o:lock v:ext="edit" aspectratio="f"/>
              </v:line>
            </w:pict>
          </mc:Fallback>
        </mc:AlternateContent>
      </w:r>
      <w:r>
        <w:rPr>
          <w:w w:val="200"/>
          <w:sz w:val="144"/>
          <w:szCs w:val="144"/>
        </w:rPr>
        <mc:AlternateContent>
          <mc:Choice Requires="wps">
            <w:drawing>
              <wp:anchor distT="0" distB="0" distL="114300" distR="114300" simplePos="0" relativeHeight="251666432" behindDoc="0" locked="1" layoutInCell="1" allowOverlap="1">
                <wp:simplePos x="0" y="0"/>
                <wp:positionH relativeFrom="page">
                  <wp:align>center</wp:align>
                </wp:positionH>
                <wp:positionV relativeFrom="margin">
                  <wp:posOffset>8011160</wp:posOffset>
                </wp:positionV>
                <wp:extent cx="4886325" cy="466725"/>
                <wp:effectExtent l="0" t="0" r="9525" b="9525"/>
                <wp:wrapNone/>
                <wp:docPr id="19" name="文本框 19"/>
                <wp:cNvGraphicFramePr/>
                <a:graphic xmlns:a="http://schemas.openxmlformats.org/drawingml/2006/main">
                  <a:graphicData uri="http://schemas.microsoft.com/office/word/2010/wordprocessingShape">
                    <wps:wsp>
                      <wps:cNvSpPr txBox="1"/>
                      <wps:spPr>
                        <a:xfrm>
                          <a:off x="0" y="0"/>
                          <a:ext cx="4886325" cy="466725"/>
                        </a:xfrm>
                        <a:prstGeom prst="rect">
                          <a:avLst/>
                        </a:prstGeom>
                        <a:solidFill>
                          <a:srgbClr val="FFFFFF"/>
                        </a:solidFill>
                        <a:ln>
                          <a:noFill/>
                        </a:ln>
                      </wps:spPr>
                      <wps:txbx>
                        <w:txbxContent>
                          <w:p w14:paraId="3AA658C2">
                            <w:pPr>
                              <w:rPr>
                                <w:szCs w:val="32"/>
                                <w:lang w:eastAsia="zh-CN"/>
                              </w:rPr>
                            </w:pPr>
                            <w:r>
                              <w:rPr>
                                <w:rFonts w:hint="eastAsia" w:ascii="Times New Roman" w:hAnsi="Times New Roman" w:eastAsia="宋体" w:cs="Times New Roman"/>
                                <w:b/>
                                <w:spacing w:val="10"/>
                                <w:w w:val="135"/>
                                <w:kern w:val="2"/>
                                <w:sz w:val="36"/>
                                <w:szCs w:val="36"/>
                                <w:lang w:eastAsia="zh-CN"/>
                              </w:rPr>
                              <w:t>中华人民共和国工业和信息化部</w:t>
                            </w:r>
                            <w:r>
                              <w:rPr>
                                <w:rFonts w:hint="eastAsia" w:ascii="华光小标宋_CNKI" w:hAnsi="华光小标宋_CNKI" w:eastAsia="华光小标宋_CNKI" w:cs="Times New Roman"/>
                                <w:bCs/>
                                <w:spacing w:val="20"/>
                                <w:w w:val="135"/>
                                <w:sz w:val="32"/>
                                <w:szCs w:val="32"/>
                                <w:lang w:eastAsia="zh-CN"/>
                              </w:rPr>
                              <w:t xml:space="preserve">   </w:t>
                            </w:r>
                          </w:p>
                        </w:txbxContent>
                      </wps:txbx>
                      <wps:bodyPr wrap="square" lIns="0" tIns="0" rIns="0" bIns="0" upright="1">
                        <a:noAutofit/>
                      </wps:bodyPr>
                    </wps:wsp>
                  </a:graphicData>
                </a:graphic>
              </wp:anchor>
            </w:drawing>
          </mc:Choice>
          <mc:Fallback>
            <w:pict>
              <v:shape id="_x0000_s1026" o:spid="_x0000_s1026" o:spt="202" type="#_x0000_t202" style="position:absolute;left:0pt;margin-top:630.8pt;height:36.75pt;width:384.75pt;mso-position-horizontal:center;mso-position-horizontal-relative:page;mso-position-vertical-relative:margin;z-index:251666432;mso-width-relative:page;mso-height-relative:page;" fillcolor="#FFFFFF" filled="t" stroked="f" coordsize="21600,21600" o:gfxdata="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p4/g22QAA&#10;AAoBAAAPAAAAAAAAAAEAIAAAACIAAABkcnMvZG93bnJldi54bWxQSwECFAAUAAAACACHTuJAA3sF&#10;++QBAADFAwAADgAAAAAAAAABACAAAAAoAQAAZHJzL2Uyb0RvYy54bWxQSwUGAAAAAAYABgBZAQAA&#10;fgUAAAAA&#10;">
                <v:fill on="t" focussize="0,0"/>
                <v:stroke on="f"/>
                <v:imagedata o:title=""/>
                <o:lock v:ext="edit" aspectratio="f"/>
                <v:textbox inset="0mm,0mm,0mm,0mm">
                  <w:txbxContent>
                    <w:p w14:paraId="3AA658C2">
                      <w:pPr>
                        <w:rPr>
                          <w:szCs w:val="32"/>
                          <w:lang w:eastAsia="zh-CN"/>
                        </w:rPr>
                      </w:pPr>
                      <w:r>
                        <w:rPr>
                          <w:rFonts w:hint="eastAsia" w:ascii="Times New Roman" w:hAnsi="Times New Roman" w:eastAsia="宋体" w:cs="Times New Roman"/>
                          <w:b/>
                          <w:spacing w:val="10"/>
                          <w:w w:val="135"/>
                          <w:kern w:val="2"/>
                          <w:sz w:val="36"/>
                          <w:szCs w:val="36"/>
                          <w:lang w:eastAsia="zh-CN"/>
                        </w:rPr>
                        <w:t>中华人民共和国工业和信息化部</w:t>
                      </w:r>
                      <w:r>
                        <w:rPr>
                          <w:rFonts w:hint="eastAsia" w:ascii="华光小标宋_CNKI" w:hAnsi="华光小标宋_CNKI" w:eastAsia="华光小标宋_CNKI" w:cs="Times New Roman"/>
                          <w:bCs/>
                          <w:spacing w:val="20"/>
                          <w:w w:val="135"/>
                          <w:sz w:val="32"/>
                          <w:szCs w:val="32"/>
                          <w:lang w:eastAsia="zh-CN"/>
                        </w:rPr>
                        <w:t xml:space="preserve">   </w:t>
                      </w:r>
                    </w:p>
                  </w:txbxContent>
                </v:textbox>
                <w10:anchorlock/>
              </v:shape>
            </w:pict>
          </mc:Fallback>
        </mc:AlternateContent>
      </w:r>
      <w:r>
        <w:rPr>
          <w:w w:val="200"/>
          <w:sz w:val="144"/>
          <w:szCs w:val="144"/>
        </w:rPr>
        <mc:AlternateContent>
          <mc:Choice Requires="wps">
            <w:drawing>
              <wp:anchor distT="0" distB="0" distL="114300" distR="114300" simplePos="0" relativeHeight="251665408" behindDoc="0" locked="1" layoutInCell="1" allowOverlap="1">
                <wp:simplePos x="0" y="0"/>
                <wp:positionH relativeFrom="margin">
                  <wp:align>right</wp:align>
                </wp:positionH>
                <wp:positionV relativeFrom="margin">
                  <wp:posOffset>7644130</wp:posOffset>
                </wp:positionV>
                <wp:extent cx="2019300" cy="297180"/>
                <wp:effectExtent l="0" t="0" r="0" b="7620"/>
                <wp:wrapNone/>
                <wp:docPr id="20" name="文本框 20"/>
                <wp:cNvGraphicFramePr/>
                <a:graphic xmlns:a="http://schemas.openxmlformats.org/drawingml/2006/main">
                  <a:graphicData uri="http://schemas.microsoft.com/office/word/2010/wordprocessingShape">
                    <wps:wsp>
                      <wps:cNvSpPr txBox="1"/>
                      <wps:spPr>
                        <a:xfrm>
                          <a:off x="0" y="0"/>
                          <a:ext cx="2019300" cy="297180"/>
                        </a:xfrm>
                        <a:prstGeom prst="rect">
                          <a:avLst/>
                        </a:prstGeom>
                        <a:solidFill>
                          <a:srgbClr val="FFFFFF"/>
                        </a:solidFill>
                        <a:ln>
                          <a:noFill/>
                        </a:ln>
                      </wps:spPr>
                      <wps:txbx>
                        <w:txbxContent>
                          <w:p w14:paraId="3578EE67">
                            <w:pPr>
                              <w:pStyle w:val="23"/>
                            </w:pPr>
                            <w:r>
                              <w:rPr>
                                <w:rFonts w:hint="eastAsia"/>
                              </w:rPr>
                              <w:t>202×-××-××实施</w:t>
                            </w:r>
                          </w:p>
                        </w:txbxContent>
                      </wps:txbx>
                      <wps:bodyPr lIns="0" tIns="0" rIns="0" bIns="0" upright="1"/>
                    </wps:wsp>
                  </a:graphicData>
                </a:graphic>
              </wp:anchor>
            </w:drawing>
          </mc:Choice>
          <mc:Fallback>
            <w:pict>
              <v:shape id="_x0000_s1026" o:spid="_x0000_s1026" o:spt="202" type="#_x0000_t202" style="position:absolute;left:0pt;margin-top:601.9pt;height:23.4pt;width:159pt;mso-position-horizontal:right;mso-position-horizontal-relative:margin;mso-position-vertical-relative:margin;z-index:251665408;mso-width-relative:page;mso-height-relative:page;" fillcolor="#FFFFFF" filled="t" stroked="f" coordsize="21600,21600" o:gfxdata="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AGNtwPXAAAACgEAAA8AAAAAAAAAAQAgAAAAIgAA&#10;AGRycy9kb3ducmV2LnhtbFBLAQIUABQAAAAIAIdO4kAdbTW10AEAAJ0DAAAOAAAAAAAAAAEAIAAA&#10;ACYBAABkcnMvZTJvRG9jLnhtbFBLBQYAAAAABgAGAFkBAABoBQAAAAA=&#10;">
                <v:fill on="t" focussize="0,0"/>
                <v:stroke on="f"/>
                <v:imagedata o:title=""/>
                <o:lock v:ext="edit" aspectratio="f"/>
                <v:textbox inset="0mm,0mm,0mm,0mm">
                  <w:txbxContent>
                    <w:p w14:paraId="3578EE67">
                      <w:pPr>
                        <w:pStyle w:val="23"/>
                      </w:pPr>
                      <w:r>
                        <w:rPr>
                          <w:rFonts w:hint="eastAsia"/>
                        </w:rPr>
                        <w:t>202×-××-××实施</w:t>
                      </w:r>
                    </w:p>
                  </w:txbxContent>
                </v:textbox>
                <w10:anchorlock/>
              </v:shape>
            </w:pict>
          </mc:Fallback>
        </mc:AlternateContent>
      </w:r>
      <w:r>
        <w:rPr>
          <w:w w:val="200"/>
          <w:sz w:val="144"/>
          <w:szCs w:val="144"/>
        </w:rPr>
        <mc:AlternateContent>
          <mc:Choice Requires="wps">
            <w:drawing>
              <wp:anchor distT="0" distB="0" distL="114300" distR="114300" simplePos="0" relativeHeight="251664384" behindDoc="0" locked="1" layoutInCell="1" allowOverlap="1">
                <wp:simplePos x="0" y="0"/>
                <wp:positionH relativeFrom="margin">
                  <wp:align>left</wp:align>
                </wp:positionH>
                <wp:positionV relativeFrom="margin">
                  <wp:posOffset>7644130</wp:posOffset>
                </wp:positionV>
                <wp:extent cx="2019300" cy="297180"/>
                <wp:effectExtent l="0" t="0" r="0" b="7620"/>
                <wp:wrapNone/>
                <wp:docPr id="22" name="文本框 22"/>
                <wp:cNvGraphicFramePr/>
                <a:graphic xmlns:a="http://schemas.openxmlformats.org/drawingml/2006/main">
                  <a:graphicData uri="http://schemas.microsoft.com/office/word/2010/wordprocessingShape">
                    <wps:wsp>
                      <wps:cNvSpPr txBox="1"/>
                      <wps:spPr>
                        <a:xfrm>
                          <a:off x="0" y="0"/>
                          <a:ext cx="2019300" cy="297180"/>
                        </a:xfrm>
                        <a:prstGeom prst="rect">
                          <a:avLst/>
                        </a:prstGeom>
                        <a:solidFill>
                          <a:srgbClr val="FFFFFF"/>
                        </a:solidFill>
                        <a:ln>
                          <a:noFill/>
                        </a:ln>
                      </wps:spPr>
                      <wps:txbx>
                        <w:txbxContent>
                          <w:p w14:paraId="795E20DE">
                            <w:pPr>
                              <w:pStyle w:val="24"/>
                            </w:pPr>
                            <w:r>
                              <w:rPr>
                                <w:rFonts w:hint="eastAsia"/>
                              </w:rPr>
                              <w:t>202×-××-××发布</w:t>
                            </w:r>
                          </w:p>
                        </w:txbxContent>
                      </wps:txbx>
                      <wps:bodyPr lIns="0" tIns="0" rIns="0" bIns="0" upright="1"/>
                    </wps:wsp>
                  </a:graphicData>
                </a:graphic>
              </wp:anchor>
            </w:drawing>
          </mc:Choice>
          <mc:Fallback>
            <w:pict>
              <v:shape id="_x0000_s1026" o:spid="_x0000_s1026" o:spt="202" type="#_x0000_t202" style="position:absolute;left:0pt;margin-top:601.9pt;height:23.4pt;width:159pt;mso-position-horizontal:left;mso-position-horizontal-relative:margin;mso-position-vertical-relative:margin;z-index:251664384;mso-width-relative:page;mso-height-relative:page;" fillcolor="#FFFFFF" filled="t" stroked="f" coordsize="21600,21600" o:gfxdata="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BjbcD1wAAAAoBAAAPAAAAAAAAAAEAIAAAACIA&#10;AABkcnMvZG93bnJldi54bWxQSwECFAAUAAAACACHTuJA0MSPCtEBAACdAwAADgAAAAAAAAABACAA&#10;AAAmAQAAZHJzL2Uyb0RvYy54bWxQSwUGAAAAAAYABgBZAQAAaQUAAAAA&#10;">
                <v:fill on="t" focussize="0,0"/>
                <v:stroke on="f"/>
                <v:imagedata o:title=""/>
                <o:lock v:ext="edit" aspectratio="f"/>
                <v:textbox inset="0mm,0mm,0mm,0mm">
                  <w:txbxContent>
                    <w:p w14:paraId="795E20DE">
                      <w:pPr>
                        <w:pStyle w:val="24"/>
                      </w:pPr>
                      <w:r>
                        <w:rPr>
                          <w:rFonts w:hint="eastAsia"/>
                        </w:rPr>
                        <w:t>202×-××-××发布</w:t>
                      </w:r>
                    </w:p>
                  </w:txbxContent>
                </v:textbox>
                <w10:anchorlock/>
              </v:shape>
            </w:pict>
          </mc:Fallback>
        </mc:AlternateContent>
      </w:r>
      <w:r>
        <w:rPr>
          <w:w w:val="200"/>
          <w:sz w:val="144"/>
          <w:szCs w:val="144"/>
        </w:rPr>
        <mc:AlternateContent>
          <mc:Choice Requires="wps">
            <w:drawing>
              <wp:anchor distT="0" distB="0" distL="114300" distR="114300" simplePos="0" relativeHeight="251663360" behindDoc="0" locked="1" layoutInCell="1" allowOverlap="1">
                <wp:simplePos x="0" y="0"/>
                <wp:positionH relativeFrom="margin">
                  <wp:align>left</wp:align>
                </wp:positionH>
                <wp:positionV relativeFrom="margin">
                  <wp:posOffset>2971800</wp:posOffset>
                </wp:positionV>
                <wp:extent cx="6118225" cy="457962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6118225" cy="4579749"/>
                        </a:xfrm>
                        <a:prstGeom prst="rect">
                          <a:avLst/>
                        </a:prstGeom>
                        <a:solidFill>
                          <a:srgbClr val="FFFFFF"/>
                        </a:solidFill>
                        <a:ln>
                          <a:noFill/>
                        </a:ln>
                      </wps:spPr>
                      <wps:txbx>
                        <w:txbxContent>
                          <w:p w14:paraId="7E25F8C5">
                            <w:pPr>
                              <w:jc w:val="center"/>
                              <w:rPr>
                                <w:rFonts w:ascii="黑体" w:eastAsia="黑体"/>
                                <w:sz w:val="48"/>
                              </w:rPr>
                            </w:pPr>
                          </w:p>
                          <w:p w14:paraId="296FCD36">
                            <w:pPr>
                              <w:adjustRightInd w:val="0"/>
                              <w:snapToGrid w:val="0"/>
                              <w:spacing w:after="100" w:line="360" w:lineRule="auto"/>
                              <w:jc w:val="center"/>
                              <w:rPr>
                                <w:rFonts w:ascii="黑体" w:eastAsia="黑体"/>
                                <w:snapToGrid w:val="0"/>
                                <w:sz w:val="52"/>
                                <w:szCs w:val="52"/>
                                <w:lang w:eastAsia="zh-CN"/>
                              </w:rPr>
                            </w:pPr>
                            <w:bookmarkStart w:id="154" w:name="OLE_LINK2"/>
                            <w:bookmarkStart w:id="155" w:name="_Hlk190340863"/>
                            <w:bookmarkStart w:id="156" w:name="OLE_LINK3"/>
                            <w:r>
                              <w:rPr>
                                <w:rFonts w:hint="eastAsia" w:ascii="黑体" w:eastAsia="黑体"/>
                                <w:snapToGrid w:val="0"/>
                                <w:sz w:val="52"/>
                                <w:szCs w:val="52"/>
                                <w:lang w:eastAsia="zh-CN"/>
                              </w:rPr>
                              <w:t>温室气体 产品碳足迹量化方法与要求</w:t>
                            </w:r>
                            <w:bookmarkEnd w:id="154"/>
                            <w:r>
                              <w:rPr>
                                <w:rFonts w:hint="eastAsia" w:ascii="黑体" w:eastAsia="黑体"/>
                                <w:snapToGrid w:val="0"/>
                                <w:sz w:val="52"/>
                                <w:szCs w:val="52"/>
                                <w:lang w:eastAsia="zh-CN"/>
                              </w:rPr>
                              <w:t xml:space="preserve"> </w:t>
                            </w:r>
                          </w:p>
                          <w:p w14:paraId="11C5A796">
                            <w:pPr>
                              <w:adjustRightInd w:val="0"/>
                              <w:snapToGrid w:val="0"/>
                              <w:spacing w:line="360" w:lineRule="auto"/>
                              <w:jc w:val="center"/>
                              <w:rPr>
                                <w:rFonts w:ascii="黑体" w:hAnsi="宋体" w:eastAsia="黑体"/>
                                <w:bCs/>
                                <w:snapToGrid w:val="0"/>
                                <w:sz w:val="52"/>
                                <w:szCs w:val="52"/>
                                <w:lang w:eastAsia="zh-CN"/>
                              </w:rPr>
                            </w:pPr>
                            <w:r>
                              <w:rPr>
                                <w:rFonts w:hint="eastAsia" w:ascii="黑体" w:eastAsia="黑体"/>
                                <w:snapToGrid w:val="0"/>
                                <w:sz w:val="52"/>
                                <w:szCs w:val="52"/>
                                <w:lang w:eastAsia="zh-CN"/>
                              </w:rPr>
                              <w:t>稀土冶炼分离产品</w:t>
                            </w:r>
                            <w:bookmarkEnd w:id="155"/>
                          </w:p>
                          <w:bookmarkEnd w:id="156"/>
                          <w:p w14:paraId="66BAEF72">
                            <w:pPr>
                              <w:spacing w:line="480" w:lineRule="auto"/>
                              <w:jc w:val="center"/>
                              <w:rPr>
                                <w:rFonts w:ascii="Times New Roman" w:hAnsi="Times New Roman" w:eastAsia="宋体" w:cs="Times New Roman"/>
                                <w:kern w:val="2"/>
                                <w:sz w:val="30"/>
                                <w:szCs w:val="30"/>
                                <w:lang w:eastAsia="zh-CN"/>
                              </w:rPr>
                            </w:pPr>
                            <w:r>
                              <w:rPr>
                                <w:rFonts w:ascii="Times New Roman" w:hAnsi="Times New Roman" w:eastAsia="宋体" w:cs="Times New Roman"/>
                                <w:kern w:val="2"/>
                                <w:sz w:val="30"/>
                                <w:szCs w:val="30"/>
                                <w:lang w:eastAsia="zh-CN"/>
                              </w:rPr>
                              <w:t xml:space="preserve">Greenhouse </w:t>
                            </w:r>
                            <w:r>
                              <w:rPr>
                                <w:rFonts w:hint="eastAsia" w:ascii="Times New Roman" w:hAnsi="Times New Roman" w:eastAsia="宋体" w:cs="Times New Roman"/>
                                <w:kern w:val="2"/>
                                <w:sz w:val="30"/>
                                <w:szCs w:val="30"/>
                                <w:lang w:eastAsia="zh-CN"/>
                              </w:rPr>
                              <w:t>g</w:t>
                            </w:r>
                            <w:r>
                              <w:rPr>
                                <w:rFonts w:ascii="Times New Roman" w:hAnsi="Times New Roman" w:eastAsia="宋体" w:cs="Times New Roman"/>
                                <w:kern w:val="2"/>
                                <w:sz w:val="30"/>
                                <w:szCs w:val="30"/>
                                <w:lang w:eastAsia="zh-CN"/>
                              </w:rPr>
                              <w:t>as</w:t>
                            </w:r>
                            <w:r>
                              <w:rPr>
                                <w:rFonts w:hint="eastAsia" w:ascii="Times New Roman" w:hAnsi="Times New Roman" w:eastAsia="宋体" w:cs="Times New Roman"/>
                                <w:kern w:val="2"/>
                                <w:sz w:val="30"/>
                                <w:szCs w:val="30"/>
                                <w:lang w:eastAsia="zh-CN"/>
                              </w:rPr>
                              <w:t xml:space="preserve"> -</w:t>
                            </w:r>
                            <w:r>
                              <w:t xml:space="preserve"> </w:t>
                            </w:r>
                            <w:r>
                              <w:rPr>
                                <w:rFonts w:ascii="Times New Roman" w:hAnsi="Times New Roman" w:eastAsia="宋体" w:cs="Times New Roman"/>
                                <w:kern w:val="2"/>
                                <w:sz w:val="30"/>
                                <w:szCs w:val="30"/>
                                <w:lang w:eastAsia="zh-CN"/>
                              </w:rPr>
                              <w:t xml:space="preserve">Quantification </w:t>
                            </w:r>
                            <w:r>
                              <w:rPr>
                                <w:rFonts w:hint="eastAsia" w:ascii="Times New Roman" w:hAnsi="Times New Roman" w:eastAsia="宋体" w:cs="Times New Roman"/>
                                <w:kern w:val="2"/>
                                <w:sz w:val="30"/>
                                <w:szCs w:val="30"/>
                                <w:lang w:eastAsia="zh-CN"/>
                              </w:rPr>
                              <w:t>method</w:t>
                            </w:r>
                            <w:r>
                              <w:rPr>
                                <w:rFonts w:hint="eastAsia" w:ascii="Times New Roman" w:hAnsi="Times New Roman" w:eastAsia="宋体" w:cs="Times New Roman"/>
                                <w:kern w:val="2"/>
                                <w:sz w:val="30"/>
                                <w:szCs w:val="30"/>
                                <w:lang w:val="en-US" w:eastAsia="zh-CN"/>
                              </w:rPr>
                              <w:t>s</w:t>
                            </w:r>
                            <w:r>
                              <w:rPr>
                                <w:rFonts w:ascii="Times New Roman" w:hAnsi="Times New Roman" w:eastAsia="宋体" w:cs="Times New Roman"/>
                                <w:kern w:val="2"/>
                                <w:sz w:val="30"/>
                                <w:szCs w:val="30"/>
                                <w:lang w:eastAsia="zh-CN"/>
                              </w:rPr>
                              <w:t xml:space="preserve"> and </w:t>
                            </w:r>
                            <w:r>
                              <w:rPr>
                                <w:rFonts w:hint="eastAsia" w:ascii="Times New Roman" w:hAnsi="Times New Roman" w:eastAsia="宋体" w:cs="Times New Roman"/>
                                <w:kern w:val="2"/>
                                <w:sz w:val="30"/>
                                <w:szCs w:val="30"/>
                                <w:lang w:eastAsia="zh-CN"/>
                              </w:rPr>
                              <w:t>requirement</w:t>
                            </w:r>
                            <w:r>
                              <w:rPr>
                                <w:rFonts w:hint="eastAsia" w:ascii="Times New Roman" w:hAnsi="Times New Roman" w:eastAsia="宋体" w:cs="Times New Roman"/>
                                <w:kern w:val="2"/>
                                <w:sz w:val="30"/>
                                <w:szCs w:val="30"/>
                                <w:lang w:val="en-US" w:eastAsia="zh-CN"/>
                              </w:rPr>
                              <w:t>s</w:t>
                            </w:r>
                            <w:r>
                              <w:rPr>
                                <w:rFonts w:hint="eastAsia" w:ascii="Times New Roman" w:hAnsi="Times New Roman" w:eastAsia="宋体" w:cs="Times New Roman"/>
                                <w:kern w:val="2"/>
                                <w:sz w:val="30"/>
                                <w:szCs w:val="30"/>
                                <w:lang w:eastAsia="zh-CN"/>
                              </w:rPr>
                              <w:t xml:space="preserve"> </w:t>
                            </w:r>
                            <w:r>
                              <w:rPr>
                                <w:rFonts w:ascii="Times New Roman" w:hAnsi="Times New Roman" w:eastAsia="宋体" w:cs="Times New Roman"/>
                                <w:kern w:val="2"/>
                                <w:sz w:val="30"/>
                                <w:szCs w:val="30"/>
                                <w:lang w:eastAsia="zh-CN"/>
                              </w:rPr>
                              <w:t xml:space="preserve">for </w:t>
                            </w:r>
                            <w:r>
                              <w:rPr>
                                <w:rFonts w:hint="eastAsia" w:ascii="Times New Roman" w:hAnsi="Times New Roman" w:eastAsia="宋体" w:cs="Times New Roman"/>
                                <w:kern w:val="2"/>
                                <w:sz w:val="30"/>
                                <w:szCs w:val="30"/>
                                <w:lang w:eastAsia="zh-CN"/>
                              </w:rPr>
                              <w:t>p</w:t>
                            </w:r>
                            <w:r>
                              <w:rPr>
                                <w:rFonts w:ascii="Times New Roman" w:hAnsi="Times New Roman" w:eastAsia="宋体" w:cs="Times New Roman"/>
                                <w:kern w:val="2"/>
                                <w:sz w:val="30"/>
                                <w:szCs w:val="30"/>
                                <w:lang w:eastAsia="zh-CN"/>
                              </w:rPr>
                              <w:t xml:space="preserve">roduct </w:t>
                            </w:r>
                            <w:r>
                              <w:rPr>
                                <w:rFonts w:hint="eastAsia" w:ascii="Times New Roman" w:hAnsi="Times New Roman" w:eastAsia="宋体" w:cs="Times New Roman"/>
                                <w:kern w:val="2"/>
                                <w:sz w:val="30"/>
                                <w:szCs w:val="30"/>
                                <w:lang w:eastAsia="zh-CN"/>
                              </w:rPr>
                              <w:t>c</w:t>
                            </w:r>
                            <w:r>
                              <w:rPr>
                                <w:rFonts w:ascii="Times New Roman" w:hAnsi="Times New Roman" w:eastAsia="宋体" w:cs="Times New Roman"/>
                                <w:kern w:val="2"/>
                                <w:sz w:val="30"/>
                                <w:szCs w:val="30"/>
                                <w:lang w:eastAsia="zh-CN"/>
                              </w:rPr>
                              <w:t xml:space="preserve">arbon </w:t>
                            </w:r>
                            <w:r>
                              <w:rPr>
                                <w:rFonts w:hint="eastAsia" w:ascii="Times New Roman" w:hAnsi="Times New Roman" w:eastAsia="宋体" w:cs="Times New Roman"/>
                                <w:kern w:val="2"/>
                                <w:sz w:val="30"/>
                                <w:szCs w:val="30"/>
                                <w:lang w:eastAsia="zh-CN"/>
                              </w:rPr>
                              <w:t>f</w:t>
                            </w:r>
                            <w:r>
                              <w:rPr>
                                <w:rFonts w:ascii="Times New Roman" w:hAnsi="Times New Roman" w:eastAsia="宋体" w:cs="Times New Roman"/>
                                <w:kern w:val="2"/>
                                <w:sz w:val="30"/>
                                <w:szCs w:val="30"/>
                                <w:lang w:eastAsia="zh-CN"/>
                              </w:rPr>
                              <w:t>ootprint</w:t>
                            </w:r>
                            <w:r>
                              <w:rPr>
                                <w:rFonts w:hint="eastAsia" w:ascii="Times New Roman" w:hAnsi="Times New Roman" w:eastAsia="宋体" w:cs="Times New Roman"/>
                                <w:kern w:val="2"/>
                                <w:sz w:val="30"/>
                                <w:szCs w:val="30"/>
                                <w:lang w:eastAsia="zh-CN"/>
                              </w:rPr>
                              <w:t xml:space="preserve"> -</w:t>
                            </w:r>
                            <w:r>
                              <w:t xml:space="preserve"> </w:t>
                            </w:r>
                            <w:r>
                              <w:rPr>
                                <w:rFonts w:ascii="Times New Roman" w:hAnsi="Times New Roman" w:eastAsia="宋体" w:cs="Times New Roman"/>
                                <w:kern w:val="2"/>
                                <w:sz w:val="30"/>
                                <w:szCs w:val="30"/>
                                <w:lang w:eastAsia="zh-CN"/>
                              </w:rPr>
                              <w:t>Rare earth smelting</w:t>
                            </w:r>
                            <w:r>
                              <w:rPr>
                                <w:rFonts w:hint="eastAsia" w:ascii="Times New Roman" w:hAnsi="Times New Roman" w:eastAsia="宋体" w:cs="Times New Roman"/>
                                <w:kern w:val="2"/>
                                <w:sz w:val="30"/>
                                <w:szCs w:val="30"/>
                                <w:lang w:eastAsia="zh-CN"/>
                              </w:rPr>
                              <w:t xml:space="preserve"> separation products </w:t>
                            </w:r>
                          </w:p>
                          <w:p w14:paraId="2C80CCF8">
                            <w:pPr>
                              <w:spacing w:line="480" w:lineRule="auto"/>
                              <w:jc w:val="center"/>
                              <w:rPr>
                                <w:rFonts w:ascii="宋体" w:hAnsi="宋体"/>
                                <w:color w:val="0000FF"/>
                                <w:sz w:val="24"/>
                              </w:rPr>
                            </w:pPr>
                            <w:r>
                              <w:rPr>
                                <w:rFonts w:hint="eastAsia" w:ascii="宋体" w:hAnsi="宋体"/>
                                <w:sz w:val="24"/>
                                <w:lang w:eastAsia="zh-CN"/>
                              </w:rPr>
                              <w:t>(草案</w:t>
                            </w:r>
                            <w:r>
                              <w:rPr>
                                <w:rFonts w:hint="eastAsia" w:ascii="宋体" w:hAnsi="宋体"/>
                                <w:sz w:val="24"/>
                              </w:rPr>
                              <w:t>稿）</w:t>
                            </w:r>
                          </w:p>
                        </w:txbxContent>
                      </wps:txbx>
                      <wps:bodyPr wrap="square" lIns="0" tIns="0" rIns="0" bIns="0" upright="1">
                        <a:noAutofit/>
                      </wps:bodyPr>
                    </wps:wsp>
                  </a:graphicData>
                </a:graphic>
              </wp:anchor>
            </w:drawing>
          </mc:Choice>
          <mc:Fallback>
            <w:pict>
              <v:shape id="_x0000_s1026" o:spid="_x0000_s1026" o:spt="202" type="#_x0000_t202" style="position:absolute;left:0pt;margin-top:234pt;height:360.6pt;width:481.75pt;mso-position-horizontal:left;mso-position-horizontal-relative:margin;mso-position-vertical-relative:margin;z-index:251663360;mso-width-relative:page;mso-height-relative:page;" fillcolor="#FFFFFF" filled="t" stroked="f" coordsize="21600,21600" o:gfxdata="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EXEjzY&#10;AAAACQEAAA8AAAAAAAAAAQAgAAAAIgAAAGRycy9kb3ducmV2LnhtbFBLAQIUABQAAAAIAIdO4kBv&#10;tkrm5wEAAMYDAAAOAAAAAAAAAAEAIAAAACcBAABkcnMvZTJvRG9jLnhtbFBLBQYAAAAABgAGAFkB&#10;AACABQAAAAA=&#10;">
                <v:fill on="t" focussize="0,0"/>
                <v:stroke on="f"/>
                <v:imagedata o:title=""/>
                <o:lock v:ext="edit" aspectratio="f"/>
                <v:textbox inset="0mm,0mm,0mm,0mm">
                  <w:txbxContent>
                    <w:p w14:paraId="7E25F8C5">
                      <w:pPr>
                        <w:jc w:val="center"/>
                        <w:rPr>
                          <w:rFonts w:ascii="黑体" w:eastAsia="黑体"/>
                          <w:sz w:val="48"/>
                        </w:rPr>
                      </w:pPr>
                    </w:p>
                    <w:p w14:paraId="296FCD36">
                      <w:pPr>
                        <w:adjustRightInd w:val="0"/>
                        <w:snapToGrid w:val="0"/>
                        <w:spacing w:after="100" w:line="360" w:lineRule="auto"/>
                        <w:jc w:val="center"/>
                        <w:rPr>
                          <w:rFonts w:ascii="黑体" w:eastAsia="黑体"/>
                          <w:snapToGrid w:val="0"/>
                          <w:sz w:val="52"/>
                          <w:szCs w:val="52"/>
                          <w:lang w:eastAsia="zh-CN"/>
                        </w:rPr>
                      </w:pPr>
                      <w:bookmarkStart w:id="154" w:name="OLE_LINK2"/>
                      <w:bookmarkStart w:id="155" w:name="_Hlk190340863"/>
                      <w:bookmarkStart w:id="156" w:name="OLE_LINK3"/>
                      <w:r>
                        <w:rPr>
                          <w:rFonts w:hint="eastAsia" w:ascii="黑体" w:eastAsia="黑体"/>
                          <w:snapToGrid w:val="0"/>
                          <w:sz w:val="52"/>
                          <w:szCs w:val="52"/>
                          <w:lang w:eastAsia="zh-CN"/>
                        </w:rPr>
                        <w:t>温室气体 产品碳足迹量化方法与要求</w:t>
                      </w:r>
                      <w:bookmarkEnd w:id="154"/>
                      <w:r>
                        <w:rPr>
                          <w:rFonts w:hint="eastAsia" w:ascii="黑体" w:eastAsia="黑体"/>
                          <w:snapToGrid w:val="0"/>
                          <w:sz w:val="52"/>
                          <w:szCs w:val="52"/>
                          <w:lang w:eastAsia="zh-CN"/>
                        </w:rPr>
                        <w:t xml:space="preserve"> </w:t>
                      </w:r>
                    </w:p>
                    <w:p w14:paraId="11C5A796">
                      <w:pPr>
                        <w:adjustRightInd w:val="0"/>
                        <w:snapToGrid w:val="0"/>
                        <w:spacing w:line="360" w:lineRule="auto"/>
                        <w:jc w:val="center"/>
                        <w:rPr>
                          <w:rFonts w:ascii="黑体" w:hAnsi="宋体" w:eastAsia="黑体"/>
                          <w:bCs/>
                          <w:snapToGrid w:val="0"/>
                          <w:sz w:val="52"/>
                          <w:szCs w:val="52"/>
                          <w:lang w:eastAsia="zh-CN"/>
                        </w:rPr>
                      </w:pPr>
                      <w:r>
                        <w:rPr>
                          <w:rFonts w:hint="eastAsia" w:ascii="黑体" w:eastAsia="黑体"/>
                          <w:snapToGrid w:val="0"/>
                          <w:sz w:val="52"/>
                          <w:szCs w:val="52"/>
                          <w:lang w:eastAsia="zh-CN"/>
                        </w:rPr>
                        <w:t>稀土冶炼分离产品</w:t>
                      </w:r>
                      <w:bookmarkEnd w:id="155"/>
                    </w:p>
                    <w:bookmarkEnd w:id="156"/>
                    <w:p w14:paraId="66BAEF72">
                      <w:pPr>
                        <w:spacing w:line="480" w:lineRule="auto"/>
                        <w:jc w:val="center"/>
                        <w:rPr>
                          <w:rFonts w:ascii="Times New Roman" w:hAnsi="Times New Roman" w:eastAsia="宋体" w:cs="Times New Roman"/>
                          <w:kern w:val="2"/>
                          <w:sz w:val="30"/>
                          <w:szCs w:val="30"/>
                          <w:lang w:eastAsia="zh-CN"/>
                        </w:rPr>
                      </w:pPr>
                      <w:r>
                        <w:rPr>
                          <w:rFonts w:ascii="Times New Roman" w:hAnsi="Times New Roman" w:eastAsia="宋体" w:cs="Times New Roman"/>
                          <w:kern w:val="2"/>
                          <w:sz w:val="30"/>
                          <w:szCs w:val="30"/>
                          <w:lang w:eastAsia="zh-CN"/>
                        </w:rPr>
                        <w:t xml:space="preserve">Greenhouse </w:t>
                      </w:r>
                      <w:r>
                        <w:rPr>
                          <w:rFonts w:hint="eastAsia" w:ascii="Times New Roman" w:hAnsi="Times New Roman" w:eastAsia="宋体" w:cs="Times New Roman"/>
                          <w:kern w:val="2"/>
                          <w:sz w:val="30"/>
                          <w:szCs w:val="30"/>
                          <w:lang w:eastAsia="zh-CN"/>
                        </w:rPr>
                        <w:t>g</w:t>
                      </w:r>
                      <w:r>
                        <w:rPr>
                          <w:rFonts w:ascii="Times New Roman" w:hAnsi="Times New Roman" w:eastAsia="宋体" w:cs="Times New Roman"/>
                          <w:kern w:val="2"/>
                          <w:sz w:val="30"/>
                          <w:szCs w:val="30"/>
                          <w:lang w:eastAsia="zh-CN"/>
                        </w:rPr>
                        <w:t>as</w:t>
                      </w:r>
                      <w:r>
                        <w:rPr>
                          <w:rFonts w:hint="eastAsia" w:ascii="Times New Roman" w:hAnsi="Times New Roman" w:eastAsia="宋体" w:cs="Times New Roman"/>
                          <w:kern w:val="2"/>
                          <w:sz w:val="30"/>
                          <w:szCs w:val="30"/>
                          <w:lang w:eastAsia="zh-CN"/>
                        </w:rPr>
                        <w:t xml:space="preserve"> -</w:t>
                      </w:r>
                      <w:r>
                        <w:t xml:space="preserve"> </w:t>
                      </w:r>
                      <w:r>
                        <w:rPr>
                          <w:rFonts w:ascii="Times New Roman" w:hAnsi="Times New Roman" w:eastAsia="宋体" w:cs="Times New Roman"/>
                          <w:kern w:val="2"/>
                          <w:sz w:val="30"/>
                          <w:szCs w:val="30"/>
                          <w:lang w:eastAsia="zh-CN"/>
                        </w:rPr>
                        <w:t xml:space="preserve">Quantification </w:t>
                      </w:r>
                      <w:r>
                        <w:rPr>
                          <w:rFonts w:hint="eastAsia" w:ascii="Times New Roman" w:hAnsi="Times New Roman" w:eastAsia="宋体" w:cs="Times New Roman"/>
                          <w:kern w:val="2"/>
                          <w:sz w:val="30"/>
                          <w:szCs w:val="30"/>
                          <w:lang w:eastAsia="zh-CN"/>
                        </w:rPr>
                        <w:t>method</w:t>
                      </w:r>
                      <w:r>
                        <w:rPr>
                          <w:rFonts w:hint="eastAsia" w:ascii="Times New Roman" w:hAnsi="Times New Roman" w:eastAsia="宋体" w:cs="Times New Roman"/>
                          <w:kern w:val="2"/>
                          <w:sz w:val="30"/>
                          <w:szCs w:val="30"/>
                          <w:lang w:val="en-US" w:eastAsia="zh-CN"/>
                        </w:rPr>
                        <w:t>s</w:t>
                      </w:r>
                      <w:r>
                        <w:rPr>
                          <w:rFonts w:ascii="Times New Roman" w:hAnsi="Times New Roman" w:eastAsia="宋体" w:cs="Times New Roman"/>
                          <w:kern w:val="2"/>
                          <w:sz w:val="30"/>
                          <w:szCs w:val="30"/>
                          <w:lang w:eastAsia="zh-CN"/>
                        </w:rPr>
                        <w:t xml:space="preserve"> and </w:t>
                      </w:r>
                      <w:r>
                        <w:rPr>
                          <w:rFonts w:hint="eastAsia" w:ascii="Times New Roman" w:hAnsi="Times New Roman" w:eastAsia="宋体" w:cs="Times New Roman"/>
                          <w:kern w:val="2"/>
                          <w:sz w:val="30"/>
                          <w:szCs w:val="30"/>
                          <w:lang w:eastAsia="zh-CN"/>
                        </w:rPr>
                        <w:t>requirement</w:t>
                      </w:r>
                      <w:r>
                        <w:rPr>
                          <w:rFonts w:hint="eastAsia" w:ascii="Times New Roman" w:hAnsi="Times New Roman" w:eastAsia="宋体" w:cs="Times New Roman"/>
                          <w:kern w:val="2"/>
                          <w:sz w:val="30"/>
                          <w:szCs w:val="30"/>
                          <w:lang w:val="en-US" w:eastAsia="zh-CN"/>
                        </w:rPr>
                        <w:t>s</w:t>
                      </w:r>
                      <w:r>
                        <w:rPr>
                          <w:rFonts w:hint="eastAsia" w:ascii="Times New Roman" w:hAnsi="Times New Roman" w:eastAsia="宋体" w:cs="Times New Roman"/>
                          <w:kern w:val="2"/>
                          <w:sz w:val="30"/>
                          <w:szCs w:val="30"/>
                          <w:lang w:eastAsia="zh-CN"/>
                        </w:rPr>
                        <w:t xml:space="preserve"> </w:t>
                      </w:r>
                      <w:r>
                        <w:rPr>
                          <w:rFonts w:ascii="Times New Roman" w:hAnsi="Times New Roman" w:eastAsia="宋体" w:cs="Times New Roman"/>
                          <w:kern w:val="2"/>
                          <w:sz w:val="30"/>
                          <w:szCs w:val="30"/>
                          <w:lang w:eastAsia="zh-CN"/>
                        </w:rPr>
                        <w:t xml:space="preserve">for </w:t>
                      </w:r>
                      <w:r>
                        <w:rPr>
                          <w:rFonts w:hint="eastAsia" w:ascii="Times New Roman" w:hAnsi="Times New Roman" w:eastAsia="宋体" w:cs="Times New Roman"/>
                          <w:kern w:val="2"/>
                          <w:sz w:val="30"/>
                          <w:szCs w:val="30"/>
                          <w:lang w:eastAsia="zh-CN"/>
                        </w:rPr>
                        <w:t>p</w:t>
                      </w:r>
                      <w:r>
                        <w:rPr>
                          <w:rFonts w:ascii="Times New Roman" w:hAnsi="Times New Roman" w:eastAsia="宋体" w:cs="Times New Roman"/>
                          <w:kern w:val="2"/>
                          <w:sz w:val="30"/>
                          <w:szCs w:val="30"/>
                          <w:lang w:eastAsia="zh-CN"/>
                        </w:rPr>
                        <w:t xml:space="preserve">roduct </w:t>
                      </w:r>
                      <w:r>
                        <w:rPr>
                          <w:rFonts w:hint="eastAsia" w:ascii="Times New Roman" w:hAnsi="Times New Roman" w:eastAsia="宋体" w:cs="Times New Roman"/>
                          <w:kern w:val="2"/>
                          <w:sz w:val="30"/>
                          <w:szCs w:val="30"/>
                          <w:lang w:eastAsia="zh-CN"/>
                        </w:rPr>
                        <w:t>c</w:t>
                      </w:r>
                      <w:r>
                        <w:rPr>
                          <w:rFonts w:ascii="Times New Roman" w:hAnsi="Times New Roman" w:eastAsia="宋体" w:cs="Times New Roman"/>
                          <w:kern w:val="2"/>
                          <w:sz w:val="30"/>
                          <w:szCs w:val="30"/>
                          <w:lang w:eastAsia="zh-CN"/>
                        </w:rPr>
                        <w:t xml:space="preserve">arbon </w:t>
                      </w:r>
                      <w:r>
                        <w:rPr>
                          <w:rFonts w:hint="eastAsia" w:ascii="Times New Roman" w:hAnsi="Times New Roman" w:eastAsia="宋体" w:cs="Times New Roman"/>
                          <w:kern w:val="2"/>
                          <w:sz w:val="30"/>
                          <w:szCs w:val="30"/>
                          <w:lang w:eastAsia="zh-CN"/>
                        </w:rPr>
                        <w:t>f</w:t>
                      </w:r>
                      <w:r>
                        <w:rPr>
                          <w:rFonts w:ascii="Times New Roman" w:hAnsi="Times New Roman" w:eastAsia="宋体" w:cs="Times New Roman"/>
                          <w:kern w:val="2"/>
                          <w:sz w:val="30"/>
                          <w:szCs w:val="30"/>
                          <w:lang w:eastAsia="zh-CN"/>
                        </w:rPr>
                        <w:t>ootprint</w:t>
                      </w:r>
                      <w:r>
                        <w:rPr>
                          <w:rFonts w:hint="eastAsia" w:ascii="Times New Roman" w:hAnsi="Times New Roman" w:eastAsia="宋体" w:cs="Times New Roman"/>
                          <w:kern w:val="2"/>
                          <w:sz w:val="30"/>
                          <w:szCs w:val="30"/>
                          <w:lang w:eastAsia="zh-CN"/>
                        </w:rPr>
                        <w:t xml:space="preserve"> -</w:t>
                      </w:r>
                      <w:r>
                        <w:t xml:space="preserve"> </w:t>
                      </w:r>
                      <w:r>
                        <w:rPr>
                          <w:rFonts w:ascii="Times New Roman" w:hAnsi="Times New Roman" w:eastAsia="宋体" w:cs="Times New Roman"/>
                          <w:kern w:val="2"/>
                          <w:sz w:val="30"/>
                          <w:szCs w:val="30"/>
                          <w:lang w:eastAsia="zh-CN"/>
                        </w:rPr>
                        <w:t>Rare earth smelting</w:t>
                      </w:r>
                      <w:r>
                        <w:rPr>
                          <w:rFonts w:hint="eastAsia" w:ascii="Times New Roman" w:hAnsi="Times New Roman" w:eastAsia="宋体" w:cs="Times New Roman"/>
                          <w:kern w:val="2"/>
                          <w:sz w:val="30"/>
                          <w:szCs w:val="30"/>
                          <w:lang w:eastAsia="zh-CN"/>
                        </w:rPr>
                        <w:t xml:space="preserve"> separation products </w:t>
                      </w:r>
                    </w:p>
                    <w:p w14:paraId="2C80CCF8">
                      <w:pPr>
                        <w:spacing w:line="480" w:lineRule="auto"/>
                        <w:jc w:val="center"/>
                        <w:rPr>
                          <w:rFonts w:ascii="宋体" w:hAnsi="宋体"/>
                          <w:color w:val="0000FF"/>
                          <w:sz w:val="24"/>
                        </w:rPr>
                      </w:pPr>
                      <w:r>
                        <w:rPr>
                          <w:rFonts w:hint="eastAsia" w:ascii="宋体" w:hAnsi="宋体"/>
                          <w:sz w:val="24"/>
                          <w:lang w:eastAsia="zh-CN"/>
                        </w:rPr>
                        <w:t>(草案</w:t>
                      </w:r>
                      <w:r>
                        <w:rPr>
                          <w:rFonts w:hint="eastAsia" w:ascii="宋体" w:hAnsi="宋体"/>
                          <w:sz w:val="24"/>
                        </w:rPr>
                        <w:t>稿）</w:t>
                      </w:r>
                    </w:p>
                  </w:txbxContent>
                </v:textbox>
                <w10:anchorlock/>
              </v:shape>
            </w:pict>
          </mc:Fallback>
        </mc:AlternateContent>
      </w:r>
      <w:r>
        <w:rPr>
          <w:w w:val="200"/>
          <w:sz w:val="144"/>
          <w:szCs w:val="144"/>
        </w:rPr>
        <mc:AlternateContent>
          <mc:Choice Requires="wps">
            <w:drawing>
              <wp:anchor distT="0" distB="0" distL="114300" distR="114300" simplePos="0" relativeHeight="251662336" behindDoc="0" locked="1" layoutInCell="1" allowOverlap="1">
                <wp:simplePos x="0" y="0"/>
                <wp:positionH relativeFrom="margin">
                  <wp:posOffset>414020</wp:posOffset>
                </wp:positionH>
                <wp:positionV relativeFrom="margin">
                  <wp:posOffset>1696085</wp:posOffset>
                </wp:positionV>
                <wp:extent cx="5802630" cy="318770"/>
                <wp:effectExtent l="0" t="0" r="7620" b="5080"/>
                <wp:wrapNone/>
                <wp:docPr id="26" name="文本框 26"/>
                <wp:cNvGraphicFramePr/>
                <a:graphic xmlns:a="http://schemas.openxmlformats.org/drawingml/2006/main">
                  <a:graphicData uri="http://schemas.microsoft.com/office/word/2010/wordprocessingShape">
                    <wps:wsp>
                      <wps:cNvSpPr txBox="1"/>
                      <wps:spPr>
                        <a:xfrm>
                          <a:off x="0" y="0"/>
                          <a:ext cx="5802630" cy="318770"/>
                        </a:xfrm>
                        <a:prstGeom prst="rect">
                          <a:avLst/>
                        </a:prstGeom>
                        <a:solidFill>
                          <a:srgbClr val="FFFFFF"/>
                        </a:solidFill>
                        <a:ln>
                          <a:noFill/>
                        </a:ln>
                      </wps:spPr>
                      <wps:txbx>
                        <w:txbxContent>
                          <w:p w14:paraId="4BA79BDD">
                            <w:pPr>
                              <w:spacing w:after="0" w:line="360" w:lineRule="exact"/>
                              <w:ind w:firstLine="6860" w:firstLineChars="2450"/>
                              <w:rPr>
                                <w:rFonts w:ascii="黑体" w:hAnsi="黑体" w:eastAsia="黑体"/>
                                <w:sz w:val="28"/>
                              </w:rPr>
                            </w:pPr>
                            <w:r>
                              <w:rPr>
                                <w:rFonts w:ascii="Times New Roman" w:hAnsi="Times New Roman" w:eastAsia="黑体" w:cs="Times New Roman"/>
                                <w:sz w:val="28"/>
                                <w:lang w:eastAsia="zh-CN"/>
                              </w:rPr>
                              <w:t>XB</w:t>
                            </w:r>
                            <w:r>
                              <w:rPr>
                                <w:rFonts w:ascii="Times New Roman" w:hAnsi="Times New Roman" w:eastAsia="黑体" w:cs="Times New Roman"/>
                                <w:sz w:val="28"/>
                              </w:rPr>
                              <w:t>/</w:t>
                            </w:r>
                            <w:r>
                              <w:rPr>
                                <w:rFonts w:ascii="Times New Roman" w:hAnsi="Times New Roman" w:eastAsia="黑体" w:cs="Times New Roman"/>
                                <w:sz w:val="28"/>
                                <w:lang w:eastAsia="zh-CN"/>
                              </w:rPr>
                              <w:t>T xxxx</w:t>
                            </w:r>
                            <w:r>
                              <w:rPr>
                                <w:rFonts w:ascii="Times New Roman" w:hAnsi="Times New Roman" w:eastAsia="黑体" w:cs="Times New Roman"/>
                                <w:sz w:val="28"/>
                              </w:rPr>
                              <w:t>-202x</w:t>
                            </w:r>
                            <w:r>
                              <w:rPr>
                                <w:rFonts w:hint="eastAsia" w:ascii="黑体" w:hAnsi="黑体" w:eastAsia="黑体"/>
                                <w:sz w:val="28"/>
                              </w:rPr>
                              <w:t xml:space="preserve">        </w:t>
                            </w:r>
                          </w:p>
                          <w:p w14:paraId="78135A87">
                            <w:pPr>
                              <w:spacing w:after="0" w:line="360" w:lineRule="exact"/>
                              <w:ind w:firstLine="6160"/>
                            </w:pPr>
                            <w:r>
                              <w:rPr>
                                <w:rFonts w:hAnsi="黑体"/>
                              </w:rPr>
                              <w:t>     </w:t>
                            </w:r>
                          </w:p>
                        </w:txbxContent>
                      </wps:txbx>
                      <wps:bodyPr lIns="0" tIns="0" rIns="0" bIns="0" upright="1">
                        <a:noAutofit/>
                      </wps:bodyPr>
                    </wps:wsp>
                  </a:graphicData>
                </a:graphic>
              </wp:anchor>
            </w:drawing>
          </mc:Choice>
          <mc:Fallback>
            <w:pict>
              <v:shape id="_x0000_s1026" o:spid="_x0000_s1026" o:spt="202" type="#_x0000_t202" style="position:absolute;left:0pt;margin-left:32.6pt;margin-top:133.55pt;height:25.1pt;width:456.9pt;mso-position-horizontal-relative:margin;mso-position-vertical-relative:margin;z-index:251662336;mso-width-relative:page;mso-height-relative:page;" fillcolor="#FFFFFF" filled="t" stroked="f" coordsize="21600,21600" o:gfxdata="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Chr7w/ZAAAACgEAAA8A&#10;AAAAAAAAAQAgAAAAIgAAAGRycy9kb3ducmV2LnhtbFBLAQIUABQAAAAIAIdO4kAjng3F3QEAALcD&#10;AAAOAAAAAAAAAAEAIAAAACgBAABkcnMvZTJvRG9jLnhtbFBLBQYAAAAABgAGAFkBAAB3BQAAAAA=&#10;">
                <v:fill on="t" focussize="0,0"/>
                <v:stroke on="f"/>
                <v:imagedata o:title=""/>
                <o:lock v:ext="edit" aspectratio="f"/>
                <v:textbox inset="0mm,0mm,0mm,0mm">
                  <w:txbxContent>
                    <w:p w14:paraId="4BA79BDD">
                      <w:pPr>
                        <w:spacing w:after="0" w:line="360" w:lineRule="exact"/>
                        <w:ind w:firstLine="6860" w:firstLineChars="2450"/>
                        <w:rPr>
                          <w:rFonts w:ascii="黑体" w:hAnsi="黑体" w:eastAsia="黑体"/>
                          <w:sz w:val="28"/>
                        </w:rPr>
                      </w:pPr>
                      <w:r>
                        <w:rPr>
                          <w:rFonts w:ascii="Times New Roman" w:hAnsi="Times New Roman" w:eastAsia="黑体" w:cs="Times New Roman"/>
                          <w:sz w:val="28"/>
                          <w:lang w:eastAsia="zh-CN"/>
                        </w:rPr>
                        <w:t>XB</w:t>
                      </w:r>
                      <w:r>
                        <w:rPr>
                          <w:rFonts w:ascii="Times New Roman" w:hAnsi="Times New Roman" w:eastAsia="黑体" w:cs="Times New Roman"/>
                          <w:sz w:val="28"/>
                        </w:rPr>
                        <w:t>/</w:t>
                      </w:r>
                      <w:r>
                        <w:rPr>
                          <w:rFonts w:ascii="Times New Roman" w:hAnsi="Times New Roman" w:eastAsia="黑体" w:cs="Times New Roman"/>
                          <w:sz w:val="28"/>
                          <w:lang w:eastAsia="zh-CN"/>
                        </w:rPr>
                        <w:t>T xxxx</w:t>
                      </w:r>
                      <w:r>
                        <w:rPr>
                          <w:rFonts w:ascii="Times New Roman" w:hAnsi="Times New Roman" w:eastAsia="黑体" w:cs="Times New Roman"/>
                          <w:sz w:val="28"/>
                        </w:rPr>
                        <w:t>-202x</w:t>
                      </w:r>
                      <w:r>
                        <w:rPr>
                          <w:rFonts w:hint="eastAsia" w:ascii="黑体" w:hAnsi="黑体" w:eastAsia="黑体"/>
                          <w:sz w:val="28"/>
                        </w:rPr>
                        <w:t xml:space="preserve">        </w:t>
                      </w:r>
                    </w:p>
                    <w:p w14:paraId="78135A87">
                      <w:pPr>
                        <w:spacing w:after="0" w:line="360" w:lineRule="exact"/>
                        <w:ind w:firstLine="6160"/>
                      </w:pPr>
                      <w:r>
                        <w:rPr>
                          <w:rFonts w:hAnsi="黑体"/>
                        </w:rPr>
                        <w:t>     </w:t>
                      </w:r>
                    </w:p>
                  </w:txbxContent>
                </v:textbox>
                <w10:anchorlock/>
              </v:shape>
            </w:pict>
          </mc:Fallback>
        </mc:AlternateContent>
      </w:r>
      <w:r>
        <w:rPr>
          <w:w w:val="200"/>
          <w:sz w:val="144"/>
          <w:szCs w:val="144"/>
        </w:rPr>
        <mc:AlternateContent>
          <mc:Choice Requires="wps">
            <w:drawing>
              <wp:anchor distT="0" distB="0" distL="114300" distR="114300" simplePos="0" relativeHeight="251661312" behindDoc="0" locked="1" layoutInCell="1" allowOverlap="1">
                <wp:simplePos x="0" y="0"/>
                <wp:positionH relativeFrom="margin">
                  <wp:align>left</wp:align>
                </wp:positionH>
                <wp:positionV relativeFrom="margin">
                  <wp:posOffset>982345</wp:posOffset>
                </wp:positionV>
                <wp:extent cx="6120130" cy="391160"/>
                <wp:effectExtent l="0" t="0" r="0" b="8890"/>
                <wp:wrapNone/>
                <wp:docPr id="25" name="文本框 25"/>
                <wp:cNvGraphicFramePr/>
                <a:graphic xmlns:a="http://schemas.openxmlformats.org/drawingml/2006/main">
                  <a:graphicData uri="http://schemas.microsoft.com/office/word/2010/wordprocessingShape">
                    <wps:wsp>
                      <wps:cNvSpPr txBox="1"/>
                      <wps:spPr>
                        <a:xfrm>
                          <a:off x="0" y="0"/>
                          <a:ext cx="6120130" cy="391160"/>
                        </a:xfrm>
                        <a:prstGeom prst="rect">
                          <a:avLst/>
                        </a:prstGeom>
                        <a:solidFill>
                          <a:srgbClr val="FFFFFF"/>
                        </a:solidFill>
                        <a:ln>
                          <a:noFill/>
                        </a:ln>
                      </wps:spPr>
                      <wps:txbx>
                        <w:txbxContent>
                          <w:p w14:paraId="763874DE">
                            <w:pPr>
                              <w:pStyle w:val="39"/>
                              <w:jc w:val="distribute"/>
                            </w:pPr>
                            <w:r>
                              <w:rPr>
                                <w:rFonts w:hint="eastAsia"/>
                              </w:rPr>
                              <w:t>中华人民共和国稀土行业标准</w:t>
                            </w:r>
                          </w:p>
                          <w:p w14:paraId="1A9726C2">
                            <w:pPr>
                              <w:pStyle w:val="25"/>
                              <w:rPr>
                                <w:rFonts w:ascii="黑体" w:eastAsia="黑体"/>
                                <w:b w:val="0"/>
                              </w:rPr>
                            </w:pPr>
                          </w:p>
                        </w:txbxContent>
                      </wps:txbx>
                      <wps:bodyPr lIns="0" tIns="0" rIns="0" bIns="0" upright="1"/>
                    </wps:wsp>
                  </a:graphicData>
                </a:graphic>
              </wp:anchor>
            </w:drawing>
          </mc:Choice>
          <mc:Fallback>
            <w:pict>
              <v:shape id="_x0000_s1026" o:spid="_x0000_s1026" o:spt="202" type="#_x0000_t202" style="position:absolute;left:0pt;margin-top:77.35pt;height:30.8pt;width:481.9pt;mso-position-horizontal:left;mso-position-horizontal-relative:margin;mso-position-vertical-relative:margin;z-index:251661312;mso-width-relative:page;mso-height-relative:page;" fillcolor="#FFFFFF" filled="t" stroked="f" coordsize="21600,21600" o:gfxdata="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Mxd9/XAAAACAEAAA8AAAAAAAAAAQAgAAAAIgAA&#10;AGRycy9kb3ducmV2LnhtbFBLAQIUABQAAAAIAIdO4kB2evJq0AEAAJ0DAAAOAAAAAAAAAAEAIAAA&#10;ACYBAABkcnMvZTJvRG9jLnhtbFBLBQYAAAAABgAGAFkBAABoBQAAAAA=&#10;">
                <v:fill on="t" focussize="0,0"/>
                <v:stroke on="f"/>
                <v:imagedata o:title=""/>
                <o:lock v:ext="edit" aspectratio="f"/>
                <v:textbox inset="0mm,0mm,0mm,0mm">
                  <w:txbxContent>
                    <w:p w14:paraId="763874DE">
                      <w:pPr>
                        <w:pStyle w:val="39"/>
                        <w:jc w:val="distribute"/>
                      </w:pPr>
                      <w:r>
                        <w:rPr>
                          <w:rFonts w:hint="eastAsia"/>
                        </w:rPr>
                        <w:t>中华人民共和国稀土行业标准</w:t>
                      </w:r>
                    </w:p>
                    <w:p w14:paraId="1A9726C2">
                      <w:pPr>
                        <w:pStyle w:val="25"/>
                        <w:rPr>
                          <w:rFonts w:ascii="黑体" w:eastAsia="黑体"/>
                          <w:b w:val="0"/>
                        </w:rPr>
                      </w:pPr>
                    </w:p>
                  </w:txbxContent>
                </v:textbox>
                <w10:anchorlock/>
              </v:shape>
            </w:pict>
          </mc:Fallback>
        </mc:AlternateContent>
      </w:r>
      <w:r>
        <w:rPr>
          <w:w w:val="200"/>
          <w:sz w:val="144"/>
          <w:szCs w:val="144"/>
        </w:rPr>
        <mc:AlternateContent>
          <mc:Choice Requires="wps">
            <w:drawing>
              <wp:anchor distT="0" distB="0" distL="114300" distR="114300" simplePos="0" relativeHeight="251660288" behindDoc="0" locked="1" layoutInCell="1" allowOverlap="1">
                <wp:simplePos x="0" y="0"/>
                <wp:positionH relativeFrom="margin">
                  <wp:posOffset>0</wp:posOffset>
                </wp:positionH>
                <wp:positionV relativeFrom="margin">
                  <wp:posOffset>-200025</wp:posOffset>
                </wp:positionV>
                <wp:extent cx="2540000" cy="657860"/>
                <wp:effectExtent l="0" t="0" r="0" b="2540"/>
                <wp:wrapNone/>
                <wp:docPr id="24" name="文本框 24"/>
                <wp:cNvGraphicFramePr/>
                <a:graphic xmlns:a="http://schemas.openxmlformats.org/drawingml/2006/main">
                  <a:graphicData uri="http://schemas.microsoft.com/office/word/2010/wordprocessingShape">
                    <wps:wsp>
                      <wps:cNvSpPr txBox="1"/>
                      <wps:spPr>
                        <a:xfrm>
                          <a:off x="0" y="0"/>
                          <a:ext cx="2540000" cy="657860"/>
                        </a:xfrm>
                        <a:prstGeom prst="rect">
                          <a:avLst/>
                        </a:prstGeom>
                        <a:solidFill>
                          <a:srgbClr val="FFFFFF"/>
                        </a:solidFill>
                        <a:ln>
                          <a:noFill/>
                        </a:ln>
                      </wps:spPr>
                      <wps:txbx>
                        <w:txbxContent>
                          <w:p w14:paraId="71B300B1">
                            <w:pPr>
                              <w:pStyle w:val="26"/>
                              <w:rPr>
                                <w:rFonts w:hAnsi="黑体" w:cs="黑体"/>
                              </w:rPr>
                            </w:pPr>
                            <w:r>
                              <w:rPr>
                                <w:caps/>
                              </w:rPr>
                              <w:t>ICS</w:t>
                            </w:r>
                            <w:r>
                              <w:rPr>
                                <w:rFonts w:hAnsi="黑体" w:cs="黑体"/>
                              </w:rPr>
                              <w:t xml:space="preserve"> </w:t>
                            </w:r>
                            <w:r>
                              <w:rPr>
                                <w:rFonts w:hint="eastAsia" w:hAnsi="黑体" w:cs="黑体"/>
                              </w:rPr>
                              <w:t>77.150.99</w:t>
                            </w:r>
                          </w:p>
                          <w:p w14:paraId="7B2E68D4">
                            <w:pPr>
                              <w:pStyle w:val="26"/>
                            </w:pPr>
                            <w:r>
                              <w:t xml:space="preserve">CCS H </w:t>
                            </w:r>
                            <w:r>
                              <w:rPr>
                                <w:rFonts w:hint="eastAsia"/>
                              </w:rPr>
                              <w:t>65</w:t>
                            </w:r>
                          </w:p>
                          <w:p w14:paraId="69F24E99">
                            <w:pPr>
                              <w:rPr>
                                <w:rFonts w:ascii="Times New Roman" w:hAnsi="Times New Roman" w:cs="Times New Roman"/>
                                <w:lang w:eastAsia="zh-CN"/>
                              </w:rPr>
                            </w:pPr>
                          </w:p>
                        </w:txbxContent>
                      </wps:txbx>
                      <wps:bodyPr lIns="0" tIns="0" rIns="0" bIns="0" upright="1"/>
                    </wps:wsp>
                  </a:graphicData>
                </a:graphic>
              </wp:anchor>
            </w:drawing>
          </mc:Choice>
          <mc:Fallback>
            <w:pict>
              <v:shape id="_x0000_s1026" o:spid="_x0000_s1026" o:spt="202" type="#_x0000_t202" style="position:absolute;left:0pt;margin-left:0pt;margin-top:-15.75pt;height:51.8pt;width:200pt;mso-position-horizontal-relative:margin;mso-position-vertical-relative:margin;z-index:251660288;mso-width-relative:page;mso-height-relative:page;" fillcolor="#FFFFFF" filled="t" stroked="f" coordsize="21600,21600" o:gfxdata="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N0nKpbWAAAABwEAAA8AAAAAAAAAAQAgAAAAIgAA&#10;AGRycy9kb3ducmV2LnhtbFBLAQIUABQAAAAIAIdO4kDnRwYe0QEAAJ0DAAAOAAAAAAAAAAEAIAAA&#10;ACUBAABkcnMvZTJvRG9jLnhtbFBLBQYAAAAABgAGAFkBAABoBQAAAAA=&#10;">
                <v:fill on="t" focussize="0,0"/>
                <v:stroke on="f"/>
                <v:imagedata o:title=""/>
                <o:lock v:ext="edit" aspectratio="f"/>
                <v:textbox inset="0mm,0mm,0mm,0mm">
                  <w:txbxContent>
                    <w:p w14:paraId="71B300B1">
                      <w:pPr>
                        <w:pStyle w:val="26"/>
                        <w:rPr>
                          <w:rFonts w:hAnsi="黑体" w:cs="黑体"/>
                        </w:rPr>
                      </w:pPr>
                      <w:r>
                        <w:rPr>
                          <w:caps/>
                        </w:rPr>
                        <w:t>ICS</w:t>
                      </w:r>
                      <w:r>
                        <w:rPr>
                          <w:rFonts w:hAnsi="黑体" w:cs="黑体"/>
                        </w:rPr>
                        <w:t xml:space="preserve"> </w:t>
                      </w:r>
                      <w:r>
                        <w:rPr>
                          <w:rFonts w:hint="eastAsia" w:hAnsi="黑体" w:cs="黑体"/>
                        </w:rPr>
                        <w:t>77.150.99</w:t>
                      </w:r>
                    </w:p>
                    <w:p w14:paraId="7B2E68D4">
                      <w:pPr>
                        <w:pStyle w:val="26"/>
                      </w:pPr>
                      <w:r>
                        <w:t xml:space="preserve">CCS H </w:t>
                      </w:r>
                      <w:r>
                        <w:rPr>
                          <w:rFonts w:hint="eastAsia"/>
                        </w:rPr>
                        <w:t>65</w:t>
                      </w:r>
                    </w:p>
                    <w:p w14:paraId="69F24E99">
                      <w:pPr>
                        <w:rPr>
                          <w:rFonts w:ascii="Times New Roman" w:hAnsi="Times New Roman" w:cs="Times New Roman"/>
                          <w:lang w:eastAsia="zh-CN"/>
                        </w:rPr>
                      </w:pPr>
                    </w:p>
                  </w:txbxContent>
                </v:textbox>
                <w10:anchorlock/>
              </v:shape>
            </w:pict>
          </mc:Fallback>
        </mc:AlternateContent>
      </w:r>
    </w:p>
    <w:bookmarkEnd w:id="1"/>
    <w:sdt>
      <w:sdtPr>
        <w:rPr>
          <w:rFonts w:ascii="宋体" w:hAnsi="宋体" w:eastAsia="宋体"/>
          <w:sz w:val="21"/>
        </w:rPr>
        <w:id w:val="147470527"/>
        <w15:color w:val="DBDBDB"/>
        <w:docPartObj>
          <w:docPartGallery w:val="Table of Contents"/>
          <w:docPartUnique/>
        </w:docPartObj>
      </w:sdtPr>
      <w:sdtEndPr>
        <w:rPr>
          <w:rFonts w:ascii="黑体" w:hAnsi="Times New Roman" w:eastAsia="黑体" w:cs="Times New Roman"/>
          <w:spacing w:val="320"/>
          <w:sz w:val="22"/>
          <w:szCs w:val="20"/>
          <w:lang w:eastAsia="zh-CN"/>
        </w:rPr>
      </w:sdtEndPr>
      <w:sdtContent>
        <w:p w14:paraId="5767DD63">
          <w:pPr>
            <w:spacing w:after="0" w:line="240" w:lineRule="auto"/>
            <w:jc w:val="center"/>
            <w:rPr>
              <w:rFonts w:ascii="黑体" w:hAnsi="黑体" w:eastAsia="黑体" w:cs="黑体"/>
              <w:sz w:val="32"/>
              <w:szCs w:val="32"/>
              <w:lang w:eastAsia="zh-CN"/>
            </w:rPr>
          </w:pPr>
          <w:r>
            <w:rPr>
              <w:rFonts w:hint="eastAsia" w:ascii="黑体" w:hAnsi="黑体" w:eastAsia="黑体" w:cs="黑体"/>
              <w:sz w:val="32"/>
              <w:szCs w:val="32"/>
            </w:rPr>
            <w:t>目</w:t>
          </w:r>
          <w:r>
            <w:rPr>
              <w:rFonts w:hint="eastAsia" w:ascii="黑体" w:hAnsi="黑体" w:eastAsia="黑体" w:cs="黑体"/>
              <w:sz w:val="32"/>
              <w:szCs w:val="32"/>
              <w:lang w:eastAsia="zh-CN"/>
            </w:rPr>
            <w:t xml:space="preserve"> 录</w:t>
          </w:r>
        </w:p>
        <w:p w14:paraId="0A879EEA">
          <w:pPr>
            <w:pStyle w:val="10"/>
            <w:tabs>
              <w:tab w:val="right" w:leader="dot" w:pos="8640"/>
            </w:tabs>
          </w:pPr>
          <w:r>
            <w:rPr>
              <w:rFonts w:ascii="Times New Roman" w:hAnsi="Times New Roman" w:eastAsiaTheme="majorEastAsia"/>
              <w:spacing w:val="320"/>
              <w:sz w:val="32"/>
              <w:szCs w:val="20"/>
            </w:rPr>
            <w:fldChar w:fldCharType="begin"/>
          </w:r>
          <w:r>
            <w:rPr>
              <w:rFonts w:ascii="Times New Roman" w:hAnsi="Times New Roman" w:eastAsiaTheme="majorEastAsia"/>
              <w:spacing w:val="320"/>
              <w:sz w:val="32"/>
              <w:szCs w:val="20"/>
            </w:rPr>
            <w:instrText xml:space="preserve">TOC \o "1-3" \h \u </w:instrText>
          </w:r>
          <w:r>
            <w:rPr>
              <w:rFonts w:ascii="Times New Roman" w:hAnsi="Times New Roman" w:eastAsiaTheme="majorEastAsia"/>
              <w:spacing w:val="320"/>
              <w:sz w:val="32"/>
              <w:szCs w:val="20"/>
            </w:rPr>
            <w:fldChar w:fldCharType="separate"/>
          </w:r>
          <w:r>
            <w:rPr>
              <w:rFonts w:hint="eastAsia" w:ascii="黑体" w:hAnsi="黑体" w:eastAsia="黑体" w:cs="黑体"/>
              <w:bCs/>
              <w:kern w:val="44"/>
              <w:szCs w:val="44"/>
              <w:lang w:eastAsia="zh-CN"/>
            </w:rPr>
            <w:fldChar w:fldCharType="begin"/>
          </w:r>
          <w:r>
            <w:rPr>
              <w:rFonts w:hint="eastAsia" w:ascii="黑体" w:hAnsi="黑体" w:eastAsia="黑体" w:cs="黑体"/>
              <w:bCs/>
              <w:kern w:val="44"/>
              <w:szCs w:val="44"/>
              <w:lang w:eastAsia="zh-CN"/>
            </w:rPr>
            <w:instrText xml:space="preserve"> HYPERLINK \l _Toc2086666846 </w:instrText>
          </w:r>
          <w:r>
            <w:rPr>
              <w:rFonts w:hint="eastAsia" w:ascii="黑体" w:hAnsi="黑体" w:eastAsia="黑体" w:cs="黑体"/>
              <w:bCs/>
              <w:kern w:val="44"/>
              <w:szCs w:val="44"/>
              <w:lang w:eastAsia="zh-CN"/>
            </w:rPr>
            <w:fldChar w:fldCharType="separate"/>
          </w:r>
          <w:r>
            <w:rPr>
              <w:rFonts w:hint="eastAsia" w:ascii="黑体" w:hAnsi="黑体" w:eastAsia="黑体" w:cs="黑体"/>
              <w:bCs/>
              <w:kern w:val="44"/>
              <w:szCs w:val="44"/>
              <w:lang w:val="en-US" w:eastAsia="zh-CN"/>
            </w:rPr>
            <w:t>前言</w:t>
          </w:r>
          <w:r>
            <w:rPr>
              <w:rFonts w:hint="eastAsia" w:ascii="黑体" w:hAnsi="黑体" w:eastAsia="黑体" w:cs="黑体"/>
              <w:bCs/>
              <w:kern w:val="44"/>
              <w:szCs w:val="44"/>
              <w:lang w:eastAsia="zh-CN"/>
            </w:rPr>
            <w:tab/>
          </w:r>
          <w:r>
            <w:rPr>
              <w:rFonts w:hint="eastAsia" w:ascii="黑体" w:hAnsi="黑体" w:eastAsia="黑体" w:cs="黑体"/>
              <w:bCs/>
              <w:kern w:val="44"/>
              <w:szCs w:val="44"/>
              <w:lang w:val="en-US" w:eastAsia="zh-CN"/>
            </w:rPr>
            <w:t>2</w:t>
          </w:r>
          <w:r>
            <w:rPr>
              <w:rFonts w:hint="eastAsia" w:ascii="黑体" w:hAnsi="黑体" w:eastAsia="黑体" w:cs="黑体"/>
              <w:bCs/>
              <w:kern w:val="44"/>
              <w:szCs w:val="44"/>
              <w:lang w:eastAsia="zh-CN"/>
            </w:rPr>
            <w:fldChar w:fldCharType="end"/>
          </w:r>
        </w:p>
        <w:p w14:paraId="0188B898">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_Toc54241565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1 范围</w:t>
          </w:r>
          <w:r>
            <w:tab/>
          </w:r>
          <w:r>
            <w:fldChar w:fldCharType="begin"/>
          </w:r>
          <w:r>
            <w:instrText xml:space="preserve"> PAGEREF _Toc54241565 \h </w:instrText>
          </w:r>
          <w:r>
            <w:fldChar w:fldCharType="separate"/>
          </w:r>
          <w:r>
            <w:t>3</w:t>
          </w:r>
          <w:r>
            <w:fldChar w:fldCharType="end"/>
          </w:r>
          <w:r>
            <w:rPr>
              <w:rFonts w:ascii="Times New Roman" w:hAnsi="Times New Roman" w:cs="Times New Roman" w:eastAsiaTheme="majorEastAsia"/>
              <w:spacing w:val="320"/>
              <w:szCs w:val="20"/>
              <w:lang w:eastAsia="zh-CN"/>
            </w:rPr>
            <w:fldChar w:fldCharType="end"/>
          </w:r>
        </w:p>
        <w:p w14:paraId="76161BC5">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_Toc1104916627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2 规范性引用文件</w:t>
          </w:r>
          <w:r>
            <w:tab/>
          </w:r>
          <w:r>
            <w:fldChar w:fldCharType="begin"/>
          </w:r>
          <w:r>
            <w:instrText xml:space="preserve"> PAGEREF _Toc1104916627 \h </w:instrText>
          </w:r>
          <w:r>
            <w:fldChar w:fldCharType="separate"/>
          </w:r>
          <w:r>
            <w:t>3</w:t>
          </w:r>
          <w:r>
            <w:fldChar w:fldCharType="end"/>
          </w:r>
          <w:r>
            <w:rPr>
              <w:rFonts w:ascii="Times New Roman" w:hAnsi="Times New Roman" w:cs="Times New Roman" w:eastAsiaTheme="majorEastAsia"/>
              <w:spacing w:val="320"/>
              <w:szCs w:val="20"/>
              <w:lang w:eastAsia="zh-CN"/>
            </w:rPr>
            <w:fldChar w:fldCharType="end"/>
          </w:r>
        </w:p>
        <w:p w14:paraId="7161D016">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_Toc1042654380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3 术语和定义</w:t>
          </w:r>
          <w:r>
            <w:tab/>
          </w:r>
          <w:r>
            <w:fldChar w:fldCharType="begin"/>
          </w:r>
          <w:r>
            <w:instrText xml:space="preserve"> PAGEREF _Toc1042654380 \h </w:instrText>
          </w:r>
          <w:r>
            <w:fldChar w:fldCharType="separate"/>
          </w:r>
          <w:r>
            <w:t>4</w:t>
          </w:r>
          <w:r>
            <w:fldChar w:fldCharType="end"/>
          </w:r>
          <w:r>
            <w:rPr>
              <w:rFonts w:ascii="Times New Roman" w:hAnsi="Times New Roman" w:cs="Times New Roman" w:eastAsiaTheme="majorEastAsia"/>
              <w:spacing w:val="320"/>
              <w:szCs w:val="20"/>
              <w:lang w:eastAsia="zh-CN"/>
            </w:rPr>
            <w:fldChar w:fldCharType="end"/>
          </w:r>
        </w:p>
        <w:p w14:paraId="02135FDF">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_Toc425605140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4 量化目的</w:t>
          </w:r>
          <w:r>
            <w:tab/>
          </w:r>
          <w:r>
            <w:fldChar w:fldCharType="begin"/>
          </w:r>
          <w:r>
            <w:instrText xml:space="preserve"> PAGEREF _Toc425605140 \h </w:instrText>
          </w:r>
          <w:r>
            <w:fldChar w:fldCharType="separate"/>
          </w:r>
          <w:r>
            <w:t>7</w:t>
          </w:r>
          <w:r>
            <w:fldChar w:fldCharType="end"/>
          </w:r>
          <w:r>
            <w:rPr>
              <w:rFonts w:ascii="Times New Roman" w:hAnsi="Times New Roman" w:cs="Times New Roman" w:eastAsiaTheme="majorEastAsia"/>
              <w:spacing w:val="320"/>
              <w:szCs w:val="20"/>
              <w:lang w:eastAsia="zh-CN"/>
            </w:rPr>
            <w:fldChar w:fldCharType="end"/>
          </w:r>
        </w:p>
        <w:p w14:paraId="27054525">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_Toc2025043470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5 量化范围</w:t>
          </w:r>
          <w:r>
            <w:tab/>
          </w:r>
          <w:r>
            <w:fldChar w:fldCharType="begin"/>
          </w:r>
          <w:r>
            <w:instrText xml:space="preserve"> PAGEREF _Toc2025043470 \h </w:instrText>
          </w:r>
          <w:r>
            <w:fldChar w:fldCharType="separate"/>
          </w:r>
          <w:r>
            <w:t>7</w:t>
          </w:r>
          <w:r>
            <w:fldChar w:fldCharType="end"/>
          </w:r>
          <w:r>
            <w:rPr>
              <w:rFonts w:ascii="Times New Roman" w:hAnsi="Times New Roman" w:cs="Times New Roman" w:eastAsiaTheme="majorEastAsia"/>
              <w:spacing w:val="320"/>
              <w:szCs w:val="20"/>
              <w:lang w:eastAsia="zh-CN"/>
            </w:rPr>
            <w:fldChar w:fldCharType="end"/>
          </w:r>
        </w:p>
        <w:p w14:paraId="21A2060C">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_Toc1584762634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5.1 产品描述</w:t>
          </w:r>
          <w:r>
            <w:tab/>
          </w:r>
          <w:r>
            <w:fldChar w:fldCharType="begin"/>
          </w:r>
          <w:r>
            <w:instrText xml:space="preserve"> PAGEREF _Toc1584762634 \h </w:instrText>
          </w:r>
          <w:r>
            <w:fldChar w:fldCharType="separate"/>
          </w:r>
          <w:r>
            <w:t>7</w:t>
          </w:r>
          <w:r>
            <w:fldChar w:fldCharType="end"/>
          </w:r>
          <w:r>
            <w:rPr>
              <w:rFonts w:ascii="Times New Roman" w:hAnsi="Times New Roman" w:cs="Times New Roman" w:eastAsiaTheme="majorEastAsia"/>
              <w:spacing w:val="320"/>
              <w:szCs w:val="20"/>
              <w:lang w:eastAsia="zh-CN"/>
            </w:rPr>
            <w:fldChar w:fldCharType="end"/>
          </w:r>
        </w:p>
        <w:p w14:paraId="41EC61DF">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_Toc2013399544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5.2 声明单位</w:t>
          </w:r>
          <w:r>
            <w:tab/>
          </w:r>
          <w:r>
            <w:fldChar w:fldCharType="begin"/>
          </w:r>
          <w:r>
            <w:instrText xml:space="preserve"> PAGEREF _Toc2013399544 \h </w:instrText>
          </w:r>
          <w:r>
            <w:fldChar w:fldCharType="separate"/>
          </w:r>
          <w:r>
            <w:t>7</w:t>
          </w:r>
          <w:r>
            <w:fldChar w:fldCharType="end"/>
          </w:r>
          <w:r>
            <w:rPr>
              <w:rFonts w:ascii="Times New Roman" w:hAnsi="Times New Roman" w:cs="Times New Roman" w:eastAsiaTheme="majorEastAsia"/>
              <w:spacing w:val="320"/>
              <w:szCs w:val="20"/>
              <w:lang w:eastAsia="zh-CN"/>
            </w:rPr>
            <w:fldChar w:fldCharType="end"/>
          </w:r>
        </w:p>
        <w:p w14:paraId="74DA5D43">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_Toc1306310229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5.3 系统边界</w:t>
          </w:r>
          <w:r>
            <w:tab/>
          </w:r>
          <w:r>
            <w:fldChar w:fldCharType="begin"/>
          </w:r>
          <w:r>
            <w:instrText xml:space="preserve"> PAGEREF _Toc1306310229 \h </w:instrText>
          </w:r>
          <w:r>
            <w:fldChar w:fldCharType="separate"/>
          </w:r>
          <w:r>
            <w:t>7</w:t>
          </w:r>
          <w:r>
            <w:fldChar w:fldCharType="end"/>
          </w:r>
          <w:r>
            <w:rPr>
              <w:rFonts w:ascii="Times New Roman" w:hAnsi="Times New Roman" w:cs="Times New Roman" w:eastAsiaTheme="majorEastAsia"/>
              <w:spacing w:val="320"/>
              <w:szCs w:val="20"/>
              <w:lang w:eastAsia="zh-CN"/>
            </w:rPr>
            <w:fldChar w:fldCharType="end"/>
          </w:r>
        </w:p>
        <w:p w14:paraId="2372142F">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_Toc1430695522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6 数据和</w:t>
          </w:r>
          <w:r>
            <w:rPr>
              <w:rFonts w:hint="eastAsia" w:ascii="黑体" w:hAnsi="黑体" w:eastAsia="黑体" w:cs="黑体"/>
              <w:bCs/>
              <w:kern w:val="44"/>
              <w:szCs w:val="44"/>
              <w:lang w:val="en-US" w:eastAsia="zh-CN"/>
            </w:rPr>
            <w:t>数据</w:t>
          </w:r>
          <w:r>
            <w:rPr>
              <w:rFonts w:hint="eastAsia" w:ascii="黑体" w:hAnsi="黑体" w:eastAsia="黑体" w:cs="黑体"/>
              <w:bCs/>
              <w:kern w:val="44"/>
              <w:szCs w:val="44"/>
              <w:lang w:eastAsia="zh-CN"/>
            </w:rPr>
            <w:t>质量</w:t>
          </w:r>
          <w:r>
            <w:tab/>
          </w:r>
          <w:r>
            <w:fldChar w:fldCharType="begin"/>
          </w:r>
          <w:r>
            <w:instrText xml:space="preserve"> PAGEREF _Toc1430695522 \h </w:instrText>
          </w:r>
          <w:r>
            <w:fldChar w:fldCharType="separate"/>
          </w:r>
          <w:r>
            <w:t>12</w:t>
          </w:r>
          <w:r>
            <w:fldChar w:fldCharType="end"/>
          </w:r>
          <w:r>
            <w:rPr>
              <w:rFonts w:ascii="Times New Roman" w:hAnsi="Times New Roman" w:cs="Times New Roman" w:eastAsiaTheme="majorEastAsia"/>
              <w:spacing w:val="320"/>
              <w:szCs w:val="20"/>
              <w:lang w:eastAsia="zh-CN"/>
            </w:rPr>
            <w:fldChar w:fldCharType="end"/>
          </w:r>
        </w:p>
        <w:p w14:paraId="16CBE63A">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_Toc325242795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6.1 数据描述</w:t>
          </w:r>
          <w:r>
            <w:tab/>
          </w:r>
          <w:r>
            <w:fldChar w:fldCharType="begin"/>
          </w:r>
          <w:r>
            <w:instrText xml:space="preserve"> PAGEREF _Toc325242795 \h </w:instrText>
          </w:r>
          <w:r>
            <w:fldChar w:fldCharType="separate"/>
          </w:r>
          <w:r>
            <w:t>12</w:t>
          </w:r>
          <w:r>
            <w:fldChar w:fldCharType="end"/>
          </w:r>
          <w:r>
            <w:rPr>
              <w:rFonts w:ascii="Times New Roman" w:hAnsi="Times New Roman" w:cs="Times New Roman" w:eastAsiaTheme="majorEastAsia"/>
              <w:spacing w:val="320"/>
              <w:szCs w:val="20"/>
              <w:lang w:eastAsia="zh-CN"/>
            </w:rPr>
            <w:fldChar w:fldCharType="end"/>
          </w:r>
        </w:p>
        <w:p w14:paraId="733A0286">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_Toc1009773950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6.2 数据质量要求</w:t>
          </w:r>
          <w:r>
            <w:tab/>
          </w:r>
          <w:r>
            <w:fldChar w:fldCharType="begin"/>
          </w:r>
          <w:r>
            <w:instrText xml:space="preserve"> PAGEREF _Toc1009773950 \h </w:instrText>
          </w:r>
          <w:r>
            <w:fldChar w:fldCharType="separate"/>
          </w:r>
          <w:r>
            <w:t>13</w:t>
          </w:r>
          <w:r>
            <w:fldChar w:fldCharType="end"/>
          </w:r>
          <w:r>
            <w:rPr>
              <w:rFonts w:ascii="Times New Roman" w:hAnsi="Times New Roman" w:cs="Times New Roman" w:eastAsiaTheme="majorEastAsia"/>
              <w:spacing w:val="320"/>
              <w:szCs w:val="20"/>
              <w:lang w:eastAsia="zh-CN"/>
            </w:rPr>
            <w:fldChar w:fldCharType="end"/>
          </w:r>
        </w:p>
        <w:p w14:paraId="5AF2761C">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_Toc1854999056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val="en-US" w:eastAsia="zh-CN"/>
            </w:rPr>
            <w:t>6.4</w:t>
          </w:r>
          <w:r>
            <w:rPr>
              <w:rFonts w:hint="eastAsia" w:ascii="黑体" w:hAnsi="黑体" w:eastAsia="黑体" w:cs="黑体"/>
              <w:bCs/>
              <w:kern w:val="44"/>
              <w:szCs w:val="44"/>
              <w:lang w:eastAsia="zh-CN"/>
            </w:rPr>
            <w:t xml:space="preserve"> 数据审定</w:t>
          </w:r>
          <w:r>
            <w:tab/>
          </w:r>
          <w:r>
            <w:fldChar w:fldCharType="begin"/>
          </w:r>
          <w:r>
            <w:instrText xml:space="preserve"> PAGEREF _Toc1854999056 \h </w:instrText>
          </w:r>
          <w:r>
            <w:fldChar w:fldCharType="separate"/>
          </w:r>
          <w:r>
            <w:t>14</w:t>
          </w:r>
          <w:r>
            <w:fldChar w:fldCharType="end"/>
          </w:r>
          <w:r>
            <w:rPr>
              <w:rFonts w:ascii="Times New Roman" w:hAnsi="Times New Roman" w:cs="Times New Roman" w:eastAsiaTheme="majorEastAsia"/>
              <w:spacing w:val="320"/>
              <w:szCs w:val="20"/>
              <w:lang w:eastAsia="zh-CN"/>
            </w:rPr>
            <w:fldChar w:fldCharType="end"/>
          </w:r>
        </w:p>
        <w:p w14:paraId="489D6B1D">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_Toc1949030693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7 生命周期清单分析</w:t>
          </w:r>
          <w:r>
            <w:tab/>
          </w:r>
          <w:r>
            <w:fldChar w:fldCharType="begin"/>
          </w:r>
          <w:r>
            <w:instrText xml:space="preserve"> PAGEREF _Toc1949030693 \h </w:instrText>
          </w:r>
          <w:r>
            <w:fldChar w:fldCharType="separate"/>
          </w:r>
          <w:r>
            <w:t>14</w:t>
          </w:r>
          <w:r>
            <w:fldChar w:fldCharType="end"/>
          </w:r>
          <w:r>
            <w:rPr>
              <w:rFonts w:ascii="Times New Roman" w:hAnsi="Times New Roman" w:cs="Times New Roman" w:eastAsiaTheme="majorEastAsia"/>
              <w:spacing w:val="320"/>
              <w:szCs w:val="20"/>
              <w:lang w:eastAsia="zh-CN"/>
            </w:rPr>
            <w:fldChar w:fldCharType="end"/>
          </w:r>
        </w:p>
        <w:p w14:paraId="2A9FBC32">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_Toc1790789560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7.1 数据收集</w:t>
          </w:r>
          <w:r>
            <w:tab/>
          </w:r>
          <w:r>
            <w:fldChar w:fldCharType="begin"/>
          </w:r>
          <w:r>
            <w:instrText xml:space="preserve"> PAGEREF _Toc1790789560 \h </w:instrText>
          </w:r>
          <w:r>
            <w:fldChar w:fldCharType="separate"/>
          </w:r>
          <w:r>
            <w:t>14</w:t>
          </w:r>
          <w:r>
            <w:fldChar w:fldCharType="end"/>
          </w:r>
          <w:r>
            <w:rPr>
              <w:rFonts w:ascii="Times New Roman" w:hAnsi="Times New Roman" w:cs="Times New Roman" w:eastAsiaTheme="majorEastAsia"/>
              <w:spacing w:val="320"/>
              <w:szCs w:val="20"/>
              <w:lang w:eastAsia="zh-CN"/>
            </w:rPr>
            <w:fldChar w:fldCharType="end"/>
          </w:r>
        </w:p>
        <w:p w14:paraId="11524F3C">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_Toc816822215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7.3 数据分配</w:t>
          </w:r>
          <w:r>
            <w:tab/>
          </w:r>
          <w:r>
            <w:fldChar w:fldCharType="begin"/>
          </w:r>
          <w:r>
            <w:instrText xml:space="preserve"> PAGEREF _Toc816822215 \h </w:instrText>
          </w:r>
          <w:r>
            <w:fldChar w:fldCharType="separate"/>
          </w:r>
          <w:r>
            <w:t>17</w:t>
          </w:r>
          <w:r>
            <w:fldChar w:fldCharType="end"/>
          </w:r>
          <w:r>
            <w:rPr>
              <w:rFonts w:ascii="Times New Roman" w:hAnsi="Times New Roman" w:cs="Times New Roman" w:eastAsiaTheme="majorEastAsia"/>
              <w:spacing w:val="320"/>
              <w:szCs w:val="20"/>
              <w:lang w:eastAsia="zh-CN"/>
            </w:rPr>
            <w:fldChar w:fldCharType="end"/>
          </w:r>
        </w:p>
        <w:p w14:paraId="58E84C84">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_Toc1615495881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7.4 数据取舍原则</w:t>
          </w:r>
          <w:r>
            <w:tab/>
          </w:r>
          <w:r>
            <w:fldChar w:fldCharType="begin"/>
          </w:r>
          <w:r>
            <w:instrText xml:space="preserve"> PAGEREF _Toc1615495881 \h </w:instrText>
          </w:r>
          <w:r>
            <w:fldChar w:fldCharType="separate"/>
          </w:r>
          <w:r>
            <w:t>17</w:t>
          </w:r>
          <w:r>
            <w:fldChar w:fldCharType="end"/>
          </w:r>
          <w:r>
            <w:rPr>
              <w:rFonts w:ascii="Times New Roman" w:hAnsi="Times New Roman" w:cs="Times New Roman" w:eastAsiaTheme="majorEastAsia"/>
              <w:spacing w:val="320"/>
              <w:szCs w:val="20"/>
              <w:lang w:eastAsia="zh-CN"/>
            </w:rPr>
            <w:fldChar w:fldCharType="end"/>
          </w:r>
        </w:p>
        <w:p w14:paraId="351D87C6">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_Toc1003522946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7.5 清单计算</w:t>
          </w:r>
          <w:r>
            <w:tab/>
          </w:r>
          <w:r>
            <w:fldChar w:fldCharType="begin"/>
          </w:r>
          <w:r>
            <w:instrText xml:space="preserve"> PAGEREF _Toc1003522946 \h </w:instrText>
          </w:r>
          <w:r>
            <w:fldChar w:fldCharType="separate"/>
          </w:r>
          <w:r>
            <w:t>18</w:t>
          </w:r>
          <w:r>
            <w:fldChar w:fldCharType="end"/>
          </w:r>
          <w:r>
            <w:rPr>
              <w:rFonts w:ascii="Times New Roman" w:hAnsi="Times New Roman" w:cs="Times New Roman" w:eastAsiaTheme="majorEastAsia"/>
              <w:spacing w:val="320"/>
              <w:szCs w:val="20"/>
              <w:lang w:eastAsia="zh-CN"/>
            </w:rPr>
            <w:fldChar w:fldCharType="end"/>
          </w:r>
        </w:p>
        <w:p w14:paraId="1F29549D">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_Toc2021073531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8 产品碳足迹影响评价</w:t>
          </w:r>
          <w:r>
            <w:tab/>
          </w:r>
          <w:r>
            <w:fldChar w:fldCharType="begin"/>
          </w:r>
          <w:r>
            <w:instrText xml:space="preserve"> PAGEREF _Toc2021073531 \h </w:instrText>
          </w:r>
          <w:r>
            <w:fldChar w:fldCharType="separate"/>
          </w:r>
          <w:r>
            <w:t>18</w:t>
          </w:r>
          <w:r>
            <w:fldChar w:fldCharType="end"/>
          </w:r>
          <w:r>
            <w:rPr>
              <w:rFonts w:ascii="Times New Roman" w:hAnsi="Times New Roman" w:cs="Times New Roman" w:eastAsiaTheme="majorEastAsia"/>
              <w:spacing w:val="320"/>
              <w:szCs w:val="20"/>
              <w:lang w:eastAsia="zh-CN"/>
            </w:rPr>
            <w:fldChar w:fldCharType="end"/>
          </w:r>
        </w:p>
        <w:p w14:paraId="157067C9">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_Toc1433990918 </w:instrText>
          </w:r>
          <w:r>
            <w:rPr>
              <w:rFonts w:ascii="Times New Roman" w:hAnsi="Times New Roman" w:cs="Times New Roman" w:eastAsiaTheme="majorEastAsia"/>
              <w:spacing w:val="320"/>
              <w:szCs w:val="20"/>
              <w:lang w:eastAsia="zh-CN"/>
            </w:rPr>
            <w:fldChar w:fldCharType="separate"/>
          </w:r>
          <w:r>
            <w:rPr>
              <w:rFonts w:ascii="黑体" w:hAnsi="黑体" w:eastAsia="黑体" w:cs="黑体"/>
              <w:bCs/>
              <w:kern w:val="44"/>
              <w:szCs w:val="44"/>
              <w:lang w:eastAsia="zh-CN"/>
            </w:rPr>
            <w:t xml:space="preserve">8.1 </w:t>
          </w:r>
          <w:r>
            <w:rPr>
              <w:rFonts w:hint="eastAsia" w:ascii="黑体" w:hAnsi="黑体" w:eastAsia="黑体" w:cs="黑体"/>
              <w:bCs/>
              <w:kern w:val="44"/>
              <w:szCs w:val="44"/>
              <w:lang w:eastAsia="zh-CN"/>
            </w:rPr>
            <w:t>通则</w:t>
          </w:r>
          <w:r>
            <w:tab/>
          </w:r>
          <w:r>
            <w:fldChar w:fldCharType="begin"/>
          </w:r>
          <w:r>
            <w:instrText xml:space="preserve"> PAGEREF _Toc1433990918 \h </w:instrText>
          </w:r>
          <w:r>
            <w:fldChar w:fldCharType="separate"/>
          </w:r>
          <w:r>
            <w:t>18</w:t>
          </w:r>
          <w:r>
            <w:fldChar w:fldCharType="end"/>
          </w:r>
          <w:r>
            <w:rPr>
              <w:rFonts w:ascii="Times New Roman" w:hAnsi="Times New Roman" w:cs="Times New Roman" w:eastAsiaTheme="majorEastAsia"/>
              <w:spacing w:val="320"/>
              <w:szCs w:val="20"/>
              <w:lang w:eastAsia="zh-CN"/>
            </w:rPr>
            <w:fldChar w:fldCharType="end"/>
          </w:r>
        </w:p>
        <w:p w14:paraId="7BF11D67">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_Toc2023872192 </w:instrText>
          </w:r>
          <w:r>
            <w:rPr>
              <w:rFonts w:ascii="Times New Roman" w:hAnsi="Times New Roman" w:cs="Times New Roman" w:eastAsiaTheme="majorEastAsia"/>
              <w:spacing w:val="320"/>
              <w:szCs w:val="20"/>
              <w:lang w:eastAsia="zh-CN"/>
            </w:rPr>
            <w:fldChar w:fldCharType="separate"/>
          </w:r>
          <w:r>
            <w:rPr>
              <w:rFonts w:ascii="黑体" w:hAnsi="黑体" w:eastAsia="黑体" w:cs="黑体"/>
              <w:bCs/>
              <w:kern w:val="44"/>
              <w:szCs w:val="44"/>
              <w:lang w:eastAsia="zh-CN"/>
            </w:rPr>
            <w:t xml:space="preserve">8.2 </w:t>
          </w:r>
          <w:r>
            <w:rPr>
              <w:rFonts w:hint="eastAsia" w:ascii="黑体" w:hAnsi="黑体" w:eastAsia="黑体" w:cs="黑体"/>
              <w:bCs/>
              <w:kern w:val="44"/>
              <w:szCs w:val="44"/>
              <w:lang w:eastAsia="zh-CN"/>
            </w:rPr>
            <w:t>产品碳足迹计算方法</w:t>
          </w:r>
          <w:r>
            <w:tab/>
          </w:r>
          <w:r>
            <w:fldChar w:fldCharType="begin"/>
          </w:r>
          <w:r>
            <w:instrText xml:space="preserve"> PAGEREF _Toc2023872192 \h </w:instrText>
          </w:r>
          <w:r>
            <w:fldChar w:fldCharType="separate"/>
          </w:r>
          <w:r>
            <w:t>18</w:t>
          </w:r>
          <w:r>
            <w:fldChar w:fldCharType="end"/>
          </w:r>
          <w:r>
            <w:rPr>
              <w:rFonts w:ascii="Times New Roman" w:hAnsi="Times New Roman" w:cs="Times New Roman" w:eastAsiaTheme="majorEastAsia"/>
              <w:spacing w:val="320"/>
              <w:szCs w:val="20"/>
              <w:lang w:eastAsia="zh-CN"/>
            </w:rPr>
            <w:fldChar w:fldCharType="end"/>
          </w:r>
        </w:p>
        <w:p w14:paraId="4BA9C38D">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_Toc1226446111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9 产品碳足迹结果解释</w:t>
          </w:r>
          <w:r>
            <w:tab/>
          </w:r>
          <w:r>
            <w:fldChar w:fldCharType="begin"/>
          </w:r>
          <w:r>
            <w:instrText xml:space="preserve"> PAGEREF _Toc1226446111 \h </w:instrText>
          </w:r>
          <w:r>
            <w:fldChar w:fldCharType="separate"/>
          </w:r>
          <w:r>
            <w:t>19</w:t>
          </w:r>
          <w:r>
            <w:fldChar w:fldCharType="end"/>
          </w:r>
          <w:r>
            <w:rPr>
              <w:rFonts w:ascii="Times New Roman" w:hAnsi="Times New Roman" w:cs="Times New Roman" w:eastAsiaTheme="majorEastAsia"/>
              <w:spacing w:val="320"/>
              <w:szCs w:val="20"/>
              <w:lang w:eastAsia="zh-CN"/>
            </w:rPr>
            <w:fldChar w:fldCharType="end"/>
          </w:r>
        </w:p>
        <w:p w14:paraId="14AE3F10">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_Toc1331743671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10 产品碳足迹报告</w:t>
          </w:r>
          <w:r>
            <w:tab/>
          </w:r>
          <w:r>
            <w:fldChar w:fldCharType="begin"/>
          </w:r>
          <w:r>
            <w:instrText xml:space="preserve"> PAGEREF _Toc1331743671 \h </w:instrText>
          </w:r>
          <w:r>
            <w:fldChar w:fldCharType="separate"/>
          </w:r>
          <w:r>
            <w:t>19</w:t>
          </w:r>
          <w:r>
            <w:fldChar w:fldCharType="end"/>
          </w:r>
          <w:r>
            <w:rPr>
              <w:rFonts w:ascii="Times New Roman" w:hAnsi="Times New Roman" w:cs="Times New Roman" w:eastAsiaTheme="majorEastAsia"/>
              <w:spacing w:val="320"/>
              <w:szCs w:val="20"/>
              <w:lang w:eastAsia="zh-CN"/>
            </w:rPr>
            <w:fldChar w:fldCharType="end"/>
          </w:r>
        </w:p>
        <w:p w14:paraId="48E5F232">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_Toc1541309463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 xml:space="preserve">附录 </w:t>
          </w:r>
          <w:r>
            <w:rPr>
              <w:rFonts w:ascii="黑体" w:hAnsi="黑体" w:eastAsia="黑体" w:cs="黑体"/>
              <w:bCs/>
              <w:kern w:val="44"/>
              <w:szCs w:val="44"/>
              <w:lang w:eastAsia="zh-CN"/>
            </w:rPr>
            <w:t>A</w:t>
          </w:r>
          <w:r>
            <w:tab/>
          </w:r>
          <w:r>
            <w:fldChar w:fldCharType="begin"/>
          </w:r>
          <w:r>
            <w:instrText xml:space="preserve"> PAGEREF _Toc1541309463 \h </w:instrText>
          </w:r>
          <w:r>
            <w:fldChar w:fldCharType="separate"/>
          </w:r>
          <w:r>
            <w:t>21</w:t>
          </w:r>
          <w:r>
            <w:fldChar w:fldCharType="end"/>
          </w:r>
          <w:r>
            <w:rPr>
              <w:rFonts w:ascii="Times New Roman" w:hAnsi="Times New Roman" w:cs="Times New Roman" w:eastAsiaTheme="majorEastAsia"/>
              <w:spacing w:val="320"/>
              <w:szCs w:val="20"/>
              <w:lang w:eastAsia="zh-CN"/>
            </w:rPr>
            <w:fldChar w:fldCharType="end"/>
          </w:r>
        </w:p>
        <w:p w14:paraId="16F8C3AA">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_Toc1840394527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附录 B</w:t>
          </w:r>
          <w:r>
            <w:tab/>
          </w:r>
          <w:r>
            <w:fldChar w:fldCharType="begin"/>
          </w:r>
          <w:r>
            <w:instrText xml:space="preserve"> PAGEREF _Toc1840394527 \h </w:instrText>
          </w:r>
          <w:r>
            <w:fldChar w:fldCharType="separate"/>
          </w:r>
          <w:r>
            <w:t>23</w:t>
          </w:r>
          <w:r>
            <w:fldChar w:fldCharType="end"/>
          </w:r>
          <w:r>
            <w:rPr>
              <w:rFonts w:ascii="Times New Roman" w:hAnsi="Times New Roman" w:cs="Times New Roman" w:eastAsiaTheme="majorEastAsia"/>
              <w:spacing w:val="320"/>
              <w:szCs w:val="20"/>
              <w:lang w:eastAsia="zh-CN"/>
            </w:rPr>
            <w:fldChar w:fldCharType="end"/>
          </w:r>
        </w:p>
        <w:p w14:paraId="64DDA773">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_Toc1303847548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附录 C</w:t>
          </w:r>
          <w:r>
            <w:tab/>
          </w:r>
          <w:r>
            <w:fldChar w:fldCharType="begin"/>
          </w:r>
          <w:r>
            <w:instrText xml:space="preserve"> PAGEREF _Toc1303847548 \h </w:instrText>
          </w:r>
          <w:r>
            <w:fldChar w:fldCharType="separate"/>
          </w:r>
          <w:r>
            <w:t>25</w:t>
          </w:r>
          <w:r>
            <w:fldChar w:fldCharType="end"/>
          </w:r>
          <w:r>
            <w:rPr>
              <w:rFonts w:ascii="Times New Roman" w:hAnsi="Times New Roman" w:cs="Times New Roman" w:eastAsiaTheme="majorEastAsia"/>
              <w:spacing w:val="320"/>
              <w:szCs w:val="20"/>
              <w:lang w:eastAsia="zh-CN"/>
            </w:rPr>
            <w:fldChar w:fldCharType="end"/>
          </w:r>
        </w:p>
        <w:p w14:paraId="34167E43">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_Toc842605248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附录 D</w:t>
          </w:r>
          <w:r>
            <w:tab/>
          </w:r>
          <w:r>
            <w:fldChar w:fldCharType="begin"/>
          </w:r>
          <w:r>
            <w:instrText xml:space="preserve"> PAGEREF _Toc842605248 \h </w:instrText>
          </w:r>
          <w:r>
            <w:fldChar w:fldCharType="separate"/>
          </w:r>
          <w:r>
            <w:t>29</w:t>
          </w:r>
          <w:r>
            <w:fldChar w:fldCharType="end"/>
          </w:r>
          <w:r>
            <w:rPr>
              <w:rFonts w:ascii="Times New Roman" w:hAnsi="Times New Roman" w:cs="Times New Roman" w:eastAsiaTheme="majorEastAsia"/>
              <w:spacing w:val="320"/>
              <w:szCs w:val="20"/>
              <w:lang w:eastAsia="zh-CN"/>
            </w:rPr>
            <w:fldChar w:fldCharType="end"/>
          </w:r>
        </w:p>
        <w:p w14:paraId="32F49228">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_Toc1159234818 </w:instrText>
          </w:r>
          <w:r>
            <w:rPr>
              <w:rFonts w:ascii="Times New Roman" w:hAnsi="Times New Roman" w:cs="Times New Roman" w:eastAsiaTheme="majorEastAsia"/>
              <w:spacing w:val="320"/>
              <w:szCs w:val="20"/>
              <w:lang w:eastAsia="zh-CN"/>
            </w:rPr>
            <w:fldChar w:fldCharType="separate"/>
          </w:r>
          <w:r>
            <w:rPr>
              <w:rFonts w:hint="eastAsia" w:ascii="黑体" w:hAnsi="黑体" w:eastAsia="黑体" w:cs="黑体"/>
              <w:bCs/>
              <w:kern w:val="44"/>
              <w:szCs w:val="44"/>
              <w:lang w:eastAsia="zh-CN"/>
            </w:rPr>
            <w:t>附录 E</w:t>
          </w:r>
          <w:r>
            <w:tab/>
          </w:r>
          <w:r>
            <w:fldChar w:fldCharType="begin"/>
          </w:r>
          <w:r>
            <w:instrText xml:space="preserve"> PAGEREF _Toc1159234818 \h </w:instrText>
          </w:r>
          <w:r>
            <w:fldChar w:fldCharType="separate"/>
          </w:r>
          <w:r>
            <w:t>30</w:t>
          </w:r>
          <w:r>
            <w:fldChar w:fldCharType="end"/>
          </w:r>
          <w:r>
            <w:rPr>
              <w:rFonts w:ascii="Times New Roman" w:hAnsi="Times New Roman" w:cs="Times New Roman" w:eastAsiaTheme="majorEastAsia"/>
              <w:spacing w:val="320"/>
              <w:szCs w:val="20"/>
              <w:lang w:eastAsia="zh-CN"/>
            </w:rPr>
            <w:fldChar w:fldCharType="end"/>
          </w:r>
        </w:p>
        <w:p w14:paraId="3B19D6F3">
          <w:pPr>
            <w:pStyle w:val="10"/>
            <w:tabs>
              <w:tab w:val="right" w:leader="dot" w:pos="8640"/>
            </w:tabs>
          </w:pPr>
          <w:r>
            <w:rPr>
              <w:rFonts w:ascii="Times New Roman" w:hAnsi="Times New Roman" w:cs="Times New Roman" w:eastAsiaTheme="majorEastAsia"/>
              <w:spacing w:val="320"/>
              <w:szCs w:val="20"/>
              <w:lang w:eastAsia="zh-CN"/>
            </w:rPr>
            <w:fldChar w:fldCharType="begin"/>
          </w:r>
          <w:r>
            <w:rPr>
              <w:rFonts w:ascii="Times New Roman" w:hAnsi="Times New Roman" w:cs="Times New Roman" w:eastAsiaTheme="majorEastAsia"/>
              <w:spacing w:val="320"/>
              <w:szCs w:val="20"/>
              <w:lang w:eastAsia="zh-CN"/>
            </w:rPr>
            <w:instrText xml:space="preserve"> HYPERLINK \l _Toc1287940542 </w:instrText>
          </w:r>
          <w:r>
            <w:rPr>
              <w:rFonts w:ascii="Times New Roman" w:hAnsi="Times New Roman" w:cs="Times New Roman" w:eastAsiaTheme="majorEastAsia"/>
              <w:spacing w:val="320"/>
              <w:szCs w:val="20"/>
              <w:lang w:eastAsia="zh-CN"/>
            </w:rPr>
            <w:fldChar w:fldCharType="separate"/>
          </w:r>
          <w:r>
            <w:rPr>
              <w:rFonts w:hint="eastAsia" w:ascii="黑体" w:hAnsi="宋体" w:eastAsia="黑体" w:cs="Times New Roman"/>
              <w:bCs/>
              <w:kern w:val="2"/>
              <w:szCs w:val="32"/>
              <w:lang w:eastAsia="zh-CN"/>
            </w:rPr>
            <w:t>参考文献</w:t>
          </w:r>
          <w:r>
            <w:tab/>
          </w:r>
          <w:r>
            <w:fldChar w:fldCharType="begin"/>
          </w:r>
          <w:r>
            <w:instrText xml:space="preserve"> PAGEREF _Toc1287940542 \h </w:instrText>
          </w:r>
          <w:r>
            <w:fldChar w:fldCharType="separate"/>
          </w:r>
          <w:r>
            <w:t>34</w:t>
          </w:r>
          <w:r>
            <w:fldChar w:fldCharType="end"/>
          </w:r>
          <w:r>
            <w:rPr>
              <w:rFonts w:ascii="Times New Roman" w:hAnsi="Times New Roman" w:cs="Times New Roman" w:eastAsiaTheme="majorEastAsia"/>
              <w:spacing w:val="320"/>
              <w:szCs w:val="20"/>
              <w:lang w:eastAsia="zh-CN"/>
            </w:rPr>
            <w:fldChar w:fldCharType="end"/>
          </w:r>
        </w:p>
        <w:p w14:paraId="197A7DF8">
          <w:pPr>
            <w:widowControl/>
            <w:shd w:val="clear" w:color="FFFFFF" w:fill="FFFFFF"/>
            <w:spacing w:after="360" w:afterLines="150" w:line="240" w:lineRule="auto"/>
            <w:jc w:val="center"/>
            <w:outlineLvl w:val="0"/>
            <w:rPr>
              <w:rFonts w:ascii="黑体" w:hAnsi="Times New Roman" w:eastAsia="黑体" w:cs="Times New Roman"/>
              <w:spacing w:val="320"/>
              <w:sz w:val="32"/>
              <w:szCs w:val="20"/>
              <w:lang w:eastAsia="zh-CN"/>
            </w:rPr>
            <w:sectPr>
              <w:headerReference r:id="rId10" w:type="default"/>
              <w:footerReference r:id="rId11" w:type="default"/>
              <w:pgSz w:w="11920" w:h="16840"/>
              <w:pgMar w:top="1080" w:right="1600" w:bottom="1180" w:left="1680" w:header="880" w:footer="982" w:gutter="0"/>
              <w:pgNumType w:fmt="decimal" w:start="2"/>
              <w:cols w:space="720" w:num="1"/>
            </w:sectPr>
          </w:pPr>
          <w:r>
            <w:rPr>
              <w:rFonts w:ascii="Times New Roman" w:hAnsi="Times New Roman" w:cs="Times New Roman" w:eastAsiaTheme="majorEastAsia"/>
              <w:spacing w:val="320"/>
              <w:szCs w:val="20"/>
              <w:lang w:eastAsia="zh-CN"/>
            </w:rPr>
            <w:fldChar w:fldCharType="end"/>
          </w:r>
        </w:p>
      </w:sdtContent>
    </w:sdt>
    <w:p w14:paraId="197F872D">
      <w:pPr>
        <w:adjustRightInd w:val="0"/>
        <w:snapToGrid w:val="0"/>
        <w:spacing w:after="0" w:line="360" w:lineRule="auto"/>
        <w:jc w:val="center"/>
        <w:rPr>
          <w:rFonts w:hint="eastAsia" w:ascii="黑体" w:hAnsi="黑体" w:eastAsia="黑体" w:cs="黑体"/>
          <w:kern w:val="2"/>
          <w:sz w:val="32"/>
          <w:szCs w:val="32"/>
          <w:lang w:val="en-US" w:eastAsia="zh-CN"/>
        </w:rPr>
      </w:pPr>
      <w:r>
        <w:rPr>
          <w:rFonts w:hint="eastAsia" w:ascii="黑体" w:hAnsi="黑体" w:eastAsia="黑体" w:cs="黑体"/>
          <w:kern w:val="2"/>
          <w:sz w:val="32"/>
          <w:szCs w:val="32"/>
          <w:lang w:val="en-US" w:eastAsia="zh-CN"/>
        </w:rPr>
        <w:t>前  言</w:t>
      </w:r>
    </w:p>
    <w:p w14:paraId="7AE19DAF">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p>
    <w:p w14:paraId="1812833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ascii="Times New Roman" w:hAnsi="Times New Roman" w:eastAsia="宋体" w:cs="Times New Roman"/>
          <w:kern w:val="2"/>
          <w:sz w:val="21"/>
          <w:szCs w:val="21"/>
          <w:lang w:eastAsia="zh-CN"/>
        </w:rPr>
        <w:t>本</w:t>
      </w:r>
      <w:r>
        <w:rPr>
          <w:rFonts w:hint="eastAsia" w:ascii="Times New Roman" w:hAnsi="Times New Roman" w:eastAsia="宋体" w:cs="Times New Roman"/>
          <w:kern w:val="2"/>
          <w:sz w:val="21"/>
          <w:szCs w:val="21"/>
          <w:lang w:eastAsia="zh-CN"/>
        </w:rPr>
        <w:t>文件</w:t>
      </w:r>
      <w:r>
        <w:rPr>
          <w:rFonts w:ascii="Times New Roman" w:hAnsi="Times New Roman" w:eastAsia="宋体" w:cs="Times New Roman"/>
          <w:kern w:val="2"/>
          <w:sz w:val="21"/>
          <w:szCs w:val="21"/>
          <w:lang w:eastAsia="zh-CN"/>
        </w:rPr>
        <w:t>按照</w:t>
      </w:r>
      <w:r>
        <w:rPr>
          <w:rFonts w:hint="eastAsia" w:ascii="Times New Roman" w:hAnsi="Times New Roman" w:eastAsia="宋体" w:cs="Times New Roman"/>
          <w:kern w:val="2"/>
          <w:sz w:val="21"/>
          <w:szCs w:val="21"/>
          <w:lang w:eastAsia="zh-CN"/>
        </w:rPr>
        <w:t>GB/T 1.1-2020 《标准化工作导则 第1部分：标准化文件的结构和起草规则》的规定起草</w:t>
      </w:r>
      <w:r>
        <w:rPr>
          <w:rFonts w:ascii="Times New Roman" w:hAnsi="Times New Roman" w:eastAsia="宋体" w:cs="Times New Roman"/>
          <w:kern w:val="2"/>
          <w:sz w:val="21"/>
          <w:szCs w:val="21"/>
          <w:lang w:eastAsia="zh-CN"/>
        </w:rPr>
        <w:t>。</w:t>
      </w:r>
    </w:p>
    <w:p w14:paraId="6FF68C3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请注意本文件的某些内容可能涉及专利。本文件的发布机构不承担识别专利的责任。</w:t>
      </w:r>
    </w:p>
    <w:p w14:paraId="19410E95">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本文件由中国有色金属工业协会、中国有色金属学会提出。</w:t>
      </w:r>
    </w:p>
    <w:p w14:paraId="6FD91AA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ascii="Times New Roman" w:hAnsi="Times New Roman" w:eastAsia="宋体" w:cs="Times New Roman"/>
          <w:kern w:val="2"/>
          <w:sz w:val="21"/>
          <w:szCs w:val="21"/>
          <w:lang w:eastAsia="zh-CN"/>
        </w:rPr>
        <w:t>本</w:t>
      </w:r>
      <w:r>
        <w:rPr>
          <w:rFonts w:hint="eastAsia" w:ascii="Times New Roman" w:hAnsi="Times New Roman" w:eastAsia="宋体" w:cs="Times New Roman"/>
          <w:kern w:val="2"/>
          <w:sz w:val="21"/>
          <w:szCs w:val="21"/>
          <w:lang w:eastAsia="zh-CN"/>
        </w:rPr>
        <w:t>文件</w:t>
      </w:r>
      <w:r>
        <w:rPr>
          <w:rFonts w:ascii="Times New Roman" w:hAnsi="Times New Roman" w:eastAsia="宋体" w:cs="Times New Roman"/>
          <w:kern w:val="2"/>
          <w:sz w:val="21"/>
          <w:szCs w:val="21"/>
          <w:lang w:eastAsia="zh-CN"/>
        </w:rPr>
        <w:t>由</w:t>
      </w:r>
      <w:r>
        <w:rPr>
          <w:rFonts w:hint="eastAsia" w:ascii="Times New Roman" w:hAnsi="Times New Roman" w:eastAsia="宋体" w:cs="Times New Roman"/>
          <w:kern w:val="2"/>
          <w:sz w:val="21"/>
          <w:szCs w:val="21"/>
          <w:lang w:eastAsia="zh-CN"/>
        </w:rPr>
        <w:t>全国有色金属标准化技术委员会（SAC/TC 243）、</w:t>
      </w:r>
      <w:r>
        <w:rPr>
          <w:rFonts w:ascii="Times New Roman" w:hAnsi="Times New Roman" w:eastAsia="宋体" w:cs="Times New Roman"/>
          <w:kern w:val="2"/>
          <w:sz w:val="21"/>
          <w:szCs w:val="21"/>
          <w:lang w:eastAsia="zh-CN"/>
        </w:rPr>
        <w:t>全国稀土标准化技术委员会（SAC/TC 229）</w:t>
      </w:r>
      <w:r>
        <w:rPr>
          <w:rFonts w:hint="eastAsia" w:ascii="Times New Roman" w:hAnsi="Times New Roman" w:eastAsia="宋体" w:cs="Times New Roman"/>
          <w:kern w:val="2"/>
          <w:sz w:val="21"/>
          <w:szCs w:val="21"/>
          <w:lang w:eastAsia="zh-CN"/>
        </w:rPr>
        <w:t>共同</w:t>
      </w:r>
      <w:r>
        <w:rPr>
          <w:rFonts w:ascii="Times New Roman" w:hAnsi="Times New Roman" w:eastAsia="宋体" w:cs="Times New Roman"/>
          <w:kern w:val="2"/>
          <w:sz w:val="21"/>
          <w:szCs w:val="21"/>
          <w:lang w:eastAsia="zh-CN"/>
        </w:rPr>
        <w:t>归口。</w:t>
      </w:r>
    </w:p>
    <w:p w14:paraId="431318E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本文件起草单位：</w:t>
      </w:r>
      <w:bookmarkStart w:id="2" w:name="_Hlk206078255"/>
      <w:r>
        <w:rPr>
          <w:rFonts w:hint="eastAsia" w:ascii="Times New Roman" w:hAnsi="Times New Roman" w:eastAsia="宋体" w:cs="Times New Roman"/>
          <w:kern w:val="2"/>
          <w:sz w:val="21"/>
          <w:szCs w:val="21"/>
          <w:lang w:eastAsia="zh-CN"/>
        </w:rPr>
        <w:t>中国北方稀土（集团）高科技股份有限公司、包头稀土研究院、中国科学院城市环境研究所、中国科学院赣江创新研究院、</w:t>
      </w:r>
      <w:bookmarkStart w:id="3" w:name="OLE_LINK4"/>
      <w:r>
        <w:rPr>
          <w:rFonts w:hint="eastAsia" w:ascii="Times New Roman" w:hAnsi="Times New Roman" w:eastAsia="宋体" w:cs="Times New Roman"/>
          <w:kern w:val="2"/>
          <w:sz w:val="21"/>
          <w:szCs w:val="21"/>
          <w:lang w:eastAsia="zh-CN"/>
        </w:rPr>
        <w:t>有色金属技术经济研究院有限公司、</w:t>
      </w:r>
      <w:r>
        <w:rPr>
          <w:rFonts w:ascii="Times New Roman" w:hAnsi="Times New Roman" w:eastAsia="宋体" w:cs="Times New Roman"/>
          <w:kern w:val="2"/>
          <w:sz w:val="21"/>
          <w:szCs w:val="21"/>
          <w:lang w:eastAsia="zh-CN"/>
        </w:rPr>
        <w:t>虔东稀土集团股份有限公司</w:t>
      </w:r>
      <w:bookmarkEnd w:id="3"/>
      <w:r>
        <w:rPr>
          <w:rFonts w:hint="eastAsia" w:ascii="Times New Roman" w:hAnsi="Times New Roman" w:eastAsia="宋体" w:cs="Times New Roman"/>
          <w:kern w:val="2"/>
          <w:sz w:val="21"/>
          <w:szCs w:val="21"/>
          <w:lang w:eastAsia="zh-CN"/>
        </w:rPr>
        <w:t>、国合通用测试评价认证股份公司、</w:t>
      </w:r>
      <w:r>
        <w:rPr>
          <w:rFonts w:ascii="Times New Roman" w:hAnsi="Times New Roman" w:eastAsia="宋体" w:cs="Times New Roman"/>
          <w:kern w:val="2"/>
          <w:sz w:val="21"/>
          <w:szCs w:val="21"/>
          <w:lang w:eastAsia="zh-CN"/>
        </w:rPr>
        <w:t>赣州晨光稀土新材料有限公司</w:t>
      </w:r>
      <w:r>
        <w:rPr>
          <w:rFonts w:hint="eastAsia" w:ascii="Times New Roman" w:hAnsi="Times New Roman" w:eastAsia="宋体" w:cs="Times New Roman"/>
          <w:kern w:val="2"/>
          <w:sz w:val="21"/>
          <w:szCs w:val="21"/>
          <w:lang w:eastAsia="zh-CN"/>
        </w:rPr>
        <w:t>、</w:t>
      </w:r>
      <w:r>
        <w:rPr>
          <w:rFonts w:ascii="Times New Roman" w:hAnsi="Times New Roman" w:eastAsia="宋体" w:cs="Times New Roman"/>
          <w:kern w:val="2"/>
          <w:sz w:val="21"/>
          <w:szCs w:val="21"/>
          <w:lang w:eastAsia="zh-CN"/>
        </w:rPr>
        <w:t>中稀天马新材料科技股份有限公司</w:t>
      </w:r>
      <w:r>
        <w:rPr>
          <w:rFonts w:hint="eastAsia" w:ascii="Times New Roman" w:hAnsi="Times New Roman" w:eastAsia="宋体" w:cs="Times New Roman"/>
          <w:kern w:val="2"/>
          <w:sz w:val="21"/>
          <w:szCs w:val="21"/>
          <w:lang w:eastAsia="zh-CN"/>
        </w:rPr>
        <w:t>、</w:t>
      </w:r>
      <w:r>
        <w:rPr>
          <w:rFonts w:ascii="Times New Roman" w:hAnsi="Times New Roman" w:eastAsia="宋体" w:cs="Times New Roman"/>
          <w:kern w:val="2"/>
          <w:sz w:val="21"/>
          <w:szCs w:val="21"/>
          <w:lang w:eastAsia="zh-CN"/>
        </w:rPr>
        <w:t>定南大华新材料资源有限公司</w:t>
      </w:r>
      <w:r>
        <w:rPr>
          <w:rFonts w:hint="eastAsia" w:ascii="Times New Roman" w:hAnsi="Times New Roman" w:eastAsia="宋体" w:cs="Times New Roman"/>
          <w:kern w:val="2"/>
          <w:sz w:val="21"/>
          <w:szCs w:val="21"/>
          <w:lang w:eastAsia="zh-CN"/>
        </w:rPr>
        <w:t>、</w:t>
      </w:r>
      <w:r>
        <w:rPr>
          <w:rFonts w:ascii="Times New Roman" w:hAnsi="Times New Roman" w:eastAsia="宋体" w:cs="Times New Roman"/>
          <w:kern w:val="2"/>
          <w:sz w:val="21"/>
          <w:szCs w:val="21"/>
          <w:lang w:eastAsia="zh-CN"/>
        </w:rPr>
        <w:t>赣州碳足迹科技有限公司</w:t>
      </w:r>
      <w:r>
        <w:rPr>
          <w:rFonts w:hint="eastAsia" w:ascii="Times New Roman" w:hAnsi="Times New Roman" w:eastAsia="宋体" w:cs="Times New Roman"/>
          <w:kern w:val="2"/>
          <w:sz w:val="21"/>
          <w:szCs w:val="21"/>
          <w:lang w:eastAsia="zh-CN"/>
        </w:rPr>
        <w:t>、中稀江西稀土有限公司、</w:t>
      </w:r>
      <w:r>
        <w:rPr>
          <w:rFonts w:ascii="Times New Roman" w:hAnsi="Times New Roman" w:eastAsia="宋体" w:cs="Times New Roman"/>
          <w:kern w:val="2"/>
          <w:sz w:val="21"/>
          <w:szCs w:val="21"/>
          <w:lang w:eastAsia="zh-CN"/>
        </w:rPr>
        <w:t>四川省乐山锐丰冶金有限公司</w:t>
      </w:r>
      <w:r>
        <w:rPr>
          <w:rFonts w:hint="eastAsia" w:ascii="Times New Roman" w:hAnsi="Times New Roman" w:eastAsia="宋体" w:cs="Times New Roman"/>
          <w:kern w:val="2"/>
          <w:sz w:val="21"/>
          <w:szCs w:val="21"/>
          <w:lang w:eastAsia="zh-CN"/>
        </w:rPr>
        <w:t>、</w:t>
      </w:r>
      <w:r>
        <w:rPr>
          <w:rFonts w:ascii="Times New Roman" w:hAnsi="Times New Roman" w:eastAsia="宋体" w:cs="Times New Roman"/>
          <w:kern w:val="2"/>
          <w:sz w:val="21"/>
          <w:szCs w:val="21"/>
          <w:lang w:eastAsia="zh-CN"/>
        </w:rPr>
        <w:t>中稀（凉山）稀土有限公司</w:t>
      </w:r>
      <w:r>
        <w:rPr>
          <w:rFonts w:hint="eastAsia" w:ascii="Times New Roman" w:hAnsi="Times New Roman" w:eastAsia="宋体" w:cs="Times New Roman"/>
          <w:kern w:val="2"/>
          <w:sz w:val="21"/>
          <w:szCs w:val="21"/>
          <w:lang w:eastAsia="zh-CN"/>
        </w:rPr>
        <w:t>、</w:t>
      </w:r>
      <w:r>
        <w:rPr>
          <w:rFonts w:ascii="Times New Roman" w:hAnsi="Times New Roman" w:eastAsia="宋体" w:cs="Times New Roman"/>
          <w:kern w:val="2"/>
          <w:sz w:val="21"/>
          <w:szCs w:val="21"/>
          <w:lang w:eastAsia="zh-CN"/>
        </w:rPr>
        <w:t>有研稀土新材料股份有限公司</w:t>
      </w:r>
      <w:r>
        <w:rPr>
          <w:rFonts w:hint="eastAsia" w:ascii="Times New Roman" w:hAnsi="Times New Roman" w:eastAsia="宋体" w:cs="Times New Roman"/>
          <w:kern w:val="2"/>
          <w:sz w:val="21"/>
          <w:szCs w:val="21"/>
          <w:lang w:eastAsia="zh-CN"/>
        </w:rPr>
        <w:t>、</w:t>
      </w:r>
      <w:r>
        <w:rPr>
          <w:rFonts w:ascii="Times New Roman" w:hAnsi="Times New Roman" w:eastAsia="宋体" w:cs="Times New Roman"/>
          <w:kern w:val="2"/>
          <w:sz w:val="21"/>
          <w:szCs w:val="21"/>
          <w:lang w:eastAsia="zh-CN"/>
        </w:rPr>
        <w:t>吉安鑫泰科技有限公司</w:t>
      </w:r>
      <w:r>
        <w:rPr>
          <w:rFonts w:hint="eastAsia" w:ascii="Times New Roman" w:hAnsi="Times New Roman" w:eastAsia="宋体" w:cs="Times New Roman"/>
          <w:kern w:val="2"/>
          <w:sz w:val="21"/>
          <w:szCs w:val="21"/>
          <w:lang w:eastAsia="zh-CN"/>
        </w:rPr>
        <w:t>、江阴加华新材料资源有限公司、中稀（北京）稀土研究院有限公司、益阳鸿源稀土有限责任公司、</w:t>
      </w:r>
      <w:r>
        <w:rPr>
          <w:rFonts w:ascii="Times New Roman" w:hAnsi="Times New Roman" w:eastAsia="宋体" w:cs="Times New Roman"/>
          <w:kern w:val="2"/>
          <w:sz w:val="21"/>
          <w:szCs w:val="21"/>
          <w:lang w:eastAsia="zh-CN"/>
        </w:rPr>
        <w:t>江西省钨与稀土产品质量监督检验中心</w:t>
      </w:r>
      <w:r>
        <w:rPr>
          <w:rFonts w:hint="eastAsia" w:ascii="Times New Roman" w:hAnsi="Times New Roman" w:eastAsia="宋体" w:cs="Times New Roman"/>
          <w:kern w:val="2"/>
          <w:sz w:val="21"/>
          <w:szCs w:val="21"/>
          <w:lang w:eastAsia="zh-CN"/>
        </w:rPr>
        <w:t>、赣州稀土友力科技开发有限公司、信丰县包钢新利稀土有限责任公司、甘肃稀土新材料股份有限公司。</w:t>
      </w:r>
      <w:bookmarkEnd w:id="2"/>
    </w:p>
    <w:p w14:paraId="40C01A9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本文件主要起草人：</w:t>
      </w:r>
      <w:bookmarkStart w:id="157" w:name="_GoBack"/>
      <w:bookmarkEnd w:id="157"/>
    </w:p>
    <w:p w14:paraId="2ADC85FE">
      <w:pPr>
        <w:adjustRightInd w:val="0"/>
        <w:snapToGrid w:val="0"/>
        <w:spacing w:after="0" w:line="360" w:lineRule="auto"/>
        <w:ind w:firstLine="420" w:firstLineChars="200"/>
        <w:jc w:val="both"/>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br w:type="page"/>
      </w:r>
    </w:p>
    <w:p w14:paraId="6D241B1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sectPr>
          <w:footerReference r:id="rId12" w:type="default"/>
          <w:pgSz w:w="11920" w:h="16840"/>
          <w:pgMar w:top="1080" w:right="1600" w:bottom="1180" w:left="1680" w:header="880" w:footer="982" w:gutter="0"/>
          <w:pgNumType w:fmt="decimal" w:start="2"/>
          <w:cols w:space="720" w:num="1"/>
        </w:sectPr>
      </w:pPr>
    </w:p>
    <w:p w14:paraId="762355AF">
      <w:pPr>
        <w:spacing w:after="0" w:line="360" w:lineRule="auto"/>
        <w:jc w:val="center"/>
        <w:outlineLvl w:val="0"/>
        <w:rPr>
          <w:rFonts w:hint="eastAsia" w:ascii="黑体" w:hAnsi="宋体" w:eastAsia="黑体" w:cs="Times New Roman"/>
          <w:bCs/>
          <w:kern w:val="2"/>
          <w:sz w:val="32"/>
          <w:szCs w:val="32"/>
          <w:lang w:eastAsia="zh-CN"/>
        </w:rPr>
      </w:pPr>
      <w:bookmarkStart w:id="4" w:name="_Toc190785642"/>
      <w:bookmarkStart w:id="5" w:name="_Toc190786434"/>
      <w:bookmarkStart w:id="6" w:name="_Toc2086666846"/>
      <w:bookmarkStart w:id="7" w:name="_Toc190786234"/>
      <w:r>
        <w:rPr>
          <w:rFonts w:hint="eastAsia" w:ascii="黑体" w:hAnsi="宋体" w:eastAsia="黑体" w:cs="Times New Roman"/>
          <w:bCs/>
          <w:kern w:val="2"/>
          <w:sz w:val="32"/>
          <w:szCs w:val="32"/>
          <w:lang w:eastAsia="zh-CN"/>
        </w:rPr>
        <w:t xml:space="preserve">温室气体 产品碳足迹量化方法与要求 </w:t>
      </w:r>
      <w:bookmarkStart w:id="8" w:name="_Hlk190350607"/>
    </w:p>
    <w:p w14:paraId="3F72BA3E">
      <w:pPr>
        <w:spacing w:after="0" w:line="360" w:lineRule="auto"/>
        <w:jc w:val="center"/>
        <w:outlineLvl w:val="0"/>
        <w:rPr>
          <w:rFonts w:ascii="黑体" w:hAnsi="宋体" w:eastAsia="黑体" w:cs="Times New Roman"/>
          <w:bCs/>
          <w:kern w:val="2"/>
          <w:sz w:val="32"/>
          <w:szCs w:val="32"/>
          <w:lang w:eastAsia="zh-CN"/>
        </w:rPr>
      </w:pPr>
      <w:r>
        <w:rPr>
          <w:rFonts w:hint="eastAsia" w:ascii="黑体" w:hAnsi="宋体" w:eastAsia="黑体" w:cs="Times New Roman"/>
          <w:bCs/>
          <w:kern w:val="2"/>
          <w:sz w:val="32"/>
          <w:szCs w:val="32"/>
          <w:lang w:eastAsia="zh-CN"/>
        </w:rPr>
        <w:t>稀土冶炼分离产品</w:t>
      </w:r>
      <w:bookmarkEnd w:id="4"/>
      <w:bookmarkEnd w:id="5"/>
      <w:bookmarkEnd w:id="6"/>
      <w:bookmarkEnd w:id="7"/>
      <w:bookmarkEnd w:id="8"/>
    </w:p>
    <w:p w14:paraId="2F5FBDEE">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9" w:name="_Toc14354"/>
      <w:bookmarkStart w:id="10" w:name="_Toc54241565"/>
      <w:bookmarkStart w:id="11" w:name="_Toc531265187"/>
      <w:bookmarkStart w:id="12" w:name="_Toc132113210"/>
      <w:bookmarkStart w:id="13" w:name="_Toc9882"/>
      <w:bookmarkStart w:id="14" w:name="_Toc26053"/>
      <w:bookmarkStart w:id="15" w:name="_Toc381480737"/>
      <w:bookmarkStart w:id="16" w:name="_Toc14631"/>
      <w:bookmarkStart w:id="17" w:name="_Toc14040_WPSOffice_Level1"/>
      <w:bookmarkStart w:id="18" w:name="_Toc29401_WPSOffice_Level1"/>
      <w:r>
        <w:rPr>
          <w:rFonts w:hint="eastAsia" w:ascii="黑体" w:hAnsi="黑体" w:eastAsia="黑体" w:cs="黑体"/>
          <w:bCs/>
          <w:kern w:val="44"/>
          <w:sz w:val="21"/>
          <w:szCs w:val="44"/>
          <w:lang w:eastAsia="zh-CN"/>
        </w:rPr>
        <w:t>1 范围</w:t>
      </w:r>
      <w:bookmarkEnd w:id="9"/>
      <w:bookmarkEnd w:id="10"/>
      <w:bookmarkEnd w:id="11"/>
      <w:bookmarkEnd w:id="12"/>
      <w:bookmarkEnd w:id="13"/>
      <w:bookmarkEnd w:id="14"/>
      <w:bookmarkEnd w:id="15"/>
      <w:bookmarkEnd w:id="16"/>
      <w:bookmarkEnd w:id="17"/>
      <w:bookmarkEnd w:id="18"/>
    </w:p>
    <w:p w14:paraId="07063266">
      <w:pPr>
        <w:adjustRightInd w:val="0"/>
        <w:snapToGrid w:val="0"/>
        <w:spacing w:after="0" w:line="360" w:lineRule="auto"/>
        <w:ind w:firstLine="420" w:firstLineChars="200"/>
        <w:rPr>
          <w:rFonts w:ascii="宋体" w:hAnsi="宋体" w:eastAsia="宋体" w:cs="Times New Roman"/>
          <w:kern w:val="2"/>
          <w:sz w:val="21"/>
          <w:szCs w:val="24"/>
          <w:highlight w:val="none"/>
          <w:lang w:eastAsia="zh-CN"/>
        </w:rPr>
      </w:pPr>
      <w:r>
        <w:rPr>
          <w:rFonts w:hint="eastAsia" w:ascii="宋体" w:hAnsi="宋体" w:eastAsia="宋体" w:cs="Times New Roman"/>
          <w:kern w:val="2"/>
          <w:sz w:val="21"/>
          <w:szCs w:val="24"/>
          <w:highlight w:val="none"/>
          <w:lang w:eastAsia="zh-CN"/>
        </w:rPr>
        <w:t>本文件规定了稀土冶炼分离产品碳足迹量化的量化目的、量化范围</w:t>
      </w:r>
      <w:r>
        <w:rPr>
          <w:rFonts w:hint="eastAsia" w:ascii="宋体" w:hAnsi="宋体" w:eastAsia="宋体" w:cs="Times New Roman"/>
          <w:color w:val="000000" w:themeColor="text1"/>
          <w:kern w:val="2"/>
          <w:sz w:val="21"/>
          <w:szCs w:val="24"/>
          <w:highlight w:val="none"/>
          <w:lang w:eastAsia="zh-CN"/>
          <w14:textFill>
            <w14:solidFill>
              <w14:schemeClr w14:val="tx1"/>
            </w14:solidFill>
          </w14:textFill>
        </w:rPr>
        <w:t>、数据和</w:t>
      </w:r>
      <w:r>
        <w:rPr>
          <w:rFonts w:hint="eastAsia" w:ascii="宋体" w:hAnsi="宋体" w:eastAsia="宋体" w:cs="Times New Roman"/>
          <w:color w:val="000000" w:themeColor="text1"/>
          <w:kern w:val="2"/>
          <w:sz w:val="21"/>
          <w:szCs w:val="24"/>
          <w:highlight w:val="none"/>
          <w:lang w:val="en-US" w:eastAsia="zh-CN"/>
          <w14:textFill>
            <w14:solidFill>
              <w14:schemeClr w14:val="tx1"/>
            </w14:solidFill>
          </w14:textFill>
        </w:rPr>
        <w:t>数据</w:t>
      </w:r>
      <w:r>
        <w:rPr>
          <w:rFonts w:hint="eastAsia" w:ascii="宋体" w:hAnsi="宋体" w:eastAsia="宋体" w:cs="Times New Roman"/>
          <w:color w:val="000000" w:themeColor="text1"/>
          <w:kern w:val="2"/>
          <w:sz w:val="21"/>
          <w:szCs w:val="24"/>
          <w:highlight w:val="none"/>
          <w:lang w:eastAsia="zh-CN"/>
          <w14:textFill>
            <w14:solidFill>
              <w14:schemeClr w14:val="tx1"/>
            </w14:solidFill>
          </w14:textFill>
        </w:rPr>
        <w:t>质量、生命</w:t>
      </w:r>
      <w:r>
        <w:rPr>
          <w:rFonts w:hint="eastAsia" w:ascii="宋体" w:hAnsi="宋体" w:eastAsia="宋体" w:cs="Times New Roman"/>
          <w:kern w:val="2"/>
          <w:sz w:val="21"/>
          <w:szCs w:val="24"/>
          <w:highlight w:val="none"/>
          <w:lang w:eastAsia="zh-CN"/>
        </w:rPr>
        <w:t>周期清单分析、产品碳足迹影响评价、产品碳足迹结果解释及产品碳足迹报告。</w:t>
      </w:r>
    </w:p>
    <w:p w14:paraId="014717E6">
      <w:pPr>
        <w:adjustRightInd w:val="0"/>
        <w:snapToGrid w:val="0"/>
        <w:spacing w:after="0" w:line="360" w:lineRule="auto"/>
        <w:ind w:firstLine="420" w:firstLineChars="200"/>
        <w:rPr>
          <w:rFonts w:hint="eastAsia" w:ascii="宋体" w:hAnsi="宋体" w:eastAsia="宋体" w:cs="Times New Roman"/>
          <w:kern w:val="2"/>
          <w:sz w:val="21"/>
          <w:szCs w:val="24"/>
          <w:highlight w:val="none"/>
          <w:lang w:eastAsia="zh-CN"/>
        </w:rPr>
      </w:pPr>
      <w:bookmarkStart w:id="19" w:name="_Toc381480738"/>
      <w:r>
        <w:rPr>
          <w:rFonts w:hint="eastAsia" w:ascii="宋体" w:hAnsi="宋体" w:eastAsia="宋体" w:cs="Times New Roman"/>
          <w:kern w:val="2"/>
          <w:sz w:val="21"/>
          <w:szCs w:val="24"/>
          <w:highlight w:val="none"/>
          <w:lang w:eastAsia="zh-CN"/>
        </w:rPr>
        <w:t>本部分适用于以</w:t>
      </w:r>
      <w:r>
        <w:rPr>
          <w:rFonts w:hint="eastAsia" w:ascii="Times New Roman" w:hAnsi="Times New Roman" w:eastAsia="宋体" w:cs="Times New Roman"/>
          <w:kern w:val="2"/>
          <w:sz w:val="21"/>
          <w:szCs w:val="21"/>
          <w:highlight w:val="none"/>
          <w:lang w:eastAsia="zh-CN"/>
        </w:rPr>
        <w:t>稀土精矿或含稀土的二次资源</w:t>
      </w:r>
      <w:r>
        <w:rPr>
          <w:rFonts w:hint="eastAsia" w:ascii="Times New Roman" w:hAnsi="Times New Roman" w:eastAsia="宋体" w:cs="Times New Roman"/>
          <w:kern w:val="2"/>
          <w:sz w:val="21"/>
          <w:szCs w:val="21"/>
          <w:highlight w:val="none"/>
          <w:lang w:val="en-US" w:eastAsia="zh-CN"/>
        </w:rPr>
        <w:t>为原料，</w:t>
      </w:r>
      <w:r>
        <w:rPr>
          <w:rFonts w:hint="eastAsia" w:ascii="Times New Roman" w:hAnsi="Times New Roman" w:eastAsia="宋体" w:cs="Times New Roman"/>
          <w:kern w:val="2"/>
          <w:sz w:val="21"/>
          <w:szCs w:val="21"/>
          <w:highlight w:val="none"/>
          <w:lang w:eastAsia="zh-CN"/>
        </w:rPr>
        <w:t>生产的稀土化合物或稀土富集物等稀土冶炼分离产品的碳足迹量化</w:t>
      </w:r>
      <w:r>
        <w:rPr>
          <w:rFonts w:hint="eastAsia" w:ascii="宋体" w:hAnsi="宋体" w:eastAsia="宋体" w:cs="Times New Roman"/>
          <w:kern w:val="2"/>
          <w:sz w:val="21"/>
          <w:szCs w:val="24"/>
          <w:highlight w:val="none"/>
          <w:lang w:eastAsia="zh-CN"/>
        </w:rPr>
        <w:t>。</w:t>
      </w:r>
    </w:p>
    <w:p w14:paraId="0B8CC238">
      <w:pPr>
        <w:spacing w:line="360" w:lineRule="auto"/>
        <w:ind w:firstLine="420"/>
        <w:rPr>
          <w:rFonts w:hint="eastAsia" w:ascii="宋体" w:hAnsi="宋体" w:eastAsia="宋体" w:cs="Times New Roman"/>
          <w:kern w:val="2"/>
          <w:sz w:val="21"/>
          <w:szCs w:val="24"/>
          <w:highlight w:val="yellow"/>
          <w:lang w:eastAsia="zh-CN"/>
        </w:rPr>
      </w:pPr>
      <w:r>
        <w:rPr>
          <w:rFonts w:hint="eastAsia" w:ascii="Times New Roman" w:hAnsi="宋体"/>
          <w:szCs w:val="24"/>
        </w:rPr>
        <w:t>本文件不适用于评价生命周期产生的其他潜在环境影响，也不适用于评价产品生命周期内可能产生的社会和经济影响。</w:t>
      </w:r>
    </w:p>
    <w:p w14:paraId="1F6C93E5">
      <w:pPr>
        <w:keepNext/>
        <w:keepLines/>
        <w:tabs>
          <w:tab w:val="center" w:pos="4677"/>
        </w:tab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20" w:name="_Toc2981"/>
      <w:bookmarkStart w:id="21" w:name="_Toc132113211"/>
      <w:bookmarkStart w:id="22" w:name="_Toc20169_WPSOffice_Level1"/>
      <w:bookmarkStart w:id="23" w:name="_Toc12888_WPSOffice_Level1"/>
      <w:bookmarkStart w:id="24" w:name="_Toc531265188"/>
      <w:bookmarkStart w:id="25" w:name="_Toc1104916627"/>
      <w:bookmarkStart w:id="26" w:name="_Toc20985"/>
      <w:bookmarkStart w:id="27" w:name="_Toc20399"/>
      <w:bookmarkStart w:id="28" w:name="_Toc5016"/>
      <w:r>
        <w:rPr>
          <w:rFonts w:hint="eastAsia" w:ascii="黑体" w:hAnsi="黑体" w:eastAsia="黑体" w:cs="黑体"/>
          <w:bCs/>
          <w:kern w:val="44"/>
          <w:sz w:val="21"/>
          <w:szCs w:val="44"/>
          <w:lang w:eastAsia="zh-CN"/>
        </w:rPr>
        <w:t>2 规范性引用文件</w:t>
      </w:r>
      <w:bookmarkEnd w:id="19"/>
      <w:bookmarkEnd w:id="20"/>
      <w:bookmarkEnd w:id="21"/>
      <w:bookmarkEnd w:id="22"/>
      <w:bookmarkEnd w:id="23"/>
      <w:bookmarkEnd w:id="24"/>
      <w:bookmarkEnd w:id="25"/>
      <w:bookmarkEnd w:id="26"/>
      <w:bookmarkEnd w:id="27"/>
      <w:bookmarkEnd w:id="28"/>
    </w:p>
    <w:p w14:paraId="23727AA8">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65640281">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2526 氧化钆</w:t>
      </w:r>
    </w:p>
    <w:p w14:paraId="37718A86">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2969 氧化钐</w:t>
      </w:r>
    </w:p>
    <w:p w14:paraId="7839B16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3503 氧化钇</w:t>
      </w:r>
    </w:p>
    <w:p w14:paraId="5A3EEF1F">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3504 氧化铕</w:t>
      </w:r>
    </w:p>
    <w:p w14:paraId="2EC9E17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4148 混合氯化稀土</w:t>
      </w:r>
    </w:p>
    <w:p w14:paraId="119A135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4154 氧化镧</w:t>
      </w:r>
    </w:p>
    <w:p w14:paraId="5731C0F6">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4155 氧化铈</w:t>
      </w:r>
    </w:p>
    <w:p w14:paraId="0D32498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5239 氧化镨</w:t>
      </w:r>
    </w:p>
    <w:p w14:paraId="172BBA8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5240 氧化钕</w:t>
      </w:r>
    </w:p>
    <w:p w14:paraId="7F36FED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12144 氧化铽</w:t>
      </w:r>
    </w:p>
    <w:p w14:paraId="2E9E388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13558 氧化镝</w:t>
      </w:r>
    </w:p>
    <w:p w14:paraId="307EB7A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ascii="Times New Roman" w:hAnsi="Times New Roman" w:eastAsia="宋体" w:cs="Times New Roman"/>
          <w:kern w:val="2"/>
          <w:sz w:val="21"/>
          <w:szCs w:val="21"/>
          <w:lang w:eastAsia="zh-CN"/>
        </w:rPr>
        <w:t>GB/T15676</w:t>
      </w:r>
      <w:r>
        <w:rPr>
          <w:rFonts w:hint="eastAsia" w:ascii="Times New Roman" w:hAnsi="Times New Roman" w:eastAsia="宋体" w:cs="Times New Roman"/>
          <w:kern w:val="2"/>
          <w:sz w:val="21"/>
          <w:szCs w:val="21"/>
          <w:lang w:eastAsia="zh-CN"/>
        </w:rPr>
        <w:t xml:space="preserve"> 稀土术语</w:t>
      </w:r>
    </w:p>
    <w:p w14:paraId="4FD6D36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15678 氧化铒</w:t>
      </w:r>
    </w:p>
    <w:p w14:paraId="59B79B3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16479 碳酸轻稀土</w:t>
      </w:r>
    </w:p>
    <w:p w14:paraId="4D4A5A2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16661 碳酸铈</w:t>
      </w:r>
    </w:p>
    <w:p w14:paraId="1C55CF7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17167 用能单位能源计量器具配备和管理规则</w:t>
      </w:r>
    </w:p>
    <w:p w14:paraId="302448F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20169 离子型稀土矿混合稀土氧化物GB/T 20902 有色金属冶炼企业能源计量器具配备和管理要求</w:t>
      </w:r>
    </w:p>
    <w:p w14:paraId="724B6F6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23589 草酸钆</w:t>
      </w:r>
    </w:p>
    <w:p w14:paraId="13CE7D0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23591 镧铈铽氧化物</w:t>
      </w:r>
    </w:p>
    <w:p w14:paraId="5D4F182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23593 钐铕钆氧化物</w:t>
      </w:r>
    </w:p>
    <w:p w14:paraId="200B0F4F">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24025 环境标志和声明 Ⅲ型环境声明 原则和程序</w:t>
      </w:r>
    </w:p>
    <w:p w14:paraId="74A8FF5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24040 环境管理 生命周期评价 原则与框架</w:t>
      </w:r>
    </w:p>
    <w:p w14:paraId="611C2AB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24044 环境管理 生命周期评价 要求与指南</w:t>
      </w:r>
    </w:p>
    <w:p w14:paraId="3E63CFC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24067 温室气体 产品碳足迹 量化要求和指南</w:t>
      </w:r>
    </w:p>
    <w:p w14:paraId="1525A975">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26413 重稀土氧化物富集物</w:t>
      </w:r>
    </w:p>
    <w:p w14:paraId="314B921B">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28882 离子型稀土矿碳酸稀土</w:t>
      </w:r>
    </w:p>
    <w:p w14:paraId="32083CF1">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31964 无水氯化镧</w:t>
      </w:r>
    </w:p>
    <w:p w14:paraId="570D311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31965 镨钕氧化物</w:t>
      </w:r>
    </w:p>
    <w:p w14:paraId="6E56A62F">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GB/T 32150 工业企业温室气体核算和报告通则</w:t>
      </w:r>
    </w:p>
    <w:p w14:paraId="7AD97C0B">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XB/T 201 氧化钬</w:t>
      </w:r>
    </w:p>
    <w:p w14:paraId="34CB1D76">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XB/T 202 氧化铥</w:t>
      </w:r>
    </w:p>
    <w:p w14:paraId="146BFCD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XB/T 203 氧化镱</w:t>
      </w:r>
    </w:p>
    <w:p w14:paraId="1BC7D58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XB/T 204 氧化镥</w:t>
      </w:r>
    </w:p>
    <w:p w14:paraId="4ED1C3D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XB/T 209 氟化轻稀土</w:t>
      </w:r>
    </w:p>
    <w:p w14:paraId="0863A47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XB/T 211 钐铕钆富集物</w:t>
      </w:r>
    </w:p>
    <w:p w14:paraId="3ABF9765">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XB/T 214 氟化钕</w:t>
      </w:r>
    </w:p>
    <w:p w14:paraId="673F7EB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XB/T 215 氟化镝</w:t>
      </w:r>
    </w:p>
    <w:p w14:paraId="69256FA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XB/T 219 硝酸铈</w:t>
      </w:r>
    </w:p>
    <w:p w14:paraId="6A108BF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XB/T 220 铈铽氧化物</w:t>
      </w:r>
    </w:p>
    <w:p w14:paraId="793469E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XB/T 224 镧镨钕氧化物</w:t>
      </w:r>
    </w:p>
    <w:p w14:paraId="3A2A7E1B">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XB/T 225 铈钆铽氧化物</w:t>
      </w:r>
    </w:p>
    <w:p w14:paraId="3503F928">
      <w:pPr>
        <w:adjustRightInd w:val="0"/>
        <w:snapToGrid w:val="0"/>
        <w:spacing w:after="0" w:line="360" w:lineRule="auto"/>
        <w:ind w:left="420"/>
        <w:jc w:val="both"/>
        <w:rPr>
          <w:rFonts w:ascii="Times New Roman" w:hAnsi="Times New Roman" w:eastAsia="宋体" w:cs="Times New Roman"/>
          <w:kern w:val="2"/>
          <w:sz w:val="21"/>
          <w:szCs w:val="21"/>
          <w:lang w:eastAsia="zh-CN"/>
        </w:rPr>
      </w:pPr>
      <w:bookmarkStart w:id="29" w:name="_Hlk190438371"/>
      <w:r>
        <w:rPr>
          <w:rFonts w:hint="eastAsia" w:ascii="Times New Roman" w:hAnsi="Times New Roman" w:eastAsia="宋体" w:cs="Times New Roman"/>
          <w:kern w:val="2"/>
          <w:sz w:val="21"/>
          <w:szCs w:val="21"/>
          <w:lang w:eastAsia="zh-CN"/>
        </w:rPr>
        <w:t>T/CNIA 0005</w:t>
      </w:r>
      <w:bookmarkEnd w:id="29"/>
      <w:r>
        <w:rPr>
          <w:rFonts w:hint="eastAsia" w:ascii="Times New Roman" w:hAnsi="Times New Roman" w:eastAsia="宋体" w:cs="Times New Roman"/>
          <w:kern w:val="2"/>
          <w:sz w:val="21"/>
          <w:szCs w:val="21"/>
          <w:lang w:eastAsia="zh-CN"/>
        </w:rPr>
        <w:t xml:space="preserve"> 绿色设计产品评价技术规范 稀土湿法冶炼分离产品</w:t>
      </w:r>
    </w:p>
    <w:p w14:paraId="5E4A47C0">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ISO 14026环境标签和声明 碳足迹信息通信的原则、要求和指南 Environmental labels and declarations - Principles, requirements and guidelines for communication of footprint information</w:t>
      </w:r>
    </w:p>
    <w:p w14:paraId="12119B2C">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30" w:name="_Toc132113212"/>
      <w:bookmarkStart w:id="31" w:name="_Toc21777"/>
      <w:bookmarkStart w:id="32" w:name="_Toc1817"/>
      <w:bookmarkStart w:id="33" w:name="_Toc23079_WPSOffice_Level1"/>
      <w:bookmarkStart w:id="34" w:name="_Toc25600"/>
      <w:bookmarkStart w:id="35" w:name="_Toc24038"/>
      <w:bookmarkStart w:id="36" w:name="_Toc29644_WPSOffice_Level1"/>
      <w:bookmarkStart w:id="37" w:name="_Toc1042654380"/>
      <w:bookmarkStart w:id="38" w:name="_Toc531265189"/>
      <w:r>
        <w:rPr>
          <w:rFonts w:hint="eastAsia" w:ascii="黑体" w:hAnsi="黑体" w:eastAsia="黑体" w:cs="黑体"/>
          <w:bCs/>
          <w:kern w:val="44"/>
          <w:sz w:val="21"/>
          <w:szCs w:val="44"/>
          <w:lang w:eastAsia="zh-CN"/>
        </w:rPr>
        <w:t>3 术语和定义</w:t>
      </w:r>
      <w:bookmarkEnd w:id="30"/>
      <w:bookmarkEnd w:id="31"/>
      <w:bookmarkEnd w:id="32"/>
      <w:bookmarkEnd w:id="33"/>
      <w:bookmarkEnd w:id="34"/>
      <w:bookmarkEnd w:id="35"/>
      <w:bookmarkEnd w:id="36"/>
      <w:bookmarkEnd w:id="37"/>
      <w:bookmarkEnd w:id="38"/>
    </w:p>
    <w:p w14:paraId="487AAB18">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GB/T 24025、GB/T 24040、GB/T 24044、GB/T 24067、GB/T 32150以及</w:t>
      </w:r>
      <w:r>
        <w:rPr>
          <w:rFonts w:ascii="Times New Roman" w:hAnsi="Times New Roman" w:eastAsia="宋体" w:cs="Times New Roman"/>
          <w:kern w:val="2"/>
          <w:sz w:val="21"/>
          <w:szCs w:val="24"/>
          <w:lang w:eastAsia="zh-CN"/>
        </w:rPr>
        <w:t>T/CNIA 0005</w:t>
      </w:r>
      <w:r>
        <w:rPr>
          <w:rFonts w:hint="eastAsia" w:ascii="Times New Roman" w:hAnsi="Times New Roman" w:eastAsia="宋体" w:cs="Times New Roman"/>
          <w:kern w:val="2"/>
          <w:sz w:val="21"/>
          <w:szCs w:val="24"/>
          <w:lang w:eastAsia="zh-CN"/>
        </w:rPr>
        <w:t>界定的以及下列术语和定义适用于本文件</w:t>
      </w:r>
      <w:r>
        <w:rPr>
          <w:rFonts w:ascii="Times New Roman" w:hAnsi="Times New Roman" w:eastAsia="宋体" w:cs="Times New Roman"/>
          <w:kern w:val="2"/>
          <w:sz w:val="21"/>
          <w:szCs w:val="24"/>
          <w:lang w:eastAsia="zh-CN"/>
        </w:rPr>
        <w:t>。</w:t>
      </w:r>
    </w:p>
    <w:p w14:paraId="250295D5">
      <w:pPr>
        <w:adjustRightInd w:val="0"/>
        <w:snapToGrid w:val="0"/>
        <w:spacing w:before="158" w:beforeLines="50" w:after="158" w:afterLines="50" w:line="360" w:lineRule="auto"/>
        <w:jc w:val="both"/>
        <w:rPr>
          <w:rFonts w:ascii="黑体" w:hAnsi="黑体" w:eastAsia="黑体" w:cs="Times New Roman"/>
          <w:kern w:val="2"/>
          <w:sz w:val="21"/>
          <w:szCs w:val="24"/>
          <w:lang w:eastAsia="zh-CN"/>
        </w:rPr>
      </w:pPr>
      <w:r>
        <w:rPr>
          <w:rFonts w:ascii="黑体" w:hAnsi="黑体" w:eastAsia="黑体" w:cs="Times New Roman"/>
          <w:kern w:val="2"/>
          <w:sz w:val="21"/>
          <w:szCs w:val="24"/>
          <w:lang w:eastAsia="zh-CN"/>
        </w:rPr>
        <w:t xml:space="preserve">3.1  </w:t>
      </w:r>
    </w:p>
    <w:p w14:paraId="6F3AC53F">
      <w:pPr>
        <w:adjustRightInd w:val="0"/>
        <w:snapToGrid w:val="0"/>
        <w:spacing w:before="158" w:beforeLines="50" w:after="158" w:afterLines="50" w:line="360" w:lineRule="auto"/>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黑体" w:cs="Times New Roman"/>
          <w:kern w:val="2"/>
          <w:sz w:val="21"/>
          <w:szCs w:val="24"/>
          <w:lang w:eastAsia="zh-CN"/>
        </w:rPr>
        <w:t>稀土冶炼分离产品</w:t>
      </w:r>
      <w:r>
        <w:rPr>
          <w:rFonts w:ascii="Times New Roman" w:hAnsi="Times New Roman" w:eastAsia="宋体" w:cs="Times New Roman"/>
          <w:kern w:val="2"/>
          <w:sz w:val="21"/>
          <w:szCs w:val="24"/>
          <w:lang w:eastAsia="zh-CN"/>
        </w:rPr>
        <w:t xml:space="preserve"> </w:t>
      </w:r>
      <w:r>
        <w:rPr>
          <w:rFonts w:hint="eastAsia" w:ascii="Times New Roman" w:hAnsi="Times New Roman" w:eastAsia="宋体" w:cs="Times New Roman"/>
          <w:kern w:val="2"/>
          <w:sz w:val="21"/>
          <w:szCs w:val="24"/>
          <w:lang w:eastAsia="zh-CN"/>
        </w:rPr>
        <w:t>r</w:t>
      </w:r>
      <w:r>
        <w:rPr>
          <w:rFonts w:ascii="Times New Roman" w:hAnsi="Times New Roman" w:eastAsia="宋体" w:cs="Times New Roman"/>
          <w:kern w:val="2"/>
          <w:sz w:val="21"/>
          <w:szCs w:val="24"/>
          <w:lang w:eastAsia="zh-CN"/>
        </w:rPr>
        <w:t>are earth smelting separation products</w:t>
      </w:r>
    </w:p>
    <w:p w14:paraId="3CADFCEB">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bookmarkStart w:id="39" w:name="_Hlk199926816"/>
      <w:r>
        <w:rPr>
          <w:rFonts w:hint="eastAsia" w:ascii="Times New Roman" w:hAnsi="Times New Roman" w:eastAsia="宋体" w:cs="Times New Roman"/>
          <w:kern w:val="2"/>
          <w:sz w:val="21"/>
          <w:szCs w:val="24"/>
          <w:lang w:eastAsia="zh-CN"/>
        </w:rPr>
        <w:t>以稀土精矿或</w:t>
      </w:r>
      <w:r>
        <w:rPr>
          <w:rFonts w:hint="eastAsia" w:ascii="Times New Roman" w:hAnsi="Times New Roman" w:eastAsia="宋体" w:cs="Times New Roman"/>
          <w:kern w:val="2"/>
          <w:sz w:val="21"/>
          <w:szCs w:val="21"/>
          <w:lang w:eastAsia="zh-CN"/>
        </w:rPr>
        <w:t>含稀土的二次资源</w:t>
      </w:r>
      <w:r>
        <w:rPr>
          <w:rFonts w:hint="eastAsia" w:ascii="Times New Roman" w:hAnsi="Times New Roman" w:eastAsia="宋体" w:cs="Times New Roman"/>
          <w:kern w:val="2"/>
          <w:sz w:val="21"/>
          <w:szCs w:val="24"/>
          <w:lang w:eastAsia="zh-CN"/>
        </w:rPr>
        <w:t>为原料，经分解提取、分组、分离、化合物制备工艺中至少一步生产的单一稀土化合物或稀土富集物（包括但不限制于稀土卤化物、稀土硫酸盐、稀土硝酸盐、稀土碳酸盐、稀土磷酸盐、稀土草酸盐、稀土氧化物等）。</w:t>
      </w:r>
      <w:bookmarkEnd w:id="39"/>
    </w:p>
    <w:p w14:paraId="79CCA719">
      <w:pPr>
        <w:adjustRightInd w:val="0"/>
        <w:snapToGrid w:val="0"/>
        <w:spacing w:after="0" w:line="360" w:lineRule="auto"/>
        <w:ind w:firstLine="420" w:firstLineChars="200"/>
        <w:jc w:val="both"/>
        <w:rPr>
          <w:rFonts w:cs="Times New Roman" w:asciiTheme="minorEastAsia" w:hAnsiTheme="minorEastAsia"/>
          <w:kern w:val="2"/>
          <w:sz w:val="21"/>
          <w:szCs w:val="24"/>
          <w:lang w:eastAsia="zh-CN"/>
        </w:rPr>
      </w:pPr>
      <w:r>
        <w:rPr>
          <w:rFonts w:hint="eastAsia" w:cs="Times New Roman" w:asciiTheme="minorEastAsia" w:hAnsiTheme="minorEastAsia"/>
          <w:kern w:val="2"/>
          <w:sz w:val="21"/>
          <w:szCs w:val="24"/>
          <w:lang w:eastAsia="zh-CN"/>
        </w:rPr>
        <w:t>[来</w:t>
      </w:r>
      <w:r>
        <w:rPr>
          <w:rFonts w:hint="eastAsia" w:ascii="Times New Roman" w:hAnsi="Times New Roman" w:eastAsia="宋体" w:cs="Times New Roman"/>
          <w:kern w:val="2"/>
          <w:sz w:val="21"/>
          <w:szCs w:val="24"/>
          <w:lang w:eastAsia="zh-CN"/>
        </w:rPr>
        <w:t>源：</w:t>
      </w:r>
      <w:r>
        <w:rPr>
          <w:rFonts w:ascii="Times New Roman" w:hAnsi="Times New Roman" w:eastAsia="宋体" w:cs="Times New Roman"/>
          <w:kern w:val="2"/>
          <w:sz w:val="21"/>
          <w:szCs w:val="24"/>
          <w:lang w:eastAsia="zh-CN"/>
        </w:rPr>
        <w:t>T/CNIA 0005-2018</w:t>
      </w:r>
      <w:r>
        <w:rPr>
          <w:rFonts w:hint="eastAsia" w:ascii="Times New Roman" w:hAnsi="Times New Roman" w:eastAsia="宋体" w:cs="Times New Roman"/>
          <w:kern w:val="2"/>
          <w:sz w:val="21"/>
          <w:szCs w:val="24"/>
          <w:lang w:eastAsia="zh-CN"/>
        </w:rPr>
        <w:t>，3.4，有修改</w:t>
      </w:r>
      <w:r>
        <w:rPr>
          <w:rFonts w:hint="eastAsia" w:cs="Times New Roman" w:asciiTheme="minorEastAsia" w:hAnsiTheme="minorEastAsia"/>
          <w:kern w:val="2"/>
          <w:sz w:val="21"/>
          <w:szCs w:val="24"/>
          <w:lang w:eastAsia="zh-CN"/>
        </w:rPr>
        <w:t>]</w:t>
      </w:r>
    </w:p>
    <w:p w14:paraId="3B336138">
      <w:pPr>
        <w:adjustRightInd w:val="0"/>
        <w:snapToGrid w:val="0"/>
        <w:spacing w:before="158" w:beforeLines="50" w:after="158" w:afterLines="50" w:line="360" w:lineRule="auto"/>
        <w:jc w:val="both"/>
        <w:rPr>
          <w:rFonts w:ascii="黑体" w:hAnsi="黑体" w:eastAsia="黑体" w:cs="Times New Roman"/>
          <w:kern w:val="2"/>
          <w:sz w:val="21"/>
          <w:szCs w:val="24"/>
          <w:lang w:eastAsia="zh-CN"/>
        </w:rPr>
      </w:pPr>
      <w:r>
        <w:rPr>
          <w:rFonts w:ascii="黑体" w:hAnsi="黑体" w:eastAsia="黑体" w:cs="Times New Roman"/>
          <w:kern w:val="2"/>
          <w:sz w:val="21"/>
          <w:szCs w:val="24"/>
          <w:lang w:eastAsia="zh-CN"/>
        </w:rPr>
        <w:t>3.</w:t>
      </w:r>
      <w:r>
        <w:rPr>
          <w:rFonts w:hint="eastAsia" w:ascii="黑体" w:hAnsi="黑体" w:eastAsia="黑体" w:cs="Times New Roman"/>
          <w:kern w:val="2"/>
          <w:sz w:val="21"/>
          <w:szCs w:val="24"/>
          <w:lang w:eastAsia="zh-CN"/>
        </w:rPr>
        <w:t>2</w:t>
      </w:r>
      <w:r>
        <w:rPr>
          <w:rFonts w:ascii="黑体" w:hAnsi="黑体" w:eastAsia="黑体" w:cs="Times New Roman"/>
          <w:kern w:val="2"/>
          <w:sz w:val="21"/>
          <w:szCs w:val="24"/>
          <w:lang w:eastAsia="zh-CN"/>
        </w:rPr>
        <w:t xml:space="preserve">  </w:t>
      </w:r>
    </w:p>
    <w:p w14:paraId="3D2573FD">
      <w:pPr>
        <w:adjustRightInd w:val="0"/>
        <w:snapToGrid w:val="0"/>
        <w:spacing w:before="158" w:beforeLines="50" w:after="158" w:afterLines="50" w:line="360" w:lineRule="auto"/>
        <w:ind w:firstLine="420" w:firstLineChars="200"/>
        <w:jc w:val="both"/>
        <w:rPr>
          <w:rFonts w:ascii="Times New Roman" w:hAnsi="Times New Roman" w:eastAsia="宋体" w:cs="Times New Roman"/>
          <w:kern w:val="2"/>
          <w:sz w:val="21"/>
          <w:szCs w:val="24"/>
          <w:lang w:eastAsia="zh-CN"/>
        </w:rPr>
      </w:pPr>
      <w:r>
        <w:rPr>
          <w:rFonts w:ascii="Times New Roman" w:hAnsi="Times New Roman" w:eastAsia="黑体" w:cs="Times New Roman"/>
          <w:kern w:val="2"/>
          <w:sz w:val="21"/>
          <w:szCs w:val="24"/>
          <w:lang w:eastAsia="zh-CN"/>
        </w:rPr>
        <w:t>温室气体 greenhouse gas （GHG）</w:t>
      </w:r>
    </w:p>
    <w:p w14:paraId="60DF9829">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大气层中自然存在的和由于人类活动产生的能够吸收和散发由地球表面、大气层和云层所产生的波长在红外光谱内的辐射的气态成分。</w:t>
      </w:r>
    </w:p>
    <w:p w14:paraId="3779F31C">
      <w:pPr>
        <w:adjustRightInd w:val="0"/>
        <w:snapToGrid w:val="0"/>
        <w:spacing w:after="0" w:line="360" w:lineRule="auto"/>
        <w:ind w:firstLine="420" w:firstLineChars="200"/>
        <w:jc w:val="both"/>
        <w:rPr>
          <w:rFonts w:ascii="黑体" w:hAnsi="黑体" w:eastAsia="黑体" w:cs="Times New Roman"/>
          <w:kern w:val="2"/>
          <w:sz w:val="21"/>
          <w:szCs w:val="21"/>
          <w:lang w:eastAsia="zh-CN"/>
        </w:rPr>
      </w:pPr>
      <w:r>
        <w:rPr>
          <w:rFonts w:hint="eastAsia" w:ascii="黑体" w:hAnsi="黑体" w:eastAsia="黑体" w:cs="Times New Roman"/>
          <w:kern w:val="2"/>
          <w:sz w:val="21"/>
          <w:szCs w:val="21"/>
          <w:lang w:eastAsia="zh-CN"/>
        </w:rPr>
        <w:t>注：稀土</w:t>
      </w:r>
      <w:r>
        <w:rPr>
          <w:rFonts w:hint="eastAsia" w:ascii="黑体" w:hAnsi="黑体" w:eastAsia="黑体" w:cs="Times New Roman"/>
          <w:kern w:val="2"/>
          <w:sz w:val="21"/>
          <w:szCs w:val="21"/>
          <w:lang w:val="en-US" w:eastAsia="zh-CN"/>
        </w:rPr>
        <w:t>冶炼</w:t>
      </w:r>
      <w:r>
        <w:rPr>
          <w:rFonts w:hint="eastAsia" w:ascii="黑体" w:hAnsi="黑体" w:eastAsia="黑体" w:cs="Times New Roman"/>
          <w:kern w:val="2"/>
          <w:sz w:val="21"/>
          <w:szCs w:val="21"/>
          <w:lang w:eastAsia="zh-CN"/>
        </w:rPr>
        <w:t>分离生产过程排放的温室气体主要有CO</w:t>
      </w:r>
      <w:r>
        <w:rPr>
          <w:rFonts w:hint="eastAsia" w:ascii="黑体" w:hAnsi="黑体" w:eastAsia="黑体" w:cs="Times New Roman"/>
          <w:kern w:val="2"/>
          <w:sz w:val="21"/>
          <w:szCs w:val="21"/>
          <w:vertAlign w:val="subscript"/>
          <w:lang w:eastAsia="zh-CN"/>
        </w:rPr>
        <w:t>2</w:t>
      </w:r>
      <w:r>
        <w:rPr>
          <w:rFonts w:hint="eastAsia" w:ascii="Times New Roman" w:hAnsi="Times New Roman" w:eastAsia="宋体" w:cs="Times New Roman"/>
          <w:kern w:val="2"/>
          <w:sz w:val="21"/>
          <w:szCs w:val="24"/>
          <w:lang w:eastAsia="zh-CN"/>
        </w:rPr>
        <w:t>。</w:t>
      </w:r>
    </w:p>
    <w:p w14:paraId="7CDD4245">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cs="Times New Roman" w:asciiTheme="minorEastAsia" w:hAnsiTheme="minorEastAsia"/>
          <w:kern w:val="2"/>
          <w:sz w:val="21"/>
          <w:szCs w:val="24"/>
          <w:lang w:eastAsia="zh-CN"/>
        </w:rPr>
        <w:t>[来</w:t>
      </w:r>
      <w:r>
        <w:rPr>
          <w:rFonts w:hint="eastAsia" w:ascii="Times New Roman" w:hAnsi="Times New Roman" w:eastAsia="宋体" w:cs="Times New Roman"/>
          <w:kern w:val="2"/>
          <w:sz w:val="21"/>
          <w:szCs w:val="24"/>
          <w:lang w:eastAsia="zh-CN"/>
        </w:rPr>
        <w:t>源：GB/T 32150-2015，3.1，有修</w:t>
      </w:r>
      <w:r>
        <w:rPr>
          <w:rFonts w:hint="eastAsia" w:cs="Times New Roman" w:asciiTheme="minorEastAsia" w:hAnsiTheme="minorEastAsia"/>
          <w:kern w:val="2"/>
          <w:sz w:val="21"/>
          <w:szCs w:val="24"/>
          <w:lang w:eastAsia="zh-CN"/>
        </w:rPr>
        <w:t>改]</w:t>
      </w:r>
    </w:p>
    <w:p w14:paraId="4F44480D">
      <w:pPr>
        <w:adjustRightInd w:val="0"/>
        <w:snapToGrid w:val="0"/>
        <w:spacing w:before="158" w:beforeLines="50" w:after="158" w:afterLines="50" w:line="360" w:lineRule="auto"/>
        <w:jc w:val="both"/>
        <w:rPr>
          <w:rFonts w:ascii="黑体" w:hAnsi="黑体" w:eastAsia="黑体" w:cs="Times New Roman"/>
          <w:kern w:val="2"/>
          <w:sz w:val="21"/>
          <w:szCs w:val="24"/>
          <w:lang w:eastAsia="zh-CN"/>
        </w:rPr>
      </w:pPr>
      <w:r>
        <w:rPr>
          <w:rFonts w:ascii="黑体" w:hAnsi="黑体" w:eastAsia="黑体" w:cs="Times New Roman"/>
          <w:kern w:val="2"/>
          <w:sz w:val="21"/>
          <w:szCs w:val="24"/>
          <w:lang w:eastAsia="zh-CN"/>
        </w:rPr>
        <w:t>3.</w:t>
      </w:r>
      <w:r>
        <w:rPr>
          <w:rFonts w:hint="eastAsia" w:ascii="黑体" w:hAnsi="黑体" w:eastAsia="黑体" w:cs="Times New Roman"/>
          <w:kern w:val="2"/>
          <w:sz w:val="21"/>
          <w:szCs w:val="24"/>
          <w:lang w:eastAsia="zh-CN"/>
        </w:rPr>
        <w:t>3</w:t>
      </w:r>
      <w:r>
        <w:rPr>
          <w:rFonts w:ascii="黑体" w:hAnsi="黑体" w:eastAsia="黑体" w:cs="Times New Roman"/>
          <w:kern w:val="2"/>
          <w:sz w:val="21"/>
          <w:szCs w:val="24"/>
          <w:lang w:eastAsia="zh-CN"/>
        </w:rPr>
        <w:t xml:space="preserve">  </w:t>
      </w:r>
    </w:p>
    <w:p w14:paraId="098D05A6">
      <w:pPr>
        <w:adjustRightInd w:val="0"/>
        <w:snapToGrid w:val="0"/>
        <w:spacing w:before="158" w:beforeLines="50" w:after="158" w:afterLines="50" w:line="360" w:lineRule="auto"/>
        <w:ind w:firstLine="420" w:firstLineChars="200"/>
        <w:jc w:val="both"/>
        <w:rPr>
          <w:rFonts w:ascii="Times New Roman" w:hAnsi="Times New Roman" w:eastAsia="宋体" w:cs="Times New Roman"/>
          <w:kern w:val="2"/>
          <w:sz w:val="21"/>
          <w:szCs w:val="24"/>
          <w:lang w:eastAsia="zh-CN"/>
        </w:rPr>
      </w:pPr>
      <w:r>
        <w:rPr>
          <w:rFonts w:ascii="Times New Roman" w:hAnsi="Times New Roman" w:eastAsia="黑体" w:cs="Times New Roman"/>
          <w:kern w:val="2"/>
          <w:sz w:val="21"/>
          <w:szCs w:val="24"/>
          <w:lang w:eastAsia="zh-CN"/>
        </w:rPr>
        <w:t>产品碳足迹 carbon footprint of a product （CFP）</w:t>
      </w:r>
    </w:p>
    <w:p w14:paraId="021E6C81">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产品系统中的温室气体排放量和温室气体清除量之和，以二氧化碳</w:t>
      </w:r>
      <w:bookmarkStart w:id="40" w:name="OLE_LINK6"/>
      <w:r>
        <w:rPr>
          <w:rFonts w:hint="eastAsia" w:ascii="Times New Roman" w:hAnsi="Times New Roman" w:eastAsia="宋体" w:cs="Times New Roman"/>
          <w:kern w:val="2"/>
          <w:sz w:val="21"/>
          <w:szCs w:val="24"/>
          <w:lang w:eastAsia="zh-CN"/>
        </w:rPr>
        <w:t>CO</w:t>
      </w:r>
      <w:r>
        <w:rPr>
          <w:rFonts w:ascii="Times New Roman" w:hAnsi="Times New Roman" w:eastAsia="宋体" w:cs="Times New Roman"/>
          <w:kern w:val="2"/>
          <w:sz w:val="21"/>
          <w:szCs w:val="24"/>
          <w:vertAlign w:val="subscript"/>
          <w:lang w:eastAsia="zh-CN"/>
        </w:rPr>
        <w:t>2</w:t>
      </w:r>
      <w:bookmarkEnd w:id="40"/>
      <w:r>
        <w:rPr>
          <w:rFonts w:hint="eastAsia" w:ascii="Times New Roman" w:hAnsi="Times New Roman" w:eastAsia="宋体" w:cs="Times New Roman"/>
          <w:kern w:val="2"/>
          <w:sz w:val="21"/>
          <w:szCs w:val="24"/>
          <w:lang w:eastAsia="zh-CN"/>
        </w:rPr>
        <w:t>e当量为单位表示，基于使用气候变化单一影响类别的生命周期评价。</w:t>
      </w:r>
    </w:p>
    <w:p w14:paraId="1687A252">
      <w:pPr>
        <w:adjustRightInd w:val="0"/>
        <w:snapToGrid w:val="0"/>
        <w:spacing w:after="0" w:line="360" w:lineRule="auto"/>
        <w:ind w:firstLine="420" w:firstLineChars="200"/>
        <w:jc w:val="both"/>
        <w:rPr>
          <w:rFonts w:ascii="黑体" w:hAnsi="黑体" w:eastAsia="黑体" w:cs="Times New Roman"/>
          <w:kern w:val="2"/>
          <w:sz w:val="21"/>
          <w:szCs w:val="21"/>
          <w:lang w:eastAsia="zh-CN"/>
        </w:rPr>
      </w:pPr>
      <w:r>
        <w:rPr>
          <w:rFonts w:hint="eastAsia" w:ascii="黑体" w:hAnsi="黑体" w:eastAsia="黑体" w:cs="Times New Roman"/>
          <w:kern w:val="2"/>
          <w:sz w:val="21"/>
          <w:szCs w:val="21"/>
          <w:lang w:eastAsia="zh-CN"/>
        </w:rPr>
        <w:t>注：产品碳足迹研究报告中记录了产品碳足迹的量化结果，以每个功能单位的二氧化碳当量表示。</w:t>
      </w:r>
    </w:p>
    <w:p w14:paraId="485EAB1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cs="Times New Roman" w:asciiTheme="minorEastAsia" w:hAnsiTheme="minorEastAsia"/>
          <w:kern w:val="2"/>
          <w:sz w:val="21"/>
          <w:szCs w:val="24"/>
          <w:lang w:eastAsia="zh-CN"/>
        </w:rPr>
        <w:t>[来</w:t>
      </w:r>
      <w:r>
        <w:rPr>
          <w:rFonts w:ascii="Times New Roman" w:hAnsi="Times New Roman" w:eastAsia="宋体" w:cs="Times New Roman"/>
          <w:kern w:val="2"/>
          <w:sz w:val="21"/>
          <w:szCs w:val="21"/>
          <w:lang w:eastAsia="zh-CN"/>
        </w:rPr>
        <w:t>源：GB/T 24067-2024，3.1.1，有修</w:t>
      </w:r>
      <w:r>
        <w:rPr>
          <w:rFonts w:cs="Times New Roman" w:asciiTheme="minorEastAsia" w:hAnsiTheme="minorEastAsia"/>
          <w:kern w:val="2"/>
          <w:sz w:val="21"/>
          <w:szCs w:val="24"/>
          <w:lang w:eastAsia="zh-CN"/>
        </w:rPr>
        <w:t>改]</w:t>
      </w:r>
    </w:p>
    <w:p w14:paraId="67A5F0A5">
      <w:pPr>
        <w:adjustRightInd w:val="0"/>
        <w:snapToGrid w:val="0"/>
        <w:spacing w:before="158" w:beforeLines="50" w:after="158" w:afterLines="50" w:line="360" w:lineRule="auto"/>
        <w:jc w:val="both"/>
        <w:rPr>
          <w:rFonts w:ascii="黑体" w:hAnsi="黑体" w:eastAsia="黑体" w:cs="Times New Roman"/>
          <w:kern w:val="2"/>
          <w:sz w:val="21"/>
          <w:szCs w:val="24"/>
          <w:lang w:eastAsia="zh-CN"/>
        </w:rPr>
      </w:pPr>
      <w:r>
        <w:rPr>
          <w:rFonts w:ascii="黑体" w:hAnsi="黑体" w:eastAsia="黑体" w:cs="Times New Roman"/>
          <w:kern w:val="2"/>
          <w:sz w:val="21"/>
          <w:szCs w:val="24"/>
          <w:lang w:eastAsia="zh-CN"/>
        </w:rPr>
        <w:t>3.</w:t>
      </w:r>
      <w:r>
        <w:rPr>
          <w:rFonts w:hint="eastAsia" w:ascii="黑体" w:hAnsi="黑体" w:eastAsia="黑体" w:cs="Times New Roman"/>
          <w:kern w:val="2"/>
          <w:sz w:val="21"/>
          <w:szCs w:val="24"/>
          <w:lang w:eastAsia="zh-CN"/>
        </w:rPr>
        <w:t>4</w:t>
      </w:r>
      <w:r>
        <w:rPr>
          <w:rFonts w:ascii="黑体" w:hAnsi="黑体" w:eastAsia="黑体" w:cs="Times New Roman"/>
          <w:kern w:val="2"/>
          <w:sz w:val="21"/>
          <w:szCs w:val="24"/>
          <w:lang w:eastAsia="zh-CN"/>
        </w:rPr>
        <w:t xml:space="preserve">  </w:t>
      </w:r>
    </w:p>
    <w:p w14:paraId="640DCF64">
      <w:pPr>
        <w:adjustRightInd w:val="0"/>
        <w:snapToGrid w:val="0"/>
        <w:spacing w:before="158" w:beforeLines="50" w:after="158" w:afterLines="50" w:line="360" w:lineRule="auto"/>
        <w:ind w:firstLine="420" w:firstLineChars="200"/>
        <w:jc w:val="both"/>
        <w:rPr>
          <w:rFonts w:ascii="Times New Roman" w:hAnsi="Times New Roman" w:eastAsia="宋体" w:cs="Times New Roman"/>
          <w:kern w:val="2"/>
          <w:sz w:val="21"/>
          <w:szCs w:val="24"/>
          <w:lang w:eastAsia="zh-CN"/>
        </w:rPr>
      </w:pPr>
      <w:r>
        <w:rPr>
          <w:rFonts w:ascii="Times New Roman" w:hAnsi="Times New Roman" w:eastAsia="黑体" w:cs="Times New Roman"/>
          <w:kern w:val="2"/>
          <w:sz w:val="21"/>
          <w:szCs w:val="24"/>
          <w:lang w:eastAsia="zh-CN"/>
        </w:rPr>
        <w:t>产品系统 product system</w:t>
      </w:r>
    </w:p>
    <w:p w14:paraId="00DA2D49">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拥有基本流和产品流，同时具有一种或多种特定功能，并能模拟产品生命周期的单元过程的集合。</w:t>
      </w:r>
    </w:p>
    <w:p w14:paraId="4D0809F5">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cs="Times New Roman" w:asciiTheme="minorEastAsia" w:hAnsiTheme="minorEastAsia"/>
          <w:kern w:val="2"/>
          <w:sz w:val="21"/>
          <w:szCs w:val="24"/>
          <w:lang w:eastAsia="zh-CN"/>
        </w:rPr>
        <w:t>[来</w:t>
      </w:r>
      <w:r>
        <w:rPr>
          <w:rFonts w:hint="eastAsia" w:ascii="Times New Roman" w:hAnsi="Times New Roman" w:eastAsia="宋体" w:cs="Times New Roman"/>
          <w:kern w:val="2"/>
          <w:sz w:val="21"/>
          <w:szCs w:val="24"/>
          <w:lang w:eastAsia="zh-CN"/>
        </w:rPr>
        <w:t>源：GB/T 24044-2008，3.28</w:t>
      </w:r>
      <w:r>
        <w:rPr>
          <w:rFonts w:hint="eastAsia" w:cs="Times New Roman" w:asciiTheme="minorEastAsia" w:hAnsiTheme="minorEastAsia"/>
          <w:kern w:val="2"/>
          <w:sz w:val="21"/>
          <w:szCs w:val="24"/>
          <w:lang w:eastAsia="zh-CN"/>
        </w:rPr>
        <w:t>]</w:t>
      </w:r>
    </w:p>
    <w:p w14:paraId="4872DDF0">
      <w:pPr>
        <w:adjustRightInd w:val="0"/>
        <w:snapToGrid w:val="0"/>
        <w:spacing w:before="158" w:beforeLines="50" w:after="158" w:afterLines="50" w:line="360" w:lineRule="auto"/>
        <w:jc w:val="both"/>
        <w:rPr>
          <w:rFonts w:ascii="黑体" w:hAnsi="黑体" w:eastAsia="黑体" w:cs="Times New Roman"/>
          <w:kern w:val="2"/>
          <w:sz w:val="21"/>
          <w:szCs w:val="24"/>
          <w:lang w:eastAsia="zh-CN"/>
        </w:rPr>
      </w:pPr>
      <w:r>
        <w:rPr>
          <w:rFonts w:ascii="黑体" w:hAnsi="黑体" w:eastAsia="黑体" w:cs="Times New Roman"/>
          <w:kern w:val="2"/>
          <w:sz w:val="21"/>
          <w:szCs w:val="24"/>
          <w:lang w:eastAsia="zh-CN"/>
        </w:rPr>
        <w:t>3.</w:t>
      </w:r>
      <w:r>
        <w:rPr>
          <w:rFonts w:hint="eastAsia" w:ascii="黑体" w:hAnsi="黑体" w:eastAsia="黑体" w:cs="Times New Roman"/>
          <w:kern w:val="2"/>
          <w:sz w:val="21"/>
          <w:szCs w:val="24"/>
          <w:lang w:eastAsia="zh-CN"/>
        </w:rPr>
        <w:t>5</w:t>
      </w:r>
      <w:r>
        <w:rPr>
          <w:rFonts w:ascii="黑体" w:hAnsi="黑体" w:eastAsia="黑体" w:cs="Times New Roman"/>
          <w:kern w:val="2"/>
          <w:sz w:val="21"/>
          <w:szCs w:val="24"/>
          <w:lang w:eastAsia="zh-CN"/>
        </w:rPr>
        <w:t xml:space="preserve">  </w:t>
      </w:r>
    </w:p>
    <w:p w14:paraId="79B90EA2">
      <w:pPr>
        <w:adjustRightInd w:val="0"/>
        <w:snapToGrid w:val="0"/>
        <w:spacing w:before="158" w:beforeLines="50" w:after="158" w:afterLines="50" w:line="360" w:lineRule="auto"/>
        <w:ind w:firstLine="420" w:firstLineChars="200"/>
        <w:jc w:val="both"/>
        <w:rPr>
          <w:rFonts w:ascii="Times New Roman" w:hAnsi="Times New Roman" w:eastAsia="宋体" w:cs="Times New Roman"/>
          <w:kern w:val="2"/>
          <w:sz w:val="21"/>
          <w:szCs w:val="24"/>
          <w:lang w:eastAsia="zh-CN"/>
        </w:rPr>
      </w:pPr>
      <w:r>
        <w:rPr>
          <w:rFonts w:ascii="Times New Roman" w:hAnsi="Times New Roman" w:eastAsia="黑体" w:cs="Times New Roman"/>
          <w:kern w:val="2"/>
          <w:sz w:val="21"/>
          <w:szCs w:val="24"/>
          <w:lang w:eastAsia="zh-CN"/>
        </w:rPr>
        <w:t>系统边界 system boundary</w:t>
      </w:r>
    </w:p>
    <w:p w14:paraId="4B7363DF">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通过一组准则确定哪些单元过程属于产品系统的一部分。</w:t>
      </w:r>
    </w:p>
    <w:p w14:paraId="24CB4824">
      <w:pPr>
        <w:adjustRightInd w:val="0"/>
        <w:snapToGrid w:val="0"/>
        <w:spacing w:after="0" w:line="360" w:lineRule="auto"/>
        <w:ind w:firstLine="420" w:firstLineChars="200"/>
        <w:jc w:val="both"/>
        <w:rPr>
          <w:rFonts w:cs="Times New Roman" w:asciiTheme="minorEastAsia" w:hAnsiTheme="minorEastAsia"/>
          <w:kern w:val="2"/>
          <w:sz w:val="21"/>
          <w:szCs w:val="24"/>
          <w:lang w:eastAsia="zh-CN"/>
        </w:rPr>
      </w:pPr>
      <w:r>
        <w:rPr>
          <w:rFonts w:hint="eastAsia" w:cs="Times New Roman" w:asciiTheme="minorEastAsia" w:hAnsiTheme="minorEastAsia"/>
          <w:kern w:val="2"/>
          <w:sz w:val="21"/>
          <w:szCs w:val="24"/>
          <w:lang w:eastAsia="zh-CN"/>
        </w:rPr>
        <w:t>[</w:t>
      </w:r>
      <w:r>
        <w:rPr>
          <w:rFonts w:hint="eastAsia" w:ascii="Times New Roman" w:hAnsi="Times New Roman" w:eastAsia="宋体" w:cs="Times New Roman"/>
          <w:kern w:val="2"/>
          <w:sz w:val="21"/>
          <w:szCs w:val="24"/>
          <w:lang w:eastAsia="zh-CN"/>
        </w:rPr>
        <w:t>来源：</w:t>
      </w:r>
      <w:bookmarkStart w:id="41" w:name="OLE_LINK5"/>
      <w:r>
        <w:rPr>
          <w:rFonts w:ascii="Times New Roman" w:hAnsi="Times New Roman" w:eastAsia="宋体" w:cs="Times New Roman"/>
          <w:kern w:val="2"/>
          <w:sz w:val="21"/>
          <w:szCs w:val="24"/>
          <w:lang w:eastAsia="zh-CN"/>
        </w:rPr>
        <w:t>GB/T 24044-2008</w:t>
      </w:r>
      <w:bookmarkEnd w:id="41"/>
      <w:r>
        <w:rPr>
          <w:rFonts w:hint="eastAsia" w:ascii="Times New Roman" w:hAnsi="Times New Roman" w:eastAsia="宋体" w:cs="Times New Roman"/>
          <w:kern w:val="2"/>
          <w:sz w:val="21"/>
          <w:szCs w:val="24"/>
          <w:lang w:eastAsia="zh-CN"/>
        </w:rPr>
        <w:t>，</w:t>
      </w:r>
      <w:r>
        <w:rPr>
          <w:rFonts w:ascii="Times New Roman" w:hAnsi="Times New Roman" w:eastAsia="宋体" w:cs="Times New Roman"/>
          <w:kern w:val="2"/>
          <w:sz w:val="21"/>
          <w:szCs w:val="24"/>
          <w:lang w:eastAsia="zh-CN"/>
        </w:rPr>
        <w:t>3.32</w:t>
      </w:r>
      <w:r>
        <w:rPr>
          <w:rFonts w:hint="eastAsia" w:cs="Times New Roman" w:asciiTheme="minorEastAsia" w:hAnsiTheme="minorEastAsia"/>
          <w:kern w:val="2"/>
          <w:sz w:val="21"/>
          <w:szCs w:val="24"/>
          <w:lang w:eastAsia="zh-CN"/>
        </w:rPr>
        <w:t>]</w:t>
      </w:r>
    </w:p>
    <w:p w14:paraId="259B56A9">
      <w:pPr>
        <w:adjustRightInd w:val="0"/>
        <w:snapToGrid w:val="0"/>
        <w:spacing w:before="158" w:beforeLines="50" w:after="158" w:afterLines="50" w:line="360" w:lineRule="auto"/>
        <w:jc w:val="both"/>
        <w:rPr>
          <w:rFonts w:ascii="黑体" w:hAnsi="黑体" w:eastAsia="黑体" w:cs="Times New Roman"/>
          <w:kern w:val="2"/>
          <w:sz w:val="21"/>
          <w:szCs w:val="24"/>
          <w:lang w:eastAsia="zh-CN"/>
        </w:rPr>
      </w:pPr>
      <w:r>
        <w:rPr>
          <w:rFonts w:ascii="黑体" w:hAnsi="黑体" w:eastAsia="黑体" w:cs="Times New Roman"/>
          <w:kern w:val="2"/>
          <w:sz w:val="21"/>
          <w:szCs w:val="24"/>
          <w:lang w:eastAsia="zh-CN"/>
        </w:rPr>
        <w:t>3.</w:t>
      </w:r>
      <w:r>
        <w:rPr>
          <w:rFonts w:hint="eastAsia" w:ascii="黑体" w:hAnsi="黑体" w:eastAsia="黑体" w:cs="Times New Roman"/>
          <w:kern w:val="2"/>
          <w:sz w:val="21"/>
          <w:szCs w:val="24"/>
          <w:lang w:eastAsia="zh-CN"/>
        </w:rPr>
        <w:t>6</w:t>
      </w:r>
      <w:r>
        <w:rPr>
          <w:rFonts w:ascii="黑体" w:hAnsi="黑体" w:eastAsia="黑体" w:cs="Times New Roman"/>
          <w:kern w:val="2"/>
          <w:sz w:val="21"/>
          <w:szCs w:val="24"/>
          <w:lang w:eastAsia="zh-CN"/>
        </w:rPr>
        <w:t xml:space="preserve">  </w:t>
      </w:r>
    </w:p>
    <w:p w14:paraId="5358531B">
      <w:pPr>
        <w:adjustRightInd w:val="0"/>
        <w:snapToGrid w:val="0"/>
        <w:spacing w:before="158" w:beforeLines="50" w:after="158" w:afterLines="50" w:line="360" w:lineRule="auto"/>
        <w:ind w:firstLine="420" w:firstLineChars="200"/>
        <w:jc w:val="both"/>
        <w:rPr>
          <w:rFonts w:ascii="Times New Roman" w:hAnsi="Times New Roman" w:eastAsia="宋体" w:cs="Times New Roman"/>
          <w:kern w:val="2"/>
          <w:sz w:val="21"/>
          <w:szCs w:val="24"/>
          <w:lang w:eastAsia="zh-CN"/>
        </w:rPr>
      </w:pPr>
      <w:r>
        <w:rPr>
          <w:rFonts w:ascii="Times New Roman" w:hAnsi="Times New Roman" w:eastAsia="黑体" w:cs="Times New Roman"/>
          <w:kern w:val="2"/>
          <w:sz w:val="21"/>
          <w:szCs w:val="24"/>
          <w:lang w:eastAsia="zh-CN"/>
        </w:rPr>
        <w:t>单元过程 unit process</w:t>
      </w:r>
    </w:p>
    <w:p w14:paraId="7E79181C">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进行生命周期清单分析时为量化输入和输出数据而确定的最基本部分。</w:t>
      </w:r>
    </w:p>
    <w:p w14:paraId="069EDA32">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cs="Times New Roman" w:asciiTheme="minorEastAsia" w:hAnsiTheme="minorEastAsia"/>
          <w:kern w:val="2"/>
          <w:sz w:val="21"/>
          <w:szCs w:val="24"/>
          <w:lang w:eastAsia="zh-CN"/>
        </w:rPr>
        <w:t>[</w:t>
      </w:r>
      <w:r>
        <w:rPr>
          <w:rFonts w:hint="eastAsia" w:ascii="Times New Roman" w:hAnsi="Times New Roman" w:eastAsia="宋体" w:cs="Times New Roman"/>
          <w:kern w:val="2"/>
          <w:sz w:val="21"/>
          <w:szCs w:val="24"/>
          <w:lang w:eastAsia="zh-CN"/>
        </w:rPr>
        <w:t>来源：GB/T 24044-2008，3.34</w:t>
      </w:r>
      <w:r>
        <w:rPr>
          <w:rFonts w:hint="eastAsia" w:cs="Times New Roman" w:asciiTheme="minorEastAsia" w:hAnsiTheme="minorEastAsia"/>
          <w:kern w:val="2"/>
          <w:sz w:val="21"/>
          <w:szCs w:val="24"/>
          <w:lang w:eastAsia="zh-CN"/>
        </w:rPr>
        <w:t>]</w:t>
      </w:r>
    </w:p>
    <w:p w14:paraId="1725528F">
      <w:pPr>
        <w:adjustRightInd w:val="0"/>
        <w:snapToGrid w:val="0"/>
        <w:spacing w:before="158" w:beforeLines="50" w:after="158" w:afterLines="50" w:line="360" w:lineRule="auto"/>
        <w:jc w:val="both"/>
        <w:rPr>
          <w:rFonts w:ascii="黑体" w:hAnsi="黑体" w:eastAsia="黑体" w:cs="Times New Roman"/>
          <w:kern w:val="2"/>
          <w:sz w:val="21"/>
          <w:szCs w:val="24"/>
          <w:lang w:eastAsia="zh-CN"/>
        </w:rPr>
      </w:pPr>
      <w:r>
        <w:rPr>
          <w:rFonts w:ascii="黑体" w:hAnsi="黑体" w:eastAsia="黑体" w:cs="Times New Roman"/>
          <w:kern w:val="2"/>
          <w:sz w:val="21"/>
          <w:szCs w:val="24"/>
          <w:lang w:eastAsia="zh-CN"/>
        </w:rPr>
        <w:t>3.</w:t>
      </w:r>
      <w:r>
        <w:rPr>
          <w:rFonts w:hint="eastAsia" w:ascii="黑体" w:hAnsi="黑体" w:eastAsia="黑体" w:cs="Times New Roman"/>
          <w:kern w:val="2"/>
          <w:sz w:val="21"/>
          <w:szCs w:val="24"/>
          <w:lang w:eastAsia="zh-CN"/>
        </w:rPr>
        <w:t>7</w:t>
      </w:r>
      <w:r>
        <w:rPr>
          <w:rFonts w:ascii="黑体" w:hAnsi="黑体" w:eastAsia="黑体" w:cs="Times New Roman"/>
          <w:kern w:val="2"/>
          <w:sz w:val="21"/>
          <w:szCs w:val="24"/>
          <w:lang w:eastAsia="zh-CN"/>
        </w:rPr>
        <w:t xml:space="preserve">  </w:t>
      </w:r>
    </w:p>
    <w:p w14:paraId="0DDCF9BD">
      <w:pPr>
        <w:adjustRightInd w:val="0"/>
        <w:snapToGrid w:val="0"/>
        <w:spacing w:before="158" w:beforeLines="50" w:after="158" w:afterLines="50" w:line="360" w:lineRule="auto"/>
        <w:ind w:firstLine="420" w:firstLineChars="200"/>
        <w:jc w:val="both"/>
        <w:rPr>
          <w:rFonts w:ascii="Times New Roman" w:hAnsi="Times New Roman" w:eastAsia="宋体" w:cs="Times New Roman"/>
          <w:kern w:val="2"/>
          <w:sz w:val="21"/>
          <w:szCs w:val="24"/>
          <w:lang w:eastAsia="zh-CN"/>
        </w:rPr>
      </w:pPr>
      <w:r>
        <w:rPr>
          <w:rFonts w:ascii="Times New Roman" w:hAnsi="Times New Roman" w:eastAsia="黑体" w:cs="Times New Roman"/>
          <w:kern w:val="2"/>
          <w:sz w:val="21"/>
          <w:szCs w:val="24"/>
          <w:lang w:eastAsia="zh-CN"/>
        </w:rPr>
        <w:t>声明单位 declare unit</w:t>
      </w:r>
    </w:p>
    <w:p w14:paraId="71658D91">
      <w:pPr>
        <w:adjustRightInd w:val="0"/>
        <w:snapToGrid w:val="0"/>
        <w:spacing w:after="0" w:line="360" w:lineRule="auto"/>
        <w:ind w:firstLine="424" w:firstLineChars="202"/>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用来量化产品部分碳足迹的基准单位。</w:t>
      </w:r>
    </w:p>
    <w:p w14:paraId="72E9F440">
      <w:pPr>
        <w:adjustRightInd w:val="0"/>
        <w:snapToGrid w:val="0"/>
        <w:spacing w:after="0" w:line="360" w:lineRule="auto"/>
        <w:ind w:firstLine="495" w:firstLineChars="236"/>
        <w:jc w:val="both"/>
        <w:rPr>
          <w:rFonts w:ascii="黑体" w:hAnsi="黑体" w:eastAsia="黑体" w:cs="Times New Roman"/>
          <w:kern w:val="2"/>
          <w:sz w:val="21"/>
          <w:szCs w:val="21"/>
          <w:lang w:eastAsia="zh-CN"/>
        </w:rPr>
      </w:pPr>
      <w:r>
        <w:rPr>
          <w:rFonts w:hint="eastAsia" w:ascii="黑体" w:hAnsi="黑体" w:eastAsia="黑体" w:cs="Times New Roman"/>
          <w:kern w:val="2"/>
          <w:sz w:val="21"/>
          <w:szCs w:val="21"/>
          <w:lang w:eastAsia="zh-CN"/>
        </w:rPr>
        <w:t>注：本文件指1吨稀土</w:t>
      </w:r>
      <w:r>
        <w:rPr>
          <w:rFonts w:hint="eastAsia" w:ascii="黑体" w:hAnsi="黑体" w:eastAsia="黑体" w:cs="Times New Roman"/>
          <w:kern w:val="2"/>
          <w:sz w:val="21"/>
          <w:szCs w:val="21"/>
          <w:lang w:val="en-US" w:eastAsia="zh-CN"/>
        </w:rPr>
        <w:t>冶炼</w:t>
      </w:r>
      <w:r>
        <w:rPr>
          <w:rFonts w:hint="eastAsia" w:ascii="黑体" w:hAnsi="黑体" w:eastAsia="黑体" w:cs="Times New Roman"/>
          <w:kern w:val="2"/>
          <w:sz w:val="21"/>
          <w:szCs w:val="21"/>
          <w:lang w:eastAsia="zh-CN"/>
        </w:rPr>
        <w:t>分离产品。</w:t>
      </w:r>
    </w:p>
    <w:p w14:paraId="5FF4DF92">
      <w:pPr>
        <w:adjustRightInd w:val="0"/>
        <w:snapToGrid w:val="0"/>
        <w:spacing w:after="0" w:line="360" w:lineRule="auto"/>
        <w:ind w:firstLine="420" w:firstLineChars="200"/>
        <w:jc w:val="both"/>
        <w:rPr>
          <w:rFonts w:cs="Times New Roman" w:asciiTheme="minorEastAsia" w:hAnsiTheme="minorEastAsia"/>
          <w:kern w:val="2"/>
          <w:sz w:val="21"/>
          <w:szCs w:val="24"/>
          <w:lang w:eastAsia="zh-CN"/>
        </w:rPr>
      </w:pPr>
      <w:r>
        <w:rPr>
          <w:rFonts w:hint="eastAsia" w:cs="Times New Roman" w:asciiTheme="minorEastAsia" w:hAnsiTheme="minorEastAsia"/>
          <w:kern w:val="2"/>
          <w:sz w:val="21"/>
          <w:szCs w:val="24"/>
          <w:lang w:eastAsia="zh-CN"/>
        </w:rPr>
        <w:t>[来源</w:t>
      </w:r>
      <w:r>
        <w:rPr>
          <w:rFonts w:hint="eastAsia" w:ascii="Times New Roman" w:hAnsi="Times New Roman" w:eastAsia="宋体" w:cs="Times New Roman"/>
          <w:kern w:val="2"/>
          <w:sz w:val="21"/>
          <w:szCs w:val="24"/>
          <w:lang w:eastAsia="zh-CN"/>
        </w:rPr>
        <w:t>：GB/T 24067-2024，3.3.8，有修改</w:t>
      </w:r>
      <w:r>
        <w:rPr>
          <w:rFonts w:hint="eastAsia" w:cs="Times New Roman" w:asciiTheme="minorEastAsia" w:hAnsiTheme="minorEastAsia"/>
          <w:kern w:val="2"/>
          <w:sz w:val="21"/>
          <w:szCs w:val="24"/>
          <w:lang w:eastAsia="zh-CN"/>
        </w:rPr>
        <w:t>]</w:t>
      </w:r>
    </w:p>
    <w:p w14:paraId="5031D375">
      <w:pPr>
        <w:adjustRightInd w:val="0"/>
        <w:snapToGrid w:val="0"/>
        <w:spacing w:before="158" w:beforeLines="50" w:after="158" w:afterLines="50" w:line="360" w:lineRule="auto"/>
        <w:jc w:val="both"/>
        <w:rPr>
          <w:rFonts w:ascii="黑体" w:hAnsi="黑体" w:eastAsia="黑体" w:cs="Times New Roman"/>
          <w:kern w:val="2"/>
          <w:sz w:val="21"/>
          <w:szCs w:val="24"/>
          <w:lang w:eastAsia="zh-CN"/>
        </w:rPr>
      </w:pPr>
      <w:r>
        <w:rPr>
          <w:rFonts w:ascii="黑体" w:hAnsi="黑体" w:eastAsia="黑体" w:cs="Times New Roman"/>
          <w:kern w:val="2"/>
          <w:sz w:val="21"/>
          <w:szCs w:val="24"/>
          <w:lang w:eastAsia="zh-CN"/>
        </w:rPr>
        <w:t>3.</w:t>
      </w:r>
      <w:r>
        <w:rPr>
          <w:rFonts w:hint="eastAsia" w:ascii="黑体" w:hAnsi="黑体" w:eastAsia="黑体" w:cs="Times New Roman"/>
          <w:kern w:val="2"/>
          <w:sz w:val="21"/>
          <w:szCs w:val="24"/>
          <w:lang w:eastAsia="zh-CN"/>
        </w:rPr>
        <w:t>8</w:t>
      </w:r>
      <w:r>
        <w:rPr>
          <w:rFonts w:ascii="黑体" w:hAnsi="黑体" w:eastAsia="黑体" w:cs="Times New Roman"/>
          <w:kern w:val="2"/>
          <w:sz w:val="21"/>
          <w:szCs w:val="24"/>
          <w:lang w:eastAsia="zh-CN"/>
        </w:rPr>
        <w:t xml:space="preserve">  </w:t>
      </w:r>
    </w:p>
    <w:p w14:paraId="228A0D2B">
      <w:pPr>
        <w:adjustRightInd w:val="0"/>
        <w:snapToGrid w:val="0"/>
        <w:spacing w:before="158" w:beforeLines="50" w:after="158" w:afterLines="50" w:line="360" w:lineRule="auto"/>
        <w:ind w:firstLine="420" w:firstLineChars="200"/>
        <w:jc w:val="both"/>
        <w:rPr>
          <w:rFonts w:ascii="Times New Roman" w:hAnsi="Times New Roman" w:eastAsia="宋体" w:cs="Times New Roman"/>
          <w:kern w:val="2"/>
          <w:sz w:val="21"/>
          <w:szCs w:val="24"/>
          <w:lang w:eastAsia="zh-CN"/>
        </w:rPr>
      </w:pPr>
      <w:r>
        <w:rPr>
          <w:rFonts w:ascii="Times New Roman" w:hAnsi="Times New Roman" w:eastAsia="黑体" w:cs="Times New Roman"/>
          <w:kern w:val="2"/>
          <w:sz w:val="21"/>
          <w:szCs w:val="24"/>
          <w:lang w:eastAsia="zh-CN"/>
        </w:rPr>
        <w:t>活动数据 activity data</w:t>
      </w:r>
    </w:p>
    <w:p w14:paraId="2527E00C">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导致温室气体排放的生产或消费活动量的表征值。</w:t>
      </w:r>
    </w:p>
    <w:p w14:paraId="05CAF365">
      <w:pPr>
        <w:adjustRightInd w:val="0"/>
        <w:snapToGrid w:val="0"/>
        <w:spacing w:after="0" w:line="360" w:lineRule="auto"/>
        <w:ind w:firstLine="420" w:firstLineChars="200"/>
        <w:jc w:val="both"/>
        <w:rPr>
          <w:rFonts w:cs="Times New Roman" w:asciiTheme="minorEastAsia" w:hAnsiTheme="minorEastAsia"/>
          <w:kern w:val="2"/>
          <w:sz w:val="21"/>
          <w:szCs w:val="24"/>
          <w:lang w:eastAsia="zh-CN"/>
        </w:rPr>
      </w:pPr>
      <w:r>
        <w:rPr>
          <w:rFonts w:hint="eastAsia" w:cs="Times New Roman" w:asciiTheme="minorEastAsia" w:hAnsiTheme="minorEastAsia"/>
          <w:kern w:val="2"/>
          <w:sz w:val="21"/>
          <w:szCs w:val="24"/>
          <w:lang w:eastAsia="zh-CN"/>
        </w:rPr>
        <w:t>[</w:t>
      </w:r>
      <w:r>
        <w:rPr>
          <w:rFonts w:hint="eastAsia" w:ascii="Times New Roman" w:hAnsi="Times New Roman" w:eastAsia="宋体" w:cs="Times New Roman"/>
          <w:kern w:val="2"/>
          <w:sz w:val="21"/>
          <w:szCs w:val="24"/>
          <w:lang w:eastAsia="zh-CN"/>
        </w:rPr>
        <w:t>来源：GB/T 32150-2015，3.12，有修改</w:t>
      </w:r>
      <w:r>
        <w:rPr>
          <w:rFonts w:hint="eastAsia" w:cs="Times New Roman" w:asciiTheme="minorEastAsia" w:hAnsiTheme="minorEastAsia"/>
          <w:kern w:val="2"/>
          <w:sz w:val="21"/>
          <w:szCs w:val="24"/>
          <w:lang w:eastAsia="zh-CN"/>
        </w:rPr>
        <w:t>]</w:t>
      </w:r>
    </w:p>
    <w:p w14:paraId="55E824A9">
      <w:pPr>
        <w:adjustRightInd w:val="0"/>
        <w:snapToGrid w:val="0"/>
        <w:spacing w:before="158" w:beforeLines="50" w:after="158" w:afterLines="50" w:line="360" w:lineRule="auto"/>
        <w:jc w:val="both"/>
        <w:rPr>
          <w:rFonts w:ascii="黑体" w:hAnsi="黑体" w:eastAsia="黑体" w:cs="Times New Roman"/>
          <w:kern w:val="2"/>
          <w:sz w:val="21"/>
          <w:szCs w:val="24"/>
          <w:lang w:eastAsia="zh-CN"/>
        </w:rPr>
      </w:pPr>
      <w:r>
        <w:rPr>
          <w:rFonts w:ascii="黑体" w:hAnsi="黑体" w:eastAsia="黑体" w:cs="Times New Roman"/>
          <w:kern w:val="2"/>
          <w:sz w:val="21"/>
          <w:szCs w:val="24"/>
          <w:lang w:eastAsia="zh-CN"/>
        </w:rPr>
        <w:t>3.</w:t>
      </w:r>
      <w:r>
        <w:rPr>
          <w:rFonts w:hint="eastAsia" w:ascii="黑体" w:hAnsi="黑体" w:eastAsia="黑体" w:cs="Times New Roman"/>
          <w:kern w:val="2"/>
          <w:sz w:val="21"/>
          <w:szCs w:val="24"/>
          <w:lang w:eastAsia="zh-CN"/>
        </w:rPr>
        <w:t>9</w:t>
      </w:r>
      <w:r>
        <w:rPr>
          <w:rFonts w:ascii="黑体" w:hAnsi="黑体" w:eastAsia="黑体" w:cs="Times New Roman"/>
          <w:kern w:val="2"/>
          <w:sz w:val="21"/>
          <w:szCs w:val="24"/>
          <w:lang w:eastAsia="zh-CN"/>
        </w:rPr>
        <w:t xml:space="preserve">  </w:t>
      </w:r>
    </w:p>
    <w:p w14:paraId="45D33F5C">
      <w:pPr>
        <w:adjustRightInd w:val="0"/>
        <w:snapToGrid w:val="0"/>
        <w:spacing w:before="158" w:beforeLines="50" w:after="158" w:afterLines="50" w:line="360" w:lineRule="auto"/>
        <w:ind w:firstLine="420" w:firstLineChars="200"/>
        <w:jc w:val="both"/>
        <w:rPr>
          <w:rFonts w:ascii="Times New Roman" w:hAnsi="Times New Roman" w:eastAsia="宋体" w:cs="Times New Roman"/>
          <w:kern w:val="2"/>
          <w:sz w:val="21"/>
          <w:szCs w:val="24"/>
          <w:lang w:eastAsia="zh-CN"/>
        </w:rPr>
      </w:pPr>
      <w:r>
        <w:rPr>
          <w:rFonts w:ascii="Times New Roman" w:hAnsi="Times New Roman" w:eastAsia="黑体" w:cs="Times New Roman"/>
          <w:kern w:val="2"/>
          <w:sz w:val="21"/>
          <w:szCs w:val="24"/>
          <w:lang w:eastAsia="zh-CN"/>
        </w:rPr>
        <w:t>初级数据 primary data</w:t>
      </w:r>
    </w:p>
    <w:p w14:paraId="54328FB3">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通过直接测量或基于直接测量的计算得到的过程或活动的量化值。</w:t>
      </w:r>
    </w:p>
    <w:p w14:paraId="46934A2F">
      <w:pPr>
        <w:adjustRightInd w:val="0"/>
        <w:snapToGrid w:val="0"/>
        <w:spacing w:after="0" w:line="360" w:lineRule="auto"/>
        <w:ind w:firstLine="495" w:firstLineChars="236"/>
        <w:jc w:val="both"/>
        <w:rPr>
          <w:rFonts w:ascii="黑体" w:hAnsi="黑体" w:eastAsia="黑体" w:cs="Times New Roman"/>
          <w:kern w:val="2"/>
          <w:sz w:val="21"/>
          <w:szCs w:val="21"/>
          <w:lang w:eastAsia="zh-CN"/>
        </w:rPr>
      </w:pPr>
      <w:r>
        <w:rPr>
          <w:rFonts w:hint="eastAsia" w:ascii="黑体" w:hAnsi="黑体" w:eastAsia="黑体" w:cs="Times New Roman"/>
          <w:kern w:val="2"/>
          <w:sz w:val="21"/>
          <w:szCs w:val="21"/>
          <w:lang w:eastAsia="zh-CN"/>
        </w:rPr>
        <w:t>注：初级数据可以包括温室气体排放因子或温室气体活动数据。</w:t>
      </w:r>
    </w:p>
    <w:p w14:paraId="32BFB9B8">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cs="Times New Roman" w:asciiTheme="minorEastAsia" w:hAnsiTheme="minorEastAsia"/>
          <w:kern w:val="2"/>
          <w:sz w:val="21"/>
          <w:szCs w:val="24"/>
          <w:lang w:eastAsia="zh-CN"/>
        </w:rPr>
        <w:t>[来</w:t>
      </w:r>
      <w:r>
        <w:rPr>
          <w:rFonts w:hint="eastAsia" w:ascii="Times New Roman" w:hAnsi="Times New Roman" w:eastAsia="宋体" w:cs="Times New Roman"/>
          <w:kern w:val="2"/>
          <w:sz w:val="21"/>
          <w:szCs w:val="24"/>
          <w:lang w:eastAsia="zh-CN"/>
        </w:rPr>
        <w:t>源：GB/T 24067-2024，3.6.1，有修</w:t>
      </w:r>
      <w:r>
        <w:rPr>
          <w:rFonts w:hint="eastAsia" w:cs="Times New Roman" w:asciiTheme="minorEastAsia" w:hAnsiTheme="minorEastAsia"/>
          <w:kern w:val="2"/>
          <w:sz w:val="21"/>
          <w:szCs w:val="24"/>
          <w:lang w:eastAsia="zh-CN"/>
        </w:rPr>
        <w:t>改]</w:t>
      </w:r>
    </w:p>
    <w:p w14:paraId="00448CB5">
      <w:pPr>
        <w:adjustRightInd w:val="0"/>
        <w:snapToGrid w:val="0"/>
        <w:spacing w:before="158" w:beforeLines="50" w:after="158" w:afterLines="50" w:line="360" w:lineRule="auto"/>
        <w:jc w:val="both"/>
        <w:rPr>
          <w:rFonts w:ascii="黑体" w:hAnsi="黑体" w:eastAsia="黑体" w:cs="Times New Roman"/>
          <w:kern w:val="2"/>
          <w:sz w:val="21"/>
          <w:szCs w:val="24"/>
          <w:lang w:eastAsia="zh-CN"/>
        </w:rPr>
      </w:pPr>
      <w:r>
        <w:rPr>
          <w:rFonts w:ascii="黑体" w:hAnsi="黑体" w:eastAsia="黑体" w:cs="Times New Roman"/>
          <w:kern w:val="2"/>
          <w:sz w:val="21"/>
          <w:szCs w:val="24"/>
          <w:lang w:eastAsia="zh-CN"/>
        </w:rPr>
        <w:t>3.</w:t>
      </w:r>
      <w:r>
        <w:rPr>
          <w:rFonts w:hint="eastAsia" w:ascii="黑体" w:hAnsi="黑体" w:eastAsia="黑体" w:cs="Times New Roman"/>
          <w:kern w:val="2"/>
          <w:sz w:val="21"/>
          <w:szCs w:val="24"/>
          <w:lang w:eastAsia="zh-CN"/>
        </w:rPr>
        <w:t>10</w:t>
      </w:r>
      <w:r>
        <w:rPr>
          <w:rFonts w:ascii="黑体" w:hAnsi="黑体" w:eastAsia="黑体" w:cs="Times New Roman"/>
          <w:kern w:val="2"/>
          <w:sz w:val="21"/>
          <w:szCs w:val="24"/>
          <w:lang w:eastAsia="zh-CN"/>
        </w:rPr>
        <w:t xml:space="preserve">  </w:t>
      </w:r>
    </w:p>
    <w:p w14:paraId="60D6AC75">
      <w:pPr>
        <w:adjustRightInd w:val="0"/>
        <w:snapToGrid w:val="0"/>
        <w:spacing w:before="158" w:beforeLines="50" w:after="158" w:afterLines="50" w:line="360" w:lineRule="auto"/>
        <w:ind w:firstLine="420" w:firstLineChars="200"/>
        <w:jc w:val="both"/>
        <w:rPr>
          <w:rFonts w:ascii="Times New Roman" w:hAnsi="Times New Roman" w:eastAsia="宋体" w:cs="Times New Roman"/>
          <w:kern w:val="2"/>
          <w:sz w:val="21"/>
          <w:szCs w:val="24"/>
          <w:lang w:eastAsia="zh-CN"/>
        </w:rPr>
      </w:pPr>
      <w:r>
        <w:rPr>
          <w:rFonts w:ascii="Times New Roman" w:hAnsi="Times New Roman" w:eastAsia="黑体" w:cs="Times New Roman"/>
          <w:kern w:val="2"/>
          <w:sz w:val="21"/>
          <w:szCs w:val="24"/>
          <w:lang w:eastAsia="zh-CN"/>
        </w:rPr>
        <w:t>次级数据 secondary data</w:t>
      </w:r>
    </w:p>
    <w:p w14:paraId="26A2E0E5">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不符合初级数据要求的数据。</w:t>
      </w:r>
    </w:p>
    <w:p w14:paraId="2F215B65">
      <w:pPr>
        <w:adjustRightInd w:val="0"/>
        <w:snapToGrid w:val="0"/>
        <w:spacing w:after="0" w:line="360" w:lineRule="auto"/>
        <w:ind w:firstLine="495" w:firstLineChars="236"/>
        <w:jc w:val="both"/>
        <w:rPr>
          <w:rFonts w:ascii="Times New Roman" w:hAnsi="Times New Roman" w:eastAsia="宋体" w:cs="Times New Roman"/>
          <w:kern w:val="2"/>
          <w:sz w:val="21"/>
          <w:szCs w:val="21"/>
          <w:lang w:eastAsia="zh-CN"/>
        </w:rPr>
      </w:pPr>
      <w:r>
        <w:rPr>
          <w:rFonts w:hint="eastAsia" w:ascii="黑体" w:hAnsi="黑体" w:eastAsia="黑体" w:cs="Times New Roman"/>
          <w:kern w:val="2"/>
          <w:sz w:val="21"/>
          <w:szCs w:val="21"/>
          <w:lang w:eastAsia="zh-CN"/>
        </w:rPr>
        <w:t>注1：次级数据是经权威机构验证且有可信度的数据，可来源于数据库、公开文献、国家排放因子、计算估算数据或其他具有代表性的数据，推荐使用本土化数据库。</w:t>
      </w:r>
    </w:p>
    <w:p w14:paraId="37A847CE">
      <w:pPr>
        <w:adjustRightInd w:val="0"/>
        <w:snapToGrid w:val="0"/>
        <w:spacing w:after="0" w:line="360" w:lineRule="auto"/>
        <w:ind w:firstLine="495" w:firstLineChars="236"/>
        <w:jc w:val="both"/>
        <w:rPr>
          <w:rFonts w:ascii="黑体" w:hAnsi="黑体" w:eastAsia="黑体" w:cs="Times New Roman"/>
          <w:kern w:val="2"/>
          <w:sz w:val="21"/>
          <w:szCs w:val="21"/>
          <w:lang w:eastAsia="zh-CN"/>
        </w:rPr>
      </w:pPr>
      <w:r>
        <w:rPr>
          <w:rFonts w:hint="eastAsia" w:ascii="黑体" w:hAnsi="黑体" w:eastAsia="黑体" w:cs="Times New Roman"/>
          <w:kern w:val="2"/>
          <w:sz w:val="21"/>
          <w:szCs w:val="21"/>
          <w:lang w:eastAsia="zh-CN"/>
        </w:rPr>
        <w:t>注2：次级数据可包括从代替过程或估算获得的数据。</w:t>
      </w:r>
    </w:p>
    <w:p w14:paraId="519A71A1">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cs="Times New Roman" w:asciiTheme="minorEastAsia" w:hAnsiTheme="minorEastAsia"/>
          <w:kern w:val="2"/>
          <w:sz w:val="21"/>
          <w:szCs w:val="24"/>
          <w:lang w:eastAsia="zh-CN"/>
        </w:rPr>
        <w:t>[</w:t>
      </w:r>
      <w:r>
        <w:rPr>
          <w:rFonts w:hint="eastAsia" w:ascii="Times New Roman" w:hAnsi="Times New Roman" w:eastAsia="宋体" w:cs="Times New Roman"/>
          <w:kern w:val="2"/>
          <w:sz w:val="21"/>
          <w:szCs w:val="24"/>
          <w:lang w:eastAsia="zh-CN"/>
        </w:rPr>
        <w:t>来源：GB/T 24067-2024，3.6.3</w:t>
      </w:r>
      <w:r>
        <w:rPr>
          <w:rFonts w:hint="eastAsia" w:cs="Times New Roman" w:asciiTheme="minorEastAsia" w:hAnsiTheme="minorEastAsia"/>
          <w:kern w:val="2"/>
          <w:sz w:val="21"/>
          <w:szCs w:val="24"/>
          <w:lang w:eastAsia="zh-CN"/>
        </w:rPr>
        <w:t>]</w:t>
      </w:r>
    </w:p>
    <w:p w14:paraId="2D060F6C">
      <w:pPr>
        <w:adjustRightInd w:val="0"/>
        <w:snapToGrid w:val="0"/>
        <w:spacing w:before="158" w:beforeLines="50" w:after="158" w:afterLines="50" w:line="360" w:lineRule="auto"/>
        <w:jc w:val="both"/>
        <w:rPr>
          <w:rFonts w:ascii="黑体" w:hAnsi="黑体" w:eastAsia="黑体" w:cs="Times New Roman"/>
          <w:kern w:val="2"/>
          <w:sz w:val="21"/>
          <w:szCs w:val="24"/>
          <w:lang w:eastAsia="zh-CN"/>
        </w:rPr>
      </w:pPr>
      <w:r>
        <w:rPr>
          <w:rFonts w:ascii="黑体" w:hAnsi="黑体" w:eastAsia="黑体" w:cs="Times New Roman"/>
          <w:kern w:val="2"/>
          <w:sz w:val="21"/>
          <w:szCs w:val="24"/>
          <w:lang w:eastAsia="zh-CN"/>
        </w:rPr>
        <w:t>3.</w:t>
      </w:r>
      <w:r>
        <w:rPr>
          <w:rFonts w:hint="eastAsia" w:ascii="黑体" w:hAnsi="黑体" w:eastAsia="黑体" w:cs="Times New Roman"/>
          <w:kern w:val="2"/>
          <w:sz w:val="21"/>
          <w:szCs w:val="24"/>
          <w:lang w:eastAsia="zh-CN"/>
        </w:rPr>
        <w:t>11</w:t>
      </w:r>
      <w:r>
        <w:rPr>
          <w:rFonts w:ascii="黑体" w:hAnsi="黑体" w:eastAsia="黑体" w:cs="Times New Roman"/>
          <w:kern w:val="2"/>
          <w:sz w:val="21"/>
          <w:szCs w:val="24"/>
          <w:lang w:eastAsia="zh-CN"/>
        </w:rPr>
        <w:t xml:space="preserve">  </w:t>
      </w:r>
    </w:p>
    <w:p w14:paraId="5C8A6538">
      <w:pPr>
        <w:adjustRightInd w:val="0"/>
        <w:snapToGrid w:val="0"/>
        <w:spacing w:before="158" w:beforeLines="50" w:after="158" w:afterLines="50" w:line="360" w:lineRule="auto"/>
        <w:ind w:firstLine="420" w:firstLineChars="200"/>
        <w:jc w:val="both"/>
        <w:rPr>
          <w:rFonts w:ascii="Times New Roman" w:hAnsi="Times New Roman" w:eastAsia="宋体" w:cs="Times New Roman"/>
          <w:kern w:val="2"/>
          <w:sz w:val="21"/>
          <w:szCs w:val="24"/>
          <w:lang w:eastAsia="zh-CN"/>
        </w:rPr>
      </w:pPr>
      <w:r>
        <w:rPr>
          <w:rFonts w:ascii="Times New Roman" w:hAnsi="Times New Roman" w:eastAsia="黑体" w:cs="Times New Roman"/>
          <w:kern w:val="2"/>
          <w:sz w:val="21"/>
          <w:szCs w:val="24"/>
          <w:lang w:eastAsia="zh-CN"/>
        </w:rPr>
        <w:t>现场数据 site-specific data</w:t>
      </w:r>
    </w:p>
    <w:p w14:paraId="51F793C5">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从产品系统内获得的初级数据。</w:t>
      </w:r>
    </w:p>
    <w:p w14:paraId="4459FE05">
      <w:pPr>
        <w:adjustRightInd w:val="0"/>
        <w:snapToGrid w:val="0"/>
        <w:spacing w:after="0" w:line="360" w:lineRule="auto"/>
        <w:ind w:firstLine="495" w:firstLineChars="236"/>
        <w:jc w:val="both"/>
        <w:rPr>
          <w:rFonts w:ascii="Times New Roman" w:hAnsi="Times New Roman" w:eastAsia="宋体" w:cs="Times New Roman"/>
          <w:kern w:val="2"/>
          <w:sz w:val="21"/>
          <w:szCs w:val="21"/>
          <w:lang w:eastAsia="zh-CN"/>
        </w:rPr>
      </w:pPr>
      <w:r>
        <w:rPr>
          <w:rFonts w:hint="eastAsia" w:ascii="黑体" w:hAnsi="黑体" w:eastAsia="黑体" w:cs="Times New Roman"/>
          <w:kern w:val="2"/>
          <w:sz w:val="21"/>
          <w:szCs w:val="21"/>
          <w:lang w:eastAsia="zh-CN"/>
        </w:rPr>
        <w:t>注：所有现场数据均为初级数据，但并不是所有初级数据都是现场数据。初级数据可能是从不同</w:t>
      </w:r>
      <w:r>
        <w:rPr>
          <w:rFonts w:hint="eastAsia" w:ascii="Times New Roman" w:hAnsi="Times New Roman" w:eastAsia="宋体" w:cs="Times New Roman"/>
          <w:kern w:val="2"/>
          <w:sz w:val="21"/>
          <w:szCs w:val="21"/>
          <w:lang w:eastAsia="zh-CN"/>
        </w:rPr>
        <w:t>产品系统中获得。</w:t>
      </w:r>
    </w:p>
    <w:p w14:paraId="4B72D624">
      <w:pPr>
        <w:adjustRightInd w:val="0"/>
        <w:snapToGrid w:val="0"/>
        <w:spacing w:after="0" w:line="360" w:lineRule="auto"/>
        <w:ind w:firstLine="420" w:firstLineChars="200"/>
        <w:jc w:val="both"/>
        <w:rPr>
          <w:rFonts w:cs="Times New Roman" w:asciiTheme="minorEastAsia" w:hAnsiTheme="minorEastAsia"/>
          <w:kern w:val="2"/>
          <w:sz w:val="21"/>
          <w:szCs w:val="24"/>
          <w:lang w:eastAsia="zh-CN"/>
        </w:rPr>
      </w:pPr>
      <w:r>
        <w:rPr>
          <w:rFonts w:hint="eastAsia" w:cs="Times New Roman" w:asciiTheme="minorEastAsia" w:hAnsiTheme="minorEastAsia"/>
          <w:kern w:val="2"/>
          <w:sz w:val="21"/>
          <w:szCs w:val="21"/>
          <w:lang w:eastAsia="zh-CN"/>
        </w:rPr>
        <w:t>[</w:t>
      </w:r>
      <w:r>
        <w:rPr>
          <w:rFonts w:hint="eastAsia" w:ascii="Times New Roman" w:hAnsi="Times New Roman" w:eastAsia="宋体" w:cs="Times New Roman"/>
          <w:kern w:val="2"/>
          <w:sz w:val="21"/>
          <w:szCs w:val="21"/>
          <w:lang w:eastAsia="zh-CN"/>
        </w:rPr>
        <w:t>来源：GB/T 24067-2024，3.6.2，有修改</w:t>
      </w:r>
      <w:r>
        <w:rPr>
          <w:rFonts w:hint="eastAsia" w:cs="Times New Roman" w:asciiTheme="minorEastAsia" w:hAnsiTheme="minorEastAsia"/>
          <w:kern w:val="2"/>
          <w:sz w:val="21"/>
          <w:szCs w:val="21"/>
          <w:lang w:eastAsia="zh-CN"/>
        </w:rPr>
        <w:t>]</w:t>
      </w:r>
    </w:p>
    <w:p w14:paraId="0F8DF221">
      <w:pPr>
        <w:adjustRightInd w:val="0"/>
        <w:snapToGrid w:val="0"/>
        <w:spacing w:before="158" w:beforeLines="50" w:after="158" w:afterLines="50" w:line="360" w:lineRule="auto"/>
        <w:jc w:val="both"/>
        <w:rPr>
          <w:rFonts w:ascii="黑体" w:hAnsi="黑体" w:eastAsia="黑体" w:cs="Times New Roman"/>
          <w:kern w:val="2"/>
          <w:sz w:val="21"/>
          <w:szCs w:val="24"/>
          <w:lang w:eastAsia="zh-CN"/>
        </w:rPr>
      </w:pPr>
      <w:r>
        <w:rPr>
          <w:rFonts w:ascii="黑体" w:hAnsi="黑体" w:eastAsia="黑体" w:cs="Times New Roman"/>
          <w:kern w:val="2"/>
          <w:sz w:val="21"/>
          <w:szCs w:val="24"/>
          <w:lang w:eastAsia="zh-CN"/>
        </w:rPr>
        <w:t>3.</w:t>
      </w:r>
      <w:r>
        <w:rPr>
          <w:rFonts w:hint="eastAsia" w:ascii="黑体" w:hAnsi="黑体" w:eastAsia="黑体" w:cs="Times New Roman"/>
          <w:kern w:val="2"/>
          <w:sz w:val="21"/>
          <w:szCs w:val="24"/>
          <w:lang w:eastAsia="zh-CN"/>
        </w:rPr>
        <w:t>12</w:t>
      </w:r>
      <w:r>
        <w:rPr>
          <w:rFonts w:ascii="黑体" w:hAnsi="黑体" w:eastAsia="黑体" w:cs="Times New Roman"/>
          <w:kern w:val="2"/>
          <w:sz w:val="21"/>
          <w:szCs w:val="24"/>
          <w:lang w:eastAsia="zh-CN"/>
        </w:rPr>
        <w:t xml:space="preserve">  </w:t>
      </w:r>
    </w:p>
    <w:p w14:paraId="538EA7AA">
      <w:pPr>
        <w:adjustRightInd w:val="0"/>
        <w:snapToGrid w:val="0"/>
        <w:spacing w:before="158" w:beforeLines="50" w:after="158" w:afterLines="50" w:line="360" w:lineRule="auto"/>
        <w:ind w:firstLine="420" w:firstLineChars="200"/>
        <w:jc w:val="both"/>
        <w:rPr>
          <w:rFonts w:ascii="Times New Roman" w:hAnsi="Times New Roman" w:eastAsia="宋体" w:cs="Times New Roman"/>
          <w:kern w:val="2"/>
          <w:sz w:val="21"/>
          <w:szCs w:val="24"/>
          <w:lang w:eastAsia="zh-CN"/>
        </w:rPr>
      </w:pPr>
      <w:r>
        <w:rPr>
          <w:rFonts w:ascii="Times New Roman" w:hAnsi="Times New Roman" w:eastAsia="黑体" w:cs="Times New Roman"/>
          <w:kern w:val="2"/>
          <w:sz w:val="21"/>
          <w:szCs w:val="24"/>
          <w:lang w:eastAsia="zh-CN"/>
        </w:rPr>
        <w:t>取舍准则 cut-off criteria</w:t>
      </w:r>
    </w:p>
    <w:p w14:paraId="22C31022">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对与单元过程或产品系统相关的物质和能量流的数量或环境影响重要性程度是否被排除在研究范围之外所做出的规定。</w:t>
      </w:r>
    </w:p>
    <w:p w14:paraId="304EA6FE">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cs="Times New Roman" w:asciiTheme="minorEastAsia" w:hAnsiTheme="minorEastAsia"/>
          <w:kern w:val="2"/>
          <w:sz w:val="21"/>
          <w:szCs w:val="24"/>
          <w:lang w:eastAsia="zh-CN"/>
        </w:rPr>
        <w:t>[来</w:t>
      </w:r>
      <w:r>
        <w:rPr>
          <w:rFonts w:hint="eastAsia" w:ascii="Times New Roman" w:hAnsi="Times New Roman" w:eastAsia="宋体" w:cs="Times New Roman"/>
          <w:kern w:val="2"/>
          <w:sz w:val="21"/>
          <w:szCs w:val="24"/>
          <w:lang w:eastAsia="zh-CN"/>
        </w:rPr>
        <w:t>源：GB/T 24044-2008，3.18</w:t>
      </w:r>
      <w:r>
        <w:rPr>
          <w:rFonts w:hint="eastAsia" w:cs="Times New Roman" w:asciiTheme="minorEastAsia" w:hAnsiTheme="minorEastAsia"/>
          <w:kern w:val="2"/>
          <w:sz w:val="21"/>
          <w:szCs w:val="24"/>
          <w:lang w:eastAsia="zh-CN"/>
        </w:rPr>
        <w:t>]</w:t>
      </w:r>
    </w:p>
    <w:p w14:paraId="5469326B">
      <w:pPr>
        <w:adjustRightInd w:val="0"/>
        <w:snapToGrid w:val="0"/>
        <w:spacing w:before="158" w:beforeLines="50" w:after="158" w:afterLines="50" w:line="360" w:lineRule="auto"/>
        <w:jc w:val="both"/>
        <w:rPr>
          <w:rFonts w:ascii="黑体" w:hAnsi="黑体" w:eastAsia="黑体" w:cs="Times New Roman"/>
          <w:kern w:val="2"/>
          <w:sz w:val="21"/>
          <w:szCs w:val="24"/>
          <w:lang w:eastAsia="zh-CN"/>
        </w:rPr>
      </w:pPr>
      <w:r>
        <w:rPr>
          <w:rFonts w:ascii="黑体" w:hAnsi="黑体" w:eastAsia="黑体" w:cs="Times New Roman"/>
          <w:kern w:val="2"/>
          <w:sz w:val="21"/>
          <w:szCs w:val="24"/>
          <w:lang w:eastAsia="zh-CN"/>
        </w:rPr>
        <w:t>3.</w:t>
      </w:r>
      <w:r>
        <w:rPr>
          <w:rFonts w:hint="eastAsia" w:ascii="黑体" w:hAnsi="黑体" w:eastAsia="黑体" w:cs="Times New Roman"/>
          <w:kern w:val="2"/>
          <w:sz w:val="21"/>
          <w:szCs w:val="24"/>
          <w:lang w:eastAsia="zh-CN"/>
        </w:rPr>
        <w:t>13</w:t>
      </w:r>
      <w:r>
        <w:rPr>
          <w:rFonts w:ascii="黑体" w:hAnsi="黑体" w:eastAsia="黑体" w:cs="Times New Roman"/>
          <w:kern w:val="2"/>
          <w:sz w:val="21"/>
          <w:szCs w:val="24"/>
          <w:lang w:eastAsia="zh-CN"/>
        </w:rPr>
        <w:t xml:space="preserve">  </w:t>
      </w:r>
    </w:p>
    <w:p w14:paraId="62C00C09">
      <w:pPr>
        <w:adjustRightInd w:val="0"/>
        <w:snapToGrid w:val="0"/>
        <w:spacing w:before="158" w:beforeLines="50" w:after="158" w:afterLines="50" w:line="360" w:lineRule="auto"/>
        <w:ind w:firstLine="420" w:firstLineChars="200"/>
        <w:jc w:val="both"/>
        <w:rPr>
          <w:rFonts w:ascii="Times New Roman" w:hAnsi="Times New Roman" w:eastAsia="宋体" w:cs="Times New Roman"/>
          <w:kern w:val="2"/>
          <w:sz w:val="21"/>
          <w:szCs w:val="24"/>
          <w:lang w:eastAsia="zh-CN"/>
        </w:rPr>
      </w:pPr>
      <w:r>
        <w:rPr>
          <w:rFonts w:ascii="Times New Roman" w:hAnsi="Times New Roman" w:eastAsia="黑体" w:cs="Times New Roman"/>
          <w:kern w:val="2"/>
          <w:sz w:val="21"/>
          <w:szCs w:val="24"/>
          <w:lang w:eastAsia="zh-CN"/>
        </w:rPr>
        <w:t>背景数据 background data</w:t>
      </w:r>
    </w:p>
    <w:p w14:paraId="497A43AA">
      <w:pPr>
        <w:adjustRightInd w:val="0"/>
        <w:snapToGrid w:val="0"/>
        <w:spacing w:after="0" w:line="360" w:lineRule="auto"/>
        <w:ind w:firstLine="420" w:firstLineChars="200"/>
        <w:jc w:val="both"/>
        <w:rPr>
          <w:rFonts w:hint="eastAsia"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报告企业现场特征数据之外的数据。</w:t>
      </w:r>
    </w:p>
    <w:p w14:paraId="172461FE">
      <w:pPr>
        <w:adjustRightInd w:val="0"/>
        <w:snapToGrid w:val="0"/>
        <w:spacing w:after="0" w:line="360" w:lineRule="auto"/>
        <w:ind w:firstLine="420" w:firstLineChars="200"/>
        <w:jc w:val="both"/>
        <w:rPr>
          <w:rFonts w:hint="eastAsia"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注：背景数据可以是初级数据，也可以是次级数据，包括原辅材料、能源、服务的生命周期清单数据。</w:t>
      </w:r>
    </w:p>
    <w:p w14:paraId="5FE2634E">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42" w:name="_Toc5389"/>
      <w:bookmarkStart w:id="43" w:name="_Toc132113213"/>
      <w:bookmarkStart w:id="44" w:name="_Toc21906"/>
      <w:bookmarkStart w:id="45" w:name="_Toc531265190"/>
      <w:bookmarkStart w:id="46" w:name="_Toc11488"/>
      <w:bookmarkStart w:id="47" w:name="_Toc425605140"/>
      <w:r>
        <w:rPr>
          <w:rFonts w:hint="eastAsia" w:ascii="黑体" w:hAnsi="黑体" w:eastAsia="黑体" w:cs="黑体"/>
          <w:bCs/>
          <w:kern w:val="44"/>
          <w:sz w:val="21"/>
          <w:szCs w:val="44"/>
          <w:lang w:eastAsia="zh-CN"/>
        </w:rPr>
        <w:t xml:space="preserve">4 </w:t>
      </w:r>
      <w:bookmarkEnd w:id="42"/>
      <w:bookmarkEnd w:id="43"/>
      <w:bookmarkEnd w:id="44"/>
      <w:bookmarkEnd w:id="45"/>
      <w:bookmarkEnd w:id="46"/>
      <w:r>
        <w:rPr>
          <w:rFonts w:hint="eastAsia" w:ascii="黑体" w:hAnsi="黑体" w:eastAsia="黑体" w:cs="黑体"/>
          <w:bCs/>
          <w:kern w:val="44"/>
          <w:sz w:val="21"/>
          <w:szCs w:val="44"/>
          <w:lang w:eastAsia="zh-CN"/>
        </w:rPr>
        <w:t>量化目的</w:t>
      </w:r>
      <w:bookmarkEnd w:id="47"/>
    </w:p>
    <w:p w14:paraId="4965FBCB">
      <w:pPr>
        <w:adjustRightInd w:val="0"/>
        <w:snapToGrid w:val="0"/>
        <w:spacing w:after="0" w:line="360" w:lineRule="auto"/>
        <w:ind w:firstLine="420" w:firstLineChars="200"/>
        <w:jc w:val="both"/>
        <w:rPr>
          <w:rFonts w:hint="eastAsia" w:ascii="Times New Roman" w:hAnsi="Times New Roman" w:eastAsia="宋体" w:cs="Times New Roman"/>
          <w:kern w:val="2"/>
          <w:sz w:val="21"/>
          <w:szCs w:val="24"/>
          <w:highlight w:val="none"/>
          <w:lang w:eastAsia="zh-CN"/>
        </w:rPr>
      </w:pPr>
      <w:r>
        <w:rPr>
          <w:rFonts w:hint="eastAsia" w:ascii="Times New Roman" w:hAnsi="Times New Roman" w:eastAsia="宋体" w:cs="Times New Roman"/>
          <w:kern w:val="2"/>
          <w:sz w:val="21"/>
          <w:szCs w:val="24"/>
          <w:highlight w:val="none"/>
          <w:lang w:eastAsia="zh-CN"/>
        </w:rPr>
        <w:t>本文件基于生命周期评价理论，量化稀土冶炼</w:t>
      </w:r>
      <w:r>
        <w:rPr>
          <w:rFonts w:hint="eastAsia" w:ascii="Times New Roman" w:hAnsi="Times New Roman" w:eastAsia="宋体" w:cs="Times New Roman"/>
          <w:kern w:val="2"/>
          <w:sz w:val="21"/>
          <w:szCs w:val="24"/>
          <w:highlight w:val="none"/>
          <w:lang w:val="en-US" w:eastAsia="zh-CN"/>
        </w:rPr>
        <w:t>分离</w:t>
      </w:r>
      <w:r>
        <w:rPr>
          <w:rFonts w:hint="eastAsia" w:ascii="Times New Roman" w:hAnsi="Times New Roman" w:eastAsia="宋体" w:cs="Times New Roman"/>
          <w:kern w:val="2"/>
          <w:sz w:val="21"/>
          <w:szCs w:val="24"/>
          <w:highlight w:val="none"/>
          <w:lang w:eastAsia="zh-CN"/>
        </w:rPr>
        <w:t>产品原材料获取阶段、原材料运输阶段及生产阶段的温室气体排放量（以二氧化碳当量表示）。基于本文件开展碳足迹量化的目的包括但不限于以下方面：</w:t>
      </w:r>
    </w:p>
    <w:p w14:paraId="5655A6F8">
      <w:pPr>
        <w:adjustRightInd w:val="0"/>
        <w:snapToGrid w:val="0"/>
        <w:spacing w:after="0" w:line="360" w:lineRule="auto"/>
        <w:ind w:firstLine="420" w:firstLineChars="200"/>
        <w:jc w:val="both"/>
        <w:rPr>
          <w:rFonts w:hint="eastAsia" w:ascii="Times New Roman" w:hAnsi="Times New Roman" w:eastAsia="宋体" w:cs="Times New Roman"/>
          <w:kern w:val="2"/>
          <w:sz w:val="21"/>
          <w:szCs w:val="24"/>
          <w:highlight w:val="none"/>
          <w:lang w:eastAsia="zh-CN"/>
        </w:rPr>
      </w:pPr>
      <w:r>
        <w:rPr>
          <w:rFonts w:hint="eastAsia" w:ascii="Times New Roman" w:hAnsi="Times New Roman" w:eastAsia="宋体" w:cs="Times New Roman"/>
          <w:kern w:val="2"/>
          <w:sz w:val="21"/>
          <w:szCs w:val="24"/>
          <w:highlight w:val="none"/>
          <w:lang w:eastAsia="zh-CN"/>
        </w:rPr>
        <w:t>a)用于稀土产业链上下游企业之间的温室气体排放数据共享；</w:t>
      </w:r>
    </w:p>
    <w:p w14:paraId="13CFD3C4">
      <w:pPr>
        <w:adjustRightInd w:val="0"/>
        <w:snapToGrid w:val="0"/>
        <w:spacing w:after="0" w:line="360" w:lineRule="auto"/>
        <w:ind w:firstLine="420" w:firstLineChars="200"/>
        <w:jc w:val="both"/>
        <w:rPr>
          <w:rFonts w:hint="eastAsia" w:ascii="Times New Roman" w:hAnsi="Times New Roman" w:eastAsia="宋体" w:cs="Times New Roman"/>
          <w:kern w:val="2"/>
          <w:sz w:val="21"/>
          <w:szCs w:val="24"/>
          <w:highlight w:val="none"/>
          <w:lang w:eastAsia="zh-CN"/>
        </w:rPr>
      </w:pPr>
      <w:r>
        <w:rPr>
          <w:rFonts w:hint="eastAsia" w:ascii="Times New Roman" w:hAnsi="Times New Roman" w:eastAsia="宋体" w:cs="Times New Roman"/>
          <w:kern w:val="2"/>
          <w:sz w:val="21"/>
          <w:szCs w:val="24"/>
          <w:highlight w:val="none"/>
          <w:lang w:eastAsia="zh-CN"/>
        </w:rPr>
        <w:t>b)用于稀土冶炼</w:t>
      </w:r>
      <w:r>
        <w:rPr>
          <w:rFonts w:hint="eastAsia" w:ascii="Times New Roman" w:hAnsi="Times New Roman" w:eastAsia="宋体" w:cs="Times New Roman"/>
          <w:kern w:val="2"/>
          <w:sz w:val="21"/>
          <w:szCs w:val="24"/>
          <w:highlight w:val="none"/>
          <w:lang w:val="en-US" w:eastAsia="zh-CN"/>
        </w:rPr>
        <w:t>分离</w:t>
      </w:r>
      <w:r>
        <w:rPr>
          <w:rFonts w:hint="eastAsia" w:ascii="Times New Roman" w:hAnsi="Times New Roman" w:eastAsia="宋体" w:cs="Times New Roman"/>
          <w:kern w:val="2"/>
          <w:sz w:val="21"/>
          <w:szCs w:val="24"/>
          <w:highlight w:val="none"/>
          <w:lang w:eastAsia="zh-CN"/>
        </w:rPr>
        <w:t>低碳产品与低碳工艺开发；</w:t>
      </w:r>
    </w:p>
    <w:p w14:paraId="4034F473">
      <w:pPr>
        <w:adjustRightInd w:val="0"/>
        <w:snapToGrid w:val="0"/>
        <w:spacing w:after="0" w:line="360" w:lineRule="auto"/>
        <w:ind w:firstLine="420" w:firstLineChars="200"/>
        <w:jc w:val="both"/>
        <w:rPr>
          <w:rFonts w:hint="eastAsia" w:ascii="Times New Roman" w:hAnsi="Times New Roman" w:eastAsia="宋体" w:cs="Times New Roman"/>
          <w:kern w:val="2"/>
          <w:sz w:val="21"/>
          <w:szCs w:val="24"/>
          <w:highlight w:val="none"/>
          <w:lang w:eastAsia="zh-CN"/>
        </w:rPr>
      </w:pPr>
      <w:r>
        <w:rPr>
          <w:rFonts w:hint="eastAsia" w:ascii="Times New Roman" w:hAnsi="Times New Roman" w:eastAsia="宋体" w:cs="Times New Roman"/>
          <w:kern w:val="2"/>
          <w:sz w:val="21"/>
          <w:szCs w:val="24"/>
          <w:highlight w:val="none"/>
          <w:lang w:eastAsia="zh-CN"/>
        </w:rPr>
        <w:t>c)开展稀土冶炼</w:t>
      </w:r>
      <w:r>
        <w:rPr>
          <w:rFonts w:hint="eastAsia" w:ascii="Times New Roman" w:hAnsi="Times New Roman" w:eastAsia="宋体" w:cs="Times New Roman"/>
          <w:kern w:val="2"/>
          <w:sz w:val="21"/>
          <w:szCs w:val="24"/>
          <w:highlight w:val="none"/>
          <w:lang w:val="en-US" w:eastAsia="zh-CN"/>
        </w:rPr>
        <w:t>分离</w:t>
      </w:r>
      <w:r>
        <w:rPr>
          <w:rFonts w:hint="eastAsia" w:ascii="Times New Roman" w:hAnsi="Times New Roman" w:eastAsia="宋体" w:cs="Times New Roman"/>
          <w:kern w:val="2"/>
          <w:sz w:val="21"/>
          <w:szCs w:val="24"/>
          <w:highlight w:val="none"/>
          <w:lang w:eastAsia="zh-CN"/>
        </w:rPr>
        <w:t>产品碳足迹的信息交流。</w:t>
      </w:r>
    </w:p>
    <w:p w14:paraId="130C7822">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48" w:name="_Toc18216"/>
      <w:bookmarkStart w:id="49" w:name="_Toc23570"/>
      <w:bookmarkStart w:id="50" w:name="_Toc132113214"/>
      <w:bookmarkStart w:id="51" w:name="_Toc381480744"/>
      <w:bookmarkStart w:id="52" w:name="_Toc28040"/>
      <w:bookmarkStart w:id="53" w:name="_Toc531265194"/>
      <w:bookmarkStart w:id="54" w:name="_Toc17885"/>
      <w:bookmarkStart w:id="55" w:name="_Toc3785_WPSOffice_Level1"/>
      <w:bookmarkStart w:id="56" w:name="_Toc31792_WPSOffice_Level1"/>
      <w:bookmarkStart w:id="57" w:name="_Toc2025043470"/>
      <w:r>
        <w:rPr>
          <w:rFonts w:hint="eastAsia" w:ascii="黑体" w:hAnsi="黑体" w:eastAsia="黑体" w:cs="黑体"/>
          <w:bCs/>
          <w:kern w:val="44"/>
          <w:sz w:val="21"/>
          <w:szCs w:val="44"/>
          <w:lang w:eastAsia="zh-CN"/>
        </w:rPr>
        <w:t xml:space="preserve">5 </w:t>
      </w:r>
      <w:bookmarkEnd w:id="48"/>
      <w:bookmarkEnd w:id="49"/>
      <w:bookmarkEnd w:id="50"/>
      <w:bookmarkEnd w:id="51"/>
      <w:bookmarkEnd w:id="52"/>
      <w:bookmarkEnd w:id="53"/>
      <w:bookmarkEnd w:id="54"/>
      <w:bookmarkEnd w:id="55"/>
      <w:bookmarkEnd w:id="56"/>
      <w:r>
        <w:rPr>
          <w:rFonts w:hint="eastAsia" w:ascii="黑体" w:hAnsi="黑体" w:eastAsia="黑体" w:cs="黑体"/>
          <w:bCs/>
          <w:kern w:val="44"/>
          <w:sz w:val="21"/>
          <w:szCs w:val="44"/>
          <w:lang w:eastAsia="zh-CN"/>
        </w:rPr>
        <w:t>量化范围</w:t>
      </w:r>
      <w:bookmarkEnd w:id="57"/>
    </w:p>
    <w:p w14:paraId="60696D1E">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58" w:name="_Toc27544"/>
      <w:bookmarkStart w:id="59" w:name="_Toc531265195"/>
      <w:bookmarkStart w:id="60" w:name="_Toc1584762634"/>
      <w:r>
        <w:rPr>
          <w:rFonts w:hint="eastAsia" w:ascii="黑体" w:hAnsi="黑体" w:eastAsia="黑体" w:cs="黑体"/>
          <w:bCs/>
          <w:kern w:val="44"/>
          <w:sz w:val="21"/>
          <w:szCs w:val="44"/>
          <w:lang w:eastAsia="zh-CN"/>
        </w:rPr>
        <w:t xml:space="preserve">5.1 </w:t>
      </w:r>
      <w:bookmarkEnd w:id="58"/>
      <w:bookmarkEnd w:id="59"/>
      <w:r>
        <w:rPr>
          <w:rFonts w:hint="eastAsia" w:ascii="黑体" w:hAnsi="黑体" w:eastAsia="黑体" w:cs="黑体"/>
          <w:bCs/>
          <w:kern w:val="44"/>
          <w:sz w:val="21"/>
          <w:szCs w:val="44"/>
          <w:lang w:eastAsia="zh-CN"/>
        </w:rPr>
        <w:t>产品描述</w:t>
      </w:r>
      <w:bookmarkEnd w:id="60"/>
    </w:p>
    <w:p w14:paraId="6E53F11D">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ascii="宋体" w:hAnsi="宋体" w:eastAsia="宋体" w:cs="Times New Roman"/>
          <w:kern w:val="2"/>
          <w:sz w:val="21"/>
          <w:szCs w:val="24"/>
          <w:lang w:eastAsia="zh-CN"/>
        </w:rPr>
        <w:t>产品描述应使用户能够清晰识别产品，并可参照</w:t>
      </w:r>
      <w:r>
        <w:rPr>
          <w:rFonts w:hint="eastAsia" w:ascii="Times New Roman" w:hAnsi="Times New Roman" w:eastAsia="宋体" w:cs="Times New Roman"/>
          <w:kern w:val="2"/>
          <w:sz w:val="21"/>
          <w:szCs w:val="24"/>
          <w:lang w:eastAsia="zh-CN"/>
        </w:rPr>
        <w:t>GB/T 2526、GB/T 2969、GB/T 3503、GB/T 3504、GB/T 4148、GB/T 4154、GB/T 4155、GB/T 5239、GB/T 5240、GB/T 12144、GB/T 13558、GB/T 15678、GB/T 16479、GB/T 16661、</w:t>
      </w:r>
      <w:r>
        <w:rPr>
          <w:rFonts w:hint="eastAsia" w:ascii="Times New Roman" w:hAnsi="Times New Roman" w:eastAsia="宋体" w:cs="Times New Roman"/>
          <w:kern w:val="2"/>
          <w:sz w:val="21"/>
          <w:szCs w:val="21"/>
          <w:lang w:eastAsia="zh-CN"/>
        </w:rPr>
        <w:t>GB/T 20169、</w:t>
      </w:r>
      <w:r>
        <w:rPr>
          <w:rFonts w:hint="eastAsia" w:ascii="Times New Roman" w:hAnsi="Times New Roman" w:eastAsia="宋体" w:cs="Times New Roman"/>
          <w:kern w:val="2"/>
          <w:sz w:val="21"/>
          <w:szCs w:val="24"/>
          <w:lang w:eastAsia="zh-CN"/>
        </w:rPr>
        <w:t>GB/T 23589、GB/T 23591、GB/T 23593、GB/T 26413、</w:t>
      </w:r>
      <w:r>
        <w:rPr>
          <w:rFonts w:hint="eastAsia" w:ascii="Times New Roman" w:hAnsi="Times New Roman" w:eastAsia="宋体" w:cs="Times New Roman"/>
          <w:kern w:val="2"/>
          <w:sz w:val="21"/>
          <w:szCs w:val="21"/>
          <w:lang w:eastAsia="zh-CN"/>
        </w:rPr>
        <w:t>GB/T 28882、GB/T 31964、</w:t>
      </w:r>
      <w:r>
        <w:rPr>
          <w:rFonts w:hint="eastAsia" w:ascii="Times New Roman" w:hAnsi="Times New Roman" w:eastAsia="宋体" w:cs="Times New Roman"/>
          <w:kern w:val="2"/>
          <w:sz w:val="21"/>
          <w:szCs w:val="24"/>
          <w:lang w:eastAsia="zh-CN"/>
        </w:rPr>
        <w:t>GB/T 31965、XB/T 201、XB/T 202、XB/T 203、XB/T 204、</w:t>
      </w:r>
      <w:r>
        <w:rPr>
          <w:rFonts w:hint="eastAsia" w:ascii="Times New Roman" w:hAnsi="Times New Roman" w:eastAsia="宋体" w:cs="Times New Roman"/>
          <w:kern w:val="2"/>
          <w:sz w:val="21"/>
          <w:szCs w:val="21"/>
          <w:lang w:eastAsia="zh-CN"/>
        </w:rPr>
        <w:t>XB/T 209、XB/T 211、XB/T 214、XB/T 215、XB/T 219、</w:t>
      </w:r>
      <w:r>
        <w:rPr>
          <w:rFonts w:hint="eastAsia" w:ascii="Times New Roman" w:hAnsi="Times New Roman" w:eastAsia="宋体" w:cs="Times New Roman"/>
          <w:kern w:val="2"/>
          <w:sz w:val="21"/>
          <w:szCs w:val="24"/>
          <w:lang w:eastAsia="zh-CN"/>
        </w:rPr>
        <w:t>XB/T 220、XB/T 224、XB/T 225</w:t>
      </w:r>
      <w:r>
        <w:rPr>
          <w:rFonts w:hint="eastAsia" w:ascii="宋体" w:hAnsi="宋体" w:eastAsia="宋体" w:cs="Times New Roman"/>
          <w:kern w:val="2"/>
          <w:sz w:val="21"/>
          <w:szCs w:val="24"/>
          <w:lang w:eastAsia="zh-CN"/>
        </w:rPr>
        <w:t>的要求进行描述，描述内容包括但不限于：</w:t>
      </w:r>
    </w:p>
    <w:p w14:paraId="2555DF98">
      <w:pPr>
        <w:adjustRightInd w:val="0"/>
        <w:snapToGrid w:val="0"/>
        <w:spacing w:after="0" w:line="360" w:lineRule="auto"/>
        <w:ind w:firstLine="420" w:firstLineChars="200"/>
        <w:jc w:val="both"/>
        <w:rPr>
          <w:rFonts w:ascii="宋体" w:hAnsi="宋体" w:eastAsia="宋体" w:cs="Times New Roman"/>
          <w:kern w:val="2"/>
          <w:sz w:val="21"/>
          <w:szCs w:val="24"/>
          <w:lang w:eastAsia="zh-CN"/>
        </w:rPr>
      </w:pPr>
      <w:r>
        <w:rPr>
          <w:rFonts w:ascii="Times New Roman" w:hAnsi="Times New Roman" w:eastAsia="宋体" w:cs="Times New Roman"/>
          <w:kern w:val="2"/>
          <w:sz w:val="21"/>
          <w:szCs w:val="24"/>
          <w:lang w:eastAsia="zh-CN"/>
        </w:rPr>
        <w:t>a）</w:t>
      </w:r>
      <w:r>
        <w:rPr>
          <w:rFonts w:hint="eastAsia" w:ascii="宋体" w:hAnsi="宋体" w:eastAsia="宋体" w:cs="Times New Roman"/>
          <w:kern w:val="2"/>
          <w:sz w:val="21"/>
          <w:szCs w:val="24"/>
          <w:lang w:eastAsia="zh-CN"/>
        </w:rPr>
        <w:t>产品名称和牌号；</w:t>
      </w:r>
    </w:p>
    <w:p w14:paraId="6A6FA002">
      <w:pPr>
        <w:adjustRightInd w:val="0"/>
        <w:snapToGrid w:val="0"/>
        <w:spacing w:after="0" w:line="360" w:lineRule="auto"/>
        <w:ind w:firstLine="420" w:firstLineChars="200"/>
        <w:jc w:val="both"/>
        <w:rPr>
          <w:rFonts w:ascii="宋体" w:hAnsi="宋体" w:eastAsia="宋体" w:cs="Times New Roman"/>
          <w:kern w:val="2"/>
          <w:sz w:val="21"/>
          <w:szCs w:val="24"/>
          <w:lang w:eastAsia="zh-CN"/>
        </w:rPr>
      </w:pPr>
      <w:r>
        <w:rPr>
          <w:rFonts w:hint="eastAsia" w:ascii="Times New Roman" w:hAnsi="Times New Roman" w:eastAsia="宋体" w:cs="Times New Roman"/>
          <w:kern w:val="2"/>
          <w:sz w:val="21"/>
          <w:szCs w:val="24"/>
          <w:lang w:eastAsia="zh-CN"/>
        </w:rPr>
        <w:t>b）</w:t>
      </w:r>
      <w:r>
        <w:rPr>
          <w:rFonts w:hint="eastAsia" w:ascii="宋体" w:hAnsi="宋体" w:eastAsia="宋体" w:cs="Times New Roman"/>
          <w:kern w:val="2"/>
          <w:sz w:val="21"/>
          <w:szCs w:val="24"/>
          <w:lang w:eastAsia="zh-CN"/>
        </w:rPr>
        <w:t>产品批号；</w:t>
      </w:r>
    </w:p>
    <w:p w14:paraId="575A6C1B">
      <w:pPr>
        <w:adjustRightInd w:val="0"/>
        <w:snapToGrid w:val="0"/>
        <w:spacing w:after="0" w:line="360" w:lineRule="auto"/>
        <w:ind w:firstLine="420" w:firstLineChars="200"/>
        <w:jc w:val="both"/>
        <w:rPr>
          <w:rFonts w:ascii="宋体" w:hAnsi="宋体" w:eastAsia="宋体" w:cs="Times New Roman"/>
          <w:kern w:val="2"/>
          <w:sz w:val="21"/>
          <w:szCs w:val="24"/>
          <w:lang w:eastAsia="zh-CN"/>
        </w:rPr>
      </w:pPr>
      <w:r>
        <w:rPr>
          <w:rFonts w:hint="eastAsia" w:ascii="Times New Roman" w:hAnsi="Times New Roman" w:eastAsia="宋体" w:cs="Times New Roman"/>
          <w:kern w:val="2"/>
          <w:sz w:val="21"/>
          <w:szCs w:val="24"/>
          <w:lang w:eastAsia="zh-CN"/>
        </w:rPr>
        <w:t>c）</w:t>
      </w:r>
      <w:r>
        <w:rPr>
          <w:rFonts w:hint="eastAsia" w:ascii="宋体" w:hAnsi="宋体" w:eastAsia="宋体" w:cs="Times New Roman"/>
          <w:kern w:val="2"/>
          <w:sz w:val="21"/>
          <w:szCs w:val="24"/>
          <w:lang w:eastAsia="zh-CN"/>
        </w:rPr>
        <w:t>产品净重；</w:t>
      </w:r>
    </w:p>
    <w:p w14:paraId="42F2198E">
      <w:pPr>
        <w:adjustRightInd w:val="0"/>
        <w:snapToGrid w:val="0"/>
        <w:spacing w:after="0" w:line="360" w:lineRule="auto"/>
        <w:ind w:firstLine="420" w:firstLineChars="200"/>
        <w:jc w:val="both"/>
        <w:rPr>
          <w:rFonts w:ascii="宋体" w:hAnsi="宋体" w:eastAsia="宋体" w:cs="Times New Roman"/>
          <w:kern w:val="2"/>
          <w:sz w:val="21"/>
          <w:szCs w:val="24"/>
          <w:lang w:eastAsia="zh-CN"/>
        </w:rPr>
      </w:pPr>
      <w:r>
        <w:rPr>
          <w:rFonts w:hint="eastAsia" w:ascii="Times New Roman" w:hAnsi="Times New Roman" w:eastAsia="宋体" w:cs="Times New Roman"/>
          <w:kern w:val="2"/>
          <w:sz w:val="21"/>
          <w:szCs w:val="24"/>
          <w:lang w:eastAsia="zh-CN"/>
        </w:rPr>
        <w:t>d）</w:t>
      </w:r>
      <w:r>
        <w:rPr>
          <w:rFonts w:hint="eastAsia" w:ascii="宋体" w:hAnsi="宋体" w:eastAsia="宋体" w:cs="Times New Roman"/>
          <w:kern w:val="2"/>
          <w:sz w:val="21"/>
          <w:szCs w:val="24"/>
          <w:lang w:eastAsia="zh-CN"/>
        </w:rPr>
        <w:t>分析检验结果及检验部门印记；</w:t>
      </w:r>
    </w:p>
    <w:p w14:paraId="5CCB3CF1">
      <w:pPr>
        <w:adjustRightInd w:val="0"/>
        <w:snapToGrid w:val="0"/>
        <w:spacing w:after="0" w:line="360" w:lineRule="auto"/>
        <w:ind w:firstLine="420" w:firstLineChars="200"/>
        <w:jc w:val="both"/>
        <w:rPr>
          <w:rFonts w:ascii="宋体" w:hAnsi="宋体" w:eastAsia="宋体" w:cs="Times New Roman"/>
          <w:kern w:val="2"/>
          <w:sz w:val="21"/>
          <w:szCs w:val="24"/>
          <w:lang w:eastAsia="zh-CN"/>
        </w:rPr>
      </w:pPr>
      <w:r>
        <w:rPr>
          <w:rFonts w:hint="eastAsia" w:ascii="Times New Roman" w:hAnsi="Times New Roman" w:eastAsia="宋体" w:cs="Times New Roman"/>
          <w:kern w:val="2"/>
          <w:sz w:val="21"/>
          <w:szCs w:val="24"/>
          <w:lang w:eastAsia="zh-CN"/>
        </w:rPr>
        <w:t>e）</w:t>
      </w:r>
      <w:r>
        <w:rPr>
          <w:rFonts w:hint="eastAsia" w:ascii="宋体" w:hAnsi="宋体" w:eastAsia="宋体" w:cs="Times New Roman"/>
          <w:kern w:val="2"/>
          <w:sz w:val="21"/>
          <w:szCs w:val="24"/>
          <w:lang w:eastAsia="zh-CN"/>
        </w:rPr>
        <w:t>出厂日期；</w:t>
      </w:r>
    </w:p>
    <w:p w14:paraId="2F4A2BB6">
      <w:pPr>
        <w:adjustRightInd w:val="0"/>
        <w:snapToGrid w:val="0"/>
        <w:spacing w:after="0" w:line="360" w:lineRule="auto"/>
        <w:ind w:firstLine="420" w:firstLineChars="200"/>
        <w:jc w:val="both"/>
        <w:rPr>
          <w:rFonts w:ascii="宋体" w:hAnsi="宋体" w:eastAsia="宋体" w:cs="Times New Roman"/>
          <w:kern w:val="2"/>
          <w:sz w:val="21"/>
          <w:szCs w:val="24"/>
          <w:lang w:eastAsia="zh-CN"/>
        </w:rPr>
      </w:pPr>
      <w:r>
        <w:rPr>
          <w:rFonts w:hint="eastAsia" w:ascii="Times New Roman" w:hAnsi="Times New Roman" w:eastAsia="宋体" w:cs="Times New Roman"/>
          <w:kern w:val="2"/>
          <w:sz w:val="21"/>
          <w:szCs w:val="24"/>
          <w:lang w:eastAsia="zh-CN"/>
        </w:rPr>
        <w:t>f）</w:t>
      </w:r>
      <w:r>
        <w:rPr>
          <w:rFonts w:hint="eastAsia" w:ascii="宋体" w:hAnsi="宋体" w:eastAsia="宋体" w:cs="Times New Roman"/>
          <w:kern w:val="2"/>
          <w:sz w:val="21"/>
          <w:szCs w:val="24"/>
          <w:lang w:eastAsia="zh-CN"/>
        </w:rPr>
        <w:t>工艺路线。</w:t>
      </w:r>
    </w:p>
    <w:p w14:paraId="3FA831F7">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61" w:name="_Toc2013399544"/>
      <w:r>
        <w:rPr>
          <w:rFonts w:hint="eastAsia" w:ascii="黑体" w:hAnsi="黑体" w:eastAsia="黑体" w:cs="黑体"/>
          <w:bCs/>
          <w:kern w:val="44"/>
          <w:sz w:val="21"/>
          <w:szCs w:val="44"/>
          <w:lang w:eastAsia="zh-CN"/>
        </w:rPr>
        <w:t>5.2 声明单位</w:t>
      </w:r>
      <w:bookmarkEnd w:id="61"/>
    </w:p>
    <w:p w14:paraId="2BA0C071">
      <w:pPr>
        <w:adjustRightInd w:val="0"/>
        <w:snapToGrid w:val="0"/>
        <w:spacing w:after="0" w:line="360" w:lineRule="auto"/>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本文件稀土</w:t>
      </w:r>
      <w:r>
        <w:rPr>
          <w:rFonts w:hint="eastAsia" w:ascii="Times New Roman" w:hAnsi="Times New Roman" w:eastAsia="宋体" w:cs="Times New Roman"/>
          <w:kern w:val="2"/>
          <w:sz w:val="21"/>
          <w:szCs w:val="24"/>
          <w:lang w:val="en-US" w:eastAsia="zh-CN"/>
        </w:rPr>
        <w:t>冶炼</w:t>
      </w:r>
      <w:r>
        <w:rPr>
          <w:rFonts w:hint="eastAsia" w:ascii="Times New Roman" w:hAnsi="Times New Roman" w:eastAsia="宋体" w:cs="Times New Roman"/>
          <w:kern w:val="2"/>
          <w:sz w:val="21"/>
          <w:szCs w:val="24"/>
          <w:lang w:eastAsia="zh-CN"/>
        </w:rPr>
        <w:t>分离产品碳足迹量化的声明单位</w:t>
      </w:r>
      <w:r>
        <w:rPr>
          <w:rFonts w:hint="eastAsia" w:ascii="Times New Roman" w:hAnsi="Times New Roman" w:eastAsia="宋体" w:cs="Times New Roman"/>
          <w:kern w:val="2"/>
          <w:sz w:val="21"/>
          <w:szCs w:val="24"/>
          <w:lang w:val="en-US" w:eastAsia="zh-CN"/>
        </w:rPr>
        <w:t>定义为</w:t>
      </w:r>
      <w:r>
        <w:rPr>
          <w:rFonts w:hint="eastAsia" w:ascii="Times New Roman" w:hAnsi="Times New Roman" w:eastAsia="宋体" w:cs="Times New Roman"/>
          <w:kern w:val="2"/>
          <w:sz w:val="21"/>
          <w:szCs w:val="24"/>
          <w:lang w:eastAsia="zh-CN"/>
        </w:rPr>
        <w:t>1</w:t>
      </w:r>
      <w:r>
        <w:rPr>
          <w:rFonts w:hint="eastAsia" w:ascii="Times New Roman" w:hAnsi="Times New Roman" w:eastAsia="宋体" w:cs="Times New Roman"/>
          <w:kern w:val="2"/>
          <w:sz w:val="21"/>
          <w:szCs w:val="24"/>
          <w:lang w:val="en-US" w:eastAsia="zh-CN"/>
        </w:rPr>
        <w:t>t</w:t>
      </w:r>
      <w:r>
        <w:rPr>
          <w:rFonts w:hint="eastAsia" w:ascii="Times New Roman" w:hAnsi="Times New Roman" w:eastAsia="宋体" w:cs="Times New Roman"/>
          <w:kern w:val="2"/>
          <w:sz w:val="21"/>
          <w:szCs w:val="24"/>
          <w:lang w:eastAsia="zh-CN"/>
        </w:rPr>
        <w:t>稀土</w:t>
      </w:r>
      <w:r>
        <w:rPr>
          <w:rFonts w:hint="eastAsia" w:ascii="Times New Roman" w:hAnsi="Times New Roman" w:eastAsia="宋体" w:cs="Times New Roman"/>
          <w:kern w:val="2"/>
          <w:sz w:val="21"/>
          <w:szCs w:val="24"/>
          <w:lang w:val="en-US" w:eastAsia="zh-CN"/>
        </w:rPr>
        <w:t>冶炼</w:t>
      </w:r>
      <w:r>
        <w:rPr>
          <w:rFonts w:hint="eastAsia" w:ascii="Times New Roman" w:hAnsi="Times New Roman" w:eastAsia="宋体" w:cs="Times New Roman"/>
          <w:kern w:val="2"/>
          <w:sz w:val="21"/>
          <w:szCs w:val="24"/>
          <w:lang w:eastAsia="zh-CN"/>
        </w:rPr>
        <w:t>分离产品。</w:t>
      </w:r>
    </w:p>
    <w:p w14:paraId="51036FDD">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62" w:name="_Toc16947_WPSOffice_Level1"/>
      <w:bookmarkStart w:id="63" w:name="_Toc1879"/>
      <w:bookmarkStart w:id="64" w:name="_Toc17504"/>
      <w:bookmarkStart w:id="65" w:name="_Toc12538_WPSOffice_Level1"/>
      <w:bookmarkStart w:id="66" w:name="_Toc531265198"/>
      <w:bookmarkStart w:id="67" w:name="_Toc381480747"/>
      <w:bookmarkStart w:id="68" w:name="_Toc1306310229"/>
      <w:r>
        <w:rPr>
          <w:rFonts w:hint="eastAsia" w:ascii="黑体" w:hAnsi="黑体" w:eastAsia="黑体" w:cs="黑体"/>
          <w:bCs/>
          <w:kern w:val="44"/>
          <w:sz w:val="21"/>
          <w:szCs w:val="44"/>
          <w:lang w:eastAsia="zh-CN"/>
        </w:rPr>
        <w:t xml:space="preserve">5.3 </w:t>
      </w:r>
      <w:bookmarkEnd w:id="62"/>
      <w:bookmarkEnd w:id="63"/>
      <w:bookmarkEnd w:id="64"/>
      <w:bookmarkEnd w:id="65"/>
      <w:bookmarkEnd w:id="66"/>
      <w:bookmarkEnd w:id="67"/>
      <w:r>
        <w:rPr>
          <w:rFonts w:hint="eastAsia" w:ascii="黑体" w:hAnsi="黑体" w:eastAsia="黑体" w:cs="黑体"/>
          <w:bCs/>
          <w:kern w:val="44"/>
          <w:sz w:val="21"/>
          <w:szCs w:val="44"/>
          <w:lang w:eastAsia="zh-CN"/>
        </w:rPr>
        <w:t>系统边界</w:t>
      </w:r>
      <w:bookmarkEnd w:id="68"/>
    </w:p>
    <w:p w14:paraId="0BE74FB3">
      <w:pPr>
        <w:adjustRightInd w:val="0"/>
        <w:snapToGrid w:val="0"/>
        <w:spacing w:before="158" w:beforeLines="50" w:after="158" w:afterLines="50" w:line="360" w:lineRule="auto"/>
        <w:jc w:val="both"/>
        <w:rPr>
          <w:rFonts w:ascii="黑体" w:hAnsi="黑体" w:eastAsia="黑体" w:cs="黑体"/>
          <w:kern w:val="2"/>
          <w:sz w:val="21"/>
          <w:szCs w:val="24"/>
          <w:lang w:eastAsia="zh-CN"/>
        </w:rPr>
      </w:pPr>
      <w:bookmarkStart w:id="69" w:name="_Toc32083_WPSOffice_Level2"/>
      <w:bookmarkStart w:id="70" w:name="_Toc13270_WPSOffice_Level2"/>
      <w:bookmarkStart w:id="71" w:name="_Toc381480748"/>
      <w:bookmarkStart w:id="72" w:name="_Toc531265199"/>
      <w:bookmarkStart w:id="73" w:name="_Toc13768"/>
      <w:bookmarkStart w:id="74" w:name="_Toc3107"/>
      <w:r>
        <w:rPr>
          <w:rFonts w:hint="eastAsia" w:ascii="黑体" w:hAnsi="黑体" w:eastAsia="黑体" w:cs="黑体"/>
          <w:kern w:val="2"/>
          <w:sz w:val="21"/>
          <w:szCs w:val="24"/>
          <w:lang w:eastAsia="zh-CN"/>
        </w:rPr>
        <w:t xml:space="preserve">5.3.1 </w:t>
      </w:r>
      <w:bookmarkEnd w:id="69"/>
      <w:bookmarkEnd w:id="70"/>
      <w:bookmarkEnd w:id="71"/>
      <w:bookmarkEnd w:id="72"/>
      <w:bookmarkEnd w:id="73"/>
      <w:bookmarkEnd w:id="74"/>
      <w:r>
        <w:rPr>
          <w:rFonts w:hint="eastAsia" w:ascii="黑体" w:hAnsi="黑体" w:eastAsia="黑体" w:cs="黑体"/>
          <w:kern w:val="2"/>
          <w:sz w:val="21"/>
          <w:szCs w:val="24"/>
          <w:lang w:eastAsia="zh-CN"/>
        </w:rPr>
        <w:t>边界设定</w:t>
      </w:r>
    </w:p>
    <w:p w14:paraId="3B3B379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bookmarkStart w:id="75" w:name="_Toc24444_WPSOffice_Level2"/>
      <w:bookmarkStart w:id="76" w:name="_Toc3986_WPSOffice_Level2"/>
      <w:bookmarkStart w:id="77" w:name="_Toc788"/>
      <w:r>
        <w:rPr>
          <w:rFonts w:ascii="Times New Roman" w:hAnsi="Times New Roman" w:eastAsia="宋体" w:cs="Times New Roman"/>
          <w:kern w:val="2"/>
          <w:sz w:val="21"/>
          <w:szCs w:val="21"/>
          <w:lang w:eastAsia="zh-CN"/>
        </w:rPr>
        <w:t>稀土</w:t>
      </w:r>
      <w:r>
        <w:rPr>
          <w:rFonts w:hint="eastAsia" w:ascii="Times New Roman" w:hAnsi="Times New Roman" w:eastAsia="宋体" w:cs="Times New Roman"/>
          <w:kern w:val="2"/>
          <w:sz w:val="21"/>
          <w:szCs w:val="21"/>
          <w:lang w:val="en-US" w:eastAsia="zh-CN"/>
        </w:rPr>
        <w:t>冶炼</w:t>
      </w:r>
      <w:r>
        <w:rPr>
          <w:rFonts w:ascii="Times New Roman" w:hAnsi="Times New Roman" w:eastAsia="宋体" w:cs="Times New Roman"/>
          <w:kern w:val="2"/>
          <w:sz w:val="21"/>
          <w:szCs w:val="21"/>
          <w:lang w:eastAsia="zh-CN"/>
        </w:rPr>
        <w:t>分离产品系统边界为</w:t>
      </w:r>
      <w:r>
        <w:rPr>
          <w:rFonts w:hint="eastAsia" w:ascii="Times New Roman" w:hAnsi="Times New Roman" w:eastAsia="宋体" w:cs="Times New Roman"/>
          <w:kern w:val="2"/>
          <w:sz w:val="21"/>
          <w:szCs w:val="21"/>
          <w:lang w:eastAsia="zh-CN"/>
        </w:rPr>
        <w:t>“</w:t>
      </w:r>
      <w:r>
        <w:rPr>
          <w:rFonts w:ascii="Times New Roman" w:hAnsi="Times New Roman" w:eastAsia="宋体" w:cs="Times New Roman"/>
          <w:kern w:val="2"/>
          <w:sz w:val="21"/>
          <w:szCs w:val="21"/>
          <w:lang w:eastAsia="zh-CN"/>
        </w:rPr>
        <w:t>从摇篮到大门</w:t>
      </w:r>
      <w:r>
        <w:rPr>
          <w:rFonts w:hint="eastAsia" w:ascii="Times New Roman" w:hAnsi="Times New Roman" w:eastAsia="宋体" w:cs="Times New Roman"/>
          <w:kern w:val="2"/>
          <w:sz w:val="21"/>
          <w:szCs w:val="21"/>
          <w:lang w:eastAsia="zh-CN"/>
        </w:rPr>
        <w:t>”</w:t>
      </w:r>
      <w:r>
        <w:rPr>
          <w:rFonts w:ascii="Times New Roman" w:hAnsi="Times New Roman" w:eastAsia="宋体" w:cs="Times New Roman"/>
          <w:kern w:val="2"/>
          <w:sz w:val="21"/>
          <w:szCs w:val="21"/>
          <w:lang w:eastAsia="zh-CN"/>
        </w:rPr>
        <w:t>，即从稀土原料（</w:t>
      </w:r>
      <w:r>
        <w:rPr>
          <w:rFonts w:hint="eastAsia" w:ascii="Times New Roman"/>
          <w:szCs w:val="24"/>
          <w:lang w:eastAsia="zh-CN"/>
        </w:rPr>
        <w:t>稀土矿资源的开采或稀土二次资源回收</w:t>
      </w:r>
      <w:r>
        <w:rPr>
          <w:rFonts w:ascii="Times New Roman" w:hAnsi="Times New Roman" w:eastAsia="宋体" w:cs="Times New Roman"/>
          <w:kern w:val="2"/>
          <w:sz w:val="21"/>
          <w:szCs w:val="21"/>
          <w:lang w:eastAsia="zh-CN"/>
        </w:rPr>
        <w:t>）到</w:t>
      </w:r>
      <w:r>
        <w:rPr>
          <w:rFonts w:hint="eastAsia" w:ascii="Times New Roman" w:hAnsi="Times New Roman" w:eastAsia="宋体" w:cs="Times New Roman"/>
          <w:kern w:val="2"/>
          <w:sz w:val="21"/>
          <w:szCs w:val="21"/>
          <w:lang w:eastAsia="zh-CN"/>
        </w:rPr>
        <w:t>稀土冶炼分离</w:t>
      </w:r>
      <w:r>
        <w:rPr>
          <w:rFonts w:ascii="Times New Roman" w:hAnsi="Times New Roman" w:eastAsia="宋体" w:cs="Times New Roman"/>
          <w:kern w:val="2"/>
          <w:sz w:val="21"/>
          <w:szCs w:val="21"/>
          <w:lang w:eastAsia="zh-CN"/>
        </w:rPr>
        <w:t>产品的产出，包括稀土采矿、稀土选矿、</w:t>
      </w:r>
      <w:r>
        <w:rPr>
          <w:rFonts w:hint="eastAsia" w:ascii="Times New Roman" w:hAnsi="Times New Roman" w:eastAsia="宋体" w:cs="Times New Roman"/>
          <w:kern w:val="2"/>
          <w:sz w:val="21"/>
          <w:szCs w:val="21"/>
          <w:lang w:eastAsia="zh-CN"/>
        </w:rPr>
        <w:t>酸法（碱法）冶炼分离、氧化焙烧、酸溶、分组分离、沉淀、灼烧</w:t>
      </w:r>
      <w:r>
        <w:rPr>
          <w:rFonts w:ascii="Times New Roman" w:hAnsi="Times New Roman" w:eastAsia="宋体" w:cs="Times New Roman"/>
          <w:kern w:val="2"/>
          <w:sz w:val="21"/>
          <w:szCs w:val="21"/>
          <w:lang w:eastAsia="zh-CN"/>
        </w:rPr>
        <w:t>等工序</w:t>
      </w:r>
      <w:r>
        <w:rPr>
          <w:rFonts w:hint="eastAsia" w:ascii="Times New Roman" w:hAnsi="Times New Roman" w:eastAsia="宋体" w:cs="Times New Roman"/>
          <w:kern w:val="2"/>
          <w:sz w:val="21"/>
          <w:szCs w:val="21"/>
          <w:lang w:eastAsia="zh-CN"/>
        </w:rPr>
        <w:t>，同时还</w:t>
      </w:r>
      <w:r>
        <w:rPr>
          <w:rFonts w:ascii="Times New Roman" w:hAnsi="Times New Roman" w:eastAsia="宋体" w:cs="Times New Roman"/>
          <w:kern w:val="2"/>
          <w:sz w:val="21"/>
          <w:szCs w:val="21"/>
          <w:lang w:eastAsia="zh-CN"/>
        </w:rPr>
        <w:t>包括</w:t>
      </w:r>
      <w:r>
        <w:rPr>
          <w:rFonts w:hint="eastAsia" w:ascii="Times New Roman" w:hAnsi="Times New Roman" w:eastAsia="宋体" w:cs="Times New Roman"/>
          <w:kern w:val="2"/>
          <w:sz w:val="21"/>
          <w:szCs w:val="21"/>
          <w:lang w:eastAsia="zh-CN"/>
        </w:rPr>
        <w:t>工厂内环境排放处理工序、</w:t>
      </w:r>
      <w:r>
        <w:rPr>
          <w:rFonts w:ascii="Times New Roman" w:hAnsi="Times New Roman" w:eastAsia="宋体" w:cs="Times New Roman"/>
          <w:kern w:val="2"/>
          <w:sz w:val="21"/>
          <w:szCs w:val="21"/>
          <w:lang w:eastAsia="zh-CN"/>
        </w:rPr>
        <w:t>辅助材料和能源（燃料、</w:t>
      </w:r>
      <w:r>
        <w:rPr>
          <w:rFonts w:hint="eastAsia" w:ascii="Times New Roman" w:hAnsi="Times New Roman" w:eastAsia="宋体" w:cs="Times New Roman"/>
          <w:kern w:val="2"/>
          <w:sz w:val="21"/>
          <w:szCs w:val="21"/>
          <w:lang w:eastAsia="zh-CN"/>
        </w:rPr>
        <w:t>蒸汽、</w:t>
      </w:r>
      <w:r>
        <w:rPr>
          <w:rFonts w:ascii="Times New Roman" w:hAnsi="Times New Roman" w:eastAsia="宋体" w:cs="Times New Roman"/>
          <w:kern w:val="2"/>
          <w:sz w:val="21"/>
          <w:szCs w:val="21"/>
          <w:lang w:eastAsia="zh-CN"/>
        </w:rPr>
        <w:t>电力</w:t>
      </w:r>
      <w:r>
        <w:rPr>
          <w:rFonts w:hint="eastAsia" w:ascii="Times New Roman" w:hAnsi="Times New Roman" w:eastAsia="宋体" w:cs="Times New Roman"/>
          <w:kern w:val="2"/>
          <w:sz w:val="21"/>
          <w:szCs w:val="21"/>
          <w:lang w:eastAsia="zh-CN"/>
        </w:rPr>
        <w:t>等</w:t>
      </w:r>
      <w:r>
        <w:rPr>
          <w:rFonts w:ascii="Times New Roman" w:hAnsi="Times New Roman" w:eastAsia="宋体" w:cs="Times New Roman"/>
          <w:kern w:val="2"/>
          <w:sz w:val="21"/>
          <w:szCs w:val="21"/>
          <w:lang w:eastAsia="zh-CN"/>
        </w:rPr>
        <w:t>）的生产</w:t>
      </w:r>
      <w:r>
        <w:rPr>
          <w:rFonts w:hint="eastAsia" w:ascii="Times New Roman" w:hAnsi="Times New Roman" w:eastAsia="宋体" w:cs="Times New Roman"/>
          <w:kern w:val="2"/>
          <w:sz w:val="21"/>
          <w:szCs w:val="21"/>
          <w:lang w:eastAsia="zh-CN"/>
        </w:rPr>
        <w:t>以及全流程</w:t>
      </w:r>
      <w:r>
        <w:rPr>
          <w:rFonts w:ascii="Times New Roman" w:hAnsi="Times New Roman" w:eastAsia="宋体" w:cs="Times New Roman"/>
          <w:kern w:val="2"/>
          <w:sz w:val="21"/>
          <w:szCs w:val="21"/>
          <w:lang w:eastAsia="zh-CN"/>
        </w:rPr>
        <w:t>运输</w:t>
      </w:r>
      <w:r>
        <w:rPr>
          <w:rFonts w:hint="eastAsia" w:ascii="Times New Roman" w:hAnsi="Times New Roman" w:eastAsia="宋体" w:cs="Times New Roman"/>
          <w:kern w:val="2"/>
          <w:sz w:val="21"/>
          <w:szCs w:val="21"/>
          <w:lang w:eastAsia="zh-CN"/>
        </w:rPr>
        <w:t>的过程</w:t>
      </w:r>
      <w:r>
        <w:rPr>
          <w:rFonts w:ascii="Times New Roman" w:hAnsi="Times New Roman" w:eastAsia="宋体" w:cs="Times New Roman"/>
          <w:kern w:val="2"/>
          <w:sz w:val="21"/>
          <w:szCs w:val="21"/>
          <w:lang w:eastAsia="zh-CN"/>
        </w:rPr>
        <w:t>，</w:t>
      </w:r>
      <w:r>
        <w:rPr>
          <w:rFonts w:hint="eastAsia" w:ascii="Times New Roman" w:hAnsi="Times New Roman" w:eastAsia="宋体" w:cs="Times New Roman"/>
          <w:kern w:val="2"/>
          <w:sz w:val="21"/>
          <w:szCs w:val="21"/>
          <w:lang w:eastAsia="zh-CN"/>
        </w:rPr>
        <w:t>即</w:t>
      </w:r>
      <w:r>
        <w:rPr>
          <w:rFonts w:ascii="Times New Roman" w:hAnsi="Times New Roman" w:eastAsia="宋体" w:cs="Times New Roman"/>
          <w:kern w:val="2"/>
          <w:sz w:val="21"/>
          <w:szCs w:val="21"/>
          <w:lang w:eastAsia="zh-CN"/>
        </w:rPr>
        <w:t>产品离开生产商厂门为止。</w:t>
      </w:r>
      <w:r>
        <w:rPr>
          <w:rFonts w:hint="eastAsia" w:ascii="Times New Roman" w:hAnsi="Times New Roman" w:eastAsia="宋体" w:cs="Times New Roman"/>
          <w:kern w:val="2"/>
          <w:sz w:val="21"/>
          <w:szCs w:val="21"/>
          <w:lang w:eastAsia="zh-CN"/>
        </w:rPr>
        <w:t>不具备采矿、选矿单元的现场条件时，采矿选矿单元允许采用本土化次级数据库数据，并完整记录数据来源。</w:t>
      </w:r>
      <w:r>
        <w:rPr>
          <w:rFonts w:ascii="Times New Roman" w:hAnsi="Times New Roman" w:eastAsia="宋体" w:cs="Times New Roman"/>
          <w:kern w:val="2"/>
          <w:sz w:val="21"/>
          <w:szCs w:val="21"/>
          <w:lang w:eastAsia="zh-CN"/>
        </w:rPr>
        <w:t>稀土</w:t>
      </w:r>
      <w:r>
        <w:rPr>
          <w:rFonts w:hint="eastAsia" w:ascii="Times New Roman" w:hAnsi="Times New Roman" w:eastAsia="宋体" w:cs="Times New Roman"/>
          <w:kern w:val="2"/>
          <w:sz w:val="21"/>
          <w:szCs w:val="21"/>
          <w:lang w:val="en-US" w:eastAsia="zh-CN"/>
        </w:rPr>
        <w:t>冶炼</w:t>
      </w:r>
      <w:r>
        <w:rPr>
          <w:rFonts w:ascii="Times New Roman" w:hAnsi="Times New Roman" w:eastAsia="宋体" w:cs="Times New Roman"/>
          <w:kern w:val="2"/>
          <w:sz w:val="21"/>
          <w:szCs w:val="21"/>
          <w:lang w:eastAsia="zh-CN"/>
        </w:rPr>
        <w:t>分离产品的生命周期系统边界见图1</w:t>
      </w:r>
      <w:r>
        <w:rPr>
          <w:rFonts w:hint="eastAsia" w:ascii="Times New Roman" w:hAnsi="Times New Roman" w:eastAsia="宋体" w:cs="Times New Roman"/>
          <w:kern w:val="2"/>
          <w:sz w:val="21"/>
          <w:szCs w:val="21"/>
          <w:lang w:eastAsia="zh-CN"/>
        </w:rPr>
        <w:t>。</w:t>
      </w:r>
    </w:p>
    <w:p w14:paraId="27F35DA5">
      <w:pPr>
        <w:adjustRightInd w:val="0"/>
        <w:snapToGrid w:val="0"/>
        <w:spacing w:after="0" w:line="360" w:lineRule="auto"/>
        <w:jc w:val="both"/>
        <w:rPr>
          <w:rFonts w:ascii="Times New Roman" w:hAnsi="Times New Roman" w:eastAsia="宋体" w:cs="Times New Roman"/>
          <w:kern w:val="2"/>
          <w:sz w:val="21"/>
          <w:szCs w:val="21"/>
          <w:lang w:eastAsia="zh-CN"/>
        </w:rPr>
      </w:pPr>
      <w:r>
        <w:rPr>
          <w:rFonts w:ascii="Times New Roman" w:hAnsi="Times New Roman" w:eastAsia="宋体" w:cs="Times New Roman"/>
          <w:kern w:val="2"/>
          <w:sz w:val="21"/>
          <w:szCs w:val="21"/>
          <w:lang w:eastAsia="zh-CN"/>
        </w:rPr>
        <w:drawing>
          <wp:inline distT="0" distB="0" distL="114300" distR="114300">
            <wp:extent cx="5754370" cy="2951480"/>
            <wp:effectExtent l="0" t="0" r="0" b="0"/>
            <wp:docPr id="1" name="图片 1" descr="3437ebed9389e4499ded43d24f26b7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437ebed9389e4499ded43d24f26b70d"/>
                    <pic:cNvPicPr>
                      <a:picLocks noChangeAspect="1"/>
                    </pic:cNvPicPr>
                  </pic:nvPicPr>
                  <pic:blipFill>
                    <a:blip r:embed="rId15"/>
                    <a:srcRect l="793" t="1942" r="2090" b="2025"/>
                    <a:stretch>
                      <a:fillRect/>
                    </a:stretch>
                  </pic:blipFill>
                  <pic:spPr>
                    <a:xfrm>
                      <a:off x="0" y="0"/>
                      <a:ext cx="5754370" cy="2951480"/>
                    </a:xfrm>
                    <a:prstGeom prst="rect">
                      <a:avLst/>
                    </a:prstGeom>
                  </pic:spPr>
                </pic:pic>
              </a:graphicData>
            </a:graphic>
          </wp:inline>
        </w:drawing>
      </w:r>
    </w:p>
    <w:p w14:paraId="2DC5F2ED">
      <w:pPr>
        <w:adjustRightInd w:val="0"/>
        <w:snapToGrid w:val="0"/>
        <w:spacing w:after="0" w:line="360" w:lineRule="auto"/>
        <w:ind w:firstLine="360" w:firstLineChars="200"/>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图1 稀土</w:t>
      </w:r>
      <w:r>
        <w:rPr>
          <w:rFonts w:hint="eastAsia" w:ascii="黑体" w:hAnsi="黑体" w:eastAsia="黑体" w:cs="Times New Roman"/>
          <w:kern w:val="2"/>
          <w:sz w:val="18"/>
          <w:szCs w:val="18"/>
          <w:lang w:val="en-US" w:eastAsia="zh-CN"/>
        </w:rPr>
        <w:t>冶炼</w:t>
      </w:r>
      <w:r>
        <w:rPr>
          <w:rFonts w:hint="eastAsia" w:ascii="黑体" w:hAnsi="黑体" w:eastAsia="黑体" w:cs="Times New Roman"/>
          <w:kern w:val="2"/>
          <w:sz w:val="18"/>
          <w:szCs w:val="18"/>
          <w:lang w:eastAsia="zh-CN"/>
        </w:rPr>
        <w:t>分离产品生命周期系统边界</w:t>
      </w:r>
    </w:p>
    <w:p w14:paraId="12105989">
      <w:pPr>
        <w:adjustRightInd w:val="0"/>
        <w:snapToGrid w:val="0"/>
        <w:spacing w:after="0" w:line="360" w:lineRule="auto"/>
        <w:ind w:firstLine="360" w:firstLineChars="200"/>
        <w:jc w:val="center"/>
        <w:rPr>
          <w:rFonts w:ascii="黑体" w:hAnsi="黑体" w:eastAsia="黑体" w:cs="Times New Roman"/>
          <w:kern w:val="2"/>
          <w:sz w:val="18"/>
          <w:szCs w:val="18"/>
          <w:lang w:eastAsia="zh-CN"/>
        </w:rPr>
      </w:pPr>
    </w:p>
    <w:p w14:paraId="23AD87B5">
      <w:pPr>
        <w:adjustRightInd w:val="0"/>
        <w:snapToGrid w:val="0"/>
        <w:spacing w:after="0" w:line="360" w:lineRule="auto"/>
        <w:ind w:firstLine="420" w:firstLineChars="200"/>
        <w:jc w:val="both"/>
        <w:rPr>
          <w:lang w:eastAsia="zh-CN"/>
        </w:rPr>
      </w:pPr>
      <w:r>
        <w:rPr>
          <w:rFonts w:hint="eastAsia" w:ascii="Times New Roman" w:hAnsi="Times New Roman" w:eastAsia="宋体" w:cs="Times New Roman"/>
          <w:kern w:val="2"/>
          <w:sz w:val="21"/>
          <w:szCs w:val="21"/>
          <w:lang w:eastAsia="zh-CN"/>
        </w:rPr>
        <w:t>稀土</w:t>
      </w:r>
      <w:r>
        <w:rPr>
          <w:rFonts w:hint="eastAsia" w:ascii="Times New Roman" w:hAnsi="Times New Roman" w:eastAsia="宋体" w:cs="Times New Roman"/>
          <w:kern w:val="2"/>
          <w:sz w:val="21"/>
          <w:szCs w:val="21"/>
          <w:lang w:val="en-US" w:eastAsia="zh-CN"/>
        </w:rPr>
        <w:t>冶炼</w:t>
      </w:r>
      <w:r>
        <w:rPr>
          <w:rFonts w:hint="eastAsia" w:ascii="Times New Roman" w:hAnsi="Times New Roman" w:eastAsia="宋体" w:cs="Times New Roman"/>
          <w:kern w:val="2"/>
          <w:sz w:val="21"/>
          <w:szCs w:val="21"/>
          <w:lang w:eastAsia="zh-CN"/>
        </w:rPr>
        <w:t>分离产品碳足迹的量化范围包括辅助材料和能源获取阶段的上游排放，产品生产阶段各单元的过程排放、燃料燃烧排放以及能源相关排放等。稀土冶炼分离产品生命周期系统边界内涉及的温室气体排放源见附录A。</w:t>
      </w:r>
    </w:p>
    <w:p w14:paraId="533BF23C">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5.3.2 辅助材料和能源获取阶段</w:t>
      </w:r>
    </w:p>
    <w:p w14:paraId="3DC8CC93">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从自然界材料提取时开始，到辅助材料和能源到达生产工厂时终止。包括但不限于以下过程：</w:t>
      </w:r>
    </w:p>
    <w:p w14:paraId="5B5D0901">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a）辅助材料的获取与运输分销（例如硫酸、盐酸、氨水、氧化镁、N235、P507、碳酸氢铵等）；</w:t>
      </w:r>
    </w:p>
    <w:p w14:paraId="1B2F50E5">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b）能源的获取与运输分销或输送（例如汽油、柴油、重油、煤炭、天然气、电力、热力等）。</w:t>
      </w:r>
    </w:p>
    <w:p w14:paraId="1C54A7A3">
      <w:pPr>
        <w:adjustRightInd w:val="0"/>
        <w:snapToGrid w:val="0"/>
        <w:spacing w:before="158" w:beforeLines="50" w:after="158" w:afterLines="50" w:line="360" w:lineRule="auto"/>
        <w:jc w:val="both"/>
        <w:rPr>
          <w:rFonts w:ascii="黑体" w:hAnsi="黑体" w:eastAsia="黑体" w:cs="黑体"/>
          <w:kern w:val="2"/>
          <w:sz w:val="21"/>
          <w:szCs w:val="24"/>
          <w:lang w:eastAsia="zh-CN"/>
        </w:rPr>
      </w:pPr>
      <w:bookmarkStart w:id="78" w:name="_Hlk132764891"/>
      <w:r>
        <w:rPr>
          <w:rFonts w:hint="eastAsia" w:ascii="黑体" w:hAnsi="黑体" w:eastAsia="黑体" w:cs="黑体"/>
          <w:kern w:val="2"/>
          <w:sz w:val="21"/>
          <w:szCs w:val="24"/>
          <w:lang w:eastAsia="zh-CN"/>
        </w:rPr>
        <w:t>5.3.3 稀土冶炼分离产品生产阶段</w:t>
      </w:r>
    </w:p>
    <w:bookmarkEnd w:id="78"/>
    <w:p w14:paraId="76AFD594">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5.3.3.</w:t>
      </w:r>
      <w:r>
        <w:rPr>
          <w:rFonts w:ascii="黑体" w:hAnsi="黑体" w:eastAsia="黑体" w:cs="黑体"/>
          <w:kern w:val="2"/>
          <w:sz w:val="21"/>
          <w:szCs w:val="24"/>
          <w:lang w:eastAsia="zh-CN"/>
        </w:rPr>
        <w:t>1</w:t>
      </w:r>
      <w:r>
        <w:rPr>
          <w:rFonts w:hint="eastAsia" w:ascii="黑体" w:hAnsi="黑体" w:eastAsia="黑体" w:cs="黑体"/>
          <w:kern w:val="2"/>
          <w:sz w:val="21"/>
          <w:szCs w:val="24"/>
          <w:lang w:eastAsia="zh-CN"/>
        </w:rPr>
        <w:t xml:space="preserve"> 稀土采矿单元</w:t>
      </w:r>
    </w:p>
    <w:p w14:paraId="13ACED1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bookmarkStart w:id="79" w:name="_Hlk190353838"/>
      <w:r>
        <w:rPr>
          <w:rFonts w:hint="eastAsia" w:ascii="Times New Roman" w:hAnsi="Times New Roman" w:eastAsia="宋体" w:cs="Times New Roman"/>
          <w:kern w:val="2"/>
          <w:sz w:val="21"/>
          <w:szCs w:val="21"/>
          <w:lang w:eastAsia="zh-CN"/>
        </w:rPr>
        <w:t>稀土采矿单元从采矿工序开始，到稀土原矿离开矿区终止，包括以下过程：</w:t>
      </w:r>
    </w:p>
    <w:p w14:paraId="4CE6A245">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a）采矿作业相关流程；</w:t>
      </w:r>
    </w:p>
    <w:p w14:paraId="52A1916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b）燃料、辅助材料生产与运输相关过程；</w:t>
      </w:r>
    </w:p>
    <w:p w14:paraId="70A056B3">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c）燃料及电（热）力等能源消耗相关过程；</w:t>
      </w:r>
    </w:p>
    <w:p w14:paraId="46FA1856">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d）稀土原矿储运过程。</w:t>
      </w:r>
    </w:p>
    <w:bookmarkEnd w:id="79"/>
    <w:p w14:paraId="1B53FD9A">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5.3.3.2 稀土选矿单元</w:t>
      </w:r>
    </w:p>
    <w:p w14:paraId="0E324D31">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稀土选矿单元从选矿作业相关流程开始，到稀土精矿离开矿区终止，包括以下过程：</w:t>
      </w:r>
    </w:p>
    <w:p w14:paraId="041FE9F3">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a）选矿作业相关流程；</w:t>
      </w:r>
    </w:p>
    <w:p w14:paraId="575ECE9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b）燃料、辅助材料生产与运输相关过程；</w:t>
      </w:r>
    </w:p>
    <w:p w14:paraId="6B28635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c）燃料及电（热）力等能源消耗相关过程；</w:t>
      </w:r>
    </w:p>
    <w:p w14:paraId="03C229F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d）稀土精矿</w:t>
      </w:r>
      <w:r>
        <w:rPr>
          <w:rFonts w:hint="eastAsia" w:ascii="Times New Roman" w:hAnsi="Times New Roman" w:eastAsia="宋体" w:cs="Times New Roman"/>
          <w:kern w:val="2"/>
          <w:sz w:val="21"/>
          <w:szCs w:val="21"/>
          <w:lang w:val="en-US" w:eastAsia="zh-CN"/>
        </w:rPr>
        <w:t>或稀土料液</w:t>
      </w:r>
      <w:r>
        <w:rPr>
          <w:rFonts w:hint="eastAsia" w:ascii="Times New Roman" w:hAnsi="Times New Roman" w:eastAsia="宋体" w:cs="Times New Roman"/>
          <w:kern w:val="2"/>
          <w:sz w:val="21"/>
          <w:szCs w:val="21"/>
          <w:lang w:eastAsia="zh-CN"/>
        </w:rPr>
        <w:t>储运过程。</w:t>
      </w:r>
    </w:p>
    <w:p w14:paraId="0682D59C">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5.3.3.3 稀土二次资源回收单元</w:t>
      </w:r>
    </w:p>
    <w:p w14:paraId="64496BA1">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稀土二次资源回收单元包括以下过程：</w:t>
      </w:r>
    </w:p>
    <w:p w14:paraId="6FB2F4E6">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a）拆解相关流程；</w:t>
      </w:r>
    </w:p>
    <w:p w14:paraId="3F6A0D9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b）燃料、辅助材料生产与运输相关过程；</w:t>
      </w:r>
    </w:p>
    <w:p w14:paraId="62986BB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c）燃料及电（热）力等能源消耗相关过程；</w:t>
      </w:r>
    </w:p>
    <w:p w14:paraId="0C6A249B">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d）二次资源储运过程。</w:t>
      </w:r>
    </w:p>
    <w:p w14:paraId="4AD14EC3">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5.3.3.4 稀土冶炼分离产品生产单元</w:t>
      </w:r>
    </w:p>
    <w:p w14:paraId="6827748F">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5.3.3.4.1 混合型稀土精矿酸法冶炼分离生产单元</w:t>
      </w:r>
    </w:p>
    <w:p w14:paraId="5AC7691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bookmarkStart w:id="80" w:name="_Hlk190442984"/>
      <w:bookmarkStart w:id="81" w:name="_Hlk190443552"/>
      <w:r>
        <w:rPr>
          <w:rFonts w:hint="eastAsia" w:ascii="Times New Roman" w:hAnsi="Times New Roman" w:eastAsia="宋体" w:cs="Times New Roman"/>
          <w:kern w:val="2"/>
          <w:sz w:val="21"/>
          <w:szCs w:val="21"/>
          <w:lang w:eastAsia="zh-CN"/>
        </w:rPr>
        <w:t>酸法冶炼分离生产</w:t>
      </w:r>
      <w:bookmarkEnd w:id="80"/>
      <w:r>
        <w:rPr>
          <w:rFonts w:hint="eastAsia" w:ascii="Times New Roman" w:hAnsi="Times New Roman" w:eastAsia="宋体" w:cs="Times New Roman"/>
          <w:kern w:val="2"/>
          <w:sz w:val="21"/>
          <w:szCs w:val="21"/>
          <w:lang w:eastAsia="zh-CN"/>
        </w:rPr>
        <w:t>稀土冶炼分离产品的工艺流程见附录B的图B.1。酸法冶炼分离生产从混合型稀土精矿进入工厂开始，经焙烧-水浸、转型、分组分离、沉淀以及灼烧等工序后，到稀土冶炼分离产品离开工厂终止，包括以下过程：</w:t>
      </w:r>
    </w:p>
    <w:p w14:paraId="6237C25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bookmarkStart w:id="82" w:name="_Hlk190355226"/>
      <w:r>
        <w:rPr>
          <w:rFonts w:hint="eastAsia" w:ascii="Times New Roman" w:hAnsi="Times New Roman" w:eastAsia="宋体" w:cs="Times New Roman"/>
          <w:kern w:val="2"/>
          <w:sz w:val="21"/>
          <w:szCs w:val="21"/>
          <w:lang w:eastAsia="zh-CN"/>
        </w:rPr>
        <w:t>a）稀土精矿原料运输；</w:t>
      </w:r>
    </w:p>
    <w:p w14:paraId="102843C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b）酸法冶炼分离生产相关流程，包括；</w:t>
      </w:r>
    </w:p>
    <w:p w14:paraId="3A4AE47C">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1)焙烧-水浸；</w:t>
      </w:r>
    </w:p>
    <w:p w14:paraId="76F8E6D0">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2)转型；</w:t>
      </w:r>
    </w:p>
    <w:p w14:paraId="234C246A">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3)分组分离；</w:t>
      </w:r>
    </w:p>
    <w:p w14:paraId="3DD561AA">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4)沉淀；</w:t>
      </w:r>
    </w:p>
    <w:p w14:paraId="7F46F4AF">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5)灼烧。</w:t>
      </w:r>
    </w:p>
    <w:p w14:paraId="65E57EC6">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c）燃料、辅助材料生产与运输相关过程；</w:t>
      </w:r>
    </w:p>
    <w:p w14:paraId="63F66EB5">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d）燃料及电（热）力等能源消耗相关过程；</w:t>
      </w:r>
    </w:p>
    <w:p w14:paraId="2773702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e）稀土冶炼分离产品储运过程。</w:t>
      </w:r>
    </w:p>
    <w:bookmarkEnd w:id="81"/>
    <w:bookmarkEnd w:id="82"/>
    <w:p w14:paraId="2F18622A">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 xml:space="preserve">5.3.3.4.2 </w:t>
      </w:r>
      <w:bookmarkStart w:id="83" w:name="_Hlk190447807"/>
      <w:r>
        <w:rPr>
          <w:rFonts w:hint="eastAsia" w:ascii="黑体" w:hAnsi="黑体" w:eastAsia="黑体" w:cs="黑体"/>
          <w:kern w:val="2"/>
          <w:sz w:val="21"/>
          <w:szCs w:val="24"/>
          <w:lang w:eastAsia="zh-CN"/>
        </w:rPr>
        <w:t>混合型稀土精矿碱法冶炼分离生产单元</w:t>
      </w:r>
      <w:bookmarkEnd w:id="83"/>
    </w:p>
    <w:p w14:paraId="557ABCE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碱法冶炼分离生产稀土冶炼分离产品的工艺流程见附录B的图B.2。碱法冶炼分离生产从混合型稀土精矿进入工厂开始，经除杂、碱分解、酸溶、分组分离、沉淀和灼烧等工序后，到稀土冶炼分离产品离开工厂终止，包括以下过程：</w:t>
      </w:r>
    </w:p>
    <w:p w14:paraId="5FF59F4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a）稀土精矿原料运输；</w:t>
      </w:r>
    </w:p>
    <w:p w14:paraId="535DC7D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b）碱法冶炼分离生产相关流程，包括；</w:t>
      </w:r>
    </w:p>
    <w:p w14:paraId="6B669106">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1)除杂；</w:t>
      </w:r>
    </w:p>
    <w:p w14:paraId="04C9A2A3">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2)碱分解；</w:t>
      </w:r>
    </w:p>
    <w:p w14:paraId="4FC8ACAB">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3)酸溶；</w:t>
      </w:r>
    </w:p>
    <w:p w14:paraId="4871EDC0">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4)分组分离；</w:t>
      </w:r>
    </w:p>
    <w:p w14:paraId="06244E92">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5)沉淀；</w:t>
      </w:r>
    </w:p>
    <w:p w14:paraId="16577413">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6)灼烧。</w:t>
      </w:r>
    </w:p>
    <w:p w14:paraId="340CAEE1">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c）燃料、辅助材料生产与运输相关过程；</w:t>
      </w:r>
    </w:p>
    <w:p w14:paraId="659DCD7F">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d）燃料及电（热）力等能源消耗相关过程；</w:t>
      </w:r>
    </w:p>
    <w:p w14:paraId="6080220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e）稀土冶炼分离产品储运过程。</w:t>
      </w:r>
    </w:p>
    <w:p w14:paraId="238D6843">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5.3.3.4.3 以</w:t>
      </w:r>
      <w:bookmarkStart w:id="84" w:name="_Hlk190443657"/>
      <w:r>
        <w:rPr>
          <w:rFonts w:hint="eastAsia" w:ascii="黑体" w:hAnsi="黑体" w:eastAsia="黑体" w:cs="黑体"/>
          <w:kern w:val="2"/>
          <w:sz w:val="21"/>
          <w:szCs w:val="24"/>
          <w:lang w:eastAsia="zh-CN"/>
        </w:rPr>
        <w:t>氟碳铈矿</w:t>
      </w:r>
      <w:bookmarkEnd w:id="84"/>
      <w:r>
        <w:rPr>
          <w:rFonts w:hint="eastAsia" w:ascii="黑体" w:hAnsi="黑体" w:eastAsia="黑体" w:cs="黑体"/>
          <w:kern w:val="2"/>
          <w:sz w:val="21"/>
          <w:szCs w:val="24"/>
          <w:lang w:eastAsia="zh-CN"/>
        </w:rPr>
        <w:t>为原料生产湿法分离产品生产单元</w:t>
      </w:r>
    </w:p>
    <w:p w14:paraId="56A024C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以氟碳铈矿为原料生产湿法分离产品的工艺流程见附录B的图B.3。生产过程从氟碳铈矿进入工厂开始，经焙烧、浸出、</w:t>
      </w:r>
      <w:r>
        <w:rPr>
          <w:rFonts w:hint="eastAsia" w:ascii="Times New Roman" w:hAnsi="Times New Roman" w:eastAsia="宋体" w:cs="Times New Roman"/>
          <w:kern w:val="2"/>
          <w:sz w:val="21"/>
          <w:szCs w:val="21"/>
          <w:lang w:val="en-US" w:eastAsia="zh-CN"/>
        </w:rPr>
        <w:t>碱分解、</w:t>
      </w:r>
      <w:r>
        <w:rPr>
          <w:rFonts w:hint="eastAsia" w:ascii="Times New Roman" w:hAnsi="Times New Roman" w:eastAsia="宋体" w:cs="Times New Roman"/>
          <w:kern w:val="2"/>
          <w:sz w:val="21"/>
          <w:szCs w:val="21"/>
          <w:lang w:eastAsia="zh-CN"/>
        </w:rPr>
        <w:t>分组分离、沉淀以及灼烧等工序后，到稀土冶炼分离产品离开工厂终止，包括以下过程：</w:t>
      </w:r>
    </w:p>
    <w:p w14:paraId="58B0C88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a）稀土精矿原料运输；</w:t>
      </w:r>
    </w:p>
    <w:p w14:paraId="110AC1A3">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b）冶炼分离生产相关流程，包括；</w:t>
      </w:r>
    </w:p>
    <w:p w14:paraId="64B339B8">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1)焙烧；</w:t>
      </w:r>
    </w:p>
    <w:p w14:paraId="4ABA27D4">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2)浸出；</w:t>
      </w:r>
    </w:p>
    <w:p w14:paraId="270C7314">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3)碱分解；</w:t>
      </w:r>
    </w:p>
    <w:p w14:paraId="6296BDA4">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val="en-US" w:eastAsia="zh-CN"/>
        </w:rPr>
        <w:t>4</w:t>
      </w:r>
      <w:r>
        <w:rPr>
          <w:rFonts w:hint="eastAsia" w:ascii="Times New Roman" w:hAnsi="Times New Roman" w:eastAsia="宋体" w:cs="Times New Roman"/>
          <w:kern w:val="2"/>
          <w:sz w:val="21"/>
          <w:szCs w:val="21"/>
          <w:lang w:eastAsia="zh-CN"/>
        </w:rPr>
        <w:t>)分组分离；</w:t>
      </w:r>
    </w:p>
    <w:p w14:paraId="4BF61D4F">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val="en-US" w:eastAsia="zh-CN"/>
        </w:rPr>
        <w:t>5</w:t>
      </w:r>
      <w:r>
        <w:rPr>
          <w:rFonts w:hint="eastAsia" w:ascii="Times New Roman" w:hAnsi="Times New Roman" w:eastAsia="宋体" w:cs="Times New Roman"/>
          <w:kern w:val="2"/>
          <w:sz w:val="21"/>
          <w:szCs w:val="21"/>
          <w:lang w:eastAsia="zh-CN"/>
        </w:rPr>
        <w:t>)沉淀；</w:t>
      </w:r>
    </w:p>
    <w:p w14:paraId="3BCF4CA5">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val="en-US" w:eastAsia="zh-CN"/>
        </w:rPr>
        <w:t>6</w:t>
      </w:r>
      <w:r>
        <w:rPr>
          <w:rFonts w:hint="eastAsia" w:ascii="Times New Roman" w:hAnsi="Times New Roman" w:eastAsia="宋体" w:cs="Times New Roman"/>
          <w:kern w:val="2"/>
          <w:sz w:val="21"/>
          <w:szCs w:val="21"/>
          <w:lang w:eastAsia="zh-CN"/>
        </w:rPr>
        <w:t>灼烧。</w:t>
      </w:r>
    </w:p>
    <w:p w14:paraId="1ABC33D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c）燃料、辅助材料生产与运输相关过程；</w:t>
      </w:r>
    </w:p>
    <w:p w14:paraId="411D1658">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d）燃料及电（热）力等能源消耗相关过程；</w:t>
      </w:r>
    </w:p>
    <w:p w14:paraId="10F194F0">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e）稀土冶炼分离产品储运过程。</w:t>
      </w:r>
    </w:p>
    <w:p w14:paraId="08D0FE95">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 xml:space="preserve">5.3.3.4.4 </w:t>
      </w:r>
      <w:bookmarkStart w:id="85" w:name="_Hlk199926606"/>
      <w:r>
        <w:rPr>
          <w:rFonts w:hint="eastAsia" w:ascii="黑体" w:hAnsi="黑体" w:eastAsia="黑体" w:cs="黑体"/>
          <w:kern w:val="2"/>
          <w:sz w:val="21"/>
          <w:szCs w:val="24"/>
          <w:lang w:eastAsia="zh-CN"/>
        </w:rPr>
        <w:t>以独居石矿为原料生产湿法分离产品生产单元</w:t>
      </w:r>
    </w:p>
    <w:bookmarkEnd w:id="85"/>
    <w:p w14:paraId="54C350F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以独居石矿为原料生产湿法分离产品的工艺流程见附录B的图B.4。生产过程从独居石矿进入工厂开始，经磨矿、碱分解、酸溶、除放等工序后，到稀土冶炼分离产品离开工厂终止，包括以下过程：</w:t>
      </w:r>
    </w:p>
    <w:p w14:paraId="64065F2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a）稀土精矿原料运输；</w:t>
      </w:r>
    </w:p>
    <w:p w14:paraId="637D87A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b）冶炼分离生产相关流程，包括；</w:t>
      </w:r>
    </w:p>
    <w:p w14:paraId="4DA003A4">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1)磨矿；</w:t>
      </w:r>
    </w:p>
    <w:p w14:paraId="0EB8908F">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2)碱分解；</w:t>
      </w:r>
    </w:p>
    <w:p w14:paraId="598E7997">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3)酸溶；</w:t>
      </w:r>
    </w:p>
    <w:p w14:paraId="49DB862C">
      <w:pPr>
        <w:adjustRightInd w:val="0"/>
        <w:snapToGrid w:val="0"/>
        <w:spacing w:after="0" w:line="360" w:lineRule="auto"/>
        <w:ind w:firstLine="840" w:firstLineChars="40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4)除放；</w:t>
      </w:r>
    </w:p>
    <w:p w14:paraId="20491E3B">
      <w:pPr>
        <w:adjustRightInd w:val="0"/>
        <w:snapToGrid w:val="0"/>
        <w:spacing w:after="0" w:line="360" w:lineRule="auto"/>
        <w:ind w:firstLine="840" w:firstLineChars="4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5</w:t>
      </w:r>
      <w:r>
        <w:rPr>
          <w:rFonts w:hint="eastAsia" w:ascii="Times New Roman" w:hAnsi="Times New Roman" w:eastAsia="宋体" w:cs="Times New Roman"/>
          <w:kern w:val="2"/>
          <w:sz w:val="21"/>
          <w:szCs w:val="21"/>
          <w:lang w:eastAsia="zh-CN"/>
        </w:rPr>
        <w:t>)</w:t>
      </w:r>
      <w:r>
        <w:rPr>
          <w:rFonts w:hint="eastAsia" w:ascii="Times New Roman" w:hAnsi="Times New Roman" w:eastAsia="宋体" w:cs="Times New Roman"/>
          <w:kern w:val="2"/>
          <w:sz w:val="21"/>
          <w:szCs w:val="21"/>
          <w:lang w:val="en-US" w:eastAsia="zh-CN"/>
        </w:rPr>
        <w:t>分组分离；</w:t>
      </w:r>
    </w:p>
    <w:p w14:paraId="052DAE05">
      <w:pPr>
        <w:adjustRightInd w:val="0"/>
        <w:snapToGrid w:val="0"/>
        <w:spacing w:after="0" w:line="360" w:lineRule="auto"/>
        <w:ind w:firstLine="840" w:firstLineChars="4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6</w:t>
      </w:r>
      <w:r>
        <w:rPr>
          <w:rFonts w:hint="eastAsia" w:ascii="Times New Roman" w:hAnsi="Times New Roman" w:eastAsia="宋体" w:cs="Times New Roman"/>
          <w:kern w:val="2"/>
          <w:sz w:val="21"/>
          <w:szCs w:val="21"/>
          <w:lang w:eastAsia="zh-CN"/>
        </w:rPr>
        <w:t>)</w:t>
      </w:r>
      <w:r>
        <w:rPr>
          <w:rFonts w:hint="eastAsia" w:ascii="Times New Roman" w:hAnsi="Times New Roman" w:eastAsia="宋体" w:cs="Times New Roman"/>
          <w:kern w:val="2"/>
          <w:sz w:val="21"/>
          <w:szCs w:val="21"/>
          <w:lang w:val="en-US" w:eastAsia="zh-CN"/>
        </w:rPr>
        <w:t>沉淀；</w:t>
      </w:r>
    </w:p>
    <w:p w14:paraId="44DC1911">
      <w:pPr>
        <w:adjustRightInd w:val="0"/>
        <w:snapToGrid w:val="0"/>
        <w:spacing w:after="0" w:line="360" w:lineRule="auto"/>
        <w:ind w:firstLine="840" w:firstLineChars="400"/>
        <w:jc w:val="both"/>
        <w:rPr>
          <w:rFonts w:hint="default"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7</w:t>
      </w:r>
      <w:r>
        <w:rPr>
          <w:rFonts w:hint="eastAsia" w:ascii="Times New Roman" w:hAnsi="Times New Roman" w:eastAsia="宋体" w:cs="Times New Roman"/>
          <w:kern w:val="2"/>
          <w:sz w:val="21"/>
          <w:szCs w:val="21"/>
          <w:lang w:eastAsia="zh-CN"/>
        </w:rPr>
        <w:t>)</w:t>
      </w:r>
      <w:r>
        <w:rPr>
          <w:rFonts w:hint="eastAsia" w:ascii="Times New Roman" w:hAnsi="Times New Roman" w:eastAsia="宋体" w:cs="Times New Roman"/>
          <w:kern w:val="2"/>
          <w:sz w:val="21"/>
          <w:szCs w:val="21"/>
          <w:lang w:val="en-US" w:eastAsia="zh-CN"/>
        </w:rPr>
        <w:t>灼烧。</w:t>
      </w:r>
    </w:p>
    <w:p w14:paraId="0E90BFCF">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c）燃料、辅助材料生产与运输相关过程；</w:t>
      </w:r>
    </w:p>
    <w:p w14:paraId="621B32C0">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d）燃料及电（热）力等能源消耗相关过程；</w:t>
      </w:r>
    </w:p>
    <w:p w14:paraId="4876E5B0">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e）稀土冶炼分离产品储运过程。</w:t>
      </w:r>
    </w:p>
    <w:p w14:paraId="7E6AFA5C">
      <w:pPr>
        <w:adjustRightInd w:val="0"/>
        <w:snapToGrid w:val="0"/>
        <w:spacing w:before="158" w:beforeLines="50" w:after="158" w:afterLines="50" w:line="360" w:lineRule="auto"/>
        <w:jc w:val="both"/>
        <w:rPr>
          <w:rFonts w:ascii="黑体" w:hAnsi="黑体" w:eastAsia="黑体" w:cs="黑体"/>
          <w:kern w:val="2"/>
          <w:sz w:val="21"/>
          <w:szCs w:val="24"/>
          <w:lang w:eastAsia="zh-CN"/>
        </w:rPr>
      </w:pPr>
      <w:bookmarkStart w:id="86" w:name="_Hlk199926335"/>
      <w:r>
        <w:rPr>
          <w:rFonts w:hint="eastAsia" w:ascii="黑体" w:hAnsi="黑体" w:eastAsia="黑体" w:cs="黑体"/>
          <w:kern w:val="2"/>
          <w:sz w:val="21"/>
          <w:szCs w:val="24"/>
          <w:lang w:eastAsia="zh-CN"/>
        </w:rPr>
        <w:t>5.3.3.4.5</w:t>
      </w:r>
      <w:r>
        <w:rPr>
          <w:rFonts w:hint="eastAsia" w:ascii="黑体" w:hAnsi="黑体" w:eastAsia="黑体" w:cs="黑体"/>
          <w:color w:val="EE0000"/>
          <w:kern w:val="2"/>
          <w:sz w:val="21"/>
          <w:szCs w:val="24"/>
          <w:lang w:eastAsia="zh-CN"/>
        </w:rPr>
        <w:t xml:space="preserve"> </w:t>
      </w:r>
      <w:bookmarkStart w:id="87" w:name="_Hlk190447930"/>
      <w:r>
        <w:rPr>
          <w:rFonts w:hint="eastAsia" w:ascii="黑体" w:hAnsi="黑体" w:eastAsia="黑体" w:cs="黑体"/>
          <w:kern w:val="2"/>
          <w:sz w:val="21"/>
          <w:szCs w:val="24"/>
          <w:lang w:eastAsia="zh-CN"/>
        </w:rPr>
        <w:t>以</w:t>
      </w:r>
      <w:bookmarkStart w:id="88" w:name="_Hlk190443860"/>
      <w:r>
        <w:rPr>
          <w:rFonts w:hint="eastAsia" w:ascii="黑体" w:hAnsi="黑体" w:eastAsia="黑体" w:cs="黑体"/>
          <w:kern w:val="2"/>
          <w:sz w:val="21"/>
          <w:szCs w:val="24"/>
          <w:lang w:eastAsia="zh-CN"/>
        </w:rPr>
        <w:t>离子吸附型稀土</w:t>
      </w:r>
      <w:bookmarkEnd w:id="88"/>
      <w:r>
        <w:rPr>
          <w:rFonts w:hint="eastAsia" w:ascii="黑体" w:hAnsi="黑体" w:eastAsia="黑体" w:cs="黑体"/>
          <w:kern w:val="2"/>
          <w:sz w:val="21"/>
          <w:szCs w:val="24"/>
          <w:lang w:eastAsia="zh-CN"/>
        </w:rPr>
        <w:t>矿为原料生产湿法分离产品生产单元</w:t>
      </w:r>
      <w:bookmarkEnd w:id="87"/>
    </w:p>
    <w:bookmarkEnd w:id="86"/>
    <w:p w14:paraId="6913998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以离子吸附型稀土矿为原料生产湿法冶炼分离产品的工艺流程见附录B的图B.5。生产过程从离子吸附型稀土矿的精矿进入工厂开始，经浸矿、富集、溶解、分组分离、沉淀以及灼烧等工序后，到稀土冶炼分离产品离开工厂终止，包括以下过程：</w:t>
      </w:r>
    </w:p>
    <w:p w14:paraId="2FF5B56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a）离子吸附型稀土矿原料运输；</w:t>
      </w:r>
    </w:p>
    <w:p w14:paraId="003DC0D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b）冶炼分离生产相关流程，包括；</w:t>
      </w:r>
    </w:p>
    <w:p w14:paraId="523DF243">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val="en-US" w:eastAsia="zh-CN"/>
        </w:rPr>
        <w:t>1</w:t>
      </w:r>
      <w:r>
        <w:rPr>
          <w:rFonts w:hint="eastAsia" w:ascii="Times New Roman" w:hAnsi="Times New Roman" w:eastAsia="宋体" w:cs="Times New Roman"/>
          <w:kern w:val="2"/>
          <w:sz w:val="21"/>
          <w:szCs w:val="21"/>
          <w:lang w:eastAsia="zh-CN"/>
        </w:rPr>
        <w:t>)酸溶；</w:t>
      </w:r>
    </w:p>
    <w:p w14:paraId="625D6EDD">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val="en-US" w:eastAsia="zh-CN"/>
        </w:rPr>
        <w:t>2</w:t>
      </w:r>
      <w:r>
        <w:rPr>
          <w:rFonts w:hint="eastAsia" w:ascii="Times New Roman" w:hAnsi="Times New Roman" w:eastAsia="宋体" w:cs="Times New Roman"/>
          <w:kern w:val="2"/>
          <w:sz w:val="21"/>
          <w:szCs w:val="21"/>
          <w:lang w:eastAsia="zh-CN"/>
        </w:rPr>
        <w:t>)分组分离；</w:t>
      </w:r>
    </w:p>
    <w:p w14:paraId="1E974758">
      <w:pPr>
        <w:adjustRightInd w:val="0"/>
        <w:snapToGrid w:val="0"/>
        <w:spacing w:after="0" w:line="360" w:lineRule="auto"/>
        <w:ind w:firstLine="840" w:firstLineChars="40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val="en-US" w:eastAsia="zh-CN"/>
        </w:rPr>
        <w:t>3</w:t>
      </w:r>
      <w:r>
        <w:rPr>
          <w:rFonts w:hint="eastAsia" w:ascii="Times New Roman" w:hAnsi="Times New Roman" w:eastAsia="宋体" w:cs="Times New Roman"/>
          <w:kern w:val="2"/>
          <w:sz w:val="21"/>
          <w:szCs w:val="21"/>
          <w:lang w:eastAsia="zh-CN"/>
        </w:rPr>
        <w:t>)沉淀；</w:t>
      </w:r>
    </w:p>
    <w:p w14:paraId="0E8D421D">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val="en-US" w:eastAsia="zh-CN"/>
        </w:rPr>
        <w:t>4</w:t>
      </w:r>
      <w:r>
        <w:rPr>
          <w:rFonts w:hint="eastAsia" w:ascii="Times New Roman" w:hAnsi="Times New Roman" w:eastAsia="宋体" w:cs="Times New Roman"/>
          <w:kern w:val="2"/>
          <w:sz w:val="21"/>
          <w:szCs w:val="21"/>
          <w:lang w:eastAsia="zh-CN"/>
        </w:rPr>
        <w:t>)灼烧。</w:t>
      </w:r>
    </w:p>
    <w:p w14:paraId="5C2E0808">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c）燃料、辅助材料生产与运输相关过程；</w:t>
      </w:r>
    </w:p>
    <w:p w14:paraId="6CF70F4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d）燃料及电（热）力等能源消耗相关过程；</w:t>
      </w:r>
    </w:p>
    <w:p w14:paraId="5D11A74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e）稀土冶炼分离产品储运过程。</w:t>
      </w:r>
    </w:p>
    <w:p w14:paraId="3FBFB32D">
      <w:pPr>
        <w:adjustRightInd w:val="0"/>
        <w:snapToGrid w:val="0"/>
        <w:spacing w:before="158" w:beforeLines="50" w:after="158" w:afterLines="50" w:line="360" w:lineRule="auto"/>
        <w:jc w:val="both"/>
        <w:rPr>
          <w:rFonts w:ascii="黑体" w:hAnsi="黑体" w:eastAsia="黑体" w:cs="黑体"/>
          <w:kern w:val="2"/>
          <w:sz w:val="21"/>
          <w:szCs w:val="24"/>
          <w:lang w:eastAsia="zh-CN"/>
        </w:rPr>
      </w:pPr>
      <w:bookmarkStart w:id="89" w:name="_Hlk199926654"/>
      <w:r>
        <w:rPr>
          <w:rFonts w:hint="eastAsia" w:ascii="黑体" w:hAnsi="黑体" w:eastAsia="黑体" w:cs="黑体"/>
          <w:kern w:val="2"/>
          <w:sz w:val="21"/>
          <w:szCs w:val="24"/>
          <w:lang w:eastAsia="zh-CN"/>
        </w:rPr>
        <w:t xml:space="preserve">5.3.3.4.6 </w:t>
      </w:r>
      <w:bookmarkStart w:id="90" w:name="_Hlk190447948"/>
      <w:r>
        <w:rPr>
          <w:rFonts w:hint="eastAsia" w:ascii="黑体" w:hAnsi="黑体" w:eastAsia="黑体" w:cs="黑体"/>
          <w:kern w:val="2"/>
          <w:sz w:val="21"/>
          <w:szCs w:val="24"/>
          <w:lang w:eastAsia="zh-CN"/>
        </w:rPr>
        <w:t>以</w:t>
      </w:r>
      <w:bookmarkStart w:id="91" w:name="OLE_LINK11"/>
      <w:r>
        <w:rPr>
          <w:rFonts w:hint="eastAsia" w:ascii="黑体" w:hAnsi="黑体" w:eastAsia="黑体" w:cs="黑体"/>
          <w:kern w:val="2"/>
          <w:sz w:val="21"/>
          <w:szCs w:val="24"/>
          <w:lang w:eastAsia="zh-CN"/>
        </w:rPr>
        <w:t>稀土二次资源回收料等含稀土的物</w:t>
      </w:r>
      <w:bookmarkStart w:id="92" w:name="_Hlk190443966"/>
      <w:r>
        <w:rPr>
          <w:rFonts w:hint="eastAsia" w:ascii="黑体" w:hAnsi="黑体" w:eastAsia="黑体" w:cs="黑体"/>
          <w:kern w:val="2"/>
          <w:sz w:val="21"/>
          <w:szCs w:val="24"/>
          <w:lang w:eastAsia="zh-CN"/>
        </w:rPr>
        <w:t>料</w:t>
      </w:r>
      <w:bookmarkEnd w:id="91"/>
      <w:bookmarkEnd w:id="92"/>
      <w:r>
        <w:rPr>
          <w:rFonts w:hint="eastAsia" w:ascii="黑体" w:hAnsi="黑体" w:eastAsia="黑体" w:cs="黑体"/>
          <w:kern w:val="2"/>
          <w:sz w:val="21"/>
          <w:szCs w:val="24"/>
          <w:lang w:eastAsia="zh-CN"/>
        </w:rPr>
        <w:t>为原料生产湿法分离产品生产单元</w:t>
      </w:r>
      <w:bookmarkEnd w:id="90"/>
    </w:p>
    <w:bookmarkEnd w:id="89"/>
    <w:p w14:paraId="3849A4BB">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以稀土二次资源回收料等含稀土的物料为原料生产湿法分离产品的工艺流程见</w:t>
      </w:r>
      <w:bookmarkStart w:id="93" w:name="_Hlk199926741"/>
      <w:r>
        <w:rPr>
          <w:rFonts w:hint="eastAsia" w:ascii="Times New Roman" w:hAnsi="Times New Roman" w:eastAsia="宋体" w:cs="Times New Roman"/>
          <w:kern w:val="2"/>
          <w:sz w:val="21"/>
          <w:szCs w:val="21"/>
          <w:lang w:eastAsia="zh-CN"/>
        </w:rPr>
        <w:t>附录B的图B.6</w:t>
      </w:r>
      <w:bookmarkEnd w:id="93"/>
      <w:r>
        <w:rPr>
          <w:rFonts w:hint="eastAsia" w:ascii="Times New Roman" w:hAnsi="Times New Roman" w:eastAsia="宋体" w:cs="Times New Roman"/>
          <w:kern w:val="2"/>
          <w:sz w:val="21"/>
          <w:szCs w:val="21"/>
          <w:lang w:eastAsia="zh-CN"/>
        </w:rPr>
        <w:t>。生产过程从物料进入工厂开始，经原料获取及制备、焙烧、酸溶、分组分离、沉淀以及灼烧等工序后，到稀土冶炼分离产品离开工厂终止，包括以下过程：</w:t>
      </w:r>
    </w:p>
    <w:p w14:paraId="7C417C8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a）稀土二次资源回收料等含稀土的物料原料运输；</w:t>
      </w:r>
    </w:p>
    <w:p w14:paraId="77539578">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b）冶炼分离生产相关流程，包括；</w:t>
      </w:r>
    </w:p>
    <w:p w14:paraId="5C9A069E">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1)</w:t>
      </w:r>
      <w:r>
        <w:rPr>
          <w:rFonts w:hint="eastAsia" w:ascii="Times New Roman" w:hAnsi="Times New Roman" w:eastAsia="宋体" w:cs="Times New Roman"/>
          <w:kern w:val="2"/>
          <w:sz w:val="21"/>
          <w:szCs w:val="21"/>
          <w:lang w:val="en-US" w:eastAsia="zh-CN"/>
        </w:rPr>
        <w:t>破碎</w:t>
      </w:r>
      <w:r>
        <w:rPr>
          <w:rFonts w:hint="eastAsia" w:ascii="Times New Roman" w:hAnsi="Times New Roman" w:eastAsia="宋体" w:cs="Times New Roman"/>
          <w:kern w:val="2"/>
          <w:sz w:val="21"/>
          <w:szCs w:val="21"/>
          <w:lang w:eastAsia="zh-CN"/>
        </w:rPr>
        <w:t>；</w:t>
      </w:r>
    </w:p>
    <w:p w14:paraId="4C590E70">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2)焙烧；</w:t>
      </w:r>
    </w:p>
    <w:p w14:paraId="40376285">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val="en-US" w:eastAsia="zh-CN"/>
        </w:rPr>
        <w:t>3</w:t>
      </w:r>
      <w:r>
        <w:rPr>
          <w:rFonts w:hint="eastAsia" w:ascii="Times New Roman" w:hAnsi="Times New Roman" w:eastAsia="宋体" w:cs="Times New Roman"/>
          <w:kern w:val="2"/>
          <w:sz w:val="21"/>
          <w:szCs w:val="21"/>
          <w:lang w:eastAsia="zh-CN"/>
        </w:rPr>
        <w:t>)酸溶；</w:t>
      </w:r>
    </w:p>
    <w:p w14:paraId="48E43548">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val="en-US" w:eastAsia="zh-CN"/>
        </w:rPr>
        <w:t>4</w:t>
      </w:r>
      <w:r>
        <w:rPr>
          <w:rFonts w:hint="eastAsia" w:ascii="Times New Roman" w:hAnsi="Times New Roman" w:eastAsia="宋体" w:cs="Times New Roman"/>
          <w:kern w:val="2"/>
          <w:sz w:val="21"/>
          <w:szCs w:val="21"/>
          <w:lang w:eastAsia="zh-CN"/>
        </w:rPr>
        <w:t>)分组分离；</w:t>
      </w:r>
    </w:p>
    <w:p w14:paraId="75DCD974">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val="en-US" w:eastAsia="zh-CN"/>
        </w:rPr>
        <w:t>5</w:t>
      </w:r>
      <w:r>
        <w:rPr>
          <w:rFonts w:hint="eastAsia" w:ascii="Times New Roman" w:hAnsi="Times New Roman" w:eastAsia="宋体" w:cs="Times New Roman"/>
          <w:kern w:val="2"/>
          <w:sz w:val="21"/>
          <w:szCs w:val="21"/>
          <w:lang w:eastAsia="zh-CN"/>
        </w:rPr>
        <w:t>)沉淀；</w:t>
      </w:r>
    </w:p>
    <w:p w14:paraId="348F303A">
      <w:pPr>
        <w:adjustRightInd w:val="0"/>
        <w:snapToGrid w:val="0"/>
        <w:spacing w:after="0" w:line="360" w:lineRule="auto"/>
        <w:ind w:firstLine="840" w:firstLineChars="4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val="en-US" w:eastAsia="zh-CN"/>
        </w:rPr>
        <w:t>6</w:t>
      </w:r>
      <w:r>
        <w:rPr>
          <w:rFonts w:hint="eastAsia" w:ascii="Times New Roman" w:hAnsi="Times New Roman" w:eastAsia="宋体" w:cs="Times New Roman"/>
          <w:kern w:val="2"/>
          <w:sz w:val="21"/>
          <w:szCs w:val="21"/>
          <w:lang w:eastAsia="zh-CN"/>
        </w:rPr>
        <w:t>)灼烧。</w:t>
      </w:r>
    </w:p>
    <w:p w14:paraId="7439E8E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c）燃料、辅助材料生产与运输相关过程；</w:t>
      </w:r>
    </w:p>
    <w:p w14:paraId="6CA9AD5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d）燃料及电（热）力等能源消耗相关过程；</w:t>
      </w:r>
    </w:p>
    <w:p w14:paraId="5414EF1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e）稀土冶炼分离产品储运过程。</w:t>
      </w:r>
    </w:p>
    <w:bookmarkEnd w:id="75"/>
    <w:bookmarkEnd w:id="76"/>
    <w:bookmarkEnd w:id="77"/>
    <w:p w14:paraId="24F70DAD">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5.4 取舍准则</w:t>
      </w:r>
    </w:p>
    <w:p w14:paraId="47810EB7">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highlight w:val="none"/>
          <w:lang w:eastAsia="zh-CN"/>
        </w:rPr>
      </w:pPr>
      <w:r>
        <w:rPr>
          <w:rFonts w:hint="eastAsia" w:ascii="Times New Roman" w:hAnsi="Times New Roman" w:eastAsia="宋体" w:cs="Times New Roman"/>
          <w:kern w:val="2"/>
          <w:sz w:val="21"/>
          <w:szCs w:val="21"/>
          <w:highlight w:val="none"/>
          <w:lang w:eastAsia="zh-CN"/>
        </w:rPr>
        <w:t>碳足迹量化所涉及物质（能量）数据的取舍应遵循如下准则，当个别物质流或能量流对稀土永磁材料产品碳足迹无显著贡献时，将其作为数据排除项予以舍去并进行报告。</w:t>
      </w:r>
    </w:p>
    <w:p w14:paraId="7F56DEE4">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highlight w:val="none"/>
          <w:lang w:eastAsia="zh-CN"/>
        </w:rPr>
      </w:pPr>
      <w:r>
        <w:rPr>
          <w:rFonts w:hint="eastAsia" w:ascii="Times New Roman" w:hAnsi="Times New Roman" w:eastAsia="宋体" w:cs="Times New Roman"/>
          <w:kern w:val="2"/>
          <w:sz w:val="21"/>
          <w:szCs w:val="21"/>
          <w:highlight w:val="none"/>
          <w:lang w:eastAsia="zh-CN"/>
        </w:rPr>
        <w:t>a) 应列出所有能源输入和主要原材料输入，若符合b）和c）要求则予以舍去。</w:t>
      </w:r>
    </w:p>
    <w:p w14:paraId="04552490">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highlight w:val="none"/>
          <w:lang w:eastAsia="zh-CN"/>
        </w:rPr>
      </w:pPr>
      <w:r>
        <w:rPr>
          <w:rFonts w:hint="eastAsia" w:ascii="Times New Roman" w:hAnsi="Times New Roman" w:eastAsia="宋体" w:cs="Times New Roman"/>
          <w:kern w:val="2"/>
          <w:sz w:val="21"/>
          <w:szCs w:val="21"/>
          <w:highlight w:val="none"/>
          <w:lang w:eastAsia="zh-CN"/>
        </w:rPr>
        <w:t>b) 舍去的单项物质流或能量流对产品碳足迹的贡献均不超过1%；</w:t>
      </w:r>
    </w:p>
    <w:p w14:paraId="39FA64D4">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highlight w:val="none"/>
          <w:lang w:eastAsia="zh-CN"/>
        </w:rPr>
      </w:pPr>
      <w:r>
        <w:rPr>
          <w:rFonts w:hint="eastAsia" w:ascii="Times New Roman" w:hAnsi="Times New Roman" w:eastAsia="宋体" w:cs="Times New Roman"/>
          <w:kern w:val="2"/>
          <w:sz w:val="21"/>
          <w:szCs w:val="21"/>
          <w:highlight w:val="none"/>
          <w:lang w:eastAsia="zh-CN"/>
        </w:rPr>
        <w:t>c) 所有舍去的物质流与能量流对产品碳足迹贡献总和不超过5；</w:t>
      </w:r>
    </w:p>
    <w:p w14:paraId="1ADE6544">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highlight w:val="none"/>
          <w:lang w:eastAsia="zh-CN"/>
        </w:rPr>
      </w:pPr>
      <w:r>
        <w:rPr>
          <w:rFonts w:hint="eastAsia" w:ascii="Times New Roman" w:hAnsi="Times New Roman" w:eastAsia="宋体" w:cs="Times New Roman"/>
          <w:kern w:val="2"/>
          <w:sz w:val="21"/>
          <w:szCs w:val="21"/>
          <w:highlight w:val="none"/>
          <w:lang w:eastAsia="zh-CN"/>
        </w:rPr>
        <w:t>d) 道路与厂房等基础设施建设、各工序的设备安装、厂区内人员及生活设施涉及的消耗和排放，均不计入；</w:t>
      </w:r>
      <w:r>
        <w:rPr>
          <w:rFonts w:hint="eastAsia" w:ascii="Times New Roman" w:hAnsi="Times New Roman" w:eastAsia="宋体" w:cs="Times New Roman"/>
          <w:kern w:val="2"/>
          <w:sz w:val="21"/>
          <w:szCs w:val="21"/>
          <w:highlight w:val="none"/>
          <w:lang w:eastAsia="zh-CN"/>
        </w:rPr>
        <w:tab/>
      </w:r>
    </w:p>
    <w:p w14:paraId="2CBDA6DD">
      <w:pPr>
        <w:adjustRightInd w:val="0"/>
        <w:snapToGrid w:val="0"/>
        <w:spacing w:after="0" w:line="360" w:lineRule="auto"/>
        <w:ind w:firstLine="420" w:firstLineChars="200"/>
        <w:jc w:val="both"/>
        <w:rPr>
          <w:rFonts w:ascii="黑体" w:hAnsi="黑体" w:eastAsia="黑体" w:cs="Times New Roman"/>
          <w:kern w:val="2"/>
          <w:sz w:val="21"/>
          <w:szCs w:val="21"/>
          <w:highlight w:val="none"/>
          <w:lang w:eastAsia="zh-CN"/>
        </w:rPr>
      </w:pPr>
      <w:r>
        <w:rPr>
          <w:rFonts w:hint="eastAsia" w:ascii="Times New Roman" w:hAnsi="Times New Roman" w:eastAsia="宋体" w:cs="Times New Roman"/>
          <w:kern w:val="2"/>
          <w:sz w:val="21"/>
          <w:szCs w:val="21"/>
          <w:highlight w:val="none"/>
          <w:lang w:eastAsia="zh-CN"/>
        </w:rPr>
        <w:t>对于以上排除项，应在产品碳足迹报告中予以说明。</w:t>
      </w:r>
    </w:p>
    <w:p w14:paraId="63D41EBA">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94" w:name="_Toc1430695522"/>
      <w:r>
        <w:rPr>
          <w:rFonts w:hint="eastAsia" w:ascii="黑体" w:hAnsi="黑体" w:eastAsia="黑体" w:cs="黑体"/>
          <w:bCs/>
          <w:kern w:val="44"/>
          <w:sz w:val="21"/>
          <w:szCs w:val="44"/>
          <w:lang w:eastAsia="zh-CN"/>
        </w:rPr>
        <w:t>6 数据和</w:t>
      </w:r>
      <w:r>
        <w:rPr>
          <w:rFonts w:hint="eastAsia" w:ascii="黑体" w:hAnsi="黑体" w:eastAsia="黑体" w:cs="黑体"/>
          <w:bCs/>
          <w:kern w:val="44"/>
          <w:sz w:val="21"/>
          <w:szCs w:val="44"/>
          <w:lang w:val="en-US" w:eastAsia="zh-CN"/>
        </w:rPr>
        <w:t>数据</w:t>
      </w:r>
      <w:r>
        <w:rPr>
          <w:rFonts w:hint="eastAsia" w:ascii="黑体" w:hAnsi="黑体" w:eastAsia="黑体" w:cs="黑体"/>
          <w:bCs/>
          <w:kern w:val="44"/>
          <w:sz w:val="21"/>
          <w:szCs w:val="44"/>
          <w:lang w:eastAsia="zh-CN"/>
        </w:rPr>
        <w:t>质量</w:t>
      </w:r>
      <w:bookmarkEnd w:id="94"/>
    </w:p>
    <w:p w14:paraId="3B71715A">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95" w:name="_Toc325242795"/>
      <w:r>
        <w:rPr>
          <w:rFonts w:hint="eastAsia" w:ascii="黑体" w:hAnsi="黑体" w:eastAsia="黑体" w:cs="黑体"/>
          <w:bCs/>
          <w:kern w:val="44"/>
          <w:sz w:val="21"/>
          <w:szCs w:val="44"/>
          <w:lang w:eastAsia="zh-CN"/>
        </w:rPr>
        <w:t>6.1 数据描述</w:t>
      </w:r>
      <w:bookmarkEnd w:id="95"/>
    </w:p>
    <w:p w14:paraId="4459C2F1">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稀土冶炼分离产品的碳足迹量化需要收集现场数据和背景数据。</w:t>
      </w:r>
    </w:p>
    <w:p w14:paraId="33FE7F8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现场数据是稀土冶炼分离产品生产阶段各工序或单元的活动数据，是基于实际测量、统计等方式得到的生命周期清单数据，如产品生产阶段的原辅料和能源消耗量、产品产出量、废弃物排放量以及运输量（包括运输方式、运输距离）等。现场数据均为初级数据。</w:t>
      </w:r>
    </w:p>
    <w:p w14:paraId="5A16466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背景数据是无法从现有产品系统中获得的，通常来源于现有的本土化或国际LCA 数据库、经第三方权威机构认证的产品碳足迹（CFP）或环境产品声明（EPD）报告、公开发表的高质量学术文献等。</w:t>
      </w:r>
    </w:p>
    <w:p w14:paraId="1DF03CB1">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可量化背景数据为初级数据，如供应商或服务商提供基于现场数据计算得到的生命周期清单数据;背景数据不能量化则为次级数据，如外购原辅材料和燃料的上游排放因子、运输排放因子、废弃物处置排放因子等。</w:t>
      </w:r>
    </w:p>
    <w:p w14:paraId="03BEF81B">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仅在收集初级数据不可行时，次级数据才能用于输入和输出，或用于重要性较低的过程。引用次级数据宜证明其适用性和可信度，并注明数据来源及选取思路。</w:t>
      </w:r>
    </w:p>
    <w:p w14:paraId="5D34C87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稀土冶炼分离产品系统边界内涉及的主要数据描述示例见表1。</w:t>
      </w:r>
    </w:p>
    <w:p w14:paraId="0ED57A6A">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表1 主要数据描述示例</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9"/>
        <w:gridCol w:w="424"/>
        <w:gridCol w:w="1860"/>
        <w:gridCol w:w="4636"/>
        <w:gridCol w:w="1347"/>
      </w:tblGrid>
      <w:tr w14:paraId="4291C1E6">
        <w:trPr>
          <w:trHeight w:val="340" w:hRule="atLeast"/>
          <w:jc w:val="center"/>
        </w:trPr>
        <w:tc>
          <w:tcPr>
            <w:tcW w:w="2972" w:type="dxa"/>
            <w:gridSpan w:val="3"/>
            <w:vAlign w:val="center"/>
          </w:tcPr>
          <w:p w14:paraId="6AB5E053">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类别</w:t>
            </w:r>
          </w:p>
        </w:tc>
        <w:tc>
          <w:tcPr>
            <w:tcW w:w="4961" w:type="dxa"/>
            <w:vAlign w:val="center"/>
          </w:tcPr>
          <w:p w14:paraId="5E6BC7BD">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主要物料清单</w:t>
            </w:r>
          </w:p>
        </w:tc>
        <w:tc>
          <w:tcPr>
            <w:tcW w:w="1412" w:type="dxa"/>
            <w:vAlign w:val="center"/>
          </w:tcPr>
          <w:p w14:paraId="67DA739A">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备注</w:t>
            </w:r>
          </w:p>
        </w:tc>
      </w:tr>
      <w:tr w14:paraId="4A8D5AFB">
        <w:trPr>
          <w:trHeight w:val="340" w:hRule="atLeast"/>
          <w:jc w:val="center"/>
        </w:trPr>
        <w:tc>
          <w:tcPr>
            <w:tcW w:w="562" w:type="dxa"/>
            <w:vMerge w:val="restart"/>
            <w:vAlign w:val="center"/>
          </w:tcPr>
          <w:p w14:paraId="10D141D8">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现</w:t>
            </w:r>
          </w:p>
          <w:p w14:paraId="7C07E2DB">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场</w:t>
            </w:r>
          </w:p>
          <w:p w14:paraId="0E8CB1B4">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数</w:t>
            </w:r>
          </w:p>
          <w:p w14:paraId="6CC85E0F">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据</w:t>
            </w:r>
          </w:p>
        </w:tc>
        <w:tc>
          <w:tcPr>
            <w:tcW w:w="426" w:type="dxa"/>
            <w:vMerge w:val="restart"/>
            <w:vAlign w:val="center"/>
          </w:tcPr>
          <w:p w14:paraId="6359FA57">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输</w:t>
            </w:r>
          </w:p>
          <w:p w14:paraId="5DCD468E">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入</w:t>
            </w:r>
          </w:p>
        </w:tc>
        <w:tc>
          <w:tcPr>
            <w:tcW w:w="1984" w:type="dxa"/>
            <w:vAlign w:val="center"/>
          </w:tcPr>
          <w:p w14:paraId="27189F03">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原料消耗量</w:t>
            </w:r>
          </w:p>
        </w:tc>
        <w:tc>
          <w:tcPr>
            <w:tcW w:w="4961" w:type="dxa"/>
            <w:vAlign w:val="center"/>
          </w:tcPr>
          <w:p w14:paraId="7698FF5E">
            <w:pPr>
              <w:adjustRightInd w:val="0"/>
              <w:snapToGrid w:val="0"/>
              <w:spacing w:after="0" w:line="240" w:lineRule="auto"/>
              <w:jc w:val="left"/>
              <w:rPr>
                <w:rFonts w:ascii="Times New Roman" w:hAnsi="Times New Roman" w:cs="Times New Roman"/>
                <w:kern w:val="2"/>
                <w:sz w:val="18"/>
                <w:szCs w:val="18"/>
                <w:lang w:eastAsia="zh-CN"/>
              </w:rPr>
            </w:pPr>
            <w:r>
              <w:rPr>
                <w:rFonts w:hint="eastAsia" w:ascii="Times New Roman" w:hAnsi="Times New Roman" w:cs="Times New Roman"/>
                <w:kern w:val="2"/>
                <w:sz w:val="18"/>
                <w:szCs w:val="18"/>
                <w:lang w:eastAsia="zh-CN"/>
              </w:rPr>
              <w:t>混合型稀土矿、氟碳铈矿、独居石矿、离子吸附型稀土矿、稀土二次资源回收料等含稀土的物料</w:t>
            </w:r>
          </w:p>
        </w:tc>
        <w:tc>
          <w:tcPr>
            <w:tcW w:w="1412" w:type="dxa"/>
            <w:vMerge w:val="restart"/>
            <w:vAlign w:val="center"/>
          </w:tcPr>
          <w:p w14:paraId="6689ABB6">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初级数据</w:t>
            </w:r>
          </w:p>
        </w:tc>
      </w:tr>
      <w:tr w14:paraId="7BD1703B">
        <w:trPr>
          <w:trHeight w:val="340" w:hRule="atLeast"/>
          <w:jc w:val="center"/>
        </w:trPr>
        <w:tc>
          <w:tcPr>
            <w:tcW w:w="562" w:type="dxa"/>
            <w:vMerge w:val="continue"/>
            <w:vAlign w:val="center"/>
          </w:tcPr>
          <w:p w14:paraId="2BE81E4F">
            <w:pPr>
              <w:adjustRightInd w:val="0"/>
              <w:snapToGrid w:val="0"/>
              <w:spacing w:after="0" w:line="240" w:lineRule="auto"/>
              <w:jc w:val="center"/>
              <w:rPr>
                <w:rFonts w:cs="Times New Roman" w:asciiTheme="minorEastAsia" w:hAnsiTheme="minorEastAsia"/>
                <w:kern w:val="2"/>
                <w:sz w:val="18"/>
                <w:szCs w:val="18"/>
                <w:lang w:eastAsia="zh-CN"/>
              </w:rPr>
            </w:pPr>
          </w:p>
        </w:tc>
        <w:tc>
          <w:tcPr>
            <w:tcW w:w="426" w:type="dxa"/>
            <w:vMerge w:val="continue"/>
            <w:vAlign w:val="center"/>
          </w:tcPr>
          <w:p w14:paraId="02DF8F59">
            <w:pPr>
              <w:adjustRightInd w:val="0"/>
              <w:snapToGrid w:val="0"/>
              <w:spacing w:after="0" w:line="240" w:lineRule="auto"/>
              <w:jc w:val="center"/>
              <w:rPr>
                <w:rFonts w:cs="Times New Roman" w:asciiTheme="minorEastAsia" w:hAnsiTheme="minorEastAsia"/>
                <w:kern w:val="2"/>
                <w:sz w:val="18"/>
                <w:szCs w:val="18"/>
                <w:lang w:eastAsia="zh-CN"/>
              </w:rPr>
            </w:pPr>
          </w:p>
        </w:tc>
        <w:tc>
          <w:tcPr>
            <w:tcW w:w="1984" w:type="dxa"/>
            <w:vAlign w:val="center"/>
          </w:tcPr>
          <w:p w14:paraId="558B0A38">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燃料消耗量</w:t>
            </w:r>
          </w:p>
        </w:tc>
        <w:tc>
          <w:tcPr>
            <w:tcW w:w="4961" w:type="dxa"/>
            <w:vAlign w:val="center"/>
          </w:tcPr>
          <w:p w14:paraId="5213EBB9">
            <w:pPr>
              <w:adjustRightInd w:val="0"/>
              <w:snapToGrid w:val="0"/>
              <w:spacing w:after="0" w:line="240" w:lineRule="auto"/>
              <w:jc w:val="left"/>
              <w:rPr>
                <w:rFonts w:ascii="Times New Roman" w:hAnsi="Times New Roman" w:cs="Times New Roman"/>
                <w:kern w:val="2"/>
                <w:sz w:val="18"/>
                <w:szCs w:val="18"/>
                <w:lang w:eastAsia="zh-CN"/>
              </w:rPr>
            </w:pPr>
            <w:r>
              <w:rPr>
                <w:rFonts w:ascii="Times New Roman" w:hAnsi="Times New Roman" w:cs="Times New Roman"/>
                <w:kern w:val="2"/>
                <w:sz w:val="18"/>
                <w:szCs w:val="18"/>
                <w:lang w:eastAsia="zh-CN"/>
              </w:rPr>
              <w:t>煤炭、天然气、轻质柴油、重油等</w:t>
            </w:r>
          </w:p>
        </w:tc>
        <w:tc>
          <w:tcPr>
            <w:tcW w:w="1412" w:type="dxa"/>
            <w:vMerge w:val="continue"/>
            <w:vAlign w:val="center"/>
          </w:tcPr>
          <w:p w14:paraId="6146FFD5">
            <w:pPr>
              <w:adjustRightInd w:val="0"/>
              <w:snapToGrid w:val="0"/>
              <w:spacing w:after="0" w:line="240" w:lineRule="auto"/>
              <w:jc w:val="center"/>
              <w:rPr>
                <w:rFonts w:cs="Times New Roman" w:asciiTheme="minorEastAsia" w:hAnsiTheme="minorEastAsia"/>
                <w:kern w:val="2"/>
                <w:sz w:val="18"/>
                <w:szCs w:val="18"/>
                <w:lang w:eastAsia="zh-CN"/>
              </w:rPr>
            </w:pPr>
          </w:p>
        </w:tc>
      </w:tr>
      <w:tr w14:paraId="2558DD9D">
        <w:trPr>
          <w:trHeight w:val="340" w:hRule="atLeast"/>
          <w:jc w:val="center"/>
        </w:trPr>
        <w:tc>
          <w:tcPr>
            <w:tcW w:w="562" w:type="dxa"/>
            <w:vMerge w:val="continue"/>
            <w:vAlign w:val="center"/>
          </w:tcPr>
          <w:p w14:paraId="2CCB902E">
            <w:pPr>
              <w:adjustRightInd w:val="0"/>
              <w:snapToGrid w:val="0"/>
              <w:spacing w:after="0" w:line="240" w:lineRule="auto"/>
              <w:jc w:val="center"/>
              <w:rPr>
                <w:rFonts w:cs="Times New Roman" w:asciiTheme="minorEastAsia" w:hAnsiTheme="minorEastAsia"/>
                <w:kern w:val="2"/>
                <w:sz w:val="18"/>
                <w:szCs w:val="18"/>
                <w:lang w:eastAsia="zh-CN"/>
              </w:rPr>
            </w:pPr>
          </w:p>
        </w:tc>
        <w:tc>
          <w:tcPr>
            <w:tcW w:w="426" w:type="dxa"/>
            <w:vMerge w:val="continue"/>
            <w:vAlign w:val="center"/>
          </w:tcPr>
          <w:p w14:paraId="1866FB39">
            <w:pPr>
              <w:adjustRightInd w:val="0"/>
              <w:snapToGrid w:val="0"/>
              <w:spacing w:after="0" w:line="240" w:lineRule="auto"/>
              <w:jc w:val="center"/>
              <w:rPr>
                <w:rFonts w:cs="Times New Roman" w:asciiTheme="minorEastAsia" w:hAnsiTheme="minorEastAsia"/>
                <w:kern w:val="2"/>
                <w:sz w:val="18"/>
                <w:szCs w:val="18"/>
                <w:lang w:eastAsia="zh-CN"/>
              </w:rPr>
            </w:pPr>
          </w:p>
        </w:tc>
        <w:tc>
          <w:tcPr>
            <w:tcW w:w="1984" w:type="dxa"/>
            <w:vAlign w:val="center"/>
          </w:tcPr>
          <w:p w14:paraId="41C06A43">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电力/热力消耗量</w:t>
            </w:r>
          </w:p>
        </w:tc>
        <w:tc>
          <w:tcPr>
            <w:tcW w:w="4961" w:type="dxa"/>
            <w:vAlign w:val="center"/>
          </w:tcPr>
          <w:p w14:paraId="0DB95ACB">
            <w:pPr>
              <w:adjustRightInd w:val="0"/>
              <w:snapToGrid w:val="0"/>
              <w:spacing w:after="0" w:line="240" w:lineRule="auto"/>
              <w:jc w:val="left"/>
              <w:rPr>
                <w:rFonts w:ascii="Times New Roman" w:hAnsi="Times New Roman" w:cs="Times New Roman"/>
                <w:kern w:val="2"/>
                <w:sz w:val="18"/>
                <w:szCs w:val="18"/>
                <w:lang w:eastAsia="zh-CN"/>
              </w:rPr>
            </w:pPr>
            <w:r>
              <w:rPr>
                <w:rFonts w:ascii="Times New Roman" w:hAnsi="Times New Roman" w:cs="Times New Roman"/>
                <w:kern w:val="2"/>
                <w:sz w:val="18"/>
                <w:szCs w:val="18"/>
                <w:lang w:eastAsia="zh-CN"/>
              </w:rPr>
              <w:t>电力热力</w:t>
            </w:r>
          </w:p>
        </w:tc>
        <w:tc>
          <w:tcPr>
            <w:tcW w:w="1412" w:type="dxa"/>
            <w:vMerge w:val="continue"/>
            <w:vAlign w:val="center"/>
          </w:tcPr>
          <w:p w14:paraId="1ADCD80B">
            <w:pPr>
              <w:adjustRightInd w:val="0"/>
              <w:snapToGrid w:val="0"/>
              <w:spacing w:after="0" w:line="240" w:lineRule="auto"/>
              <w:jc w:val="center"/>
              <w:rPr>
                <w:rFonts w:cs="Times New Roman" w:asciiTheme="minorEastAsia" w:hAnsiTheme="minorEastAsia"/>
                <w:kern w:val="2"/>
                <w:sz w:val="18"/>
                <w:szCs w:val="18"/>
                <w:lang w:eastAsia="zh-CN"/>
              </w:rPr>
            </w:pPr>
          </w:p>
        </w:tc>
      </w:tr>
      <w:tr w14:paraId="1EB06616">
        <w:trPr>
          <w:trHeight w:val="340" w:hRule="atLeast"/>
          <w:jc w:val="center"/>
        </w:trPr>
        <w:tc>
          <w:tcPr>
            <w:tcW w:w="562" w:type="dxa"/>
            <w:vMerge w:val="continue"/>
            <w:vAlign w:val="center"/>
          </w:tcPr>
          <w:p w14:paraId="5D3A8BAD">
            <w:pPr>
              <w:adjustRightInd w:val="0"/>
              <w:snapToGrid w:val="0"/>
              <w:spacing w:after="0" w:line="240" w:lineRule="auto"/>
              <w:jc w:val="center"/>
              <w:rPr>
                <w:rFonts w:cs="Times New Roman" w:asciiTheme="minorEastAsia" w:hAnsiTheme="minorEastAsia"/>
                <w:kern w:val="2"/>
                <w:sz w:val="18"/>
                <w:szCs w:val="18"/>
                <w:lang w:eastAsia="zh-CN"/>
              </w:rPr>
            </w:pPr>
          </w:p>
        </w:tc>
        <w:tc>
          <w:tcPr>
            <w:tcW w:w="426" w:type="dxa"/>
            <w:vMerge w:val="continue"/>
            <w:vAlign w:val="center"/>
          </w:tcPr>
          <w:p w14:paraId="2A0D5C2B">
            <w:pPr>
              <w:adjustRightInd w:val="0"/>
              <w:snapToGrid w:val="0"/>
              <w:spacing w:after="0" w:line="240" w:lineRule="auto"/>
              <w:jc w:val="center"/>
              <w:rPr>
                <w:rFonts w:cs="Times New Roman" w:asciiTheme="minorEastAsia" w:hAnsiTheme="minorEastAsia"/>
                <w:kern w:val="2"/>
                <w:sz w:val="18"/>
                <w:szCs w:val="18"/>
                <w:lang w:eastAsia="zh-CN"/>
              </w:rPr>
            </w:pPr>
          </w:p>
        </w:tc>
        <w:tc>
          <w:tcPr>
            <w:tcW w:w="1984" w:type="dxa"/>
            <w:vAlign w:val="center"/>
          </w:tcPr>
          <w:p w14:paraId="5D959BCF">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其他工质消耗量</w:t>
            </w:r>
          </w:p>
        </w:tc>
        <w:tc>
          <w:tcPr>
            <w:tcW w:w="4961" w:type="dxa"/>
            <w:vAlign w:val="center"/>
          </w:tcPr>
          <w:p w14:paraId="4F874B42">
            <w:pPr>
              <w:adjustRightInd w:val="0"/>
              <w:snapToGrid w:val="0"/>
              <w:spacing w:after="0" w:line="240" w:lineRule="auto"/>
              <w:jc w:val="left"/>
              <w:rPr>
                <w:rFonts w:ascii="Times New Roman" w:hAnsi="Times New Roman" w:cs="Times New Roman"/>
                <w:kern w:val="2"/>
                <w:sz w:val="18"/>
                <w:szCs w:val="18"/>
                <w:lang w:eastAsia="zh-CN"/>
              </w:rPr>
            </w:pPr>
            <w:r>
              <w:rPr>
                <w:rFonts w:ascii="Times New Roman" w:hAnsi="Times New Roman" w:cs="Times New Roman"/>
                <w:kern w:val="2"/>
                <w:sz w:val="18"/>
                <w:szCs w:val="18"/>
                <w:lang w:eastAsia="zh-CN"/>
              </w:rPr>
              <w:t>水等</w:t>
            </w:r>
          </w:p>
        </w:tc>
        <w:tc>
          <w:tcPr>
            <w:tcW w:w="1412" w:type="dxa"/>
            <w:vMerge w:val="continue"/>
            <w:vAlign w:val="center"/>
          </w:tcPr>
          <w:p w14:paraId="145F14DF">
            <w:pPr>
              <w:adjustRightInd w:val="0"/>
              <w:snapToGrid w:val="0"/>
              <w:spacing w:after="0" w:line="240" w:lineRule="auto"/>
              <w:jc w:val="center"/>
              <w:rPr>
                <w:rFonts w:cs="Times New Roman" w:asciiTheme="minorEastAsia" w:hAnsiTheme="minorEastAsia"/>
                <w:kern w:val="2"/>
                <w:sz w:val="18"/>
                <w:szCs w:val="18"/>
                <w:lang w:eastAsia="zh-CN"/>
              </w:rPr>
            </w:pPr>
          </w:p>
        </w:tc>
      </w:tr>
      <w:tr w14:paraId="59338E11">
        <w:trPr>
          <w:trHeight w:val="340" w:hRule="atLeast"/>
          <w:jc w:val="center"/>
        </w:trPr>
        <w:tc>
          <w:tcPr>
            <w:tcW w:w="562" w:type="dxa"/>
            <w:vMerge w:val="continue"/>
            <w:vAlign w:val="center"/>
          </w:tcPr>
          <w:p w14:paraId="704920DF">
            <w:pPr>
              <w:adjustRightInd w:val="0"/>
              <w:snapToGrid w:val="0"/>
              <w:spacing w:after="0" w:line="240" w:lineRule="auto"/>
              <w:jc w:val="center"/>
              <w:rPr>
                <w:rFonts w:cs="Times New Roman" w:asciiTheme="minorEastAsia" w:hAnsiTheme="minorEastAsia"/>
                <w:kern w:val="2"/>
                <w:sz w:val="18"/>
                <w:szCs w:val="18"/>
                <w:lang w:eastAsia="zh-CN"/>
              </w:rPr>
            </w:pPr>
          </w:p>
        </w:tc>
        <w:tc>
          <w:tcPr>
            <w:tcW w:w="426" w:type="dxa"/>
            <w:vMerge w:val="continue"/>
            <w:vAlign w:val="center"/>
          </w:tcPr>
          <w:p w14:paraId="407F04C5">
            <w:pPr>
              <w:adjustRightInd w:val="0"/>
              <w:snapToGrid w:val="0"/>
              <w:spacing w:after="0" w:line="240" w:lineRule="auto"/>
              <w:jc w:val="center"/>
              <w:rPr>
                <w:rFonts w:cs="Times New Roman" w:asciiTheme="minorEastAsia" w:hAnsiTheme="minorEastAsia"/>
                <w:kern w:val="2"/>
                <w:sz w:val="18"/>
                <w:szCs w:val="18"/>
                <w:lang w:eastAsia="zh-CN"/>
              </w:rPr>
            </w:pPr>
          </w:p>
        </w:tc>
        <w:tc>
          <w:tcPr>
            <w:tcW w:w="1984" w:type="dxa"/>
            <w:vAlign w:val="center"/>
          </w:tcPr>
          <w:p w14:paraId="63E6D9D9">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辅料消耗量</w:t>
            </w:r>
          </w:p>
        </w:tc>
        <w:tc>
          <w:tcPr>
            <w:tcW w:w="4961" w:type="dxa"/>
            <w:vAlign w:val="center"/>
          </w:tcPr>
          <w:p w14:paraId="2A404355">
            <w:pPr>
              <w:adjustRightInd w:val="0"/>
              <w:snapToGrid w:val="0"/>
              <w:spacing w:after="0" w:line="240" w:lineRule="auto"/>
              <w:jc w:val="left"/>
              <w:rPr>
                <w:rFonts w:ascii="Times New Roman" w:hAnsi="Times New Roman" w:cs="Times New Roman"/>
                <w:kern w:val="2"/>
                <w:sz w:val="18"/>
                <w:szCs w:val="18"/>
                <w:lang w:eastAsia="zh-CN"/>
              </w:rPr>
            </w:pPr>
            <w:r>
              <w:rPr>
                <w:rFonts w:ascii="Times New Roman" w:hAnsi="Times New Roman" w:cs="Times New Roman"/>
                <w:kern w:val="2"/>
                <w:sz w:val="18"/>
                <w:szCs w:val="18"/>
                <w:lang w:eastAsia="zh-CN"/>
              </w:rPr>
              <w:t>硫酸、盐酸、</w:t>
            </w:r>
            <w:r>
              <w:rPr>
                <w:rFonts w:hint="eastAsia" w:ascii="Times New Roman" w:hAnsi="Times New Roman" w:cs="Times New Roman"/>
                <w:kern w:val="2"/>
                <w:sz w:val="18"/>
                <w:szCs w:val="18"/>
                <w:lang w:eastAsia="zh-CN"/>
              </w:rPr>
              <w:t>碱、硫酸铵、</w:t>
            </w:r>
            <w:r>
              <w:rPr>
                <w:rFonts w:ascii="Times New Roman" w:hAnsi="Times New Roman" w:cs="Times New Roman"/>
                <w:kern w:val="2"/>
                <w:sz w:val="18"/>
                <w:szCs w:val="18"/>
                <w:lang w:eastAsia="zh-CN"/>
              </w:rPr>
              <w:t>氧化镁、P507、</w:t>
            </w:r>
            <w:r>
              <w:rPr>
                <w:rFonts w:hint="eastAsia" w:ascii="Times New Roman" w:hAnsi="Times New Roman" w:cs="Times New Roman"/>
                <w:kern w:val="2"/>
                <w:sz w:val="18"/>
                <w:szCs w:val="18"/>
                <w:lang w:eastAsia="zh-CN"/>
              </w:rPr>
              <w:t>P204、</w:t>
            </w:r>
            <w:r>
              <w:rPr>
                <w:rFonts w:ascii="Times New Roman" w:hAnsi="Times New Roman" w:cs="Times New Roman"/>
                <w:kern w:val="2"/>
                <w:sz w:val="18"/>
                <w:szCs w:val="18"/>
                <w:lang w:eastAsia="zh-CN"/>
              </w:rPr>
              <w:t>N235、氨水、碳酸氢铵</w:t>
            </w:r>
            <w:r>
              <w:rPr>
                <w:rFonts w:hint="eastAsia" w:ascii="Times New Roman" w:hAnsi="Times New Roman" w:cs="Times New Roman"/>
                <w:kern w:val="2"/>
                <w:sz w:val="18"/>
                <w:szCs w:val="18"/>
                <w:lang w:eastAsia="zh-CN"/>
              </w:rPr>
              <w:t>、环烷酸、煤油、异辛醇、草酸、碳酸钠、碳酸氢钠</w:t>
            </w:r>
            <w:r>
              <w:rPr>
                <w:rFonts w:ascii="Times New Roman" w:hAnsi="Times New Roman" w:cs="Times New Roman"/>
                <w:kern w:val="2"/>
                <w:sz w:val="18"/>
                <w:szCs w:val="18"/>
                <w:lang w:eastAsia="zh-CN"/>
              </w:rPr>
              <w:t>等</w:t>
            </w:r>
          </w:p>
        </w:tc>
        <w:tc>
          <w:tcPr>
            <w:tcW w:w="1412" w:type="dxa"/>
            <w:vMerge w:val="continue"/>
            <w:vAlign w:val="center"/>
          </w:tcPr>
          <w:p w14:paraId="7E63E420">
            <w:pPr>
              <w:adjustRightInd w:val="0"/>
              <w:snapToGrid w:val="0"/>
              <w:spacing w:after="0" w:line="240" w:lineRule="auto"/>
              <w:jc w:val="center"/>
              <w:rPr>
                <w:rFonts w:cs="Times New Roman" w:asciiTheme="minorEastAsia" w:hAnsiTheme="minorEastAsia"/>
                <w:kern w:val="2"/>
                <w:sz w:val="18"/>
                <w:szCs w:val="18"/>
                <w:lang w:eastAsia="zh-CN"/>
              </w:rPr>
            </w:pPr>
          </w:p>
        </w:tc>
      </w:tr>
      <w:tr w14:paraId="00F085E0">
        <w:trPr>
          <w:trHeight w:val="340" w:hRule="atLeast"/>
          <w:jc w:val="center"/>
        </w:trPr>
        <w:tc>
          <w:tcPr>
            <w:tcW w:w="562" w:type="dxa"/>
            <w:vMerge w:val="continue"/>
            <w:vAlign w:val="center"/>
          </w:tcPr>
          <w:p w14:paraId="0A835E2E">
            <w:pPr>
              <w:adjustRightInd w:val="0"/>
              <w:snapToGrid w:val="0"/>
              <w:spacing w:after="0" w:line="240" w:lineRule="auto"/>
              <w:jc w:val="center"/>
              <w:rPr>
                <w:rFonts w:cs="Times New Roman" w:asciiTheme="minorEastAsia" w:hAnsiTheme="minorEastAsia"/>
                <w:kern w:val="2"/>
                <w:sz w:val="18"/>
                <w:szCs w:val="18"/>
                <w:lang w:eastAsia="zh-CN"/>
              </w:rPr>
            </w:pPr>
          </w:p>
        </w:tc>
        <w:tc>
          <w:tcPr>
            <w:tcW w:w="426" w:type="dxa"/>
            <w:vMerge w:val="continue"/>
            <w:vAlign w:val="center"/>
          </w:tcPr>
          <w:p w14:paraId="6CC0AEF9">
            <w:pPr>
              <w:adjustRightInd w:val="0"/>
              <w:snapToGrid w:val="0"/>
              <w:spacing w:after="0" w:line="240" w:lineRule="auto"/>
              <w:jc w:val="center"/>
              <w:rPr>
                <w:rFonts w:cs="Times New Roman" w:asciiTheme="minorEastAsia" w:hAnsiTheme="minorEastAsia"/>
                <w:kern w:val="2"/>
                <w:sz w:val="18"/>
                <w:szCs w:val="18"/>
                <w:lang w:eastAsia="zh-CN"/>
              </w:rPr>
            </w:pPr>
          </w:p>
        </w:tc>
        <w:tc>
          <w:tcPr>
            <w:tcW w:w="1984" w:type="dxa"/>
            <w:vAlign w:val="center"/>
          </w:tcPr>
          <w:p w14:paraId="3705835D">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第三方服务</w:t>
            </w:r>
          </w:p>
        </w:tc>
        <w:tc>
          <w:tcPr>
            <w:tcW w:w="4961" w:type="dxa"/>
            <w:vAlign w:val="center"/>
          </w:tcPr>
          <w:p w14:paraId="698D58D4">
            <w:pPr>
              <w:adjustRightInd w:val="0"/>
              <w:snapToGrid w:val="0"/>
              <w:spacing w:after="0" w:line="240" w:lineRule="auto"/>
              <w:jc w:val="left"/>
              <w:rPr>
                <w:rFonts w:ascii="Times New Roman" w:hAnsi="Times New Roman" w:cs="Times New Roman"/>
                <w:kern w:val="2"/>
                <w:sz w:val="18"/>
                <w:szCs w:val="18"/>
                <w:lang w:eastAsia="zh-CN"/>
              </w:rPr>
            </w:pPr>
            <w:r>
              <w:rPr>
                <w:rFonts w:ascii="Times New Roman" w:hAnsi="Times New Roman" w:cs="Times New Roman"/>
                <w:kern w:val="2"/>
                <w:sz w:val="18"/>
                <w:szCs w:val="18"/>
                <w:lang w:eastAsia="zh-CN"/>
              </w:rPr>
              <w:t>现场运输、废渣、废水外委处置等</w:t>
            </w:r>
          </w:p>
        </w:tc>
        <w:tc>
          <w:tcPr>
            <w:tcW w:w="1412" w:type="dxa"/>
            <w:vMerge w:val="continue"/>
            <w:vAlign w:val="center"/>
          </w:tcPr>
          <w:p w14:paraId="6E95B93F">
            <w:pPr>
              <w:adjustRightInd w:val="0"/>
              <w:snapToGrid w:val="0"/>
              <w:spacing w:after="0" w:line="240" w:lineRule="auto"/>
              <w:jc w:val="center"/>
              <w:rPr>
                <w:rFonts w:cs="Times New Roman" w:asciiTheme="minorEastAsia" w:hAnsiTheme="minorEastAsia"/>
                <w:kern w:val="2"/>
                <w:sz w:val="18"/>
                <w:szCs w:val="18"/>
                <w:lang w:eastAsia="zh-CN"/>
              </w:rPr>
            </w:pPr>
          </w:p>
        </w:tc>
      </w:tr>
      <w:tr w14:paraId="4677FCAF">
        <w:trPr>
          <w:trHeight w:val="340" w:hRule="atLeast"/>
          <w:jc w:val="center"/>
        </w:trPr>
        <w:tc>
          <w:tcPr>
            <w:tcW w:w="562" w:type="dxa"/>
            <w:vMerge w:val="continue"/>
            <w:vAlign w:val="center"/>
          </w:tcPr>
          <w:p w14:paraId="6529BD0D">
            <w:pPr>
              <w:adjustRightInd w:val="0"/>
              <w:snapToGrid w:val="0"/>
              <w:spacing w:after="0" w:line="240" w:lineRule="auto"/>
              <w:jc w:val="center"/>
              <w:rPr>
                <w:rFonts w:cs="Times New Roman" w:asciiTheme="minorEastAsia" w:hAnsiTheme="minorEastAsia"/>
                <w:kern w:val="2"/>
                <w:sz w:val="18"/>
                <w:szCs w:val="18"/>
                <w:lang w:eastAsia="zh-CN"/>
              </w:rPr>
            </w:pPr>
          </w:p>
        </w:tc>
        <w:tc>
          <w:tcPr>
            <w:tcW w:w="426" w:type="dxa"/>
            <w:vMerge w:val="restart"/>
            <w:vAlign w:val="center"/>
          </w:tcPr>
          <w:p w14:paraId="4CD9CFD0">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输</w:t>
            </w:r>
          </w:p>
          <w:p w14:paraId="0D467CC2">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出</w:t>
            </w:r>
          </w:p>
        </w:tc>
        <w:tc>
          <w:tcPr>
            <w:tcW w:w="1984" w:type="dxa"/>
            <w:vAlign w:val="center"/>
          </w:tcPr>
          <w:p w14:paraId="642CDA91">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主产品产量</w:t>
            </w:r>
          </w:p>
        </w:tc>
        <w:tc>
          <w:tcPr>
            <w:tcW w:w="4961" w:type="dxa"/>
            <w:vAlign w:val="center"/>
          </w:tcPr>
          <w:p w14:paraId="27C9E071">
            <w:pPr>
              <w:adjustRightInd w:val="0"/>
              <w:snapToGrid w:val="0"/>
              <w:spacing w:after="0" w:line="240" w:lineRule="auto"/>
              <w:jc w:val="left"/>
              <w:rPr>
                <w:rFonts w:ascii="Times New Roman" w:hAnsi="Times New Roman" w:cs="Times New Roman"/>
                <w:kern w:val="2"/>
                <w:sz w:val="18"/>
                <w:szCs w:val="18"/>
                <w:lang w:eastAsia="zh-CN"/>
              </w:rPr>
            </w:pPr>
            <w:r>
              <w:rPr>
                <w:rFonts w:hint="eastAsia" w:ascii="Times New Roman" w:hAnsi="Times New Roman" w:cs="Times New Roman"/>
                <w:kern w:val="2"/>
                <w:sz w:val="18"/>
                <w:szCs w:val="18"/>
                <w:lang w:eastAsia="zh-CN"/>
              </w:rPr>
              <w:t>稀土冶炼分离</w:t>
            </w:r>
            <w:r>
              <w:rPr>
                <w:rFonts w:ascii="Times New Roman" w:hAnsi="Times New Roman" w:cs="Times New Roman"/>
                <w:kern w:val="2"/>
                <w:sz w:val="18"/>
                <w:szCs w:val="18"/>
                <w:lang w:eastAsia="zh-CN"/>
              </w:rPr>
              <w:t>产品</w:t>
            </w:r>
          </w:p>
        </w:tc>
        <w:tc>
          <w:tcPr>
            <w:tcW w:w="1412" w:type="dxa"/>
            <w:vMerge w:val="continue"/>
            <w:vAlign w:val="center"/>
          </w:tcPr>
          <w:p w14:paraId="06B41AE2">
            <w:pPr>
              <w:adjustRightInd w:val="0"/>
              <w:snapToGrid w:val="0"/>
              <w:spacing w:after="0" w:line="240" w:lineRule="auto"/>
              <w:jc w:val="center"/>
              <w:rPr>
                <w:rFonts w:cs="Times New Roman" w:asciiTheme="minorEastAsia" w:hAnsiTheme="minorEastAsia"/>
                <w:kern w:val="2"/>
                <w:sz w:val="18"/>
                <w:szCs w:val="18"/>
                <w:lang w:eastAsia="zh-CN"/>
              </w:rPr>
            </w:pPr>
          </w:p>
        </w:tc>
      </w:tr>
      <w:tr w14:paraId="2C2B9A4C">
        <w:trPr>
          <w:trHeight w:val="340" w:hRule="atLeast"/>
          <w:jc w:val="center"/>
        </w:trPr>
        <w:tc>
          <w:tcPr>
            <w:tcW w:w="562" w:type="dxa"/>
            <w:vMerge w:val="continue"/>
            <w:vAlign w:val="center"/>
          </w:tcPr>
          <w:p w14:paraId="20E2937E">
            <w:pPr>
              <w:adjustRightInd w:val="0"/>
              <w:snapToGrid w:val="0"/>
              <w:spacing w:after="0" w:line="240" w:lineRule="auto"/>
              <w:jc w:val="center"/>
              <w:rPr>
                <w:rFonts w:cs="Times New Roman" w:asciiTheme="minorEastAsia" w:hAnsiTheme="minorEastAsia"/>
                <w:kern w:val="2"/>
                <w:sz w:val="18"/>
                <w:szCs w:val="18"/>
                <w:lang w:eastAsia="zh-CN"/>
              </w:rPr>
            </w:pPr>
          </w:p>
        </w:tc>
        <w:tc>
          <w:tcPr>
            <w:tcW w:w="426" w:type="dxa"/>
            <w:vMerge w:val="continue"/>
            <w:vAlign w:val="center"/>
          </w:tcPr>
          <w:p w14:paraId="2F40FF9F">
            <w:pPr>
              <w:adjustRightInd w:val="0"/>
              <w:snapToGrid w:val="0"/>
              <w:spacing w:after="0" w:line="240" w:lineRule="auto"/>
              <w:jc w:val="center"/>
              <w:rPr>
                <w:rFonts w:cs="Times New Roman" w:asciiTheme="minorEastAsia" w:hAnsiTheme="minorEastAsia"/>
                <w:kern w:val="2"/>
                <w:sz w:val="18"/>
                <w:szCs w:val="18"/>
                <w:lang w:eastAsia="zh-CN"/>
              </w:rPr>
            </w:pPr>
          </w:p>
        </w:tc>
        <w:tc>
          <w:tcPr>
            <w:tcW w:w="1984" w:type="dxa"/>
            <w:vAlign w:val="center"/>
          </w:tcPr>
          <w:p w14:paraId="6B9B4F1A">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废弃物产量</w:t>
            </w:r>
          </w:p>
        </w:tc>
        <w:tc>
          <w:tcPr>
            <w:tcW w:w="4961" w:type="dxa"/>
            <w:vAlign w:val="center"/>
          </w:tcPr>
          <w:p w14:paraId="40367834">
            <w:pPr>
              <w:adjustRightInd w:val="0"/>
              <w:snapToGrid w:val="0"/>
              <w:spacing w:after="0" w:line="240" w:lineRule="auto"/>
              <w:jc w:val="left"/>
              <w:rPr>
                <w:rFonts w:ascii="Times New Roman" w:hAnsi="Times New Roman" w:cs="Times New Roman"/>
                <w:kern w:val="2"/>
                <w:sz w:val="18"/>
                <w:szCs w:val="18"/>
                <w:lang w:eastAsia="zh-CN"/>
              </w:rPr>
            </w:pPr>
            <w:r>
              <w:rPr>
                <w:rFonts w:hint="eastAsia" w:ascii="Times New Roman" w:hAnsi="Times New Roman" w:cs="Times New Roman"/>
                <w:kern w:val="2"/>
                <w:sz w:val="18"/>
                <w:szCs w:val="18"/>
                <w:lang w:eastAsia="zh-CN"/>
              </w:rPr>
              <w:t>富铈渣、中和渣、水浸渣和酸溶渣等</w:t>
            </w:r>
          </w:p>
        </w:tc>
        <w:tc>
          <w:tcPr>
            <w:tcW w:w="1412" w:type="dxa"/>
            <w:vMerge w:val="continue"/>
            <w:vAlign w:val="center"/>
          </w:tcPr>
          <w:p w14:paraId="04AE4221">
            <w:pPr>
              <w:adjustRightInd w:val="0"/>
              <w:snapToGrid w:val="0"/>
              <w:spacing w:after="0" w:line="240" w:lineRule="auto"/>
              <w:jc w:val="center"/>
              <w:rPr>
                <w:rFonts w:cs="Times New Roman" w:asciiTheme="minorEastAsia" w:hAnsiTheme="minorEastAsia"/>
                <w:kern w:val="2"/>
                <w:sz w:val="18"/>
                <w:szCs w:val="18"/>
                <w:lang w:eastAsia="zh-CN"/>
              </w:rPr>
            </w:pPr>
          </w:p>
        </w:tc>
      </w:tr>
      <w:tr w14:paraId="193FD3E8">
        <w:trPr>
          <w:trHeight w:val="340" w:hRule="atLeast"/>
          <w:jc w:val="center"/>
        </w:trPr>
        <w:tc>
          <w:tcPr>
            <w:tcW w:w="562" w:type="dxa"/>
            <w:vMerge w:val="continue"/>
            <w:vAlign w:val="center"/>
          </w:tcPr>
          <w:p w14:paraId="6DE18035">
            <w:pPr>
              <w:adjustRightInd w:val="0"/>
              <w:snapToGrid w:val="0"/>
              <w:spacing w:after="0" w:line="240" w:lineRule="auto"/>
              <w:jc w:val="center"/>
              <w:rPr>
                <w:rFonts w:cs="Times New Roman" w:asciiTheme="minorEastAsia" w:hAnsiTheme="minorEastAsia"/>
                <w:kern w:val="2"/>
                <w:sz w:val="18"/>
                <w:szCs w:val="18"/>
                <w:lang w:eastAsia="zh-CN"/>
              </w:rPr>
            </w:pPr>
          </w:p>
        </w:tc>
        <w:tc>
          <w:tcPr>
            <w:tcW w:w="426" w:type="dxa"/>
            <w:vMerge w:val="continue"/>
            <w:vAlign w:val="center"/>
          </w:tcPr>
          <w:p w14:paraId="7F005F78">
            <w:pPr>
              <w:adjustRightInd w:val="0"/>
              <w:snapToGrid w:val="0"/>
              <w:spacing w:after="0" w:line="240" w:lineRule="auto"/>
              <w:jc w:val="center"/>
              <w:rPr>
                <w:rFonts w:cs="Times New Roman" w:asciiTheme="minorEastAsia" w:hAnsiTheme="minorEastAsia"/>
                <w:kern w:val="2"/>
                <w:sz w:val="18"/>
                <w:szCs w:val="18"/>
                <w:lang w:eastAsia="zh-CN"/>
              </w:rPr>
            </w:pPr>
          </w:p>
        </w:tc>
        <w:tc>
          <w:tcPr>
            <w:tcW w:w="1984" w:type="dxa"/>
            <w:vAlign w:val="center"/>
          </w:tcPr>
          <w:p w14:paraId="4C5B864A">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温室气体排放</w:t>
            </w:r>
          </w:p>
        </w:tc>
        <w:tc>
          <w:tcPr>
            <w:tcW w:w="4961" w:type="dxa"/>
            <w:vAlign w:val="center"/>
          </w:tcPr>
          <w:p w14:paraId="6E3B9CEC">
            <w:pPr>
              <w:adjustRightInd w:val="0"/>
              <w:snapToGrid w:val="0"/>
              <w:spacing w:after="0" w:line="240" w:lineRule="auto"/>
              <w:jc w:val="left"/>
              <w:rPr>
                <w:rFonts w:ascii="Times New Roman" w:hAnsi="Times New Roman" w:cs="Times New Roman"/>
                <w:kern w:val="2"/>
                <w:sz w:val="18"/>
                <w:szCs w:val="18"/>
                <w:lang w:eastAsia="zh-CN"/>
              </w:rPr>
            </w:pPr>
            <w:r>
              <w:rPr>
                <w:rFonts w:ascii="Times New Roman" w:hAnsi="Times New Roman" w:cs="Times New Roman"/>
                <w:kern w:val="2"/>
                <w:sz w:val="18"/>
                <w:szCs w:val="18"/>
                <w:lang w:eastAsia="zh-CN"/>
              </w:rPr>
              <w:t>CO</w:t>
            </w:r>
            <w:r>
              <w:rPr>
                <w:rFonts w:ascii="Times New Roman" w:hAnsi="Times New Roman" w:cs="Times New Roman"/>
                <w:kern w:val="2"/>
                <w:sz w:val="18"/>
                <w:szCs w:val="18"/>
                <w:vertAlign w:val="subscript"/>
                <w:lang w:eastAsia="zh-CN"/>
              </w:rPr>
              <w:t>2</w:t>
            </w:r>
            <w:r>
              <w:rPr>
                <w:rFonts w:hint="eastAsia" w:ascii="Times New Roman" w:hAnsi="Times New Roman" w:cs="Times New Roman"/>
                <w:kern w:val="2"/>
                <w:sz w:val="18"/>
                <w:szCs w:val="18"/>
                <w:lang w:eastAsia="zh-CN"/>
              </w:rPr>
              <w:t>等</w:t>
            </w:r>
          </w:p>
        </w:tc>
        <w:tc>
          <w:tcPr>
            <w:tcW w:w="1412" w:type="dxa"/>
            <w:vMerge w:val="continue"/>
            <w:vAlign w:val="center"/>
          </w:tcPr>
          <w:p w14:paraId="7FFFF3FB">
            <w:pPr>
              <w:adjustRightInd w:val="0"/>
              <w:snapToGrid w:val="0"/>
              <w:spacing w:after="0" w:line="240" w:lineRule="auto"/>
              <w:jc w:val="center"/>
              <w:rPr>
                <w:rFonts w:cs="Times New Roman" w:asciiTheme="minorEastAsia" w:hAnsiTheme="minorEastAsia"/>
                <w:kern w:val="2"/>
                <w:sz w:val="18"/>
                <w:szCs w:val="18"/>
                <w:lang w:eastAsia="zh-CN"/>
              </w:rPr>
            </w:pPr>
          </w:p>
        </w:tc>
      </w:tr>
      <w:tr w14:paraId="7D0755BC">
        <w:trPr>
          <w:trHeight w:val="340" w:hRule="atLeast"/>
          <w:jc w:val="center"/>
        </w:trPr>
        <w:tc>
          <w:tcPr>
            <w:tcW w:w="562" w:type="dxa"/>
            <w:vMerge w:val="restart"/>
            <w:vAlign w:val="center"/>
          </w:tcPr>
          <w:p w14:paraId="17DEF5E1">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背</w:t>
            </w:r>
          </w:p>
          <w:p w14:paraId="0F76DE5B">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景</w:t>
            </w:r>
          </w:p>
          <w:p w14:paraId="54B578F6">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数</w:t>
            </w:r>
          </w:p>
          <w:p w14:paraId="1AA0E6D8">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据</w:t>
            </w:r>
          </w:p>
        </w:tc>
        <w:tc>
          <w:tcPr>
            <w:tcW w:w="2410" w:type="dxa"/>
            <w:gridSpan w:val="2"/>
            <w:vAlign w:val="center"/>
          </w:tcPr>
          <w:p w14:paraId="76922015">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电力/热力</w:t>
            </w:r>
          </w:p>
        </w:tc>
        <w:tc>
          <w:tcPr>
            <w:tcW w:w="4961" w:type="dxa"/>
            <w:vAlign w:val="center"/>
          </w:tcPr>
          <w:p w14:paraId="29EAB1F2">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——供应商提供的生命周期排放因子</w:t>
            </w:r>
          </w:p>
          <w:p w14:paraId="5EE5CE39">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——生态环境部公开或公开发表的高质量学术文献的排放因子</w:t>
            </w:r>
          </w:p>
        </w:tc>
        <w:tc>
          <w:tcPr>
            <w:tcW w:w="1412" w:type="dxa"/>
            <w:vMerge w:val="restart"/>
            <w:vAlign w:val="center"/>
          </w:tcPr>
          <w:p w14:paraId="31253FA4">
            <w:pPr>
              <w:adjustRightInd w:val="0"/>
              <w:snapToGrid w:val="0"/>
              <w:spacing w:after="0" w:line="240" w:lineRule="auto"/>
              <w:jc w:val="center"/>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次级数据（宜优先考虑初级数据）</w:t>
            </w:r>
          </w:p>
        </w:tc>
      </w:tr>
      <w:tr w14:paraId="192FCDD2">
        <w:trPr>
          <w:trHeight w:val="340" w:hRule="atLeast"/>
          <w:jc w:val="center"/>
        </w:trPr>
        <w:tc>
          <w:tcPr>
            <w:tcW w:w="562" w:type="dxa"/>
            <w:vMerge w:val="continue"/>
            <w:vAlign w:val="center"/>
          </w:tcPr>
          <w:p w14:paraId="07D9F509">
            <w:pPr>
              <w:adjustRightInd w:val="0"/>
              <w:snapToGrid w:val="0"/>
              <w:spacing w:after="0" w:line="240" w:lineRule="auto"/>
              <w:jc w:val="center"/>
              <w:rPr>
                <w:rFonts w:cs="Times New Roman" w:asciiTheme="minorEastAsia" w:hAnsiTheme="minorEastAsia"/>
                <w:kern w:val="2"/>
                <w:sz w:val="18"/>
                <w:szCs w:val="18"/>
                <w:lang w:eastAsia="zh-CN"/>
              </w:rPr>
            </w:pPr>
          </w:p>
        </w:tc>
        <w:tc>
          <w:tcPr>
            <w:tcW w:w="2410" w:type="dxa"/>
            <w:gridSpan w:val="2"/>
            <w:vAlign w:val="center"/>
          </w:tcPr>
          <w:p w14:paraId="628A1B84">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外购原辅材料、燃料和服务</w:t>
            </w:r>
          </w:p>
        </w:tc>
        <w:tc>
          <w:tcPr>
            <w:tcW w:w="4961" w:type="dxa"/>
            <w:vAlign w:val="center"/>
          </w:tcPr>
          <w:p w14:paraId="77D41863">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——供应商/服务商提供的排放因子</w:t>
            </w:r>
          </w:p>
          <w:p w14:paraId="674E8399">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——公开或商业数据库中的排放因子</w:t>
            </w:r>
          </w:p>
        </w:tc>
        <w:tc>
          <w:tcPr>
            <w:tcW w:w="1412" w:type="dxa"/>
            <w:vMerge w:val="continue"/>
            <w:vAlign w:val="center"/>
          </w:tcPr>
          <w:p w14:paraId="4A1B6CF5">
            <w:pPr>
              <w:adjustRightInd w:val="0"/>
              <w:snapToGrid w:val="0"/>
              <w:spacing w:after="0" w:line="240" w:lineRule="auto"/>
              <w:jc w:val="center"/>
              <w:rPr>
                <w:rFonts w:cs="Times New Roman" w:asciiTheme="minorEastAsia" w:hAnsiTheme="minorEastAsia"/>
                <w:kern w:val="2"/>
                <w:sz w:val="18"/>
                <w:szCs w:val="18"/>
                <w:lang w:eastAsia="zh-CN"/>
              </w:rPr>
            </w:pPr>
          </w:p>
        </w:tc>
      </w:tr>
      <w:tr w14:paraId="683A57B1">
        <w:trPr>
          <w:trHeight w:val="340" w:hRule="atLeast"/>
          <w:jc w:val="center"/>
        </w:trPr>
        <w:tc>
          <w:tcPr>
            <w:tcW w:w="562" w:type="dxa"/>
            <w:vMerge w:val="continue"/>
            <w:vAlign w:val="center"/>
          </w:tcPr>
          <w:p w14:paraId="44334B59">
            <w:pPr>
              <w:adjustRightInd w:val="0"/>
              <w:snapToGrid w:val="0"/>
              <w:spacing w:after="0" w:line="240" w:lineRule="auto"/>
              <w:jc w:val="center"/>
              <w:rPr>
                <w:rFonts w:cs="Times New Roman" w:asciiTheme="minorEastAsia" w:hAnsiTheme="minorEastAsia"/>
                <w:kern w:val="2"/>
                <w:sz w:val="18"/>
                <w:szCs w:val="18"/>
                <w:lang w:eastAsia="zh-CN"/>
              </w:rPr>
            </w:pPr>
          </w:p>
        </w:tc>
        <w:tc>
          <w:tcPr>
            <w:tcW w:w="2410" w:type="dxa"/>
            <w:gridSpan w:val="2"/>
            <w:vAlign w:val="center"/>
          </w:tcPr>
          <w:p w14:paraId="35C083A4">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运输分销</w:t>
            </w:r>
          </w:p>
        </w:tc>
        <w:tc>
          <w:tcPr>
            <w:tcW w:w="4961" w:type="dxa"/>
            <w:vAlign w:val="center"/>
          </w:tcPr>
          <w:p w14:paraId="45B7F9D2">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——供应商/服务商/提供的排放因子</w:t>
            </w:r>
          </w:p>
          <w:p w14:paraId="3586FC53">
            <w:pPr>
              <w:adjustRightInd w:val="0"/>
              <w:snapToGrid w:val="0"/>
              <w:spacing w:after="0" w:line="240" w:lineRule="auto"/>
              <w:jc w:val="left"/>
              <w:rPr>
                <w:rFonts w:cs="Times New Roman" w:asciiTheme="minorEastAsia" w:hAnsiTheme="minorEastAsia"/>
                <w:kern w:val="2"/>
                <w:sz w:val="18"/>
                <w:szCs w:val="18"/>
                <w:lang w:eastAsia="zh-CN"/>
              </w:rPr>
            </w:pPr>
            <w:r>
              <w:rPr>
                <w:rFonts w:hint="eastAsia" w:cs="Times New Roman" w:asciiTheme="minorEastAsia" w:hAnsiTheme="minorEastAsia"/>
                <w:kern w:val="2"/>
                <w:sz w:val="18"/>
                <w:szCs w:val="18"/>
                <w:lang w:eastAsia="zh-CN"/>
              </w:rPr>
              <w:t>——运输方式、运输工具规格型号等</w:t>
            </w:r>
          </w:p>
        </w:tc>
        <w:tc>
          <w:tcPr>
            <w:tcW w:w="1412" w:type="dxa"/>
            <w:vMerge w:val="continue"/>
            <w:vAlign w:val="center"/>
          </w:tcPr>
          <w:p w14:paraId="168ADC83">
            <w:pPr>
              <w:adjustRightInd w:val="0"/>
              <w:snapToGrid w:val="0"/>
              <w:spacing w:after="0" w:line="240" w:lineRule="auto"/>
              <w:jc w:val="center"/>
              <w:rPr>
                <w:rFonts w:cs="Times New Roman" w:asciiTheme="minorEastAsia" w:hAnsiTheme="minorEastAsia"/>
                <w:kern w:val="2"/>
                <w:sz w:val="18"/>
                <w:szCs w:val="18"/>
                <w:lang w:eastAsia="zh-CN"/>
              </w:rPr>
            </w:pPr>
          </w:p>
        </w:tc>
      </w:tr>
    </w:tbl>
    <w:p w14:paraId="01B88C3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p>
    <w:p w14:paraId="04D4C388">
      <w:pPr>
        <w:keepNext/>
        <w:keepLines/>
        <w:pageBreakBefore w:val="0"/>
        <w:widowControl w:val="0"/>
        <w:kinsoku/>
        <w:wordWrap/>
        <w:overflowPunct/>
        <w:topLinePunct w:val="0"/>
        <w:autoSpaceDE/>
        <w:autoSpaceDN/>
        <w:bidi w:val="0"/>
        <w:adjustRightInd w:val="0"/>
        <w:snapToGrid w:val="0"/>
        <w:spacing w:before="317" w:beforeLines="100" w:after="317" w:afterLines="100" w:line="240" w:lineRule="auto"/>
        <w:jc w:val="both"/>
        <w:textAlignment w:val="auto"/>
        <w:outlineLvl w:val="0"/>
        <w:rPr>
          <w:rFonts w:ascii="黑体" w:hAnsi="黑体" w:eastAsia="黑体" w:cs="黑体"/>
          <w:bCs/>
          <w:kern w:val="44"/>
          <w:sz w:val="21"/>
          <w:szCs w:val="44"/>
          <w:lang w:eastAsia="zh-CN"/>
        </w:rPr>
      </w:pPr>
      <w:bookmarkStart w:id="96" w:name="_Toc1009773950"/>
      <w:r>
        <w:rPr>
          <w:rFonts w:hint="eastAsia" w:ascii="黑体" w:hAnsi="黑体" w:eastAsia="黑体" w:cs="黑体"/>
          <w:bCs/>
          <w:kern w:val="44"/>
          <w:sz w:val="21"/>
          <w:szCs w:val="44"/>
          <w:lang w:eastAsia="zh-CN"/>
        </w:rPr>
        <w:t>6.2 数据质量要求</w:t>
      </w:r>
      <w:bookmarkEnd w:id="96"/>
    </w:p>
    <w:p w14:paraId="7635699E">
      <w:pPr>
        <w:adjustRightInd w:val="0"/>
        <w:snapToGrid w:val="0"/>
        <w:spacing w:before="158" w:beforeLines="50" w:after="158" w:afterLines="50" w:line="360" w:lineRule="auto"/>
        <w:jc w:val="both"/>
        <w:rPr>
          <w:rFonts w:hint="eastAsia" w:ascii="黑体" w:hAnsi="黑体" w:eastAsia="黑体" w:cs="黑体"/>
          <w:kern w:val="2"/>
          <w:sz w:val="21"/>
          <w:szCs w:val="24"/>
          <w:lang w:eastAsia="zh-CN"/>
        </w:rPr>
      </w:pPr>
      <w:r>
        <w:rPr>
          <w:rFonts w:hint="eastAsia" w:ascii="黑体" w:hAnsi="黑体" w:eastAsia="黑体" w:cs="黑体"/>
          <w:kern w:val="2"/>
          <w:sz w:val="21"/>
          <w:szCs w:val="24"/>
          <w:lang w:eastAsia="zh-CN"/>
        </w:rPr>
        <w:t>6.2.1 活动水平数据质量要求</w:t>
      </w:r>
    </w:p>
    <w:p w14:paraId="2CB78824">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highlight w:val="none"/>
          <w:lang w:eastAsia="zh-CN"/>
        </w:rPr>
      </w:pPr>
      <w:r>
        <w:rPr>
          <w:rFonts w:hint="eastAsia" w:ascii="Times New Roman" w:hAnsi="Times New Roman" w:eastAsia="宋体" w:cs="Times New Roman"/>
          <w:kern w:val="2"/>
          <w:sz w:val="21"/>
          <w:szCs w:val="21"/>
          <w:highlight w:val="none"/>
          <w:lang w:eastAsia="zh-CN"/>
        </w:rPr>
        <w:t>活动水平数据质量要求如下：</w:t>
      </w:r>
    </w:p>
    <w:p w14:paraId="10E95202">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highlight w:val="none"/>
          <w:lang w:eastAsia="zh-CN"/>
        </w:rPr>
      </w:pPr>
      <w:r>
        <w:rPr>
          <w:rFonts w:hint="eastAsia" w:ascii="Times New Roman" w:hAnsi="Times New Roman" w:eastAsia="宋体" w:cs="Times New Roman"/>
          <w:kern w:val="2"/>
          <w:sz w:val="21"/>
          <w:szCs w:val="21"/>
          <w:highlight w:val="none"/>
          <w:lang w:eastAsia="zh-CN"/>
        </w:rPr>
        <w:t xml:space="preserve">a) 完整性：活动水平数据宜按界定的时间范围[5.1b）]进行采集，根据数据取舍准则（5.4）的要求，检查是否有缺失的单元过程或输入输出物质； </w:t>
      </w:r>
    </w:p>
    <w:p w14:paraId="48398405">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highlight w:val="none"/>
          <w:lang w:eastAsia="zh-CN"/>
        </w:rPr>
      </w:pPr>
      <w:r>
        <w:rPr>
          <w:rFonts w:hint="eastAsia" w:ascii="Times New Roman" w:hAnsi="Times New Roman" w:eastAsia="宋体" w:cs="Times New Roman"/>
          <w:kern w:val="2"/>
          <w:sz w:val="21"/>
          <w:szCs w:val="21"/>
          <w:highlight w:val="none"/>
          <w:lang w:eastAsia="zh-CN"/>
        </w:rPr>
        <w:t xml:space="preserve">b) 准确性：活动水平数据中的原材料与能源消耗数据应来自企业实际生产统计记录；排放数据优先选择核查报告、监测报告或由物料平衡公式计算获得的数据； </w:t>
      </w:r>
    </w:p>
    <w:p w14:paraId="663F72CE">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highlight w:val="none"/>
          <w:lang w:eastAsia="zh-CN"/>
        </w:rPr>
      </w:pPr>
      <w:r>
        <w:rPr>
          <w:rFonts w:hint="eastAsia" w:ascii="Times New Roman" w:hAnsi="Times New Roman" w:eastAsia="宋体" w:cs="Times New Roman"/>
          <w:kern w:val="2"/>
          <w:sz w:val="21"/>
          <w:szCs w:val="21"/>
          <w:highlight w:val="none"/>
          <w:lang w:eastAsia="zh-CN"/>
        </w:rPr>
        <w:t>c) 一致性；活动水平数据采集时，同类数据应保持相同的数据来源、统计口径和处理规则等。</w:t>
      </w:r>
    </w:p>
    <w:p w14:paraId="1ABF3F6D">
      <w:pPr>
        <w:adjustRightInd w:val="0"/>
        <w:snapToGrid w:val="0"/>
        <w:spacing w:before="158" w:beforeLines="50" w:after="158" w:afterLines="50" w:line="360" w:lineRule="auto"/>
        <w:jc w:val="both"/>
        <w:rPr>
          <w:rFonts w:hint="eastAsia" w:ascii="黑体" w:hAnsi="黑体" w:eastAsia="黑体" w:cs="黑体"/>
          <w:kern w:val="2"/>
          <w:sz w:val="21"/>
          <w:szCs w:val="24"/>
          <w:lang w:val="en-US" w:eastAsia="zh-CN"/>
        </w:rPr>
      </w:pPr>
      <w:r>
        <w:rPr>
          <w:rFonts w:hint="eastAsia" w:ascii="黑体" w:hAnsi="黑体" w:eastAsia="黑体" w:cs="黑体"/>
          <w:kern w:val="2"/>
          <w:sz w:val="21"/>
          <w:szCs w:val="24"/>
          <w:lang w:val="en-US" w:eastAsia="zh-CN"/>
        </w:rPr>
        <w:t>6.2.2 碳足迹因子数据质量要求</w:t>
      </w:r>
    </w:p>
    <w:p w14:paraId="1FFD9A91">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highlight w:val="none"/>
          <w:lang w:val="en-US" w:eastAsia="zh-CN"/>
        </w:rPr>
      </w:pPr>
      <w:r>
        <w:rPr>
          <w:rFonts w:hint="eastAsia" w:ascii="Times New Roman" w:hAnsi="Times New Roman" w:eastAsia="宋体" w:cs="Times New Roman"/>
          <w:kern w:val="2"/>
          <w:sz w:val="21"/>
          <w:szCs w:val="21"/>
          <w:highlight w:val="none"/>
          <w:lang w:val="en-US" w:eastAsia="zh-CN"/>
        </w:rPr>
        <w:t>碳足迹因子数据质量要求如下:</w:t>
      </w:r>
    </w:p>
    <w:p w14:paraId="55E2EE0F">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highlight w:val="none"/>
          <w:lang w:val="en-US" w:eastAsia="zh-CN"/>
        </w:rPr>
      </w:pPr>
      <w:r>
        <w:rPr>
          <w:rFonts w:hint="eastAsia" w:ascii="Times New Roman" w:hAnsi="Times New Roman" w:eastAsia="宋体" w:cs="Times New Roman"/>
          <w:kern w:val="2"/>
          <w:sz w:val="21"/>
          <w:szCs w:val="21"/>
          <w:highlight w:val="none"/>
          <w:lang w:val="en-US" w:eastAsia="zh-CN"/>
        </w:rPr>
        <w:t>a) 代表性:优先选择与产品系统的时间代表性、区域代表性、技术代表性相近的数据,其次选择近</w:t>
      </w:r>
    </w:p>
    <w:p w14:paraId="0D617AAE">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highlight w:val="none"/>
          <w:lang w:val="en-US" w:eastAsia="zh-CN"/>
        </w:rPr>
      </w:pPr>
      <w:r>
        <w:rPr>
          <w:rFonts w:hint="eastAsia" w:ascii="Times New Roman" w:hAnsi="Times New Roman" w:eastAsia="宋体" w:cs="Times New Roman"/>
          <w:kern w:val="2"/>
          <w:sz w:val="21"/>
          <w:szCs w:val="21"/>
          <w:highlight w:val="none"/>
          <w:lang w:val="en-US" w:eastAsia="zh-CN"/>
        </w:rPr>
        <w:t>年代表国内及行业平均生产水平的公开数据,最后选择国外同类技术数据;</w:t>
      </w:r>
    </w:p>
    <w:p w14:paraId="2EEF3F21">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highlight w:val="none"/>
          <w:lang w:val="en-US" w:eastAsia="zh-CN"/>
        </w:rPr>
      </w:pPr>
      <w:r>
        <w:rPr>
          <w:rFonts w:hint="eastAsia" w:ascii="Times New Roman" w:hAnsi="Times New Roman" w:eastAsia="宋体" w:cs="Times New Roman"/>
          <w:kern w:val="2"/>
          <w:sz w:val="21"/>
          <w:szCs w:val="21"/>
          <w:highlight w:val="none"/>
          <w:lang w:val="en-US" w:eastAsia="zh-CN"/>
        </w:rPr>
        <w:t>b) 完整性:应涵盖系统边界规定的所有单元过程;</w:t>
      </w:r>
    </w:p>
    <w:p w14:paraId="6B7C0AD3">
      <w:pPr>
        <w:adjustRightInd w:val="0"/>
        <w:snapToGrid w:val="0"/>
        <w:spacing w:after="0" w:line="360" w:lineRule="auto"/>
        <w:ind w:firstLine="420" w:firstLineChars="200"/>
        <w:jc w:val="both"/>
        <w:rPr>
          <w:rFonts w:hint="default" w:ascii="Times New Roman" w:hAnsi="Times New Roman" w:eastAsia="宋体" w:cs="Times New Roman"/>
          <w:kern w:val="2"/>
          <w:sz w:val="21"/>
          <w:szCs w:val="21"/>
          <w:highlight w:val="none"/>
          <w:lang w:val="en-US" w:eastAsia="zh-CN"/>
        </w:rPr>
      </w:pPr>
      <w:r>
        <w:rPr>
          <w:rFonts w:hint="eastAsia" w:ascii="Times New Roman" w:hAnsi="Times New Roman" w:eastAsia="宋体" w:cs="Times New Roman"/>
          <w:kern w:val="2"/>
          <w:sz w:val="21"/>
          <w:szCs w:val="21"/>
          <w:highlight w:val="none"/>
          <w:lang w:val="en-US" w:eastAsia="zh-CN"/>
        </w:rPr>
        <w:t>c) 一致性:对同类产品次级数据的选择应保持一致。</w:t>
      </w:r>
    </w:p>
    <w:p w14:paraId="6AD11D6C">
      <w:pPr>
        <w:spacing w:line="360" w:lineRule="auto"/>
        <w:ind w:firstLine="0" w:firstLineChars="0"/>
        <w:rPr>
          <w:rFonts w:ascii="Times New Roman" w:hAnsi="黑体" w:eastAsia="黑体"/>
          <w:szCs w:val="24"/>
        </w:rPr>
      </w:pPr>
      <w:r>
        <w:rPr>
          <w:rFonts w:hint="eastAsia" w:ascii="黑体" w:hAnsi="黑体" w:eastAsia="黑体" w:cs="黑体"/>
          <w:bCs/>
          <w:kern w:val="44"/>
          <w:sz w:val="21"/>
          <w:szCs w:val="44"/>
          <w:lang w:val="en-US" w:eastAsia="zh-CN"/>
        </w:rPr>
        <w:t xml:space="preserve">6.3 </w:t>
      </w:r>
      <w:r>
        <w:rPr>
          <w:rFonts w:hint="eastAsia" w:ascii="黑体" w:hAnsi="黑体" w:eastAsia="黑体"/>
          <w:szCs w:val="24"/>
        </w:rPr>
        <w:t>数据选择要求</w:t>
      </w:r>
    </w:p>
    <w:p w14:paraId="4BB548E7">
      <w:pPr>
        <w:spacing w:line="360" w:lineRule="auto"/>
        <w:ind w:firstLine="0" w:firstLineChars="0"/>
        <w:rPr>
          <w:rFonts w:ascii="黑体" w:hAnsi="黑体" w:eastAsia="黑体"/>
          <w:szCs w:val="24"/>
        </w:rPr>
      </w:pPr>
      <w:r>
        <w:rPr>
          <w:rFonts w:hint="eastAsia" w:ascii="黑体" w:hAnsi="黑体" w:eastAsia="黑体"/>
          <w:szCs w:val="24"/>
        </w:rPr>
        <w:t>6.3.1 活动水平数据选择</w:t>
      </w:r>
    </w:p>
    <w:p w14:paraId="04BAA528">
      <w:pPr>
        <w:pStyle w:val="5"/>
        <w:spacing w:after="0" w:line="360" w:lineRule="auto"/>
        <w:ind w:firstLine="420"/>
      </w:pPr>
      <w:r>
        <w:rPr>
          <w:rFonts w:hint="eastAsia"/>
        </w:rPr>
        <w:t xml:space="preserve">活动水平数据选择原则如下： </w:t>
      </w:r>
    </w:p>
    <w:p w14:paraId="075E9DD7">
      <w:pPr>
        <w:pStyle w:val="5"/>
        <w:spacing w:after="0" w:line="360" w:lineRule="auto"/>
        <w:ind w:firstLine="420"/>
      </w:pPr>
      <w:r>
        <w:rPr>
          <w:rFonts w:hint="eastAsia"/>
        </w:rPr>
        <w:t xml:space="preserve">a) 优先采用直接计量、检测获得的初级数据（如原材料消耗量、燃料消耗量、电力消耗量）； </w:t>
      </w:r>
    </w:p>
    <w:p w14:paraId="53D9FE52">
      <w:pPr>
        <w:pStyle w:val="5"/>
        <w:spacing w:after="0" w:line="360" w:lineRule="auto"/>
        <w:ind w:firstLine="420"/>
      </w:pPr>
      <w:r>
        <w:rPr>
          <w:rFonts w:hint="eastAsia"/>
        </w:rPr>
        <w:t xml:space="preserve">b) 其次可采用： </w:t>
      </w:r>
    </w:p>
    <w:p w14:paraId="6CFE78FC">
      <w:pPr>
        <w:pStyle w:val="5"/>
        <w:spacing w:after="0" w:line="360" w:lineRule="auto"/>
        <w:ind w:firstLine="420"/>
      </w:pPr>
      <w:r>
        <w:rPr>
          <w:rFonts w:hint="eastAsia"/>
        </w:rPr>
        <w:t xml:space="preserve">·通过初级数据折算获得的数据（如根据年度购买量及库存量的变化确定的数据等）； </w:t>
      </w:r>
    </w:p>
    <w:p w14:paraId="79745CA5">
      <w:pPr>
        <w:pStyle w:val="5"/>
        <w:spacing w:after="0" w:line="360" w:lineRule="auto"/>
        <w:ind w:firstLine="420"/>
      </w:pPr>
      <w:r>
        <w:rPr>
          <w:rFonts w:hint="eastAsia"/>
        </w:rPr>
        <w:t>·按照地理范围、时间范围和技术范围类型选择公开的通用数据；</w:t>
      </w:r>
    </w:p>
    <w:p w14:paraId="001324F3">
      <w:pPr>
        <w:pStyle w:val="5"/>
        <w:spacing w:after="0" w:line="360" w:lineRule="auto"/>
        <w:ind w:firstLine="420"/>
      </w:pPr>
      <w:r>
        <w:rPr>
          <w:rFonts w:hint="eastAsia"/>
        </w:rPr>
        <w:t>c) 以上数据均不能获得时，可采用来自同类单元过程的替代数据，并论证数据的相似性。</w:t>
      </w:r>
    </w:p>
    <w:p w14:paraId="797D2D41">
      <w:pPr>
        <w:spacing w:line="360" w:lineRule="auto"/>
        <w:ind w:firstLine="0" w:firstLineChars="0"/>
        <w:rPr>
          <w:rFonts w:ascii="黑体" w:hAnsi="黑体" w:eastAsia="黑体"/>
          <w:szCs w:val="24"/>
        </w:rPr>
      </w:pPr>
      <w:r>
        <w:rPr>
          <w:rFonts w:hint="eastAsia" w:ascii="黑体" w:hAnsi="黑体" w:eastAsia="黑体"/>
          <w:szCs w:val="24"/>
        </w:rPr>
        <w:t>6.3.2 碳足迹因子选择</w:t>
      </w:r>
    </w:p>
    <w:p w14:paraId="523E128C">
      <w:pPr>
        <w:pStyle w:val="5"/>
        <w:spacing w:after="0" w:line="360" w:lineRule="auto"/>
        <w:ind w:firstLine="420"/>
      </w:pPr>
      <w:r>
        <w:rPr>
          <w:rFonts w:hint="eastAsia"/>
        </w:rPr>
        <w:t xml:space="preserve">碳足迹因子选择原则的优先顺序如下： </w:t>
      </w:r>
    </w:p>
    <w:p w14:paraId="325A56C2">
      <w:pPr>
        <w:pStyle w:val="5"/>
        <w:spacing w:after="0" w:line="360" w:lineRule="auto"/>
        <w:ind w:firstLine="420"/>
      </w:pPr>
      <w:r>
        <w:rPr>
          <w:rFonts w:hint="eastAsia"/>
        </w:rPr>
        <w:t xml:space="preserve">a) 优先采用供应商提供的碳足迹因子； </w:t>
      </w:r>
    </w:p>
    <w:p w14:paraId="4EBF1868">
      <w:pPr>
        <w:pStyle w:val="5"/>
        <w:spacing w:after="0" w:line="360" w:lineRule="auto"/>
        <w:ind w:firstLine="420"/>
      </w:pPr>
      <w:r>
        <w:rPr>
          <w:rFonts w:hint="eastAsia"/>
        </w:rPr>
        <w:t xml:space="preserve">b) 其次可采用国家/行业正式公布的产品碳足迹因子； </w:t>
      </w:r>
    </w:p>
    <w:p w14:paraId="0E916BF2">
      <w:pPr>
        <w:pStyle w:val="5"/>
        <w:spacing w:after="0" w:line="360" w:lineRule="auto"/>
        <w:ind w:firstLine="420"/>
        <w:rPr>
          <w:rFonts w:hint="default" w:ascii="黑体" w:hAnsi="黑体" w:eastAsia="黑体" w:cs="黑体"/>
          <w:bCs/>
          <w:kern w:val="44"/>
          <w:sz w:val="21"/>
          <w:szCs w:val="44"/>
          <w:lang w:val="en-US" w:eastAsia="zh-CN"/>
        </w:rPr>
      </w:pPr>
      <w:r>
        <w:rPr>
          <w:rFonts w:hint="eastAsia"/>
        </w:rPr>
        <w:t>c) 以上数据均不能获得时，可采用生命周期评价数据库中的替代数据，并论证数据的可信度。</w:t>
      </w:r>
    </w:p>
    <w:p w14:paraId="33BD9656">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97" w:name="_Toc1854999056"/>
      <w:r>
        <w:rPr>
          <w:rFonts w:hint="eastAsia" w:ascii="黑体" w:hAnsi="黑体" w:eastAsia="黑体" w:cs="黑体"/>
          <w:bCs/>
          <w:kern w:val="44"/>
          <w:sz w:val="21"/>
          <w:szCs w:val="44"/>
          <w:lang w:val="en-US" w:eastAsia="zh-CN"/>
        </w:rPr>
        <w:t>6.4</w:t>
      </w:r>
      <w:r>
        <w:rPr>
          <w:rFonts w:hint="eastAsia" w:ascii="黑体" w:hAnsi="黑体" w:eastAsia="黑体" w:cs="黑体"/>
          <w:bCs/>
          <w:kern w:val="44"/>
          <w:sz w:val="21"/>
          <w:szCs w:val="44"/>
          <w:lang w:eastAsia="zh-CN"/>
        </w:rPr>
        <w:t xml:space="preserve"> 数据审定</w:t>
      </w:r>
      <w:bookmarkEnd w:id="97"/>
    </w:p>
    <w:p w14:paraId="0A9C5461">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数据采集过程中，应采用物料平衡、能量平衡、与历史数据和相近工艺数据对比等方式，验证数据的有效性与合理性。数据应满足数据质量要求（6.2）。</w:t>
      </w:r>
    </w:p>
    <w:p w14:paraId="1F3A893B">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98" w:name="_Toc1949030693"/>
      <w:r>
        <w:rPr>
          <w:rFonts w:hint="eastAsia" w:ascii="黑体" w:hAnsi="黑体" w:eastAsia="黑体" w:cs="黑体"/>
          <w:bCs/>
          <w:kern w:val="44"/>
          <w:sz w:val="21"/>
          <w:szCs w:val="44"/>
          <w:lang w:eastAsia="zh-CN"/>
        </w:rPr>
        <w:t>7 生命周期清单分析</w:t>
      </w:r>
      <w:bookmarkEnd w:id="98"/>
    </w:p>
    <w:p w14:paraId="4D8356CC">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99" w:name="_Toc1790789560"/>
      <w:r>
        <w:rPr>
          <w:rFonts w:hint="eastAsia" w:ascii="黑体" w:hAnsi="黑体" w:eastAsia="黑体" w:cs="黑体"/>
          <w:bCs/>
          <w:kern w:val="44"/>
          <w:sz w:val="21"/>
          <w:szCs w:val="44"/>
          <w:lang w:eastAsia="zh-CN"/>
        </w:rPr>
        <w:t>7.1 数据收集</w:t>
      </w:r>
      <w:bookmarkEnd w:id="99"/>
    </w:p>
    <w:p w14:paraId="08CE6AA1">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7.1.1 数据收集期</w:t>
      </w:r>
    </w:p>
    <w:p w14:paraId="1F60D845">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稀土湿法产品碳足迹量化数据宜以一个自然年为数据收集周期。</w:t>
      </w:r>
      <w:r>
        <w:rPr>
          <w:rFonts w:hint="eastAsia"/>
        </w:rPr>
        <w:t>若完整自然年不可得，允许采用连续 12 个月实际生产运行数据，并应在碳足迹报告中说明数据周期选取理由。</w:t>
      </w:r>
      <w:r>
        <w:rPr>
          <w:rFonts w:hint="eastAsia" w:ascii="Times New Roman" w:hAnsi="Times New Roman" w:eastAsia="宋体" w:cs="Times New Roman"/>
          <w:kern w:val="2"/>
          <w:sz w:val="21"/>
          <w:szCs w:val="21"/>
          <w:lang w:eastAsia="zh-CN"/>
        </w:rPr>
        <w:t>其特点是年度数据符合组织常规的运营管理，涵盖生产波动的变化因素。</w:t>
      </w:r>
    </w:p>
    <w:p w14:paraId="3C670C6F">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7.1.2 收集步骤</w:t>
      </w:r>
    </w:p>
    <w:p w14:paraId="740F03C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对于系统</w:t>
      </w:r>
      <w:bookmarkStart w:id="100" w:name="_Hlk201559843"/>
      <w:r>
        <w:rPr>
          <w:rFonts w:hint="eastAsia" w:ascii="Times New Roman" w:hAnsi="Times New Roman" w:eastAsia="宋体" w:cs="Times New Roman"/>
          <w:kern w:val="2"/>
          <w:sz w:val="21"/>
          <w:szCs w:val="21"/>
          <w:lang w:eastAsia="zh-CN"/>
        </w:rPr>
        <w:t>边界内的所有单元过程，应收集纳入生命周期清单中的定性资料和定量数据。数据收集和数据质量评估步</w:t>
      </w:r>
      <w:bookmarkEnd w:id="100"/>
      <w:r>
        <w:rPr>
          <w:rFonts w:hint="eastAsia" w:ascii="Times New Roman" w:hAnsi="Times New Roman" w:eastAsia="宋体" w:cs="Times New Roman"/>
          <w:kern w:val="2"/>
          <w:sz w:val="21"/>
          <w:szCs w:val="21"/>
          <w:lang w:eastAsia="zh-CN"/>
        </w:rPr>
        <w:t>骤如下：</w:t>
      </w:r>
    </w:p>
    <w:p w14:paraId="7F10D855">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 根据产品系统边界，获取工艺流程图，识别温室气体排放源，确定数据需求范围；</w:t>
      </w:r>
    </w:p>
    <w:p w14:paraId="44483C93">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 根据数据需求编制单元过程输入、输出数据列表，示例见附录C；</w:t>
      </w:r>
    </w:p>
    <w:p w14:paraId="2248AB72">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 根据数据列表收集初级数据和次级数据。数据收集应详细记录各项数据的计算方法、数据来源和原始凭证，保持其可追溯；</w:t>
      </w:r>
    </w:p>
    <w:p w14:paraId="58E5F84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 评估收集的活动数据和排放因子。对研究结论有显著影响的数据，应说明相关数据的收集过程、收集时间以及数据质量的详细信息；对计量数据，相关计量器具应符合GB 17167和GB/T 20902的规定；</w:t>
      </w:r>
    </w:p>
    <w:p w14:paraId="5EFCB2B6">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e) 审查数据收集过程中出现的特殊情况、异常点和其他问题，识别可能产生的数据误差风险。</w:t>
      </w:r>
    </w:p>
    <w:p w14:paraId="108053CA">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7.1.3 初级数据收集</w:t>
      </w:r>
    </w:p>
    <w:p w14:paraId="7A6911DA">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7.1.3.1 辅助材料和能源获取阶段</w:t>
      </w:r>
    </w:p>
    <w:p w14:paraId="224379F1">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辅助材料和能源获取阶段应收集的初级数据包括：</w:t>
      </w:r>
    </w:p>
    <w:p w14:paraId="11A9D68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 辅助材料的运输工具及其核定载重量、运输重量、运输距离；</w:t>
      </w:r>
    </w:p>
    <w:p w14:paraId="6AE3DB1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 能源的运输工具及其核定载重量、运输重量、运输距离。</w:t>
      </w:r>
    </w:p>
    <w:p w14:paraId="33E420D2">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7.1.3.2 稀土冶炼分离产品生产阶段</w:t>
      </w:r>
    </w:p>
    <w:p w14:paraId="51CBFA25">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 xml:space="preserve">7.1.3.2.1 </w:t>
      </w:r>
      <w:bookmarkStart w:id="101" w:name="_Hlk190444613"/>
      <w:r>
        <w:rPr>
          <w:rFonts w:hint="eastAsia" w:ascii="黑体" w:hAnsi="黑体" w:eastAsia="黑体" w:cs="黑体"/>
          <w:kern w:val="2"/>
          <w:sz w:val="21"/>
          <w:szCs w:val="24"/>
          <w:lang w:eastAsia="zh-CN"/>
        </w:rPr>
        <w:t>稀土矿采矿单元</w:t>
      </w:r>
      <w:bookmarkEnd w:id="101"/>
    </w:p>
    <w:p w14:paraId="6BB0ED4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稀土矿采矿单元应收集的初级数据包括：</w:t>
      </w:r>
    </w:p>
    <w:p w14:paraId="7D8BB67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 原矿开采量；</w:t>
      </w:r>
    </w:p>
    <w:p w14:paraId="73E43F8F">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 辅助材料消耗量；</w:t>
      </w:r>
    </w:p>
    <w:p w14:paraId="166737A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 采矿过程的燃料及电（热）力等能源消耗量；</w:t>
      </w:r>
    </w:p>
    <w:p w14:paraId="10CFC2E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 原矿产量；</w:t>
      </w:r>
    </w:p>
    <w:p w14:paraId="0D744C8B">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e) 原矿的运输工具及其核定载重量、运输距离；</w:t>
      </w:r>
    </w:p>
    <w:p w14:paraId="41A92E50">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f) 燃料、辅助材料的运输工具及其核定载重量、运输距离。</w:t>
      </w:r>
    </w:p>
    <w:p w14:paraId="03C54817">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7.1.3.2.2 稀土矿选矿单元</w:t>
      </w:r>
    </w:p>
    <w:p w14:paraId="15759DB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稀土矿选矿单元应收集的初级数据包括：</w:t>
      </w:r>
    </w:p>
    <w:p w14:paraId="5C30A99B">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 原矿投入量；</w:t>
      </w:r>
    </w:p>
    <w:p w14:paraId="51E7929F">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 辅助材料消耗量；</w:t>
      </w:r>
    </w:p>
    <w:p w14:paraId="3BF0CC82">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 选矿作业的燃料及电（热）力等能源消耗量；</w:t>
      </w:r>
    </w:p>
    <w:p w14:paraId="1FE25C8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 选矿药剂消耗量；</w:t>
      </w:r>
    </w:p>
    <w:p w14:paraId="4A04CE48">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e) 原矿的运输工具及其核定载重量、运输距离；</w:t>
      </w:r>
    </w:p>
    <w:p w14:paraId="426B43F1">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f) 燃料、辅助材料的运输工具及其核定载重量、运输距离；</w:t>
      </w:r>
    </w:p>
    <w:p w14:paraId="1938DCA3">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 精矿产量；</w:t>
      </w:r>
    </w:p>
    <w:p w14:paraId="1C9FA5C2">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h) 用水消耗量。</w:t>
      </w:r>
    </w:p>
    <w:p w14:paraId="0D59213D">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7.1.3.2.3 稀土二次资源回收单元</w:t>
      </w:r>
    </w:p>
    <w:p w14:paraId="3EE5A11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稀土二次资源回收单元应收集的初级数据包括：</w:t>
      </w:r>
    </w:p>
    <w:p w14:paraId="0A6221C3">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 原料消耗量；</w:t>
      </w:r>
    </w:p>
    <w:p w14:paraId="71B5FBF8">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 辅助材料消耗量；</w:t>
      </w:r>
    </w:p>
    <w:p w14:paraId="6D9059E5">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 燃料及电（热）力等能源消耗量；</w:t>
      </w:r>
    </w:p>
    <w:p w14:paraId="55D58952">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 稀土二次资源回收生产过程二氧化碳排放总量；</w:t>
      </w:r>
    </w:p>
    <w:p w14:paraId="7C01F49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e) 稀土二次资源回收产量；</w:t>
      </w:r>
    </w:p>
    <w:p w14:paraId="7212257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f) 原料的运输工具及其核定载重量、运输距离；</w:t>
      </w:r>
    </w:p>
    <w:p w14:paraId="3D343EF1">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 燃料、辅助材料的运输工具及其核定载重量、运输距离；</w:t>
      </w:r>
    </w:p>
    <w:p w14:paraId="185F6F02">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h) 余热利用供热量或发电量。</w:t>
      </w:r>
    </w:p>
    <w:p w14:paraId="452D6962">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p>
    <w:p w14:paraId="6649CDFE">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7.1.3.2.4 稀土冶炼分离生产单元</w:t>
      </w:r>
    </w:p>
    <w:p w14:paraId="38707FE3">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稀土冶炼分离生产单元应收集的初级数据包括：</w:t>
      </w:r>
    </w:p>
    <w:p w14:paraId="4EE6EF8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 原料消耗量；</w:t>
      </w:r>
    </w:p>
    <w:p w14:paraId="0C809DA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 辅助材料消耗量；</w:t>
      </w:r>
    </w:p>
    <w:p w14:paraId="3D2D2108">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 燃料及电（热）力等能源消耗量；</w:t>
      </w:r>
    </w:p>
    <w:p w14:paraId="0758F212">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 稀土冶炼分离产品生产过程二氧化碳排放总量；</w:t>
      </w:r>
    </w:p>
    <w:p w14:paraId="7A4B5EE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e) 稀土冶炼分离产品产量；</w:t>
      </w:r>
    </w:p>
    <w:p w14:paraId="3885816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f) 原料的运输工具及其核定载重量、运输距离；</w:t>
      </w:r>
    </w:p>
    <w:p w14:paraId="74C1A45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g) 燃料、辅助材料的运输工具及其核定载重量、运输距离；</w:t>
      </w:r>
    </w:p>
    <w:p w14:paraId="43CA23E6">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h) 余热利用供热量或发电量。</w:t>
      </w:r>
    </w:p>
    <w:p w14:paraId="3CD0124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稀土冶炼分离生产单元输入、输出数据收集表示例见表C.1~ C.4。</w:t>
      </w:r>
    </w:p>
    <w:p w14:paraId="7BA7DCA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p>
    <w:p w14:paraId="155A4B4C">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7.1.4次级数据收集</w:t>
      </w:r>
    </w:p>
    <w:p w14:paraId="44074EB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稀土冶炼分离产品系统边界内应收集的次级数据主要包括：</w:t>
      </w:r>
    </w:p>
    <w:p w14:paraId="6764A856">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 外购原辅材料、燃料等上游生命周期清单数据；</w:t>
      </w:r>
    </w:p>
    <w:p w14:paraId="1B9AD8D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 电（热）力等能源的上游生命周期清单数据；</w:t>
      </w:r>
    </w:p>
    <w:p w14:paraId="1E7E662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c)优溶渣、富铈渣、中和渣、酸溶渣等处理过程生命周期清单数据；</w:t>
      </w:r>
    </w:p>
    <w:p w14:paraId="7221FE7F">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 运输过程生命周期清单数据等。</w:t>
      </w:r>
    </w:p>
    <w:p w14:paraId="1D2D328B">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7.1.5 特定（电力）温室气体排放因子</w:t>
      </w:r>
    </w:p>
    <w:p w14:paraId="69F8C141">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7.1.5.1 内部发电</w:t>
      </w:r>
    </w:p>
    <w:p w14:paraId="071AD4C0">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当稀土冶炼分离产品消耗的电能为内部发电（例如现场发电），且未向第三方出售，则应将该电力的生命周期数据用于稀土冶炼分离产品的碳足迹量化。</w:t>
      </w:r>
    </w:p>
    <w:p w14:paraId="2B608013">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7.1.5.2 直供电力</w:t>
      </w:r>
    </w:p>
    <w:p w14:paraId="301E26D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如果该组织与发电站之间具有专用输电线路，且所消耗的电力未向第三方出售，则使用该电力供应商提供的电力温室气体排放因子。</w:t>
      </w:r>
    </w:p>
    <w:p w14:paraId="0FC46943">
      <w:pPr>
        <w:adjustRightInd w:val="0"/>
        <w:snapToGrid w:val="0"/>
        <w:spacing w:before="158" w:beforeLines="50" w:after="158" w:afterLines="50" w:line="360" w:lineRule="auto"/>
        <w:jc w:val="both"/>
        <w:rPr>
          <w:rFonts w:ascii="黑体" w:hAnsi="黑体" w:eastAsia="黑体" w:cs="黑体"/>
          <w:kern w:val="2"/>
          <w:sz w:val="21"/>
          <w:szCs w:val="24"/>
          <w:lang w:eastAsia="zh-CN"/>
        </w:rPr>
      </w:pPr>
      <w:bookmarkStart w:id="102" w:name="_Hlk199925332"/>
      <w:r>
        <w:rPr>
          <w:rFonts w:hint="eastAsia" w:ascii="黑体" w:hAnsi="黑体" w:eastAsia="黑体" w:cs="黑体"/>
          <w:kern w:val="2"/>
          <w:sz w:val="21"/>
          <w:szCs w:val="24"/>
          <w:lang w:eastAsia="zh-CN"/>
        </w:rPr>
        <w:t>7.1.5.3 电网电力</w:t>
      </w:r>
    </w:p>
    <w:bookmarkEnd w:id="102"/>
    <w:p w14:paraId="7D06E56F">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当电力供应商通过合同工具的形式保证电力供应，应使用此供应商特定电力生产的生命周期数据，电力产品应：</w:t>
      </w:r>
    </w:p>
    <w:p w14:paraId="0C9CD913">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-----传递电力生产单位相关信息以及发电机组特征信息；</w:t>
      </w:r>
    </w:p>
    <w:p w14:paraId="78406A37">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-----保证唯一的使用权；</w:t>
      </w:r>
    </w:p>
    <w:p w14:paraId="5A37C8A6">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-----由报告实体或报告实体代表追踪、赎回、报废或注销；</w:t>
      </w:r>
    </w:p>
    <w:p w14:paraId="29196E22">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-----接近合同工具的适用期限，并包括相应的时间长度。</w:t>
      </w:r>
    </w:p>
    <w:p w14:paraId="4FA2E26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当无法获得供应商的具体电力信息时，应使用与电力来源相关的电网GHG排放量。相关电网GHG排放量应反映相关地区的电力消耗情况，不包括任何之前已声明归属的电力。如果没有电力追踪系统，所选电网GHG排放量应反映该地区的电力消费情况。</w:t>
      </w:r>
    </w:p>
    <w:p w14:paraId="36D51B6E">
      <w:pPr>
        <w:adjustRightInd w:val="0"/>
        <w:snapToGrid w:val="0"/>
        <w:spacing w:after="0" w:line="360" w:lineRule="auto"/>
        <w:ind w:firstLine="420" w:firstLineChars="200"/>
        <w:jc w:val="both"/>
        <w:rPr>
          <w:rFonts w:ascii="黑体" w:hAnsi="黑体" w:eastAsia="黑体" w:cs="Times New Roman"/>
          <w:kern w:val="2"/>
          <w:sz w:val="21"/>
          <w:szCs w:val="21"/>
          <w:lang w:eastAsia="zh-CN"/>
        </w:rPr>
      </w:pPr>
      <w:r>
        <w:rPr>
          <w:rFonts w:hint="eastAsia" w:ascii="黑体" w:hAnsi="黑体" w:eastAsia="黑体" w:cs="Times New Roman"/>
          <w:kern w:val="2"/>
          <w:sz w:val="21"/>
          <w:szCs w:val="21"/>
          <w:lang w:eastAsia="zh-CN"/>
        </w:rPr>
        <w:t>注1：合同工具是指双方之间签订，用于出售和购买能源的任意形式的合约。如能源属性证书、电力交易合同等。报告实体可根据目标用户的需求选择合同工具的类型。</w:t>
      </w:r>
    </w:p>
    <w:p w14:paraId="288A2EC4">
      <w:pPr>
        <w:adjustRightInd w:val="0"/>
        <w:snapToGrid w:val="0"/>
        <w:spacing w:after="0" w:line="360" w:lineRule="auto"/>
        <w:ind w:firstLine="420" w:firstLineChars="200"/>
        <w:jc w:val="both"/>
        <w:rPr>
          <w:rFonts w:ascii="黑体" w:hAnsi="黑体" w:eastAsia="黑体" w:cs="Times New Roman"/>
          <w:kern w:val="2"/>
          <w:sz w:val="21"/>
          <w:szCs w:val="21"/>
          <w:lang w:eastAsia="zh-CN"/>
        </w:rPr>
      </w:pPr>
      <w:r>
        <w:rPr>
          <w:rFonts w:hint="eastAsia" w:ascii="黑体" w:hAnsi="黑体" w:eastAsia="黑体" w:cs="Times New Roman"/>
          <w:kern w:val="2"/>
          <w:sz w:val="21"/>
          <w:szCs w:val="21"/>
          <w:lang w:eastAsia="zh-CN"/>
        </w:rPr>
        <w:t>注2：发电机特征信息包括设备的登记名称、所有者和产生的能源性质、发电量和提供的可再生能源等。</w:t>
      </w:r>
    </w:p>
    <w:p w14:paraId="6B15C6D3">
      <w:pPr>
        <w:adjustRightInd w:val="0"/>
        <w:snapToGrid w:val="0"/>
        <w:spacing w:after="0" w:line="360" w:lineRule="auto"/>
        <w:ind w:firstLine="420" w:firstLineChars="200"/>
        <w:jc w:val="both"/>
        <w:rPr>
          <w:rFonts w:ascii="黑体" w:hAnsi="黑体" w:eastAsia="黑体" w:cs="Times New Roman"/>
          <w:kern w:val="2"/>
          <w:sz w:val="21"/>
          <w:szCs w:val="21"/>
          <w:lang w:eastAsia="zh-CN"/>
        </w:rPr>
      </w:pPr>
      <w:r>
        <w:rPr>
          <w:rFonts w:hint="eastAsia" w:ascii="黑体" w:hAnsi="黑体" w:eastAsia="黑体" w:cs="Times New Roman"/>
          <w:kern w:val="2"/>
          <w:sz w:val="21"/>
          <w:szCs w:val="21"/>
          <w:lang w:eastAsia="zh-CN"/>
        </w:rPr>
        <w:t>注3：如果难以获得电力供应系统内某一过程的具体生命周期数据，可使用公认数据库[如来自生态环境部、联合国环境规划署（UNEP）或联合国气候变化框架公约（UNFCCC）等中的数据]。</w:t>
      </w:r>
    </w:p>
    <w:p w14:paraId="4C884AD1">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如果非化石能源电力证书在出售时不直接与电力本身关联，来自非化石能源的部分电力作为非化石电力出售，但没有被排除在电网组合排放因子之外，在这种情况下，应使用电力跟踪系统开展相关消费电网组合分析，并在产品碳足迹报告中进行单独报告，以此来展示结果的差异。</w:t>
      </w:r>
    </w:p>
    <w:p w14:paraId="25CD7A3F">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p>
    <w:p w14:paraId="5B2D0963">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7.1.5.4其他电力</w:t>
      </w:r>
    </w:p>
    <w:p w14:paraId="081E7868">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自发自用的和通过市场化交易购入使用的非化石能源电力消费量的排放因子为零；如果一个企业有多种类型的电力来源，在计算碳足迹时，应使用加权平均的方法核算电力排放因子。</w:t>
      </w:r>
    </w:p>
    <w:p w14:paraId="5A72F075">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103" w:name="_Toc816822215"/>
      <w:r>
        <w:rPr>
          <w:rFonts w:hint="eastAsia" w:ascii="黑体" w:hAnsi="黑体" w:eastAsia="黑体" w:cs="黑体"/>
          <w:bCs/>
          <w:kern w:val="44"/>
          <w:sz w:val="21"/>
          <w:szCs w:val="44"/>
          <w:lang w:eastAsia="zh-CN"/>
        </w:rPr>
        <w:t>7.3 数据分配</w:t>
      </w:r>
      <w:bookmarkEnd w:id="103"/>
    </w:p>
    <w:p w14:paraId="613DF9B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数据分配的原则是以输入和输出之间的物质平衡为基础，一个单元过程分配的输入和输出总和应与其分配前的输人和输出相等。分配应考虑以下方面：</w:t>
      </w:r>
    </w:p>
    <w:p w14:paraId="21A28E65">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 通过细化过程或扩展系统边界，尽量避免进行数据分配；</w:t>
      </w:r>
    </w:p>
    <w:p w14:paraId="743D7E26">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 优先使用生产过程的物理关联（包括但不限于生产量、生产工时等）进行分配；</w:t>
      </w:r>
    </w:p>
    <w:p w14:paraId="7399FBA1">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 物理关联难以建立时，则依据经济价值进行分配；</w:t>
      </w:r>
    </w:p>
    <w:p w14:paraId="16CC7C73">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d）若使用其他分配方法时，须提供所使用的基准参数进行分配。</w:t>
      </w:r>
    </w:p>
    <w:p w14:paraId="62EAA710">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104" w:name="_Toc1615495881"/>
      <w:r>
        <w:rPr>
          <w:rFonts w:hint="eastAsia" w:ascii="黑体" w:hAnsi="黑体" w:eastAsia="黑体" w:cs="黑体"/>
          <w:bCs/>
          <w:kern w:val="44"/>
          <w:sz w:val="21"/>
          <w:szCs w:val="44"/>
          <w:lang w:eastAsia="zh-CN"/>
        </w:rPr>
        <w:t>7.4 数据取舍原则</w:t>
      </w:r>
      <w:bookmarkEnd w:id="104"/>
    </w:p>
    <w:p w14:paraId="5F17F06B">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本文件涉及的物质（能量）数据的取舍原则如下：</w:t>
      </w:r>
    </w:p>
    <w:p w14:paraId="346F3062">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 能源的所有输入均需列出；</w:t>
      </w:r>
    </w:p>
    <w:p w14:paraId="289FEE9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 原辅材料的所有输入均需列出；</w:t>
      </w:r>
    </w:p>
    <w:p w14:paraId="1A90687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 辅助材料若符合d)和e)要求则可忽略；</w:t>
      </w:r>
    </w:p>
    <w:p w14:paraId="3104D97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 忽略的单项物质（能量）流对产品碳足迹的贡献均不应超过1%；</w:t>
      </w:r>
    </w:p>
    <w:p w14:paraId="2216F568">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e) 所有忽略的物质（能量）流对产品碳足迹贡献总和不应超过5%，且应在产品碳足迹报告中予以说明；</w:t>
      </w:r>
    </w:p>
    <w:p w14:paraId="65D16E72">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f) 道路与厂房等基础设施、各工序设备、厂区内人员办公及生活设施的消耗和排放，均忽略。</w:t>
      </w:r>
    </w:p>
    <w:p w14:paraId="2E86F92F">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105" w:name="_Toc1003522946"/>
      <w:r>
        <w:rPr>
          <w:rFonts w:hint="eastAsia" w:ascii="黑体" w:hAnsi="黑体" w:eastAsia="黑体" w:cs="黑体"/>
          <w:bCs/>
          <w:kern w:val="44"/>
          <w:sz w:val="21"/>
          <w:szCs w:val="44"/>
          <w:lang w:eastAsia="zh-CN"/>
        </w:rPr>
        <w:t>7.5 清单计算</w:t>
      </w:r>
      <w:bookmarkEnd w:id="105"/>
    </w:p>
    <w:p w14:paraId="3E08F399">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生命周期清单分析结果通常表现为一系列的数据表，展示每声明单位产品在每个阶段/单元过程中的资源使用量（如原辅材料和能源），以及释放到环境中的排放物（如温室气体、废弃物等）。</w:t>
      </w:r>
    </w:p>
    <w:p w14:paraId="30812125">
      <w:pPr>
        <w:adjustRightInd w:val="0"/>
        <w:snapToGrid w:val="0"/>
        <w:spacing w:after="0" w:line="360" w:lineRule="auto"/>
        <w:ind w:firstLine="360" w:firstLineChars="200"/>
        <w:jc w:val="both"/>
        <w:rPr>
          <w:rFonts w:hint="eastAsia" w:ascii="黑体" w:hAnsi="黑体" w:eastAsia="黑体" w:cs="黑体"/>
          <w:kern w:val="2"/>
          <w:sz w:val="18"/>
          <w:szCs w:val="18"/>
          <w:lang w:eastAsia="zh-CN"/>
        </w:rPr>
      </w:pPr>
      <w:r>
        <w:rPr>
          <w:rFonts w:hint="eastAsia" w:ascii="黑体" w:hAnsi="黑体" w:eastAsia="黑体" w:cs="黑体"/>
          <w:kern w:val="2"/>
          <w:sz w:val="18"/>
          <w:szCs w:val="18"/>
          <w:lang w:val="en-US" w:eastAsia="zh-CN"/>
        </w:rPr>
        <w:t>注：</w:t>
      </w:r>
      <w:r>
        <w:rPr>
          <w:rFonts w:hint="eastAsia" w:ascii="黑体" w:hAnsi="黑体" w:eastAsia="黑体" w:cs="黑体"/>
          <w:kern w:val="2"/>
          <w:sz w:val="18"/>
          <w:szCs w:val="18"/>
          <w:lang w:eastAsia="zh-CN"/>
        </w:rPr>
        <w:t>化学过程排放（草酸稀土、碳酸稀土灼烧分解 CO₂）：稀土冶炼过程排放，基于物料消耗量，采用化学反应计量系数计算 CO₂过程排放；优先采用企业实测，无实测可采用化学理论分解因子，次级因子来源应在报告说明。</w:t>
      </w:r>
    </w:p>
    <w:p w14:paraId="14220760">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106" w:name="_Toc2021073531"/>
      <w:r>
        <w:rPr>
          <w:rFonts w:hint="eastAsia" w:ascii="黑体" w:hAnsi="黑体" w:eastAsia="黑体" w:cs="黑体"/>
          <w:bCs/>
          <w:kern w:val="44"/>
          <w:sz w:val="21"/>
          <w:szCs w:val="44"/>
          <w:lang w:eastAsia="zh-CN"/>
        </w:rPr>
        <w:t>8 产品碳足迹影响评价</w:t>
      </w:r>
      <w:bookmarkEnd w:id="106"/>
    </w:p>
    <w:p w14:paraId="293C7939">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107" w:name="_Toc1433990918"/>
      <w:r>
        <w:rPr>
          <w:rFonts w:ascii="黑体" w:hAnsi="黑体" w:eastAsia="黑体" w:cs="黑体"/>
          <w:bCs/>
          <w:kern w:val="44"/>
          <w:sz w:val="21"/>
          <w:szCs w:val="44"/>
          <w:lang w:eastAsia="zh-CN"/>
        </w:rPr>
        <w:t xml:space="preserve">8.1 </w:t>
      </w:r>
      <w:r>
        <w:rPr>
          <w:rFonts w:hint="eastAsia" w:ascii="黑体" w:hAnsi="黑体" w:eastAsia="黑体" w:cs="黑体"/>
          <w:bCs/>
          <w:kern w:val="44"/>
          <w:sz w:val="21"/>
          <w:szCs w:val="44"/>
          <w:lang w:eastAsia="zh-CN"/>
        </w:rPr>
        <w:t>通则</w:t>
      </w:r>
      <w:bookmarkEnd w:id="107"/>
    </w:p>
    <w:p w14:paraId="10034EAF">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应通过排放或清除的</w:t>
      </w:r>
      <w:r>
        <w:rPr>
          <w:rFonts w:ascii="Times New Roman" w:hAnsi="Times New Roman" w:eastAsia="宋体" w:cs="Times New Roman"/>
          <w:kern w:val="2"/>
          <w:sz w:val="21"/>
          <w:szCs w:val="21"/>
          <w:lang w:eastAsia="zh-CN"/>
        </w:rPr>
        <w:t>GHG</w:t>
      </w:r>
      <w:r>
        <w:rPr>
          <w:rFonts w:hint="eastAsia" w:ascii="Times New Roman" w:hAnsi="Times New Roman" w:eastAsia="宋体" w:cs="Times New Roman"/>
          <w:kern w:val="2"/>
          <w:sz w:val="21"/>
          <w:szCs w:val="21"/>
          <w:lang w:eastAsia="zh-CN"/>
        </w:rPr>
        <w:t>的质量乘以</w:t>
      </w:r>
      <w:r>
        <w:rPr>
          <w:rFonts w:ascii="Times New Roman" w:hAnsi="Times New Roman" w:eastAsia="宋体" w:cs="Times New Roman"/>
          <w:kern w:val="2"/>
          <w:sz w:val="21"/>
          <w:szCs w:val="21"/>
          <w:lang w:eastAsia="zh-CN"/>
        </w:rPr>
        <w:t>IPCC</w:t>
      </w:r>
      <w:r>
        <w:rPr>
          <w:rFonts w:hint="eastAsia" w:ascii="Times New Roman" w:hAnsi="Times New Roman" w:eastAsia="宋体" w:cs="Times New Roman"/>
          <w:kern w:val="2"/>
          <w:sz w:val="21"/>
          <w:szCs w:val="21"/>
          <w:lang w:eastAsia="zh-CN"/>
        </w:rPr>
        <w:t>给出的</w:t>
      </w:r>
      <w:r>
        <w:rPr>
          <w:rFonts w:ascii="Times New Roman" w:hAnsi="Times New Roman" w:eastAsia="宋体" w:cs="Times New Roman"/>
          <w:kern w:val="2"/>
          <w:sz w:val="21"/>
          <w:szCs w:val="21"/>
          <w:lang w:eastAsia="zh-CN"/>
        </w:rPr>
        <w:t>100</w:t>
      </w:r>
      <w:r>
        <w:rPr>
          <w:rFonts w:hint="eastAsia" w:ascii="Times New Roman" w:hAnsi="Times New Roman" w:eastAsia="宋体" w:cs="Times New Roman"/>
          <w:kern w:val="2"/>
          <w:sz w:val="21"/>
          <w:szCs w:val="21"/>
          <w:lang w:eastAsia="zh-CN"/>
        </w:rPr>
        <w:t>年</w:t>
      </w:r>
      <w:r>
        <w:rPr>
          <w:rFonts w:ascii="Times New Roman" w:hAnsi="Times New Roman" w:eastAsia="宋体" w:cs="Times New Roman"/>
          <w:kern w:val="2"/>
          <w:sz w:val="21"/>
          <w:szCs w:val="21"/>
          <w:lang w:eastAsia="zh-CN"/>
        </w:rPr>
        <w:t>GWP</w:t>
      </w:r>
      <w:r>
        <w:rPr>
          <w:rFonts w:hint="eastAsia" w:ascii="Times New Roman" w:hAnsi="Times New Roman" w:eastAsia="宋体" w:cs="Times New Roman"/>
          <w:kern w:val="2"/>
          <w:sz w:val="21"/>
          <w:szCs w:val="21"/>
          <w:lang w:eastAsia="zh-CN"/>
        </w:rPr>
        <w:t>（见附录</w:t>
      </w:r>
      <w:r>
        <w:rPr>
          <w:rFonts w:ascii="Times New Roman" w:hAnsi="Times New Roman" w:eastAsia="宋体" w:cs="Times New Roman"/>
          <w:kern w:val="2"/>
          <w:sz w:val="21"/>
          <w:szCs w:val="21"/>
          <w:lang w:eastAsia="zh-CN"/>
        </w:rPr>
        <w:t>D</w:t>
      </w:r>
      <w:r>
        <w:rPr>
          <w:rFonts w:hint="eastAsia" w:ascii="Times New Roman" w:hAnsi="Times New Roman" w:eastAsia="宋体" w:cs="Times New Roman"/>
          <w:kern w:val="2"/>
          <w:sz w:val="21"/>
          <w:szCs w:val="21"/>
          <w:lang w:eastAsia="zh-CN"/>
        </w:rPr>
        <w:t>），来计算产品每种</w:t>
      </w:r>
      <w:r>
        <w:rPr>
          <w:rFonts w:ascii="Times New Roman" w:hAnsi="Times New Roman" w:eastAsia="宋体" w:cs="Times New Roman"/>
          <w:kern w:val="2"/>
          <w:sz w:val="21"/>
          <w:szCs w:val="21"/>
          <w:lang w:eastAsia="zh-CN"/>
        </w:rPr>
        <w:t>GHG</w:t>
      </w:r>
      <w:r>
        <w:rPr>
          <w:rFonts w:hint="eastAsia" w:ascii="Times New Roman" w:hAnsi="Times New Roman" w:eastAsia="宋体" w:cs="Times New Roman"/>
          <w:kern w:val="2"/>
          <w:sz w:val="21"/>
          <w:szCs w:val="21"/>
          <w:lang w:eastAsia="zh-CN"/>
        </w:rPr>
        <w:t>排放和清除的潜在气候变化影响，以</w:t>
      </w:r>
      <w:r>
        <w:rPr>
          <w:rFonts w:ascii="Times New Roman" w:hAnsi="Times New Roman" w:eastAsia="宋体" w:cs="Times New Roman"/>
          <w:kern w:val="2"/>
          <w:sz w:val="21"/>
          <w:szCs w:val="21"/>
          <w:lang w:eastAsia="zh-CN"/>
        </w:rPr>
        <w:t>tCO</w:t>
      </w:r>
      <w:r>
        <w:rPr>
          <w:rFonts w:ascii="Times New Roman" w:hAnsi="Times New Roman" w:eastAsia="宋体" w:cs="Times New Roman"/>
          <w:kern w:val="2"/>
          <w:sz w:val="21"/>
          <w:szCs w:val="21"/>
          <w:vertAlign w:val="subscript"/>
          <w:lang w:eastAsia="zh-CN"/>
        </w:rPr>
        <w:t>2</w:t>
      </w:r>
      <w:r>
        <w:rPr>
          <w:rFonts w:ascii="Times New Roman" w:hAnsi="Times New Roman" w:eastAsia="宋体" w:cs="Times New Roman"/>
          <w:kern w:val="2"/>
          <w:sz w:val="21"/>
          <w:szCs w:val="21"/>
          <w:lang w:eastAsia="zh-CN"/>
        </w:rPr>
        <w:t>e/</w:t>
      </w:r>
      <w:r>
        <w:rPr>
          <w:rFonts w:hint="eastAsia" w:ascii="Times New Roman" w:hAnsi="Times New Roman" w:eastAsia="宋体" w:cs="Times New Roman"/>
          <w:kern w:val="2"/>
          <w:sz w:val="21"/>
          <w:szCs w:val="21"/>
          <w:lang w:eastAsia="zh-CN"/>
        </w:rPr>
        <w:t>（</w:t>
      </w:r>
      <w:r>
        <w:rPr>
          <w:rFonts w:ascii="Times New Roman" w:hAnsi="Times New Roman" w:eastAsia="宋体" w:cs="Times New Roman"/>
          <w:kern w:val="2"/>
          <w:sz w:val="21"/>
          <w:szCs w:val="21"/>
          <w:lang w:eastAsia="zh-CN"/>
        </w:rPr>
        <w:t>t</w:t>
      </w:r>
      <w:r>
        <w:rPr>
          <w:rFonts w:hint="eastAsia" w:ascii="Times New Roman" w:hAnsi="Times New Roman" w:eastAsia="宋体" w:cs="Times New Roman"/>
          <w:kern w:val="2"/>
          <w:sz w:val="21"/>
          <w:szCs w:val="21"/>
          <w:lang w:eastAsia="zh-CN"/>
        </w:rPr>
        <w:t>排放量）计</w:t>
      </w:r>
      <w:r>
        <w:rPr>
          <w:rFonts w:ascii="Times New Roman" w:hAnsi="Times New Roman" w:eastAsia="宋体" w:cs="Times New Roman"/>
          <w:kern w:val="2"/>
          <w:sz w:val="21"/>
          <w:szCs w:val="21"/>
          <w:lang w:eastAsia="zh-CN"/>
        </w:rPr>
        <w:t>。</w:t>
      </w:r>
    </w:p>
    <w:p w14:paraId="69EE5448">
      <w:pPr>
        <w:adjustRightInd w:val="0"/>
        <w:snapToGrid w:val="0"/>
        <w:spacing w:after="0" w:line="360" w:lineRule="auto"/>
        <w:ind w:firstLine="420" w:firstLineChars="200"/>
        <w:jc w:val="both"/>
        <w:rPr>
          <w:rFonts w:ascii="黑体" w:hAnsi="黑体" w:eastAsia="黑体" w:cs="Times New Roman"/>
          <w:kern w:val="2"/>
          <w:sz w:val="21"/>
          <w:szCs w:val="21"/>
          <w:lang w:eastAsia="zh-CN"/>
        </w:rPr>
      </w:pPr>
      <w:r>
        <w:rPr>
          <w:rFonts w:hint="eastAsia" w:ascii="黑体" w:hAnsi="黑体" w:eastAsia="黑体" w:cs="Times New Roman"/>
          <w:kern w:val="2"/>
          <w:sz w:val="21"/>
          <w:szCs w:val="21"/>
          <w:lang w:eastAsia="zh-CN"/>
        </w:rPr>
        <w:t>注</w:t>
      </w:r>
      <w:r>
        <w:rPr>
          <w:rFonts w:ascii="黑体" w:hAnsi="黑体" w:eastAsia="黑体" w:cs="Times New Roman"/>
          <w:kern w:val="2"/>
          <w:sz w:val="21"/>
          <w:szCs w:val="21"/>
          <w:lang w:eastAsia="zh-CN"/>
        </w:rPr>
        <w:t>1</w:t>
      </w:r>
      <w:r>
        <w:rPr>
          <w:rFonts w:hint="eastAsia" w:ascii="黑体" w:hAnsi="黑体" w:eastAsia="黑体" w:cs="Times New Roman"/>
          <w:kern w:val="2"/>
          <w:sz w:val="21"/>
          <w:szCs w:val="21"/>
          <w:lang w:eastAsia="zh-CN"/>
        </w:rPr>
        <w:t>：产品碳足迹为所有</w:t>
      </w:r>
      <w:r>
        <w:rPr>
          <w:rFonts w:ascii="黑体" w:hAnsi="黑体" w:eastAsia="黑体" w:cs="Times New Roman"/>
          <w:kern w:val="2"/>
          <w:sz w:val="21"/>
          <w:szCs w:val="21"/>
          <w:lang w:eastAsia="zh-CN"/>
        </w:rPr>
        <w:t>GHG</w:t>
      </w:r>
      <w:r>
        <w:rPr>
          <w:rFonts w:hint="eastAsia" w:ascii="黑体" w:hAnsi="黑体" w:eastAsia="黑体" w:cs="Times New Roman"/>
          <w:kern w:val="2"/>
          <w:sz w:val="21"/>
          <w:szCs w:val="21"/>
          <w:lang w:eastAsia="zh-CN"/>
        </w:rPr>
        <w:t>潜在气候变化影响的总和</w:t>
      </w:r>
      <w:r>
        <w:rPr>
          <w:rFonts w:ascii="黑体" w:hAnsi="黑体" w:eastAsia="黑体" w:cs="Times New Roman"/>
          <w:kern w:val="2"/>
          <w:sz w:val="21"/>
          <w:szCs w:val="21"/>
          <w:lang w:eastAsia="zh-CN"/>
        </w:rPr>
        <w:t>。</w:t>
      </w:r>
    </w:p>
    <w:p w14:paraId="77243DA6">
      <w:pPr>
        <w:adjustRightInd w:val="0"/>
        <w:snapToGrid w:val="0"/>
        <w:spacing w:after="0" w:line="360" w:lineRule="auto"/>
        <w:ind w:firstLine="420" w:firstLineChars="200"/>
        <w:jc w:val="both"/>
        <w:rPr>
          <w:rFonts w:ascii="黑体" w:hAnsi="黑体" w:eastAsia="黑体" w:cs="Times New Roman"/>
          <w:kern w:val="2"/>
          <w:sz w:val="21"/>
          <w:szCs w:val="21"/>
          <w:lang w:eastAsia="zh-CN"/>
        </w:rPr>
      </w:pPr>
      <w:r>
        <w:rPr>
          <w:rFonts w:hint="eastAsia" w:ascii="黑体" w:hAnsi="黑体" w:eastAsia="黑体" w:cs="Times New Roman"/>
          <w:kern w:val="2"/>
          <w:sz w:val="21"/>
          <w:szCs w:val="21"/>
          <w:lang w:eastAsia="zh-CN"/>
        </w:rPr>
        <w:t>若</w:t>
      </w:r>
      <w:r>
        <w:rPr>
          <w:rFonts w:ascii="黑体" w:hAnsi="黑体" w:eastAsia="黑体" w:cs="Times New Roman"/>
          <w:kern w:val="2"/>
          <w:sz w:val="21"/>
          <w:szCs w:val="21"/>
          <w:lang w:eastAsia="zh-CN"/>
        </w:rPr>
        <w:t>IPCC</w:t>
      </w:r>
      <w:r>
        <w:rPr>
          <w:rFonts w:hint="eastAsia" w:ascii="黑体" w:hAnsi="黑体" w:eastAsia="黑体" w:cs="Times New Roman"/>
          <w:kern w:val="2"/>
          <w:sz w:val="21"/>
          <w:szCs w:val="21"/>
          <w:lang w:eastAsia="zh-CN"/>
        </w:rPr>
        <w:t>修订了</w:t>
      </w:r>
      <w:r>
        <w:rPr>
          <w:rFonts w:ascii="黑体" w:hAnsi="黑体" w:eastAsia="黑体" w:cs="Times New Roman"/>
          <w:kern w:val="2"/>
          <w:sz w:val="21"/>
          <w:szCs w:val="21"/>
          <w:lang w:eastAsia="zh-CN"/>
        </w:rPr>
        <w:t>GWP</w:t>
      </w:r>
      <w:r>
        <w:rPr>
          <w:rFonts w:hint="eastAsia" w:ascii="黑体" w:hAnsi="黑体" w:eastAsia="黑体" w:cs="Times New Roman"/>
          <w:kern w:val="2"/>
          <w:sz w:val="21"/>
          <w:szCs w:val="21"/>
          <w:lang w:eastAsia="zh-CN"/>
        </w:rPr>
        <w:t>，应使用最新数值，否则应在报告中说明</w:t>
      </w:r>
      <w:r>
        <w:rPr>
          <w:rFonts w:ascii="黑体" w:hAnsi="黑体" w:eastAsia="黑体" w:cs="Times New Roman"/>
          <w:kern w:val="2"/>
          <w:sz w:val="21"/>
          <w:szCs w:val="21"/>
          <w:lang w:eastAsia="zh-CN"/>
        </w:rPr>
        <w:t>。</w:t>
      </w:r>
    </w:p>
    <w:p w14:paraId="445DEDEF">
      <w:pPr>
        <w:adjustRightInd w:val="0"/>
        <w:snapToGrid w:val="0"/>
        <w:spacing w:after="0" w:line="360" w:lineRule="auto"/>
        <w:ind w:firstLine="420" w:firstLineChars="200"/>
        <w:jc w:val="both"/>
        <w:rPr>
          <w:rFonts w:ascii="黑体" w:hAnsi="黑体" w:eastAsia="黑体" w:cs="Times New Roman"/>
          <w:kern w:val="2"/>
          <w:sz w:val="21"/>
          <w:szCs w:val="21"/>
          <w:lang w:eastAsia="zh-CN"/>
        </w:rPr>
      </w:pPr>
      <w:r>
        <w:rPr>
          <w:rFonts w:hint="eastAsia" w:ascii="黑体" w:hAnsi="黑体" w:eastAsia="黑体" w:cs="Times New Roman"/>
          <w:kern w:val="2"/>
          <w:sz w:val="21"/>
          <w:szCs w:val="21"/>
          <w:lang w:eastAsia="zh-CN"/>
        </w:rPr>
        <w:t>除</w:t>
      </w:r>
      <w:r>
        <w:rPr>
          <w:rFonts w:ascii="黑体" w:hAnsi="黑体" w:eastAsia="黑体" w:cs="Times New Roman"/>
          <w:kern w:val="2"/>
          <w:sz w:val="21"/>
          <w:szCs w:val="21"/>
          <w:lang w:eastAsia="zh-CN"/>
        </w:rPr>
        <w:t>GWP100</w:t>
      </w:r>
      <w:r>
        <w:rPr>
          <w:rFonts w:hint="eastAsia" w:ascii="黑体" w:hAnsi="黑体" w:eastAsia="黑体" w:cs="Times New Roman"/>
          <w:kern w:val="2"/>
          <w:sz w:val="21"/>
          <w:szCs w:val="21"/>
          <w:lang w:eastAsia="zh-CN"/>
        </w:rPr>
        <w:t>外，还可以使用</w:t>
      </w:r>
      <w:r>
        <w:rPr>
          <w:rFonts w:ascii="黑体" w:hAnsi="黑体" w:eastAsia="黑体" w:cs="Times New Roman"/>
          <w:kern w:val="2"/>
          <w:sz w:val="21"/>
          <w:szCs w:val="21"/>
          <w:lang w:eastAsia="zh-CN"/>
        </w:rPr>
        <w:t>IPCC</w:t>
      </w:r>
      <w:r>
        <w:rPr>
          <w:rFonts w:hint="eastAsia" w:ascii="黑体" w:hAnsi="黑体" w:eastAsia="黑体" w:cs="Times New Roman"/>
          <w:kern w:val="2"/>
          <w:sz w:val="21"/>
          <w:szCs w:val="21"/>
          <w:lang w:eastAsia="zh-CN"/>
        </w:rPr>
        <w:t>提供的其他时间范围的</w:t>
      </w:r>
      <w:r>
        <w:rPr>
          <w:rFonts w:ascii="黑体" w:hAnsi="黑体" w:eastAsia="黑体" w:cs="Times New Roman"/>
          <w:kern w:val="2"/>
          <w:sz w:val="21"/>
          <w:szCs w:val="21"/>
          <w:lang w:eastAsia="zh-CN"/>
        </w:rPr>
        <w:t>GWP</w:t>
      </w:r>
      <w:r>
        <w:rPr>
          <w:rFonts w:hint="eastAsia" w:ascii="黑体" w:hAnsi="黑体" w:eastAsia="黑体" w:cs="Times New Roman"/>
          <w:kern w:val="2"/>
          <w:sz w:val="21"/>
          <w:szCs w:val="21"/>
          <w:lang w:eastAsia="zh-CN"/>
        </w:rPr>
        <w:t>和</w:t>
      </w:r>
      <w:r>
        <w:rPr>
          <w:rFonts w:ascii="黑体" w:hAnsi="黑体" w:eastAsia="黑体" w:cs="Times New Roman"/>
          <w:kern w:val="2"/>
          <w:sz w:val="21"/>
          <w:szCs w:val="21"/>
          <w:lang w:eastAsia="zh-CN"/>
        </w:rPr>
        <w:t>GTP</w:t>
      </w:r>
      <w:r>
        <w:rPr>
          <w:rFonts w:hint="eastAsia" w:ascii="黑体" w:hAnsi="黑体" w:eastAsia="黑体" w:cs="Times New Roman"/>
          <w:kern w:val="2"/>
          <w:sz w:val="21"/>
          <w:szCs w:val="21"/>
          <w:lang w:eastAsia="zh-CN"/>
        </w:rPr>
        <w:t>，但宜单独报告</w:t>
      </w:r>
      <w:r>
        <w:rPr>
          <w:rFonts w:ascii="黑体" w:hAnsi="黑体" w:eastAsia="黑体" w:cs="Times New Roman"/>
          <w:kern w:val="2"/>
          <w:sz w:val="21"/>
          <w:szCs w:val="21"/>
          <w:lang w:eastAsia="zh-CN"/>
        </w:rPr>
        <w:t>。</w:t>
      </w:r>
    </w:p>
    <w:p w14:paraId="627DC190">
      <w:pPr>
        <w:adjustRightInd w:val="0"/>
        <w:snapToGrid w:val="0"/>
        <w:spacing w:after="0" w:line="360" w:lineRule="auto"/>
        <w:ind w:firstLine="420" w:firstLineChars="200"/>
        <w:jc w:val="both"/>
        <w:rPr>
          <w:rFonts w:ascii="黑体" w:hAnsi="黑体" w:eastAsia="黑体" w:cs="Times New Roman"/>
          <w:kern w:val="2"/>
          <w:sz w:val="21"/>
          <w:szCs w:val="21"/>
          <w:lang w:eastAsia="zh-CN"/>
        </w:rPr>
      </w:pPr>
      <w:r>
        <w:rPr>
          <w:rFonts w:hint="eastAsia" w:ascii="黑体" w:hAnsi="黑体" w:eastAsia="黑体" w:cs="Times New Roman"/>
          <w:kern w:val="2"/>
          <w:sz w:val="21"/>
          <w:szCs w:val="21"/>
          <w:lang w:eastAsia="zh-CN"/>
        </w:rPr>
        <w:t>注</w:t>
      </w:r>
      <w:r>
        <w:rPr>
          <w:rFonts w:ascii="黑体" w:hAnsi="黑体" w:eastAsia="黑体" w:cs="Times New Roman"/>
          <w:kern w:val="2"/>
          <w:sz w:val="21"/>
          <w:szCs w:val="21"/>
          <w:lang w:eastAsia="zh-CN"/>
        </w:rPr>
        <w:t>2</w:t>
      </w:r>
      <w:r>
        <w:rPr>
          <w:rFonts w:hint="eastAsia" w:ascii="黑体" w:hAnsi="黑体" w:eastAsia="黑体" w:cs="Times New Roman"/>
          <w:kern w:val="2"/>
          <w:sz w:val="21"/>
          <w:szCs w:val="21"/>
          <w:lang w:eastAsia="zh-CN"/>
        </w:rPr>
        <w:t>：</w:t>
      </w:r>
      <w:r>
        <w:rPr>
          <w:rFonts w:ascii="黑体" w:hAnsi="黑体" w:eastAsia="黑体" w:cs="Times New Roman"/>
          <w:kern w:val="2"/>
          <w:sz w:val="21"/>
          <w:szCs w:val="21"/>
          <w:lang w:eastAsia="zh-CN"/>
        </w:rPr>
        <w:t>GWP100</w:t>
      </w:r>
      <w:r>
        <w:rPr>
          <w:rFonts w:hint="eastAsia" w:ascii="黑体" w:hAnsi="黑体" w:eastAsia="黑体" w:cs="Times New Roman"/>
          <w:kern w:val="2"/>
          <w:sz w:val="21"/>
          <w:szCs w:val="21"/>
          <w:lang w:eastAsia="zh-CN"/>
        </w:rPr>
        <w:t>代表短期的气候变化影响，可反映变暖速度。</w:t>
      </w:r>
      <w:r>
        <w:rPr>
          <w:rFonts w:ascii="黑体" w:hAnsi="黑体" w:eastAsia="黑体" w:cs="Times New Roman"/>
          <w:kern w:val="2"/>
          <w:sz w:val="21"/>
          <w:szCs w:val="21"/>
          <w:lang w:eastAsia="zh-CN"/>
        </w:rPr>
        <w:t>100</w:t>
      </w:r>
      <w:r>
        <w:rPr>
          <w:rFonts w:hint="eastAsia" w:ascii="黑体" w:hAnsi="黑体" w:eastAsia="黑体" w:cs="Times New Roman"/>
          <w:kern w:val="2"/>
          <w:sz w:val="21"/>
          <w:szCs w:val="21"/>
          <w:lang w:eastAsia="zh-CN"/>
        </w:rPr>
        <w:t>年</w:t>
      </w:r>
      <w:r>
        <w:rPr>
          <w:rFonts w:ascii="黑体" w:hAnsi="黑体" w:eastAsia="黑体" w:cs="Times New Roman"/>
          <w:kern w:val="2"/>
          <w:sz w:val="21"/>
          <w:szCs w:val="21"/>
          <w:lang w:eastAsia="zh-CN"/>
        </w:rPr>
        <w:t>GTP</w:t>
      </w:r>
      <w:r>
        <w:rPr>
          <w:rFonts w:hint="eastAsia" w:ascii="黑体" w:hAnsi="黑体" w:eastAsia="黑体" w:cs="Times New Roman"/>
          <w:kern w:val="2"/>
          <w:sz w:val="21"/>
          <w:szCs w:val="21"/>
          <w:lang w:eastAsia="zh-CN"/>
        </w:rPr>
        <w:t>代表长期的气候变化影响，可反映长期温升。与其他时间范围相比，选择</w:t>
      </w:r>
      <w:r>
        <w:rPr>
          <w:rFonts w:ascii="黑体" w:hAnsi="黑体" w:eastAsia="黑体" w:cs="Times New Roman"/>
          <w:kern w:val="2"/>
          <w:sz w:val="21"/>
          <w:szCs w:val="21"/>
          <w:lang w:eastAsia="zh-CN"/>
        </w:rPr>
        <w:t>100</w:t>
      </w:r>
      <w:r>
        <w:rPr>
          <w:rFonts w:hint="eastAsia" w:ascii="黑体" w:hAnsi="黑体" w:eastAsia="黑体" w:cs="Times New Roman"/>
          <w:kern w:val="2"/>
          <w:sz w:val="21"/>
          <w:szCs w:val="21"/>
          <w:lang w:eastAsia="zh-CN"/>
        </w:rPr>
        <w:t>年的时间范围并无任何科学依据。该时间范围是国际公约的一个价值判断，它权衡了不同时间范围内可能发生的影响</w:t>
      </w:r>
      <w:r>
        <w:rPr>
          <w:rFonts w:ascii="黑体" w:hAnsi="黑体" w:eastAsia="黑体" w:cs="Times New Roman"/>
          <w:kern w:val="2"/>
          <w:sz w:val="21"/>
          <w:szCs w:val="21"/>
          <w:lang w:eastAsia="zh-CN"/>
        </w:rPr>
        <w:t>。</w:t>
      </w:r>
    </w:p>
    <w:p w14:paraId="0D77A60E">
      <w:pPr>
        <w:keepNext/>
        <w:keepLines/>
        <w:adjustRightInd w:val="0"/>
        <w:snapToGrid w:val="0"/>
        <w:spacing w:before="317" w:beforeLines="100" w:after="317" w:afterLines="100" w:line="360" w:lineRule="auto"/>
        <w:jc w:val="both"/>
        <w:outlineLvl w:val="0"/>
        <w:rPr>
          <w:rFonts w:ascii="黑体" w:hAnsi="黑体" w:eastAsia="黑体" w:cs="黑体"/>
          <w:kern w:val="2"/>
          <w:sz w:val="21"/>
          <w:szCs w:val="24"/>
          <w:lang w:eastAsia="zh-CN"/>
        </w:rPr>
      </w:pPr>
      <w:bookmarkStart w:id="108" w:name="_Toc2023872192"/>
      <w:r>
        <w:rPr>
          <w:rFonts w:ascii="黑体" w:hAnsi="黑体" w:eastAsia="黑体" w:cs="黑体"/>
          <w:bCs/>
          <w:kern w:val="44"/>
          <w:sz w:val="21"/>
          <w:szCs w:val="44"/>
          <w:lang w:eastAsia="zh-CN"/>
        </w:rPr>
        <w:t xml:space="preserve">8.2 </w:t>
      </w:r>
      <w:bookmarkStart w:id="109" w:name="_Hlk199925785"/>
      <w:r>
        <w:rPr>
          <w:rFonts w:hint="eastAsia" w:ascii="黑体" w:hAnsi="黑体" w:eastAsia="黑体" w:cs="黑体"/>
          <w:bCs/>
          <w:kern w:val="44"/>
          <w:sz w:val="21"/>
          <w:szCs w:val="44"/>
          <w:lang w:eastAsia="zh-CN"/>
        </w:rPr>
        <w:t>产品碳足迹计算方法</w:t>
      </w:r>
      <w:bookmarkEnd w:id="108"/>
      <w:bookmarkEnd w:id="109"/>
    </w:p>
    <w:p w14:paraId="422A1A6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稀土冶炼分离产品碳足迹计算方法见公式（</w:t>
      </w:r>
      <w:r>
        <w:rPr>
          <w:rFonts w:ascii="Times New Roman" w:hAnsi="Times New Roman" w:eastAsia="宋体" w:cs="Times New Roman"/>
          <w:kern w:val="2"/>
          <w:sz w:val="21"/>
          <w:szCs w:val="21"/>
          <w:lang w:eastAsia="zh-CN"/>
        </w:rPr>
        <w:t>1</w:t>
      </w:r>
      <w:r>
        <w:rPr>
          <w:rFonts w:hint="eastAsia" w:ascii="Times New Roman" w:hAnsi="Times New Roman" w:eastAsia="宋体" w:cs="Times New Roman"/>
          <w:kern w:val="2"/>
          <w:sz w:val="21"/>
          <w:szCs w:val="21"/>
          <w:lang w:eastAsia="zh-CN"/>
        </w:rPr>
        <w:t>）</w:t>
      </w:r>
      <w:r>
        <w:rPr>
          <w:rFonts w:ascii="Times New Roman" w:hAnsi="Times New Roman" w:eastAsia="宋体" w:cs="Times New Roman"/>
          <w:kern w:val="2"/>
          <w:sz w:val="21"/>
          <w:szCs w:val="21"/>
          <w:lang w:eastAsia="zh-CN"/>
        </w:rPr>
        <w:t>：</w:t>
      </w:r>
    </w:p>
    <w:p w14:paraId="69A49DD5">
      <w:pPr>
        <w:adjustRightInd w:val="0"/>
        <w:snapToGrid w:val="0"/>
        <w:spacing w:after="0" w:line="360" w:lineRule="auto"/>
        <w:ind w:firstLine="420" w:firstLineChars="200"/>
        <w:jc w:val="center"/>
        <w:rPr>
          <w:rFonts w:hint="eastAsia" w:ascii="Times New Roman" w:hAnsi="Times New Roman" w:eastAsia="宋体" w:cs="Times New Roman"/>
          <w:kern w:val="2"/>
          <w:sz w:val="21"/>
          <w:szCs w:val="21"/>
          <w:lang w:eastAsia="zh-CN"/>
        </w:rPr>
      </w:pPr>
      <m:oMath>
        <m:sSub>
          <m:sSubPr>
            <m:ctrlPr>
              <w:rPr>
                <w:rFonts w:hint="default" w:ascii="DejaVu Math TeX Gyre" w:hAnsi="DejaVu Math TeX Gyre" w:cs="Times New Roman"/>
                <w:i/>
                <w:kern w:val="2"/>
                <w:sz w:val="21"/>
                <w:szCs w:val="21"/>
                <w:lang w:val="en-US"/>
              </w:rPr>
            </m:ctrlPr>
          </m:sSubPr>
          <m:e>
            <m:r>
              <m:rPr/>
              <w:rPr>
                <w:rFonts w:hint="default" w:ascii="DejaVu Math TeX Gyre" w:hAnsi="DejaVu Math TeX Gyre" w:cs="Times New Roman"/>
                <w:kern w:val="2"/>
                <w:sz w:val="21"/>
                <w:szCs w:val="21"/>
                <w:lang w:val="en-US"/>
              </w:rPr>
              <m:t>CFP</m:t>
            </m:r>
            <m:ctrlPr>
              <w:rPr>
                <w:rFonts w:hint="default" w:ascii="DejaVu Math TeX Gyre" w:hAnsi="DejaVu Math TeX Gyre" w:cs="Times New Roman"/>
                <w:i/>
                <w:kern w:val="2"/>
                <w:sz w:val="21"/>
                <w:szCs w:val="21"/>
                <w:lang w:val="en-US"/>
              </w:rPr>
            </m:ctrlPr>
          </m:e>
          <m:sub>
            <m:r>
              <m:rPr/>
              <w:rPr>
                <w:rFonts w:hint="default" w:ascii="DejaVu Math TeX Gyre" w:hAnsi="DejaVu Math TeX Gyre" w:cs="Times New Roman"/>
                <w:kern w:val="2"/>
                <w:sz w:val="21"/>
                <w:szCs w:val="21"/>
                <w:lang w:val="en-US"/>
              </w:rPr>
              <m:t>GHG</m:t>
            </m:r>
            <m:ctrlPr>
              <w:rPr>
                <w:rFonts w:hint="default" w:ascii="DejaVu Math TeX Gyre" w:hAnsi="DejaVu Math TeX Gyre" w:cs="Times New Roman"/>
                <w:i/>
                <w:kern w:val="2"/>
                <w:sz w:val="21"/>
                <w:szCs w:val="21"/>
                <w:lang w:val="en-US"/>
              </w:rPr>
            </m:ctrlPr>
          </m:sub>
        </m:sSub>
        <m:r>
          <m:rPr/>
          <w:rPr>
            <w:rFonts w:ascii="DejaVu Math TeX Gyre" w:hAnsi="DejaVu Math TeX Gyre" w:cs="Times New Roman"/>
            <w:kern w:val="2"/>
            <w:sz w:val="21"/>
            <w:szCs w:val="21"/>
          </w:rPr>
          <m:t>=</m:t>
        </m:r>
        <m:sSub>
          <m:sSubPr>
            <m:ctrlPr>
              <w:rPr>
                <w:rFonts w:ascii="DejaVu Math TeX Gyre" w:hAnsi="DejaVu Math TeX Gyre" w:cs="Times New Roman"/>
                <w:i/>
                <w:kern w:val="2"/>
                <w:sz w:val="21"/>
                <w:szCs w:val="21"/>
              </w:rPr>
            </m:ctrlPr>
          </m:sSubPr>
          <m:e>
            <m:r>
              <m:rPr/>
              <w:rPr>
                <w:rFonts w:hint="default" w:ascii="DejaVu Math TeX Gyre" w:hAnsi="DejaVu Math TeX Gyre" w:cs="Times New Roman"/>
                <w:kern w:val="2"/>
                <w:sz w:val="21"/>
                <w:szCs w:val="21"/>
                <w:lang w:val="en-US"/>
              </w:rPr>
              <m:t>CFP</m:t>
            </m:r>
            <m:ctrlPr>
              <w:rPr>
                <w:rFonts w:ascii="DejaVu Math TeX Gyre" w:hAnsi="DejaVu Math TeX Gyre" w:cs="Times New Roman"/>
                <w:i/>
                <w:kern w:val="2"/>
                <w:sz w:val="21"/>
                <w:szCs w:val="21"/>
              </w:rPr>
            </m:ctrlPr>
          </m:e>
          <m:sub>
            <m:r>
              <m:rPr/>
              <w:rPr>
                <w:rFonts w:hint="eastAsia" w:ascii="DejaVu Math TeX Gyre" w:hAnsi="DejaVu Math TeX Gyre" w:cs="Times New Roman"/>
                <w:kern w:val="2"/>
                <w:sz w:val="21"/>
                <w:szCs w:val="21"/>
                <w:lang w:val="en-US" w:eastAsia="zh-CN"/>
              </w:rPr>
              <m:t>原材料与能源获取</m:t>
            </m:r>
            <m:ctrlPr>
              <w:rPr>
                <w:rFonts w:ascii="DejaVu Math TeX Gyre" w:hAnsi="DejaVu Math TeX Gyre" w:cs="Times New Roman"/>
                <w:i/>
                <w:kern w:val="2"/>
                <w:sz w:val="21"/>
                <w:szCs w:val="21"/>
              </w:rPr>
            </m:ctrlPr>
          </m:sub>
        </m:sSub>
        <m:r>
          <m:rPr/>
          <w:rPr>
            <w:rFonts w:ascii="DejaVu Math TeX Gyre" w:hAnsi="DejaVu Math TeX Gyre" w:cs="Times New Roman"/>
            <w:kern w:val="2"/>
            <w:sz w:val="21"/>
            <w:szCs w:val="21"/>
          </w:rPr>
          <m:t>+</m:t>
        </m:r>
        <m:sSub>
          <m:sSubPr>
            <m:ctrlPr>
              <w:rPr>
                <w:rFonts w:ascii="DejaVu Math TeX Gyre" w:hAnsi="DejaVu Math TeX Gyre" w:cs="Times New Roman"/>
                <w:i/>
                <w:kern w:val="2"/>
                <w:sz w:val="21"/>
                <w:szCs w:val="21"/>
              </w:rPr>
            </m:ctrlPr>
          </m:sSubPr>
          <m:e>
            <m:r>
              <m:rPr/>
              <w:rPr>
                <w:rFonts w:hint="default" w:ascii="DejaVu Math TeX Gyre" w:hAnsi="DejaVu Math TeX Gyre" w:cs="Times New Roman"/>
                <w:kern w:val="2"/>
                <w:sz w:val="21"/>
                <w:szCs w:val="21"/>
                <w:lang w:val="en-US"/>
              </w:rPr>
              <m:t>CFP</m:t>
            </m:r>
            <m:ctrlPr>
              <w:rPr>
                <w:rFonts w:ascii="DejaVu Math TeX Gyre" w:hAnsi="DejaVu Math TeX Gyre" w:cs="Times New Roman"/>
                <w:i/>
                <w:kern w:val="2"/>
                <w:sz w:val="21"/>
                <w:szCs w:val="21"/>
              </w:rPr>
            </m:ctrlPr>
          </m:e>
          <m:sub>
            <m:r>
              <m:rPr/>
              <w:rPr>
                <w:rFonts w:hint="eastAsia" w:ascii="DejaVu Math TeX Gyre" w:hAnsi="DejaVu Math TeX Gyre" w:cs="Times New Roman"/>
                <w:kern w:val="2"/>
                <w:sz w:val="21"/>
                <w:szCs w:val="21"/>
                <w:lang w:val="en-US" w:eastAsia="zh-CN"/>
              </w:rPr>
              <m:t>稀土冶炼分离</m:t>
            </m:r>
            <m:ctrlPr>
              <w:rPr>
                <w:rFonts w:ascii="DejaVu Math TeX Gyre" w:hAnsi="DejaVu Math TeX Gyre" w:cs="Times New Roman"/>
                <w:i/>
                <w:kern w:val="2"/>
                <w:sz w:val="21"/>
                <w:szCs w:val="21"/>
              </w:rPr>
            </m:ctrlPr>
          </m:sub>
        </m:sSub>
      </m:oMath>
      <w:r>
        <w:rPr>
          <w:rFonts w:hint="eastAsia" w:ascii="Times New Roman" w:hAnsi="Times New Roman" w:eastAsia="宋体" w:cs="Times New Roman"/>
          <w:kern w:val="2"/>
          <w:sz w:val="21"/>
          <w:szCs w:val="21"/>
          <w:lang w:eastAsia="zh-CN"/>
        </w:rPr>
        <w:t xml:space="preserve"> .............................（1）</w:t>
      </w:r>
    </w:p>
    <w:p w14:paraId="21F4BA4E">
      <w:pPr>
        <w:adjustRightInd w:val="0"/>
        <w:snapToGrid w:val="0"/>
        <w:spacing w:after="0" w:line="360" w:lineRule="auto"/>
        <w:ind w:firstLine="420" w:firstLineChars="200"/>
        <w:jc w:val="left"/>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式中：</w:t>
      </w:r>
    </w:p>
    <w:p w14:paraId="3C557427">
      <w:pPr>
        <w:adjustRightInd w:val="0"/>
        <w:snapToGrid w:val="0"/>
        <w:spacing w:after="0" w:line="360" w:lineRule="auto"/>
        <w:ind w:firstLine="440" w:firstLineChars="200"/>
        <w:jc w:val="left"/>
        <w:rPr>
          <w:rFonts w:hint="eastAsia" w:ascii="Times New Roman" w:hAnsi="Times New Roman" w:eastAsia="宋体" w:cs="Times New Roman"/>
          <w:kern w:val="2"/>
          <w:sz w:val="21"/>
          <w:szCs w:val="21"/>
          <w:lang w:eastAsia="zh-CN"/>
        </w:rPr>
      </w:pPr>
      <w:r>
        <w:rPr>
          <w:rFonts w:ascii="Times New Roman"/>
          <w:i/>
          <w:iCs/>
          <w:szCs w:val="24"/>
        </w:rPr>
        <w:t>CFP</w:t>
      </w:r>
      <w:r>
        <w:rPr>
          <w:rFonts w:ascii="Times New Roman"/>
          <w:i/>
          <w:iCs/>
          <w:szCs w:val="24"/>
          <w:vertAlign w:val="subscript"/>
        </w:rPr>
        <w:t>GHG</w:t>
      </w:r>
      <w:r>
        <w:rPr>
          <w:rFonts w:hint="eastAsia" w:ascii="Times New Roman" w:hAnsi="Times New Roman" w:eastAsia="宋体" w:cs="Times New Roman"/>
          <w:kern w:val="2"/>
          <w:sz w:val="21"/>
          <w:szCs w:val="21"/>
          <w:lang w:eastAsia="zh-CN"/>
        </w:rPr>
        <w:t>——稀土冶炼</w:t>
      </w:r>
      <w:r>
        <w:rPr>
          <w:rFonts w:hint="eastAsia" w:ascii="Times New Roman" w:hAnsi="Times New Roman" w:eastAsia="宋体" w:cs="Times New Roman"/>
          <w:kern w:val="2"/>
          <w:sz w:val="21"/>
          <w:szCs w:val="21"/>
          <w:lang w:val="en-US" w:eastAsia="zh-CN"/>
        </w:rPr>
        <w:t>分离</w:t>
      </w:r>
      <w:r>
        <w:rPr>
          <w:rFonts w:hint="eastAsia" w:ascii="Times New Roman" w:hAnsi="Times New Roman" w:eastAsia="宋体" w:cs="Times New Roman"/>
          <w:kern w:val="2"/>
          <w:sz w:val="21"/>
          <w:szCs w:val="21"/>
          <w:lang w:eastAsia="zh-CN"/>
        </w:rPr>
        <w:t>产品碳足迹，以吨二氧化碳当量每声明单位（tCO2e/声明单位）计；</w:t>
      </w:r>
    </w:p>
    <w:p w14:paraId="572305A1">
      <w:pPr>
        <w:adjustRightInd w:val="0"/>
        <w:snapToGrid w:val="0"/>
        <w:spacing w:after="0" w:line="360" w:lineRule="auto"/>
        <w:ind w:firstLine="420" w:firstLineChars="200"/>
        <w:jc w:val="left"/>
        <w:rPr>
          <w:rFonts w:hint="eastAsia" w:ascii="Times New Roman" w:hAnsi="Times New Roman" w:eastAsia="宋体" w:cs="Times New Roman"/>
          <w:kern w:val="2"/>
          <w:sz w:val="21"/>
          <w:szCs w:val="21"/>
          <w:lang w:eastAsia="zh-CN"/>
        </w:rPr>
      </w:pPr>
      <w:r>
        <w:rPr>
          <w:rFonts w:hint="default" w:ascii="Times New Roman Italic" w:hAnsi="Times New Roman Italic" w:eastAsia="宋体" w:cs="Times New Roman Italic"/>
          <w:i/>
          <w:iCs/>
          <w:kern w:val="2"/>
          <w:sz w:val="21"/>
          <w:szCs w:val="21"/>
          <w:lang w:eastAsia="zh-CN"/>
        </w:rPr>
        <w:t>CFP</w:t>
      </w:r>
      <w:r>
        <w:rPr>
          <w:rFonts w:hint="eastAsia" w:ascii="Times New Roman" w:hAnsi="Times New Roman" w:eastAsia="宋体" w:cs="Times New Roman"/>
          <w:i/>
          <w:iCs/>
          <w:kern w:val="2"/>
          <w:sz w:val="21"/>
          <w:szCs w:val="21"/>
          <w:vertAlign w:val="subscript"/>
          <w:lang w:eastAsia="zh-CN"/>
        </w:rPr>
        <w:t>原材料与能源获取</w:t>
      </w:r>
      <w:r>
        <w:rPr>
          <w:rFonts w:hint="eastAsia" w:ascii="Times New Roman" w:hAnsi="Times New Roman" w:eastAsia="宋体" w:cs="Times New Roman"/>
          <w:kern w:val="2"/>
          <w:sz w:val="21"/>
          <w:szCs w:val="21"/>
          <w:lang w:eastAsia="zh-CN"/>
        </w:rPr>
        <w:t>——稀土冶炼</w:t>
      </w:r>
      <w:r>
        <w:rPr>
          <w:rFonts w:hint="eastAsia" w:ascii="Times New Roman" w:hAnsi="Times New Roman" w:eastAsia="宋体" w:cs="Times New Roman"/>
          <w:kern w:val="2"/>
          <w:sz w:val="21"/>
          <w:szCs w:val="21"/>
          <w:lang w:val="en-US" w:eastAsia="zh-CN"/>
        </w:rPr>
        <w:t>分离</w:t>
      </w:r>
      <w:r>
        <w:rPr>
          <w:rFonts w:hint="eastAsia" w:ascii="Times New Roman" w:hAnsi="Times New Roman" w:eastAsia="宋体" w:cs="Times New Roman"/>
          <w:kern w:val="2"/>
          <w:sz w:val="21"/>
          <w:szCs w:val="21"/>
          <w:lang w:eastAsia="zh-CN"/>
        </w:rPr>
        <w:t>产品在原材料与能源获取阶段的碳足迹，以吨二氧化碳当量每声明单位（tCO2e/声明单位）计；</w:t>
      </w:r>
    </w:p>
    <w:p w14:paraId="0F9CEA3B">
      <w:pPr>
        <w:adjustRightInd w:val="0"/>
        <w:snapToGrid w:val="0"/>
        <w:spacing w:after="0" w:line="360" w:lineRule="auto"/>
        <w:ind w:firstLine="420" w:firstLineChars="200"/>
        <w:jc w:val="left"/>
        <w:rPr>
          <w:rFonts w:ascii="Times New Roman" w:hAnsi="Times New Roman" w:eastAsia="宋体" w:cs="Times New Roman"/>
          <w:kern w:val="2"/>
          <w:sz w:val="21"/>
          <w:szCs w:val="21"/>
          <w:lang w:eastAsia="zh-CN"/>
        </w:rPr>
      </w:pPr>
      <w:r>
        <w:rPr>
          <w:rFonts w:hint="default" w:ascii="Times New Roman Italic" w:hAnsi="Times New Roman Italic" w:eastAsia="宋体" w:cs="Times New Roman Italic"/>
          <w:i/>
          <w:iCs/>
          <w:kern w:val="2"/>
          <w:sz w:val="21"/>
          <w:szCs w:val="21"/>
          <w:lang w:eastAsia="zh-CN"/>
        </w:rPr>
        <w:t>CFP</w:t>
      </w:r>
      <w:r>
        <w:rPr>
          <w:rFonts w:hint="eastAsia" w:ascii="Times New Roman" w:hAnsi="Times New Roman" w:eastAsia="宋体" w:cs="Times New Roman"/>
          <w:i/>
          <w:iCs/>
          <w:kern w:val="2"/>
          <w:sz w:val="21"/>
          <w:szCs w:val="21"/>
          <w:vertAlign w:val="subscript"/>
          <w:lang w:eastAsia="zh-CN"/>
        </w:rPr>
        <w:t>稀土冶炼</w:t>
      </w:r>
      <w:r>
        <w:rPr>
          <w:rFonts w:hint="eastAsia" w:ascii="Times New Roman" w:hAnsi="Times New Roman" w:eastAsia="宋体" w:cs="Times New Roman"/>
          <w:i/>
          <w:iCs/>
          <w:kern w:val="2"/>
          <w:sz w:val="21"/>
          <w:szCs w:val="21"/>
          <w:vertAlign w:val="subscript"/>
          <w:lang w:val="en-US" w:eastAsia="zh-CN"/>
        </w:rPr>
        <w:t>分离</w:t>
      </w:r>
      <w:r>
        <w:rPr>
          <w:rFonts w:hint="eastAsia" w:ascii="Times New Roman" w:hAnsi="Times New Roman" w:eastAsia="宋体" w:cs="Times New Roman"/>
          <w:kern w:val="2"/>
          <w:sz w:val="21"/>
          <w:szCs w:val="21"/>
          <w:lang w:eastAsia="zh-CN"/>
        </w:rPr>
        <w:t xml:space="preserve"> ——稀土冶炼</w:t>
      </w:r>
      <w:r>
        <w:rPr>
          <w:rFonts w:hint="eastAsia" w:ascii="Times New Roman" w:hAnsi="Times New Roman" w:eastAsia="宋体" w:cs="Times New Roman"/>
          <w:kern w:val="2"/>
          <w:sz w:val="21"/>
          <w:szCs w:val="21"/>
          <w:lang w:val="en-US" w:eastAsia="zh-CN"/>
        </w:rPr>
        <w:t>分离</w:t>
      </w:r>
      <w:r>
        <w:rPr>
          <w:rFonts w:hint="eastAsia" w:ascii="Times New Roman" w:hAnsi="Times New Roman" w:eastAsia="宋体" w:cs="Times New Roman"/>
          <w:kern w:val="2"/>
          <w:sz w:val="21"/>
          <w:szCs w:val="21"/>
          <w:lang w:eastAsia="zh-CN"/>
        </w:rPr>
        <w:t>产品生产阶段（含包装及厂内运输）的碳足迹，以吨二氧化碳当量每声明单位（tCO2e/声明单位）计。</w:t>
      </w:r>
    </w:p>
    <w:p w14:paraId="4C7F89BD">
      <w:pPr>
        <w:widowControl/>
        <w:spacing w:line="360" w:lineRule="auto"/>
        <w:ind w:firstLine="440" w:firstLineChars="200"/>
        <w:jc w:val="left"/>
        <w:rPr>
          <w:rFonts w:ascii="Times New Roman" w:hAnsi="Times New Roman" w:eastAsia="宋体" w:cs="Times New Roman"/>
          <w:kern w:val="2"/>
          <w:sz w:val="21"/>
          <w:szCs w:val="21"/>
          <w:lang w:eastAsia="zh-CN"/>
        </w:rPr>
      </w:pPr>
      <w:r>
        <w:rPr>
          <w:rFonts w:hint="eastAsia" w:ascii="Times New Roman"/>
          <w:szCs w:val="24"/>
        </w:rPr>
        <w:t>稀土金属冶炼单位功能产品系统边界内各阶段的碳足迹计算方法见公式（2）：</w:t>
      </w:r>
    </w:p>
    <w:p w14:paraId="6444183E">
      <w:pPr>
        <w:adjustRightInd w:val="0"/>
        <w:snapToGrid w:val="0"/>
        <w:spacing w:after="0" w:line="360" w:lineRule="auto"/>
        <w:ind w:firstLine="420" w:firstLineChars="200"/>
        <w:jc w:val="center"/>
        <w:rPr>
          <w:rFonts w:ascii="Times New Roman" w:hAnsi="Times New Roman" w:eastAsia="宋体" w:cs="Times New Roman"/>
          <w:kern w:val="2"/>
          <w:sz w:val="21"/>
          <w:szCs w:val="21"/>
          <w:lang w:eastAsia="zh-CN"/>
        </w:rPr>
      </w:pPr>
      <m:oMath>
        <m:sSub>
          <m:sSubPr>
            <m:ctrlPr>
              <w:rPr>
                <w:rFonts w:hint="default" w:ascii="DejaVu Math TeX Gyre" w:hAnsi="DejaVu Math TeX Gyre" w:eastAsia="宋体" w:cs="Times New Roman"/>
                <w:i/>
                <w:kern w:val="2"/>
                <w:sz w:val="21"/>
                <w:szCs w:val="21"/>
                <w:lang w:val="en-US" w:eastAsia="zh-CN" w:bidi="ar-SA"/>
              </w:rPr>
            </m:ctrlPr>
          </m:sSubPr>
          <m:e>
            <m:r>
              <m:rPr/>
              <w:rPr>
                <w:rFonts w:hint="default" w:ascii="DejaVu Math TeX Gyre" w:hAnsi="DejaVu Math TeX Gyre" w:eastAsia="宋体" w:cs="Times New Roman"/>
                <w:kern w:val="2"/>
                <w:sz w:val="21"/>
                <w:szCs w:val="21"/>
                <w:lang w:val="en-US" w:eastAsia="zh-CN" w:bidi="ar-SA"/>
              </w:rPr>
              <m:t>CFP</m:t>
            </m:r>
            <m:ctrlPr>
              <w:rPr>
                <w:rFonts w:hint="default" w:ascii="DejaVu Math TeX Gyre" w:hAnsi="DejaVu Math TeX Gyre" w:eastAsia="宋体" w:cs="Times New Roman"/>
                <w:i/>
                <w:kern w:val="2"/>
                <w:sz w:val="21"/>
                <w:szCs w:val="21"/>
                <w:lang w:val="en-US" w:eastAsia="zh-CN" w:bidi="ar-SA"/>
              </w:rPr>
            </m:ctrlPr>
          </m:e>
          <m:sub>
            <m:r>
              <m:rPr/>
              <w:rPr>
                <w:rFonts w:hint="default" w:ascii="DejaVu Math TeX Gyre" w:hAnsi="DejaVu Math TeX Gyre" w:eastAsia="宋体" w:cs="Times New Roman"/>
                <w:kern w:val="2"/>
                <w:sz w:val="21"/>
                <w:szCs w:val="21"/>
                <w:lang w:val="en-US" w:eastAsia="zh-CN" w:bidi="ar-SA"/>
              </w:rPr>
              <m:t>GHG</m:t>
            </m:r>
            <m:ctrlPr>
              <w:rPr>
                <w:rFonts w:hint="default" w:ascii="DejaVu Math TeX Gyre" w:hAnsi="DejaVu Math TeX Gyre" w:eastAsia="宋体" w:cs="Times New Roman"/>
                <w:i/>
                <w:kern w:val="2"/>
                <w:sz w:val="21"/>
                <w:szCs w:val="21"/>
                <w:lang w:val="en-US" w:eastAsia="zh-CN" w:bidi="ar-SA"/>
              </w:rPr>
            </m:ctrlPr>
          </m:sub>
        </m:sSub>
        <m:r>
          <m:rPr/>
          <w:rPr>
            <w:rFonts w:hint="default" w:ascii="DejaVu Math TeX Gyre" w:hAnsi="DejaVu Math TeX Gyre" w:eastAsia="宋体" w:cs="Times New Roman"/>
            <w:kern w:val="2"/>
            <w:sz w:val="21"/>
            <w:szCs w:val="21"/>
            <w:lang w:val="en-US" w:eastAsia="zh-CN" w:bidi="ar-SA"/>
          </w:rPr>
          <m:t>=</m:t>
        </m:r>
        <m:nary>
          <m:naryPr>
            <m:chr m:val="∑"/>
            <m:limLoc m:val="subSup"/>
            <m:supHide m:val="1"/>
            <m:ctrlPr>
              <w:rPr>
                <w:rFonts w:hint="default" w:ascii="DejaVu Math TeX Gyre" w:hAnsi="DejaVu Math TeX Gyre" w:eastAsia="宋体" w:cs="Times New Roman"/>
                <w:i/>
                <w:kern w:val="2"/>
                <w:sz w:val="21"/>
                <w:szCs w:val="21"/>
                <w:lang w:val="en-US" w:eastAsia="zh-CN" w:bidi="ar-SA"/>
              </w:rPr>
            </m:ctrlPr>
          </m:naryPr>
          <m:sub>
            <m:r>
              <m:rPr/>
              <w:rPr>
                <w:rFonts w:hint="default" w:ascii="DejaVu Math TeX Gyre" w:hAnsi="DejaVu Math TeX Gyre" w:eastAsia="宋体" w:cs="Times New Roman"/>
                <w:kern w:val="2"/>
                <w:sz w:val="21"/>
                <w:szCs w:val="21"/>
                <w:lang w:val="en-US" w:eastAsia="zh-CN" w:bidi="ar-SA"/>
              </w:rPr>
              <m:t>j</m:t>
            </m:r>
            <m:ctrlPr>
              <w:rPr>
                <w:rFonts w:hint="default" w:ascii="DejaVu Math TeX Gyre" w:hAnsi="DejaVu Math TeX Gyre" w:eastAsia="宋体" w:cs="Times New Roman"/>
                <w:i/>
                <w:kern w:val="2"/>
                <w:sz w:val="21"/>
                <w:szCs w:val="21"/>
                <w:lang w:val="en-US" w:eastAsia="zh-CN" w:bidi="ar-SA"/>
              </w:rPr>
            </m:ctrlPr>
          </m:sub>
          <m:sup>
            <m:ctrlPr>
              <w:rPr>
                <w:rFonts w:hint="default" w:ascii="DejaVu Math TeX Gyre" w:hAnsi="DejaVu Math TeX Gyre" w:eastAsia="宋体" w:cs="Times New Roman"/>
                <w:i/>
                <w:kern w:val="2"/>
                <w:sz w:val="21"/>
                <w:szCs w:val="21"/>
                <w:lang w:val="en-US" w:eastAsia="zh-CN" w:bidi="ar-SA"/>
              </w:rPr>
            </m:ctrlPr>
          </m:sup>
          <m:e>
            <m:r>
              <m:rPr/>
              <w:rPr>
                <w:rFonts w:hint="default" w:ascii="DejaVu Math TeX Gyre" w:hAnsi="DejaVu Math TeX Gyre" w:eastAsia="宋体" w:cs="Times New Roman"/>
                <w:kern w:val="2"/>
                <w:sz w:val="21"/>
                <w:szCs w:val="21"/>
                <w:lang w:val="en-US" w:eastAsia="zh-CN" w:bidi="ar-SA"/>
              </w:rPr>
              <m:t>[</m:t>
            </m:r>
            <m:nary>
              <m:naryPr>
                <m:chr m:val="∑"/>
                <m:limLoc m:val="subSup"/>
                <m:supHide m:val="1"/>
                <m:ctrlPr>
                  <w:rPr>
                    <w:rFonts w:hint="default" w:ascii="DejaVu Math TeX Gyre" w:hAnsi="DejaVu Math TeX Gyre" w:eastAsia="宋体" w:cs="Times New Roman"/>
                    <w:i/>
                    <w:kern w:val="2"/>
                    <w:sz w:val="21"/>
                    <w:szCs w:val="21"/>
                    <w:lang w:val="en-US" w:eastAsia="zh-CN" w:bidi="ar-SA"/>
                  </w:rPr>
                </m:ctrlPr>
              </m:naryPr>
              <m:sub>
                <m:r>
                  <m:rPr/>
                  <w:rPr>
                    <w:rFonts w:hint="default" w:ascii="DejaVu Math TeX Gyre" w:hAnsi="DejaVu Math TeX Gyre" w:eastAsia="宋体" w:cs="Times New Roman"/>
                    <w:kern w:val="2"/>
                    <w:sz w:val="21"/>
                    <w:szCs w:val="21"/>
                    <w:lang w:val="en-US" w:eastAsia="zh-CN" w:bidi="ar-SA"/>
                  </w:rPr>
                  <m:t>i</m:t>
                </m:r>
                <m:ctrlPr>
                  <w:rPr>
                    <w:rFonts w:hint="default" w:ascii="DejaVu Math TeX Gyre" w:hAnsi="DejaVu Math TeX Gyre" w:eastAsia="宋体" w:cs="Times New Roman"/>
                    <w:i/>
                    <w:kern w:val="2"/>
                    <w:sz w:val="21"/>
                    <w:szCs w:val="21"/>
                    <w:lang w:val="en-US" w:eastAsia="zh-CN" w:bidi="ar-SA"/>
                  </w:rPr>
                </m:ctrlPr>
              </m:sub>
              <m:sup>
                <m:ctrlPr>
                  <w:rPr>
                    <w:rFonts w:hint="default" w:ascii="DejaVu Math TeX Gyre" w:hAnsi="DejaVu Math TeX Gyre" w:eastAsia="宋体" w:cs="Times New Roman"/>
                    <w:i/>
                    <w:kern w:val="2"/>
                    <w:sz w:val="21"/>
                    <w:szCs w:val="21"/>
                    <w:lang w:val="en-US" w:eastAsia="zh-CN" w:bidi="ar-SA"/>
                  </w:rPr>
                </m:ctrlPr>
              </m:sup>
              <m:e>
                <m:r>
                  <m:rPr/>
                  <w:rPr>
                    <w:rFonts w:hint="default" w:ascii="DejaVu Math TeX Gyre" w:hAnsi="DejaVu Math TeX Gyre" w:eastAsia="宋体" w:cs="Times New Roman"/>
                    <w:kern w:val="2"/>
                    <w:sz w:val="21"/>
                    <w:szCs w:val="21"/>
                    <w:lang w:val="en-US" w:eastAsia="zh-CN" w:bidi="ar-SA"/>
                  </w:rPr>
                  <m:t>(</m:t>
                </m:r>
                <m:sSub>
                  <m:sSubPr>
                    <m:ctrlPr>
                      <w:rPr>
                        <w:rFonts w:hint="default" w:ascii="DejaVu Math TeX Gyre" w:hAnsi="DejaVu Math TeX Gyre" w:eastAsia="宋体" w:cs="Times New Roman"/>
                        <w:i/>
                        <w:kern w:val="2"/>
                        <w:sz w:val="21"/>
                        <w:szCs w:val="21"/>
                        <w:lang w:val="en-US" w:eastAsia="zh-CN" w:bidi="ar-SA"/>
                      </w:rPr>
                    </m:ctrlPr>
                  </m:sSubPr>
                  <m:e>
                    <m:r>
                      <m:rPr/>
                      <w:rPr>
                        <w:rFonts w:hint="default" w:ascii="DejaVu Math TeX Gyre" w:hAnsi="DejaVu Math TeX Gyre" w:eastAsia="宋体" w:cs="Times New Roman"/>
                        <w:kern w:val="2"/>
                        <w:sz w:val="21"/>
                        <w:szCs w:val="21"/>
                        <w:lang w:val="en-US" w:eastAsia="zh-CN" w:bidi="ar-SA"/>
                      </w:rPr>
                      <m:t>AD</m:t>
                    </m:r>
                    <m:ctrlPr>
                      <w:rPr>
                        <w:rFonts w:hint="default" w:ascii="DejaVu Math TeX Gyre" w:hAnsi="DejaVu Math TeX Gyre" w:eastAsia="宋体" w:cs="Times New Roman"/>
                        <w:i/>
                        <w:kern w:val="2"/>
                        <w:sz w:val="21"/>
                        <w:szCs w:val="21"/>
                        <w:lang w:val="en-US" w:eastAsia="zh-CN" w:bidi="ar-SA"/>
                      </w:rPr>
                    </m:ctrlPr>
                  </m:e>
                  <m:sub>
                    <m:r>
                      <m:rPr/>
                      <w:rPr>
                        <w:rFonts w:hint="default" w:ascii="DejaVu Math TeX Gyre" w:hAnsi="DejaVu Math TeX Gyre" w:eastAsia="宋体" w:cs="Times New Roman"/>
                        <w:kern w:val="2"/>
                        <w:sz w:val="21"/>
                        <w:szCs w:val="21"/>
                        <w:lang w:val="en-US" w:eastAsia="zh-CN" w:bidi="ar-SA"/>
                      </w:rPr>
                      <m:t>i</m:t>
                    </m:r>
                    <m:ctrlPr>
                      <w:rPr>
                        <w:rFonts w:hint="default" w:ascii="DejaVu Math TeX Gyre" w:hAnsi="DejaVu Math TeX Gyre" w:eastAsia="宋体" w:cs="Times New Roman"/>
                        <w:i/>
                        <w:kern w:val="2"/>
                        <w:sz w:val="21"/>
                        <w:szCs w:val="21"/>
                        <w:lang w:val="en-US" w:eastAsia="zh-CN" w:bidi="ar-SA"/>
                      </w:rPr>
                    </m:ctrlPr>
                  </m:sub>
                </m:sSub>
                <m:r>
                  <m:rPr/>
                  <w:rPr>
                    <w:rFonts w:ascii="DejaVu Math TeX Gyre" w:hAnsi="DejaVu Math TeX Gyre" w:cs="Times New Roman"/>
                    <w:kern w:val="2"/>
                    <w:sz w:val="21"/>
                    <w:szCs w:val="21"/>
                    <w:lang w:val="en-US" w:bidi="ar-SA"/>
                  </w:rPr>
                  <m:t>×</m:t>
                </m:r>
                <m:sSub>
                  <m:sSubPr>
                    <m:ctrlPr>
                      <w:rPr>
                        <w:rFonts w:hint="default" w:ascii="DejaVu Math TeX Gyre" w:hAnsi="DejaVu Math TeX Gyre" w:cs="Times New Roman"/>
                        <w:i/>
                        <w:kern w:val="2"/>
                        <w:sz w:val="21"/>
                        <w:szCs w:val="21"/>
                        <w:lang w:val="en-US" w:bidi="ar-SA"/>
                      </w:rPr>
                    </m:ctrlPr>
                  </m:sSubPr>
                  <m:e>
                    <m:r>
                      <m:rPr/>
                      <w:rPr>
                        <w:rFonts w:hint="default" w:ascii="DejaVu Math TeX Gyre" w:hAnsi="DejaVu Math TeX Gyre" w:cs="Times New Roman"/>
                        <w:kern w:val="2"/>
                        <w:sz w:val="21"/>
                        <w:szCs w:val="21"/>
                        <w:lang w:val="en-US" w:bidi="ar-SA"/>
                      </w:rPr>
                      <m:t>EF</m:t>
                    </m:r>
                    <m:ctrlPr>
                      <w:rPr>
                        <w:rFonts w:hint="default" w:ascii="DejaVu Math TeX Gyre" w:hAnsi="DejaVu Math TeX Gyre" w:cs="Times New Roman"/>
                        <w:i/>
                        <w:kern w:val="2"/>
                        <w:sz w:val="21"/>
                        <w:szCs w:val="21"/>
                        <w:lang w:val="en-US" w:bidi="ar-SA"/>
                      </w:rPr>
                    </m:ctrlPr>
                  </m:e>
                  <m:sub>
                    <m:r>
                      <m:rPr/>
                      <w:rPr>
                        <w:rFonts w:hint="default" w:ascii="DejaVu Math TeX Gyre" w:hAnsi="DejaVu Math TeX Gyre" w:cs="Times New Roman"/>
                        <w:kern w:val="2"/>
                        <w:sz w:val="21"/>
                        <w:szCs w:val="21"/>
                        <w:lang w:val="en-US" w:bidi="ar-SA"/>
                      </w:rPr>
                      <m:t>LCA,i</m:t>
                    </m:r>
                    <m:r>
                      <m:rPr/>
                      <w:rPr>
                        <w:rFonts w:hint="default" w:ascii="DejaVu Math TeX Gyre" w:hAnsi="DejaVu Math TeX Gyre" w:cs="Times New Roman"/>
                        <w:kern w:val="2"/>
                        <w:sz w:val="21"/>
                        <w:szCs w:val="21"/>
                        <w:lang w:val="en-US" w:eastAsia="zh-CN" w:bidi="ar-SA"/>
                      </w:rPr>
                      <m:t>,j</m:t>
                    </m:r>
                    <m:ctrlPr>
                      <w:rPr>
                        <w:rFonts w:hint="default" w:ascii="DejaVu Math TeX Gyre" w:hAnsi="DejaVu Math TeX Gyre" w:cs="Times New Roman"/>
                        <w:i/>
                        <w:kern w:val="2"/>
                        <w:sz w:val="21"/>
                        <w:szCs w:val="21"/>
                        <w:lang w:val="en-US" w:bidi="ar-SA"/>
                      </w:rPr>
                    </m:ctrlPr>
                  </m:sub>
                </m:sSub>
                <m:r>
                  <m:rPr/>
                  <w:rPr>
                    <w:rFonts w:hint="default" w:ascii="DejaVu Math TeX Gyre" w:hAnsi="DejaVu Math TeX Gyre" w:cs="Times New Roman"/>
                    <w:kern w:val="2"/>
                    <w:sz w:val="21"/>
                    <w:szCs w:val="21"/>
                    <w:lang w:val="en-US" w:bidi="ar-SA"/>
                  </w:rPr>
                  <m:t>)</m:t>
                </m:r>
                <m:ctrlPr>
                  <w:rPr>
                    <w:rFonts w:hint="default" w:ascii="DejaVu Math TeX Gyre" w:hAnsi="DejaVu Math TeX Gyre" w:eastAsia="宋体" w:cs="Times New Roman"/>
                    <w:i/>
                    <w:kern w:val="2"/>
                    <w:sz w:val="21"/>
                    <w:szCs w:val="21"/>
                    <w:lang w:val="en-US" w:eastAsia="zh-CN" w:bidi="ar-SA"/>
                  </w:rPr>
                </m:ctrlPr>
              </m:e>
            </m:nary>
            <m:ctrlPr>
              <w:rPr>
                <w:rFonts w:hint="default" w:ascii="DejaVu Math TeX Gyre" w:hAnsi="DejaVu Math TeX Gyre" w:eastAsia="宋体" w:cs="Times New Roman"/>
                <w:i/>
                <w:kern w:val="2"/>
                <w:sz w:val="21"/>
                <w:szCs w:val="21"/>
                <w:lang w:val="en-US" w:eastAsia="zh-CN" w:bidi="ar-SA"/>
              </w:rPr>
            </m:ctrlPr>
          </m:e>
        </m:nary>
        <m:r>
          <m:rPr/>
          <w:rPr>
            <w:rFonts w:hint="default" w:ascii="DejaVu Math TeX Gyre" w:hAnsi="DejaVu Math TeX Gyre" w:eastAsia="宋体" w:cs="DejaVu Math TeX Gyre"/>
            <w:kern w:val="2"/>
            <w:sz w:val="21"/>
            <w:szCs w:val="21"/>
            <w:lang w:val="en-US" w:eastAsia="zh-CN" w:bidi="ar-SA"/>
          </w:rPr>
          <m:t>×</m:t>
        </m:r>
        <m:sSub>
          <m:sSubPr>
            <m:ctrlPr>
              <w:rPr>
                <w:rFonts w:hint="default" w:ascii="DejaVu Math TeX Gyre" w:hAnsi="DejaVu Math TeX Gyre" w:eastAsia="宋体" w:cs="DejaVu Math TeX Gyre"/>
                <w:i/>
                <w:kern w:val="2"/>
                <w:sz w:val="21"/>
                <w:szCs w:val="21"/>
                <w:lang w:val="en-US" w:eastAsia="zh-CN" w:bidi="ar-SA"/>
              </w:rPr>
            </m:ctrlPr>
          </m:sSubPr>
          <m:e>
            <m:r>
              <m:rPr/>
              <w:rPr>
                <w:rFonts w:hint="default" w:ascii="DejaVu Math TeX Gyre" w:hAnsi="DejaVu Math TeX Gyre" w:eastAsia="宋体" w:cs="DejaVu Math TeX Gyre"/>
                <w:kern w:val="2"/>
                <w:sz w:val="21"/>
                <w:szCs w:val="21"/>
                <w:lang w:val="en-US" w:eastAsia="zh-CN" w:bidi="ar-SA"/>
              </w:rPr>
              <m:t>GWP</m:t>
            </m:r>
            <m:ctrlPr>
              <w:rPr>
                <w:rFonts w:hint="default" w:ascii="DejaVu Math TeX Gyre" w:hAnsi="DejaVu Math TeX Gyre" w:eastAsia="宋体" w:cs="DejaVu Math TeX Gyre"/>
                <w:i/>
                <w:kern w:val="2"/>
                <w:sz w:val="21"/>
                <w:szCs w:val="21"/>
                <w:lang w:val="en-US" w:eastAsia="zh-CN" w:bidi="ar-SA"/>
              </w:rPr>
            </m:ctrlPr>
          </m:e>
          <m:sub>
            <m:r>
              <m:rPr/>
              <w:rPr>
                <w:rFonts w:hint="default" w:ascii="DejaVu Math TeX Gyre" w:hAnsi="DejaVu Math TeX Gyre" w:eastAsia="宋体" w:cs="DejaVu Math TeX Gyre"/>
                <w:kern w:val="2"/>
                <w:sz w:val="21"/>
                <w:szCs w:val="21"/>
                <w:lang w:val="en-US" w:eastAsia="zh-CN" w:bidi="ar-SA"/>
              </w:rPr>
              <m:t>j</m:t>
            </m:r>
            <m:ctrlPr>
              <w:rPr>
                <w:rFonts w:hint="default" w:ascii="DejaVu Math TeX Gyre" w:hAnsi="DejaVu Math TeX Gyre" w:eastAsia="宋体" w:cs="DejaVu Math TeX Gyre"/>
                <w:i/>
                <w:kern w:val="2"/>
                <w:sz w:val="21"/>
                <w:szCs w:val="21"/>
                <w:lang w:val="en-US" w:eastAsia="zh-CN" w:bidi="ar-SA"/>
              </w:rPr>
            </m:ctrlPr>
          </m:sub>
        </m:sSub>
        <m:r>
          <m:rPr/>
          <w:rPr>
            <w:rFonts w:hint="default" w:ascii="DejaVu Math TeX Gyre" w:hAnsi="DejaVu Math TeX Gyre" w:eastAsia="宋体" w:cs="DejaVu Math TeX Gyre"/>
            <w:kern w:val="2"/>
            <w:sz w:val="21"/>
            <w:szCs w:val="21"/>
            <w:lang w:val="en-US" w:eastAsia="zh-CN" w:bidi="ar-SA"/>
          </w:rPr>
          <m:t>]</m:t>
        </m:r>
      </m:oMath>
      <w:r>
        <w:rPr>
          <w:rFonts w:ascii="Times New Roman" w:hAnsi="Times New Roman" w:eastAsia="宋体" w:cs="Times New Roman"/>
          <w:kern w:val="2"/>
          <w:sz w:val="21"/>
          <w:szCs w:val="21"/>
          <w:lang w:eastAsia="zh-CN"/>
        </w:rPr>
        <w:t>..............................</w:t>
      </w:r>
      <w:r>
        <w:rPr>
          <w:rFonts w:hint="eastAsia" w:ascii="Times New Roman" w:hAnsi="Times New Roman" w:eastAsia="宋体" w:cs="Times New Roman"/>
          <w:kern w:val="2"/>
          <w:sz w:val="21"/>
          <w:szCs w:val="21"/>
          <w:lang w:eastAsia="zh-CN"/>
        </w:rPr>
        <w:t>（</w:t>
      </w:r>
      <w:r>
        <w:rPr>
          <w:rFonts w:hint="default" w:ascii="Times New Roman" w:hAnsi="Times New Roman" w:eastAsia="宋体" w:cs="Times New Roman"/>
          <w:kern w:val="2"/>
          <w:sz w:val="21"/>
          <w:szCs w:val="21"/>
          <w:lang w:val="en-US" w:eastAsia="zh-CN"/>
        </w:rPr>
        <w:t>2</w:t>
      </w:r>
      <w:r>
        <w:rPr>
          <w:rFonts w:hint="eastAsia" w:ascii="Times New Roman" w:hAnsi="Times New Roman" w:eastAsia="宋体" w:cs="Times New Roman"/>
          <w:kern w:val="2"/>
          <w:sz w:val="21"/>
          <w:szCs w:val="21"/>
          <w:lang w:eastAsia="zh-CN"/>
        </w:rPr>
        <w:t>）</w:t>
      </w:r>
    </w:p>
    <w:p w14:paraId="2362E428">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式中</w:t>
      </w:r>
      <w:r>
        <w:rPr>
          <w:rFonts w:ascii="Times New Roman" w:hAnsi="Times New Roman" w:eastAsia="宋体" w:cs="Times New Roman"/>
          <w:kern w:val="2"/>
          <w:sz w:val="21"/>
          <w:szCs w:val="21"/>
          <w:lang w:eastAsia="zh-CN"/>
        </w:rPr>
        <w:t>：</w:t>
      </w:r>
    </w:p>
    <w:p w14:paraId="23D7A002">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ascii="Times New Roman" w:hAnsi="Times New Roman" w:eastAsia="宋体" w:cs="Times New Roman"/>
          <w:i/>
          <w:iCs/>
          <w:kern w:val="2"/>
          <w:sz w:val="21"/>
          <w:szCs w:val="21"/>
          <w:lang w:eastAsia="zh-CN"/>
        </w:rPr>
        <w:t>CFP</w:t>
      </w:r>
      <w:r>
        <w:rPr>
          <w:rFonts w:ascii="Times New Roman" w:hAnsi="Times New Roman" w:eastAsia="宋体" w:cs="Times New Roman"/>
          <w:i/>
          <w:iCs/>
          <w:kern w:val="2"/>
          <w:sz w:val="21"/>
          <w:szCs w:val="21"/>
          <w:vertAlign w:val="subscript"/>
          <w:lang w:eastAsia="zh-CN"/>
        </w:rPr>
        <w:t>GHG</w:t>
      </w:r>
      <w:r>
        <w:rPr>
          <w:rFonts w:ascii="Times New Roman" w:hAnsi="Times New Roman" w:eastAsia="宋体" w:cs="Times New Roman"/>
          <w:kern w:val="2"/>
          <w:sz w:val="21"/>
          <w:szCs w:val="21"/>
          <w:lang w:eastAsia="zh-CN"/>
        </w:rPr>
        <w:t>——</w:t>
      </w:r>
      <w:r>
        <w:rPr>
          <w:rFonts w:hint="eastAsia" w:ascii="Times New Roman" w:hAnsi="Times New Roman" w:eastAsia="宋体" w:cs="Times New Roman"/>
          <w:kern w:val="2"/>
          <w:sz w:val="21"/>
          <w:szCs w:val="21"/>
          <w:lang w:eastAsia="zh-CN"/>
        </w:rPr>
        <w:t>稀土冶炼分离产品碳足迹，以吨二氧化碳当量每吨</w:t>
      </w:r>
      <w:r>
        <w:rPr>
          <w:rFonts w:ascii="Times New Roman" w:hAnsi="Times New Roman" w:eastAsia="宋体" w:cs="Times New Roman"/>
          <w:kern w:val="2"/>
          <w:sz w:val="21"/>
          <w:szCs w:val="21"/>
          <w:lang w:eastAsia="zh-CN"/>
        </w:rPr>
        <w:t>(tCO</w:t>
      </w:r>
      <w:r>
        <w:rPr>
          <w:rFonts w:ascii="Times New Roman" w:hAnsi="Times New Roman" w:eastAsia="宋体" w:cs="Times New Roman"/>
          <w:kern w:val="2"/>
          <w:sz w:val="21"/>
          <w:szCs w:val="21"/>
          <w:vertAlign w:val="subscript"/>
          <w:lang w:eastAsia="zh-CN"/>
        </w:rPr>
        <w:t>2</w:t>
      </w:r>
      <w:r>
        <w:rPr>
          <w:rFonts w:ascii="Times New Roman" w:hAnsi="Times New Roman" w:eastAsia="宋体" w:cs="Times New Roman"/>
          <w:kern w:val="2"/>
          <w:sz w:val="21"/>
          <w:szCs w:val="21"/>
          <w:lang w:eastAsia="zh-CN"/>
        </w:rPr>
        <w:t>e/t)</w:t>
      </w:r>
      <w:r>
        <w:rPr>
          <w:rFonts w:hint="eastAsia" w:ascii="Times New Roman" w:hAnsi="Times New Roman" w:eastAsia="宋体" w:cs="Times New Roman"/>
          <w:kern w:val="2"/>
          <w:sz w:val="21"/>
          <w:szCs w:val="21"/>
          <w:lang w:eastAsia="zh-CN"/>
        </w:rPr>
        <w:t>计；</w:t>
      </w:r>
    </w:p>
    <w:p w14:paraId="22223F86">
      <w:pPr>
        <w:adjustRightInd w:val="0"/>
        <w:snapToGrid w:val="0"/>
        <w:spacing w:after="0" w:line="360" w:lineRule="auto"/>
        <w:jc w:val="both"/>
        <w:rPr>
          <w:rFonts w:ascii="Times New Roman" w:hAnsi="Times New Roman" w:eastAsia="宋体" w:cs="Times New Roman"/>
          <w:kern w:val="2"/>
          <w:sz w:val="21"/>
          <w:szCs w:val="21"/>
          <w:lang w:eastAsia="zh-CN"/>
        </w:rPr>
      </w:pPr>
      <w:r>
        <w:rPr>
          <w:rFonts w:ascii="Times New Roman" w:hAnsi="Times New Roman" w:eastAsia="宋体" w:cs="Times New Roman"/>
          <w:kern w:val="2"/>
          <w:sz w:val="21"/>
          <w:szCs w:val="21"/>
          <w:lang w:eastAsia="zh-CN"/>
        </w:rPr>
        <w:drawing>
          <wp:inline distT="0" distB="0" distL="0" distR="0">
            <wp:extent cx="476250" cy="190500"/>
            <wp:effectExtent l="0" t="0" r="0" b="0"/>
            <wp:docPr id="20661746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17460" name="图片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76250" cy="190500"/>
                    </a:xfrm>
                    <a:prstGeom prst="rect">
                      <a:avLst/>
                    </a:prstGeom>
                    <a:noFill/>
                    <a:ln>
                      <a:noFill/>
                    </a:ln>
                  </pic:spPr>
                </pic:pic>
              </a:graphicData>
            </a:graphic>
          </wp:inline>
        </w:drawing>
      </w:r>
      <w:r>
        <w:rPr>
          <w:rFonts w:ascii="Times New Roman" w:hAnsi="Times New Roman" w:eastAsia="宋体" w:cs="Times New Roman"/>
          <w:kern w:val="2"/>
          <w:sz w:val="21"/>
          <w:szCs w:val="21"/>
          <w:lang w:eastAsia="zh-CN"/>
        </w:rPr>
        <w:t>——</w:t>
      </w:r>
      <w:r>
        <w:rPr>
          <w:rFonts w:hint="eastAsia" w:ascii="Times New Roman" w:hAnsi="Times New Roman" w:eastAsia="宋体" w:cs="Times New Roman"/>
          <w:kern w:val="2"/>
          <w:sz w:val="21"/>
          <w:szCs w:val="21"/>
          <w:lang w:eastAsia="zh-CN"/>
        </w:rPr>
        <w:t>系统边界内，各声明单位中第</w:t>
      </w:r>
      <w:r>
        <w:rPr>
          <w:rFonts w:ascii="Times New Roman" w:hAnsi="Times New Roman" w:eastAsia="宋体" w:cs="Times New Roman"/>
          <w:kern w:val="2"/>
          <w:sz w:val="21"/>
          <w:szCs w:val="21"/>
          <w:lang w:eastAsia="zh-CN"/>
        </w:rPr>
        <w:t>i</w:t>
      </w:r>
      <w:r>
        <w:rPr>
          <w:rFonts w:hint="eastAsia" w:ascii="Times New Roman" w:hAnsi="Times New Roman" w:eastAsia="宋体" w:cs="Times New Roman"/>
          <w:kern w:val="2"/>
          <w:sz w:val="21"/>
          <w:szCs w:val="21"/>
          <w:lang w:eastAsia="zh-CN"/>
        </w:rPr>
        <w:t>种活动的</w:t>
      </w:r>
      <w:r>
        <w:rPr>
          <w:rFonts w:ascii="Times New Roman" w:hAnsi="Times New Roman" w:eastAsia="宋体" w:cs="Times New Roman"/>
          <w:kern w:val="2"/>
          <w:sz w:val="21"/>
          <w:szCs w:val="21"/>
          <w:lang w:eastAsia="zh-CN"/>
        </w:rPr>
        <w:t>GHG</w:t>
      </w:r>
      <w:r>
        <w:rPr>
          <w:rFonts w:hint="eastAsia" w:ascii="Times New Roman" w:hAnsi="Times New Roman" w:eastAsia="宋体" w:cs="Times New Roman"/>
          <w:kern w:val="2"/>
          <w:sz w:val="21"/>
          <w:szCs w:val="21"/>
          <w:lang w:eastAsia="zh-CN"/>
        </w:rPr>
        <w:t>排放和清除相关数据（包括初级数据和次级数据），单位根据具体排放源确定；</w:t>
      </w:r>
      <w:r>
        <w:rPr>
          <w:rFonts w:ascii="Times New Roman" w:hAnsi="Times New Roman" w:eastAsia="宋体" w:cs="Times New Roman"/>
          <w:kern w:val="2"/>
          <w:sz w:val="21"/>
          <w:szCs w:val="21"/>
          <w:lang w:eastAsia="zh-CN"/>
        </w:rPr>
        <w:t xml:space="preserve"> </w:t>
      </w:r>
    </w:p>
    <w:p w14:paraId="16EBC682">
      <w:pPr>
        <w:adjustRightInd w:val="0"/>
        <w:snapToGrid w:val="0"/>
        <w:spacing w:after="0" w:line="360" w:lineRule="auto"/>
        <w:jc w:val="both"/>
        <w:rPr>
          <w:rFonts w:ascii="Times New Roman" w:hAnsi="Times New Roman" w:eastAsia="宋体" w:cs="Times New Roman"/>
          <w:kern w:val="2"/>
          <w:sz w:val="21"/>
          <w:szCs w:val="21"/>
          <w:lang w:eastAsia="zh-CN"/>
        </w:rPr>
      </w:pPr>
      <w:r>
        <w:rPr>
          <w:rFonts w:ascii="Times New Roman" w:hAnsi="Times New Roman" w:eastAsia="宋体" w:cs="Times New Roman"/>
          <w:kern w:val="2"/>
          <w:sz w:val="21"/>
          <w:szCs w:val="21"/>
          <w:lang w:eastAsia="zh-CN"/>
        </w:rPr>
        <w:drawing>
          <wp:inline distT="0" distB="0" distL="0" distR="0">
            <wp:extent cx="685800" cy="190500"/>
            <wp:effectExtent l="0" t="0" r="0" b="0"/>
            <wp:docPr id="56296560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965605" name="图片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85800" cy="190500"/>
                    </a:xfrm>
                    <a:prstGeom prst="rect">
                      <a:avLst/>
                    </a:prstGeom>
                    <a:noFill/>
                    <a:ln>
                      <a:noFill/>
                    </a:ln>
                  </pic:spPr>
                </pic:pic>
              </a:graphicData>
            </a:graphic>
          </wp:inline>
        </w:drawing>
      </w:r>
      <w:r>
        <w:rPr>
          <w:rFonts w:ascii="Times New Roman" w:hAnsi="Times New Roman" w:eastAsia="宋体" w:cs="Times New Roman"/>
          <w:kern w:val="2"/>
          <w:sz w:val="21"/>
          <w:szCs w:val="21"/>
          <w:lang w:eastAsia="zh-CN"/>
        </w:rPr>
        <w:t>——</w:t>
      </w:r>
      <w:r>
        <w:rPr>
          <w:rFonts w:hint="eastAsia" w:ascii="Times New Roman" w:hAnsi="Times New Roman" w:eastAsia="宋体" w:cs="Times New Roman"/>
          <w:kern w:val="2"/>
          <w:sz w:val="21"/>
          <w:szCs w:val="21"/>
          <w:lang w:eastAsia="zh-CN"/>
        </w:rPr>
        <w:t>第</w:t>
      </w:r>
      <w:r>
        <w:rPr>
          <w:rFonts w:ascii="Times New Roman" w:hAnsi="Times New Roman" w:eastAsia="宋体" w:cs="Times New Roman"/>
          <w:kern w:val="2"/>
          <w:sz w:val="21"/>
          <w:szCs w:val="21"/>
          <w:lang w:eastAsia="zh-CN"/>
        </w:rPr>
        <w:t>i</w:t>
      </w:r>
      <w:r>
        <w:rPr>
          <w:rFonts w:hint="eastAsia" w:ascii="Times New Roman" w:hAnsi="Times New Roman" w:eastAsia="宋体" w:cs="Times New Roman"/>
          <w:kern w:val="2"/>
          <w:sz w:val="21"/>
          <w:szCs w:val="21"/>
          <w:lang w:eastAsia="zh-CN"/>
        </w:rPr>
        <w:t>种活动对应的温室气体</w:t>
      </w:r>
      <w:r>
        <w:rPr>
          <w:rFonts w:ascii="Times New Roman" w:hAnsi="Times New Roman" w:eastAsia="宋体" w:cs="Times New Roman"/>
          <w:kern w:val="2"/>
          <w:sz w:val="21"/>
          <w:szCs w:val="21"/>
          <w:lang w:eastAsia="zh-CN"/>
        </w:rPr>
        <w:t>j</w:t>
      </w:r>
      <w:r>
        <w:rPr>
          <w:rFonts w:hint="eastAsia" w:ascii="Times New Roman" w:hAnsi="Times New Roman" w:eastAsia="宋体" w:cs="Times New Roman"/>
          <w:kern w:val="2"/>
          <w:sz w:val="21"/>
          <w:szCs w:val="21"/>
          <w:lang w:eastAsia="zh-CN"/>
        </w:rPr>
        <w:t>的排放因子，单位与</w:t>
      </w:r>
      <w:r>
        <w:rPr>
          <w:rFonts w:ascii="Times New Roman" w:hAnsi="Times New Roman" w:eastAsia="宋体" w:cs="Times New Roman"/>
          <w:kern w:val="2"/>
          <w:sz w:val="21"/>
          <w:szCs w:val="21"/>
          <w:lang w:eastAsia="zh-CN"/>
        </w:rPr>
        <w:t>GHG</w:t>
      </w:r>
      <w:r>
        <w:rPr>
          <w:rFonts w:hint="eastAsia" w:ascii="Times New Roman" w:hAnsi="Times New Roman" w:eastAsia="宋体" w:cs="Times New Roman"/>
          <w:kern w:val="2"/>
          <w:sz w:val="21"/>
          <w:szCs w:val="21"/>
          <w:lang w:eastAsia="zh-CN"/>
        </w:rPr>
        <w:t>活动数据相匹配</w:t>
      </w:r>
      <w:r>
        <w:rPr>
          <w:rFonts w:ascii="Times New Roman" w:hAnsi="Times New Roman" w:eastAsia="宋体" w:cs="Times New Roman"/>
          <w:kern w:val="2"/>
          <w:sz w:val="21"/>
          <w:szCs w:val="21"/>
          <w:lang w:eastAsia="zh-CN"/>
        </w:rPr>
        <w:t>；</w:t>
      </w:r>
    </w:p>
    <w:p w14:paraId="6E2B1FFF">
      <w:pPr>
        <w:adjustRightInd w:val="0"/>
        <w:snapToGrid w:val="0"/>
        <w:spacing w:after="0" w:line="360" w:lineRule="auto"/>
        <w:jc w:val="both"/>
        <w:rPr>
          <w:rFonts w:ascii="Times New Roman" w:hAnsi="Times New Roman" w:eastAsia="宋体" w:cs="Times New Roman"/>
          <w:kern w:val="2"/>
          <w:sz w:val="21"/>
          <w:szCs w:val="21"/>
          <w:lang w:eastAsia="zh-CN"/>
        </w:rPr>
      </w:pPr>
      <w:bookmarkStart w:id="110" w:name="_Hlk199925822"/>
      <w:r>
        <w:rPr>
          <w:rFonts w:ascii="Times New Roman" w:hAnsi="Times New Roman" w:eastAsia="宋体" w:cs="Times New Roman"/>
          <w:kern w:val="2"/>
          <w:sz w:val="21"/>
          <w:szCs w:val="21"/>
          <w:lang w:eastAsia="zh-CN"/>
        </w:rPr>
        <w:drawing>
          <wp:inline distT="0" distB="0" distL="0" distR="0">
            <wp:extent cx="581025" cy="190500"/>
            <wp:effectExtent l="0" t="0" r="9525" b="0"/>
            <wp:docPr id="13035097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50978" name="图片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81025" cy="190500"/>
                    </a:xfrm>
                    <a:prstGeom prst="rect">
                      <a:avLst/>
                    </a:prstGeom>
                    <a:noFill/>
                    <a:ln>
                      <a:noFill/>
                    </a:ln>
                  </pic:spPr>
                </pic:pic>
              </a:graphicData>
            </a:graphic>
          </wp:inline>
        </w:drawing>
      </w:r>
      <w:r>
        <w:rPr>
          <w:rFonts w:ascii="Times New Roman" w:hAnsi="Times New Roman" w:eastAsia="宋体" w:cs="Times New Roman"/>
          <w:kern w:val="2"/>
          <w:sz w:val="21"/>
          <w:szCs w:val="21"/>
          <w:lang w:eastAsia="zh-CN"/>
        </w:rPr>
        <w:t>——</w:t>
      </w:r>
      <w:bookmarkStart w:id="111" w:name="_Hlk199926035"/>
      <w:r>
        <w:rPr>
          <w:rFonts w:hint="eastAsia" w:ascii="Times New Roman" w:hAnsi="Times New Roman" w:eastAsia="宋体" w:cs="Times New Roman"/>
          <w:kern w:val="2"/>
          <w:sz w:val="21"/>
          <w:szCs w:val="21"/>
          <w:lang w:eastAsia="zh-CN"/>
        </w:rPr>
        <w:t>温室气体</w:t>
      </w:r>
      <w:r>
        <w:rPr>
          <w:rFonts w:ascii="Times New Roman" w:hAnsi="Times New Roman" w:eastAsia="宋体" w:cs="Times New Roman"/>
          <w:kern w:val="2"/>
          <w:sz w:val="21"/>
          <w:szCs w:val="21"/>
          <w:lang w:eastAsia="zh-CN"/>
        </w:rPr>
        <w:t>j</w:t>
      </w:r>
      <w:r>
        <w:rPr>
          <w:rFonts w:hint="eastAsia" w:ascii="Times New Roman" w:hAnsi="Times New Roman" w:eastAsia="宋体" w:cs="Times New Roman"/>
          <w:kern w:val="2"/>
          <w:sz w:val="21"/>
          <w:szCs w:val="21"/>
          <w:lang w:eastAsia="zh-CN"/>
        </w:rPr>
        <w:t>的</w:t>
      </w:r>
      <w:r>
        <w:rPr>
          <w:rFonts w:ascii="Times New Roman" w:hAnsi="Times New Roman" w:eastAsia="宋体" w:cs="Times New Roman"/>
          <w:kern w:val="2"/>
          <w:sz w:val="21"/>
          <w:szCs w:val="21"/>
          <w:lang w:eastAsia="zh-CN"/>
        </w:rPr>
        <w:t>GWP</w:t>
      </w:r>
      <w:r>
        <w:rPr>
          <w:rFonts w:hint="eastAsia" w:ascii="Times New Roman" w:hAnsi="Times New Roman" w:eastAsia="宋体" w:cs="Times New Roman"/>
          <w:kern w:val="2"/>
          <w:sz w:val="21"/>
          <w:szCs w:val="21"/>
          <w:lang w:eastAsia="zh-CN"/>
        </w:rPr>
        <w:t>值</w:t>
      </w:r>
      <w:bookmarkEnd w:id="111"/>
      <w:r>
        <w:rPr>
          <w:rFonts w:hint="eastAsia" w:ascii="Times New Roman" w:hAnsi="Times New Roman" w:eastAsia="宋体" w:cs="Times New Roman"/>
          <w:kern w:val="2"/>
          <w:sz w:val="21"/>
          <w:szCs w:val="21"/>
          <w:lang w:eastAsia="zh-CN"/>
        </w:rPr>
        <w:t>，</w:t>
      </w:r>
      <w:bookmarkEnd w:id="110"/>
      <w:r>
        <w:rPr>
          <w:rFonts w:hint="eastAsia" w:ascii="Times New Roman" w:hAnsi="Times New Roman" w:eastAsia="宋体" w:cs="Times New Roman"/>
          <w:kern w:val="2"/>
          <w:sz w:val="21"/>
          <w:szCs w:val="21"/>
          <w:lang w:eastAsia="zh-CN"/>
        </w:rPr>
        <w:t>按</w:t>
      </w:r>
      <w:r>
        <w:rPr>
          <w:rFonts w:ascii="Times New Roman" w:hAnsi="Times New Roman" w:eastAsia="宋体" w:cs="Times New Roman"/>
          <w:kern w:val="2"/>
          <w:sz w:val="21"/>
          <w:szCs w:val="21"/>
          <w:lang w:eastAsia="zh-CN"/>
        </w:rPr>
        <w:t>8.1</w:t>
      </w:r>
      <w:r>
        <w:rPr>
          <w:rFonts w:hint="eastAsia" w:ascii="Times New Roman" w:hAnsi="Times New Roman" w:eastAsia="宋体" w:cs="Times New Roman"/>
          <w:kern w:val="2"/>
          <w:sz w:val="21"/>
          <w:szCs w:val="21"/>
          <w:lang w:eastAsia="zh-CN"/>
        </w:rPr>
        <w:t>中的规定取值</w:t>
      </w:r>
      <w:r>
        <w:rPr>
          <w:rFonts w:ascii="Times New Roman" w:hAnsi="Times New Roman" w:eastAsia="宋体" w:cs="Times New Roman"/>
          <w:kern w:val="2"/>
          <w:sz w:val="21"/>
          <w:szCs w:val="21"/>
          <w:lang w:eastAsia="zh-CN"/>
        </w:rPr>
        <w:t>。</w:t>
      </w:r>
    </w:p>
    <w:p w14:paraId="05C64508">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112" w:name="_Toc1226446111"/>
      <w:r>
        <w:rPr>
          <w:rFonts w:hint="eastAsia" w:ascii="黑体" w:hAnsi="黑体" w:eastAsia="黑体" w:cs="黑体"/>
          <w:bCs/>
          <w:kern w:val="44"/>
          <w:sz w:val="21"/>
          <w:szCs w:val="44"/>
          <w:lang w:eastAsia="zh-CN"/>
        </w:rPr>
        <w:t>9 产品碳足迹结果解释</w:t>
      </w:r>
      <w:bookmarkEnd w:id="112"/>
    </w:p>
    <w:p w14:paraId="36671FFF">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9.1 产品碳足迹研究的生命周期结果解释阶段应包括以下步骤：</w:t>
      </w:r>
    </w:p>
    <w:p w14:paraId="2D43495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 根据生命周期清单分析和生命周期影响评价的稀土冶炼分离产品碳足迹的量化结果，识别显著环节（可包括生命周期阶段、单元过程或流）；</w:t>
      </w:r>
    </w:p>
    <w:p w14:paraId="0962327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 完整性、一致性和敏感性分析的评估；</w:t>
      </w:r>
    </w:p>
    <w:p w14:paraId="1736526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 结论、局限性和建议的编制。</w:t>
      </w:r>
    </w:p>
    <w:p w14:paraId="1A04E19D">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9.2 按照产品碳足迹研究的目的和范围，对产品碳足迹影响评价的量化结果进行解释，解释应包括以下内容：</w:t>
      </w:r>
    </w:p>
    <w:p w14:paraId="484FF87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 说明产品碳足迹和各阶段碳足迹；</w:t>
      </w:r>
    </w:p>
    <w:p w14:paraId="3EFC8C95">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 分析不确定性，包括取舍准则的应用或范围；</w:t>
      </w:r>
    </w:p>
    <w:p w14:paraId="79A9FA4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 详细记录选定的分配程序；</w:t>
      </w:r>
    </w:p>
    <w:p w14:paraId="08F47BC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 说明产品碳足迹研究的局限性。</w:t>
      </w:r>
    </w:p>
    <w:p w14:paraId="263E0585">
      <w:pPr>
        <w:adjustRightInd w:val="0"/>
        <w:snapToGrid w:val="0"/>
        <w:spacing w:before="158" w:beforeLines="50" w:after="158" w:afterLines="50" w:line="360" w:lineRule="auto"/>
        <w:jc w:val="both"/>
        <w:rPr>
          <w:rFonts w:ascii="黑体" w:hAnsi="黑体" w:eastAsia="黑体" w:cs="黑体"/>
          <w:kern w:val="2"/>
          <w:sz w:val="21"/>
          <w:szCs w:val="24"/>
          <w:lang w:eastAsia="zh-CN"/>
        </w:rPr>
      </w:pPr>
      <w:r>
        <w:rPr>
          <w:rFonts w:hint="eastAsia" w:ascii="黑体" w:hAnsi="黑体" w:eastAsia="黑体" w:cs="黑体"/>
          <w:kern w:val="2"/>
          <w:sz w:val="21"/>
          <w:szCs w:val="24"/>
          <w:lang w:eastAsia="zh-CN"/>
        </w:rPr>
        <w:t>9.3 结果解释宜包括以下内容：</w:t>
      </w:r>
    </w:p>
    <w:p w14:paraId="346692F0">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 分析重要输入、输出和方法学选择（包括分配程序）的敏感性，以了解结果的敏感性和不确定性；</w:t>
      </w:r>
    </w:p>
    <w:p w14:paraId="03A9023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 评估建议对结果的影响。</w:t>
      </w:r>
    </w:p>
    <w:p w14:paraId="519B4EAE">
      <w:pPr>
        <w:keepNext/>
        <w:keepLines/>
        <w:adjustRightInd w:val="0"/>
        <w:snapToGrid w:val="0"/>
        <w:spacing w:before="317" w:beforeLines="100" w:after="317" w:afterLines="100" w:line="360" w:lineRule="auto"/>
        <w:jc w:val="both"/>
        <w:outlineLvl w:val="0"/>
        <w:rPr>
          <w:rFonts w:ascii="黑体" w:hAnsi="黑体" w:eastAsia="黑体" w:cs="黑体"/>
          <w:bCs/>
          <w:kern w:val="44"/>
          <w:sz w:val="21"/>
          <w:szCs w:val="44"/>
          <w:lang w:eastAsia="zh-CN"/>
        </w:rPr>
      </w:pPr>
      <w:bookmarkStart w:id="113" w:name="_Toc1331743671"/>
      <w:r>
        <w:rPr>
          <w:rFonts w:hint="eastAsia" w:ascii="黑体" w:hAnsi="黑体" w:eastAsia="黑体" w:cs="黑体"/>
          <w:bCs/>
          <w:kern w:val="44"/>
          <w:sz w:val="21"/>
          <w:szCs w:val="44"/>
          <w:lang w:eastAsia="zh-CN"/>
        </w:rPr>
        <w:t>10 产品碳足迹报告</w:t>
      </w:r>
      <w:bookmarkEnd w:id="113"/>
    </w:p>
    <w:p w14:paraId="2C2ED02F">
      <w:pPr>
        <w:keepNext/>
        <w:keepLines/>
        <w:widowControl w:val="0"/>
        <w:suppressLineNumbers w:val="0"/>
        <w:adjustRightInd w:val="0"/>
        <w:snapToGrid w:val="0"/>
        <w:spacing w:before="120" w:beforeLines="50" w:beforeAutospacing="0" w:after="120" w:afterLines="50" w:afterAutospacing="0" w:line="360" w:lineRule="auto"/>
        <w:ind w:left="0" w:right="0" w:firstLine="0" w:firstLineChars="0"/>
        <w:jc w:val="both"/>
        <w:rPr>
          <w:rFonts w:hint="default" w:ascii="黑体" w:hAnsi="宋体" w:eastAsia="黑体" w:cs="黑体"/>
          <w:bCs/>
          <w:kern w:val="44"/>
          <w:sz w:val="21"/>
          <w:szCs w:val="21"/>
        </w:rPr>
      </w:pPr>
      <w:bookmarkStart w:id="114" w:name="_Toc12147"/>
      <w:bookmarkStart w:id="115" w:name="_Toc29457"/>
      <w:bookmarkStart w:id="116" w:name="_Toc11457"/>
      <w:bookmarkStart w:id="117" w:name="_Toc531265229"/>
      <w:bookmarkStart w:id="118" w:name="_Toc27489"/>
      <w:bookmarkStart w:id="119" w:name="_Toc132113217"/>
      <w:bookmarkStart w:id="120" w:name="_Hlk131067526"/>
      <w:r>
        <w:rPr>
          <w:rFonts w:hint="default" w:ascii="黑体" w:hAnsi="宋体" w:eastAsia="黑体" w:cs="黑体"/>
          <w:bCs/>
          <w:kern w:val="44"/>
          <w:sz w:val="21"/>
          <w:szCs w:val="21"/>
          <w:lang w:val="en-US" w:eastAsia="zh-CN" w:bidi="ar"/>
        </w:rPr>
        <w:t>10.1 报告内容</w:t>
      </w:r>
    </w:p>
    <w:p w14:paraId="4A18CFED">
      <w:pPr>
        <w:keepNext w:val="0"/>
        <w:keepLines w:val="0"/>
        <w:widowControl w:val="0"/>
        <w:suppressLineNumbers w:val="0"/>
        <w:spacing w:before="0" w:beforeAutospacing="0" w:after="0" w:afterAutospacing="0" w:line="360" w:lineRule="auto"/>
        <w:ind w:left="0" w:right="0" w:firstLine="420" w:firstLineChars="200"/>
        <w:jc w:val="both"/>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稀土冶炼分离产品碳足迹报告可参考附录</w:t>
      </w:r>
      <w:r>
        <w:rPr>
          <w:rFonts w:hint="default" w:ascii="Times New Roman" w:hAnsi="Times New Roman" w:eastAsia="宋体" w:cs="Times New Roman"/>
          <w:kern w:val="2"/>
          <w:sz w:val="21"/>
          <w:szCs w:val="21"/>
          <w:lang w:val="en-US" w:eastAsia="zh-CN" w:bidi="ar"/>
        </w:rPr>
        <w:t>E</w:t>
      </w:r>
      <w:r>
        <w:rPr>
          <w:rFonts w:hint="eastAsia" w:ascii="宋体" w:hAnsi="宋体" w:eastAsia="宋体" w:cs="宋体"/>
          <w:kern w:val="2"/>
          <w:sz w:val="21"/>
          <w:szCs w:val="21"/>
          <w:lang w:val="en-US" w:eastAsia="zh-CN" w:bidi="ar"/>
        </w:rPr>
        <w:t>提供的模板进行编制。</w:t>
      </w:r>
    </w:p>
    <w:p w14:paraId="50A69D56">
      <w:pPr>
        <w:keepNext/>
        <w:keepLines/>
        <w:widowControl w:val="0"/>
        <w:suppressLineNumbers w:val="0"/>
        <w:adjustRightInd w:val="0"/>
        <w:snapToGrid w:val="0"/>
        <w:spacing w:before="120" w:beforeLines="50" w:beforeAutospacing="0" w:after="120" w:afterLines="50" w:afterAutospacing="0" w:line="360" w:lineRule="auto"/>
        <w:ind w:left="0" w:right="0" w:firstLine="0" w:firstLineChars="0"/>
        <w:jc w:val="both"/>
        <w:rPr>
          <w:rFonts w:hint="default" w:ascii="黑体" w:hAnsi="宋体" w:eastAsia="黑体" w:cs="黑体"/>
          <w:bCs/>
          <w:kern w:val="44"/>
          <w:sz w:val="21"/>
          <w:szCs w:val="21"/>
        </w:rPr>
      </w:pPr>
      <w:r>
        <w:rPr>
          <w:rFonts w:hint="default" w:ascii="黑体" w:hAnsi="宋体" w:eastAsia="黑体" w:cs="黑体"/>
          <w:bCs/>
          <w:kern w:val="44"/>
          <w:sz w:val="21"/>
          <w:szCs w:val="21"/>
          <w:lang w:val="en-US" w:eastAsia="zh-CN" w:bidi="ar"/>
        </w:rPr>
        <w:t>10.2 披露形式</w:t>
      </w:r>
    </w:p>
    <w:p w14:paraId="2DAB5D31">
      <w:pPr>
        <w:keepNext w:val="0"/>
        <w:keepLines w:val="0"/>
        <w:widowControl w:val="0"/>
        <w:suppressLineNumbers w:val="0"/>
        <w:spacing w:before="120" w:beforeLines="50" w:beforeAutospacing="0" w:after="0" w:afterAutospacing="0" w:line="360" w:lineRule="auto"/>
        <w:ind w:left="0" w:right="0" w:firstLine="420" w:firstLineChars="200"/>
        <w:jc w:val="both"/>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产品碳足迹报告应符合国家或地方法律法规及有关规定，产品碳足迹披露可采用以下一种或多种形式：</w:t>
      </w:r>
    </w:p>
    <w:p w14:paraId="3B854D0F">
      <w:pPr>
        <w:keepNext w:val="0"/>
        <w:keepLines w:val="0"/>
        <w:widowControl w:val="0"/>
        <w:suppressLineNumbers w:val="0"/>
        <w:spacing w:before="0" w:beforeAutospacing="0" w:after="0" w:afterAutospacing="0" w:line="360" w:lineRule="auto"/>
        <w:ind w:left="0" w:right="0"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a</w:t>
      </w:r>
      <w:r>
        <w:rPr>
          <w:rFonts w:hint="eastAsia" w:ascii="宋体" w:hAnsi="宋体" w:eastAsia="宋体" w:cs="宋体"/>
          <w:kern w:val="2"/>
          <w:sz w:val="21"/>
          <w:szCs w:val="21"/>
          <w:lang w:val="en-US" w:eastAsia="zh-CN" w:bidi="ar"/>
        </w:rPr>
        <w:t>）</w:t>
      </w:r>
      <w:r>
        <w:rPr>
          <w:rFonts w:hint="eastAsia"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产品碳足迹报告；</w:t>
      </w:r>
      <w:r>
        <w:rPr>
          <w:rFonts w:hint="eastAsia" w:ascii="Times New Roman" w:hAnsi="Times New Roman" w:eastAsia="宋体" w:cs="Times New Roman"/>
          <w:kern w:val="2"/>
          <w:sz w:val="21"/>
          <w:szCs w:val="21"/>
          <w:lang w:val="en-US" w:eastAsia="zh-CN" w:bidi="ar"/>
        </w:rPr>
        <w:t xml:space="preserve"> </w:t>
      </w:r>
    </w:p>
    <w:p w14:paraId="637279C2">
      <w:pPr>
        <w:keepNext w:val="0"/>
        <w:keepLines w:val="0"/>
        <w:widowControl w:val="0"/>
        <w:suppressLineNumbers w:val="0"/>
        <w:spacing w:before="0" w:beforeAutospacing="0" w:after="0" w:afterAutospacing="0" w:line="360" w:lineRule="auto"/>
        <w:ind w:left="0" w:right="0"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b</w:t>
      </w:r>
      <w:r>
        <w:rPr>
          <w:rFonts w:hint="eastAsia" w:ascii="宋体" w:hAnsi="宋体" w:eastAsia="宋体" w:cs="宋体"/>
          <w:kern w:val="2"/>
          <w:sz w:val="21"/>
          <w:szCs w:val="21"/>
          <w:lang w:val="en-US" w:eastAsia="zh-CN" w:bidi="ar"/>
        </w:rPr>
        <w:t>）</w:t>
      </w:r>
      <w:r>
        <w:rPr>
          <w:rFonts w:hint="eastAsia"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产品碳足迹标签；</w:t>
      </w:r>
      <w:r>
        <w:rPr>
          <w:rFonts w:hint="eastAsia" w:ascii="Times New Roman" w:hAnsi="Times New Roman" w:eastAsia="宋体" w:cs="Times New Roman"/>
          <w:kern w:val="2"/>
          <w:sz w:val="21"/>
          <w:szCs w:val="21"/>
          <w:lang w:val="en-US" w:eastAsia="zh-CN" w:bidi="ar"/>
        </w:rPr>
        <w:t xml:space="preserve"> </w:t>
      </w:r>
    </w:p>
    <w:p w14:paraId="546514DD">
      <w:pPr>
        <w:keepNext w:val="0"/>
        <w:keepLines w:val="0"/>
        <w:widowControl w:val="0"/>
        <w:suppressLineNumbers w:val="0"/>
        <w:spacing w:before="0" w:beforeAutospacing="0" w:after="0" w:afterAutospacing="0" w:line="360" w:lineRule="auto"/>
        <w:ind w:left="0" w:right="0"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c</w:t>
      </w:r>
      <w:r>
        <w:rPr>
          <w:rFonts w:hint="eastAsia" w:ascii="宋体" w:hAnsi="宋体" w:eastAsia="宋体" w:cs="宋体"/>
          <w:kern w:val="2"/>
          <w:sz w:val="21"/>
          <w:szCs w:val="21"/>
          <w:lang w:val="en-US" w:eastAsia="zh-CN" w:bidi="ar"/>
        </w:rPr>
        <w:t>）</w:t>
      </w:r>
      <w:r>
        <w:rPr>
          <w:rFonts w:hint="eastAsia"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产品碳足迹申明；</w:t>
      </w:r>
    </w:p>
    <w:p w14:paraId="32E744C3">
      <w:pPr>
        <w:keepNext w:val="0"/>
        <w:keepLines w:val="0"/>
        <w:widowControl w:val="0"/>
        <w:suppressLineNumbers w:val="0"/>
        <w:spacing w:before="0" w:beforeAutospacing="0" w:after="0" w:afterAutospacing="0" w:line="360" w:lineRule="auto"/>
        <w:ind w:left="0" w:right="0"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d</w:t>
      </w:r>
      <w:r>
        <w:rPr>
          <w:rFonts w:hint="eastAsia" w:ascii="宋体" w:hAnsi="宋体" w:eastAsia="宋体" w:cs="宋体"/>
          <w:kern w:val="2"/>
          <w:sz w:val="21"/>
          <w:szCs w:val="21"/>
          <w:lang w:val="en-US" w:eastAsia="zh-CN" w:bidi="ar"/>
        </w:rPr>
        <w:t>） 其他披露形式。</w:t>
      </w:r>
    </w:p>
    <w:p w14:paraId="3B67DFF0">
      <w:pPr>
        <w:keepNext w:val="0"/>
        <w:keepLines w:val="0"/>
        <w:widowControl w:val="0"/>
        <w:suppressLineNumbers w:val="0"/>
        <w:spacing w:before="0" w:beforeAutospacing="0" w:after="0" w:afterAutospacing="0" w:line="360" w:lineRule="auto"/>
        <w:ind w:left="0" w:right="0" w:firstLine="420" w:firstLineChars="200"/>
        <w:jc w:val="both"/>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若采用后三种披露方式，应同时出具产品碳足迹报告。</w:t>
      </w:r>
    </w:p>
    <w:p w14:paraId="6DCE6144">
      <w:pPr>
        <w:keepNext/>
        <w:keepLines/>
        <w:adjustRightInd w:val="0"/>
        <w:snapToGrid w:val="0"/>
        <w:spacing w:before="100" w:after="90" w:line="240" w:lineRule="auto"/>
        <w:jc w:val="center"/>
        <w:outlineLvl w:val="0"/>
        <w:rPr>
          <w:rFonts w:hint="eastAsia" w:ascii="黑体" w:hAnsi="黑体" w:eastAsia="黑体" w:cs="黑体"/>
          <w:bCs/>
          <w:kern w:val="44"/>
          <w:sz w:val="21"/>
          <w:szCs w:val="44"/>
          <w:lang w:eastAsia="zh-CN"/>
        </w:rPr>
        <w:sectPr>
          <w:footerReference r:id="rId13" w:type="default"/>
          <w:pgSz w:w="11920" w:h="16840"/>
          <w:pgMar w:top="1080" w:right="1640" w:bottom="1180" w:left="1680" w:header="880" w:footer="982" w:gutter="0"/>
          <w:pgNumType w:fmt="decimal"/>
          <w:cols w:space="720" w:num="1"/>
        </w:sectPr>
      </w:pPr>
    </w:p>
    <w:p w14:paraId="01B042FD">
      <w:pPr>
        <w:keepNext/>
        <w:keepLines/>
        <w:adjustRightInd w:val="0"/>
        <w:snapToGrid w:val="0"/>
        <w:spacing w:before="100" w:after="90" w:line="240" w:lineRule="auto"/>
        <w:jc w:val="center"/>
        <w:outlineLvl w:val="0"/>
        <w:rPr>
          <w:rFonts w:ascii="宋体" w:hAnsi="宋体" w:eastAsia="黑体" w:cs="Times New Roman"/>
          <w:bCs/>
          <w:kern w:val="44"/>
          <w:sz w:val="21"/>
          <w:szCs w:val="44"/>
          <w:lang w:eastAsia="zh-CN"/>
        </w:rPr>
      </w:pPr>
      <w:bookmarkStart w:id="121" w:name="_Toc1541309463"/>
      <w:r>
        <w:rPr>
          <w:rFonts w:hint="eastAsia" w:ascii="黑体" w:hAnsi="黑体" w:eastAsia="黑体" w:cs="黑体"/>
          <w:bCs/>
          <w:kern w:val="44"/>
          <w:sz w:val="21"/>
          <w:szCs w:val="44"/>
          <w:lang w:eastAsia="zh-CN"/>
        </w:rPr>
        <w:t xml:space="preserve">附录 </w:t>
      </w:r>
      <w:bookmarkEnd w:id="114"/>
      <w:bookmarkEnd w:id="115"/>
      <w:bookmarkEnd w:id="116"/>
      <w:bookmarkEnd w:id="117"/>
      <w:bookmarkEnd w:id="118"/>
      <w:bookmarkStart w:id="122" w:name="_Toc28592"/>
      <w:bookmarkStart w:id="123" w:name="_Toc531265230"/>
      <w:bookmarkStart w:id="124" w:name="_Toc5528"/>
      <w:r>
        <w:rPr>
          <w:rFonts w:ascii="黑体" w:hAnsi="黑体" w:eastAsia="黑体" w:cs="黑体"/>
          <w:bCs/>
          <w:kern w:val="44"/>
          <w:sz w:val="21"/>
          <w:szCs w:val="44"/>
          <w:lang w:eastAsia="zh-CN"/>
        </w:rPr>
        <w:t>A</w:t>
      </w:r>
      <w:bookmarkEnd w:id="119"/>
      <w:bookmarkEnd w:id="121"/>
    </w:p>
    <w:p w14:paraId="6206A1B9">
      <w:pPr>
        <w:spacing w:after="0" w:line="360" w:lineRule="auto"/>
        <w:jc w:val="center"/>
        <w:rPr>
          <w:rFonts w:ascii="黑体" w:hAnsi="黑体" w:eastAsia="黑体" w:cs="黑体"/>
          <w:kern w:val="2"/>
          <w:sz w:val="21"/>
          <w:szCs w:val="24"/>
          <w:lang w:eastAsia="zh-CN"/>
        </w:rPr>
      </w:pPr>
      <w:r>
        <w:rPr>
          <w:rFonts w:hint="eastAsia" w:ascii="黑体" w:hAnsi="黑体" w:eastAsia="黑体" w:cs="黑体"/>
          <w:kern w:val="2"/>
          <w:sz w:val="21"/>
          <w:szCs w:val="24"/>
          <w:lang w:eastAsia="zh-CN"/>
        </w:rPr>
        <w:t>（资料性）</w:t>
      </w:r>
      <w:bookmarkEnd w:id="120"/>
      <w:bookmarkEnd w:id="122"/>
      <w:bookmarkEnd w:id="123"/>
      <w:bookmarkEnd w:id="124"/>
    </w:p>
    <w:p w14:paraId="7C3F872A">
      <w:pPr>
        <w:spacing w:after="0" w:line="360" w:lineRule="auto"/>
        <w:jc w:val="center"/>
        <w:rPr>
          <w:rFonts w:ascii="黑体" w:hAnsi="黑体" w:eastAsia="黑体" w:cs="黑体"/>
          <w:kern w:val="2"/>
          <w:sz w:val="21"/>
          <w:szCs w:val="24"/>
          <w:lang w:eastAsia="zh-CN"/>
        </w:rPr>
      </w:pPr>
      <w:r>
        <w:rPr>
          <w:rFonts w:hint="eastAsia" w:ascii="黑体" w:hAnsi="黑体" w:eastAsia="黑体" w:cs="黑体"/>
          <w:kern w:val="2"/>
          <w:sz w:val="21"/>
          <w:szCs w:val="24"/>
          <w:lang w:eastAsia="zh-CN"/>
        </w:rPr>
        <w:t>稀土冶炼分离产品生命周期系统边界内各生产单元的温室气体排放源</w:t>
      </w:r>
    </w:p>
    <w:p w14:paraId="3E59A762">
      <w:pPr>
        <w:spacing w:after="0" w:line="360" w:lineRule="auto"/>
        <w:ind w:firstLine="420" w:firstLineChars="200"/>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稀土冶炼分离产品生命周期系统边界内各生产单元的温室气体排放源见A.1~表A.</w:t>
      </w:r>
      <w:r>
        <w:rPr>
          <w:rFonts w:hint="eastAsia" w:ascii="Times New Roman" w:hAnsi="Times New Roman" w:eastAsia="宋体" w:cs="Times New Roman"/>
          <w:kern w:val="2"/>
          <w:sz w:val="21"/>
          <w:szCs w:val="21"/>
          <w:lang w:val="en-US" w:eastAsia="zh-CN"/>
        </w:rPr>
        <w:t>4</w:t>
      </w:r>
      <w:r>
        <w:rPr>
          <w:rFonts w:hint="eastAsia" w:ascii="Times New Roman" w:hAnsi="Times New Roman" w:eastAsia="宋体" w:cs="Times New Roman"/>
          <w:kern w:val="2"/>
          <w:sz w:val="21"/>
          <w:szCs w:val="21"/>
          <w:lang w:eastAsia="zh-CN"/>
        </w:rPr>
        <w:t>。</w:t>
      </w:r>
    </w:p>
    <w:p w14:paraId="337730CB">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表A.1 稀土采矿单元温室气体排放源</w:t>
      </w:r>
    </w:p>
    <w:tbl>
      <w:tblPr>
        <w:tblStyle w:val="13"/>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737"/>
        <w:gridCol w:w="6196"/>
      </w:tblGrid>
      <w:tr w14:paraId="13F61AE1">
        <w:trPr>
          <w:trHeight w:val="94" w:hRule="atLeast"/>
          <w:jc w:val="center"/>
        </w:trPr>
        <w:tc>
          <w:tcPr>
            <w:tcW w:w="0" w:type="auto"/>
            <w:tcMar>
              <w:top w:w="120" w:type="dxa"/>
              <w:left w:w="120" w:type="dxa"/>
              <w:bottom w:w="120" w:type="dxa"/>
              <w:right w:w="120" w:type="dxa"/>
            </w:tcMar>
            <w:vAlign w:val="center"/>
          </w:tcPr>
          <w:p w14:paraId="1134BB0D">
            <w:pPr>
              <w:widowControl/>
              <w:spacing w:after="0" w:line="240" w:lineRule="auto"/>
              <w:jc w:val="center"/>
              <w:rPr>
                <w:rFonts w:ascii="Times New Roman" w:eastAsia="Times New Roman"/>
                <w:sz w:val="18"/>
                <w:szCs w:val="18"/>
              </w:rPr>
            </w:pPr>
            <w:r>
              <w:rPr>
                <w:rFonts w:hAnsi="宋体" w:cs="宋体"/>
                <w:sz w:val="18"/>
                <w:szCs w:val="18"/>
              </w:rPr>
              <w:t>排放类别</w:t>
            </w:r>
          </w:p>
        </w:tc>
        <w:tc>
          <w:tcPr>
            <w:tcW w:w="6196" w:type="dxa"/>
            <w:tcMar>
              <w:top w:w="120" w:type="dxa"/>
              <w:left w:w="120" w:type="dxa"/>
              <w:bottom w:w="120" w:type="dxa"/>
              <w:right w:w="120" w:type="dxa"/>
            </w:tcMar>
            <w:vAlign w:val="center"/>
          </w:tcPr>
          <w:p w14:paraId="2EF8A59C">
            <w:pPr>
              <w:widowControl/>
              <w:spacing w:after="0" w:line="240" w:lineRule="auto"/>
              <w:jc w:val="center"/>
              <w:rPr>
                <w:rFonts w:ascii="Times New Roman" w:eastAsia="Times New Roman"/>
                <w:sz w:val="18"/>
                <w:szCs w:val="18"/>
              </w:rPr>
            </w:pPr>
            <w:r>
              <w:rPr>
                <w:rFonts w:hAnsi="宋体" w:cs="宋体"/>
                <w:sz w:val="18"/>
                <w:szCs w:val="18"/>
              </w:rPr>
              <w:t>排放源</w:t>
            </w:r>
          </w:p>
        </w:tc>
      </w:tr>
      <w:tr w14:paraId="2A6D0A1A">
        <w:trPr>
          <w:trHeight w:val="30" w:hRule="atLeast"/>
          <w:jc w:val="center"/>
        </w:trPr>
        <w:tc>
          <w:tcPr>
            <w:tcW w:w="1737" w:type="dxa"/>
            <w:vMerge w:val="restart"/>
            <w:vAlign w:val="center"/>
          </w:tcPr>
          <w:p w14:paraId="1977373A">
            <w:pPr>
              <w:widowControl/>
              <w:spacing w:after="0" w:line="240" w:lineRule="auto"/>
              <w:jc w:val="center"/>
              <w:rPr>
                <w:rFonts w:ascii="Times New Roman"/>
                <w:sz w:val="18"/>
                <w:szCs w:val="18"/>
              </w:rPr>
            </w:pPr>
            <w:r>
              <w:rPr>
                <w:rFonts w:hint="eastAsia" w:ascii="Times New Roman"/>
                <w:sz w:val="18"/>
                <w:szCs w:val="18"/>
              </w:rPr>
              <w:t>燃料燃烧排放</w:t>
            </w:r>
          </w:p>
        </w:tc>
        <w:tc>
          <w:tcPr>
            <w:tcW w:w="6196" w:type="dxa"/>
            <w:tcMar>
              <w:top w:w="120" w:type="dxa"/>
              <w:left w:w="120" w:type="dxa"/>
              <w:bottom w:w="120" w:type="dxa"/>
              <w:right w:w="120" w:type="dxa"/>
            </w:tcMar>
            <w:vAlign w:val="center"/>
          </w:tcPr>
          <w:p w14:paraId="0D8E62B2">
            <w:pPr>
              <w:widowControl/>
              <w:spacing w:after="0" w:line="240" w:lineRule="auto"/>
              <w:rPr>
                <w:rFonts w:hAnsi="宋体" w:cs="宋体"/>
                <w:sz w:val="18"/>
                <w:szCs w:val="18"/>
                <w:lang w:eastAsia="zh-CN"/>
              </w:rPr>
            </w:pPr>
            <w:r>
              <w:rPr>
                <w:rFonts w:hAnsi="宋体" w:cs="宋体"/>
                <w:sz w:val="18"/>
                <w:szCs w:val="18"/>
                <w:lang w:eastAsia="zh-CN"/>
              </w:rPr>
              <w:t>固定和移动设备中的化石燃料燃烧（例如</w:t>
            </w:r>
            <w:r>
              <w:rPr>
                <w:rFonts w:hint="eastAsia" w:hAnsi="宋体" w:cs="宋体"/>
                <w:sz w:val="18"/>
                <w:szCs w:val="18"/>
                <w:lang w:eastAsia="zh-CN"/>
              </w:rPr>
              <w:t>运输卡车、</w:t>
            </w:r>
            <w:r>
              <w:rPr>
                <w:rFonts w:hAnsi="宋体" w:cs="宋体"/>
                <w:sz w:val="18"/>
                <w:szCs w:val="18"/>
                <w:lang w:eastAsia="zh-CN"/>
              </w:rPr>
              <w:t>辅助车辆）</w:t>
            </w:r>
          </w:p>
        </w:tc>
      </w:tr>
      <w:tr w14:paraId="67E4F97E">
        <w:trPr>
          <w:trHeight w:val="38" w:hRule="atLeast"/>
          <w:jc w:val="center"/>
        </w:trPr>
        <w:tc>
          <w:tcPr>
            <w:tcW w:w="1737" w:type="dxa"/>
            <w:vMerge w:val="continue"/>
            <w:vAlign w:val="center"/>
          </w:tcPr>
          <w:p w14:paraId="34294D34">
            <w:pPr>
              <w:widowControl/>
              <w:spacing w:after="0" w:line="240" w:lineRule="auto"/>
              <w:jc w:val="center"/>
              <w:rPr>
                <w:rFonts w:ascii="Times New Roman"/>
                <w:sz w:val="18"/>
                <w:szCs w:val="18"/>
                <w:lang w:eastAsia="zh-CN"/>
              </w:rPr>
            </w:pPr>
          </w:p>
        </w:tc>
        <w:tc>
          <w:tcPr>
            <w:tcW w:w="6196" w:type="dxa"/>
            <w:tcMar>
              <w:top w:w="120" w:type="dxa"/>
              <w:left w:w="120" w:type="dxa"/>
              <w:bottom w:w="120" w:type="dxa"/>
              <w:right w:w="120" w:type="dxa"/>
            </w:tcMar>
            <w:vAlign w:val="center"/>
          </w:tcPr>
          <w:p w14:paraId="2F83A1DA">
            <w:pPr>
              <w:widowControl/>
              <w:spacing w:after="0" w:line="240" w:lineRule="auto"/>
              <w:rPr>
                <w:rFonts w:hAnsi="宋体" w:cs="宋体"/>
                <w:sz w:val="18"/>
                <w:szCs w:val="18"/>
                <w:lang w:eastAsia="zh-CN"/>
              </w:rPr>
            </w:pPr>
            <w:r>
              <w:rPr>
                <w:rFonts w:hAnsi="宋体" w:cs="宋体"/>
                <w:sz w:val="18"/>
                <w:szCs w:val="18"/>
                <w:lang w:eastAsia="zh-CN"/>
              </w:rPr>
              <w:t>辅助、应急或污染控制设备中的固定排放</w:t>
            </w:r>
          </w:p>
        </w:tc>
      </w:tr>
      <w:tr w14:paraId="68AC96A9">
        <w:trPr>
          <w:trHeight w:val="72" w:hRule="atLeast"/>
          <w:jc w:val="center"/>
        </w:trPr>
        <w:tc>
          <w:tcPr>
            <w:tcW w:w="0" w:type="auto"/>
            <w:vAlign w:val="center"/>
          </w:tcPr>
          <w:p w14:paraId="564433AF">
            <w:pPr>
              <w:widowControl/>
              <w:spacing w:after="0" w:line="240" w:lineRule="auto"/>
              <w:jc w:val="center"/>
              <w:rPr>
                <w:rFonts w:ascii="Times New Roman"/>
                <w:sz w:val="18"/>
                <w:szCs w:val="18"/>
              </w:rPr>
            </w:pPr>
            <w:r>
              <w:rPr>
                <w:rFonts w:hint="eastAsia" w:ascii="Times New Roman"/>
                <w:sz w:val="18"/>
                <w:szCs w:val="18"/>
              </w:rPr>
              <w:t>能源相关排放</w:t>
            </w:r>
          </w:p>
        </w:tc>
        <w:tc>
          <w:tcPr>
            <w:tcW w:w="6196" w:type="dxa"/>
            <w:tcMar>
              <w:top w:w="120" w:type="dxa"/>
              <w:left w:w="120" w:type="dxa"/>
              <w:bottom w:w="120" w:type="dxa"/>
              <w:right w:w="120" w:type="dxa"/>
            </w:tcMar>
            <w:vAlign w:val="center"/>
          </w:tcPr>
          <w:p w14:paraId="117FA368">
            <w:pPr>
              <w:widowControl/>
              <w:spacing w:after="0" w:line="240" w:lineRule="auto"/>
              <w:rPr>
                <w:rFonts w:ascii="Times New Roman" w:eastAsia="Times New Roman"/>
                <w:sz w:val="18"/>
                <w:szCs w:val="18"/>
                <w:lang w:eastAsia="zh-CN"/>
              </w:rPr>
            </w:pPr>
            <w:r>
              <w:rPr>
                <w:rFonts w:hAnsi="宋体" w:cs="宋体"/>
                <w:sz w:val="18"/>
                <w:szCs w:val="18"/>
                <w:lang w:eastAsia="zh-CN"/>
              </w:rPr>
              <w:t>购买或自备的电力、热力</w:t>
            </w:r>
          </w:p>
        </w:tc>
      </w:tr>
      <w:tr w14:paraId="4E46F984">
        <w:trPr>
          <w:trHeight w:val="150" w:hRule="atLeast"/>
          <w:jc w:val="center"/>
        </w:trPr>
        <w:tc>
          <w:tcPr>
            <w:tcW w:w="1737" w:type="dxa"/>
            <w:vMerge w:val="restart"/>
            <w:tcMar>
              <w:top w:w="120" w:type="dxa"/>
              <w:left w:w="120" w:type="dxa"/>
              <w:bottom w:w="120" w:type="dxa"/>
              <w:right w:w="120" w:type="dxa"/>
            </w:tcMar>
            <w:vAlign w:val="center"/>
          </w:tcPr>
          <w:p w14:paraId="401CAEFB">
            <w:pPr>
              <w:widowControl/>
              <w:spacing w:after="0" w:line="240" w:lineRule="auto"/>
              <w:jc w:val="center"/>
              <w:rPr>
                <w:rFonts w:ascii="Times New Roman" w:eastAsia="Times New Roman"/>
                <w:sz w:val="18"/>
                <w:szCs w:val="18"/>
              </w:rPr>
            </w:pPr>
            <w:r>
              <w:rPr>
                <w:rFonts w:hAnsi="宋体" w:cs="宋体"/>
                <w:sz w:val="18"/>
                <w:szCs w:val="18"/>
              </w:rPr>
              <w:t>其他排放</w:t>
            </w:r>
          </w:p>
        </w:tc>
        <w:tc>
          <w:tcPr>
            <w:tcW w:w="6196" w:type="dxa"/>
            <w:tcMar>
              <w:top w:w="120" w:type="dxa"/>
              <w:left w:w="120" w:type="dxa"/>
              <w:bottom w:w="120" w:type="dxa"/>
              <w:right w:w="120" w:type="dxa"/>
            </w:tcMar>
            <w:vAlign w:val="center"/>
          </w:tcPr>
          <w:p w14:paraId="2771A801">
            <w:pPr>
              <w:widowControl/>
              <w:spacing w:after="0" w:line="240" w:lineRule="auto"/>
              <w:rPr>
                <w:rFonts w:hAnsi="宋体" w:cs="宋体"/>
                <w:sz w:val="18"/>
                <w:szCs w:val="18"/>
                <w:lang w:eastAsia="zh-CN"/>
              </w:rPr>
            </w:pPr>
            <w:r>
              <w:rPr>
                <w:rFonts w:hAnsi="宋体" w:cs="宋体"/>
                <w:sz w:val="18"/>
                <w:szCs w:val="18"/>
                <w:lang w:eastAsia="zh-CN"/>
              </w:rPr>
              <w:t>上游第三方运输和配送</w:t>
            </w:r>
          </w:p>
        </w:tc>
      </w:tr>
      <w:tr w14:paraId="08679CE1">
        <w:trPr>
          <w:trHeight w:val="227" w:hRule="atLeast"/>
          <w:jc w:val="center"/>
        </w:trPr>
        <w:tc>
          <w:tcPr>
            <w:tcW w:w="1737" w:type="dxa"/>
            <w:vMerge w:val="continue"/>
            <w:tcMar>
              <w:top w:w="120" w:type="dxa"/>
              <w:left w:w="120" w:type="dxa"/>
              <w:bottom w:w="120" w:type="dxa"/>
              <w:right w:w="120" w:type="dxa"/>
            </w:tcMar>
            <w:vAlign w:val="center"/>
          </w:tcPr>
          <w:p w14:paraId="13DF1DEA">
            <w:pPr>
              <w:widowControl/>
              <w:spacing w:after="0" w:line="240" w:lineRule="auto"/>
              <w:jc w:val="center"/>
              <w:rPr>
                <w:rFonts w:ascii="Times New Roman" w:eastAsia="Times New Roman"/>
                <w:sz w:val="18"/>
                <w:szCs w:val="18"/>
                <w:lang w:eastAsia="zh-CN"/>
              </w:rPr>
            </w:pPr>
          </w:p>
        </w:tc>
        <w:tc>
          <w:tcPr>
            <w:tcW w:w="6196" w:type="dxa"/>
            <w:tcMar>
              <w:top w:w="120" w:type="dxa"/>
              <w:left w:w="120" w:type="dxa"/>
              <w:bottom w:w="120" w:type="dxa"/>
              <w:right w:w="120" w:type="dxa"/>
            </w:tcMar>
            <w:vAlign w:val="center"/>
          </w:tcPr>
          <w:p w14:paraId="4DD5B7BD">
            <w:pPr>
              <w:widowControl/>
              <w:spacing w:after="0" w:line="240" w:lineRule="auto"/>
              <w:rPr>
                <w:rFonts w:ascii="Times New Roman" w:eastAsia="Times New Roman"/>
                <w:sz w:val="18"/>
                <w:szCs w:val="18"/>
                <w:lang w:eastAsia="zh-CN"/>
              </w:rPr>
            </w:pPr>
            <w:r>
              <w:rPr>
                <w:rFonts w:hAnsi="宋体" w:cs="宋体"/>
                <w:sz w:val="18"/>
                <w:szCs w:val="18"/>
                <w:lang w:eastAsia="zh-CN"/>
              </w:rPr>
              <w:t>购买的燃料、原辅材料</w:t>
            </w:r>
            <w:r>
              <w:rPr>
                <w:rFonts w:hint="eastAsia" w:hAnsi="宋体" w:cs="宋体"/>
                <w:sz w:val="18"/>
                <w:szCs w:val="18"/>
                <w:lang w:eastAsia="zh-CN"/>
              </w:rPr>
              <w:t>等</w:t>
            </w:r>
            <w:r>
              <w:rPr>
                <w:rFonts w:hAnsi="宋体" w:cs="宋体"/>
                <w:sz w:val="18"/>
                <w:szCs w:val="18"/>
                <w:lang w:eastAsia="zh-CN"/>
              </w:rPr>
              <w:t>的上游排放</w:t>
            </w:r>
          </w:p>
          <w:p w14:paraId="718B4F21">
            <w:pPr>
              <w:spacing w:after="0" w:line="240" w:lineRule="auto"/>
              <w:rPr>
                <w:rFonts w:ascii="Times New Roman" w:eastAsia="Times New Roman"/>
                <w:sz w:val="18"/>
                <w:szCs w:val="18"/>
                <w:lang w:eastAsia="zh-CN"/>
              </w:rPr>
            </w:pPr>
            <w:r>
              <w:rPr>
                <w:rFonts w:hint="eastAsia" w:hAnsi="宋体" w:cs="宋体"/>
                <w:sz w:val="18"/>
                <w:szCs w:val="18"/>
                <w:lang w:eastAsia="zh-CN"/>
              </w:rPr>
              <w:t>尾矿处理</w:t>
            </w:r>
          </w:p>
        </w:tc>
      </w:tr>
    </w:tbl>
    <w:p w14:paraId="60EF7595">
      <w:pPr>
        <w:spacing w:after="0" w:line="360" w:lineRule="auto"/>
        <w:jc w:val="center"/>
        <w:rPr>
          <w:rFonts w:ascii="黑体" w:hAnsi="黑体" w:eastAsia="黑体" w:cs="黑体"/>
          <w:kern w:val="2"/>
          <w:sz w:val="21"/>
          <w:szCs w:val="24"/>
          <w:lang w:eastAsia="zh-CN"/>
        </w:rPr>
      </w:pPr>
    </w:p>
    <w:p w14:paraId="7DE4CCA8">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表A.2 稀土选矿单元温室气体排放源</w:t>
      </w:r>
    </w:p>
    <w:tbl>
      <w:tblPr>
        <w:tblStyle w:val="13"/>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737"/>
        <w:gridCol w:w="6196"/>
      </w:tblGrid>
      <w:tr w14:paraId="31B16EF8">
        <w:trPr>
          <w:trHeight w:val="164" w:hRule="atLeast"/>
          <w:jc w:val="center"/>
        </w:trPr>
        <w:tc>
          <w:tcPr>
            <w:tcW w:w="0" w:type="auto"/>
            <w:tcMar>
              <w:top w:w="120" w:type="dxa"/>
              <w:left w:w="120" w:type="dxa"/>
              <w:bottom w:w="120" w:type="dxa"/>
              <w:right w:w="120" w:type="dxa"/>
            </w:tcMar>
            <w:vAlign w:val="center"/>
          </w:tcPr>
          <w:p w14:paraId="32527A6C">
            <w:pPr>
              <w:widowControl/>
              <w:spacing w:after="0" w:line="240" w:lineRule="auto"/>
              <w:jc w:val="center"/>
              <w:rPr>
                <w:rFonts w:ascii="Times New Roman" w:eastAsia="Times New Roman"/>
                <w:sz w:val="18"/>
                <w:szCs w:val="18"/>
              </w:rPr>
            </w:pPr>
            <w:r>
              <w:rPr>
                <w:rFonts w:hAnsi="宋体" w:cs="宋体"/>
                <w:sz w:val="18"/>
                <w:szCs w:val="18"/>
              </w:rPr>
              <w:t>排放类别</w:t>
            </w:r>
          </w:p>
        </w:tc>
        <w:tc>
          <w:tcPr>
            <w:tcW w:w="6196" w:type="dxa"/>
            <w:tcMar>
              <w:top w:w="120" w:type="dxa"/>
              <w:left w:w="120" w:type="dxa"/>
              <w:bottom w:w="120" w:type="dxa"/>
              <w:right w:w="120" w:type="dxa"/>
            </w:tcMar>
            <w:vAlign w:val="center"/>
          </w:tcPr>
          <w:p w14:paraId="212F6138">
            <w:pPr>
              <w:widowControl/>
              <w:spacing w:after="0" w:line="240" w:lineRule="auto"/>
              <w:jc w:val="center"/>
              <w:rPr>
                <w:rFonts w:ascii="Times New Roman" w:eastAsia="Times New Roman"/>
                <w:sz w:val="18"/>
                <w:szCs w:val="18"/>
              </w:rPr>
            </w:pPr>
            <w:r>
              <w:rPr>
                <w:rFonts w:hAnsi="宋体" w:cs="宋体"/>
                <w:sz w:val="18"/>
                <w:szCs w:val="18"/>
              </w:rPr>
              <w:t>排放源</w:t>
            </w:r>
          </w:p>
        </w:tc>
      </w:tr>
      <w:tr w14:paraId="19074A9F">
        <w:trPr>
          <w:trHeight w:val="255" w:hRule="atLeast"/>
          <w:jc w:val="center"/>
        </w:trPr>
        <w:tc>
          <w:tcPr>
            <w:tcW w:w="1737" w:type="dxa"/>
            <w:vMerge w:val="restart"/>
            <w:vAlign w:val="center"/>
          </w:tcPr>
          <w:p w14:paraId="7EFB00D3">
            <w:pPr>
              <w:widowControl/>
              <w:spacing w:after="0" w:line="240" w:lineRule="auto"/>
              <w:jc w:val="center"/>
              <w:rPr>
                <w:rFonts w:ascii="Times New Roman"/>
                <w:sz w:val="18"/>
                <w:szCs w:val="18"/>
              </w:rPr>
            </w:pPr>
            <w:r>
              <w:rPr>
                <w:rFonts w:hint="eastAsia" w:ascii="Times New Roman"/>
                <w:sz w:val="18"/>
                <w:szCs w:val="18"/>
              </w:rPr>
              <w:t>燃料燃烧排放</w:t>
            </w:r>
          </w:p>
        </w:tc>
        <w:tc>
          <w:tcPr>
            <w:tcW w:w="6196" w:type="dxa"/>
            <w:tcMar>
              <w:top w:w="120" w:type="dxa"/>
              <w:left w:w="120" w:type="dxa"/>
              <w:bottom w:w="120" w:type="dxa"/>
              <w:right w:w="120" w:type="dxa"/>
            </w:tcMar>
            <w:vAlign w:val="center"/>
          </w:tcPr>
          <w:p w14:paraId="7E5B8B98">
            <w:pPr>
              <w:widowControl/>
              <w:spacing w:after="0" w:line="240" w:lineRule="auto"/>
              <w:rPr>
                <w:rFonts w:hAnsi="宋体" w:cs="宋体"/>
                <w:sz w:val="18"/>
                <w:szCs w:val="18"/>
                <w:lang w:eastAsia="zh-CN"/>
              </w:rPr>
            </w:pPr>
            <w:r>
              <w:rPr>
                <w:rFonts w:hAnsi="宋体" w:cs="宋体"/>
                <w:sz w:val="18"/>
                <w:szCs w:val="18"/>
                <w:lang w:eastAsia="zh-CN"/>
              </w:rPr>
              <w:t>固定和移动设备中的化石燃料燃烧（例如</w:t>
            </w:r>
            <w:r>
              <w:rPr>
                <w:rFonts w:hint="eastAsia" w:hAnsi="宋体" w:cs="宋体"/>
                <w:sz w:val="18"/>
                <w:szCs w:val="18"/>
                <w:lang w:eastAsia="zh-CN"/>
              </w:rPr>
              <w:t>运输卡车、</w:t>
            </w:r>
            <w:r>
              <w:rPr>
                <w:rFonts w:hAnsi="宋体" w:cs="宋体"/>
                <w:sz w:val="18"/>
                <w:szCs w:val="18"/>
                <w:lang w:eastAsia="zh-CN"/>
              </w:rPr>
              <w:t>辅助车辆）</w:t>
            </w:r>
          </w:p>
        </w:tc>
      </w:tr>
      <w:tr w14:paraId="4451F0F5">
        <w:trPr>
          <w:trHeight w:val="36" w:hRule="atLeast"/>
          <w:jc w:val="center"/>
        </w:trPr>
        <w:tc>
          <w:tcPr>
            <w:tcW w:w="1737" w:type="dxa"/>
            <w:vMerge w:val="continue"/>
            <w:vAlign w:val="center"/>
          </w:tcPr>
          <w:p w14:paraId="47C667BD">
            <w:pPr>
              <w:widowControl/>
              <w:spacing w:after="0" w:line="240" w:lineRule="auto"/>
              <w:jc w:val="center"/>
              <w:rPr>
                <w:rFonts w:ascii="Times New Roman"/>
                <w:sz w:val="18"/>
                <w:szCs w:val="18"/>
                <w:lang w:eastAsia="zh-CN"/>
              </w:rPr>
            </w:pPr>
          </w:p>
        </w:tc>
        <w:tc>
          <w:tcPr>
            <w:tcW w:w="6196" w:type="dxa"/>
            <w:tcMar>
              <w:top w:w="120" w:type="dxa"/>
              <w:left w:w="120" w:type="dxa"/>
              <w:bottom w:w="120" w:type="dxa"/>
              <w:right w:w="120" w:type="dxa"/>
            </w:tcMar>
            <w:vAlign w:val="center"/>
          </w:tcPr>
          <w:p w14:paraId="21869D6C">
            <w:pPr>
              <w:widowControl/>
              <w:spacing w:after="0" w:line="240" w:lineRule="auto"/>
              <w:rPr>
                <w:rFonts w:hAnsi="宋体" w:cs="宋体"/>
                <w:sz w:val="18"/>
                <w:szCs w:val="18"/>
                <w:lang w:eastAsia="zh-CN"/>
              </w:rPr>
            </w:pPr>
            <w:r>
              <w:rPr>
                <w:rFonts w:hAnsi="宋体" w:cs="宋体"/>
                <w:sz w:val="18"/>
                <w:szCs w:val="18"/>
                <w:lang w:eastAsia="zh-CN"/>
              </w:rPr>
              <w:t>辅助、应急或污染控制设备中的固定排放</w:t>
            </w:r>
          </w:p>
        </w:tc>
      </w:tr>
      <w:tr w14:paraId="61CCF459">
        <w:trPr>
          <w:trHeight w:val="19" w:hRule="atLeast"/>
          <w:jc w:val="center"/>
        </w:trPr>
        <w:tc>
          <w:tcPr>
            <w:tcW w:w="0" w:type="auto"/>
            <w:vAlign w:val="center"/>
          </w:tcPr>
          <w:p w14:paraId="1695ADBD">
            <w:pPr>
              <w:widowControl/>
              <w:spacing w:after="0" w:line="240" w:lineRule="auto"/>
              <w:jc w:val="center"/>
              <w:rPr>
                <w:rFonts w:ascii="Times New Roman"/>
                <w:sz w:val="18"/>
                <w:szCs w:val="18"/>
              </w:rPr>
            </w:pPr>
            <w:r>
              <w:rPr>
                <w:rFonts w:hint="eastAsia" w:ascii="Times New Roman"/>
                <w:sz w:val="18"/>
                <w:szCs w:val="18"/>
              </w:rPr>
              <w:t>能源相关排放</w:t>
            </w:r>
          </w:p>
        </w:tc>
        <w:tc>
          <w:tcPr>
            <w:tcW w:w="6196" w:type="dxa"/>
            <w:tcMar>
              <w:top w:w="120" w:type="dxa"/>
              <w:left w:w="120" w:type="dxa"/>
              <w:bottom w:w="120" w:type="dxa"/>
              <w:right w:w="120" w:type="dxa"/>
            </w:tcMar>
            <w:vAlign w:val="center"/>
          </w:tcPr>
          <w:p w14:paraId="0736F11F">
            <w:pPr>
              <w:widowControl/>
              <w:spacing w:after="0" w:line="240" w:lineRule="auto"/>
              <w:rPr>
                <w:rFonts w:ascii="Times New Roman" w:eastAsia="Times New Roman"/>
                <w:sz w:val="18"/>
                <w:szCs w:val="18"/>
                <w:lang w:eastAsia="zh-CN"/>
              </w:rPr>
            </w:pPr>
            <w:r>
              <w:rPr>
                <w:rFonts w:hAnsi="宋体" w:cs="宋体"/>
                <w:sz w:val="18"/>
                <w:szCs w:val="18"/>
                <w:lang w:eastAsia="zh-CN"/>
              </w:rPr>
              <w:t>购买或自备的电力、热力</w:t>
            </w:r>
          </w:p>
        </w:tc>
      </w:tr>
      <w:tr w14:paraId="0C9177D6">
        <w:trPr>
          <w:trHeight w:val="50" w:hRule="atLeast"/>
          <w:jc w:val="center"/>
        </w:trPr>
        <w:tc>
          <w:tcPr>
            <w:tcW w:w="1737" w:type="dxa"/>
            <w:vMerge w:val="restart"/>
            <w:tcMar>
              <w:top w:w="120" w:type="dxa"/>
              <w:left w:w="120" w:type="dxa"/>
              <w:bottom w:w="120" w:type="dxa"/>
              <w:right w:w="120" w:type="dxa"/>
            </w:tcMar>
            <w:vAlign w:val="center"/>
          </w:tcPr>
          <w:p w14:paraId="0EC6DC1E">
            <w:pPr>
              <w:widowControl/>
              <w:spacing w:after="0" w:line="240" w:lineRule="auto"/>
              <w:jc w:val="center"/>
              <w:rPr>
                <w:rFonts w:ascii="Times New Roman" w:eastAsia="Times New Roman"/>
                <w:sz w:val="18"/>
                <w:szCs w:val="18"/>
              </w:rPr>
            </w:pPr>
            <w:r>
              <w:rPr>
                <w:rFonts w:hAnsi="宋体" w:cs="宋体"/>
                <w:sz w:val="18"/>
                <w:szCs w:val="18"/>
              </w:rPr>
              <w:t>其他排放</w:t>
            </w:r>
          </w:p>
        </w:tc>
        <w:tc>
          <w:tcPr>
            <w:tcW w:w="6196" w:type="dxa"/>
            <w:tcMar>
              <w:top w:w="120" w:type="dxa"/>
              <w:left w:w="120" w:type="dxa"/>
              <w:bottom w:w="120" w:type="dxa"/>
              <w:right w:w="120" w:type="dxa"/>
            </w:tcMar>
            <w:vAlign w:val="center"/>
          </w:tcPr>
          <w:p w14:paraId="7DF71FF2">
            <w:pPr>
              <w:widowControl/>
              <w:spacing w:after="0" w:line="240" w:lineRule="auto"/>
              <w:rPr>
                <w:rFonts w:hAnsi="宋体" w:cs="宋体"/>
                <w:sz w:val="18"/>
                <w:szCs w:val="18"/>
                <w:lang w:eastAsia="zh-CN"/>
              </w:rPr>
            </w:pPr>
            <w:r>
              <w:rPr>
                <w:rFonts w:hAnsi="宋体" w:cs="宋体"/>
                <w:sz w:val="18"/>
                <w:szCs w:val="18"/>
                <w:lang w:eastAsia="zh-CN"/>
              </w:rPr>
              <w:t>上游第三方运输和配送</w:t>
            </w:r>
          </w:p>
        </w:tc>
      </w:tr>
      <w:tr w14:paraId="6E61611D">
        <w:trPr>
          <w:trHeight w:val="269" w:hRule="atLeast"/>
          <w:jc w:val="center"/>
        </w:trPr>
        <w:tc>
          <w:tcPr>
            <w:tcW w:w="1737" w:type="dxa"/>
            <w:vMerge w:val="continue"/>
            <w:tcMar>
              <w:top w:w="120" w:type="dxa"/>
              <w:left w:w="120" w:type="dxa"/>
              <w:bottom w:w="120" w:type="dxa"/>
              <w:right w:w="120" w:type="dxa"/>
            </w:tcMar>
            <w:vAlign w:val="center"/>
          </w:tcPr>
          <w:p w14:paraId="43AEF607">
            <w:pPr>
              <w:widowControl/>
              <w:spacing w:after="0" w:line="240" w:lineRule="auto"/>
              <w:jc w:val="center"/>
              <w:rPr>
                <w:rFonts w:ascii="Times New Roman" w:eastAsia="Times New Roman"/>
                <w:sz w:val="18"/>
                <w:szCs w:val="18"/>
                <w:lang w:eastAsia="zh-CN"/>
              </w:rPr>
            </w:pPr>
          </w:p>
        </w:tc>
        <w:tc>
          <w:tcPr>
            <w:tcW w:w="6196" w:type="dxa"/>
            <w:tcMar>
              <w:top w:w="120" w:type="dxa"/>
              <w:left w:w="120" w:type="dxa"/>
              <w:bottom w:w="120" w:type="dxa"/>
              <w:right w:w="120" w:type="dxa"/>
            </w:tcMar>
            <w:vAlign w:val="center"/>
          </w:tcPr>
          <w:p w14:paraId="2A21479B">
            <w:pPr>
              <w:widowControl/>
              <w:spacing w:after="0" w:line="240" w:lineRule="auto"/>
              <w:rPr>
                <w:rFonts w:ascii="Times New Roman" w:eastAsia="Times New Roman"/>
                <w:sz w:val="18"/>
                <w:szCs w:val="18"/>
                <w:lang w:eastAsia="zh-CN"/>
              </w:rPr>
            </w:pPr>
            <w:r>
              <w:rPr>
                <w:rFonts w:hAnsi="宋体" w:cs="宋体"/>
                <w:sz w:val="18"/>
                <w:szCs w:val="18"/>
                <w:lang w:eastAsia="zh-CN"/>
              </w:rPr>
              <w:t>购买的燃料、原辅材料</w:t>
            </w:r>
            <w:r>
              <w:rPr>
                <w:rFonts w:hint="eastAsia" w:hAnsi="宋体" w:cs="宋体"/>
                <w:sz w:val="18"/>
                <w:szCs w:val="18"/>
                <w:lang w:eastAsia="zh-CN"/>
              </w:rPr>
              <w:t>等</w:t>
            </w:r>
            <w:r>
              <w:rPr>
                <w:rFonts w:hAnsi="宋体" w:cs="宋体"/>
                <w:sz w:val="18"/>
                <w:szCs w:val="18"/>
                <w:lang w:eastAsia="zh-CN"/>
              </w:rPr>
              <w:t>的上游排放</w:t>
            </w:r>
          </w:p>
          <w:p w14:paraId="59C4CFB6">
            <w:pPr>
              <w:spacing w:after="0" w:line="240" w:lineRule="auto"/>
              <w:rPr>
                <w:rFonts w:ascii="Times New Roman" w:eastAsia="Times New Roman"/>
                <w:sz w:val="18"/>
                <w:szCs w:val="18"/>
                <w:lang w:eastAsia="zh-CN"/>
              </w:rPr>
            </w:pPr>
            <w:r>
              <w:rPr>
                <w:rFonts w:hint="eastAsia" w:hAnsi="宋体" w:cs="宋体"/>
                <w:sz w:val="18"/>
                <w:szCs w:val="18"/>
                <w:lang w:eastAsia="zh-CN"/>
              </w:rPr>
              <w:t>尾矿处理</w:t>
            </w:r>
          </w:p>
        </w:tc>
      </w:tr>
    </w:tbl>
    <w:p w14:paraId="0DBBF5DB">
      <w:pPr>
        <w:widowControl/>
        <w:spacing w:after="0" w:line="240" w:lineRule="auto"/>
        <w:rPr>
          <w:rFonts w:ascii="Times New Roman" w:hAnsi="Times New Roman" w:eastAsia="宋体" w:cs="Times New Roman"/>
          <w:kern w:val="2"/>
          <w:sz w:val="21"/>
          <w:szCs w:val="24"/>
          <w:lang w:eastAsia="zh-CN"/>
        </w:rPr>
      </w:pPr>
    </w:p>
    <w:p w14:paraId="72C1D67F">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表A.3 二次资源回收单元温室气体排放源</w:t>
      </w:r>
    </w:p>
    <w:tbl>
      <w:tblPr>
        <w:tblStyle w:val="13"/>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737"/>
        <w:gridCol w:w="6196"/>
      </w:tblGrid>
      <w:tr w14:paraId="1650FBBB">
        <w:trPr>
          <w:trHeight w:val="164" w:hRule="atLeast"/>
          <w:jc w:val="center"/>
        </w:trPr>
        <w:tc>
          <w:tcPr>
            <w:tcW w:w="0" w:type="auto"/>
            <w:tcMar>
              <w:top w:w="120" w:type="dxa"/>
              <w:left w:w="120" w:type="dxa"/>
              <w:bottom w:w="120" w:type="dxa"/>
              <w:right w:w="120" w:type="dxa"/>
            </w:tcMar>
            <w:vAlign w:val="center"/>
          </w:tcPr>
          <w:p w14:paraId="114EAF44">
            <w:pPr>
              <w:widowControl/>
              <w:spacing w:after="0" w:line="240" w:lineRule="auto"/>
              <w:jc w:val="center"/>
              <w:rPr>
                <w:rFonts w:ascii="Times New Roman" w:eastAsia="Times New Roman"/>
                <w:sz w:val="18"/>
                <w:szCs w:val="18"/>
              </w:rPr>
            </w:pPr>
            <w:r>
              <w:rPr>
                <w:rFonts w:hAnsi="宋体" w:cs="宋体"/>
                <w:sz w:val="18"/>
                <w:szCs w:val="18"/>
              </w:rPr>
              <w:t>排放类别</w:t>
            </w:r>
          </w:p>
        </w:tc>
        <w:tc>
          <w:tcPr>
            <w:tcW w:w="6196" w:type="dxa"/>
            <w:tcMar>
              <w:top w:w="120" w:type="dxa"/>
              <w:left w:w="120" w:type="dxa"/>
              <w:bottom w:w="120" w:type="dxa"/>
              <w:right w:w="120" w:type="dxa"/>
            </w:tcMar>
            <w:vAlign w:val="center"/>
          </w:tcPr>
          <w:p w14:paraId="12A67130">
            <w:pPr>
              <w:widowControl/>
              <w:spacing w:after="0" w:line="240" w:lineRule="auto"/>
              <w:jc w:val="center"/>
              <w:rPr>
                <w:rFonts w:ascii="Times New Roman" w:eastAsia="Times New Roman"/>
                <w:sz w:val="18"/>
                <w:szCs w:val="18"/>
              </w:rPr>
            </w:pPr>
            <w:r>
              <w:rPr>
                <w:rFonts w:hAnsi="宋体" w:cs="宋体"/>
                <w:sz w:val="18"/>
                <w:szCs w:val="18"/>
              </w:rPr>
              <w:t>排放源</w:t>
            </w:r>
          </w:p>
        </w:tc>
      </w:tr>
      <w:tr w14:paraId="0EABCFBC">
        <w:trPr>
          <w:trHeight w:val="255" w:hRule="atLeast"/>
          <w:jc w:val="center"/>
        </w:trPr>
        <w:tc>
          <w:tcPr>
            <w:tcW w:w="1737" w:type="dxa"/>
            <w:vMerge w:val="restart"/>
            <w:vAlign w:val="center"/>
          </w:tcPr>
          <w:p w14:paraId="3BD5FEBD">
            <w:pPr>
              <w:widowControl/>
              <w:spacing w:after="0" w:line="240" w:lineRule="auto"/>
              <w:jc w:val="center"/>
              <w:rPr>
                <w:rFonts w:ascii="Times New Roman"/>
                <w:sz w:val="18"/>
                <w:szCs w:val="18"/>
              </w:rPr>
            </w:pPr>
            <w:r>
              <w:rPr>
                <w:rFonts w:hint="eastAsia" w:ascii="Times New Roman"/>
                <w:sz w:val="18"/>
                <w:szCs w:val="18"/>
              </w:rPr>
              <w:t>燃料燃烧排放</w:t>
            </w:r>
          </w:p>
        </w:tc>
        <w:tc>
          <w:tcPr>
            <w:tcW w:w="6196" w:type="dxa"/>
            <w:tcMar>
              <w:top w:w="120" w:type="dxa"/>
              <w:left w:w="120" w:type="dxa"/>
              <w:bottom w:w="120" w:type="dxa"/>
              <w:right w:w="120" w:type="dxa"/>
            </w:tcMar>
            <w:vAlign w:val="center"/>
          </w:tcPr>
          <w:p w14:paraId="1B9A6F48">
            <w:pPr>
              <w:widowControl/>
              <w:spacing w:after="0" w:line="240" w:lineRule="auto"/>
              <w:rPr>
                <w:rFonts w:hAnsi="宋体" w:cs="宋体"/>
                <w:sz w:val="18"/>
                <w:szCs w:val="18"/>
                <w:lang w:eastAsia="zh-CN"/>
              </w:rPr>
            </w:pPr>
            <w:r>
              <w:rPr>
                <w:rFonts w:hAnsi="宋体" w:cs="宋体"/>
                <w:sz w:val="18"/>
                <w:szCs w:val="18"/>
                <w:lang w:eastAsia="zh-CN"/>
              </w:rPr>
              <w:t>固定和移动设备中的化石燃料燃烧（例如</w:t>
            </w:r>
            <w:r>
              <w:rPr>
                <w:rFonts w:hint="eastAsia" w:hAnsi="宋体" w:cs="宋体"/>
                <w:sz w:val="18"/>
                <w:szCs w:val="18"/>
                <w:lang w:eastAsia="zh-CN"/>
              </w:rPr>
              <w:t>运输卡车、</w:t>
            </w:r>
            <w:r>
              <w:rPr>
                <w:rFonts w:hAnsi="宋体" w:cs="宋体"/>
                <w:sz w:val="18"/>
                <w:szCs w:val="18"/>
                <w:lang w:eastAsia="zh-CN"/>
              </w:rPr>
              <w:t>辅助车辆）</w:t>
            </w:r>
          </w:p>
        </w:tc>
      </w:tr>
      <w:tr w14:paraId="40791C68">
        <w:trPr>
          <w:trHeight w:val="36" w:hRule="atLeast"/>
          <w:jc w:val="center"/>
        </w:trPr>
        <w:tc>
          <w:tcPr>
            <w:tcW w:w="1737" w:type="dxa"/>
            <w:vMerge w:val="continue"/>
            <w:vAlign w:val="center"/>
          </w:tcPr>
          <w:p w14:paraId="704D2A13">
            <w:pPr>
              <w:widowControl/>
              <w:spacing w:after="0" w:line="240" w:lineRule="auto"/>
              <w:jc w:val="center"/>
              <w:rPr>
                <w:rFonts w:ascii="Times New Roman"/>
                <w:sz w:val="18"/>
                <w:szCs w:val="18"/>
                <w:lang w:eastAsia="zh-CN"/>
              </w:rPr>
            </w:pPr>
          </w:p>
        </w:tc>
        <w:tc>
          <w:tcPr>
            <w:tcW w:w="6196" w:type="dxa"/>
            <w:tcMar>
              <w:top w:w="120" w:type="dxa"/>
              <w:left w:w="120" w:type="dxa"/>
              <w:bottom w:w="120" w:type="dxa"/>
              <w:right w:w="120" w:type="dxa"/>
            </w:tcMar>
            <w:vAlign w:val="center"/>
          </w:tcPr>
          <w:p w14:paraId="5B53FF61">
            <w:pPr>
              <w:widowControl/>
              <w:spacing w:after="0" w:line="240" w:lineRule="auto"/>
              <w:rPr>
                <w:rFonts w:hAnsi="宋体" w:cs="宋体"/>
                <w:sz w:val="18"/>
                <w:szCs w:val="18"/>
                <w:lang w:eastAsia="zh-CN"/>
              </w:rPr>
            </w:pPr>
            <w:r>
              <w:rPr>
                <w:rFonts w:hAnsi="宋体" w:cs="宋体"/>
                <w:sz w:val="18"/>
                <w:szCs w:val="18"/>
                <w:lang w:eastAsia="zh-CN"/>
              </w:rPr>
              <w:t>辅助、应急或污染控制设备中的固定排放</w:t>
            </w:r>
          </w:p>
        </w:tc>
      </w:tr>
      <w:tr w14:paraId="6E9B566A">
        <w:trPr>
          <w:trHeight w:val="19" w:hRule="atLeast"/>
          <w:jc w:val="center"/>
        </w:trPr>
        <w:tc>
          <w:tcPr>
            <w:tcW w:w="0" w:type="auto"/>
            <w:vAlign w:val="center"/>
          </w:tcPr>
          <w:p w14:paraId="01439867">
            <w:pPr>
              <w:widowControl/>
              <w:spacing w:after="0" w:line="240" w:lineRule="auto"/>
              <w:jc w:val="center"/>
              <w:rPr>
                <w:rFonts w:ascii="Times New Roman"/>
                <w:sz w:val="18"/>
                <w:szCs w:val="18"/>
              </w:rPr>
            </w:pPr>
            <w:r>
              <w:rPr>
                <w:rFonts w:hint="eastAsia" w:ascii="Times New Roman"/>
                <w:sz w:val="18"/>
                <w:szCs w:val="18"/>
              </w:rPr>
              <w:t>能源相关排放</w:t>
            </w:r>
          </w:p>
        </w:tc>
        <w:tc>
          <w:tcPr>
            <w:tcW w:w="6196" w:type="dxa"/>
            <w:tcMar>
              <w:top w:w="120" w:type="dxa"/>
              <w:left w:w="120" w:type="dxa"/>
              <w:bottom w:w="120" w:type="dxa"/>
              <w:right w:w="120" w:type="dxa"/>
            </w:tcMar>
            <w:vAlign w:val="center"/>
          </w:tcPr>
          <w:p w14:paraId="193A59FF">
            <w:pPr>
              <w:widowControl/>
              <w:spacing w:after="0" w:line="240" w:lineRule="auto"/>
              <w:rPr>
                <w:rFonts w:ascii="Times New Roman" w:eastAsia="Times New Roman"/>
                <w:sz w:val="18"/>
                <w:szCs w:val="18"/>
                <w:lang w:eastAsia="zh-CN"/>
              </w:rPr>
            </w:pPr>
            <w:r>
              <w:rPr>
                <w:rFonts w:hAnsi="宋体" w:cs="宋体"/>
                <w:sz w:val="18"/>
                <w:szCs w:val="18"/>
                <w:lang w:eastAsia="zh-CN"/>
              </w:rPr>
              <w:t>购买或自备的电力、热力</w:t>
            </w:r>
          </w:p>
        </w:tc>
      </w:tr>
      <w:tr w14:paraId="4A5D5C40">
        <w:trPr>
          <w:trHeight w:val="50" w:hRule="atLeast"/>
          <w:jc w:val="center"/>
        </w:trPr>
        <w:tc>
          <w:tcPr>
            <w:tcW w:w="1737" w:type="dxa"/>
            <w:vMerge w:val="restart"/>
            <w:tcMar>
              <w:top w:w="120" w:type="dxa"/>
              <w:left w:w="120" w:type="dxa"/>
              <w:bottom w:w="120" w:type="dxa"/>
              <w:right w:w="120" w:type="dxa"/>
            </w:tcMar>
            <w:vAlign w:val="center"/>
          </w:tcPr>
          <w:p w14:paraId="584F107D">
            <w:pPr>
              <w:widowControl/>
              <w:spacing w:after="0" w:line="240" w:lineRule="auto"/>
              <w:jc w:val="center"/>
              <w:rPr>
                <w:rFonts w:ascii="Times New Roman" w:eastAsia="Times New Roman"/>
                <w:sz w:val="18"/>
                <w:szCs w:val="18"/>
              </w:rPr>
            </w:pPr>
            <w:r>
              <w:rPr>
                <w:rFonts w:hAnsi="宋体" w:cs="宋体"/>
                <w:sz w:val="18"/>
                <w:szCs w:val="18"/>
              </w:rPr>
              <w:t>其他排放</w:t>
            </w:r>
          </w:p>
        </w:tc>
        <w:tc>
          <w:tcPr>
            <w:tcW w:w="6196" w:type="dxa"/>
            <w:tcMar>
              <w:top w:w="120" w:type="dxa"/>
              <w:left w:w="120" w:type="dxa"/>
              <w:bottom w:w="120" w:type="dxa"/>
              <w:right w:w="120" w:type="dxa"/>
            </w:tcMar>
            <w:vAlign w:val="center"/>
          </w:tcPr>
          <w:p w14:paraId="6C3863E6">
            <w:pPr>
              <w:widowControl/>
              <w:spacing w:after="0" w:line="240" w:lineRule="auto"/>
              <w:rPr>
                <w:rFonts w:hAnsi="宋体" w:cs="宋体"/>
                <w:sz w:val="18"/>
                <w:szCs w:val="18"/>
                <w:lang w:eastAsia="zh-CN"/>
              </w:rPr>
            </w:pPr>
            <w:r>
              <w:rPr>
                <w:rFonts w:hAnsi="宋体" w:cs="宋体"/>
                <w:sz w:val="18"/>
                <w:szCs w:val="18"/>
                <w:lang w:eastAsia="zh-CN"/>
              </w:rPr>
              <w:t>上游第三方运输和配送</w:t>
            </w:r>
          </w:p>
        </w:tc>
      </w:tr>
      <w:tr w14:paraId="7241BCAD">
        <w:trPr>
          <w:trHeight w:val="269" w:hRule="atLeast"/>
          <w:jc w:val="center"/>
        </w:trPr>
        <w:tc>
          <w:tcPr>
            <w:tcW w:w="1737" w:type="dxa"/>
            <w:vMerge w:val="continue"/>
            <w:tcMar>
              <w:top w:w="120" w:type="dxa"/>
              <w:left w:w="120" w:type="dxa"/>
              <w:bottom w:w="120" w:type="dxa"/>
              <w:right w:w="120" w:type="dxa"/>
            </w:tcMar>
            <w:vAlign w:val="center"/>
          </w:tcPr>
          <w:p w14:paraId="7AA8DA17">
            <w:pPr>
              <w:widowControl/>
              <w:spacing w:after="0" w:line="240" w:lineRule="auto"/>
              <w:jc w:val="center"/>
              <w:rPr>
                <w:rFonts w:ascii="Times New Roman" w:eastAsia="Times New Roman"/>
                <w:sz w:val="18"/>
                <w:szCs w:val="18"/>
                <w:lang w:eastAsia="zh-CN"/>
              </w:rPr>
            </w:pPr>
          </w:p>
        </w:tc>
        <w:tc>
          <w:tcPr>
            <w:tcW w:w="6196" w:type="dxa"/>
            <w:tcMar>
              <w:top w:w="120" w:type="dxa"/>
              <w:left w:w="120" w:type="dxa"/>
              <w:bottom w:w="120" w:type="dxa"/>
              <w:right w:w="120" w:type="dxa"/>
            </w:tcMar>
            <w:vAlign w:val="center"/>
          </w:tcPr>
          <w:p w14:paraId="3AC39233">
            <w:pPr>
              <w:widowControl/>
              <w:spacing w:after="0" w:line="240" w:lineRule="auto"/>
              <w:rPr>
                <w:rFonts w:ascii="Times New Roman" w:eastAsia="Times New Roman"/>
                <w:sz w:val="18"/>
                <w:szCs w:val="18"/>
                <w:lang w:eastAsia="zh-CN"/>
              </w:rPr>
            </w:pPr>
            <w:r>
              <w:rPr>
                <w:rFonts w:hAnsi="宋体" w:cs="宋体"/>
                <w:sz w:val="18"/>
                <w:szCs w:val="18"/>
                <w:lang w:eastAsia="zh-CN"/>
              </w:rPr>
              <w:t>购买的燃料、原辅材料</w:t>
            </w:r>
            <w:r>
              <w:rPr>
                <w:rFonts w:hint="eastAsia" w:hAnsi="宋体" w:cs="宋体"/>
                <w:sz w:val="18"/>
                <w:szCs w:val="18"/>
                <w:lang w:eastAsia="zh-CN"/>
              </w:rPr>
              <w:t>等</w:t>
            </w:r>
            <w:r>
              <w:rPr>
                <w:rFonts w:hAnsi="宋体" w:cs="宋体"/>
                <w:sz w:val="18"/>
                <w:szCs w:val="18"/>
                <w:lang w:eastAsia="zh-CN"/>
              </w:rPr>
              <w:t>的上游排放</w:t>
            </w:r>
          </w:p>
          <w:p w14:paraId="7BCC9374">
            <w:pPr>
              <w:spacing w:after="0" w:line="240" w:lineRule="auto"/>
              <w:rPr>
                <w:rFonts w:ascii="Times New Roman" w:eastAsia="Times New Roman"/>
                <w:sz w:val="18"/>
                <w:szCs w:val="18"/>
                <w:lang w:eastAsia="zh-CN"/>
              </w:rPr>
            </w:pPr>
            <w:r>
              <w:rPr>
                <w:rFonts w:hint="eastAsia" w:hAnsi="宋体" w:cs="宋体"/>
                <w:sz w:val="18"/>
                <w:szCs w:val="18"/>
                <w:lang w:val="en-US" w:eastAsia="zh-CN"/>
              </w:rPr>
              <w:t>废渣</w:t>
            </w:r>
            <w:r>
              <w:rPr>
                <w:rFonts w:hint="eastAsia" w:hAnsi="宋体" w:cs="宋体"/>
                <w:sz w:val="18"/>
                <w:szCs w:val="18"/>
                <w:lang w:eastAsia="zh-CN"/>
              </w:rPr>
              <w:t>处理</w:t>
            </w:r>
          </w:p>
        </w:tc>
      </w:tr>
    </w:tbl>
    <w:p w14:paraId="59D06800">
      <w:pPr>
        <w:widowControl/>
        <w:spacing w:after="0" w:line="240" w:lineRule="auto"/>
        <w:rPr>
          <w:rFonts w:ascii="Times New Roman" w:hAnsi="Times New Roman" w:eastAsia="宋体" w:cs="Times New Roman"/>
          <w:kern w:val="2"/>
          <w:sz w:val="21"/>
          <w:szCs w:val="24"/>
          <w:lang w:eastAsia="zh-CN"/>
        </w:rPr>
      </w:pPr>
    </w:p>
    <w:p w14:paraId="4FDB7908">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表A.4 以稀土精矿</w:t>
      </w:r>
      <w:r>
        <w:rPr>
          <w:rFonts w:hint="eastAsia" w:ascii="黑体" w:hAnsi="黑体" w:eastAsia="黑体" w:cs="Times New Roman"/>
          <w:kern w:val="2"/>
          <w:sz w:val="18"/>
          <w:szCs w:val="18"/>
          <w:lang w:val="en-US" w:eastAsia="zh-CN"/>
        </w:rPr>
        <w:t>或</w:t>
      </w:r>
      <w:r>
        <w:rPr>
          <w:rFonts w:hint="eastAsia" w:ascii="黑体" w:hAnsi="黑体" w:eastAsia="黑体" w:cs="Times New Roman"/>
          <w:kern w:val="2"/>
          <w:sz w:val="18"/>
          <w:szCs w:val="18"/>
          <w:lang w:eastAsia="zh-CN"/>
        </w:rPr>
        <w:t>含稀土的二次资源湿法分离生产单元温室气体排放源</w:t>
      </w:r>
    </w:p>
    <w:tbl>
      <w:tblPr>
        <w:tblStyle w:val="13"/>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737"/>
        <w:gridCol w:w="6196"/>
      </w:tblGrid>
      <w:tr w14:paraId="56791976">
        <w:trPr>
          <w:trHeight w:val="246" w:hRule="atLeast"/>
          <w:jc w:val="center"/>
        </w:trPr>
        <w:tc>
          <w:tcPr>
            <w:tcW w:w="0" w:type="auto"/>
            <w:tcMar>
              <w:top w:w="120" w:type="dxa"/>
              <w:left w:w="120" w:type="dxa"/>
              <w:bottom w:w="120" w:type="dxa"/>
              <w:right w:w="120" w:type="dxa"/>
            </w:tcMar>
            <w:vAlign w:val="center"/>
          </w:tcPr>
          <w:p w14:paraId="140D8102">
            <w:pPr>
              <w:widowControl/>
              <w:spacing w:after="0" w:line="240" w:lineRule="auto"/>
              <w:jc w:val="center"/>
              <w:rPr>
                <w:rFonts w:hAnsi="宋体" w:cs="宋体"/>
                <w:sz w:val="18"/>
                <w:szCs w:val="18"/>
              </w:rPr>
            </w:pPr>
            <w:r>
              <w:rPr>
                <w:rFonts w:hAnsi="宋体" w:cs="宋体"/>
                <w:sz w:val="18"/>
                <w:szCs w:val="18"/>
              </w:rPr>
              <w:t>排放类别</w:t>
            </w:r>
          </w:p>
        </w:tc>
        <w:tc>
          <w:tcPr>
            <w:tcW w:w="6196" w:type="dxa"/>
            <w:tcMar>
              <w:top w:w="120" w:type="dxa"/>
              <w:left w:w="120" w:type="dxa"/>
              <w:bottom w:w="120" w:type="dxa"/>
              <w:right w:w="120" w:type="dxa"/>
            </w:tcMar>
            <w:vAlign w:val="center"/>
          </w:tcPr>
          <w:p w14:paraId="651AF6C0">
            <w:pPr>
              <w:widowControl/>
              <w:spacing w:after="0" w:line="240" w:lineRule="auto"/>
              <w:jc w:val="center"/>
              <w:rPr>
                <w:rFonts w:ascii="Times New Roman" w:eastAsia="Times New Roman"/>
                <w:sz w:val="18"/>
                <w:szCs w:val="18"/>
              </w:rPr>
            </w:pPr>
            <w:r>
              <w:rPr>
                <w:rFonts w:hAnsi="宋体" w:cs="宋体"/>
                <w:sz w:val="18"/>
                <w:szCs w:val="18"/>
              </w:rPr>
              <w:t>排放源</w:t>
            </w:r>
          </w:p>
        </w:tc>
      </w:tr>
      <w:tr w14:paraId="6F01B30D">
        <w:trPr>
          <w:trHeight w:val="168" w:hRule="atLeast"/>
          <w:jc w:val="center"/>
        </w:trPr>
        <w:tc>
          <w:tcPr>
            <w:tcW w:w="0" w:type="auto"/>
            <w:tcMar>
              <w:top w:w="120" w:type="dxa"/>
              <w:left w:w="120" w:type="dxa"/>
              <w:bottom w:w="120" w:type="dxa"/>
              <w:right w:w="120" w:type="dxa"/>
            </w:tcMar>
            <w:vAlign w:val="center"/>
          </w:tcPr>
          <w:p w14:paraId="7ED2AB6A">
            <w:pPr>
              <w:widowControl/>
              <w:spacing w:after="0" w:line="240" w:lineRule="auto"/>
              <w:jc w:val="center"/>
              <w:rPr>
                <w:rFonts w:ascii="Times New Roman" w:eastAsia="Times New Roman"/>
                <w:sz w:val="18"/>
                <w:szCs w:val="18"/>
              </w:rPr>
            </w:pPr>
            <w:r>
              <w:rPr>
                <w:rFonts w:hAnsi="宋体" w:cs="宋体"/>
                <w:sz w:val="18"/>
                <w:szCs w:val="18"/>
              </w:rPr>
              <w:t>生产过程排放</w:t>
            </w:r>
          </w:p>
        </w:tc>
        <w:tc>
          <w:tcPr>
            <w:tcW w:w="6196" w:type="dxa"/>
            <w:tcMar>
              <w:top w:w="120" w:type="dxa"/>
              <w:left w:w="120" w:type="dxa"/>
              <w:bottom w:w="120" w:type="dxa"/>
              <w:right w:w="120" w:type="dxa"/>
            </w:tcMar>
            <w:vAlign w:val="center"/>
          </w:tcPr>
          <w:p w14:paraId="730702C2">
            <w:pPr>
              <w:widowControl/>
              <w:spacing w:after="0" w:line="240" w:lineRule="auto"/>
              <w:rPr>
                <w:rFonts w:ascii="Times New Roman"/>
                <w:sz w:val="18"/>
                <w:szCs w:val="18"/>
                <w:lang w:eastAsia="zh-CN"/>
              </w:rPr>
            </w:pPr>
            <w:r>
              <w:rPr>
                <w:rFonts w:hint="eastAsia" w:hAnsi="宋体" w:cs="宋体"/>
                <w:sz w:val="18"/>
                <w:szCs w:val="18"/>
                <w:lang w:eastAsia="zh-CN"/>
              </w:rPr>
              <w:t>碳酸稀土、草酸稀土、碳酸氢铵（碳酸氢钠）、草酸分解等</w:t>
            </w:r>
          </w:p>
        </w:tc>
      </w:tr>
      <w:tr w14:paraId="4ADE4F6A">
        <w:trPr>
          <w:trHeight w:val="259" w:hRule="atLeast"/>
          <w:jc w:val="center"/>
        </w:trPr>
        <w:tc>
          <w:tcPr>
            <w:tcW w:w="1737" w:type="dxa"/>
            <w:vMerge w:val="restart"/>
            <w:vAlign w:val="center"/>
          </w:tcPr>
          <w:p w14:paraId="2F3EED30">
            <w:pPr>
              <w:widowControl/>
              <w:spacing w:after="0" w:line="240" w:lineRule="auto"/>
              <w:jc w:val="center"/>
              <w:rPr>
                <w:rFonts w:ascii="Times New Roman"/>
                <w:sz w:val="18"/>
                <w:szCs w:val="18"/>
              </w:rPr>
            </w:pPr>
            <w:r>
              <w:rPr>
                <w:rFonts w:hint="eastAsia" w:ascii="Times New Roman"/>
                <w:sz w:val="18"/>
                <w:szCs w:val="18"/>
              </w:rPr>
              <w:t>燃料燃烧排放</w:t>
            </w:r>
          </w:p>
        </w:tc>
        <w:tc>
          <w:tcPr>
            <w:tcW w:w="6196" w:type="dxa"/>
            <w:tcMar>
              <w:top w:w="120" w:type="dxa"/>
              <w:left w:w="120" w:type="dxa"/>
              <w:bottom w:w="120" w:type="dxa"/>
              <w:right w:w="120" w:type="dxa"/>
            </w:tcMar>
            <w:vAlign w:val="center"/>
          </w:tcPr>
          <w:p w14:paraId="1C1E20D5">
            <w:pPr>
              <w:widowControl/>
              <w:spacing w:after="0" w:line="240" w:lineRule="auto"/>
              <w:rPr>
                <w:rFonts w:hAnsi="宋体" w:cs="宋体"/>
                <w:sz w:val="18"/>
                <w:szCs w:val="18"/>
                <w:lang w:eastAsia="zh-CN"/>
              </w:rPr>
            </w:pPr>
            <w:r>
              <w:rPr>
                <w:rFonts w:hAnsi="宋体" w:cs="宋体"/>
                <w:sz w:val="18"/>
                <w:szCs w:val="18"/>
                <w:lang w:eastAsia="zh-CN"/>
              </w:rPr>
              <w:t>固定和移动设备中的化石燃料燃烧（例如辅助车辆）</w:t>
            </w:r>
          </w:p>
        </w:tc>
      </w:tr>
      <w:tr w14:paraId="5901CAB0">
        <w:trPr>
          <w:trHeight w:val="309" w:hRule="atLeast"/>
          <w:jc w:val="center"/>
        </w:trPr>
        <w:tc>
          <w:tcPr>
            <w:tcW w:w="1737" w:type="dxa"/>
            <w:vMerge w:val="continue"/>
            <w:vAlign w:val="center"/>
          </w:tcPr>
          <w:p w14:paraId="4D996CA6">
            <w:pPr>
              <w:widowControl/>
              <w:spacing w:after="0" w:line="240" w:lineRule="auto"/>
              <w:jc w:val="center"/>
              <w:rPr>
                <w:rFonts w:ascii="Times New Roman"/>
                <w:sz w:val="18"/>
                <w:szCs w:val="18"/>
                <w:lang w:eastAsia="zh-CN"/>
              </w:rPr>
            </w:pPr>
          </w:p>
        </w:tc>
        <w:tc>
          <w:tcPr>
            <w:tcW w:w="6196" w:type="dxa"/>
            <w:tcMar>
              <w:top w:w="120" w:type="dxa"/>
              <w:left w:w="120" w:type="dxa"/>
              <w:bottom w:w="120" w:type="dxa"/>
              <w:right w:w="120" w:type="dxa"/>
            </w:tcMar>
            <w:vAlign w:val="center"/>
          </w:tcPr>
          <w:p w14:paraId="11E9FFAA">
            <w:pPr>
              <w:widowControl/>
              <w:spacing w:after="0" w:line="240" w:lineRule="auto"/>
              <w:rPr>
                <w:rFonts w:hAnsi="宋体" w:cs="宋体"/>
                <w:sz w:val="18"/>
                <w:szCs w:val="18"/>
                <w:lang w:eastAsia="zh-CN"/>
              </w:rPr>
            </w:pPr>
            <w:r>
              <w:rPr>
                <w:rFonts w:hAnsi="宋体" w:cs="宋体"/>
                <w:sz w:val="18"/>
                <w:szCs w:val="18"/>
                <w:lang w:eastAsia="zh-CN"/>
              </w:rPr>
              <w:t>辅助、应急或污染控制设备中的固定排放</w:t>
            </w:r>
          </w:p>
        </w:tc>
      </w:tr>
      <w:tr w14:paraId="7B49FDC4">
        <w:trPr>
          <w:trHeight w:val="33" w:hRule="atLeast"/>
          <w:jc w:val="center"/>
        </w:trPr>
        <w:tc>
          <w:tcPr>
            <w:tcW w:w="0" w:type="auto"/>
            <w:vAlign w:val="center"/>
          </w:tcPr>
          <w:p w14:paraId="34C9A90A">
            <w:pPr>
              <w:widowControl/>
              <w:spacing w:after="0" w:line="240" w:lineRule="auto"/>
              <w:jc w:val="center"/>
              <w:rPr>
                <w:rFonts w:ascii="Times New Roman"/>
                <w:sz w:val="18"/>
                <w:szCs w:val="18"/>
              </w:rPr>
            </w:pPr>
            <w:r>
              <w:rPr>
                <w:rFonts w:hint="eastAsia" w:ascii="Times New Roman"/>
                <w:sz w:val="18"/>
                <w:szCs w:val="18"/>
              </w:rPr>
              <w:t>能源相关排放</w:t>
            </w:r>
          </w:p>
        </w:tc>
        <w:tc>
          <w:tcPr>
            <w:tcW w:w="6196" w:type="dxa"/>
            <w:tcMar>
              <w:top w:w="120" w:type="dxa"/>
              <w:left w:w="120" w:type="dxa"/>
              <w:bottom w:w="120" w:type="dxa"/>
              <w:right w:w="120" w:type="dxa"/>
            </w:tcMar>
            <w:vAlign w:val="center"/>
          </w:tcPr>
          <w:p w14:paraId="3766BC13">
            <w:pPr>
              <w:widowControl/>
              <w:spacing w:after="0" w:line="240" w:lineRule="auto"/>
              <w:rPr>
                <w:rFonts w:ascii="Times New Roman" w:eastAsia="Times New Roman"/>
                <w:sz w:val="18"/>
                <w:szCs w:val="18"/>
                <w:lang w:eastAsia="zh-CN"/>
              </w:rPr>
            </w:pPr>
            <w:r>
              <w:rPr>
                <w:rFonts w:hAnsi="宋体" w:cs="宋体"/>
                <w:sz w:val="18"/>
                <w:szCs w:val="18"/>
                <w:lang w:eastAsia="zh-CN"/>
              </w:rPr>
              <w:t>购买或自备的电力、热力</w:t>
            </w:r>
          </w:p>
        </w:tc>
      </w:tr>
      <w:tr w14:paraId="4160728C">
        <w:trPr>
          <w:trHeight w:val="125" w:hRule="atLeast"/>
          <w:jc w:val="center"/>
        </w:trPr>
        <w:tc>
          <w:tcPr>
            <w:tcW w:w="1737" w:type="dxa"/>
            <w:vMerge w:val="restart"/>
            <w:tcMar>
              <w:top w:w="120" w:type="dxa"/>
              <w:left w:w="120" w:type="dxa"/>
              <w:bottom w:w="120" w:type="dxa"/>
              <w:right w:w="120" w:type="dxa"/>
            </w:tcMar>
            <w:vAlign w:val="center"/>
          </w:tcPr>
          <w:p w14:paraId="60993260">
            <w:pPr>
              <w:widowControl/>
              <w:spacing w:after="0" w:line="240" w:lineRule="auto"/>
              <w:jc w:val="center"/>
              <w:rPr>
                <w:rFonts w:ascii="Times New Roman" w:eastAsia="Times New Roman"/>
                <w:sz w:val="18"/>
                <w:szCs w:val="18"/>
              </w:rPr>
            </w:pPr>
            <w:r>
              <w:rPr>
                <w:rFonts w:hAnsi="宋体" w:cs="宋体"/>
                <w:sz w:val="18"/>
                <w:szCs w:val="18"/>
              </w:rPr>
              <w:t>其他排放</w:t>
            </w:r>
          </w:p>
        </w:tc>
        <w:tc>
          <w:tcPr>
            <w:tcW w:w="6196" w:type="dxa"/>
            <w:tcMar>
              <w:top w:w="120" w:type="dxa"/>
              <w:left w:w="120" w:type="dxa"/>
              <w:bottom w:w="120" w:type="dxa"/>
              <w:right w:w="120" w:type="dxa"/>
            </w:tcMar>
            <w:vAlign w:val="center"/>
          </w:tcPr>
          <w:p w14:paraId="702E758C">
            <w:pPr>
              <w:widowControl/>
              <w:spacing w:after="0" w:line="240" w:lineRule="auto"/>
              <w:rPr>
                <w:rFonts w:hAnsi="宋体" w:cs="宋体"/>
                <w:sz w:val="18"/>
                <w:szCs w:val="18"/>
                <w:lang w:eastAsia="zh-CN"/>
              </w:rPr>
            </w:pPr>
            <w:r>
              <w:rPr>
                <w:rFonts w:hAnsi="宋体" w:cs="宋体"/>
                <w:sz w:val="18"/>
                <w:szCs w:val="18"/>
                <w:lang w:eastAsia="zh-CN"/>
              </w:rPr>
              <w:t>上游第三方运输和配送</w:t>
            </w:r>
          </w:p>
        </w:tc>
      </w:tr>
      <w:tr w14:paraId="5C505E29">
        <w:trPr>
          <w:trHeight w:val="203" w:hRule="atLeast"/>
          <w:jc w:val="center"/>
        </w:trPr>
        <w:tc>
          <w:tcPr>
            <w:tcW w:w="1737" w:type="dxa"/>
            <w:vMerge w:val="continue"/>
            <w:tcMar>
              <w:top w:w="120" w:type="dxa"/>
              <w:left w:w="120" w:type="dxa"/>
              <w:bottom w:w="120" w:type="dxa"/>
              <w:right w:w="120" w:type="dxa"/>
            </w:tcMar>
            <w:vAlign w:val="center"/>
          </w:tcPr>
          <w:p w14:paraId="2C1733E9">
            <w:pPr>
              <w:widowControl/>
              <w:spacing w:after="0" w:line="240" w:lineRule="auto"/>
              <w:jc w:val="center"/>
              <w:rPr>
                <w:rFonts w:ascii="Times New Roman" w:eastAsia="Times New Roman"/>
                <w:sz w:val="18"/>
                <w:szCs w:val="18"/>
                <w:lang w:eastAsia="zh-CN"/>
              </w:rPr>
            </w:pPr>
          </w:p>
        </w:tc>
        <w:tc>
          <w:tcPr>
            <w:tcW w:w="6196" w:type="dxa"/>
            <w:tcMar>
              <w:top w:w="120" w:type="dxa"/>
              <w:left w:w="120" w:type="dxa"/>
              <w:bottom w:w="120" w:type="dxa"/>
              <w:right w:w="120" w:type="dxa"/>
            </w:tcMar>
            <w:vAlign w:val="center"/>
          </w:tcPr>
          <w:p w14:paraId="4A9D4531">
            <w:pPr>
              <w:widowControl/>
              <w:spacing w:after="0" w:line="240" w:lineRule="auto"/>
              <w:rPr>
                <w:rFonts w:ascii="Times New Roman" w:eastAsia="Times New Roman"/>
                <w:sz w:val="18"/>
                <w:szCs w:val="18"/>
                <w:lang w:eastAsia="zh-CN"/>
              </w:rPr>
            </w:pPr>
            <w:r>
              <w:rPr>
                <w:rFonts w:hAnsi="宋体" w:cs="宋体"/>
                <w:sz w:val="18"/>
                <w:szCs w:val="18"/>
                <w:lang w:eastAsia="zh-CN"/>
              </w:rPr>
              <w:t>购买的燃料、原辅材料</w:t>
            </w:r>
            <w:r>
              <w:rPr>
                <w:rFonts w:hint="eastAsia" w:hAnsi="宋体" w:cs="宋体"/>
                <w:sz w:val="18"/>
                <w:szCs w:val="18"/>
                <w:lang w:eastAsia="zh-CN"/>
              </w:rPr>
              <w:t>等</w:t>
            </w:r>
            <w:r>
              <w:rPr>
                <w:rFonts w:hAnsi="宋体" w:cs="宋体"/>
                <w:sz w:val="18"/>
                <w:szCs w:val="18"/>
                <w:lang w:eastAsia="zh-CN"/>
              </w:rPr>
              <w:t>的上游排放</w:t>
            </w:r>
          </w:p>
          <w:p w14:paraId="112F3D53">
            <w:pPr>
              <w:spacing w:after="0" w:line="240" w:lineRule="auto"/>
              <w:rPr>
                <w:rFonts w:ascii="Times New Roman" w:eastAsia="Times New Roman"/>
                <w:sz w:val="18"/>
                <w:szCs w:val="18"/>
                <w:lang w:eastAsia="zh-CN"/>
              </w:rPr>
            </w:pPr>
            <w:r>
              <w:rPr>
                <w:rFonts w:hint="eastAsia" w:hAnsi="宋体" w:cs="宋体"/>
                <w:sz w:val="18"/>
                <w:szCs w:val="18"/>
                <w:lang w:eastAsia="zh-CN"/>
              </w:rPr>
              <w:t>废水、废气、废渣等</w:t>
            </w:r>
            <w:r>
              <w:rPr>
                <w:rFonts w:hAnsi="宋体" w:cs="宋体"/>
                <w:sz w:val="18"/>
                <w:szCs w:val="18"/>
                <w:lang w:eastAsia="zh-CN"/>
              </w:rPr>
              <w:t>处理</w:t>
            </w:r>
          </w:p>
        </w:tc>
      </w:tr>
    </w:tbl>
    <w:p w14:paraId="170C59BE">
      <w:pPr>
        <w:widowControl/>
        <w:spacing w:after="0" w:line="240" w:lineRule="auto"/>
        <w:rPr>
          <w:rFonts w:ascii="Times New Roman" w:hAnsi="Times New Roman" w:eastAsia="宋体" w:cs="Times New Roman"/>
          <w:kern w:val="2"/>
          <w:sz w:val="21"/>
          <w:szCs w:val="24"/>
          <w:lang w:eastAsia="zh-CN"/>
        </w:rPr>
      </w:pPr>
    </w:p>
    <w:p w14:paraId="5DEEB5AE">
      <w:pPr>
        <w:keepNext/>
        <w:keepLines/>
        <w:adjustRightInd w:val="0"/>
        <w:snapToGrid w:val="0"/>
        <w:spacing w:before="100" w:after="90" w:line="240" w:lineRule="auto"/>
        <w:jc w:val="center"/>
        <w:outlineLvl w:val="0"/>
        <w:rPr>
          <w:rFonts w:hint="eastAsia" w:ascii="黑体" w:hAnsi="黑体" w:eastAsia="黑体" w:cs="黑体"/>
          <w:bCs/>
          <w:kern w:val="44"/>
          <w:sz w:val="21"/>
          <w:szCs w:val="44"/>
          <w:lang w:eastAsia="zh-CN"/>
        </w:rPr>
        <w:sectPr>
          <w:pgSz w:w="11920" w:h="16840"/>
          <w:pgMar w:top="1080" w:right="1640" w:bottom="1180" w:left="1680" w:header="880" w:footer="982" w:gutter="0"/>
          <w:pgNumType w:fmt="decimal"/>
          <w:cols w:space="720" w:num="1"/>
        </w:sectPr>
      </w:pPr>
    </w:p>
    <w:p w14:paraId="3F91648D">
      <w:pPr>
        <w:keepNext/>
        <w:keepLines/>
        <w:adjustRightInd w:val="0"/>
        <w:snapToGrid w:val="0"/>
        <w:spacing w:before="100" w:after="90" w:line="240" w:lineRule="auto"/>
        <w:jc w:val="center"/>
        <w:outlineLvl w:val="0"/>
        <w:rPr>
          <w:rFonts w:ascii="宋体" w:hAnsi="宋体" w:eastAsia="黑体" w:cs="Times New Roman"/>
          <w:bCs/>
          <w:kern w:val="44"/>
          <w:sz w:val="21"/>
          <w:szCs w:val="44"/>
          <w:lang w:eastAsia="zh-CN"/>
        </w:rPr>
      </w:pPr>
      <w:bookmarkStart w:id="125" w:name="_Toc1840394527"/>
      <w:r>
        <w:rPr>
          <w:rFonts w:hint="eastAsia" w:ascii="黑体" w:hAnsi="黑体" w:eastAsia="黑体" w:cs="黑体"/>
          <w:bCs/>
          <w:kern w:val="44"/>
          <w:sz w:val="21"/>
          <w:szCs w:val="44"/>
          <w:lang w:eastAsia="zh-CN"/>
        </w:rPr>
        <w:t>附录 B</w:t>
      </w:r>
      <w:bookmarkEnd w:id="125"/>
    </w:p>
    <w:p w14:paraId="47CB446C">
      <w:pPr>
        <w:spacing w:after="0" w:line="360" w:lineRule="auto"/>
        <w:jc w:val="center"/>
        <w:rPr>
          <w:rFonts w:ascii="黑体" w:hAnsi="黑体" w:eastAsia="黑体" w:cs="黑体"/>
          <w:kern w:val="2"/>
          <w:sz w:val="21"/>
          <w:szCs w:val="24"/>
          <w:lang w:eastAsia="zh-CN"/>
        </w:rPr>
      </w:pPr>
      <w:r>
        <w:rPr>
          <w:rFonts w:hint="eastAsia" w:ascii="黑体" w:hAnsi="黑体" w:eastAsia="黑体" w:cs="黑体"/>
          <w:kern w:val="2"/>
          <w:sz w:val="21"/>
          <w:szCs w:val="24"/>
          <w:lang w:eastAsia="zh-CN"/>
        </w:rPr>
        <w:t>（资料性）</w:t>
      </w:r>
    </w:p>
    <w:p w14:paraId="5C0CBCD9">
      <w:pPr>
        <w:spacing w:after="0" w:line="360" w:lineRule="auto"/>
        <w:jc w:val="center"/>
        <w:rPr>
          <w:rFonts w:ascii="黑体" w:hAnsi="黑体" w:eastAsia="黑体" w:cs="黑体"/>
          <w:kern w:val="2"/>
          <w:sz w:val="21"/>
          <w:szCs w:val="24"/>
          <w:lang w:eastAsia="zh-CN"/>
        </w:rPr>
      </w:pPr>
      <w:r>
        <w:rPr>
          <w:rFonts w:hint="eastAsia" w:ascii="黑体" w:hAnsi="黑体" w:eastAsia="黑体" w:cs="黑体"/>
          <w:kern w:val="2"/>
          <w:sz w:val="21"/>
          <w:szCs w:val="24"/>
          <w:lang w:eastAsia="zh-CN"/>
        </w:rPr>
        <w:t>稀土冶炼分离产品生命周期系统边界内生产工艺流程图示例</w:t>
      </w:r>
    </w:p>
    <w:p w14:paraId="6FB5B3F6">
      <w:pPr>
        <w:spacing w:after="0" w:line="360" w:lineRule="auto"/>
        <w:ind w:firstLine="420" w:firstLineChars="200"/>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稀土冶炼分离产品生命周期系统边界内生产工艺流程见图B.1~B.6。</w:t>
      </w:r>
    </w:p>
    <w:p w14:paraId="3DC06F69">
      <w:pPr>
        <w:spacing w:after="0" w:line="360" w:lineRule="auto"/>
        <w:ind w:firstLine="420" w:firstLineChars="200"/>
        <w:rPr>
          <w:rFonts w:ascii="Times New Roman" w:hAnsi="Times New Roman" w:eastAsia="宋体" w:cs="Times New Roman"/>
          <w:kern w:val="2"/>
          <w:sz w:val="21"/>
          <w:szCs w:val="21"/>
          <w:lang w:eastAsia="zh-CN"/>
        </w:rPr>
      </w:pPr>
    </w:p>
    <w:p w14:paraId="00945E29">
      <w:pPr>
        <w:spacing w:after="0" w:line="360" w:lineRule="auto"/>
        <w:ind w:right="-187" w:rightChars="-85"/>
        <w:rPr>
          <w:rFonts w:ascii="Times New Roman" w:hAnsi="Times New Roman" w:eastAsia="宋体" w:cs="Times New Roman"/>
          <w:kern w:val="2"/>
          <w:sz w:val="21"/>
          <w:szCs w:val="21"/>
          <w:lang w:eastAsia="zh-CN"/>
        </w:rPr>
      </w:pPr>
      <w:r>
        <w:rPr>
          <w:rFonts w:hint="eastAsia"/>
        </w:rPr>
        <w:object>
          <v:shape id="_x0000_i1025" o:spt="75" type="#_x0000_t75" style="height:172.8pt;width:429.6pt;" o:ole="t" filled="f" o:preferrelative="t" stroked="f" coordsize="21600,21600">
            <v:path/>
            <v:fill on="f" focussize="0,0"/>
            <v:stroke on="f" joinstyle="miter"/>
            <v:imagedata r:id="rId20" o:title=""/>
            <o:lock v:ext="edit" aspectratio="t"/>
            <w10:wrap type="none"/>
            <w10:anchorlock/>
          </v:shape>
          <o:OLEObject Type="Embed" ProgID="Visio.Drawing.11" ShapeID="_x0000_i1025" DrawAspect="Content" ObjectID="_1468075725" r:id="rId19">
            <o:LockedField>false</o:LockedField>
          </o:OLEObject>
        </w:object>
      </w:r>
    </w:p>
    <w:p w14:paraId="4EF23327">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图B.1 混合型稀土精矿</w:t>
      </w:r>
      <w:r>
        <w:rPr>
          <w:rFonts w:hint="eastAsia" w:ascii="黑体" w:hAnsi="黑体" w:eastAsia="黑体" w:cs="Times New Roman"/>
          <w:kern w:val="2"/>
          <w:sz w:val="18"/>
          <w:szCs w:val="18"/>
          <w:lang w:val="en-US" w:eastAsia="zh-CN"/>
        </w:rPr>
        <w:t>或</w:t>
      </w:r>
      <w:r>
        <w:rPr>
          <w:rFonts w:hint="eastAsia" w:ascii="黑体" w:hAnsi="黑体" w:eastAsia="黑体" w:cs="Times New Roman"/>
          <w:kern w:val="2"/>
          <w:sz w:val="18"/>
          <w:szCs w:val="18"/>
          <w:lang w:eastAsia="zh-CN"/>
        </w:rPr>
        <w:t>含稀土的物料酸法冶炼分离工序图</w:t>
      </w:r>
    </w:p>
    <w:p w14:paraId="55DB02C8">
      <w:pPr>
        <w:widowControl/>
        <w:spacing w:after="0" w:line="240" w:lineRule="auto"/>
        <w:rPr>
          <w:rFonts w:ascii="Times New Roman" w:hAnsi="Times New Roman" w:eastAsia="宋体" w:cs="Times New Roman"/>
          <w:kern w:val="2"/>
          <w:sz w:val="21"/>
          <w:szCs w:val="24"/>
          <w:lang w:eastAsia="zh-CN"/>
        </w:rPr>
      </w:pPr>
    </w:p>
    <w:p w14:paraId="32C94A89">
      <w:pPr>
        <w:widowControl/>
        <w:spacing w:after="0" w:line="240" w:lineRule="auto"/>
        <w:rPr>
          <w:rFonts w:ascii="Times New Roman" w:hAnsi="Times New Roman" w:eastAsia="宋体" w:cs="Times New Roman"/>
          <w:kern w:val="2"/>
          <w:sz w:val="21"/>
          <w:szCs w:val="24"/>
          <w:lang w:eastAsia="zh-CN"/>
        </w:rPr>
      </w:pPr>
      <w:r>
        <w:rPr>
          <w:rFonts w:hint="eastAsia"/>
        </w:rPr>
        <w:object>
          <v:shape id="_x0000_i1026" o:spt="75" type="#_x0000_t75" style="height:153pt;width:435.6pt;" o:ole="t" filled="f" o:preferrelative="t" stroked="f" coordsize="21600,21600">
            <v:path/>
            <v:fill on="f" focussize="0,0"/>
            <v:stroke on="f" joinstyle="miter"/>
            <v:imagedata r:id="rId22" o:title=""/>
            <o:lock v:ext="edit" aspectratio="t"/>
            <w10:wrap type="none"/>
            <w10:anchorlock/>
          </v:shape>
          <o:OLEObject Type="Embed" ProgID="Visio.Drawing.11" ShapeID="_x0000_i1026" DrawAspect="Content" ObjectID="_1468075726" r:id="rId21">
            <o:LockedField>false</o:LockedField>
          </o:OLEObject>
        </w:object>
      </w:r>
    </w:p>
    <w:p w14:paraId="1A40E167">
      <w:pPr>
        <w:adjustRightInd w:val="0"/>
        <w:snapToGrid w:val="0"/>
        <w:spacing w:after="0" w:line="360" w:lineRule="auto"/>
        <w:jc w:val="center"/>
        <w:rPr>
          <w:rFonts w:ascii="黑体" w:hAnsi="黑体" w:eastAsia="黑体" w:cs="Times New Roman"/>
          <w:color w:val="FF0000"/>
          <w:kern w:val="2"/>
          <w:sz w:val="18"/>
          <w:szCs w:val="18"/>
          <w:lang w:eastAsia="zh-CN"/>
        </w:rPr>
      </w:pPr>
      <w:r>
        <w:rPr>
          <w:rFonts w:hint="eastAsia" w:ascii="黑体" w:hAnsi="黑体" w:eastAsia="黑体" w:cs="Times New Roman"/>
          <w:kern w:val="2"/>
          <w:sz w:val="18"/>
          <w:szCs w:val="18"/>
          <w:lang w:eastAsia="zh-CN"/>
        </w:rPr>
        <w:t>图B.2 混合型稀土精矿</w:t>
      </w:r>
      <w:r>
        <w:rPr>
          <w:rFonts w:hint="eastAsia" w:ascii="黑体" w:hAnsi="黑体" w:eastAsia="黑体" w:cs="Times New Roman"/>
          <w:kern w:val="2"/>
          <w:sz w:val="18"/>
          <w:szCs w:val="18"/>
          <w:lang w:val="en-US" w:eastAsia="zh-CN"/>
        </w:rPr>
        <w:t>或</w:t>
      </w:r>
      <w:r>
        <w:rPr>
          <w:rFonts w:hint="eastAsia" w:ascii="黑体" w:hAnsi="黑体" w:eastAsia="黑体" w:cs="Times New Roman"/>
          <w:kern w:val="2"/>
          <w:sz w:val="18"/>
          <w:szCs w:val="18"/>
          <w:lang w:eastAsia="zh-CN"/>
        </w:rPr>
        <w:t>含稀土的物料碱法冶炼分离工序图</w:t>
      </w:r>
    </w:p>
    <w:p w14:paraId="4613DEB2">
      <w:pPr>
        <w:widowControl/>
        <w:spacing w:after="0" w:line="240" w:lineRule="auto"/>
        <w:jc w:val="center"/>
        <w:rPr>
          <w:rFonts w:ascii="Times New Roman" w:hAnsi="Times New Roman" w:eastAsia="宋体" w:cs="Times New Roman"/>
          <w:kern w:val="2"/>
          <w:sz w:val="21"/>
          <w:szCs w:val="24"/>
          <w:lang w:eastAsia="zh-CN"/>
        </w:rPr>
      </w:pPr>
    </w:p>
    <w:p w14:paraId="6A74F948">
      <w:pPr>
        <w:widowControl/>
        <w:spacing w:after="0" w:line="240" w:lineRule="auto"/>
        <w:jc w:val="center"/>
        <w:rPr>
          <w:rFonts w:ascii="Times New Roman" w:hAnsi="Times New Roman" w:eastAsia="宋体" w:cs="Times New Roman"/>
          <w:kern w:val="2"/>
          <w:sz w:val="21"/>
          <w:szCs w:val="24"/>
          <w:lang w:eastAsia="zh-CN"/>
        </w:rPr>
      </w:pPr>
      <w:r>
        <w:rPr>
          <w:rFonts w:hint="eastAsia"/>
        </w:rPr>
        <w:object>
          <v:shape id="_x0000_i1027" o:spt="75" type="#_x0000_t75" style="height:176.4pt;width:414.6pt;" o:ole="t" filled="f" o:preferrelative="t" stroked="f" coordsize="21600,21600">
            <v:path/>
            <v:fill on="f" focussize="0,0"/>
            <v:stroke on="f" joinstyle="miter"/>
            <v:imagedata r:id="rId24" o:title=""/>
            <o:lock v:ext="edit" aspectratio="t"/>
            <w10:wrap type="none"/>
            <w10:anchorlock/>
          </v:shape>
          <o:OLEObject Type="Embed" ProgID="Visio.Drawing.11" ShapeID="_x0000_i1027" DrawAspect="Content" ObjectID="_1468075727" r:id="rId23">
            <o:LockedField>false</o:LockedField>
          </o:OLEObject>
        </w:object>
      </w:r>
    </w:p>
    <w:p w14:paraId="282FCA6D">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图B.3 氟碳铈矿</w:t>
      </w:r>
      <w:r>
        <w:rPr>
          <w:rFonts w:hint="eastAsia" w:ascii="黑体" w:hAnsi="黑体" w:eastAsia="黑体" w:cs="Times New Roman"/>
          <w:kern w:val="2"/>
          <w:sz w:val="18"/>
          <w:szCs w:val="18"/>
          <w:lang w:val="en-US" w:eastAsia="zh-CN"/>
        </w:rPr>
        <w:t>或</w:t>
      </w:r>
      <w:r>
        <w:rPr>
          <w:rFonts w:hint="eastAsia" w:ascii="黑体" w:hAnsi="黑体" w:eastAsia="黑体" w:cs="Times New Roman"/>
          <w:kern w:val="2"/>
          <w:sz w:val="18"/>
          <w:szCs w:val="18"/>
          <w:lang w:eastAsia="zh-CN"/>
        </w:rPr>
        <w:t>含稀土的物料冶炼分离工序图</w:t>
      </w:r>
    </w:p>
    <w:p w14:paraId="1E8BF73C">
      <w:pPr>
        <w:adjustRightInd w:val="0"/>
        <w:snapToGrid w:val="0"/>
        <w:spacing w:after="0" w:line="360" w:lineRule="auto"/>
        <w:jc w:val="center"/>
        <w:rPr>
          <w:rFonts w:ascii="黑体" w:hAnsi="黑体" w:eastAsia="黑体" w:cs="Times New Roman"/>
          <w:kern w:val="2"/>
          <w:sz w:val="18"/>
          <w:szCs w:val="18"/>
          <w:lang w:eastAsia="zh-CN"/>
        </w:rPr>
      </w:pPr>
    </w:p>
    <w:p w14:paraId="3625D232">
      <w:pPr>
        <w:adjustRightInd w:val="0"/>
        <w:snapToGrid w:val="0"/>
        <w:spacing w:after="0" w:line="360" w:lineRule="auto"/>
        <w:jc w:val="center"/>
        <w:rPr>
          <w:rFonts w:ascii="黑体" w:hAnsi="黑体" w:eastAsia="黑体" w:cs="Times New Roman"/>
          <w:kern w:val="2"/>
          <w:sz w:val="18"/>
          <w:szCs w:val="18"/>
          <w:lang w:eastAsia="zh-CN"/>
        </w:rPr>
      </w:pPr>
      <w:r>
        <w:rPr>
          <w:rFonts w:ascii="黑体" w:hAnsi="黑体" w:eastAsia="黑体" w:cs="Times New Roman"/>
          <w:kern w:val="2"/>
          <w:sz w:val="18"/>
          <w:szCs w:val="18"/>
          <w:lang w:eastAsia="zh-CN"/>
        </w:rPr>
        <w:drawing>
          <wp:inline distT="0" distB="0" distL="114300" distR="114300">
            <wp:extent cx="5461000" cy="1665605"/>
            <wp:effectExtent l="0" t="0" r="0" b="10795"/>
            <wp:docPr id="5" name="图片 5" descr="73a495de6bf1598237414527f1162d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3a495de6bf1598237414527f1162d66"/>
                    <pic:cNvPicPr>
                      <a:picLocks noChangeAspect="1"/>
                    </pic:cNvPicPr>
                  </pic:nvPicPr>
                  <pic:blipFill>
                    <a:blip r:embed="rId25"/>
                    <a:stretch>
                      <a:fillRect/>
                    </a:stretch>
                  </pic:blipFill>
                  <pic:spPr>
                    <a:xfrm>
                      <a:off x="0" y="0"/>
                      <a:ext cx="5461000" cy="1665605"/>
                    </a:xfrm>
                    <a:prstGeom prst="rect">
                      <a:avLst/>
                    </a:prstGeom>
                  </pic:spPr>
                </pic:pic>
              </a:graphicData>
            </a:graphic>
          </wp:inline>
        </w:drawing>
      </w:r>
    </w:p>
    <w:p w14:paraId="5A66D73A">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图B.4 独居石矿</w:t>
      </w:r>
      <w:r>
        <w:rPr>
          <w:rFonts w:hint="eastAsia" w:ascii="黑体" w:hAnsi="黑体" w:eastAsia="黑体" w:cs="Times New Roman"/>
          <w:kern w:val="2"/>
          <w:sz w:val="18"/>
          <w:szCs w:val="18"/>
          <w:lang w:val="en-US" w:eastAsia="zh-CN"/>
        </w:rPr>
        <w:t>或</w:t>
      </w:r>
      <w:r>
        <w:rPr>
          <w:rFonts w:hint="eastAsia" w:ascii="黑体" w:hAnsi="黑体" w:eastAsia="黑体" w:cs="Times New Roman"/>
          <w:kern w:val="2"/>
          <w:sz w:val="18"/>
          <w:szCs w:val="18"/>
          <w:lang w:eastAsia="zh-CN"/>
        </w:rPr>
        <w:t>含稀土的物料冶炼分离工序图</w:t>
      </w:r>
    </w:p>
    <w:p w14:paraId="6253B893">
      <w:pPr>
        <w:widowControl/>
        <w:spacing w:after="0" w:line="240" w:lineRule="auto"/>
        <w:jc w:val="center"/>
        <w:rPr>
          <w:rFonts w:ascii="Times New Roman" w:hAnsi="Times New Roman" w:eastAsia="宋体" w:cs="Times New Roman"/>
          <w:kern w:val="2"/>
          <w:sz w:val="21"/>
          <w:szCs w:val="24"/>
          <w:lang w:eastAsia="zh-CN"/>
        </w:rPr>
      </w:pPr>
    </w:p>
    <w:p w14:paraId="1169CF6F">
      <w:pPr>
        <w:widowControl/>
        <w:spacing w:after="0" w:line="240" w:lineRule="auto"/>
        <w:jc w:val="center"/>
        <w:rPr>
          <w:rFonts w:ascii="Times New Roman" w:hAnsi="Times New Roman" w:eastAsia="宋体" w:cs="Times New Roman"/>
          <w:kern w:val="2"/>
          <w:sz w:val="21"/>
          <w:szCs w:val="24"/>
          <w:lang w:eastAsia="zh-CN"/>
        </w:rPr>
      </w:pPr>
      <w:r>
        <w:rPr>
          <w:rFonts w:ascii="Times New Roman" w:hAnsi="Times New Roman" w:eastAsia="宋体" w:cs="Times New Roman"/>
          <w:kern w:val="2"/>
          <w:sz w:val="21"/>
          <w:szCs w:val="24"/>
          <w:lang w:eastAsia="zh-CN"/>
        </w:rPr>
        <w:drawing>
          <wp:inline distT="0" distB="0" distL="114300" distR="114300">
            <wp:extent cx="5461000" cy="2552065"/>
            <wp:effectExtent l="0" t="0" r="0" b="13335"/>
            <wp:docPr id="6" name="图片 6" descr="27ab1119d0c0f3b40cf7efac575aa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7ab1119d0c0f3b40cf7efac575aabed"/>
                    <pic:cNvPicPr>
                      <a:picLocks noChangeAspect="1"/>
                    </pic:cNvPicPr>
                  </pic:nvPicPr>
                  <pic:blipFill>
                    <a:blip r:embed="rId26"/>
                    <a:stretch>
                      <a:fillRect/>
                    </a:stretch>
                  </pic:blipFill>
                  <pic:spPr>
                    <a:xfrm>
                      <a:off x="0" y="0"/>
                      <a:ext cx="5461000" cy="2552065"/>
                    </a:xfrm>
                    <a:prstGeom prst="rect">
                      <a:avLst/>
                    </a:prstGeom>
                  </pic:spPr>
                </pic:pic>
              </a:graphicData>
            </a:graphic>
          </wp:inline>
        </w:drawing>
      </w:r>
    </w:p>
    <w:p w14:paraId="70423F9B">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图B.5 离子吸附型稀土矿</w:t>
      </w:r>
      <w:r>
        <w:rPr>
          <w:rFonts w:hint="eastAsia" w:ascii="黑体" w:hAnsi="黑体" w:eastAsia="黑体" w:cs="Times New Roman"/>
          <w:kern w:val="2"/>
          <w:sz w:val="18"/>
          <w:szCs w:val="18"/>
          <w:lang w:val="en-US" w:eastAsia="zh-CN"/>
        </w:rPr>
        <w:t>或</w:t>
      </w:r>
      <w:r>
        <w:rPr>
          <w:rFonts w:hint="eastAsia" w:ascii="黑体" w:hAnsi="黑体" w:eastAsia="黑体" w:cs="Times New Roman"/>
          <w:kern w:val="2"/>
          <w:sz w:val="18"/>
          <w:szCs w:val="18"/>
          <w:lang w:eastAsia="zh-CN"/>
        </w:rPr>
        <w:t>含稀土的物料冶炼分离工序图</w:t>
      </w:r>
    </w:p>
    <w:p w14:paraId="7264AFA5">
      <w:pPr>
        <w:adjustRightInd w:val="0"/>
        <w:snapToGrid w:val="0"/>
        <w:spacing w:after="0" w:line="360" w:lineRule="auto"/>
        <w:jc w:val="center"/>
        <w:rPr>
          <w:rFonts w:ascii="黑体" w:hAnsi="黑体" w:eastAsia="黑体" w:cs="Times New Roman"/>
          <w:kern w:val="2"/>
          <w:sz w:val="18"/>
          <w:szCs w:val="18"/>
          <w:lang w:eastAsia="zh-CN"/>
        </w:rPr>
      </w:pPr>
    </w:p>
    <w:p w14:paraId="3932B456">
      <w:pPr>
        <w:widowControl/>
        <w:spacing w:after="0" w:line="240" w:lineRule="auto"/>
        <w:jc w:val="center"/>
        <w:rPr>
          <w:rFonts w:ascii="Times New Roman" w:hAnsi="Times New Roman" w:eastAsia="宋体" w:cs="Times New Roman"/>
          <w:kern w:val="2"/>
          <w:sz w:val="21"/>
          <w:szCs w:val="24"/>
          <w:lang w:eastAsia="zh-CN"/>
        </w:rPr>
      </w:pPr>
      <w:r>
        <w:rPr>
          <w:rFonts w:ascii="Times New Roman" w:hAnsi="Times New Roman" w:eastAsia="宋体" w:cs="Times New Roman"/>
          <w:kern w:val="2"/>
          <w:sz w:val="21"/>
          <w:szCs w:val="24"/>
          <w:lang w:eastAsia="zh-CN"/>
        </w:rPr>
        <w:drawing>
          <wp:inline distT="0" distB="0" distL="114300" distR="114300">
            <wp:extent cx="5454015" cy="1938655"/>
            <wp:effectExtent l="0" t="0" r="6985" b="17145"/>
            <wp:docPr id="9" name="图片 9" descr="cd3af2c7740b4953c3a7c627a18df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d3af2c7740b4953c3a7c627a18dfa50"/>
                    <pic:cNvPicPr>
                      <a:picLocks noChangeAspect="1"/>
                    </pic:cNvPicPr>
                  </pic:nvPicPr>
                  <pic:blipFill>
                    <a:blip r:embed="rId27"/>
                    <a:stretch>
                      <a:fillRect/>
                    </a:stretch>
                  </pic:blipFill>
                  <pic:spPr>
                    <a:xfrm>
                      <a:off x="0" y="0"/>
                      <a:ext cx="5454015" cy="1938655"/>
                    </a:xfrm>
                    <a:prstGeom prst="rect">
                      <a:avLst/>
                    </a:prstGeom>
                  </pic:spPr>
                </pic:pic>
              </a:graphicData>
            </a:graphic>
          </wp:inline>
        </w:drawing>
      </w:r>
    </w:p>
    <w:p w14:paraId="0C7AF093">
      <w:pPr>
        <w:adjustRightInd w:val="0"/>
        <w:snapToGrid w:val="0"/>
        <w:spacing w:after="0" w:line="360" w:lineRule="auto"/>
        <w:jc w:val="center"/>
        <w:rPr>
          <w:rFonts w:ascii="Times New Roman" w:hAnsi="Times New Roman" w:eastAsia="宋体" w:cs="Times New Roman"/>
          <w:kern w:val="2"/>
          <w:sz w:val="21"/>
          <w:szCs w:val="24"/>
          <w:lang w:eastAsia="zh-CN"/>
        </w:rPr>
      </w:pPr>
      <w:r>
        <w:rPr>
          <w:rFonts w:hint="eastAsia" w:ascii="黑体" w:hAnsi="黑体" w:eastAsia="黑体" w:cs="Times New Roman"/>
          <w:kern w:val="2"/>
          <w:sz w:val="18"/>
          <w:szCs w:val="18"/>
          <w:lang w:eastAsia="zh-CN"/>
        </w:rPr>
        <w:t>图B.6 稀土二次资源回收料</w:t>
      </w:r>
      <w:r>
        <w:rPr>
          <w:rFonts w:hint="eastAsia" w:ascii="黑体" w:hAnsi="黑体" w:eastAsia="黑体" w:cs="Times New Roman"/>
          <w:kern w:val="2"/>
          <w:sz w:val="18"/>
          <w:szCs w:val="18"/>
          <w:lang w:val="en-US" w:eastAsia="zh-CN"/>
        </w:rPr>
        <w:t>或</w:t>
      </w:r>
      <w:r>
        <w:rPr>
          <w:rFonts w:hint="eastAsia" w:ascii="黑体" w:hAnsi="黑体" w:eastAsia="黑体" w:cs="Times New Roman"/>
          <w:kern w:val="2"/>
          <w:sz w:val="18"/>
          <w:szCs w:val="18"/>
          <w:lang w:eastAsia="zh-CN"/>
        </w:rPr>
        <w:t>含稀土的物料冶炼分离工序图</w:t>
      </w:r>
    </w:p>
    <w:p w14:paraId="21879DAA">
      <w:pPr>
        <w:widowControl/>
        <w:spacing w:after="0" w:line="240" w:lineRule="auto"/>
        <w:rPr>
          <w:rFonts w:ascii="Times New Roman" w:hAnsi="Times New Roman" w:eastAsia="宋体" w:cs="Times New Roman"/>
          <w:kern w:val="2"/>
          <w:sz w:val="21"/>
          <w:szCs w:val="24"/>
          <w:lang w:eastAsia="zh-CN"/>
        </w:rPr>
      </w:pPr>
    </w:p>
    <w:p w14:paraId="43233F2B">
      <w:pPr>
        <w:widowControl/>
        <w:spacing w:after="0" w:line="240" w:lineRule="auto"/>
        <w:rPr>
          <w:rFonts w:ascii="Times New Roman" w:hAnsi="Times New Roman" w:eastAsia="宋体" w:cs="Times New Roman"/>
          <w:kern w:val="2"/>
          <w:sz w:val="21"/>
          <w:szCs w:val="24"/>
          <w:lang w:eastAsia="zh-CN"/>
        </w:rPr>
      </w:pPr>
      <w:r>
        <w:rPr>
          <w:rFonts w:ascii="Times New Roman" w:hAnsi="Times New Roman" w:eastAsia="宋体" w:cs="Times New Roman"/>
          <w:kern w:val="2"/>
          <w:sz w:val="21"/>
          <w:szCs w:val="24"/>
          <w:lang w:eastAsia="zh-CN"/>
        </w:rPr>
        <w:br w:type="page"/>
      </w:r>
    </w:p>
    <w:p w14:paraId="50E0F78E">
      <w:pPr>
        <w:keepNext/>
        <w:keepLines/>
        <w:adjustRightInd w:val="0"/>
        <w:snapToGrid w:val="0"/>
        <w:spacing w:before="100" w:after="90" w:line="240" w:lineRule="auto"/>
        <w:jc w:val="center"/>
        <w:outlineLvl w:val="0"/>
        <w:rPr>
          <w:rFonts w:ascii="宋体" w:hAnsi="宋体" w:eastAsia="黑体" w:cs="Times New Roman"/>
          <w:bCs/>
          <w:kern w:val="44"/>
          <w:sz w:val="21"/>
          <w:szCs w:val="44"/>
          <w:lang w:eastAsia="zh-CN"/>
        </w:rPr>
      </w:pPr>
      <w:bookmarkStart w:id="126" w:name="_Toc1303847548"/>
      <w:r>
        <w:rPr>
          <w:rFonts w:hint="eastAsia" w:ascii="黑体" w:hAnsi="黑体" w:eastAsia="黑体" w:cs="黑体"/>
          <w:bCs/>
          <w:kern w:val="44"/>
          <w:sz w:val="21"/>
          <w:szCs w:val="44"/>
          <w:lang w:eastAsia="zh-CN"/>
        </w:rPr>
        <w:t>附录 C</w:t>
      </w:r>
      <w:bookmarkEnd w:id="126"/>
    </w:p>
    <w:p w14:paraId="6185EF9B">
      <w:pPr>
        <w:spacing w:after="0" w:line="360" w:lineRule="auto"/>
        <w:jc w:val="center"/>
        <w:rPr>
          <w:rFonts w:ascii="黑体" w:hAnsi="黑体" w:eastAsia="黑体" w:cs="黑体"/>
          <w:kern w:val="2"/>
          <w:sz w:val="21"/>
          <w:szCs w:val="24"/>
          <w:lang w:eastAsia="zh-CN"/>
        </w:rPr>
      </w:pPr>
      <w:r>
        <w:rPr>
          <w:rFonts w:hint="eastAsia" w:ascii="黑体" w:hAnsi="黑体" w:eastAsia="黑体" w:cs="黑体"/>
          <w:kern w:val="2"/>
          <w:sz w:val="21"/>
          <w:szCs w:val="24"/>
          <w:lang w:eastAsia="zh-CN"/>
        </w:rPr>
        <w:t>（资料性）</w:t>
      </w:r>
    </w:p>
    <w:p w14:paraId="6A45F229">
      <w:pPr>
        <w:spacing w:after="0" w:line="360" w:lineRule="auto"/>
        <w:jc w:val="center"/>
        <w:rPr>
          <w:rFonts w:ascii="黑体" w:hAnsi="黑体" w:eastAsia="黑体" w:cs="黑体"/>
          <w:kern w:val="2"/>
          <w:sz w:val="21"/>
          <w:szCs w:val="24"/>
          <w:lang w:eastAsia="zh-CN"/>
        </w:rPr>
      </w:pPr>
      <w:r>
        <w:rPr>
          <w:rFonts w:hint="eastAsia" w:ascii="黑体" w:hAnsi="黑体" w:eastAsia="黑体" w:cs="黑体"/>
          <w:kern w:val="2"/>
          <w:sz w:val="21"/>
          <w:szCs w:val="24"/>
          <w:lang w:eastAsia="zh-CN"/>
        </w:rPr>
        <w:t>数据收集表示例</w:t>
      </w:r>
    </w:p>
    <w:p w14:paraId="1867FB78">
      <w:pPr>
        <w:spacing w:after="0" w:line="360" w:lineRule="auto"/>
        <w:ind w:firstLine="420" w:firstLineChars="200"/>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数据收集表示例见表C.1~表C.</w:t>
      </w:r>
      <w:r>
        <w:rPr>
          <w:rFonts w:hint="eastAsia" w:ascii="Times New Roman" w:hAnsi="Times New Roman" w:eastAsia="宋体" w:cs="Times New Roman"/>
          <w:kern w:val="2"/>
          <w:sz w:val="21"/>
          <w:szCs w:val="21"/>
          <w:lang w:val="en-US" w:eastAsia="zh-CN"/>
        </w:rPr>
        <w:t>4</w:t>
      </w:r>
      <w:r>
        <w:rPr>
          <w:rFonts w:hint="eastAsia" w:ascii="Times New Roman" w:hAnsi="Times New Roman" w:eastAsia="宋体" w:cs="Times New Roman"/>
          <w:kern w:val="2"/>
          <w:sz w:val="21"/>
          <w:szCs w:val="21"/>
          <w:lang w:eastAsia="zh-CN"/>
        </w:rPr>
        <w:t>。其并不代表全部收集范围，报告主体可根据生产系统实际情况补充或调整。</w:t>
      </w:r>
    </w:p>
    <w:p w14:paraId="7C9E0936">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表C.1 稀土采矿生产单元输入、输出数据收集表</w:t>
      </w:r>
    </w:p>
    <w:tbl>
      <w:tblPr>
        <w:tblStyle w:val="13"/>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256"/>
        <w:gridCol w:w="708"/>
        <w:gridCol w:w="709"/>
        <w:gridCol w:w="709"/>
        <w:gridCol w:w="1417"/>
        <w:gridCol w:w="1848"/>
      </w:tblGrid>
      <w:tr w14:paraId="6D4CAF1D">
        <w:trPr>
          <w:trHeight w:val="585" w:hRule="atLeast"/>
        </w:trPr>
        <w:tc>
          <w:tcPr>
            <w:tcW w:w="8647" w:type="dxa"/>
            <w:gridSpan w:val="6"/>
            <w:tcMar>
              <w:top w:w="120" w:type="dxa"/>
              <w:left w:w="120" w:type="dxa"/>
              <w:bottom w:w="120" w:type="dxa"/>
              <w:right w:w="120" w:type="dxa"/>
            </w:tcMar>
          </w:tcPr>
          <w:p w14:paraId="73276C88">
            <w:pPr>
              <w:widowControl/>
              <w:spacing w:line="240" w:lineRule="auto"/>
              <w:rPr>
                <w:rFonts w:ascii="Times New Roman"/>
                <w:sz w:val="18"/>
                <w:szCs w:val="20"/>
                <w:lang w:eastAsia="zh-CN"/>
              </w:rPr>
            </w:pPr>
            <w:r>
              <w:rPr>
                <w:rFonts w:ascii="Times New Roman" w:cs="宋体"/>
                <w:sz w:val="18"/>
                <w:szCs w:val="20"/>
                <w:lang w:eastAsia="zh-CN"/>
              </w:rPr>
              <w:t>单元过程及统计口径描述：</w:t>
            </w:r>
          </w:p>
          <w:p w14:paraId="4A7B89E7">
            <w:pPr>
              <w:widowControl/>
              <w:spacing w:line="240" w:lineRule="auto"/>
              <w:rPr>
                <w:rFonts w:ascii="Times New Roman"/>
                <w:sz w:val="18"/>
                <w:szCs w:val="20"/>
                <w:lang w:eastAsia="zh-CN"/>
              </w:rPr>
            </w:pPr>
            <w:r>
              <w:rPr>
                <w:rFonts w:ascii="Times New Roman" w:cs="宋体"/>
                <w:sz w:val="18"/>
                <w:szCs w:val="20"/>
                <w:lang w:eastAsia="zh-CN"/>
              </w:rPr>
              <w:t>时间段：起始时间</w:t>
            </w:r>
            <w:r>
              <w:rPr>
                <w:rFonts w:ascii="Times New Roman"/>
                <w:sz w:val="18"/>
                <w:szCs w:val="20"/>
                <w:lang w:eastAsia="zh-CN"/>
              </w:rPr>
              <w:t xml:space="preserve">      </w:t>
            </w:r>
            <w:r>
              <w:rPr>
                <w:rFonts w:ascii="Times New Roman" w:cs="宋体"/>
                <w:sz w:val="18"/>
                <w:szCs w:val="20"/>
                <w:lang w:eastAsia="zh-CN"/>
              </w:rPr>
              <w:t>年</w:t>
            </w:r>
            <w:r>
              <w:rPr>
                <w:rFonts w:ascii="Times New Roman"/>
                <w:sz w:val="18"/>
                <w:szCs w:val="20"/>
                <w:lang w:eastAsia="zh-CN"/>
              </w:rPr>
              <w:t xml:space="preserve">  </w:t>
            </w:r>
            <w:r>
              <w:rPr>
                <w:rFonts w:ascii="Times New Roman" w:cs="宋体"/>
                <w:sz w:val="18"/>
                <w:szCs w:val="20"/>
                <w:lang w:eastAsia="zh-CN"/>
              </w:rPr>
              <w:t>月</w:t>
            </w:r>
            <w:r>
              <w:rPr>
                <w:rFonts w:ascii="Times New Roman"/>
                <w:sz w:val="18"/>
                <w:szCs w:val="20"/>
                <w:lang w:eastAsia="zh-CN"/>
              </w:rPr>
              <w:t xml:space="preserve">   </w:t>
            </w:r>
            <w:r>
              <w:rPr>
                <w:rFonts w:ascii="Times New Roman" w:cs="宋体"/>
                <w:sz w:val="18"/>
                <w:szCs w:val="20"/>
                <w:lang w:eastAsia="zh-CN"/>
              </w:rPr>
              <w:t>日；终止时间</w:t>
            </w:r>
            <w:r>
              <w:rPr>
                <w:rFonts w:ascii="Times New Roman"/>
                <w:sz w:val="18"/>
                <w:szCs w:val="20"/>
                <w:lang w:eastAsia="zh-CN"/>
              </w:rPr>
              <w:t xml:space="preserve">      </w:t>
            </w:r>
            <w:r>
              <w:rPr>
                <w:rFonts w:ascii="Times New Roman" w:cs="宋体"/>
                <w:sz w:val="18"/>
                <w:szCs w:val="20"/>
                <w:lang w:eastAsia="zh-CN"/>
              </w:rPr>
              <w:t>年</w:t>
            </w:r>
            <w:r>
              <w:rPr>
                <w:rFonts w:ascii="Times New Roman"/>
                <w:sz w:val="18"/>
                <w:szCs w:val="20"/>
                <w:lang w:eastAsia="zh-CN"/>
              </w:rPr>
              <w:t xml:space="preserve">  </w:t>
            </w:r>
            <w:r>
              <w:rPr>
                <w:rFonts w:ascii="Times New Roman" w:cs="宋体"/>
                <w:sz w:val="18"/>
                <w:szCs w:val="20"/>
                <w:lang w:eastAsia="zh-CN"/>
              </w:rPr>
              <w:t>月</w:t>
            </w:r>
            <w:r>
              <w:rPr>
                <w:rFonts w:ascii="Times New Roman"/>
                <w:sz w:val="18"/>
                <w:szCs w:val="20"/>
                <w:lang w:eastAsia="zh-CN"/>
              </w:rPr>
              <w:t xml:space="preserve">  </w:t>
            </w:r>
            <w:r>
              <w:rPr>
                <w:rFonts w:ascii="Times New Roman" w:cs="宋体"/>
                <w:sz w:val="18"/>
                <w:szCs w:val="20"/>
                <w:lang w:eastAsia="zh-CN"/>
              </w:rPr>
              <w:t>日</w:t>
            </w:r>
          </w:p>
          <w:p w14:paraId="00663D5C">
            <w:pPr>
              <w:widowControl/>
              <w:spacing w:line="240" w:lineRule="auto"/>
              <w:rPr>
                <w:rFonts w:ascii="Times New Roman"/>
                <w:sz w:val="18"/>
                <w:szCs w:val="20"/>
              </w:rPr>
            </w:pPr>
            <w:r>
              <w:rPr>
                <w:rFonts w:ascii="Times New Roman" w:cs="宋体"/>
                <w:sz w:val="18"/>
                <w:szCs w:val="20"/>
              </w:rPr>
              <w:t>制表人：</w:t>
            </w:r>
            <w:r>
              <w:rPr>
                <w:rFonts w:ascii="Times New Roman"/>
                <w:sz w:val="18"/>
                <w:szCs w:val="20"/>
              </w:rPr>
              <w:t xml:space="preserve">                </w:t>
            </w:r>
            <w:r>
              <w:rPr>
                <w:rFonts w:ascii="Times New Roman" w:cs="宋体"/>
                <w:sz w:val="18"/>
                <w:szCs w:val="20"/>
              </w:rPr>
              <w:t>制表日期：</w:t>
            </w:r>
          </w:p>
        </w:tc>
      </w:tr>
      <w:tr w14:paraId="5552B3A6">
        <w:trPr>
          <w:trHeight w:val="205" w:hRule="atLeast"/>
        </w:trPr>
        <w:tc>
          <w:tcPr>
            <w:tcW w:w="3256" w:type="dxa"/>
            <w:tcMar>
              <w:top w:w="120" w:type="dxa"/>
              <w:left w:w="120" w:type="dxa"/>
              <w:bottom w:w="120" w:type="dxa"/>
              <w:right w:w="120" w:type="dxa"/>
            </w:tcMar>
            <w:vAlign w:val="center"/>
          </w:tcPr>
          <w:p w14:paraId="31E6CA52">
            <w:pPr>
              <w:widowControl/>
              <w:spacing w:after="0" w:line="360" w:lineRule="auto"/>
              <w:rPr>
                <w:rFonts w:ascii="Times New Roman"/>
                <w:b/>
                <w:sz w:val="18"/>
                <w:szCs w:val="20"/>
              </w:rPr>
            </w:pPr>
            <w:r>
              <w:rPr>
                <w:rFonts w:ascii="Times New Roman" w:cs="宋体"/>
                <w:b/>
                <w:sz w:val="18"/>
                <w:szCs w:val="20"/>
              </w:rPr>
              <w:t>输入</w:t>
            </w:r>
          </w:p>
        </w:tc>
        <w:tc>
          <w:tcPr>
            <w:tcW w:w="708" w:type="dxa"/>
            <w:tcMar>
              <w:top w:w="120" w:type="dxa"/>
              <w:left w:w="120" w:type="dxa"/>
              <w:bottom w:w="120" w:type="dxa"/>
              <w:right w:w="120" w:type="dxa"/>
            </w:tcMar>
            <w:vAlign w:val="center"/>
          </w:tcPr>
          <w:p w14:paraId="7DEC8B78">
            <w:pPr>
              <w:widowControl/>
              <w:spacing w:after="0" w:line="360" w:lineRule="auto"/>
              <w:jc w:val="center"/>
              <w:rPr>
                <w:rFonts w:ascii="Times New Roman"/>
                <w:b/>
                <w:sz w:val="18"/>
                <w:szCs w:val="20"/>
              </w:rPr>
            </w:pPr>
            <w:r>
              <w:rPr>
                <w:rFonts w:ascii="Times New Roman" w:cs="宋体"/>
                <w:b/>
                <w:sz w:val="18"/>
                <w:szCs w:val="20"/>
              </w:rPr>
              <w:t>单位</w:t>
            </w:r>
          </w:p>
        </w:tc>
        <w:tc>
          <w:tcPr>
            <w:tcW w:w="709" w:type="dxa"/>
            <w:vAlign w:val="center"/>
          </w:tcPr>
          <w:p w14:paraId="76AF7912">
            <w:pPr>
              <w:widowControl/>
              <w:spacing w:after="0" w:line="360" w:lineRule="auto"/>
              <w:jc w:val="center"/>
              <w:rPr>
                <w:rFonts w:ascii="Times New Roman"/>
                <w:b/>
                <w:sz w:val="18"/>
                <w:szCs w:val="20"/>
              </w:rPr>
            </w:pPr>
            <w:r>
              <w:rPr>
                <w:rFonts w:ascii="Times New Roman" w:cs="宋体"/>
                <w:b/>
                <w:sz w:val="18"/>
                <w:szCs w:val="20"/>
              </w:rPr>
              <w:t>数量</w:t>
            </w:r>
          </w:p>
        </w:tc>
        <w:tc>
          <w:tcPr>
            <w:tcW w:w="709" w:type="dxa"/>
            <w:tcMar>
              <w:top w:w="120" w:type="dxa"/>
              <w:left w:w="120" w:type="dxa"/>
              <w:bottom w:w="120" w:type="dxa"/>
              <w:right w:w="120" w:type="dxa"/>
            </w:tcMar>
            <w:vAlign w:val="center"/>
          </w:tcPr>
          <w:p w14:paraId="44C498C1">
            <w:pPr>
              <w:widowControl/>
              <w:spacing w:after="0" w:line="360" w:lineRule="auto"/>
              <w:jc w:val="center"/>
              <w:rPr>
                <w:rFonts w:ascii="Times New Roman"/>
                <w:b/>
                <w:sz w:val="18"/>
                <w:szCs w:val="20"/>
              </w:rPr>
            </w:pPr>
            <w:r>
              <w:rPr>
                <w:rFonts w:ascii="Times New Roman" w:cs="宋体"/>
                <w:b/>
                <w:sz w:val="18"/>
                <w:szCs w:val="20"/>
              </w:rPr>
              <w:t>运距</w:t>
            </w:r>
          </w:p>
        </w:tc>
        <w:tc>
          <w:tcPr>
            <w:tcW w:w="1417" w:type="dxa"/>
            <w:tcMar>
              <w:top w:w="120" w:type="dxa"/>
              <w:left w:w="120" w:type="dxa"/>
              <w:bottom w:w="120" w:type="dxa"/>
              <w:right w:w="120" w:type="dxa"/>
            </w:tcMar>
            <w:vAlign w:val="center"/>
          </w:tcPr>
          <w:p w14:paraId="45250FA3">
            <w:pPr>
              <w:widowControl/>
              <w:spacing w:after="0" w:line="360" w:lineRule="auto"/>
              <w:jc w:val="center"/>
              <w:rPr>
                <w:rFonts w:ascii="Times New Roman"/>
                <w:b/>
                <w:sz w:val="18"/>
                <w:szCs w:val="20"/>
              </w:rPr>
            </w:pPr>
            <w:r>
              <w:rPr>
                <w:rFonts w:ascii="Times New Roman" w:cs="宋体"/>
                <w:b/>
                <w:sz w:val="18"/>
                <w:szCs w:val="20"/>
              </w:rPr>
              <w:t>运输方式</w:t>
            </w:r>
          </w:p>
        </w:tc>
        <w:tc>
          <w:tcPr>
            <w:tcW w:w="1848" w:type="dxa"/>
            <w:tcMar>
              <w:top w:w="120" w:type="dxa"/>
              <w:left w:w="120" w:type="dxa"/>
              <w:bottom w:w="120" w:type="dxa"/>
              <w:right w:w="120" w:type="dxa"/>
            </w:tcMar>
            <w:vAlign w:val="center"/>
          </w:tcPr>
          <w:p w14:paraId="39D5ACCB">
            <w:pPr>
              <w:widowControl/>
              <w:spacing w:after="0" w:line="360" w:lineRule="auto"/>
              <w:jc w:val="center"/>
              <w:rPr>
                <w:rFonts w:ascii="Times New Roman"/>
                <w:b/>
                <w:sz w:val="18"/>
                <w:szCs w:val="20"/>
              </w:rPr>
            </w:pPr>
            <w:r>
              <w:rPr>
                <w:rFonts w:ascii="Times New Roman" w:cs="宋体"/>
                <w:b/>
                <w:sz w:val="18"/>
                <w:szCs w:val="20"/>
              </w:rPr>
              <w:t>规格、成分</w:t>
            </w:r>
            <w:r>
              <w:rPr>
                <w:rFonts w:ascii="Times New Roman"/>
                <w:b/>
                <w:sz w:val="18"/>
                <w:szCs w:val="20"/>
              </w:rPr>
              <w:t>/</w:t>
            </w:r>
            <w:r>
              <w:rPr>
                <w:rFonts w:ascii="Times New Roman" w:cs="宋体"/>
                <w:b/>
                <w:sz w:val="18"/>
                <w:szCs w:val="20"/>
              </w:rPr>
              <w:t>来源</w:t>
            </w:r>
          </w:p>
        </w:tc>
      </w:tr>
      <w:tr w14:paraId="2B13B504">
        <w:trPr>
          <w:trHeight w:val="57" w:hRule="atLeast"/>
        </w:trPr>
        <w:tc>
          <w:tcPr>
            <w:tcW w:w="3256" w:type="dxa"/>
            <w:tcMar>
              <w:top w:w="120" w:type="dxa"/>
              <w:left w:w="120" w:type="dxa"/>
              <w:bottom w:w="120" w:type="dxa"/>
              <w:right w:w="120" w:type="dxa"/>
            </w:tcMar>
            <w:vAlign w:val="center"/>
          </w:tcPr>
          <w:p w14:paraId="60C2C138">
            <w:pPr>
              <w:widowControl/>
              <w:spacing w:after="0" w:line="360" w:lineRule="auto"/>
              <w:rPr>
                <w:rFonts w:ascii="Times New Roman"/>
                <w:sz w:val="18"/>
                <w:szCs w:val="20"/>
              </w:rPr>
            </w:pPr>
            <w:r>
              <w:rPr>
                <w:rFonts w:hint="eastAsia" w:ascii="Times New Roman" w:cs="宋体"/>
                <w:sz w:val="18"/>
                <w:szCs w:val="18"/>
                <w:lang w:eastAsia="zh-CN"/>
              </w:rPr>
              <w:t>稀土原矿</w:t>
            </w:r>
          </w:p>
        </w:tc>
        <w:tc>
          <w:tcPr>
            <w:tcW w:w="708" w:type="dxa"/>
            <w:tcMar>
              <w:top w:w="120" w:type="dxa"/>
              <w:left w:w="120" w:type="dxa"/>
              <w:bottom w:w="120" w:type="dxa"/>
              <w:right w:w="120" w:type="dxa"/>
            </w:tcMar>
            <w:vAlign w:val="center"/>
          </w:tcPr>
          <w:p w14:paraId="2A7B59FC">
            <w:pPr>
              <w:widowControl/>
              <w:spacing w:after="0" w:line="360" w:lineRule="auto"/>
              <w:jc w:val="center"/>
              <w:rPr>
                <w:rFonts w:ascii="Times New Roman"/>
                <w:sz w:val="18"/>
                <w:szCs w:val="20"/>
              </w:rPr>
            </w:pPr>
          </w:p>
        </w:tc>
        <w:tc>
          <w:tcPr>
            <w:tcW w:w="709" w:type="dxa"/>
            <w:vAlign w:val="center"/>
          </w:tcPr>
          <w:p w14:paraId="5937EDD0">
            <w:pPr>
              <w:widowControl/>
              <w:spacing w:after="0" w:line="360" w:lineRule="auto"/>
              <w:jc w:val="center"/>
              <w:rPr>
                <w:rFonts w:ascii="Times New Roman"/>
                <w:sz w:val="18"/>
                <w:szCs w:val="20"/>
              </w:rPr>
            </w:pPr>
          </w:p>
        </w:tc>
        <w:tc>
          <w:tcPr>
            <w:tcW w:w="709" w:type="dxa"/>
            <w:tcMar>
              <w:top w:w="120" w:type="dxa"/>
              <w:left w:w="120" w:type="dxa"/>
              <w:bottom w:w="120" w:type="dxa"/>
              <w:right w:w="120" w:type="dxa"/>
            </w:tcMar>
            <w:vAlign w:val="center"/>
          </w:tcPr>
          <w:p w14:paraId="51AB3986">
            <w:pPr>
              <w:widowControl/>
              <w:spacing w:after="0" w:line="360" w:lineRule="auto"/>
              <w:jc w:val="center"/>
              <w:rPr>
                <w:rFonts w:ascii="Times New Roman"/>
                <w:sz w:val="18"/>
                <w:szCs w:val="20"/>
              </w:rPr>
            </w:pPr>
          </w:p>
        </w:tc>
        <w:tc>
          <w:tcPr>
            <w:tcW w:w="1417" w:type="dxa"/>
            <w:tcMar>
              <w:top w:w="120" w:type="dxa"/>
              <w:left w:w="120" w:type="dxa"/>
              <w:bottom w:w="120" w:type="dxa"/>
              <w:right w:w="120" w:type="dxa"/>
            </w:tcMar>
            <w:vAlign w:val="center"/>
          </w:tcPr>
          <w:p w14:paraId="30CAB846">
            <w:pPr>
              <w:widowControl/>
              <w:spacing w:after="0" w:line="360" w:lineRule="auto"/>
              <w:jc w:val="center"/>
              <w:rPr>
                <w:rFonts w:ascii="Times New Roman"/>
                <w:sz w:val="18"/>
                <w:szCs w:val="20"/>
              </w:rPr>
            </w:pPr>
          </w:p>
        </w:tc>
        <w:tc>
          <w:tcPr>
            <w:tcW w:w="1848" w:type="dxa"/>
            <w:tcMar>
              <w:top w:w="120" w:type="dxa"/>
              <w:left w:w="120" w:type="dxa"/>
              <w:bottom w:w="120" w:type="dxa"/>
              <w:right w:w="120" w:type="dxa"/>
            </w:tcMar>
            <w:vAlign w:val="center"/>
          </w:tcPr>
          <w:p w14:paraId="6C0C332A">
            <w:pPr>
              <w:widowControl/>
              <w:spacing w:after="0" w:line="360" w:lineRule="auto"/>
              <w:jc w:val="center"/>
              <w:rPr>
                <w:rFonts w:ascii="Times New Roman"/>
                <w:sz w:val="18"/>
                <w:szCs w:val="20"/>
              </w:rPr>
            </w:pPr>
          </w:p>
        </w:tc>
      </w:tr>
      <w:tr w14:paraId="5C9BE49D">
        <w:trPr>
          <w:trHeight w:val="79" w:hRule="atLeast"/>
        </w:trPr>
        <w:tc>
          <w:tcPr>
            <w:tcW w:w="3256" w:type="dxa"/>
            <w:tcMar>
              <w:top w:w="120" w:type="dxa"/>
              <w:left w:w="120" w:type="dxa"/>
              <w:bottom w:w="120" w:type="dxa"/>
              <w:right w:w="120" w:type="dxa"/>
            </w:tcMar>
            <w:vAlign w:val="center"/>
          </w:tcPr>
          <w:p w14:paraId="2E141D84">
            <w:pPr>
              <w:widowControl/>
              <w:spacing w:after="0" w:line="360" w:lineRule="auto"/>
              <w:rPr>
                <w:rFonts w:ascii="Times New Roman"/>
                <w:sz w:val="18"/>
                <w:szCs w:val="20"/>
              </w:rPr>
            </w:pPr>
            <w:r>
              <w:rPr>
                <w:rFonts w:hint="eastAsia" w:ascii="Times New Roman" w:cs="宋体"/>
                <w:sz w:val="18"/>
                <w:szCs w:val="20"/>
                <w:lang w:eastAsia="zh-CN"/>
              </w:rPr>
              <w:t>燃料（例如柴油、汽油、天然气等）</w:t>
            </w:r>
          </w:p>
        </w:tc>
        <w:tc>
          <w:tcPr>
            <w:tcW w:w="708" w:type="dxa"/>
            <w:tcMar>
              <w:top w:w="120" w:type="dxa"/>
              <w:left w:w="120" w:type="dxa"/>
              <w:bottom w:w="120" w:type="dxa"/>
              <w:right w:w="120" w:type="dxa"/>
            </w:tcMar>
            <w:vAlign w:val="center"/>
          </w:tcPr>
          <w:p w14:paraId="54BD1A3B">
            <w:pPr>
              <w:widowControl/>
              <w:spacing w:after="0" w:line="360" w:lineRule="auto"/>
              <w:jc w:val="center"/>
              <w:rPr>
                <w:rFonts w:ascii="Times New Roman"/>
                <w:sz w:val="18"/>
                <w:szCs w:val="20"/>
              </w:rPr>
            </w:pPr>
          </w:p>
        </w:tc>
        <w:tc>
          <w:tcPr>
            <w:tcW w:w="709" w:type="dxa"/>
            <w:vAlign w:val="center"/>
          </w:tcPr>
          <w:p w14:paraId="75A43BFF">
            <w:pPr>
              <w:widowControl/>
              <w:spacing w:after="0" w:line="360" w:lineRule="auto"/>
              <w:jc w:val="center"/>
              <w:rPr>
                <w:rFonts w:ascii="Times New Roman"/>
                <w:sz w:val="18"/>
                <w:szCs w:val="20"/>
              </w:rPr>
            </w:pPr>
          </w:p>
        </w:tc>
        <w:tc>
          <w:tcPr>
            <w:tcW w:w="709" w:type="dxa"/>
            <w:tcMar>
              <w:top w:w="120" w:type="dxa"/>
              <w:left w:w="120" w:type="dxa"/>
              <w:bottom w:w="120" w:type="dxa"/>
              <w:right w:w="120" w:type="dxa"/>
            </w:tcMar>
            <w:vAlign w:val="center"/>
          </w:tcPr>
          <w:p w14:paraId="389E9B6D">
            <w:pPr>
              <w:widowControl/>
              <w:spacing w:after="0" w:line="360" w:lineRule="auto"/>
              <w:jc w:val="center"/>
              <w:rPr>
                <w:rFonts w:ascii="Times New Roman"/>
                <w:sz w:val="18"/>
                <w:szCs w:val="20"/>
              </w:rPr>
            </w:pPr>
          </w:p>
        </w:tc>
        <w:tc>
          <w:tcPr>
            <w:tcW w:w="1417" w:type="dxa"/>
            <w:tcMar>
              <w:top w:w="120" w:type="dxa"/>
              <w:left w:w="120" w:type="dxa"/>
              <w:bottom w:w="120" w:type="dxa"/>
              <w:right w:w="120" w:type="dxa"/>
            </w:tcMar>
            <w:vAlign w:val="center"/>
          </w:tcPr>
          <w:p w14:paraId="37BD6CC1">
            <w:pPr>
              <w:widowControl/>
              <w:spacing w:after="0" w:line="360" w:lineRule="auto"/>
              <w:jc w:val="center"/>
              <w:rPr>
                <w:rFonts w:ascii="Times New Roman"/>
                <w:sz w:val="18"/>
                <w:szCs w:val="20"/>
              </w:rPr>
            </w:pPr>
          </w:p>
        </w:tc>
        <w:tc>
          <w:tcPr>
            <w:tcW w:w="1848" w:type="dxa"/>
            <w:tcMar>
              <w:top w:w="120" w:type="dxa"/>
              <w:left w:w="120" w:type="dxa"/>
              <w:bottom w:w="120" w:type="dxa"/>
              <w:right w:w="120" w:type="dxa"/>
            </w:tcMar>
            <w:vAlign w:val="center"/>
          </w:tcPr>
          <w:p w14:paraId="7901FEE1">
            <w:pPr>
              <w:widowControl/>
              <w:spacing w:after="0" w:line="360" w:lineRule="auto"/>
              <w:jc w:val="center"/>
              <w:rPr>
                <w:rFonts w:ascii="Times New Roman"/>
                <w:sz w:val="18"/>
                <w:szCs w:val="20"/>
              </w:rPr>
            </w:pPr>
          </w:p>
        </w:tc>
      </w:tr>
      <w:tr w14:paraId="07FBD153">
        <w:trPr>
          <w:trHeight w:val="507" w:hRule="atLeast"/>
        </w:trPr>
        <w:tc>
          <w:tcPr>
            <w:tcW w:w="3256" w:type="dxa"/>
            <w:tcMar>
              <w:top w:w="120" w:type="dxa"/>
              <w:left w:w="120" w:type="dxa"/>
              <w:bottom w:w="120" w:type="dxa"/>
              <w:right w:w="120" w:type="dxa"/>
            </w:tcMar>
            <w:vAlign w:val="center"/>
          </w:tcPr>
          <w:p w14:paraId="639E4402">
            <w:pPr>
              <w:widowControl/>
              <w:spacing w:after="0" w:line="360" w:lineRule="auto"/>
              <w:rPr>
                <w:rFonts w:ascii="Times New Roman"/>
                <w:sz w:val="18"/>
                <w:szCs w:val="20"/>
                <w:lang w:eastAsia="zh-CN"/>
              </w:rPr>
            </w:pPr>
            <w:r>
              <w:rPr>
                <w:rFonts w:hint="eastAsia" w:ascii="Times New Roman" w:cs="宋体"/>
                <w:sz w:val="18"/>
                <w:szCs w:val="20"/>
                <w:lang w:eastAsia="zh-CN"/>
              </w:rPr>
              <w:t>辅助材料</w:t>
            </w:r>
          </w:p>
        </w:tc>
        <w:tc>
          <w:tcPr>
            <w:tcW w:w="708" w:type="dxa"/>
            <w:tcMar>
              <w:top w:w="120" w:type="dxa"/>
              <w:left w:w="120" w:type="dxa"/>
              <w:bottom w:w="120" w:type="dxa"/>
              <w:right w:w="120" w:type="dxa"/>
            </w:tcMar>
            <w:vAlign w:val="center"/>
          </w:tcPr>
          <w:p w14:paraId="49A3ECEC">
            <w:pPr>
              <w:widowControl/>
              <w:spacing w:after="0" w:line="360" w:lineRule="auto"/>
              <w:jc w:val="center"/>
              <w:rPr>
                <w:rFonts w:ascii="Times New Roman"/>
                <w:sz w:val="18"/>
                <w:szCs w:val="20"/>
                <w:lang w:eastAsia="zh-CN"/>
              </w:rPr>
            </w:pPr>
          </w:p>
        </w:tc>
        <w:tc>
          <w:tcPr>
            <w:tcW w:w="709" w:type="dxa"/>
            <w:vAlign w:val="center"/>
          </w:tcPr>
          <w:p w14:paraId="30C4FEAA">
            <w:pPr>
              <w:widowControl/>
              <w:spacing w:after="0" w:line="360" w:lineRule="auto"/>
              <w:jc w:val="center"/>
              <w:rPr>
                <w:rFonts w:ascii="Times New Roman"/>
                <w:sz w:val="18"/>
                <w:szCs w:val="20"/>
                <w:lang w:eastAsia="zh-CN"/>
              </w:rPr>
            </w:pPr>
          </w:p>
        </w:tc>
        <w:tc>
          <w:tcPr>
            <w:tcW w:w="709" w:type="dxa"/>
            <w:tcMar>
              <w:top w:w="120" w:type="dxa"/>
              <w:left w:w="120" w:type="dxa"/>
              <w:bottom w:w="120" w:type="dxa"/>
              <w:right w:w="120" w:type="dxa"/>
            </w:tcMar>
            <w:vAlign w:val="center"/>
          </w:tcPr>
          <w:p w14:paraId="106A8CF0">
            <w:pPr>
              <w:widowControl/>
              <w:spacing w:after="0" w:line="360" w:lineRule="auto"/>
              <w:jc w:val="center"/>
              <w:rPr>
                <w:rFonts w:ascii="Times New Roman"/>
                <w:sz w:val="18"/>
                <w:szCs w:val="20"/>
                <w:lang w:eastAsia="zh-CN"/>
              </w:rPr>
            </w:pPr>
          </w:p>
        </w:tc>
        <w:tc>
          <w:tcPr>
            <w:tcW w:w="1417" w:type="dxa"/>
            <w:tcMar>
              <w:top w:w="120" w:type="dxa"/>
              <w:left w:w="120" w:type="dxa"/>
              <w:bottom w:w="120" w:type="dxa"/>
              <w:right w:w="120" w:type="dxa"/>
            </w:tcMar>
            <w:vAlign w:val="center"/>
          </w:tcPr>
          <w:p w14:paraId="62AD8A1C">
            <w:pPr>
              <w:widowControl/>
              <w:spacing w:after="0" w:line="360" w:lineRule="auto"/>
              <w:jc w:val="center"/>
              <w:rPr>
                <w:rFonts w:ascii="Times New Roman"/>
                <w:sz w:val="18"/>
                <w:szCs w:val="20"/>
                <w:lang w:eastAsia="zh-CN"/>
              </w:rPr>
            </w:pPr>
          </w:p>
        </w:tc>
        <w:tc>
          <w:tcPr>
            <w:tcW w:w="1848" w:type="dxa"/>
            <w:tcMar>
              <w:top w:w="120" w:type="dxa"/>
              <w:left w:w="120" w:type="dxa"/>
              <w:bottom w:w="120" w:type="dxa"/>
              <w:right w:w="120" w:type="dxa"/>
            </w:tcMar>
            <w:vAlign w:val="center"/>
          </w:tcPr>
          <w:p w14:paraId="3698337B">
            <w:pPr>
              <w:widowControl/>
              <w:spacing w:after="0" w:line="360" w:lineRule="auto"/>
              <w:jc w:val="center"/>
              <w:rPr>
                <w:rFonts w:ascii="Times New Roman"/>
                <w:sz w:val="18"/>
                <w:szCs w:val="20"/>
                <w:lang w:eastAsia="zh-CN"/>
              </w:rPr>
            </w:pPr>
          </w:p>
        </w:tc>
      </w:tr>
      <w:tr w14:paraId="791AC38D">
        <w:trPr>
          <w:trHeight w:val="65" w:hRule="atLeast"/>
        </w:trPr>
        <w:tc>
          <w:tcPr>
            <w:tcW w:w="3256" w:type="dxa"/>
            <w:tcMar>
              <w:top w:w="120" w:type="dxa"/>
              <w:left w:w="120" w:type="dxa"/>
              <w:bottom w:w="120" w:type="dxa"/>
              <w:right w:w="120" w:type="dxa"/>
            </w:tcMar>
            <w:vAlign w:val="center"/>
          </w:tcPr>
          <w:p w14:paraId="629A163F">
            <w:pPr>
              <w:widowControl/>
              <w:spacing w:after="0" w:line="360" w:lineRule="auto"/>
              <w:rPr>
                <w:rFonts w:ascii="Times New Roman"/>
                <w:sz w:val="18"/>
                <w:szCs w:val="20"/>
              </w:rPr>
            </w:pPr>
            <w:r>
              <w:rPr>
                <w:rFonts w:hint="eastAsia" w:ascii="Times New Roman" w:cs="宋体"/>
                <w:sz w:val="18"/>
                <w:szCs w:val="20"/>
                <w:lang w:eastAsia="zh-CN"/>
              </w:rPr>
              <w:t>电力</w:t>
            </w:r>
          </w:p>
        </w:tc>
        <w:tc>
          <w:tcPr>
            <w:tcW w:w="708" w:type="dxa"/>
            <w:tcMar>
              <w:top w:w="120" w:type="dxa"/>
              <w:left w:w="120" w:type="dxa"/>
              <w:bottom w:w="120" w:type="dxa"/>
              <w:right w:w="120" w:type="dxa"/>
            </w:tcMar>
            <w:vAlign w:val="center"/>
          </w:tcPr>
          <w:p w14:paraId="4C545876">
            <w:pPr>
              <w:widowControl/>
              <w:spacing w:after="0" w:line="360" w:lineRule="auto"/>
              <w:jc w:val="center"/>
              <w:rPr>
                <w:rFonts w:ascii="Times New Roman"/>
                <w:sz w:val="18"/>
                <w:szCs w:val="20"/>
              </w:rPr>
            </w:pPr>
          </w:p>
        </w:tc>
        <w:tc>
          <w:tcPr>
            <w:tcW w:w="709" w:type="dxa"/>
            <w:vAlign w:val="center"/>
          </w:tcPr>
          <w:p w14:paraId="5AD27E15">
            <w:pPr>
              <w:widowControl/>
              <w:spacing w:after="0" w:line="360" w:lineRule="auto"/>
              <w:jc w:val="center"/>
              <w:rPr>
                <w:rFonts w:ascii="Times New Roman"/>
                <w:sz w:val="18"/>
                <w:szCs w:val="20"/>
              </w:rPr>
            </w:pPr>
          </w:p>
        </w:tc>
        <w:tc>
          <w:tcPr>
            <w:tcW w:w="709" w:type="dxa"/>
            <w:tcMar>
              <w:top w:w="120" w:type="dxa"/>
              <w:left w:w="120" w:type="dxa"/>
              <w:bottom w:w="120" w:type="dxa"/>
              <w:right w:w="120" w:type="dxa"/>
            </w:tcMar>
            <w:vAlign w:val="center"/>
          </w:tcPr>
          <w:p w14:paraId="583BD5F3">
            <w:pPr>
              <w:widowControl/>
              <w:spacing w:after="0" w:line="360" w:lineRule="auto"/>
              <w:jc w:val="center"/>
              <w:rPr>
                <w:rFonts w:ascii="Times New Roman"/>
                <w:sz w:val="18"/>
                <w:szCs w:val="20"/>
              </w:rPr>
            </w:pPr>
          </w:p>
        </w:tc>
        <w:tc>
          <w:tcPr>
            <w:tcW w:w="1417" w:type="dxa"/>
            <w:tcMar>
              <w:top w:w="120" w:type="dxa"/>
              <w:left w:w="120" w:type="dxa"/>
              <w:bottom w:w="120" w:type="dxa"/>
              <w:right w:w="120" w:type="dxa"/>
            </w:tcMar>
            <w:vAlign w:val="center"/>
          </w:tcPr>
          <w:p w14:paraId="0A8BC1D1">
            <w:pPr>
              <w:widowControl/>
              <w:spacing w:after="0" w:line="360" w:lineRule="auto"/>
              <w:jc w:val="center"/>
              <w:rPr>
                <w:rFonts w:ascii="Times New Roman"/>
                <w:sz w:val="18"/>
                <w:szCs w:val="20"/>
              </w:rPr>
            </w:pPr>
          </w:p>
        </w:tc>
        <w:tc>
          <w:tcPr>
            <w:tcW w:w="1848" w:type="dxa"/>
            <w:tcMar>
              <w:top w:w="120" w:type="dxa"/>
              <w:left w:w="120" w:type="dxa"/>
              <w:bottom w:w="120" w:type="dxa"/>
              <w:right w:w="120" w:type="dxa"/>
            </w:tcMar>
            <w:vAlign w:val="center"/>
          </w:tcPr>
          <w:p w14:paraId="2E97300A">
            <w:pPr>
              <w:widowControl/>
              <w:spacing w:after="0" w:line="360" w:lineRule="auto"/>
              <w:jc w:val="center"/>
              <w:rPr>
                <w:rFonts w:ascii="Times New Roman"/>
                <w:sz w:val="18"/>
                <w:szCs w:val="20"/>
              </w:rPr>
            </w:pPr>
          </w:p>
        </w:tc>
      </w:tr>
      <w:tr w14:paraId="495EF163">
        <w:trPr>
          <w:trHeight w:val="200" w:hRule="atLeast"/>
        </w:trPr>
        <w:tc>
          <w:tcPr>
            <w:tcW w:w="3256" w:type="dxa"/>
            <w:tcMar>
              <w:top w:w="120" w:type="dxa"/>
              <w:left w:w="120" w:type="dxa"/>
              <w:bottom w:w="120" w:type="dxa"/>
              <w:right w:w="120" w:type="dxa"/>
            </w:tcMar>
            <w:vAlign w:val="center"/>
          </w:tcPr>
          <w:p w14:paraId="12CCE2D9">
            <w:pPr>
              <w:widowControl/>
              <w:spacing w:after="0" w:line="360" w:lineRule="auto"/>
              <w:rPr>
                <w:rFonts w:ascii="Times New Roman"/>
                <w:sz w:val="18"/>
                <w:szCs w:val="20"/>
              </w:rPr>
            </w:pPr>
            <w:r>
              <w:rPr>
                <w:rFonts w:hint="eastAsia" w:ascii="Times New Roman" w:cs="宋体"/>
                <w:sz w:val="18"/>
                <w:szCs w:val="20"/>
              </w:rPr>
              <w:t>热力</w:t>
            </w:r>
            <w:r>
              <w:rPr>
                <w:rFonts w:hint="eastAsia" w:ascii="Times New Roman" w:cs="宋体"/>
                <w:sz w:val="18"/>
                <w:szCs w:val="20"/>
                <w:lang w:eastAsia="zh-CN"/>
              </w:rPr>
              <w:t>（如有）</w:t>
            </w:r>
          </w:p>
        </w:tc>
        <w:tc>
          <w:tcPr>
            <w:tcW w:w="708" w:type="dxa"/>
            <w:tcMar>
              <w:top w:w="120" w:type="dxa"/>
              <w:left w:w="120" w:type="dxa"/>
              <w:bottom w:w="120" w:type="dxa"/>
              <w:right w:w="120" w:type="dxa"/>
            </w:tcMar>
            <w:vAlign w:val="center"/>
          </w:tcPr>
          <w:p w14:paraId="59276497">
            <w:pPr>
              <w:widowControl/>
              <w:spacing w:after="0" w:line="360" w:lineRule="auto"/>
              <w:jc w:val="center"/>
              <w:rPr>
                <w:rFonts w:ascii="Times New Roman"/>
                <w:sz w:val="18"/>
                <w:szCs w:val="20"/>
              </w:rPr>
            </w:pPr>
          </w:p>
        </w:tc>
        <w:tc>
          <w:tcPr>
            <w:tcW w:w="709" w:type="dxa"/>
            <w:vAlign w:val="center"/>
          </w:tcPr>
          <w:p w14:paraId="574AD2D0">
            <w:pPr>
              <w:widowControl/>
              <w:spacing w:after="0" w:line="360" w:lineRule="auto"/>
              <w:jc w:val="center"/>
              <w:rPr>
                <w:rFonts w:ascii="Times New Roman"/>
                <w:sz w:val="18"/>
                <w:szCs w:val="20"/>
              </w:rPr>
            </w:pPr>
          </w:p>
        </w:tc>
        <w:tc>
          <w:tcPr>
            <w:tcW w:w="709" w:type="dxa"/>
            <w:tcMar>
              <w:top w:w="120" w:type="dxa"/>
              <w:left w:w="120" w:type="dxa"/>
              <w:bottom w:w="120" w:type="dxa"/>
              <w:right w:w="120" w:type="dxa"/>
            </w:tcMar>
            <w:vAlign w:val="center"/>
          </w:tcPr>
          <w:p w14:paraId="6C866D38">
            <w:pPr>
              <w:widowControl/>
              <w:spacing w:after="0" w:line="360" w:lineRule="auto"/>
              <w:jc w:val="center"/>
              <w:rPr>
                <w:rFonts w:ascii="Times New Roman"/>
                <w:sz w:val="18"/>
                <w:szCs w:val="20"/>
              </w:rPr>
            </w:pPr>
          </w:p>
        </w:tc>
        <w:tc>
          <w:tcPr>
            <w:tcW w:w="1417" w:type="dxa"/>
            <w:tcMar>
              <w:top w:w="120" w:type="dxa"/>
              <w:left w:w="120" w:type="dxa"/>
              <w:bottom w:w="120" w:type="dxa"/>
              <w:right w:w="120" w:type="dxa"/>
            </w:tcMar>
            <w:vAlign w:val="center"/>
          </w:tcPr>
          <w:p w14:paraId="7C19009D">
            <w:pPr>
              <w:widowControl/>
              <w:spacing w:after="0" w:line="360" w:lineRule="auto"/>
              <w:jc w:val="center"/>
              <w:rPr>
                <w:rFonts w:ascii="Times New Roman"/>
                <w:sz w:val="18"/>
                <w:szCs w:val="20"/>
              </w:rPr>
            </w:pPr>
          </w:p>
        </w:tc>
        <w:tc>
          <w:tcPr>
            <w:tcW w:w="1848" w:type="dxa"/>
            <w:tcMar>
              <w:top w:w="120" w:type="dxa"/>
              <w:left w:w="120" w:type="dxa"/>
              <w:bottom w:w="120" w:type="dxa"/>
              <w:right w:w="120" w:type="dxa"/>
            </w:tcMar>
            <w:vAlign w:val="center"/>
          </w:tcPr>
          <w:p w14:paraId="6639903A">
            <w:pPr>
              <w:widowControl/>
              <w:spacing w:after="0" w:line="360" w:lineRule="auto"/>
              <w:jc w:val="center"/>
              <w:rPr>
                <w:rFonts w:ascii="Times New Roman"/>
                <w:sz w:val="18"/>
                <w:szCs w:val="20"/>
              </w:rPr>
            </w:pPr>
          </w:p>
        </w:tc>
      </w:tr>
      <w:tr w14:paraId="6024AE73">
        <w:trPr>
          <w:trHeight w:val="209" w:hRule="atLeast"/>
        </w:trPr>
        <w:tc>
          <w:tcPr>
            <w:tcW w:w="3256" w:type="dxa"/>
            <w:tcMar>
              <w:top w:w="120" w:type="dxa"/>
              <w:left w:w="120" w:type="dxa"/>
              <w:bottom w:w="120" w:type="dxa"/>
              <w:right w:w="120" w:type="dxa"/>
            </w:tcMar>
            <w:vAlign w:val="center"/>
          </w:tcPr>
          <w:p w14:paraId="5A5F4784">
            <w:pPr>
              <w:widowControl/>
              <w:spacing w:after="0" w:line="360" w:lineRule="auto"/>
              <w:rPr>
                <w:rFonts w:ascii="Times New Roman"/>
                <w:sz w:val="18"/>
                <w:szCs w:val="20"/>
              </w:rPr>
            </w:pPr>
            <w:r>
              <w:rPr>
                <w:rFonts w:ascii="Times New Roman" w:cs="宋体"/>
                <w:sz w:val="18"/>
                <w:szCs w:val="20"/>
              </w:rPr>
              <w:t>第三方服务（如有）</w:t>
            </w:r>
          </w:p>
        </w:tc>
        <w:tc>
          <w:tcPr>
            <w:tcW w:w="708" w:type="dxa"/>
            <w:tcMar>
              <w:top w:w="120" w:type="dxa"/>
              <w:left w:w="120" w:type="dxa"/>
              <w:bottom w:w="120" w:type="dxa"/>
              <w:right w:w="120" w:type="dxa"/>
            </w:tcMar>
            <w:vAlign w:val="center"/>
          </w:tcPr>
          <w:p w14:paraId="14478A04">
            <w:pPr>
              <w:widowControl/>
              <w:spacing w:after="0" w:line="360" w:lineRule="auto"/>
              <w:jc w:val="center"/>
              <w:rPr>
                <w:rFonts w:ascii="Times New Roman"/>
                <w:sz w:val="18"/>
                <w:szCs w:val="20"/>
              </w:rPr>
            </w:pPr>
          </w:p>
        </w:tc>
        <w:tc>
          <w:tcPr>
            <w:tcW w:w="709" w:type="dxa"/>
            <w:vAlign w:val="center"/>
          </w:tcPr>
          <w:p w14:paraId="178686FC">
            <w:pPr>
              <w:widowControl/>
              <w:spacing w:after="0" w:line="360" w:lineRule="auto"/>
              <w:jc w:val="center"/>
              <w:rPr>
                <w:rFonts w:ascii="Times New Roman"/>
                <w:sz w:val="18"/>
                <w:szCs w:val="20"/>
              </w:rPr>
            </w:pPr>
          </w:p>
        </w:tc>
        <w:tc>
          <w:tcPr>
            <w:tcW w:w="709" w:type="dxa"/>
            <w:tcMar>
              <w:top w:w="120" w:type="dxa"/>
              <w:left w:w="120" w:type="dxa"/>
              <w:bottom w:w="120" w:type="dxa"/>
              <w:right w:w="120" w:type="dxa"/>
            </w:tcMar>
            <w:vAlign w:val="center"/>
          </w:tcPr>
          <w:p w14:paraId="1EF5289F">
            <w:pPr>
              <w:widowControl/>
              <w:spacing w:after="0" w:line="360" w:lineRule="auto"/>
              <w:jc w:val="center"/>
              <w:rPr>
                <w:rFonts w:ascii="Times New Roman"/>
                <w:sz w:val="18"/>
                <w:szCs w:val="20"/>
              </w:rPr>
            </w:pPr>
          </w:p>
        </w:tc>
        <w:tc>
          <w:tcPr>
            <w:tcW w:w="1417" w:type="dxa"/>
            <w:tcMar>
              <w:top w:w="120" w:type="dxa"/>
              <w:left w:w="120" w:type="dxa"/>
              <w:bottom w:w="120" w:type="dxa"/>
              <w:right w:w="120" w:type="dxa"/>
            </w:tcMar>
            <w:vAlign w:val="center"/>
          </w:tcPr>
          <w:p w14:paraId="3E2422A5">
            <w:pPr>
              <w:widowControl/>
              <w:spacing w:after="0" w:line="360" w:lineRule="auto"/>
              <w:jc w:val="center"/>
              <w:rPr>
                <w:rFonts w:ascii="Times New Roman"/>
                <w:sz w:val="18"/>
                <w:szCs w:val="20"/>
              </w:rPr>
            </w:pPr>
          </w:p>
        </w:tc>
        <w:tc>
          <w:tcPr>
            <w:tcW w:w="1848" w:type="dxa"/>
            <w:tcMar>
              <w:top w:w="120" w:type="dxa"/>
              <w:left w:w="120" w:type="dxa"/>
              <w:bottom w:w="120" w:type="dxa"/>
              <w:right w:w="120" w:type="dxa"/>
            </w:tcMar>
            <w:vAlign w:val="center"/>
          </w:tcPr>
          <w:p w14:paraId="0B51E757">
            <w:pPr>
              <w:widowControl/>
              <w:spacing w:after="0" w:line="360" w:lineRule="auto"/>
              <w:jc w:val="center"/>
              <w:rPr>
                <w:rFonts w:ascii="Times New Roman"/>
                <w:sz w:val="18"/>
                <w:szCs w:val="20"/>
              </w:rPr>
            </w:pPr>
          </w:p>
        </w:tc>
      </w:tr>
      <w:tr w14:paraId="4A535F1C">
        <w:trPr>
          <w:trHeight w:val="216" w:hRule="atLeast"/>
        </w:trPr>
        <w:tc>
          <w:tcPr>
            <w:tcW w:w="3256" w:type="dxa"/>
            <w:tcMar>
              <w:top w:w="120" w:type="dxa"/>
              <w:left w:w="120" w:type="dxa"/>
              <w:bottom w:w="120" w:type="dxa"/>
              <w:right w:w="120" w:type="dxa"/>
            </w:tcMar>
            <w:vAlign w:val="center"/>
          </w:tcPr>
          <w:p w14:paraId="7A45544E">
            <w:pPr>
              <w:widowControl/>
              <w:spacing w:after="0" w:line="360" w:lineRule="auto"/>
              <w:rPr>
                <w:rFonts w:ascii="Times New Roman"/>
                <w:b/>
                <w:sz w:val="18"/>
                <w:szCs w:val="20"/>
              </w:rPr>
            </w:pPr>
            <w:r>
              <w:rPr>
                <w:rFonts w:ascii="Times New Roman" w:cs="宋体"/>
                <w:b/>
                <w:sz w:val="18"/>
                <w:szCs w:val="20"/>
              </w:rPr>
              <w:t>输出</w:t>
            </w:r>
          </w:p>
        </w:tc>
        <w:tc>
          <w:tcPr>
            <w:tcW w:w="708" w:type="dxa"/>
            <w:tcMar>
              <w:top w:w="120" w:type="dxa"/>
              <w:left w:w="120" w:type="dxa"/>
              <w:bottom w:w="120" w:type="dxa"/>
              <w:right w:w="120" w:type="dxa"/>
            </w:tcMar>
            <w:vAlign w:val="center"/>
          </w:tcPr>
          <w:p w14:paraId="50C02F11">
            <w:pPr>
              <w:widowControl/>
              <w:spacing w:after="0" w:line="360" w:lineRule="auto"/>
              <w:jc w:val="center"/>
              <w:rPr>
                <w:rFonts w:ascii="Times New Roman"/>
                <w:b/>
                <w:sz w:val="18"/>
                <w:szCs w:val="20"/>
              </w:rPr>
            </w:pPr>
            <w:r>
              <w:rPr>
                <w:rFonts w:ascii="Times New Roman" w:cs="宋体"/>
                <w:b/>
                <w:sz w:val="18"/>
                <w:szCs w:val="20"/>
              </w:rPr>
              <w:t>单位</w:t>
            </w:r>
          </w:p>
        </w:tc>
        <w:tc>
          <w:tcPr>
            <w:tcW w:w="709" w:type="dxa"/>
            <w:vAlign w:val="center"/>
          </w:tcPr>
          <w:p w14:paraId="77DA8D64">
            <w:pPr>
              <w:widowControl/>
              <w:spacing w:after="0" w:line="360" w:lineRule="auto"/>
              <w:jc w:val="center"/>
              <w:rPr>
                <w:rFonts w:ascii="Times New Roman"/>
                <w:b/>
                <w:sz w:val="18"/>
                <w:szCs w:val="20"/>
              </w:rPr>
            </w:pPr>
            <w:r>
              <w:rPr>
                <w:rFonts w:ascii="Times New Roman" w:cs="宋体"/>
                <w:b/>
                <w:sz w:val="18"/>
                <w:szCs w:val="20"/>
              </w:rPr>
              <w:t>数量</w:t>
            </w:r>
          </w:p>
        </w:tc>
        <w:tc>
          <w:tcPr>
            <w:tcW w:w="709" w:type="dxa"/>
            <w:tcMar>
              <w:top w:w="120" w:type="dxa"/>
              <w:left w:w="120" w:type="dxa"/>
              <w:bottom w:w="120" w:type="dxa"/>
              <w:right w:w="120" w:type="dxa"/>
            </w:tcMar>
            <w:vAlign w:val="center"/>
          </w:tcPr>
          <w:p w14:paraId="166F3CF4">
            <w:pPr>
              <w:widowControl/>
              <w:spacing w:after="0" w:line="360" w:lineRule="auto"/>
              <w:jc w:val="center"/>
              <w:rPr>
                <w:rFonts w:ascii="Times New Roman"/>
                <w:b/>
                <w:sz w:val="18"/>
                <w:szCs w:val="20"/>
              </w:rPr>
            </w:pPr>
            <w:r>
              <w:rPr>
                <w:rFonts w:ascii="Times New Roman" w:cs="宋体"/>
                <w:b/>
                <w:sz w:val="18"/>
                <w:szCs w:val="20"/>
              </w:rPr>
              <w:t>运距</w:t>
            </w:r>
          </w:p>
        </w:tc>
        <w:tc>
          <w:tcPr>
            <w:tcW w:w="1417" w:type="dxa"/>
            <w:tcMar>
              <w:top w:w="120" w:type="dxa"/>
              <w:left w:w="120" w:type="dxa"/>
              <w:bottom w:w="120" w:type="dxa"/>
              <w:right w:w="120" w:type="dxa"/>
            </w:tcMar>
            <w:vAlign w:val="center"/>
          </w:tcPr>
          <w:p w14:paraId="4482076D">
            <w:pPr>
              <w:widowControl/>
              <w:spacing w:after="0" w:line="360" w:lineRule="auto"/>
              <w:jc w:val="center"/>
              <w:rPr>
                <w:rFonts w:ascii="Times New Roman"/>
                <w:b/>
                <w:sz w:val="18"/>
                <w:szCs w:val="20"/>
              </w:rPr>
            </w:pPr>
            <w:r>
              <w:rPr>
                <w:rFonts w:ascii="Times New Roman" w:cs="宋体"/>
                <w:b/>
                <w:sz w:val="18"/>
                <w:szCs w:val="20"/>
              </w:rPr>
              <w:t>运输方式</w:t>
            </w:r>
          </w:p>
        </w:tc>
        <w:tc>
          <w:tcPr>
            <w:tcW w:w="1848" w:type="dxa"/>
            <w:tcMar>
              <w:top w:w="120" w:type="dxa"/>
              <w:left w:w="120" w:type="dxa"/>
              <w:bottom w:w="120" w:type="dxa"/>
              <w:right w:w="120" w:type="dxa"/>
            </w:tcMar>
            <w:vAlign w:val="center"/>
          </w:tcPr>
          <w:p w14:paraId="4B63AF92">
            <w:pPr>
              <w:widowControl/>
              <w:spacing w:after="0" w:line="360" w:lineRule="auto"/>
              <w:jc w:val="center"/>
              <w:rPr>
                <w:rFonts w:ascii="Times New Roman"/>
                <w:b/>
                <w:sz w:val="18"/>
                <w:szCs w:val="20"/>
              </w:rPr>
            </w:pPr>
            <w:r>
              <w:rPr>
                <w:rFonts w:ascii="Times New Roman" w:cs="宋体"/>
                <w:b/>
                <w:sz w:val="18"/>
                <w:szCs w:val="20"/>
              </w:rPr>
              <w:t>规格、成分</w:t>
            </w:r>
            <w:r>
              <w:rPr>
                <w:rFonts w:ascii="Times New Roman"/>
                <w:b/>
                <w:sz w:val="18"/>
                <w:szCs w:val="20"/>
              </w:rPr>
              <w:t>/</w:t>
            </w:r>
            <w:r>
              <w:rPr>
                <w:rFonts w:ascii="Times New Roman" w:cs="宋体"/>
                <w:b/>
                <w:sz w:val="18"/>
                <w:szCs w:val="20"/>
              </w:rPr>
              <w:t>去向</w:t>
            </w:r>
          </w:p>
        </w:tc>
      </w:tr>
      <w:tr w14:paraId="1804338C">
        <w:trPr>
          <w:trHeight w:val="211" w:hRule="atLeast"/>
        </w:trPr>
        <w:tc>
          <w:tcPr>
            <w:tcW w:w="3256" w:type="dxa"/>
            <w:tcMar>
              <w:top w:w="120" w:type="dxa"/>
              <w:left w:w="120" w:type="dxa"/>
              <w:bottom w:w="120" w:type="dxa"/>
              <w:right w:w="120" w:type="dxa"/>
            </w:tcMar>
          </w:tcPr>
          <w:p w14:paraId="7B74A4A9">
            <w:pPr>
              <w:widowControl/>
              <w:spacing w:after="0" w:line="360" w:lineRule="auto"/>
              <w:rPr>
                <w:rFonts w:ascii="Times New Roman" w:cs="宋体"/>
                <w:sz w:val="18"/>
                <w:szCs w:val="20"/>
              </w:rPr>
            </w:pPr>
            <w:r>
              <w:rPr>
                <w:rFonts w:hint="eastAsia" w:ascii="Times New Roman" w:cs="宋体"/>
                <w:sz w:val="18"/>
                <w:szCs w:val="20"/>
              </w:rPr>
              <w:t>稀土矿石/含稀土</w:t>
            </w:r>
            <w:r>
              <w:rPr>
                <w:rFonts w:hint="eastAsia" w:ascii="Times New Roman" w:cs="宋体"/>
                <w:sz w:val="18"/>
                <w:szCs w:val="20"/>
                <w:lang w:eastAsia="zh-CN"/>
              </w:rPr>
              <w:t>矿浆</w:t>
            </w:r>
          </w:p>
        </w:tc>
        <w:tc>
          <w:tcPr>
            <w:tcW w:w="708" w:type="dxa"/>
            <w:tcMar>
              <w:top w:w="120" w:type="dxa"/>
              <w:left w:w="120" w:type="dxa"/>
              <w:bottom w:w="120" w:type="dxa"/>
              <w:right w:w="120" w:type="dxa"/>
            </w:tcMar>
            <w:vAlign w:val="center"/>
          </w:tcPr>
          <w:p w14:paraId="44DDF263">
            <w:pPr>
              <w:widowControl/>
              <w:spacing w:after="0" w:line="360" w:lineRule="auto"/>
              <w:rPr>
                <w:rFonts w:ascii="Times New Roman"/>
                <w:sz w:val="18"/>
                <w:szCs w:val="20"/>
              </w:rPr>
            </w:pPr>
          </w:p>
        </w:tc>
        <w:tc>
          <w:tcPr>
            <w:tcW w:w="709" w:type="dxa"/>
            <w:vAlign w:val="center"/>
          </w:tcPr>
          <w:p w14:paraId="11A897B6">
            <w:pPr>
              <w:widowControl/>
              <w:spacing w:after="0" w:line="360" w:lineRule="auto"/>
              <w:rPr>
                <w:rFonts w:ascii="Times New Roman"/>
                <w:sz w:val="18"/>
                <w:szCs w:val="20"/>
              </w:rPr>
            </w:pPr>
          </w:p>
        </w:tc>
        <w:tc>
          <w:tcPr>
            <w:tcW w:w="709" w:type="dxa"/>
            <w:tcMar>
              <w:top w:w="120" w:type="dxa"/>
              <w:left w:w="120" w:type="dxa"/>
              <w:bottom w:w="120" w:type="dxa"/>
              <w:right w:w="120" w:type="dxa"/>
            </w:tcMar>
            <w:vAlign w:val="center"/>
          </w:tcPr>
          <w:p w14:paraId="0BD0C922">
            <w:pPr>
              <w:widowControl/>
              <w:spacing w:after="0" w:line="360" w:lineRule="auto"/>
              <w:rPr>
                <w:rFonts w:ascii="Times New Roman"/>
                <w:sz w:val="18"/>
                <w:szCs w:val="20"/>
              </w:rPr>
            </w:pPr>
          </w:p>
        </w:tc>
        <w:tc>
          <w:tcPr>
            <w:tcW w:w="1417" w:type="dxa"/>
            <w:tcMar>
              <w:top w:w="120" w:type="dxa"/>
              <w:left w:w="120" w:type="dxa"/>
              <w:bottom w:w="120" w:type="dxa"/>
              <w:right w:w="120" w:type="dxa"/>
            </w:tcMar>
            <w:vAlign w:val="center"/>
          </w:tcPr>
          <w:p w14:paraId="63C0D0AD">
            <w:pPr>
              <w:widowControl/>
              <w:spacing w:after="0" w:line="360" w:lineRule="auto"/>
              <w:rPr>
                <w:rFonts w:ascii="Times New Roman"/>
                <w:sz w:val="18"/>
                <w:szCs w:val="20"/>
              </w:rPr>
            </w:pPr>
          </w:p>
        </w:tc>
        <w:tc>
          <w:tcPr>
            <w:tcW w:w="1848" w:type="dxa"/>
            <w:tcMar>
              <w:top w:w="120" w:type="dxa"/>
              <w:left w:w="120" w:type="dxa"/>
              <w:bottom w:w="120" w:type="dxa"/>
              <w:right w:w="120" w:type="dxa"/>
            </w:tcMar>
            <w:vAlign w:val="center"/>
          </w:tcPr>
          <w:p w14:paraId="771266F1">
            <w:pPr>
              <w:widowControl/>
              <w:spacing w:after="0" w:line="360" w:lineRule="auto"/>
              <w:rPr>
                <w:rFonts w:ascii="Times New Roman"/>
                <w:sz w:val="18"/>
                <w:szCs w:val="20"/>
              </w:rPr>
            </w:pPr>
          </w:p>
        </w:tc>
      </w:tr>
      <w:tr w14:paraId="5D8FBC3A">
        <w:trPr>
          <w:trHeight w:val="233" w:hRule="atLeast"/>
        </w:trPr>
        <w:tc>
          <w:tcPr>
            <w:tcW w:w="3256" w:type="dxa"/>
            <w:tcMar>
              <w:top w:w="120" w:type="dxa"/>
              <w:left w:w="120" w:type="dxa"/>
              <w:bottom w:w="120" w:type="dxa"/>
              <w:right w:w="120" w:type="dxa"/>
            </w:tcMar>
          </w:tcPr>
          <w:p w14:paraId="743A4F68">
            <w:pPr>
              <w:widowControl/>
              <w:spacing w:after="0" w:line="360" w:lineRule="auto"/>
              <w:rPr>
                <w:rFonts w:ascii="Times New Roman" w:cs="宋体"/>
                <w:sz w:val="18"/>
                <w:szCs w:val="20"/>
              </w:rPr>
            </w:pPr>
            <w:r>
              <w:rPr>
                <w:rFonts w:hint="eastAsia" w:ascii="Times New Roman" w:cs="宋体"/>
                <w:sz w:val="18"/>
                <w:szCs w:val="20"/>
              </w:rPr>
              <w:t>尾矿（如有）</w:t>
            </w:r>
          </w:p>
        </w:tc>
        <w:tc>
          <w:tcPr>
            <w:tcW w:w="708" w:type="dxa"/>
            <w:tcMar>
              <w:top w:w="120" w:type="dxa"/>
              <w:left w:w="120" w:type="dxa"/>
              <w:bottom w:w="120" w:type="dxa"/>
              <w:right w:w="120" w:type="dxa"/>
            </w:tcMar>
            <w:vAlign w:val="center"/>
          </w:tcPr>
          <w:p w14:paraId="7C0548E8">
            <w:pPr>
              <w:widowControl/>
              <w:spacing w:after="0" w:line="360" w:lineRule="auto"/>
              <w:rPr>
                <w:rFonts w:ascii="Times New Roman"/>
                <w:sz w:val="18"/>
                <w:szCs w:val="20"/>
              </w:rPr>
            </w:pPr>
          </w:p>
        </w:tc>
        <w:tc>
          <w:tcPr>
            <w:tcW w:w="709" w:type="dxa"/>
            <w:vAlign w:val="center"/>
          </w:tcPr>
          <w:p w14:paraId="71CADD7F">
            <w:pPr>
              <w:widowControl/>
              <w:spacing w:after="0" w:line="360" w:lineRule="auto"/>
              <w:rPr>
                <w:rFonts w:ascii="Times New Roman"/>
                <w:sz w:val="18"/>
                <w:szCs w:val="20"/>
              </w:rPr>
            </w:pPr>
          </w:p>
        </w:tc>
        <w:tc>
          <w:tcPr>
            <w:tcW w:w="709" w:type="dxa"/>
            <w:tcMar>
              <w:top w:w="120" w:type="dxa"/>
              <w:left w:w="120" w:type="dxa"/>
              <w:bottom w:w="120" w:type="dxa"/>
              <w:right w:w="120" w:type="dxa"/>
            </w:tcMar>
            <w:vAlign w:val="center"/>
          </w:tcPr>
          <w:p w14:paraId="0EA03CAA">
            <w:pPr>
              <w:widowControl/>
              <w:spacing w:after="0" w:line="360" w:lineRule="auto"/>
              <w:rPr>
                <w:rFonts w:ascii="Times New Roman"/>
                <w:sz w:val="18"/>
                <w:szCs w:val="20"/>
              </w:rPr>
            </w:pPr>
          </w:p>
        </w:tc>
        <w:tc>
          <w:tcPr>
            <w:tcW w:w="1417" w:type="dxa"/>
            <w:tcMar>
              <w:top w:w="120" w:type="dxa"/>
              <w:left w:w="120" w:type="dxa"/>
              <w:bottom w:w="120" w:type="dxa"/>
              <w:right w:w="120" w:type="dxa"/>
            </w:tcMar>
            <w:vAlign w:val="center"/>
          </w:tcPr>
          <w:p w14:paraId="3443EC0C">
            <w:pPr>
              <w:widowControl/>
              <w:spacing w:after="0" w:line="360" w:lineRule="auto"/>
              <w:rPr>
                <w:rFonts w:ascii="Times New Roman"/>
                <w:sz w:val="18"/>
                <w:szCs w:val="20"/>
              </w:rPr>
            </w:pPr>
          </w:p>
        </w:tc>
        <w:tc>
          <w:tcPr>
            <w:tcW w:w="1848" w:type="dxa"/>
            <w:tcMar>
              <w:top w:w="120" w:type="dxa"/>
              <w:left w:w="120" w:type="dxa"/>
              <w:bottom w:w="120" w:type="dxa"/>
              <w:right w:w="120" w:type="dxa"/>
            </w:tcMar>
            <w:vAlign w:val="center"/>
          </w:tcPr>
          <w:p w14:paraId="2CC35B3B">
            <w:pPr>
              <w:widowControl/>
              <w:spacing w:after="0" w:line="360" w:lineRule="auto"/>
              <w:rPr>
                <w:rFonts w:ascii="Times New Roman"/>
                <w:sz w:val="18"/>
                <w:szCs w:val="20"/>
              </w:rPr>
            </w:pPr>
          </w:p>
        </w:tc>
      </w:tr>
      <w:tr w14:paraId="70AF3ADF">
        <w:trPr>
          <w:trHeight w:val="240" w:hRule="atLeast"/>
        </w:trPr>
        <w:tc>
          <w:tcPr>
            <w:tcW w:w="3256" w:type="dxa"/>
            <w:tcMar>
              <w:top w:w="120" w:type="dxa"/>
              <w:left w:w="120" w:type="dxa"/>
              <w:bottom w:w="120" w:type="dxa"/>
              <w:right w:w="120" w:type="dxa"/>
            </w:tcMar>
          </w:tcPr>
          <w:p w14:paraId="6E34D615">
            <w:pPr>
              <w:widowControl/>
              <w:spacing w:after="0" w:line="360" w:lineRule="auto"/>
              <w:rPr>
                <w:rFonts w:ascii="Times New Roman" w:cs="宋体"/>
                <w:sz w:val="18"/>
                <w:szCs w:val="20"/>
                <w:lang w:eastAsia="zh-CN"/>
              </w:rPr>
            </w:pPr>
            <w:r>
              <w:rPr>
                <w:rFonts w:hint="eastAsia" w:ascii="Times New Roman" w:cs="宋体"/>
                <w:sz w:val="18"/>
                <w:szCs w:val="20"/>
                <w:lang w:eastAsia="zh-CN"/>
              </w:rPr>
              <w:t>温室气体直接排放（燃料燃烧）</w:t>
            </w:r>
          </w:p>
        </w:tc>
        <w:tc>
          <w:tcPr>
            <w:tcW w:w="708" w:type="dxa"/>
            <w:tcMar>
              <w:top w:w="120" w:type="dxa"/>
              <w:left w:w="120" w:type="dxa"/>
              <w:bottom w:w="120" w:type="dxa"/>
              <w:right w:w="120" w:type="dxa"/>
            </w:tcMar>
            <w:vAlign w:val="center"/>
          </w:tcPr>
          <w:p w14:paraId="7C05DBBC">
            <w:pPr>
              <w:widowControl/>
              <w:spacing w:after="0" w:line="360" w:lineRule="auto"/>
              <w:rPr>
                <w:rFonts w:ascii="Times New Roman"/>
                <w:sz w:val="18"/>
                <w:szCs w:val="20"/>
                <w:lang w:eastAsia="zh-CN"/>
              </w:rPr>
            </w:pPr>
          </w:p>
        </w:tc>
        <w:tc>
          <w:tcPr>
            <w:tcW w:w="709" w:type="dxa"/>
            <w:vAlign w:val="center"/>
          </w:tcPr>
          <w:p w14:paraId="07CBC219">
            <w:pPr>
              <w:widowControl/>
              <w:spacing w:after="0" w:line="360" w:lineRule="auto"/>
              <w:rPr>
                <w:rFonts w:ascii="Times New Roman"/>
                <w:sz w:val="18"/>
                <w:szCs w:val="20"/>
                <w:lang w:eastAsia="zh-CN"/>
              </w:rPr>
            </w:pPr>
          </w:p>
        </w:tc>
        <w:tc>
          <w:tcPr>
            <w:tcW w:w="709" w:type="dxa"/>
            <w:tcMar>
              <w:top w:w="120" w:type="dxa"/>
              <w:left w:w="120" w:type="dxa"/>
              <w:bottom w:w="120" w:type="dxa"/>
              <w:right w:w="120" w:type="dxa"/>
            </w:tcMar>
            <w:vAlign w:val="center"/>
          </w:tcPr>
          <w:p w14:paraId="2EE1E3DE">
            <w:pPr>
              <w:widowControl/>
              <w:spacing w:after="0" w:line="360" w:lineRule="auto"/>
              <w:rPr>
                <w:rFonts w:ascii="Times New Roman"/>
                <w:sz w:val="18"/>
                <w:szCs w:val="20"/>
                <w:lang w:eastAsia="zh-CN"/>
              </w:rPr>
            </w:pPr>
          </w:p>
        </w:tc>
        <w:tc>
          <w:tcPr>
            <w:tcW w:w="1417" w:type="dxa"/>
            <w:tcMar>
              <w:top w:w="120" w:type="dxa"/>
              <w:left w:w="120" w:type="dxa"/>
              <w:bottom w:w="120" w:type="dxa"/>
              <w:right w:w="120" w:type="dxa"/>
            </w:tcMar>
            <w:vAlign w:val="center"/>
          </w:tcPr>
          <w:p w14:paraId="2AEF8AA0">
            <w:pPr>
              <w:widowControl/>
              <w:spacing w:after="0" w:line="360" w:lineRule="auto"/>
              <w:rPr>
                <w:rFonts w:ascii="Times New Roman"/>
                <w:sz w:val="18"/>
                <w:szCs w:val="20"/>
                <w:lang w:eastAsia="zh-CN"/>
              </w:rPr>
            </w:pPr>
          </w:p>
        </w:tc>
        <w:tc>
          <w:tcPr>
            <w:tcW w:w="1848" w:type="dxa"/>
            <w:tcMar>
              <w:top w:w="120" w:type="dxa"/>
              <w:left w:w="120" w:type="dxa"/>
              <w:bottom w:w="120" w:type="dxa"/>
              <w:right w:w="120" w:type="dxa"/>
            </w:tcMar>
            <w:vAlign w:val="center"/>
          </w:tcPr>
          <w:p w14:paraId="42A5E0D6">
            <w:pPr>
              <w:widowControl/>
              <w:spacing w:after="0" w:line="360" w:lineRule="auto"/>
              <w:rPr>
                <w:rFonts w:ascii="Times New Roman"/>
                <w:sz w:val="18"/>
                <w:szCs w:val="20"/>
                <w:lang w:eastAsia="zh-CN"/>
              </w:rPr>
            </w:pPr>
          </w:p>
        </w:tc>
      </w:tr>
      <w:tr w14:paraId="64FE202A">
        <w:trPr>
          <w:trHeight w:val="585" w:hRule="atLeast"/>
        </w:trPr>
        <w:tc>
          <w:tcPr>
            <w:tcW w:w="8647" w:type="dxa"/>
            <w:gridSpan w:val="6"/>
            <w:tcMar>
              <w:top w:w="120" w:type="dxa"/>
              <w:left w:w="120" w:type="dxa"/>
              <w:bottom w:w="120" w:type="dxa"/>
              <w:right w:w="120" w:type="dxa"/>
            </w:tcMar>
          </w:tcPr>
          <w:p w14:paraId="0D7261A5">
            <w:pPr>
              <w:widowControl/>
              <w:spacing w:after="0" w:line="240" w:lineRule="auto"/>
              <w:rPr>
                <w:rFonts w:ascii="黑体" w:hAnsi="黑体" w:eastAsia="黑体"/>
                <w:sz w:val="18"/>
                <w:szCs w:val="20"/>
                <w:lang w:eastAsia="zh-CN"/>
              </w:rPr>
            </w:pPr>
            <w:r>
              <w:rPr>
                <w:rFonts w:ascii="黑体" w:hAnsi="黑体" w:eastAsia="黑体" w:cs="宋体"/>
                <w:sz w:val="18"/>
                <w:szCs w:val="20"/>
                <w:lang w:eastAsia="zh-CN"/>
              </w:rPr>
              <w:t>注</w:t>
            </w:r>
            <w:r>
              <w:rPr>
                <w:rFonts w:ascii="黑体" w:hAnsi="黑体" w:eastAsia="黑体"/>
                <w:sz w:val="18"/>
                <w:szCs w:val="20"/>
                <w:lang w:eastAsia="zh-CN"/>
              </w:rPr>
              <w:t>1</w:t>
            </w:r>
            <w:r>
              <w:rPr>
                <w:rFonts w:ascii="黑体" w:hAnsi="黑体" w:eastAsia="黑体" w:cs="宋体"/>
                <w:sz w:val="18"/>
                <w:szCs w:val="20"/>
                <w:lang w:eastAsia="zh-CN"/>
              </w:rPr>
              <w:t>：此数据收集表中的数据是指规定时间段内所有未分配的输入和输出。</w:t>
            </w:r>
          </w:p>
          <w:p w14:paraId="7818A851">
            <w:pPr>
              <w:widowControl/>
              <w:spacing w:after="0" w:line="240" w:lineRule="auto"/>
              <w:rPr>
                <w:rFonts w:ascii="黑体" w:hAnsi="黑体" w:eastAsia="黑体"/>
                <w:sz w:val="18"/>
                <w:szCs w:val="20"/>
                <w:lang w:eastAsia="zh-CN"/>
              </w:rPr>
            </w:pPr>
            <w:r>
              <w:rPr>
                <w:rFonts w:ascii="黑体" w:hAnsi="黑体" w:eastAsia="黑体" w:cs="宋体"/>
                <w:sz w:val="18"/>
                <w:szCs w:val="20"/>
                <w:lang w:eastAsia="zh-CN"/>
              </w:rPr>
              <w:t>注</w:t>
            </w:r>
            <w:r>
              <w:rPr>
                <w:rFonts w:ascii="黑体" w:hAnsi="黑体" w:eastAsia="黑体"/>
                <w:sz w:val="18"/>
                <w:szCs w:val="20"/>
                <w:lang w:eastAsia="zh-CN"/>
              </w:rPr>
              <w:t>2</w:t>
            </w:r>
            <w:r>
              <w:rPr>
                <w:rFonts w:ascii="黑体" w:hAnsi="黑体" w:eastAsia="黑体" w:cs="宋体"/>
                <w:sz w:val="18"/>
                <w:szCs w:val="20"/>
                <w:lang w:eastAsia="zh-CN"/>
              </w:rPr>
              <w:t>：燃料和热力以热量单位表示。</w:t>
            </w:r>
          </w:p>
        </w:tc>
      </w:tr>
    </w:tbl>
    <w:p w14:paraId="0E025393">
      <w:pPr>
        <w:widowControl/>
        <w:spacing w:after="0" w:line="240" w:lineRule="auto"/>
        <w:rPr>
          <w:rFonts w:ascii="Times New Roman" w:hAnsi="Times New Roman" w:eastAsia="宋体" w:cs="Times New Roman"/>
          <w:kern w:val="2"/>
          <w:sz w:val="21"/>
          <w:szCs w:val="24"/>
          <w:lang w:eastAsia="zh-CN"/>
        </w:rPr>
      </w:pPr>
    </w:p>
    <w:p w14:paraId="1551403D">
      <w:pPr>
        <w:widowControl/>
        <w:spacing w:after="0" w:line="240" w:lineRule="auto"/>
        <w:rPr>
          <w:rFonts w:ascii="Times New Roman" w:hAnsi="Times New Roman" w:eastAsia="宋体" w:cs="Times New Roman"/>
          <w:kern w:val="2"/>
          <w:sz w:val="21"/>
          <w:szCs w:val="24"/>
          <w:lang w:eastAsia="zh-CN"/>
        </w:rPr>
      </w:pPr>
      <w:r>
        <w:rPr>
          <w:rFonts w:ascii="Times New Roman" w:hAnsi="Times New Roman" w:eastAsia="宋体" w:cs="Times New Roman"/>
          <w:kern w:val="2"/>
          <w:sz w:val="21"/>
          <w:szCs w:val="24"/>
          <w:lang w:eastAsia="zh-CN"/>
        </w:rPr>
        <w:br w:type="page"/>
      </w:r>
    </w:p>
    <w:p w14:paraId="3595C4DD">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表C.2 稀土选矿生产单元输入、输出数据收集表</w:t>
      </w:r>
    </w:p>
    <w:tbl>
      <w:tblPr>
        <w:tblStyle w:val="13"/>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256"/>
        <w:gridCol w:w="708"/>
        <w:gridCol w:w="709"/>
        <w:gridCol w:w="709"/>
        <w:gridCol w:w="1134"/>
        <w:gridCol w:w="2131"/>
      </w:tblGrid>
      <w:tr w14:paraId="45CB210E">
        <w:trPr>
          <w:trHeight w:val="585" w:hRule="atLeast"/>
        </w:trPr>
        <w:tc>
          <w:tcPr>
            <w:tcW w:w="8647" w:type="dxa"/>
            <w:gridSpan w:val="6"/>
            <w:tcMar>
              <w:top w:w="120" w:type="dxa"/>
              <w:left w:w="120" w:type="dxa"/>
              <w:bottom w:w="120" w:type="dxa"/>
              <w:right w:w="120" w:type="dxa"/>
            </w:tcMar>
          </w:tcPr>
          <w:p w14:paraId="4DAE11D3">
            <w:pPr>
              <w:widowControl/>
              <w:spacing w:line="240" w:lineRule="auto"/>
              <w:rPr>
                <w:rFonts w:ascii="Times New Roman"/>
                <w:sz w:val="18"/>
                <w:szCs w:val="20"/>
                <w:lang w:eastAsia="zh-CN"/>
              </w:rPr>
            </w:pPr>
            <w:r>
              <w:rPr>
                <w:rFonts w:ascii="Times New Roman" w:cs="宋体"/>
                <w:sz w:val="18"/>
                <w:szCs w:val="20"/>
                <w:lang w:eastAsia="zh-CN"/>
              </w:rPr>
              <w:t>单元过程及统计口径描述：</w:t>
            </w:r>
          </w:p>
          <w:p w14:paraId="29EEA6B1">
            <w:pPr>
              <w:widowControl/>
              <w:spacing w:line="240" w:lineRule="auto"/>
              <w:rPr>
                <w:rFonts w:ascii="Times New Roman"/>
                <w:sz w:val="18"/>
                <w:szCs w:val="20"/>
                <w:lang w:eastAsia="zh-CN"/>
              </w:rPr>
            </w:pPr>
            <w:r>
              <w:rPr>
                <w:rFonts w:ascii="Times New Roman" w:cs="宋体"/>
                <w:sz w:val="18"/>
                <w:szCs w:val="20"/>
                <w:lang w:eastAsia="zh-CN"/>
              </w:rPr>
              <w:t>时间段：起始时间</w:t>
            </w:r>
            <w:r>
              <w:rPr>
                <w:rFonts w:ascii="Times New Roman"/>
                <w:sz w:val="18"/>
                <w:szCs w:val="20"/>
                <w:lang w:eastAsia="zh-CN"/>
              </w:rPr>
              <w:t xml:space="preserve">      </w:t>
            </w:r>
            <w:r>
              <w:rPr>
                <w:rFonts w:ascii="Times New Roman" w:cs="宋体"/>
                <w:sz w:val="18"/>
                <w:szCs w:val="20"/>
                <w:lang w:eastAsia="zh-CN"/>
              </w:rPr>
              <w:t>年</w:t>
            </w:r>
            <w:r>
              <w:rPr>
                <w:rFonts w:ascii="Times New Roman"/>
                <w:sz w:val="18"/>
                <w:szCs w:val="20"/>
                <w:lang w:eastAsia="zh-CN"/>
              </w:rPr>
              <w:t xml:space="preserve">  </w:t>
            </w:r>
            <w:r>
              <w:rPr>
                <w:rFonts w:ascii="Times New Roman" w:cs="宋体"/>
                <w:sz w:val="18"/>
                <w:szCs w:val="20"/>
                <w:lang w:eastAsia="zh-CN"/>
              </w:rPr>
              <w:t>月</w:t>
            </w:r>
            <w:r>
              <w:rPr>
                <w:rFonts w:ascii="Times New Roman"/>
                <w:sz w:val="18"/>
                <w:szCs w:val="20"/>
                <w:lang w:eastAsia="zh-CN"/>
              </w:rPr>
              <w:t xml:space="preserve">   </w:t>
            </w:r>
            <w:r>
              <w:rPr>
                <w:rFonts w:ascii="Times New Roman" w:cs="宋体"/>
                <w:sz w:val="18"/>
                <w:szCs w:val="20"/>
                <w:lang w:eastAsia="zh-CN"/>
              </w:rPr>
              <w:t>日；终止时间</w:t>
            </w:r>
            <w:r>
              <w:rPr>
                <w:rFonts w:ascii="Times New Roman"/>
                <w:sz w:val="18"/>
                <w:szCs w:val="20"/>
                <w:lang w:eastAsia="zh-CN"/>
              </w:rPr>
              <w:t xml:space="preserve">      </w:t>
            </w:r>
            <w:r>
              <w:rPr>
                <w:rFonts w:ascii="Times New Roman" w:cs="宋体"/>
                <w:sz w:val="18"/>
                <w:szCs w:val="20"/>
                <w:lang w:eastAsia="zh-CN"/>
              </w:rPr>
              <w:t>年</w:t>
            </w:r>
            <w:r>
              <w:rPr>
                <w:rFonts w:ascii="Times New Roman"/>
                <w:sz w:val="18"/>
                <w:szCs w:val="20"/>
                <w:lang w:eastAsia="zh-CN"/>
              </w:rPr>
              <w:t xml:space="preserve">  </w:t>
            </w:r>
            <w:r>
              <w:rPr>
                <w:rFonts w:ascii="Times New Roman" w:cs="宋体"/>
                <w:sz w:val="18"/>
                <w:szCs w:val="20"/>
                <w:lang w:eastAsia="zh-CN"/>
              </w:rPr>
              <w:t>月</w:t>
            </w:r>
            <w:r>
              <w:rPr>
                <w:rFonts w:ascii="Times New Roman"/>
                <w:sz w:val="18"/>
                <w:szCs w:val="20"/>
                <w:lang w:eastAsia="zh-CN"/>
              </w:rPr>
              <w:t xml:space="preserve">  </w:t>
            </w:r>
            <w:r>
              <w:rPr>
                <w:rFonts w:ascii="Times New Roman" w:cs="宋体"/>
                <w:sz w:val="18"/>
                <w:szCs w:val="20"/>
                <w:lang w:eastAsia="zh-CN"/>
              </w:rPr>
              <w:t>日</w:t>
            </w:r>
          </w:p>
          <w:p w14:paraId="437DA260">
            <w:pPr>
              <w:widowControl/>
              <w:spacing w:line="240" w:lineRule="auto"/>
              <w:rPr>
                <w:rFonts w:ascii="Times New Roman"/>
                <w:sz w:val="18"/>
                <w:szCs w:val="20"/>
              </w:rPr>
            </w:pPr>
            <w:r>
              <w:rPr>
                <w:rFonts w:ascii="Times New Roman" w:cs="宋体"/>
                <w:sz w:val="18"/>
                <w:szCs w:val="20"/>
              </w:rPr>
              <w:t>制表人：</w:t>
            </w:r>
            <w:r>
              <w:rPr>
                <w:rFonts w:ascii="Times New Roman"/>
                <w:sz w:val="18"/>
                <w:szCs w:val="20"/>
              </w:rPr>
              <w:t xml:space="preserve">                </w:t>
            </w:r>
            <w:r>
              <w:rPr>
                <w:rFonts w:ascii="Times New Roman" w:cs="宋体"/>
                <w:sz w:val="18"/>
                <w:szCs w:val="20"/>
              </w:rPr>
              <w:t>制表日期：</w:t>
            </w:r>
          </w:p>
        </w:tc>
      </w:tr>
      <w:tr w14:paraId="4ED524B2">
        <w:trPr>
          <w:trHeight w:val="205" w:hRule="atLeast"/>
        </w:trPr>
        <w:tc>
          <w:tcPr>
            <w:tcW w:w="3256" w:type="dxa"/>
            <w:tcMar>
              <w:top w:w="120" w:type="dxa"/>
              <w:left w:w="120" w:type="dxa"/>
              <w:bottom w:w="120" w:type="dxa"/>
              <w:right w:w="120" w:type="dxa"/>
            </w:tcMar>
          </w:tcPr>
          <w:p w14:paraId="1CBFEA4F">
            <w:pPr>
              <w:widowControl/>
              <w:spacing w:line="240" w:lineRule="auto"/>
              <w:rPr>
                <w:rFonts w:ascii="Times New Roman"/>
                <w:b/>
                <w:sz w:val="18"/>
                <w:szCs w:val="20"/>
              </w:rPr>
            </w:pPr>
            <w:r>
              <w:rPr>
                <w:rFonts w:ascii="Times New Roman" w:cs="宋体"/>
                <w:b/>
                <w:sz w:val="18"/>
                <w:szCs w:val="20"/>
              </w:rPr>
              <w:t>输入</w:t>
            </w:r>
          </w:p>
        </w:tc>
        <w:tc>
          <w:tcPr>
            <w:tcW w:w="708" w:type="dxa"/>
            <w:tcMar>
              <w:top w:w="120" w:type="dxa"/>
              <w:left w:w="120" w:type="dxa"/>
              <w:bottom w:w="120" w:type="dxa"/>
              <w:right w:w="120" w:type="dxa"/>
            </w:tcMar>
          </w:tcPr>
          <w:p w14:paraId="098C9279">
            <w:pPr>
              <w:widowControl/>
              <w:spacing w:line="240" w:lineRule="auto"/>
              <w:jc w:val="center"/>
              <w:rPr>
                <w:rFonts w:ascii="Times New Roman"/>
                <w:b/>
                <w:sz w:val="18"/>
                <w:szCs w:val="20"/>
              </w:rPr>
            </w:pPr>
            <w:r>
              <w:rPr>
                <w:rFonts w:ascii="Times New Roman" w:cs="宋体"/>
                <w:b/>
                <w:sz w:val="18"/>
                <w:szCs w:val="20"/>
              </w:rPr>
              <w:t>单位</w:t>
            </w:r>
          </w:p>
        </w:tc>
        <w:tc>
          <w:tcPr>
            <w:tcW w:w="709" w:type="dxa"/>
          </w:tcPr>
          <w:p w14:paraId="70DBE127">
            <w:pPr>
              <w:widowControl/>
              <w:spacing w:line="240" w:lineRule="auto"/>
              <w:jc w:val="center"/>
              <w:rPr>
                <w:rFonts w:ascii="Times New Roman"/>
                <w:b/>
                <w:sz w:val="18"/>
                <w:szCs w:val="20"/>
              </w:rPr>
            </w:pPr>
            <w:r>
              <w:rPr>
                <w:rFonts w:ascii="Times New Roman" w:cs="宋体"/>
                <w:b/>
                <w:sz w:val="18"/>
                <w:szCs w:val="20"/>
              </w:rPr>
              <w:t>数量</w:t>
            </w:r>
          </w:p>
        </w:tc>
        <w:tc>
          <w:tcPr>
            <w:tcW w:w="709" w:type="dxa"/>
            <w:tcMar>
              <w:top w:w="120" w:type="dxa"/>
              <w:left w:w="120" w:type="dxa"/>
              <w:bottom w:w="120" w:type="dxa"/>
              <w:right w:w="120" w:type="dxa"/>
            </w:tcMar>
          </w:tcPr>
          <w:p w14:paraId="3E599406">
            <w:pPr>
              <w:widowControl/>
              <w:spacing w:line="240" w:lineRule="auto"/>
              <w:jc w:val="center"/>
              <w:rPr>
                <w:rFonts w:ascii="Times New Roman"/>
                <w:b/>
                <w:sz w:val="18"/>
                <w:szCs w:val="20"/>
              </w:rPr>
            </w:pPr>
            <w:r>
              <w:rPr>
                <w:rFonts w:ascii="Times New Roman" w:cs="宋体"/>
                <w:b/>
                <w:sz w:val="18"/>
                <w:szCs w:val="20"/>
              </w:rPr>
              <w:t>运距</w:t>
            </w:r>
          </w:p>
        </w:tc>
        <w:tc>
          <w:tcPr>
            <w:tcW w:w="1134" w:type="dxa"/>
            <w:tcMar>
              <w:top w:w="120" w:type="dxa"/>
              <w:left w:w="120" w:type="dxa"/>
              <w:bottom w:w="120" w:type="dxa"/>
              <w:right w:w="120" w:type="dxa"/>
            </w:tcMar>
          </w:tcPr>
          <w:p w14:paraId="0D907197">
            <w:pPr>
              <w:widowControl/>
              <w:spacing w:line="240" w:lineRule="auto"/>
              <w:jc w:val="center"/>
              <w:rPr>
                <w:rFonts w:ascii="Times New Roman"/>
                <w:b/>
                <w:sz w:val="18"/>
                <w:szCs w:val="20"/>
              </w:rPr>
            </w:pPr>
            <w:r>
              <w:rPr>
                <w:rFonts w:ascii="Times New Roman" w:cs="宋体"/>
                <w:b/>
                <w:sz w:val="18"/>
                <w:szCs w:val="20"/>
              </w:rPr>
              <w:t>运输方式</w:t>
            </w:r>
          </w:p>
        </w:tc>
        <w:tc>
          <w:tcPr>
            <w:tcW w:w="2131" w:type="dxa"/>
            <w:tcMar>
              <w:top w:w="120" w:type="dxa"/>
              <w:left w:w="120" w:type="dxa"/>
              <w:bottom w:w="120" w:type="dxa"/>
              <w:right w:w="120" w:type="dxa"/>
            </w:tcMar>
          </w:tcPr>
          <w:p w14:paraId="7962654D">
            <w:pPr>
              <w:widowControl/>
              <w:spacing w:line="240" w:lineRule="auto"/>
              <w:jc w:val="center"/>
              <w:rPr>
                <w:rFonts w:ascii="Times New Roman"/>
                <w:b/>
                <w:sz w:val="18"/>
                <w:szCs w:val="20"/>
              </w:rPr>
            </w:pPr>
            <w:r>
              <w:rPr>
                <w:rFonts w:ascii="Times New Roman" w:cs="宋体"/>
                <w:b/>
                <w:sz w:val="18"/>
                <w:szCs w:val="20"/>
              </w:rPr>
              <w:t>规格、成分</w:t>
            </w:r>
            <w:r>
              <w:rPr>
                <w:rFonts w:ascii="Times New Roman"/>
                <w:b/>
                <w:sz w:val="18"/>
                <w:szCs w:val="20"/>
              </w:rPr>
              <w:t>/</w:t>
            </w:r>
            <w:r>
              <w:rPr>
                <w:rFonts w:ascii="Times New Roman" w:cs="宋体"/>
                <w:b/>
                <w:sz w:val="18"/>
                <w:szCs w:val="20"/>
              </w:rPr>
              <w:t>来源</w:t>
            </w:r>
          </w:p>
        </w:tc>
      </w:tr>
      <w:tr w14:paraId="72335685">
        <w:trPr>
          <w:trHeight w:val="57" w:hRule="atLeast"/>
        </w:trPr>
        <w:tc>
          <w:tcPr>
            <w:tcW w:w="3256" w:type="dxa"/>
            <w:tcMar>
              <w:top w:w="120" w:type="dxa"/>
              <w:left w:w="120" w:type="dxa"/>
              <w:bottom w:w="120" w:type="dxa"/>
              <w:right w:w="120" w:type="dxa"/>
            </w:tcMar>
          </w:tcPr>
          <w:p w14:paraId="61EDA5E4">
            <w:pPr>
              <w:widowControl/>
              <w:spacing w:line="240" w:lineRule="auto"/>
              <w:rPr>
                <w:rFonts w:ascii="Times New Roman"/>
                <w:sz w:val="18"/>
                <w:szCs w:val="20"/>
                <w:lang w:eastAsia="zh-CN"/>
              </w:rPr>
            </w:pPr>
            <w:r>
              <w:rPr>
                <w:rFonts w:hint="eastAsia" w:ascii="Times New Roman" w:cs="宋体"/>
                <w:sz w:val="18"/>
                <w:szCs w:val="18"/>
              </w:rPr>
              <w:t>稀土矿石</w:t>
            </w:r>
            <w:r>
              <w:rPr>
                <w:rFonts w:hint="eastAsia" w:ascii="Times New Roman" w:cs="宋体"/>
                <w:sz w:val="18"/>
                <w:szCs w:val="18"/>
                <w:lang w:eastAsia="zh-CN"/>
              </w:rPr>
              <w:t>/含稀土矿浆</w:t>
            </w:r>
          </w:p>
        </w:tc>
        <w:tc>
          <w:tcPr>
            <w:tcW w:w="708" w:type="dxa"/>
            <w:tcMar>
              <w:top w:w="120" w:type="dxa"/>
              <w:left w:w="120" w:type="dxa"/>
              <w:bottom w:w="120" w:type="dxa"/>
              <w:right w:w="120" w:type="dxa"/>
            </w:tcMar>
          </w:tcPr>
          <w:p w14:paraId="750204E0">
            <w:pPr>
              <w:widowControl/>
              <w:spacing w:line="240" w:lineRule="auto"/>
              <w:jc w:val="center"/>
              <w:rPr>
                <w:rFonts w:ascii="Times New Roman"/>
                <w:sz w:val="18"/>
                <w:szCs w:val="20"/>
              </w:rPr>
            </w:pPr>
          </w:p>
        </w:tc>
        <w:tc>
          <w:tcPr>
            <w:tcW w:w="709" w:type="dxa"/>
          </w:tcPr>
          <w:p w14:paraId="6981F88A">
            <w:pPr>
              <w:widowControl/>
              <w:spacing w:line="240" w:lineRule="auto"/>
              <w:jc w:val="center"/>
              <w:rPr>
                <w:rFonts w:ascii="Times New Roman"/>
                <w:sz w:val="18"/>
                <w:szCs w:val="20"/>
              </w:rPr>
            </w:pPr>
          </w:p>
        </w:tc>
        <w:tc>
          <w:tcPr>
            <w:tcW w:w="709" w:type="dxa"/>
            <w:tcMar>
              <w:top w:w="120" w:type="dxa"/>
              <w:left w:w="120" w:type="dxa"/>
              <w:bottom w:w="120" w:type="dxa"/>
              <w:right w:w="120" w:type="dxa"/>
            </w:tcMar>
          </w:tcPr>
          <w:p w14:paraId="3A28A704">
            <w:pPr>
              <w:widowControl/>
              <w:spacing w:line="240" w:lineRule="auto"/>
              <w:jc w:val="center"/>
              <w:rPr>
                <w:rFonts w:ascii="Times New Roman"/>
                <w:sz w:val="18"/>
                <w:szCs w:val="20"/>
              </w:rPr>
            </w:pPr>
          </w:p>
        </w:tc>
        <w:tc>
          <w:tcPr>
            <w:tcW w:w="1134" w:type="dxa"/>
            <w:tcMar>
              <w:top w:w="120" w:type="dxa"/>
              <w:left w:w="120" w:type="dxa"/>
              <w:bottom w:w="120" w:type="dxa"/>
              <w:right w:w="120" w:type="dxa"/>
            </w:tcMar>
          </w:tcPr>
          <w:p w14:paraId="449C18F9">
            <w:pPr>
              <w:widowControl/>
              <w:spacing w:line="240" w:lineRule="auto"/>
              <w:jc w:val="center"/>
              <w:rPr>
                <w:rFonts w:ascii="Times New Roman"/>
                <w:sz w:val="18"/>
                <w:szCs w:val="20"/>
              </w:rPr>
            </w:pPr>
          </w:p>
        </w:tc>
        <w:tc>
          <w:tcPr>
            <w:tcW w:w="2131" w:type="dxa"/>
            <w:tcMar>
              <w:top w:w="120" w:type="dxa"/>
              <w:left w:w="120" w:type="dxa"/>
              <w:bottom w:w="120" w:type="dxa"/>
              <w:right w:w="120" w:type="dxa"/>
            </w:tcMar>
          </w:tcPr>
          <w:p w14:paraId="3376DE1A">
            <w:pPr>
              <w:widowControl/>
              <w:spacing w:line="240" w:lineRule="auto"/>
              <w:jc w:val="center"/>
              <w:rPr>
                <w:rFonts w:ascii="Times New Roman"/>
                <w:sz w:val="18"/>
                <w:szCs w:val="20"/>
              </w:rPr>
            </w:pPr>
          </w:p>
        </w:tc>
      </w:tr>
      <w:tr w14:paraId="6F3F3473">
        <w:trPr>
          <w:trHeight w:val="79" w:hRule="atLeast"/>
        </w:trPr>
        <w:tc>
          <w:tcPr>
            <w:tcW w:w="3256" w:type="dxa"/>
            <w:tcMar>
              <w:top w:w="120" w:type="dxa"/>
              <w:left w:w="120" w:type="dxa"/>
              <w:bottom w:w="120" w:type="dxa"/>
              <w:right w:w="120" w:type="dxa"/>
            </w:tcMar>
          </w:tcPr>
          <w:p w14:paraId="368B2CAB">
            <w:pPr>
              <w:widowControl/>
              <w:spacing w:line="240" w:lineRule="auto"/>
              <w:rPr>
                <w:rFonts w:ascii="Times New Roman" w:cs="宋体"/>
                <w:sz w:val="18"/>
                <w:szCs w:val="20"/>
                <w:lang w:eastAsia="zh-CN"/>
              </w:rPr>
            </w:pPr>
            <w:r>
              <w:rPr>
                <w:rFonts w:hint="eastAsia" w:ascii="Times New Roman" w:cs="宋体"/>
                <w:sz w:val="18"/>
                <w:szCs w:val="20"/>
                <w:lang w:eastAsia="zh-CN"/>
              </w:rPr>
              <w:t>辅助材料（起泡剂、浮选剂、抑制剂、捕收剂、活化剂、水等）</w:t>
            </w:r>
          </w:p>
        </w:tc>
        <w:tc>
          <w:tcPr>
            <w:tcW w:w="708" w:type="dxa"/>
            <w:tcMar>
              <w:top w:w="120" w:type="dxa"/>
              <w:left w:w="120" w:type="dxa"/>
              <w:bottom w:w="120" w:type="dxa"/>
              <w:right w:w="120" w:type="dxa"/>
            </w:tcMar>
          </w:tcPr>
          <w:p w14:paraId="143D7BCF">
            <w:pPr>
              <w:widowControl/>
              <w:spacing w:line="240" w:lineRule="auto"/>
              <w:jc w:val="center"/>
              <w:rPr>
                <w:rFonts w:ascii="Times New Roman"/>
                <w:sz w:val="18"/>
                <w:szCs w:val="20"/>
                <w:lang w:eastAsia="zh-CN"/>
              </w:rPr>
            </w:pPr>
          </w:p>
        </w:tc>
        <w:tc>
          <w:tcPr>
            <w:tcW w:w="709" w:type="dxa"/>
          </w:tcPr>
          <w:p w14:paraId="15C365F4">
            <w:pPr>
              <w:widowControl/>
              <w:spacing w:line="240" w:lineRule="auto"/>
              <w:jc w:val="center"/>
              <w:rPr>
                <w:rFonts w:ascii="Times New Roman"/>
                <w:sz w:val="18"/>
                <w:szCs w:val="20"/>
                <w:lang w:eastAsia="zh-CN"/>
              </w:rPr>
            </w:pPr>
          </w:p>
        </w:tc>
        <w:tc>
          <w:tcPr>
            <w:tcW w:w="709" w:type="dxa"/>
            <w:tcMar>
              <w:top w:w="120" w:type="dxa"/>
              <w:left w:w="120" w:type="dxa"/>
              <w:bottom w:w="120" w:type="dxa"/>
              <w:right w:w="120" w:type="dxa"/>
            </w:tcMar>
          </w:tcPr>
          <w:p w14:paraId="042B0C7F">
            <w:pPr>
              <w:widowControl/>
              <w:spacing w:line="240" w:lineRule="auto"/>
              <w:jc w:val="center"/>
              <w:rPr>
                <w:rFonts w:ascii="Times New Roman"/>
                <w:sz w:val="18"/>
                <w:szCs w:val="20"/>
                <w:lang w:eastAsia="zh-CN"/>
              </w:rPr>
            </w:pPr>
          </w:p>
        </w:tc>
        <w:tc>
          <w:tcPr>
            <w:tcW w:w="1134" w:type="dxa"/>
            <w:tcMar>
              <w:top w:w="120" w:type="dxa"/>
              <w:left w:w="120" w:type="dxa"/>
              <w:bottom w:w="120" w:type="dxa"/>
              <w:right w:w="120" w:type="dxa"/>
            </w:tcMar>
          </w:tcPr>
          <w:p w14:paraId="028B293A">
            <w:pPr>
              <w:widowControl/>
              <w:spacing w:line="240" w:lineRule="auto"/>
              <w:jc w:val="center"/>
              <w:rPr>
                <w:rFonts w:ascii="Times New Roman"/>
                <w:sz w:val="18"/>
                <w:szCs w:val="20"/>
                <w:lang w:eastAsia="zh-CN"/>
              </w:rPr>
            </w:pPr>
          </w:p>
        </w:tc>
        <w:tc>
          <w:tcPr>
            <w:tcW w:w="2131" w:type="dxa"/>
            <w:tcMar>
              <w:top w:w="120" w:type="dxa"/>
              <w:left w:w="120" w:type="dxa"/>
              <w:bottom w:w="120" w:type="dxa"/>
              <w:right w:w="120" w:type="dxa"/>
            </w:tcMar>
          </w:tcPr>
          <w:p w14:paraId="2FB93551">
            <w:pPr>
              <w:widowControl/>
              <w:spacing w:line="240" w:lineRule="auto"/>
              <w:jc w:val="center"/>
              <w:rPr>
                <w:rFonts w:ascii="Times New Roman"/>
                <w:sz w:val="18"/>
                <w:szCs w:val="20"/>
                <w:lang w:eastAsia="zh-CN"/>
              </w:rPr>
            </w:pPr>
          </w:p>
        </w:tc>
      </w:tr>
      <w:tr w14:paraId="3447272E">
        <w:trPr>
          <w:trHeight w:val="507" w:hRule="atLeast"/>
        </w:trPr>
        <w:tc>
          <w:tcPr>
            <w:tcW w:w="3256" w:type="dxa"/>
            <w:tcMar>
              <w:top w:w="120" w:type="dxa"/>
              <w:left w:w="120" w:type="dxa"/>
              <w:bottom w:w="120" w:type="dxa"/>
              <w:right w:w="120" w:type="dxa"/>
            </w:tcMar>
          </w:tcPr>
          <w:p w14:paraId="66CC1051">
            <w:pPr>
              <w:widowControl/>
              <w:spacing w:line="240" w:lineRule="auto"/>
              <w:rPr>
                <w:rFonts w:ascii="Times New Roman"/>
                <w:sz w:val="18"/>
                <w:szCs w:val="20"/>
                <w:lang w:eastAsia="zh-CN"/>
              </w:rPr>
            </w:pPr>
            <w:r>
              <w:rPr>
                <w:rFonts w:hint="eastAsia" w:ascii="Times New Roman" w:cs="宋体"/>
                <w:sz w:val="18"/>
                <w:szCs w:val="20"/>
                <w:lang w:eastAsia="zh-CN"/>
              </w:rPr>
              <w:t>燃料（例如柴油、汽油、天然气等）</w:t>
            </w:r>
          </w:p>
        </w:tc>
        <w:tc>
          <w:tcPr>
            <w:tcW w:w="708" w:type="dxa"/>
            <w:tcMar>
              <w:top w:w="120" w:type="dxa"/>
              <w:left w:w="120" w:type="dxa"/>
              <w:bottom w:w="120" w:type="dxa"/>
              <w:right w:w="120" w:type="dxa"/>
            </w:tcMar>
          </w:tcPr>
          <w:p w14:paraId="3D9AED09">
            <w:pPr>
              <w:widowControl/>
              <w:spacing w:line="240" w:lineRule="auto"/>
              <w:jc w:val="center"/>
              <w:rPr>
                <w:rFonts w:ascii="Times New Roman"/>
                <w:sz w:val="18"/>
                <w:szCs w:val="20"/>
                <w:lang w:eastAsia="zh-CN"/>
              </w:rPr>
            </w:pPr>
          </w:p>
        </w:tc>
        <w:tc>
          <w:tcPr>
            <w:tcW w:w="709" w:type="dxa"/>
          </w:tcPr>
          <w:p w14:paraId="7B84448A">
            <w:pPr>
              <w:widowControl/>
              <w:spacing w:line="240" w:lineRule="auto"/>
              <w:jc w:val="center"/>
              <w:rPr>
                <w:rFonts w:ascii="Times New Roman"/>
                <w:sz w:val="18"/>
                <w:szCs w:val="20"/>
                <w:lang w:eastAsia="zh-CN"/>
              </w:rPr>
            </w:pPr>
          </w:p>
        </w:tc>
        <w:tc>
          <w:tcPr>
            <w:tcW w:w="709" w:type="dxa"/>
            <w:tcMar>
              <w:top w:w="120" w:type="dxa"/>
              <w:left w:w="120" w:type="dxa"/>
              <w:bottom w:w="120" w:type="dxa"/>
              <w:right w:w="120" w:type="dxa"/>
            </w:tcMar>
          </w:tcPr>
          <w:p w14:paraId="1C464CE8">
            <w:pPr>
              <w:widowControl/>
              <w:spacing w:line="240" w:lineRule="auto"/>
              <w:jc w:val="center"/>
              <w:rPr>
                <w:rFonts w:ascii="Times New Roman"/>
                <w:sz w:val="18"/>
                <w:szCs w:val="20"/>
                <w:lang w:eastAsia="zh-CN"/>
              </w:rPr>
            </w:pPr>
          </w:p>
        </w:tc>
        <w:tc>
          <w:tcPr>
            <w:tcW w:w="1134" w:type="dxa"/>
            <w:tcMar>
              <w:top w:w="120" w:type="dxa"/>
              <w:left w:w="120" w:type="dxa"/>
              <w:bottom w:w="120" w:type="dxa"/>
              <w:right w:w="120" w:type="dxa"/>
            </w:tcMar>
          </w:tcPr>
          <w:p w14:paraId="500133FA">
            <w:pPr>
              <w:widowControl/>
              <w:spacing w:line="240" w:lineRule="auto"/>
              <w:jc w:val="center"/>
              <w:rPr>
                <w:rFonts w:ascii="Times New Roman"/>
                <w:sz w:val="18"/>
                <w:szCs w:val="20"/>
                <w:lang w:eastAsia="zh-CN"/>
              </w:rPr>
            </w:pPr>
          </w:p>
        </w:tc>
        <w:tc>
          <w:tcPr>
            <w:tcW w:w="2131" w:type="dxa"/>
            <w:tcMar>
              <w:top w:w="120" w:type="dxa"/>
              <w:left w:w="120" w:type="dxa"/>
              <w:bottom w:w="120" w:type="dxa"/>
              <w:right w:w="120" w:type="dxa"/>
            </w:tcMar>
          </w:tcPr>
          <w:p w14:paraId="5933D389">
            <w:pPr>
              <w:widowControl/>
              <w:spacing w:line="240" w:lineRule="auto"/>
              <w:jc w:val="center"/>
              <w:rPr>
                <w:rFonts w:ascii="Times New Roman"/>
                <w:sz w:val="18"/>
                <w:szCs w:val="20"/>
                <w:lang w:eastAsia="zh-CN"/>
              </w:rPr>
            </w:pPr>
          </w:p>
        </w:tc>
      </w:tr>
      <w:tr w14:paraId="7A6D5E91">
        <w:trPr>
          <w:trHeight w:val="65" w:hRule="atLeast"/>
        </w:trPr>
        <w:tc>
          <w:tcPr>
            <w:tcW w:w="3256" w:type="dxa"/>
            <w:tcMar>
              <w:top w:w="120" w:type="dxa"/>
              <w:left w:w="120" w:type="dxa"/>
              <w:bottom w:w="120" w:type="dxa"/>
              <w:right w:w="120" w:type="dxa"/>
            </w:tcMar>
          </w:tcPr>
          <w:p w14:paraId="28B6E595">
            <w:pPr>
              <w:widowControl/>
              <w:spacing w:line="240" w:lineRule="auto"/>
              <w:rPr>
                <w:rFonts w:ascii="Times New Roman"/>
                <w:sz w:val="18"/>
                <w:szCs w:val="20"/>
              </w:rPr>
            </w:pPr>
            <w:r>
              <w:rPr>
                <w:rFonts w:hint="eastAsia" w:ascii="Times New Roman" w:cs="宋体"/>
                <w:sz w:val="18"/>
                <w:szCs w:val="20"/>
                <w:lang w:eastAsia="zh-CN"/>
              </w:rPr>
              <w:t>电力</w:t>
            </w:r>
          </w:p>
        </w:tc>
        <w:tc>
          <w:tcPr>
            <w:tcW w:w="708" w:type="dxa"/>
            <w:tcMar>
              <w:top w:w="120" w:type="dxa"/>
              <w:left w:w="120" w:type="dxa"/>
              <w:bottom w:w="120" w:type="dxa"/>
              <w:right w:w="120" w:type="dxa"/>
            </w:tcMar>
          </w:tcPr>
          <w:p w14:paraId="0B923EC1">
            <w:pPr>
              <w:widowControl/>
              <w:spacing w:line="240" w:lineRule="auto"/>
              <w:jc w:val="center"/>
              <w:rPr>
                <w:rFonts w:ascii="Times New Roman"/>
                <w:sz w:val="18"/>
                <w:szCs w:val="20"/>
              </w:rPr>
            </w:pPr>
          </w:p>
        </w:tc>
        <w:tc>
          <w:tcPr>
            <w:tcW w:w="709" w:type="dxa"/>
          </w:tcPr>
          <w:p w14:paraId="047E1961">
            <w:pPr>
              <w:widowControl/>
              <w:spacing w:line="240" w:lineRule="auto"/>
              <w:jc w:val="center"/>
              <w:rPr>
                <w:rFonts w:ascii="Times New Roman"/>
                <w:sz w:val="18"/>
                <w:szCs w:val="20"/>
              </w:rPr>
            </w:pPr>
          </w:p>
        </w:tc>
        <w:tc>
          <w:tcPr>
            <w:tcW w:w="709" w:type="dxa"/>
            <w:tcMar>
              <w:top w:w="120" w:type="dxa"/>
              <w:left w:w="120" w:type="dxa"/>
              <w:bottom w:w="120" w:type="dxa"/>
              <w:right w:w="120" w:type="dxa"/>
            </w:tcMar>
          </w:tcPr>
          <w:p w14:paraId="74A0589B">
            <w:pPr>
              <w:widowControl/>
              <w:spacing w:line="240" w:lineRule="auto"/>
              <w:jc w:val="center"/>
              <w:rPr>
                <w:rFonts w:ascii="Times New Roman"/>
                <w:sz w:val="18"/>
                <w:szCs w:val="20"/>
              </w:rPr>
            </w:pPr>
          </w:p>
        </w:tc>
        <w:tc>
          <w:tcPr>
            <w:tcW w:w="1134" w:type="dxa"/>
            <w:tcMar>
              <w:top w:w="120" w:type="dxa"/>
              <w:left w:w="120" w:type="dxa"/>
              <w:bottom w:w="120" w:type="dxa"/>
              <w:right w:w="120" w:type="dxa"/>
            </w:tcMar>
          </w:tcPr>
          <w:p w14:paraId="46741F41">
            <w:pPr>
              <w:widowControl/>
              <w:spacing w:line="240" w:lineRule="auto"/>
              <w:jc w:val="center"/>
              <w:rPr>
                <w:rFonts w:ascii="Times New Roman"/>
                <w:sz w:val="18"/>
                <w:szCs w:val="20"/>
              </w:rPr>
            </w:pPr>
          </w:p>
        </w:tc>
        <w:tc>
          <w:tcPr>
            <w:tcW w:w="2131" w:type="dxa"/>
            <w:tcMar>
              <w:top w:w="120" w:type="dxa"/>
              <w:left w:w="120" w:type="dxa"/>
              <w:bottom w:w="120" w:type="dxa"/>
              <w:right w:w="120" w:type="dxa"/>
            </w:tcMar>
          </w:tcPr>
          <w:p w14:paraId="6FDFDEA5">
            <w:pPr>
              <w:widowControl/>
              <w:spacing w:line="240" w:lineRule="auto"/>
              <w:jc w:val="center"/>
              <w:rPr>
                <w:rFonts w:ascii="Times New Roman"/>
                <w:sz w:val="18"/>
                <w:szCs w:val="20"/>
              </w:rPr>
            </w:pPr>
          </w:p>
        </w:tc>
      </w:tr>
      <w:tr w14:paraId="3B5B0F46">
        <w:trPr>
          <w:trHeight w:val="200" w:hRule="atLeast"/>
        </w:trPr>
        <w:tc>
          <w:tcPr>
            <w:tcW w:w="3256" w:type="dxa"/>
            <w:tcMar>
              <w:top w:w="120" w:type="dxa"/>
              <w:left w:w="120" w:type="dxa"/>
              <w:bottom w:w="120" w:type="dxa"/>
              <w:right w:w="120" w:type="dxa"/>
            </w:tcMar>
          </w:tcPr>
          <w:p w14:paraId="50D1DFFA">
            <w:pPr>
              <w:widowControl/>
              <w:spacing w:line="240" w:lineRule="auto"/>
              <w:rPr>
                <w:rFonts w:ascii="Times New Roman"/>
                <w:sz w:val="18"/>
                <w:szCs w:val="20"/>
              </w:rPr>
            </w:pPr>
            <w:r>
              <w:rPr>
                <w:rFonts w:hint="eastAsia" w:ascii="Times New Roman" w:cs="宋体"/>
                <w:sz w:val="18"/>
                <w:szCs w:val="20"/>
              </w:rPr>
              <w:t>热力</w:t>
            </w:r>
            <w:r>
              <w:rPr>
                <w:rFonts w:hint="eastAsia" w:ascii="Times New Roman" w:cs="宋体"/>
                <w:sz w:val="18"/>
                <w:szCs w:val="20"/>
                <w:lang w:eastAsia="zh-CN"/>
              </w:rPr>
              <w:t>（如有）</w:t>
            </w:r>
          </w:p>
        </w:tc>
        <w:tc>
          <w:tcPr>
            <w:tcW w:w="708" w:type="dxa"/>
            <w:tcMar>
              <w:top w:w="120" w:type="dxa"/>
              <w:left w:w="120" w:type="dxa"/>
              <w:bottom w:w="120" w:type="dxa"/>
              <w:right w:w="120" w:type="dxa"/>
            </w:tcMar>
          </w:tcPr>
          <w:p w14:paraId="1E8A6B0A">
            <w:pPr>
              <w:widowControl/>
              <w:spacing w:line="240" w:lineRule="auto"/>
              <w:jc w:val="center"/>
              <w:rPr>
                <w:rFonts w:ascii="Times New Roman"/>
                <w:sz w:val="18"/>
                <w:szCs w:val="20"/>
              </w:rPr>
            </w:pPr>
          </w:p>
        </w:tc>
        <w:tc>
          <w:tcPr>
            <w:tcW w:w="709" w:type="dxa"/>
          </w:tcPr>
          <w:p w14:paraId="3F3923B8">
            <w:pPr>
              <w:widowControl/>
              <w:spacing w:line="240" w:lineRule="auto"/>
              <w:jc w:val="center"/>
              <w:rPr>
                <w:rFonts w:ascii="Times New Roman"/>
                <w:sz w:val="18"/>
                <w:szCs w:val="20"/>
              </w:rPr>
            </w:pPr>
          </w:p>
        </w:tc>
        <w:tc>
          <w:tcPr>
            <w:tcW w:w="709" w:type="dxa"/>
            <w:tcMar>
              <w:top w:w="120" w:type="dxa"/>
              <w:left w:w="120" w:type="dxa"/>
              <w:bottom w:w="120" w:type="dxa"/>
              <w:right w:w="120" w:type="dxa"/>
            </w:tcMar>
          </w:tcPr>
          <w:p w14:paraId="0E1C0F75">
            <w:pPr>
              <w:widowControl/>
              <w:spacing w:line="240" w:lineRule="auto"/>
              <w:jc w:val="center"/>
              <w:rPr>
                <w:rFonts w:ascii="Times New Roman"/>
                <w:sz w:val="18"/>
                <w:szCs w:val="20"/>
              </w:rPr>
            </w:pPr>
          </w:p>
        </w:tc>
        <w:tc>
          <w:tcPr>
            <w:tcW w:w="1134" w:type="dxa"/>
            <w:tcMar>
              <w:top w:w="120" w:type="dxa"/>
              <w:left w:w="120" w:type="dxa"/>
              <w:bottom w:w="120" w:type="dxa"/>
              <w:right w:w="120" w:type="dxa"/>
            </w:tcMar>
          </w:tcPr>
          <w:p w14:paraId="6589A529">
            <w:pPr>
              <w:widowControl/>
              <w:spacing w:line="240" w:lineRule="auto"/>
              <w:jc w:val="center"/>
              <w:rPr>
                <w:rFonts w:ascii="Times New Roman"/>
                <w:sz w:val="18"/>
                <w:szCs w:val="20"/>
              </w:rPr>
            </w:pPr>
          </w:p>
        </w:tc>
        <w:tc>
          <w:tcPr>
            <w:tcW w:w="2131" w:type="dxa"/>
            <w:tcMar>
              <w:top w:w="120" w:type="dxa"/>
              <w:left w:w="120" w:type="dxa"/>
              <w:bottom w:w="120" w:type="dxa"/>
              <w:right w:w="120" w:type="dxa"/>
            </w:tcMar>
          </w:tcPr>
          <w:p w14:paraId="6C9215CB">
            <w:pPr>
              <w:widowControl/>
              <w:spacing w:line="240" w:lineRule="auto"/>
              <w:jc w:val="center"/>
              <w:rPr>
                <w:rFonts w:ascii="Times New Roman"/>
                <w:sz w:val="18"/>
                <w:szCs w:val="20"/>
              </w:rPr>
            </w:pPr>
          </w:p>
        </w:tc>
      </w:tr>
      <w:tr w14:paraId="348C454E">
        <w:trPr>
          <w:trHeight w:val="209" w:hRule="atLeast"/>
        </w:trPr>
        <w:tc>
          <w:tcPr>
            <w:tcW w:w="3256" w:type="dxa"/>
            <w:tcMar>
              <w:top w:w="120" w:type="dxa"/>
              <w:left w:w="120" w:type="dxa"/>
              <w:bottom w:w="120" w:type="dxa"/>
              <w:right w:w="120" w:type="dxa"/>
            </w:tcMar>
          </w:tcPr>
          <w:p w14:paraId="2F65B417">
            <w:pPr>
              <w:widowControl/>
              <w:spacing w:line="240" w:lineRule="auto"/>
              <w:rPr>
                <w:rFonts w:ascii="Times New Roman"/>
                <w:sz w:val="18"/>
                <w:szCs w:val="20"/>
              </w:rPr>
            </w:pPr>
            <w:r>
              <w:rPr>
                <w:rFonts w:ascii="Times New Roman" w:cs="宋体"/>
                <w:sz w:val="18"/>
                <w:szCs w:val="20"/>
              </w:rPr>
              <w:t>第三方服务（如有）</w:t>
            </w:r>
          </w:p>
        </w:tc>
        <w:tc>
          <w:tcPr>
            <w:tcW w:w="708" w:type="dxa"/>
            <w:tcMar>
              <w:top w:w="120" w:type="dxa"/>
              <w:left w:w="120" w:type="dxa"/>
              <w:bottom w:w="120" w:type="dxa"/>
              <w:right w:w="120" w:type="dxa"/>
            </w:tcMar>
          </w:tcPr>
          <w:p w14:paraId="6BBAB104">
            <w:pPr>
              <w:widowControl/>
              <w:spacing w:line="240" w:lineRule="auto"/>
              <w:jc w:val="center"/>
              <w:rPr>
                <w:rFonts w:ascii="Times New Roman"/>
                <w:sz w:val="18"/>
                <w:szCs w:val="20"/>
              </w:rPr>
            </w:pPr>
          </w:p>
        </w:tc>
        <w:tc>
          <w:tcPr>
            <w:tcW w:w="709" w:type="dxa"/>
          </w:tcPr>
          <w:p w14:paraId="7425DE69">
            <w:pPr>
              <w:widowControl/>
              <w:spacing w:line="240" w:lineRule="auto"/>
              <w:jc w:val="center"/>
              <w:rPr>
                <w:rFonts w:ascii="Times New Roman"/>
                <w:sz w:val="18"/>
                <w:szCs w:val="20"/>
              </w:rPr>
            </w:pPr>
          </w:p>
        </w:tc>
        <w:tc>
          <w:tcPr>
            <w:tcW w:w="709" w:type="dxa"/>
            <w:tcMar>
              <w:top w:w="120" w:type="dxa"/>
              <w:left w:w="120" w:type="dxa"/>
              <w:bottom w:w="120" w:type="dxa"/>
              <w:right w:w="120" w:type="dxa"/>
            </w:tcMar>
          </w:tcPr>
          <w:p w14:paraId="6BD25B00">
            <w:pPr>
              <w:widowControl/>
              <w:spacing w:line="240" w:lineRule="auto"/>
              <w:jc w:val="center"/>
              <w:rPr>
                <w:rFonts w:ascii="Times New Roman"/>
                <w:sz w:val="18"/>
                <w:szCs w:val="20"/>
              </w:rPr>
            </w:pPr>
          </w:p>
        </w:tc>
        <w:tc>
          <w:tcPr>
            <w:tcW w:w="1134" w:type="dxa"/>
            <w:tcMar>
              <w:top w:w="120" w:type="dxa"/>
              <w:left w:w="120" w:type="dxa"/>
              <w:bottom w:w="120" w:type="dxa"/>
              <w:right w:w="120" w:type="dxa"/>
            </w:tcMar>
          </w:tcPr>
          <w:p w14:paraId="7FFA0EC0">
            <w:pPr>
              <w:widowControl/>
              <w:spacing w:line="240" w:lineRule="auto"/>
              <w:jc w:val="center"/>
              <w:rPr>
                <w:rFonts w:ascii="Times New Roman"/>
                <w:sz w:val="18"/>
                <w:szCs w:val="20"/>
              </w:rPr>
            </w:pPr>
          </w:p>
        </w:tc>
        <w:tc>
          <w:tcPr>
            <w:tcW w:w="2131" w:type="dxa"/>
            <w:tcMar>
              <w:top w:w="120" w:type="dxa"/>
              <w:left w:w="120" w:type="dxa"/>
              <w:bottom w:w="120" w:type="dxa"/>
              <w:right w:w="120" w:type="dxa"/>
            </w:tcMar>
          </w:tcPr>
          <w:p w14:paraId="3714D06A">
            <w:pPr>
              <w:widowControl/>
              <w:spacing w:line="240" w:lineRule="auto"/>
              <w:jc w:val="center"/>
              <w:rPr>
                <w:rFonts w:ascii="Times New Roman"/>
                <w:sz w:val="18"/>
                <w:szCs w:val="20"/>
              </w:rPr>
            </w:pPr>
          </w:p>
        </w:tc>
      </w:tr>
      <w:tr w14:paraId="52C06902">
        <w:trPr>
          <w:trHeight w:val="216" w:hRule="atLeast"/>
        </w:trPr>
        <w:tc>
          <w:tcPr>
            <w:tcW w:w="3256" w:type="dxa"/>
            <w:tcMar>
              <w:top w:w="120" w:type="dxa"/>
              <w:left w:w="120" w:type="dxa"/>
              <w:bottom w:w="120" w:type="dxa"/>
              <w:right w:w="120" w:type="dxa"/>
            </w:tcMar>
          </w:tcPr>
          <w:p w14:paraId="044B902A">
            <w:pPr>
              <w:widowControl/>
              <w:spacing w:line="240" w:lineRule="auto"/>
              <w:rPr>
                <w:rFonts w:ascii="Times New Roman"/>
                <w:b/>
                <w:sz w:val="18"/>
                <w:szCs w:val="20"/>
              </w:rPr>
            </w:pPr>
            <w:r>
              <w:rPr>
                <w:rFonts w:ascii="Times New Roman" w:cs="宋体"/>
                <w:b/>
                <w:sz w:val="18"/>
                <w:szCs w:val="20"/>
              </w:rPr>
              <w:t>输出</w:t>
            </w:r>
          </w:p>
        </w:tc>
        <w:tc>
          <w:tcPr>
            <w:tcW w:w="708" w:type="dxa"/>
            <w:tcMar>
              <w:top w:w="120" w:type="dxa"/>
              <w:left w:w="120" w:type="dxa"/>
              <w:bottom w:w="120" w:type="dxa"/>
              <w:right w:w="120" w:type="dxa"/>
            </w:tcMar>
          </w:tcPr>
          <w:p w14:paraId="61E65207">
            <w:pPr>
              <w:widowControl/>
              <w:spacing w:line="240" w:lineRule="auto"/>
              <w:jc w:val="center"/>
              <w:rPr>
                <w:rFonts w:ascii="Times New Roman"/>
                <w:b/>
                <w:sz w:val="18"/>
                <w:szCs w:val="20"/>
              </w:rPr>
            </w:pPr>
            <w:r>
              <w:rPr>
                <w:rFonts w:ascii="Times New Roman" w:cs="宋体"/>
                <w:b/>
                <w:sz w:val="18"/>
                <w:szCs w:val="20"/>
              </w:rPr>
              <w:t>单位</w:t>
            </w:r>
          </w:p>
        </w:tc>
        <w:tc>
          <w:tcPr>
            <w:tcW w:w="709" w:type="dxa"/>
          </w:tcPr>
          <w:p w14:paraId="5BE5CE47">
            <w:pPr>
              <w:widowControl/>
              <w:spacing w:line="240" w:lineRule="auto"/>
              <w:jc w:val="center"/>
              <w:rPr>
                <w:rFonts w:ascii="Times New Roman"/>
                <w:b/>
                <w:sz w:val="18"/>
                <w:szCs w:val="20"/>
              </w:rPr>
            </w:pPr>
            <w:r>
              <w:rPr>
                <w:rFonts w:ascii="Times New Roman" w:cs="宋体"/>
                <w:b/>
                <w:sz w:val="18"/>
                <w:szCs w:val="20"/>
              </w:rPr>
              <w:t>数量</w:t>
            </w:r>
          </w:p>
        </w:tc>
        <w:tc>
          <w:tcPr>
            <w:tcW w:w="709" w:type="dxa"/>
            <w:tcMar>
              <w:top w:w="120" w:type="dxa"/>
              <w:left w:w="120" w:type="dxa"/>
              <w:bottom w:w="120" w:type="dxa"/>
              <w:right w:w="120" w:type="dxa"/>
            </w:tcMar>
          </w:tcPr>
          <w:p w14:paraId="1A275DAD">
            <w:pPr>
              <w:widowControl/>
              <w:spacing w:line="240" w:lineRule="auto"/>
              <w:jc w:val="center"/>
              <w:rPr>
                <w:rFonts w:ascii="Times New Roman"/>
                <w:b/>
                <w:sz w:val="18"/>
                <w:szCs w:val="20"/>
              </w:rPr>
            </w:pPr>
            <w:r>
              <w:rPr>
                <w:rFonts w:ascii="Times New Roman" w:cs="宋体"/>
                <w:b/>
                <w:sz w:val="18"/>
                <w:szCs w:val="20"/>
              </w:rPr>
              <w:t>运距</w:t>
            </w:r>
          </w:p>
        </w:tc>
        <w:tc>
          <w:tcPr>
            <w:tcW w:w="1134" w:type="dxa"/>
            <w:tcMar>
              <w:top w:w="120" w:type="dxa"/>
              <w:left w:w="120" w:type="dxa"/>
              <w:bottom w:w="120" w:type="dxa"/>
              <w:right w:w="120" w:type="dxa"/>
            </w:tcMar>
          </w:tcPr>
          <w:p w14:paraId="73416E31">
            <w:pPr>
              <w:widowControl/>
              <w:spacing w:line="240" w:lineRule="auto"/>
              <w:jc w:val="center"/>
              <w:rPr>
                <w:rFonts w:ascii="Times New Roman"/>
                <w:b/>
                <w:sz w:val="18"/>
                <w:szCs w:val="20"/>
              </w:rPr>
            </w:pPr>
            <w:r>
              <w:rPr>
                <w:rFonts w:ascii="Times New Roman" w:cs="宋体"/>
                <w:b/>
                <w:sz w:val="18"/>
                <w:szCs w:val="20"/>
              </w:rPr>
              <w:t>运输方式</w:t>
            </w:r>
          </w:p>
        </w:tc>
        <w:tc>
          <w:tcPr>
            <w:tcW w:w="2131" w:type="dxa"/>
            <w:tcMar>
              <w:top w:w="120" w:type="dxa"/>
              <w:left w:w="120" w:type="dxa"/>
              <w:bottom w:w="120" w:type="dxa"/>
              <w:right w:w="120" w:type="dxa"/>
            </w:tcMar>
          </w:tcPr>
          <w:p w14:paraId="302D3E6B">
            <w:pPr>
              <w:widowControl/>
              <w:spacing w:line="240" w:lineRule="auto"/>
              <w:jc w:val="center"/>
              <w:rPr>
                <w:rFonts w:ascii="Times New Roman"/>
                <w:b/>
                <w:sz w:val="18"/>
                <w:szCs w:val="20"/>
              </w:rPr>
            </w:pPr>
            <w:r>
              <w:rPr>
                <w:rFonts w:ascii="Times New Roman" w:cs="宋体"/>
                <w:b/>
                <w:sz w:val="18"/>
                <w:szCs w:val="20"/>
              </w:rPr>
              <w:t>规格、成分</w:t>
            </w:r>
            <w:r>
              <w:rPr>
                <w:rFonts w:ascii="Times New Roman"/>
                <w:b/>
                <w:sz w:val="18"/>
                <w:szCs w:val="20"/>
              </w:rPr>
              <w:t>/</w:t>
            </w:r>
            <w:r>
              <w:rPr>
                <w:rFonts w:ascii="Times New Roman" w:cs="宋体"/>
                <w:b/>
                <w:sz w:val="18"/>
                <w:szCs w:val="20"/>
              </w:rPr>
              <w:t>去向</w:t>
            </w:r>
          </w:p>
        </w:tc>
      </w:tr>
      <w:tr w14:paraId="3147A207">
        <w:trPr>
          <w:trHeight w:val="211" w:hRule="atLeast"/>
        </w:trPr>
        <w:tc>
          <w:tcPr>
            <w:tcW w:w="3256" w:type="dxa"/>
            <w:tcMar>
              <w:top w:w="120" w:type="dxa"/>
              <w:left w:w="120" w:type="dxa"/>
              <w:bottom w:w="120" w:type="dxa"/>
              <w:right w:w="120" w:type="dxa"/>
            </w:tcMar>
          </w:tcPr>
          <w:p w14:paraId="3A895F46">
            <w:pPr>
              <w:widowControl/>
              <w:spacing w:line="240" w:lineRule="auto"/>
              <w:rPr>
                <w:rFonts w:ascii="Times New Roman"/>
                <w:sz w:val="18"/>
                <w:szCs w:val="20"/>
              </w:rPr>
            </w:pPr>
            <w:r>
              <w:rPr>
                <w:rFonts w:hint="eastAsia" w:ascii="Times New Roman" w:cs="宋体"/>
                <w:sz w:val="18"/>
                <w:szCs w:val="20"/>
              </w:rPr>
              <w:t>稀土</w:t>
            </w:r>
            <w:r>
              <w:rPr>
                <w:rFonts w:hint="eastAsia" w:ascii="Times New Roman" w:cs="宋体"/>
                <w:sz w:val="18"/>
                <w:szCs w:val="20"/>
                <w:lang w:eastAsia="zh-CN"/>
              </w:rPr>
              <w:t>精矿</w:t>
            </w:r>
          </w:p>
        </w:tc>
        <w:tc>
          <w:tcPr>
            <w:tcW w:w="708" w:type="dxa"/>
            <w:tcMar>
              <w:top w:w="120" w:type="dxa"/>
              <w:left w:w="120" w:type="dxa"/>
              <w:bottom w:w="120" w:type="dxa"/>
              <w:right w:w="120" w:type="dxa"/>
            </w:tcMar>
          </w:tcPr>
          <w:p w14:paraId="4318C956">
            <w:pPr>
              <w:widowControl/>
              <w:spacing w:line="240" w:lineRule="auto"/>
              <w:rPr>
                <w:rFonts w:ascii="Times New Roman"/>
                <w:sz w:val="18"/>
                <w:szCs w:val="20"/>
              </w:rPr>
            </w:pPr>
          </w:p>
        </w:tc>
        <w:tc>
          <w:tcPr>
            <w:tcW w:w="709" w:type="dxa"/>
          </w:tcPr>
          <w:p w14:paraId="28F0B7F8">
            <w:pPr>
              <w:widowControl/>
              <w:spacing w:line="240" w:lineRule="auto"/>
              <w:rPr>
                <w:rFonts w:ascii="Times New Roman"/>
                <w:sz w:val="18"/>
                <w:szCs w:val="20"/>
              </w:rPr>
            </w:pPr>
          </w:p>
        </w:tc>
        <w:tc>
          <w:tcPr>
            <w:tcW w:w="709" w:type="dxa"/>
            <w:tcMar>
              <w:top w:w="120" w:type="dxa"/>
              <w:left w:w="120" w:type="dxa"/>
              <w:bottom w:w="120" w:type="dxa"/>
              <w:right w:w="120" w:type="dxa"/>
            </w:tcMar>
          </w:tcPr>
          <w:p w14:paraId="35CE62C3">
            <w:pPr>
              <w:widowControl/>
              <w:spacing w:line="240" w:lineRule="auto"/>
              <w:rPr>
                <w:rFonts w:ascii="Times New Roman"/>
                <w:sz w:val="18"/>
                <w:szCs w:val="20"/>
              </w:rPr>
            </w:pPr>
          </w:p>
        </w:tc>
        <w:tc>
          <w:tcPr>
            <w:tcW w:w="1134" w:type="dxa"/>
            <w:tcMar>
              <w:top w:w="120" w:type="dxa"/>
              <w:left w:w="120" w:type="dxa"/>
              <w:bottom w:w="120" w:type="dxa"/>
              <w:right w:w="120" w:type="dxa"/>
            </w:tcMar>
          </w:tcPr>
          <w:p w14:paraId="49AF991F">
            <w:pPr>
              <w:widowControl/>
              <w:spacing w:line="240" w:lineRule="auto"/>
              <w:rPr>
                <w:rFonts w:ascii="Times New Roman"/>
                <w:sz w:val="18"/>
                <w:szCs w:val="20"/>
              </w:rPr>
            </w:pPr>
          </w:p>
        </w:tc>
        <w:tc>
          <w:tcPr>
            <w:tcW w:w="2131" w:type="dxa"/>
            <w:tcMar>
              <w:top w:w="120" w:type="dxa"/>
              <w:left w:w="120" w:type="dxa"/>
              <w:bottom w:w="120" w:type="dxa"/>
              <w:right w:w="120" w:type="dxa"/>
            </w:tcMar>
          </w:tcPr>
          <w:p w14:paraId="709222A2">
            <w:pPr>
              <w:widowControl/>
              <w:spacing w:line="240" w:lineRule="auto"/>
              <w:rPr>
                <w:rFonts w:ascii="Times New Roman"/>
                <w:sz w:val="18"/>
                <w:szCs w:val="20"/>
              </w:rPr>
            </w:pPr>
          </w:p>
        </w:tc>
      </w:tr>
      <w:tr w14:paraId="179BCDC3">
        <w:trPr>
          <w:trHeight w:val="233" w:hRule="atLeast"/>
        </w:trPr>
        <w:tc>
          <w:tcPr>
            <w:tcW w:w="3256" w:type="dxa"/>
            <w:tcMar>
              <w:top w:w="120" w:type="dxa"/>
              <w:left w:w="120" w:type="dxa"/>
              <w:bottom w:w="120" w:type="dxa"/>
              <w:right w:w="120" w:type="dxa"/>
            </w:tcMar>
          </w:tcPr>
          <w:p w14:paraId="241FC614">
            <w:pPr>
              <w:widowControl/>
              <w:spacing w:line="240" w:lineRule="auto"/>
              <w:rPr>
                <w:rFonts w:ascii="Times New Roman"/>
                <w:sz w:val="18"/>
                <w:szCs w:val="20"/>
              </w:rPr>
            </w:pPr>
            <w:r>
              <w:rPr>
                <w:rFonts w:hint="eastAsia" w:ascii="Times New Roman" w:cs="宋体"/>
                <w:sz w:val="18"/>
                <w:szCs w:val="20"/>
                <w:lang w:val="zh-CN" w:eastAsia="zh-CN"/>
              </w:rPr>
              <w:t>尾矿（如有）</w:t>
            </w:r>
          </w:p>
        </w:tc>
        <w:tc>
          <w:tcPr>
            <w:tcW w:w="708" w:type="dxa"/>
            <w:tcMar>
              <w:top w:w="120" w:type="dxa"/>
              <w:left w:w="120" w:type="dxa"/>
              <w:bottom w:w="120" w:type="dxa"/>
              <w:right w:w="120" w:type="dxa"/>
            </w:tcMar>
          </w:tcPr>
          <w:p w14:paraId="71FEB771">
            <w:pPr>
              <w:widowControl/>
              <w:spacing w:line="240" w:lineRule="auto"/>
              <w:rPr>
                <w:rFonts w:ascii="Times New Roman"/>
                <w:sz w:val="18"/>
                <w:szCs w:val="20"/>
              </w:rPr>
            </w:pPr>
          </w:p>
        </w:tc>
        <w:tc>
          <w:tcPr>
            <w:tcW w:w="709" w:type="dxa"/>
          </w:tcPr>
          <w:p w14:paraId="53D06382">
            <w:pPr>
              <w:widowControl/>
              <w:spacing w:line="240" w:lineRule="auto"/>
              <w:rPr>
                <w:rFonts w:ascii="Times New Roman"/>
                <w:sz w:val="18"/>
                <w:szCs w:val="20"/>
              </w:rPr>
            </w:pPr>
          </w:p>
        </w:tc>
        <w:tc>
          <w:tcPr>
            <w:tcW w:w="709" w:type="dxa"/>
            <w:tcMar>
              <w:top w:w="120" w:type="dxa"/>
              <w:left w:w="120" w:type="dxa"/>
              <w:bottom w:w="120" w:type="dxa"/>
              <w:right w:w="120" w:type="dxa"/>
            </w:tcMar>
          </w:tcPr>
          <w:p w14:paraId="7C865CFF">
            <w:pPr>
              <w:widowControl/>
              <w:spacing w:line="240" w:lineRule="auto"/>
              <w:rPr>
                <w:rFonts w:ascii="Times New Roman"/>
                <w:sz w:val="18"/>
                <w:szCs w:val="20"/>
              </w:rPr>
            </w:pPr>
          </w:p>
        </w:tc>
        <w:tc>
          <w:tcPr>
            <w:tcW w:w="1134" w:type="dxa"/>
            <w:tcMar>
              <w:top w:w="120" w:type="dxa"/>
              <w:left w:w="120" w:type="dxa"/>
              <w:bottom w:w="120" w:type="dxa"/>
              <w:right w:w="120" w:type="dxa"/>
            </w:tcMar>
          </w:tcPr>
          <w:p w14:paraId="49AA9C9F">
            <w:pPr>
              <w:widowControl/>
              <w:spacing w:line="240" w:lineRule="auto"/>
              <w:rPr>
                <w:rFonts w:ascii="Times New Roman"/>
                <w:sz w:val="18"/>
                <w:szCs w:val="20"/>
              </w:rPr>
            </w:pPr>
          </w:p>
        </w:tc>
        <w:tc>
          <w:tcPr>
            <w:tcW w:w="2131" w:type="dxa"/>
            <w:tcMar>
              <w:top w:w="120" w:type="dxa"/>
              <w:left w:w="120" w:type="dxa"/>
              <w:bottom w:w="120" w:type="dxa"/>
              <w:right w:w="120" w:type="dxa"/>
            </w:tcMar>
          </w:tcPr>
          <w:p w14:paraId="31474E83">
            <w:pPr>
              <w:widowControl/>
              <w:spacing w:line="240" w:lineRule="auto"/>
              <w:rPr>
                <w:rFonts w:ascii="Times New Roman"/>
                <w:sz w:val="18"/>
                <w:szCs w:val="20"/>
              </w:rPr>
            </w:pPr>
          </w:p>
        </w:tc>
      </w:tr>
      <w:tr w14:paraId="56593432">
        <w:trPr>
          <w:trHeight w:val="240" w:hRule="atLeast"/>
        </w:trPr>
        <w:tc>
          <w:tcPr>
            <w:tcW w:w="3256" w:type="dxa"/>
            <w:tcMar>
              <w:top w:w="120" w:type="dxa"/>
              <w:left w:w="120" w:type="dxa"/>
              <w:bottom w:w="120" w:type="dxa"/>
              <w:right w:w="120" w:type="dxa"/>
            </w:tcMar>
          </w:tcPr>
          <w:p w14:paraId="4F3160F8">
            <w:pPr>
              <w:widowControl/>
              <w:spacing w:line="240" w:lineRule="auto"/>
              <w:rPr>
                <w:rFonts w:ascii="Times New Roman"/>
                <w:sz w:val="18"/>
                <w:szCs w:val="20"/>
                <w:lang w:eastAsia="zh-CN"/>
              </w:rPr>
            </w:pPr>
            <w:r>
              <w:rPr>
                <w:rFonts w:hint="eastAsia" w:ascii="Times New Roman" w:cs="宋体"/>
                <w:sz w:val="18"/>
                <w:szCs w:val="20"/>
                <w:lang w:val="zh-CN" w:eastAsia="zh-CN"/>
              </w:rPr>
              <w:t>温室气体直接排放（燃料燃烧）</w:t>
            </w:r>
          </w:p>
        </w:tc>
        <w:tc>
          <w:tcPr>
            <w:tcW w:w="708" w:type="dxa"/>
            <w:tcMar>
              <w:top w:w="120" w:type="dxa"/>
              <w:left w:w="120" w:type="dxa"/>
              <w:bottom w:w="120" w:type="dxa"/>
              <w:right w:w="120" w:type="dxa"/>
            </w:tcMar>
          </w:tcPr>
          <w:p w14:paraId="3461ED99">
            <w:pPr>
              <w:widowControl/>
              <w:spacing w:line="240" w:lineRule="auto"/>
              <w:rPr>
                <w:rFonts w:ascii="Times New Roman"/>
                <w:sz w:val="18"/>
                <w:szCs w:val="20"/>
                <w:lang w:eastAsia="zh-CN"/>
              </w:rPr>
            </w:pPr>
          </w:p>
        </w:tc>
        <w:tc>
          <w:tcPr>
            <w:tcW w:w="709" w:type="dxa"/>
          </w:tcPr>
          <w:p w14:paraId="2BE4E8D1">
            <w:pPr>
              <w:widowControl/>
              <w:spacing w:line="240" w:lineRule="auto"/>
              <w:rPr>
                <w:rFonts w:ascii="Times New Roman"/>
                <w:sz w:val="18"/>
                <w:szCs w:val="20"/>
                <w:lang w:eastAsia="zh-CN"/>
              </w:rPr>
            </w:pPr>
          </w:p>
        </w:tc>
        <w:tc>
          <w:tcPr>
            <w:tcW w:w="709" w:type="dxa"/>
            <w:tcMar>
              <w:top w:w="120" w:type="dxa"/>
              <w:left w:w="120" w:type="dxa"/>
              <w:bottom w:w="120" w:type="dxa"/>
              <w:right w:w="120" w:type="dxa"/>
            </w:tcMar>
          </w:tcPr>
          <w:p w14:paraId="07C4526D">
            <w:pPr>
              <w:widowControl/>
              <w:spacing w:line="240" w:lineRule="auto"/>
              <w:rPr>
                <w:rFonts w:ascii="Times New Roman"/>
                <w:sz w:val="18"/>
                <w:szCs w:val="20"/>
                <w:lang w:eastAsia="zh-CN"/>
              </w:rPr>
            </w:pPr>
          </w:p>
        </w:tc>
        <w:tc>
          <w:tcPr>
            <w:tcW w:w="1134" w:type="dxa"/>
            <w:tcMar>
              <w:top w:w="120" w:type="dxa"/>
              <w:left w:w="120" w:type="dxa"/>
              <w:bottom w:w="120" w:type="dxa"/>
              <w:right w:w="120" w:type="dxa"/>
            </w:tcMar>
          </w:tcPr>
          <w:p w14:paraId="119AD16E">
            <w:pPr>
              <w:widowControl/>
              <w:spacing w:line="240" w:lineRule="auto"/>
              <w:rPr>
                <w:rFonts w:ascii="Times New Roman"/>
                <w:sz w:val="18"/>
                <w:szCs w:val="20"/>
                <w:lang w:eastAsia="zh-CN"/>
              </w:rPr>
            </w:pPr>
          </w:p>
        </w:tc>
        <w:tc>
          <w:tcPr>
            <w:tcW w:w="2131" w:type="dxa"/>
            <w:tcMar>
              <w:top w:w="120" w:type="dxa"/>
              <w:left w:w="120" w:type="dxa"/>
              <w:bottom w:w="120" w:type="dxa"/>
              <w:right w:w="120" w:type="dxa"/>
            </w:tcMar>
          </w:tcPr>
          <w:p w14:paraId="7B61146B">
            <w:pPr>
              <w:widowControl/>
              <w:spacing w:line="240" w:lineRule="auto"/>
              <w:rPr>
                <w:rFonts w:ascii="Times New Roman"/>
                <w:sz w:val="18"/>
                <w:szCs w:val="20"/>
                <w:lang w:eastAsia="zh-CN"/>
              </w:rPr>
            </w:pPr>
          </w:p>
        </w:tc>
      </w:tr>
      <w:tr w14:paraId="5C19FB8B">
        <w:trPr>
          <w:trHeight w:val="585" w:hRule="atLeast"/>
        </w:trPr>
        <w:tc>
          <w:tcPr>
            <w:tcW w:w="8647" w:type="dxa"/>
            <w:gridSpan w:val="6"/>
            <w:tcMar>
              <w:top w:w="120" w:type="dxa"/>
              <w:left w:w="120" w:type="dxa"/>
              <w:bottom w:w="120" w:type="dxa"/>
              <w:right w:w="120" w:type="dxa"/>
            </w:tcMar>
          </w:tcPr>
          <w:p w14:paraId="37344E96">
            <w:pPr>
              <w:widowControl/>
              <w:spacing w:after="0" w:line="240" w:lineRule="auto"/>
              <w:rPr>
                <w:rFonts w:ascii="黑体" w:hAnsi="黑体" w:eastAsia="黑体"/>
                <w:sz w:val="18"/>
                <w:szCs w:val="20"/>
                <w:lang w:eastAsia="zh-CN"/>
              </w:rPr>
            </w:pPr>
            <w:r>
              <w:rPr>
                <w:rFonts w:ascii="黑体" w:hAnsi="黑体" w:eastAsia="黑体" w:cs="宋体"/>
                <w:sz w:val="18"/>
                <w:szCs w:val="20"/>
                <w:lang w:eastAsia="zh-CN"/>
              </w:rPr>
              <w:t>注</w:t>
            </w:r>
            <w:r>
              <w:rPr>
                <w:rFonts w:ascii="黑体" w:hAnsi="黑体" w:eastAsia="黑体"/>
                <w:sz w:val="18"/>
                <w:szCs w:val="20"/>
                <w:lang w:eastAsia="zh-CN"/>
              </w:rPr>
              <w:t>1</w:t>
            </w:r>
            <w:r>
              <w:rPr>
                <w:rFonts w:ascii="黑体" w:hAnsi="黑体" w:eastAsia="黑体" w:cs="宋体"/>
                <w:sz w:val="18"/>
                <w:szCs w:val="20"/>
                <w:lang w:eastAsia="zh-CN"/>
              </w:rPr>
              <w:t>：此数据收集表中的数据是指规定时间段内所有未分配的输入和输出。</w:t>
            </w:r>
          </w:p>
          <w:p w14:paraId="6CB7A3F6">
            <w:pPr>
              <w:widowControl/>
              <w:spacing w:after="0" w:line="240" w:lineRule="auto"/>
              <w:rPr>
                <w:rFonts w:ascii="黑体" w:hAnsi="黑体" w:eastAsia="黑体"/>
                <w:sz w:val="18"/>
                <w:szCs w:val="20"/>
                <w:lang w:eastAsia="zh-CN"/>
              </w:rPr>
            </w:pPr>
            <w:r>
              <w:rPr>
                <w:rFonts w:ascii="黑体" w:hAnsi="黑体" w:eastAsia="黑体" w:cs="宋体"/>
                <w:sz w:val="18"/>
                <w:szCs w:val="20"/>
                <w:lang w:eastAsia="zh-CN"/>
              </w:rPr>
              <w:t>注</w:t>
            </w:r>
            <w:r>
              <w:rPr>
                <w:rFonts w:ascii="黑体" w:hAnsi="黑体" w:eastAsia="黑体"/>
                <w:sz w:val="18"/>
                <w:szCs w:val="20"/>
                <w:lang w:eastAsia="zh-CN"/>
              </w:rPr>
              <w:t>2</w:t>
            </w:r>
            <w:r>
              <w:rPr>
                <w:rFonts w:ascii="黑体" w:hAnsi="黑体" w:eastAsia="黑体" w:cs="宋体"/>
                <w:sz w:val="18"/>
                <w:szCs w:val="20"/>
                <w:lang w:eastAsia="zh-CN"/>
              </w:rPr>
              <w:t>：燃料和热力以热量单位表示。</w:t>
            </w:r>
          </w:p>
        </w:tc>
      </w:tr>
    </w:tbl>
    <w:p w14:paraId="040456A7">
      <w:pPr>
        <w:widowControl/>
        <w:spacing w:after="0" w:line="240" w:lineRule="auto"/>
        <w:rPr>
          <w:rFonts w:ascii="Times New Roman" w:hAnsi="Times New Roman" w:eastAsia="宋体" w:cs="Times New Roman"/>
          <w:kern w:val="2"/>
          <w:sz w:val="21"/>
          <w:szCs w:val="24"/>
          <w:lang w:eastAsia="zh-CN"/>
        </w:rPr>
      </w:pPr>
    </w:p>
    <w:p w14:paraId="1493132D">
      <w:pPr>
        <w:adjustRightInd w:val="0"/>
        <w:snapToGrid w:val="0"/>
        <w:spacing w:after="0" w:line="360" w:lineRule="auto"/>
        <w:jc w:val="center"/>
        <w:rPr>
          <w:rFonts w:ascii="黑体" w:hAnsi="黑体" w:eastAsia="黑体" w:cs="Times New Roman"/>
          <w:kern w:val="2"/>
          <w:sz w:val="18"/>
          <w:szCs w:val="18"/>
          <w:lang w:eastAsia="zh-CN"/>
        </w:rPr>
      </w:pPr>
      <w:r>
        <w:rPr>
          <w:rFonts w:ascii="Times New Roman" w:hAnsi="Times New Roman" w:eastAsia="宋体" w:cs="Times New Roman"/>
          <w:kern w:val="2"/>
          <w:sz w:val="21"/>
          <w:szCs w:val="24"/>
          <w:lang w:eastAsia="zh-CN"/>
        </w:rPr>
        <w:br w:type="page"/>
      </w:r>
      <w:r>
        <w:rPr>
          <w:rFonts w:hint="eastAsia" w:ascii="黑体" w:hAnsi="黑体" w:eastAsia="黑体" w:cs="Times New Roman"/>
          <w:kern w:val="2"/>
          <w:sz w:val="18"/>
          <w:szCs w:val="18"/>
          <w:lang w:eastAsia="zh-CN"/>
        </w:rPr>
        <w:t>表C.3 二次资源回收单元输入、输出数据收集表</w:t>
      </w:r>
    </w:p>
    <w:tbl>
      <w:tblPr>
        <w:tblStyle w:val="13"/>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256"/>
        <w:gridCol w:w="708"/>
        <w:gridCol w:w="709"/>
        <w:gridCol w:w="709"/>
        <w:gridCol w:w="1134"/>
        <w:gridCol w:w="2131"/>
      </w:tblGrid>
      <w:tr w14:paraId="6471BCC3">
        <w:trPr>
          <w:trHeight w:val="585" w:hRule="atLeast"/>
        </w:trPr>
        <w:tc>
          <w:tcPr>
            <w:tcW w:w="8647" w:type="dxa"/>
            <w:gridSpan w:val="6"/>
            <w:tcMar>
              <w:top w:w="120" w:type="dxa"/>
              <w:left w:w="120" w:type="dxa"/>
              <w:bottom w:w="120" w:type="dxa"/>
              <w:right w:w="120" w:type="dxa"/>
            </w:tcMar>
          </w:tcPr>
          <w:p w14:paraId="6953590C">
            <w:pPr>
              <w:widowControl/>
              <w:spacing w:line="240" w:lineRule="auto"/>
              <w:rPr>
                <w:rFonts w:ascii="Times New Roman"/>
                <w:sz w:val="18"/>
                <w:szCs w:val="20"/>
                <w:lang w:eastAsia="zh-CN"/>
              </w:rPr>
            </w:pPr>
            <w:r>
              <w:rPr>
                <w:rFonts w:ascii="Times New Roman" w:cs="宋体"/>
                <w:sz w:val="18"/>
                <w:szCs w:val="20"/>
                <w:lang w:eastAsia="zh-CN"/>
              </w:rPr>
              <w:t>单元过程及统计口径描述：</w:t>
            </w:r>
          </w:p>
          <w:p w14:paraId="3D8C1EF1">
            <w:pPr>
              <w:widowControl/>
              <w:spacing w:line="240" w:lineRule="auto"/>
              <w:rPr>
                <w:rFonts w:ascii="Times New Roman"/>
                <w:sz w:val="18"/>
                <w:szCs w:val="20"/>
                <w:lang w:eastAsia="zh-CN"/>
              </w:rPr>
            </w:pPr>
            <w:r>
              <w:rPr>
                <w:rFonts w:ascii="Times New Roman" w:cs="宋体"/>
                <w:sz w:val="18"/>
                <w:szCs w:val="20"/>
                <w:lang w:eastAsia="zh-CN"/>
              </w:rPr>
              <w:t>时间段：起始时间</w:t>
            </w:r>
            <w:r>
              <w:rPr>
                <w:rFonts w:ascii="Times New Roman"/>
                <w:sz w:val="18"/>
                <w:szCs w:val="20"/>
                <w:lang w:eastAsia="zh-CN"/>
              </w:rPr>
              <w:t xml:space="preserve">      </w:t>
            </w:r>
            <w:r>
              <w:rPr>
                <w:rFonts w:ascii="Times New Roman" w:cs="宋体"/>
                <w:sz w:val="18"/>
                <w:szCs w:val="20"/>
                <w:lang w:eastAsia="zh-CN"/>
              </w:rPr>
              <w:t>年</w:t>
            </w:r>
            <w:r>
              <w:rPr>
                <w:rFonts w:ascii="Times New Roman"/>
                <w:sz w:val="18"/>
                <w:szCs w:val="20"/>
                <w:lang w:eastAsia="zh-CN"/>
              </w:rPr>
              <w:t xml:space="preserve">  </w:t>
            </w:r>
            <w:r>
              <w:rPr>
                <w:rFonts w:ascii="Times New Roman" w:cs="宋体"/>
                <w:sz w:val="18"/>
                <w:szCs w:val="20"/>
                <w:lang w:eastAsia="zh-CN"/>
              </w:rPr>
              <w:t>月</w:t>
            </w:r>
            <w:r>
              <w:rPr>
                <w:rFonts w:ascii="Times New Roman"/>
                <w:sz w:val="18"/>
                <w:szCs w:val="20"/>
                <w:lang w:eastAsia="zh-CN"/>
              </w:rPr>
              <w:t xml:space="preserve">   </w:t>
            </w:r>
            <w:r>
              <w:rPr>
                <w:rFonts w:ascii="Times New Roman" w:cs="宋体"/>
                <w:sz w:val="18"/>
                <w:szCs w:val="20"/>
                <w:lang w:eastAsia="zh-CN"/>
              </w:rPr>
              <w:t>日；终止时间</w:t>
            </w:r>
            <w:r>
              <w:rPr>
                <w:rFonts w:ascii="Times New Roman"/>
                <w:sz w:val="18"/>
                <w:szCs w:val="20"/>
                <w:lang w:eastAsia="zh-CN"/>
              </w:rPr>
              <w:t xml:space="preserve">      </w:t>
            </w:r>
            <w:r>
              <w:rPr>
                <w:rFonts w:ascii="Times New Roman" w:cs="宋体"/>
                <w:sz w:val="18"/>
                <w:szCs w:val="20"/>
                <w:lang w:eastAsia="zh-CN"/>
              </w:rPr>
              <w:t>年</w:t>
            </w:r>
            <w:r>
              <w:rPr>
                <w:rFonts w:ascii="Times New Roman"/>
                <w:sz w:val="18"/>
                <w:szCs w:val="20"/>
                <w:lang w:eastAsia="zh-CN"/>
              </w:rPr>
              <w:t xml:space="preserve">  </w:t>
            </w:r>
            <w:r>
              <w:rPr>
                <w:rFonts w:ascii="Times New Roman" w:cs="宋体"/>
                <w:sz w:val="18"/>
                <w:szCs w:val="20"/>
                <w:lang w:eastAsia="zh-CN"/>
              </w:rPr>
              <w:t>月</w:t>
            </w:r>
            <w:r>
              <w:rPr>
                <w:rFonts w:ascii="Times New Roman"/>
                <w:sz w:val="18"/>
                <w:szCs w:val="20"/>
                <w:lang w:eastAsia="zh-CN"/>
              </w:rPr>
              <w:t xml:space="preserve">  </w:t>
            </w:r>
            <w:r>
              <w:rPr>
                <w:rFonts w:ascii="Times New Roman" w:cs="宋体"/>
                <w:sz w:val="18"/>
                <w:szCs w:val="20"/>
                <w:lang w:eastAsia="zh-CN"/>
              </w:rPr>
              <w:t>日</w:t>
            </w:r>
          </w:p>
          <w:p w14:paraId="438BC783">
            <w:pPr>
              <w:widowControl/>
              <w:spacing w:line="240" w:lineRule="auto"/>
              <w:rPr>
                <w:rFonts w:ascii="Times New Roman"/>
                <w:sz w:val="18"/>
                <w:szCs w:val="20"/>
              </w:rPr>
            </w:pPr>
            <w:r>
              <w:rPr>
                <w:rFonts w:ascii="Times New Roman" w:cs="宋体"/>
                <w:sz w:val="18"/>
                <w:szCs w:val="20"/>
              </w:rPr>
              <w:t>制表人：</w:t>
            </w:r>
            <w:r>
              <w:rPr>
                <w:rFonts w:ascii="Times New Roman"/>
                <w:sz w:val="18"/>
                <w:szCs w:val="20"/>
              </w:rPr>
              <w:t xml:space="preserve">                </w:t>
            </w:r>
            <w:r>
              <w:rPr>
                <w:rFonts w:ascii="Times New Roman" w:cs="宋体"/>
                <w:sz w:val="18"/>
                <w:szCs w:val="20"/>
              </w:rPr>
              <w:t>制表日期：</w:t>
            </w:r>
          </w:p>
        </w:tc>
      </w:tr>
      <w:tr w14:paraId="359B435A">
        <w:trPr>
          <w:trHeight w:val="205" w:hRule="atLeast"/>
        </w:trPr>
        <w:tc>
          <w:tcPr>
            <w:tcW w:w="3256" w:type="dxa"/>
            <w:tcMar>
              <w:top w:w="120" w:type="dxa"/>
              <w:left w:w="120" w:type="dxa"/>
              <w:bottom w:w="120" w:type="dxa"/>
              <w:right w:w="120" w:type="dxa"/>
            </w:tcMar>
          </w:tcPr>
          <w:p w14:paraId="7A636C50">
            <w:pPr>
              <w:widowControl/>
              <w:spacing w:line="240" w:lineRule="auto"/>
              <w:rPr>
                <w:rFonts w:ascii="Times New Roman"/>
                <w:b/>
                <w:sz w:val="18"/>
                <w:szCs w:val="20"/>
              </w:rPr>
            </w:pPr>
            <w:r>
              <w:rPr>
                <w:rFonts w:ascii="Times New Roman" w:cs="宋体"/>
                <w:b/>
                <w:sz w:val="18"/>
                <w:szCs w:val="20"/>
              </w:rPr>
              <w:t>输入</w:t>
            </w:r>
          </w:p>
        </w:tc>
        <w:tc>
          <w:tcPr>
            <w:tcW w:w="708" w:type="dxa"/>
            <w:tcMar>
              <w:top w:w="120" w:type="dxa"/>
              <w:left w:w="120" w:type="dxa"/>
              <w:bottom w:w="120" w:type="dxa"/>
              <w:right w:w="120" w:type="dxa"/>
            </w:tcMar>
          </w:tcPr>
          <w:p w14:paraId="533F3358">
            <w:pPr>
              <w:widowControl/>
              <w:spacing w:line="240" w:lineRule="auto"/>
              <w:jc w:val="center"/>
              <w:rPr>
                <w:rFonts w:ascii="Times New Roman"/>
                <w:b/>
                <w:sz w:val="18"/>
                <w:szCs w:val="20"/>
              </w:rPr>
            </w:pPr>
            <w:r>
              <w:rPr>
                <w:rFonts w:ascii="Times New Roman" w:cs="宋体"/>
                <w:b/>
                <w:sz w:val="18"/>
                <w:szCs w:val="20"/>
              </w:rPr>
              <w:t>单位</w:t>
            </w:r>
          </w:p>
        </w:tc>
        <w:tc>
          <w:tcPr>
            <w:tcW w:w="709" w:type="dxa"/>
          </w:tcPr>
          <w:p w14:paraId="3AA1A198">
            <w:pPr>
              <w:widowControl/>
              <w:spacing w:line="240" w:lineRule="auto"/>
              <w:jc w:val="center"/>
              <w:rPr>
                <w:rFonts w:ascii="Times New Roman"/>
                <w:b/>
                <w:sz w:val="18"/>
                <w:szCs w:val="20"/>
              </w:rPr>
            </w:pPr>
            <w:r>
              <w:rPr>
                <w:rFonts w:ascii="Times New Roman" w:cs="宋体"/>
                <w:b/>
                <w:sz w:val="18"/>
                <w:szCs w:val="20"/>
              </w:rPr>
              <w:t>数量</w:t>
            </w:r>
          </w:p>
        </w:tc>
        <w:tc>
          <w:tcPr>
            <w:tcW w:w="709" w:type="dxa"/>
            <w:tcMar>
              <w:top w:w="120" w:type="dxa"/>
              <w:left w:w="120" w:type="dxa"/>
              <w:bottom w:w="120" w:type="dxa"/>
              <w:right w:w="120" w:type="dxa"/>
            </w:tcMar>
          </w:tcPr>
          <w:p w14:paraId="65C109E6">
            <w:pPr>
              <w:widowControl/>
              <w:spacing w:line="240" w:lineRule="auto"/>
              <w:jc w:val="center"/>
              <w:rPr>
                <w:rFonts w:ascii="Times New Roman"/>
                <w:b/>
                <w:sz w:val="18"/>
                <w:szCs w:val="20"/>
              </w:rPr>
            </w:pPr>
            <w:r>
              <w:rPr>
                <w:rFonts w:ascii="Times New Roman" w:cs="宋体"/>
                <w:b/>
                <w:sz w:val="18"/>
                <w:szCs w:val="20"/>
              </w:rPr>
              <w:t>运距</w:t>
            </w:r>
          </w:p>
        </w:tc>
        <w:tc>
          <w:tcPr>
            <w:tcW w:w="1134" w:type="dxa"/>
            <w:tcMar>
              <w:top w:w="120" w:type="dxa"/>
              <w:left w:w="120" w:type="dxa"/>
              <w:bottom w:w="120" w:type="dxa"/>
              <w:right w:w="120" w:type="dxa"/>
            </w:tcMar>
          </w:tcPr>
          <w:p w14:paraId="39A5B9E9">
            <w:pPr>
              <w:widowControl/>
              <w:spacing w:line="240" w:lineRule="auto"/>
              <w:jc w:val="center"/>
              <w:rPr>
                <w:rFonts w:ascii="Times New Roman"/>
                <w:b/>
                <w:sz w:val="18"/>
                <w:szCs w:val="20"/>
              </w:rPr>
            </w:pPr>
            <w:r>
              <w:rPr>
                <w:rFonts w:ascii="Times New Roman" w:cs="宋体"/>
                <w:b/>
                <w:sz w:val="18"/>
                <w:szCs w:val="20"/>
              </w:rPr>
              <w:t>运输方式</w:t>
            </w:r>
          </w:p>
        </w:tc>
        <w:tc>
          <w:tcPr>
            <w:tcW w:w="2131" w:type="dxa"/>
            <w:tcMar>
              <w:top w:w="120" w:type="dxa"/>
              <w:left w:w="120" w:type="dxa"/>
              <w:bottom w:w="120" w:type="dxa"/>
              <w:right w:w="120" w:type="dxa"/>
            </w:tcMar>
          </w:tcPr>
          <w:p w14:paraId="25D9F511">
            <w:pPr>
              <w:widowControl/>
              <w:spacing w:line="240" w:lineRule="auto"/>
              <w:jc w:val="center"/>
              <w:rPr>
                <w:rFonts w:ascii="Times New Roman"/>
                <w:b/>
                <w:sz w:val="18"/>
                <w:szCs w:val="20"/>
              </w:rPr>
            </w:pPr>
            <w:r>
              <w:rPr>
                <w:rFonts w:ascii="Times New Roman" w:cs="宋体"/>
                <w:b/>
                <w:sz w:val="18"/>
                <w:szCs w:val="20"/>
              </w:rPr>
              <w:t>规格、成分</w:t>
            </w:r>
            <w:r>
              <w:rPr>
                <w:rFonts w:ascii="Times New Roman"/>
                <w:b/>
                <w:sz w:val="18"/>
                <w:szCs w:val="20"/>
              </w:rPr>
              <w:t>/</w:t>
            </w:r>
            <w:r>
              <w:rPr>
                <w:rFonts w:ascii="Times New Roman" w:cs="宋体"/>
                <w:b/>
                <w:sz w:val="18"/>
                <w:szCs w:val="20"/>
              </w:rPr>
              <w:t>来源</w:t>
            </w:r>
          </w:p>
        </w:tc>
      </w:tr>
      <w:tr w14:paraId="49545556">
        <w:trPr>
          <w:trHeight w:val="57" w:hRule="atLeast"/>
        </w:trPr>
        <w:tc>
          <w:tcPr>
            <w:tcW w:w="3256" w:type="dxa"/>
            <w:tcMar>
              <w:top w:w="120" w:type="dxa"/>
              <w:left w:w="120" w:type="dxa"/>
              <w:bottom w:w="120" w:type="dxa"/>
              <w:right w:w="120" w:type="dxa"/>
            </w:tcMar>
          </w:tcPr>
          <w:p w14:paraId="207393B0">
            <w:pPr>
              <w:widowControl/>
              <w:spacing w:line="240" w:lineRule="auto"/>
              <w:rPr>
                <w:rFonts w:ascii="Times New Roman"/>
                <w:sz w:val="18"/>
                <w:szCs w:val="20"/>
                <w:lang w:eastAsia="zh-CN"/>
              </w:rPr>
            </w:pPr>
            <w:r>
              <w:rPr>
                <w:rFonts w:hint="eastAsia" w:ascii="Times New Roman" w:cs="宋体"/>
                <w:sz w:val="18"/>
                <w:szCs w:val="18"/>
                <w:lang w:eastAsia="zh-CN"/>
              </w:rPr>
              <w:t>二次资源回收料</w:t>
            </w:r>
          </w:p>
        </w:tc>
        <w:tc>
          <w:tcPr>
            <w:tcW w:w="708" w:type="dxa"/>
            <w:tcMar>
              <w:top w:w="120" w:type="dxa"/>
              <w:left w:w="120" w:type="dxa"/>
              <w:bottom w:w="120" w:type="dxa"/>
              <w:right w:w="120" w:type="dxa"/>
            </w:tcMar>
          </w:tcPr>
          <w:p w14:paraId="0CF57F10">
            <w:pPr>
              <w:widowControl/>
              <w:spacing w:line="240" w:lineRule="auto"/>
              <w:jc w:val="center"/>
              <w:rPr>
                <w:rFonts w:ascii="Times New Roman"/>
                <w:sz w:val="18"/>
                <w:szCs w:val="20"/>
              </w:rPr>
            </w:pPr>
          </w:p>
        </w:tc>
        <w:tc>
          <w:tcPr>
            <w:tcW w:w="709" w:type="dxa"/>
          </w:tcPr>
          <w:p w14:paraId="41183E29">
            <w:pPr>
              <w:widowControl/>
              <w:spacing w:line="240" w:lineRule="auto"/>
              <w:jc w:val="center"/>
              <w:rPr>
                <w:rFonts w:ascii="Times New Roman"/>
                <w:sz w:val="18"/>
                <w:szCs w:val="20"/>
              </w:rPr>
            </w:pPr>
          </w:p>
        </w:tc>
        <w:tc>
          <w:tcPr>
            <w:tcW w:w="709" w:type="dxa"/>
            <w:tcMar>
              <w:top w:w="120" w:type="dxa"/>
              <w:left w:w="120" w:type="dxa"/>
              <w:bottom w:w="120" w:type="dxa"/>
              <w:right w:w="120" w:type="dxa"/>
            </w:tcMar>
          </w:tcPr>
          <w:p w14:paraId="5A159152">
            <w:pPr>
              <w:widowControl/>
              <w:spacing w:line="240" w:lineRule="auto"/>
              <w:jc w:val="center"/>
              <w:rPr>
                <w:rFonts w:ascii="Times New Roman"/>
                <w:sz w:val="18"/>
                <w:szCs w:val="20"/>
              </w:rPr>
            </w:pPr>
          </w:p>
        </w:tc>
        <w:tc>
          <w:tcPr>
            <w:tcW w:w="1134" w:type="dxa"/>
            <w:tcMar>
              <w:top w:w="120" w:type="dxa"/>
              <w:left w:w="120" w:type="dxa"/>
              <w:bottom w:w="120" w:type="dxa"/>
              <w:right w:w="120" w:type="dxa"/>
            </w:tcMar>
          </w:tcPr>
          <w:p w14:paraId="0874DC3F">
            <w:pPr>
              <w:widowControl/>
              <w:spacing w:line="240" w:lineRule="auto"/>
              <w:jc w:val="center"/>
              <w:rPr>
                <w:rFonts w:ascii="Times New Roman"/>
                <w:sz w:val="18"/>
                <w:szCs w:val="20"/>
              </w:rPr>
            </w:pPr>
          </w:p>
        </w:tc>
        <w:tc>
          <w:tcPr>
            <w:tcW w:w="2131" w:type="dxa"/>
            <w:tcMar>
              <w:top w:w="120" w:type="dxa"/>
              <w:left w:w="120" w:type="dxa"/>
              <w:bottom w:w="120" w:type="dxa"/>
              <w:right w:w="120" w:type="dxa"/>
            </w:tcMar>
          </w:tcPr>
          <w:p w14:paraId="06320E1E">
            <w:pPr>
              <w:widowControl/>
              <w:spacing w:line="240" w:lineRule="auto"/>
              <w:jc w:val="center"/>
              <w:rPr>
                <w:rFonts w:ascii="Times New Roman"/>
                <w:sz w:val="18"/>
                <w:szCs w:val="20"/>
              </w:rPr>
            </w:pPr>
          </w:p>
        </w:tc>
      </w:tr>
      <w:tr w14:paraId="29C798FB">
        <w:trPr>
          <w:trHeight w:val="79" w:hRule="atLeast"/>
        </w:trPr>
        <w:tc>
          <w:tcPr>
            <w:tcW w:w="3256" w:type="dxa"/>
            <w:tcMar>
              <w:top w:w="120" w:type="dxa"/>
              <w:left w:w="120" w:type="dxa"/>
              <w:bottom w:w="120" w:type="dxa"/>
              <w:right w:w="120" w:type="dxa"/>
            </w:tcMar>
          </w:tcPr>
          <w:p w14:paraId="435AA62C">
            <w:pPr>
              <w:widowControl/>
              <w:spacing w:line="240" w:lineRule="auto"/>
              <w:rPr>
                <w:rFonts w:ascii="Times New Roman" w:cs="宋体"/>
                <w:sz w:val="18"/>
                <w:szCs w:val="20"/>
                <w:lang w:eastAsia="zh-CN"/>
              </w:rPr>
            </w:pPr>
            <w:r>
              <w:rPr>
                <w:rFonts w:hint="eastAsia" w:ascii="Times New Roman" w:cs="宋体"/>
                <w:sz w:val="18"/>
                <w:szCs w:val="20"/>
                <w:lang w:eastAsia="zh-CN"/>
              </w:rPr>
              <w:t>辅助材料</w:t>
            </w:r>
          </w:p>
        </w:tc>
        <w:tc>
          <w:tcPr>
            <w:tcW w:w="708" w:type="dxa"/>
            <w:tcMar>
              <w:top w:w="120" w:type="dxa"/>
              <w:left w:w="120" w:type="dxa"/>
              <w:bottom w:w="120" w:type="dxa"/>
              <w:right w:w="120" w:type="dxa"/>
            </w:tcMar>
          </w:tcPr>
          <w:p w14:paraId="07A5CF56">
            <w:pPr>
              <w:widowControl/>
              <w:spacing w:line="240" w:lineRule="auto"/>
              <w:jc w:val="center"/>
              <w:rPr>
                <w:rFonts w:ascii="Times New Roman"/>
                <w:sz w:val="18"/>
                <w:szCs w:val="20"/>
                <w:lang w:eastAsia="zh-CN"/>
              </w:rPr>
            </w:pPr>
          </w:p>
        </w:tc>
        <w:tc>
          <w:tcPr>
            <w:tcW w:w="709" w:type="dxa"/>
          </w:tcPr>
          <w:p w14:paraId="7F0FD88D">
            <w:pPr>
              <w:widowControl/>
              <w:spacing w:line="240" w:lineRule="auto"/>
              <w:jc w:val="center"/>
              <w:rPr>
                <w:rFonts w:ascii="Times New Roman"/>
                <w:sz w:val="18"/>
                <w:szCs w:val="20"/>
                <w:lang w:eastAsia="zh-CN"/>
              </w:rPr>
            </w:pPr>
          </w:p>
        </w:tc>
        <w:tc>
          <w:tcPr>
            <w:tcW w:w="709" w:type="dxa"/>
            <w:tcMar>
              <w:top w:w="120" w:type="dxa"/>
              <w:left w:w="120" w:type="dxa"/>
              <w:bottom w:w="120" w:type="dxa"/>
              <w:right w:w="120" w:type="dxa"/>
            </w:tcMar>
          </w:tcPr>
          <w:p w14:paraId="1DF38FE9">
            <w:pPr>
              <w:widowControl/>
              <w:spacing w:line="240" w:lineRule="auto"/>
              <w:jc w:val="center"/>
              <w:rPr>
                <w:rFonts w:ascii="Times New Roman"/>
                <w:sz w:val="18"/>
                <w:szCs w:val="20"/>
                <w:lang w:eastAsia="zh-CN"/>
              </w:rPr>
            </w:pPr>
          </w:p>
        </w:tc>
        <w:tc>
          <w:tcPr>
            <w:tcW w:w="1134" w:type="dxa"/>
            <w:tcMar>
              <w:top w:w="120" w:type="dxa"/>
              <w:left w:w="120" w:type="dxa"/>
              <w:bottom w:w="120" w:type="dxa"/>
              <w:right w:w="120" w:type="dxa"/>
            </w:tcMar>
          </w:tcPr>
          <w:p w14:paraId="23E4ACB2">
            <w:pPr>
              <w:widowControl/>
              <w:spacing w:line="240" w:lineRule="auto"/>
              <w:jc w:val="center"/>
              <w:rPr>
                <w:rFonts w:ascii="Times New Roman"/>
                <w:sz w:val="18"/>
                <w:szCs w:val="20"/>
                <w:lang w:eastAsia="zh-CN"/>
              </w:rPr>
            </w:pPr>
          </w:p>
        </w:tc>
        <w:tc>
          <w:tcPr>
            <w:tcW w:w="2131" w:type="dxa"/>
            <w:tcMar>
              <w:top w:w="120" w:type="dxa"/>
              <w:left w:w="120" w:type="dxa"/>
              <w:bottom w:w="120" w:type="dxa"/>
              <w:right w:w="120" w:type="dxa"/>
            </w:tcMar>
          </w:tcPr>
          <w:p w14:paraId="16C1F458">
            <w:pPr>
              <w:widowControl/>
              <w:spacing w:line="240" w:lineRule="auto"/>
              <w:jc w:val="center"/>
              <w:rPr>
                <w:rFonts w:ascii="Times New Roman"/>
                <w:sz w:val="18"/>
                <w:szCs w:val="20"/>
                <w:lang w:eastAsia="zh-CN"/>
              </w:rPr>
            </w:pPr>
          </w:p>
        </w:tc>
      </w:tr>
      <w:tr w14:paraId="716E87C3">
        <w:trPr>
          <w:trHeight w:val="507" w:hRule="atLeast"/>
        </w:trPr>
        <w:tc>
          <w:tcPr>
            <w:tcW w:w="3256" w:type="dxa"/>
            <w:tcMar>
              <w:top w:w="120" w:type="dxa"/>
              <w:left w:w="120" w:type="dxa"/>
              <w:bottom w:w="120" w:type="dxa"/>
              <w:right w:w="120" w:type="dxa"/>
            </w:tcMar>
          </w:tcPr>
          <w:p w14:paraId="694493D2">
            <w:pPr>
              <w:widowControl/>
              <w:spacing w:line="240" w:lineRule="auto"/>
              <w:rPr>
                <w:rFonts w:ascii="Times New Roman"/>
                <w:sz w:val="18"/>
                <w:szCs w:val="20"/>
                <w:lang w:eastAsia="zh-CN"/>
              </w:rPr>
            </w:pPr>
            <w:r>
              <w:rPr>
                <w:rFonts w:hint="eastAsia" w:ascii="Times New Roman" w:cs="宋体"/>
                <w:sz w:val="18"/>
                <w:szCs w:val="20"/>
                <w:lang w:eastAsia="zh-CN"/>
              </w:rPr>
              <w:t>燃料（例如柴油、汽油、天然气等）</w:t>
            </w:r>
          </w:p>
        </w:tc>
        <w:tc>
          <w:tcPr>
            <w:tcW w:w="708" w:type="dxa"/>
            <w:tcMar>
              <w:top w:w="120" w:type="dxa"/>
              <w:left w:w="120" w:type="dxa"/>
              <w:bottom w:w="120" w:type="dxa"/>
              <w:right w:w="120" w:type="dxa"/>
            </w:tcMar>
          </w:tcPr>
          <w:p w14:paraId="06E7D9CD">
            <w:pPr>
              <w:widowControl/>
              <w:spacing w:line="240" w:lineRule="auto"/>
              <w:jc w:val="center"/>
              <w:rPr>
                <w:rFonts w:ascii="Times New Roman"/>
                <w:sz w:val="18"/>
                <w:szCs w:val="20"/>
                <w:lang w:eastAsia="zh-CN"/>
              </w:rPr>
            </w:pPr>
          </w:p>
        </w:tc>
        <w:tc>
          <w:tcPr>
            <w:tcW w:w="709" w:type="dxa"/>
          </w:tcPr>
          <w:p w14:paraId="079B4047">
            <w:pPr>
              <w:widowControl/>
              <w:spacing w:line="240" w:lineRule="auto"/>
              <w:jc w:val="center"/>
              <w:rPr>
                <w:rFonts w:ascii="Times New Roman"/>
                <w:sz w:val="18"/>
                <w:szCs w:val="20"/>
                <w:lang w:eastAsia="zh-CN"/>
              </w:rPr>
            </w:pPr>
          </w:p>
        </w:tc>
        <w:tc>
          <w:tcPr>
            <w:tcW w:w="709" w:type="dxa"/>
            <w:tcMar>
              <w:top w:w="120" w:type="dxa"/>
              <w:left w:w="120" w:type="dxa"/>
              <w:bottom w:w="120" w:type="dxa"/>
              <w:right w:w="120" w:type="dxa"/>
            </w:tcMar>
          </w:tcPr>
          <w:p w14:paraId="69FD9D1C">
            <w:pPr>
              <w:widowControl/>
              <w:spacing w:line="240" w:lineRule="auto"/>
              <w:jc w:val="center"/>
              <w:rPr>
                <w:rFonts w:ascii="Times New Roman"/>
                <w:sz w:val="18"/>
                <w:szCs w:val="20"/>
                <w:lang w:eastAsia="zh-CN"/>
              </w:rPr>
            </w:pPr>
          </w:p>
        </w:tc>
        <w:tc>
          <w:tcPr>
            <w:tcW w:w="1134" w:type="dxa"/>
            <w:tcMar>
              <w:top w:w="120" w:type="dxa"/>
              <w:left w:w="120" w:type="dxa"/>
              <w:bottom w:w="120" w:type="dxa"/>
              <w:right w:w="120" w:type="dxa"/>
            </w:tcMar>
          </w:tcPr>
          <w:p w14:paraId="418139A7">
            <w:pPr>
              <w:widowControl/>
              <w:spacing w:line="240" w:lineRule="auto"/>
              <w:jc w:val="center"/>
              <w:rPr>
                <w:rFonts w:ascii="Times New Roman"/>
                <w:sz w:val="18"/>
                <w:szCs w:val="20"/>
                <w:lang w:eastAsia="zh-CN"/>
              </w:rPr>
            </w:pPr>
          </w:p>
        </w:tc>
        <w:tc>
          <w:tcPr>
            <w:tcW w:w="2131" w:type="dxa"/>
            <w:tcMar>
              <w:top w:w="120" w:type="dxa"/>
              <w:left w:w="120" w:type="dxa"/>
              <w:bottom w:w="120" w:type="dxa"/>
              <w:right w:w="120" w:type="dxa"/>
            </w:tcMar>
          </w:tcPr>
          <w:p w14:paraId="158D8686">
            <w:pPr>
              <w:widowControl/>
              <w:spacing w:line="240" w:lineRule="auto"/>
              <w:jc w:val="center"/>
              <w:rPr>
                <w:rFonts w:ascii="Times New Roman"/>
                <w:sz w:val="18"/>
                <w:szCs w:val="20"/>
                <w:lang w:eastAsia="zh-CN"/>
              </w:rPr>
            </w:pPr>
          </w:p>
        </w:tc>
      </w:tr>
      <w:tr w14:paraId="6A403698">
        <w:trPr>
          <w:trHeight w:val="65" w:hRule="atLeast"/>
        </w:trPr>
        <w:tc>
          <w:tcPr>
            <w:tcW w:w="3256" w:type="dxa"/>
            <w:tcMar>
              <w:top w:w="120" w:type="dxa"/>
              <w:left w:w="120" w:type="dxa"/>
              <w:bottom w:w="120" w:type="dxa"/>
              <w:right w:w="120" w:type="dxa"/>
            </w:tcMar>
          </w:tcPr>
          <w:p w14:paraId="385B2FD0">
            <w:pPr>
              <w:widowControl/>
              <w:spacing w:line="240" w:lineRule="auto"/>
              <w:rPr>
                <w:rFonts w:ascii="Times New Roman"/>
                <w:sz w:val="18"/>
                <w:szCs w:val="20"/>
              </w:rPr>
            </w:pPr>
            <w:r>
              <w:rPr>
                <w:rFonts w:hint="eastAsia" w:ascii="Times New Roman" w:cs="宋体"/>
                <w:sz w:val="18"/>
                <w:szCs w:val="20"/>
                <w:lang w:eastAsia="zh-CN"/>
              </w:rPr>
              <w:t>电力</w:t>
            </w:r>
          </w:p>
        </w:tc>
        <w:tc>
          <w:tcPr>
            <w:tcW w:w="708" w:type="dxa"/>
            <w:tcMar>
              <w:top w:w="120" w:type="dxa"/>
              <w:left w:w="120" w:type="dxa"/>
              <w:bottom w:w="120" w:type="dxa"/>
              <w:right w:w="120" w:type="dxa"/>
            </w:tcMar>
          </w:tcPr>
          <w:p w14:paraId="1D460EAA">
            <w:pPr>
              <w:widowControl/>
              <w:spacing w:line="240" w:lineRule="auto"/>
              <w:jc w:val="center"/>
              <w:rPr>
                <w:rFonts w:ascii="Times New Roman"/>
                <w:sz w:val="18"/>
                <w:szCs w:val="20"/>
              </w:rPr>
            </w:pPr>
          </w:p>
        </w:tc>
        <w:tc>
          <w:tcPr>
            <w:tcW w:w="709" w:type="dxa"/>
          </w:tcPr>
          <w:p w14:paraId="23AD49E7">
            <w:pPr>
              <w:widowControl/>
              <w:spacing w:line="240" w:lineRule="auto"/>
              <w:jc w:val="center"/>
              <w:rPr>
                <w:rFonts w:ascii="Times New Roman"/>
                <w:sz w:val="18"/>
                <w:szCs w:val="20"/>
              </w:rPr>
            </w:pPr>
          </w:p>
        </w:tc>
        <w:tc>
          <w:tcPr>
            <w:tcW w:w="709" w:type="dxa"/>
            <w:tcMar>
              <w:top w:w="120" w:type="dxa"/>
              <w:left w:w="120" w:type="dxa"/>
              <w:bottom w:w="120" w:type="dxa"/>
              <w:right w:w="120" w:type="dxa"/>
            </w:tcMar>
          </w:tcPr>
          <w:p w14:paraId="49F8FAF5">
            <w:pPr>
              <w:widowControl/>
              <w:spacing w:line="240" w:lineRule="auto"/>
              <w:jc w:val="center"/>
              <w:rPr>
                <w:rFonts w:ascii="Times New Roman"/>
                <w:sz w:val="18"/>
                <w:szCs w:val="20"/>
              </w:rPr>
            </w:pPr>
          </w:p>
        </w:tc>
        <w:tc>
          <w:tcPr>
            <w:tcW w:w="1134" w:type="dxa"/>
            <w:tcMar>
              <w:top w:w="120" w:type="dxa"/>
              <w:left w:w="120" w:type="dxa"/>
              <w:bottom w:w="120" w:type="dxa"/>
              <w:right w:w="120" w:type="dxa"/>
            </w:tcMar>
          </w:tcPr>
          <w:p w14:paraId="6FC07340">
            <w:pPr>
              <w:widowControl/>
              <w:spacing w:line="240" w:lineRule="auto"/>
              <w:jc w:val="center"/>
              <w:rPr>
                <w:rFonts w:ascii="Times New Roman"/>
                <w:sz w:val="18"/>
                <w:szCs w:val="20"/>
              </w:rPr>
            </w:pPr>
          </w:p>
        </w:tc>
        <w:tc>
          <w:tcPr>
            <w:tcW w:w="2131" w:type="dxa"/>
            <w:tcMar>
              <w:top w:w="120" w:type="dxa"/>
              <w:left w:w="120" w:type="dxa"/>
              <w:bottom w:w="120" w:type="dxa"/>
              <w:right w:w="120" w:type="dxa"/>
            </w:tcMar>
          </w:tcPr>
          <w:p w14:paraId="45124DD1">
            <w:pPr>
              <w:widowControl/>
              <w:spacing w:line="240" w:lineRule="auto"/>
              <w:jc w:val="center"/>
              <w:rPr>
                <w:rFonts w:ascii="Times New Roman"/>
                <w:sz w:val="18"/>
                <w:szCs w:val="20"/>
              </w:rPr>
            </w:pPr>
          </w:p>
        </w:tc>
      </w:tr>
      <w:tr w14:paraId="6B1E712E">
        <w:trPr>
          <w:trHeight w:val="200" w:hRule="atLeast"/>
        </w:trPr>
        <w:tc>
          <w:tcPr>
            <w:tcW w:w="3256" w:type="dxa"/>
            <w:tcMar>
              <w:top w:w="120" w:type="dxa"/>
              <w:left w:w="120" w:type="dxa"/>
              <w:bottom w:w="120" w:type="dxa"/>
              <w:right w:w="120" w:type="dxa"/>
            </w:tcMar>
          </w:tcPr>
          <w:p w14:paraId="3C7B6619">
            <w:pPr>
              <w:widowControl/>
              <w:spacing w:line="240" w:lineRule="auto"/>
              <w:rPr>
                <w:rFonts w:ascii="Times New Roman"/>
                <w:sz w:val="18"/>
                <w:szCs w:val="20"/>
              </w:rPr>
            </w:pPr>
            <w:r>
              <w:rPr>
                <w:rFonts w:hint="eastAsia" w:ascii="Times New Roman" w:cs="宋体"/>
                <w:sz w:val="18"/>
                <w:szCs w:val="20"/>
              </w:rPr>
              <w:t>热力</w:t>
            </w:r>
            <w:r>
              <w:rPr>
                <w:rFonts w:hint="eastAsia" w:ascii="Times New Roman" w:cs="宋体"/>
                <w:sz w:val="18"/>
                <w:szCs w:val="20"/>
                <w:lang w:eastAsia="zh-CN"/>
              </w:rPr>
              <w:t>（如有）</w:t>
            </w:r>
          </w:p>
        </w:tc>
        <w:tc>
          <w:tcPr>
            <w:tcW w:w="708" w:type="dxa"/>
            <w:tcMar>
              <w:top w:w="120" w:type="dxa"/>
              <w:left w:w="120" w:type="dxa"/>
              <w:bottom w:w="120" w:type="dxa"/>
              <w:right w:w="120" w:type="dxa"/>
            </w:tcMar>
          </w:tcPr>
          <w:p w14:paraId="650890BE">
            <w:pPr>
              <w:widowControl/>
              <w:spacing w:line="240" w:lineRule="auto"/>
              <w:jc w:val="center"/>
              <w:rPr>
                <w:rFonts w:ascii="Times New Roman"/>
                <w:sz w:val="18"/>
                <w:szCs w:val="20"/>
              </w:rPr>
            </w:pPr>
          </w:p>
        </w:tc>
        <w:tc>
          <w:tcPr>
            <w:tcW w:w="709" w:type="dxa"/>
          </w:tcPr>
          <w:p w14:paraId="14A5A3B1">
            <w:pPr>
              <w:widowControl/>
              <w:spacing w:line="240" w:lineRule="auto"/>
              <w:jc w:val="center"/>
              <w:rPr>
                <w:rFonts w:ascii="Times New Roman"/>
                <w:sz w:val="18"/>
                <w:szCs w:val="20"/>
              </w:rPr>
            </w:pPr>
          </w:p>
        </w:tc>
        <w:tc>
          <w:tcPr>
            <w:tcW w:w="709" w:type="dxa"/>
            <w:tcMar>
              <w:top w:w="120" w:type="dxa"/>
              <w:left w:w="120" w:type="dxa"/>
              <w:bottom w:w="120" w:type="dxa"/>
              <w:right w:w="120" w:type="dxa"/>
            </w:tcMar>
          </w:tcPr>
          <w:p w14:paraId="31856889">
            <w:pPr>
              <w:widowControl/>
              <w:spacing w:line="240" w:lineRule="auto"/>
              <w:jc w:val="center"/>
              <w:rPr>
                <w:rFonts w:ascii="Times New Roman"/>
                <w:sz w:val="18"/>
                <w:szCs w:val="20"/>
              </w:rPr>
            </w:pPr>
          </w:p>
        </w:tc>
        <w:tc>
          <w:tcPr>
            <w:tcW w:w="1134" w:type="dxa"/>
            <w:tcMar>
              <w:top w:w="120" w:type="dxa"/>
              <w:left w:w="120" w:type="dxa"/>
              <w:bottom w:w="120" w:type="dxa"/>
              <w:right w:w="120" w:type="dxa"/>
            </w:tcMar>
          </w:tcPr>
          <w:p w14:paraId="66082230">
            <w:pPr>
              <w:widowControl/>
              <w:spacing w:line="240" w:lineRule="auto"/>
              <w:jc w:val="center"/>
              <w:rPr>
                <w:rFonts w:ascii="Times New Roman"/>
                <w:sz w:val="18"/>
                <w:szCs w:val="20"/>
              </w:rPr>
            </w:pPr>
          </w:p>
        </w:tc>
        <w:tc>
          <w:tcPr>
            <w:tcW w:w="2131" w:type="dxa"/>
            <w:tcMar>
              <w:top w:w="120" w:type="dxa"/>
              <w:left w:w="120" w:type="dxa"/>
              <w:bottom w:w="120" w:type="dxa"/>
              <w:right w:w="120" w:type="dxa"/>
            </w:tcMar>
          </w:tcPr>
          <w:p w14:paraId="61148425">
            <w:pPr>
              <w:widowControl/>
              <w:spacing w:line="240" w:lineRule="auto"/>
              <w:jc w:val="center"/>
              <w:rPr>
                <w:rFonts w:ascii="Times New Roman"/>
                <w:sz w:val="18"/>
                <w:szCs w:val="20"/>
              </w:rPr>
            </w:pPr>
          </w:p>
        </w:tc>
      </w:tr>
      <w:tr w14:paraId="7DE975AF">
        <w:trPr>
          <w:trHeight w:val="209" w:hRule="atLeast"/>
        </w:trPr>
        <w:tc>
          <w:tcPr>
            <w:tcW w:w="3256" w:type="dxa"/>
            <w:tcMar>
              <w:top w:w="120" w:type="dxa"/>
              <w:left w:w="120" w:type="dxa"/>
              <w:bottom w:w="120" w:type="dxa"/>
              <w:right w:w="120" w:type="dxa"/>
            </w:tcMar>
          </w:tcPr>
          <w:p w14:paraId="09E8E794">
            <w:pPr>
              <w:widowControl/>
              <w:spacing w:line="240" w:lineRule="auto"/>
              <w:rPr>
                <w:rFonts w:ascii="Times New Roman"/>
                <w:sz w:val="18"/>
                <w:szCs w:val="20"/>
              </w:rPr>
            </w:pPr>
            <w:r>
              <w:rPr>
                <w:rFonts w:ascii="Times New Roman" w:cs="宋体"/>
                <w:sz w:val="18"/>
                <w:szCs w:val="20"/>
              </w:rPr>
              <w:t>第三方服务（如有）</w:t>
            </w:r>
          </w:p>
        </w:tc>
        <w:tc>
          <w:tcPr>
            <w:tcW w:w="708" w:type="dxa"/>
            <w:tcMar>
              <w:top w:w="120" w:type="dxa"/>
              <w:left w:w="120" w:type="dxa"/>
              <w:bottom w:w="120" w:type="dxa"/>
              <w:right w:w="120" w:type="dxa"/>
            </w:tcMar>
          </w:tcPr>
          <w:p w14:paraId="4708C19A">
            <w:pPr>
              <w:widowControl/>
              <w:spacing w:line="240" w:lineRule="auto"/>
              <w:jc w:val="center"/>
              <w:rPr>
                <w:rFonts w:ascii="Times New Roman"/>
                <w:sz w:val="18"/>
                <w:szCs w:val="20"/>
              </w:rPr>
            </w:pPr>
          </w:p>
        </w:tc>
        <w:tc>
          <w:tcPr>
            <w:tcW w:w="709" w:type="dxa"/>
          </w:tcPr>
          <w:p w14:paraId="35F80A8F">
            <w:pPr>
              <w:widowControl/>
              <w:spacing w:line="240" w:lineRule="auto"/>
              <w:jc w:val="center"/>
              <w:rPr>
                <w:rFonts w:ascii="Times New Roman"/>
                <w:sz w:val="18"/>
                <w:szCs w:val="20"/>
              </w:rPr>
            </w:pPr>
          </w:p>
        </w:tc>
        <w:tc>
          <w:tcPr>
            <w:tcW w:w="709" w:type="dxa"/>
            <w:tcMar>
              <w:top w:w="120" w:type="dxa"/>
              <w:left w:w="120" w:type="dxa"/>
              <w:bottom w:w="120" w:type="dxa"/>
              <w:right w:w="120" w:type="dxa"/>
            </w:tcMar>
          </w:tcPr>
          <w:p w14:paraId="07B9F315">
            <w:pPr>
              <w:widowControl/>
              <w:spacing w:line="240" w:lineRule="auto"/>
              <w:jc w:val="center"/>
              <w:rPr>
                <w:rFonts w:ascii="Times New Roman"/>
                <w:sz w:val="18"/>
                <w:szCs w:val="20"/>
              </w:rPr>
            </w:pPr>
          </w:p>
        </w:tc>
        <w:tc>
          <w:tcPr>
            <w:tcW w:w="1134" w:type="dxa"/>
            <w:tcMar>
              <w:top w:w="120" w:type="dxa"/>
              <w:left w:w="120" w:type="dxa"/>
              <w:bottom w:w="120" w:type="dxa"/>
              <w:right w:w="120" w:type="dxa"/>
            </w:tcMar>
          </w:tcPr>
          <w:p w14:paraId="03AF2C06">
            <w:pPr>
              <w:widowControl/>
              <w:spacing w:line="240" w:lineRule="auto"/>
              <w:jc w:val="center"/>
              <w:rPr>
                <w:rFonts w:ascii="Times New Roman"/>
                <w:sz w:val="18"/>
                <w:szCs w:val="20"/>
              </w:rPr>
            </w:pPr>
          </w:p>
        </w:tc>
        <w:tc>
          <w:tcPr>
            <w:tcW w:w="2131" w:type="dxa"/>
            <w:tcMar>
              <w:top w:w="120" w:type="dxa"/>
              <w:left w:w="120" w:type="dxa"/>
              <w:bottom w:w="120" w:type="dxa"/>
              <w:right w:w="120" w:type="dxa"/>
            </w:tcMar>
          </w:tcPr>
          <w:p w14:paraId="723888EA">
            <w:pPr>
              <w:widowControl/>
              <w:spacing w:line="240" w:lineRule="auto"/>
              <w:jc w:val="center"/>
              <w:rPr>
                <w:rFonts w:ascii="Times New Roman"/>
                <w:sz w:val="18"/>
                <w:szCs w:val="20"/>
              </w:rPr>
            </w:pPr>
          </w:p>
        </w:tc>
      </w:tr>
      <w:tr w14:paraId="75407349">
        <w:trPr>
          <w:trHeight w:val="216" w:hRule="atLeast"/>
        </w:trPr>
        <w:tc>
          <w:tcPr>
            <w:tcW w:w="3256" w:type="dxa"/>
            <w:tcMar>
              <w:top w:w="120" w:type="dxa"/>
              <w:left w:w="120" w:type="dxa"/>
              <w:bottom w:w="120" w:type="dxa"/>
              <w:right w:w="120" w:type="dxa"/>
            </w:tcMar>
          </w:tcPr>
          <w:p w14:paraId="0054C45F">
            <w:pPr>
              <w:widowControl/>
              <w:spacing w:line="240" w:lineRule="auto"/>
              <w:rPr>
                <w:rFonts w:ascii="Times New Roman"/>
                <w:b/>
                <w:sz w:val="18"/>
                <w:szCs w:val="20"/>
              </w:rPr>
            </w:pPr>
            <w:r>
              <w:rPr>
                <w:rFonts w:ascii="Times New Roman" w:cs="宋体"/>
                <w:b/>
                <w:sz w:val="18"/>
                <w:szCs w:val="20"/>
              </w:rPr>
              <w:t>输出</w:t>
            </w:r>
          </w:p>
        </w:tc>
        <w:tc>
          <w:tcPr>
            <w:tcW w:w="708" w:type="dxa"/>
            <w:tcMar>
              <w:top w:w="120" w:type="dxa"/>
              <w:left w:w="120" w:type="dxa"/>
              <w:bottom w:w="120" w:type="dxa"/>
              <w:right w:w="120" w:type="dxa"/>
            </w:tcMar>
          </w:tcPr>
          <w:p w14:paraId="4EFE257C">
            <w:pPr>
              <w:widowControl/>
              <w:spacing w:line="240" w:lineRule="auto"/>
              <w:jc w:val="center"/>
              <w:rPr>
                <w:rFonts w:ascii="Times New Roman"/>
                <w:b/>
                <w:sz w:val="18"/>
                <w:szCs w:val="20"/>
              </w:rPr>
            </w:pPr>
            <w:r>
              <w:rPr>
                <w:rFonts w:ascii="Times New Roman" w:cs="宋体"/>
                <w:b/>
                <w:sz w:val="18"/>
                <w:szCs w:val="20"/>
              </w:rPr>
              <w:t>单位</w:t>
            </w:r>
          </w:p>
        </w:tc>
        <w:tc>
          <w:tcPr>
            <w:tcW w:w="709" w:type="dxa"/>
          </w:tcPr>
          <w:p w14:paraId="06F0F000">
            <w:pPr>
              <w:widowControl/>
              <w:spacing w:line="240" w:lineRule="auto"/>
              <w:jc w:val="center"/>
              <w:rPr>
                <w:rFonts w:ascii="Times New Roman"/>
                <w:b/>
                <w:sz w:val="18"/>
                <w:szCs w:val="20"/>
              </w:rPr>
            </w:pPr>
            <w:r>
              <w:rPr>
                <w:rFonts w:ascii="Times New Roman" w:cs="宋体"/>
                <w:b/>
                <w:sz w:val="18"/>
                <w:szCs w:val="20"/>
              </w:rPr>
              <w:t>数量</w:t>
            </w:r>
          </w:p>
        </w:tc>
        <w:tc>
          <w:tcPr>
            <w:tcW w:w="709" w:type="dxa"/>
            <w:tcMar>
              <w:top w:w="120" w:type="dxa"/>
              <w:left w:w="120" w:type="dxa"/>
              <w:bottom w:w="120" w:type="dxa"/>
              <w:right w:w="120" w:type="dxa"/>
            </w:tcMar>
          </w:tcPr>
          <w:p w14:paraId="6433EBB7">
            <w:pPr>
              <w:widowControl/>
              <w:spacing w:line="240" w:lineRule="auto"/>
              <w:jc w:val="center"/>
              <w:rPr>
                <w:rFonts w:ascii="Times New Roman"/>
                <w:b/>
                <w:sz w:val="18"/>
                <w:szCs w:val="20"/>
              </w:rPr>
            </w:pPr>
            <w:r>
              <w:rPr>
                <w:rFonts w:ascii="Times New Roman" w:cs="宋体"/>
                <w:b/>
                <w:sz w:val="18"/>
                <w:szCs w:val="20"/>
              </w:rPr>
              <w:t>运距</w:t>
            </w:r>
          </w:p>
        </w:tc>
        <w:tc>
          <w:tcPr>
            <w:tcW w:w="1134" w:type="dxa"/>
            <w:tcMar>
              <w:top w:w="120" w:type="dxa"/>
              <w:left w:w="120" w:type="dxa"/>
              <w:bottom w:w="120" w:type="dxa"/>
              <w:right w:w="120" w:type="dxa"/>
            </w:tcMar>
          </w:tcPr>
          <w:p w14:paraId="36E6C2C4">
            <w:pPr>
              <w:widowControl/>
              <w:spacing w:line="240" w:lineRule="auto"/>
              <w:jc w:val="center"/>
              <w:rPr>
                <w:rFonts w:ascii="Times New Roman"/>
                <w:b/>
                <w:sz w:val="18"/>
                <w:szCs w:val="20"/>
              </w:rPr>
            </w:pPr>
            <w:r>
              <w:rPr>
                <w:rFonts w:ascii="Times New Roman" w:cs="宋体"/>
                <w:b/>
                <w:sz w:val="18"/>
                <w:szCs w:val="20"/>
              </w:rPr>
              <w:t>运输方式</w:t>
            </w:r>
          </w:p>
        </w:tc>
        <w:tc>
          <w:tcPr>
            <w:tcW w:w="2131" w:type="dxa"/>
            <w:tcMar>
              <w:top w:w="120" w:type="dxa"/>
              <w:left w:w="120" w:type="dxa"/>
              <w:bottom w:w="120" w:type="dxa"/>
              <w:right w:w="120" w:type="dxa"/>
            </w:tcMar>
          </w:tcPr>
          <w:p w14:paraId="4DCAB9A3">
            <w:pPr>
              <w:widowControl/>
              <w:spacing w:line="240" w:lineRule="auto"/>
              <w:jc w:val="center"/>
              <w:rPr>
                <w:rFonts w:ascii="Times New Roman"/>
                <w:b/>
                <w:sz w:val="18"/>
                <w:szCs w:val="20"/>
              </w:rPr>
            </w:pPr>
            <w:r>
              <w:rPr>
                <w:rFonts w:ascii="Times New Roman" w:cs="宋体"/>
                <w:b/>
                <w:sz w:val="18"/>
                <w:szCs w:val="20"/>
              </w:rPr>
              <w:t>规格、成分</w:t>
            </w:r>
            <w:r>
              <w:rPr>
                <w:rFonts w:ascii="Times New Roman"/>
                <w:b/>
                <w:sz w:val="18"/>
                <w:szCs w:val="20"/>
              </w:rPr>
              <w:t>/</w:t>
            </w:r>
            <w:r>
              <w:rPr>
                <w:rFonts w:ascii="Times New Roman" w:cs="宋体"/>
                <w:b/>
                <w:sz w:val="18"/>
                <w:szCs w:val="20"/>
              </w:rPr>
              <w:t>去向</w:t>
            </w:r>
          </w:p>
        </w:tc>
      </w:tr>
      <w:tr w14:paraId="1DBEE776">
        <w:trPr>
          <w:trHeight w:val="211" w:hRule="atLeast"/>
        </w:trPr>
        <w:tc>
          <w:tcPr>
            <w:tcW w:w="3256" w:type="dxa"/>
            <w:tcMar>
              <w:top w:w="120" w:type="dxa"/>
              <w:left w:w="120" w:type="dxa"/>
              <w:bottom w:w="120" w:type="dxa"/>
              <w:right w:w="120" w:type="dxa"/>
            </w:tcMar>
          </w:tcPr>
          <w:p w14:paraId="4493A5E4">
            <w:pPr>
              <w:widowControl/>
              <w:spacing w:line="240" w:lineRule="auto"/>
              <w:rPr>
                <w:rFonts w:ascii="Times New Roman"/>
                <w:sz w:val="18"/>
                <w:szCs w:val="20"/>
              </w:rPr>
            </w:pPr>
            <w:r>
              <w:rPr>
                <w:rFonts w:hint="eastAsia" w:ascii="Times New Roman" w:cs="宋体"/>
                <w:sz w:val="18"/>
                <w:szCs w:val="20"/>
                <w:lang w:eastAsia="zh-CN"/>
              </w:rPr>
              <w:t>稀土冶炼分离产品</w:t>
            </w:r>
          </w:p>
        </w:tc>
        <w:tc>
          <w:tcPr>
            <w:tcW w:w="708" w:type="dxa"/>
            <w:tcMar>
              <w:top w:w="120" w:type="dxa"/>
              <w:left w:w="120" w:type="dxa"/>
              <w:bottom w:w="120" w:type="dxa"/>
              <w:right w:w="120" w:type="dxa"/>
            </w:tcMar>
          </w:tcPr>
          <w:p w14:paraId="6F4FE4BB">
            <w:pPr>
              <w:widowControl/>
              <w:spacing w:line="240" w:lineRule="auto"/>
              <w:rPr>
                <w:rFonts w:ascii="Times New Roman"/>
                <w:sz w:val="18"/>
                <w:szCs w:val="20"/>
              </w:rPr>
            </w:pPr>
          </w:p>
        </w:tc>
        <w:tc>
          <w:tcPr>
            <w:tcW w:w="709" w:type="dxa"/>
          </w:tcPr>
          <w:p w14:paraId="6706D005">
            <w:pPr>
              <w:widowControl/>
              <w:spacing w:line="240" w:lineRule="auto"/>
              <w:rPr>
                <w:rFonts w:ascii="Times New Roman"/>
                <w:sz w:val="18"/>
                <w:szCs w:val="20"/>
              </w:rPr>
            </w:pPr>
          </w:p>
        </w:tc>
        <w:tc>
          <w:tcPr>
            <w:tcW w:w="709" w:type="dxa"/>
            <w:tcMar>
              <w:top w:w="120" w:type="dxa"/>
              <w:left w:w="120" w:type="dxa"/>
              <w:bottom w:w="120" w:type="dxa"/>
              <w:right w:w="120" w:type="dxa"/>
            </w:tcMar>
          </w:tcPr>
          <w:p w14:paraId="0B6733D9">
            <w:pPr>
              <w:widowControl/>
              <w:spacing w:line="240" w:lineRule="auto"/>
              <w:rPr>
                <w:rFonts w:ascii="Times New Roman"/>
                <w:sz w:val="18"/>
                <w:szCs w:val="20"/>
              </w:rPr>
            </w:pPr>
          </w:p>
        </w:tc>
        <w:tc>
          <w:tcPr>
            <w:tcW w:w="1134" w:type="dxa"/>
            <w:tcMar>
              <w:top w:w="120" w:type="dxa"/>
              <w:left w:w="120" w:type="dxa"/>
              <w:bottom w:w="120" w:type="dxa"/>
              <w:right w:w="120" w:type="dxa"/>
            </w:tcMar>
          </w:tcPr>
          <w:p w14:paraId="113CD21E">
            <w:pPr>
              <w:widowControl/>
              <w:spacing w:line="240" w:lineRule="auto"/>
              <w:rPr>
                <w:rFonts w:ascii="Times New Roman"/>
                <w:sz w:val="18"/>
                <w:szCs w:val="20"/>
              </w:rPr>
            </w:pPr>
          </w:p>
        </w:tc>
        <w:tc>
          <w:tcPr>
            <w:tcW w:w="2131" w:type="dxa"/>
            <w:tcMar>
              <w:top w:w="120" w:type="dxa"/>
              <w:left w:w="120" w:type="dxa"/>
              <w:bottom w:w="120" w:type="dxa"/>
              <w:right w:w="120" w:type="dxa"/>
            </w:tcMar>
          </w:tcPr>
          <w:p w14:paraId="65558AE9">
            <w:pPr>
              <w:widowControl/>
              <w:spacing w:line="240" w:lineRule="auto"/>
              <w:rPr>
                <w:rFonts w:ascii="Times New Roman"/>
                <w:sz w:val="18"/>
                <w:szCs w:val="20"/>
              </w:rPr>
            </w:pPr>
          </w:p>
        </w:tc>
      </w:tr>
      <w:tr w14:paraId="20F799E1">
        <w:trPr>
          <w:trHeight w:val="233" w:hRule="atLeast"/>
        </w:trPr>
        <w:tc>
          <w:tcPr>
            <w:tcW w:w="3256" w:type="dxa"/>
            <w:tcMar>
              <w:top w:w="120" w:type="dxa"/>
              <w:left w:w="120" w:type="dxa"/>
              <w:bottom w:w="120" w:type="dxa"/>
              <w:right w:w="120" w:type="dxa"/>
            </w:tcMar>
          </w:tcPr>
          <w:p w14:paraId="3FC2530A">
            <w:pPr>
              <w:widowControl/>
              <w:spacing w:line="240" w:lineRule="auto"/>
              <w:rPr>
                <w:rFonts w:ascii="Times New Roman"/>
                <w:sz w:val="18"/>
                <w:szCs w:val="20"/>
              </w:rPr>
            </w:pPr>
            <w:r>
              <w:rPr>
                <w:rFonts w:hint="eastAsia" w:ascii="Times New Roman" w:cs="宋体"/>
                <w:sz w:val="18"/>
                <w:szCs w:val="20"/>
                <w:lang w:val="zh-CN" w:eastAsia="zh-CN"/>
              </w:rPr>
              <w:t>废气、废水、废渣等</w:t>
            </w:r>
          </w:p>
        </w:tc>
        <w:tc>
          <w:tcPr>
            <w:tcW w:w="708" w:type="dxa"/>
            <w:tcMar>
              <w:top w:w="120" w:type="dxa"/>
              <w:left w:w="120" w:type="dxa"/>
              <w:bottom w:w="120" w:type="dxa"/>
              <w:right w:w="120" w:type="dxa"/>
            </w:tcMar>
          </w:tcPr>
          <w:p w14:paraId="1CF870D0">
            <w:pPr>
              <w:widowControl/>
              <w:spacing w:line="240" w:lineRule="auto"/>
              <w:rPr>
                <w:rFonts w:ascii="Times New Roman"/>
                <w:sz w:val="18"/>
                <w:szCs w:val="20"/>
              </w:rPr>
            </w:pPr>
          </w:p>
        </w:tc>
        <w:tc>
          <w:tcPr>
            <w:tcW w:w="709" w:type="dxa"/>
          </w:tcPr>
          <w:p w14:paraId="020CAEA9">
            <w:pPr>
              <w:widowControl/>
              <w:spacing w:line="240" w:lineRule="auto"/>
              <w:rPr>
                <w:rFonts w:ascii="Times New Roman"/>
                <w:sz w:val="18"/>
                <w:szCs w:val="20"/>
              </w:rPr>
            </w:pPr>
          </w:p>
        </w:tc>
        <w:tc>
          <w:tcPr>
            <w:tcW w:w="709" w:type="dxa"/>
            <w:tcMar>
              <w:top w:w="120" w:type="dxa"/>
              <w:left w:w="120" w:type="dxa"/>
              <w:bottom w:w="120" w:type="dxa"/>
              <w:right w:w="120" w:type="dxa"/>
            </w:tcMar>
          </w:tcPr>
          <w:p w14:paraId="3B954DBB">
            <w:pPr>
              <w:widowControl/>
              <w:spacing w:line="240" w:lineRule="auto"/>
              <w:rPr>
                <w:rFonts w:ascii="Times New Roman"/>
                <w:sz w:val="18"/>
                <w:szCs w:val="20"/>
              </w:rPr>
            </w:pPr>
          </w:p>
        </w:tc>
        <w:tc>
          <w:tcPr>
            <w:tcW w:w="1134" w:type="dxa"/>
            <w:tcMar>
              <w:top w:w="120" w:type="dxa"/>
              <w:left w:w="120" w:type="dxa"/>
              <w:bottom w:w="120" w:type="dxa"/>
              <w:right w:w="120" w:type="dxa"/>
            </w:tcMar>
          </w:tcPr>
          <w:p w14:paraId="69D3CB96">
            <w:pPr>
              <w:widowControl/>
              <w:spacing w:line="240" w:lineRule="auto"/>
              <w:rPr>
                <w:rFonts w:ascii="Times New Roman"/>
                <w:sz w:val="18"/>
                <w:szCs w:val="20"/>
              </w:rPr>
            </w:pPr>
          </w:p>
        </w:tc>
        <w:tc>
          <w:tcPr>
            <w:tcW w:w="2131" w:type="dxa"/>
            <w:tcMar>
              <w:top w:w="120" w:type="dxa"/>
              <w:left w:w="120" w:type="dxa"/>
              <w:bottom w:w="120" w:type="dxa"/>
              <w:right w:w="120" w:type="dxa"/>
            </w:tcMar>
          </w:tcPr>
          <w:p w14:paraId="7D36235D">
            <w:pPr>
              <w:widowControl/>
              <w:spacing w:line="240" w:lineRule="auto"/>
              <w:rPr>
                <w:rFonts w:ascii="Times New Roman"/>
                <w:sz w:val="18"/>
                <w:szCs w:val="20"/>
              </w:rPr>
            </w:pPr>
          </w:p>
        </w:tc>
      </w:tr>
      <w:tr w14:paraId="2E91BD9F">
        <w:trPr>
          <w:trHeight w:val="240" w:hRule="atLeast"/>
        </w:trPr>
        <w:tc>
          <w:tcPr>
            <w:tcW w:w="3256" w:type="dxa"/>
            <w:tcMar>
              <w:top w:w="120" w:type="dxa"/>
              <w:left w:w="120" w:type="dxa"/>
              <w:bottom w:w="120" w:type="dxa"/>
              <w:right w:w="120" w:type="dxa"/>
            </w:tcMar>
          </w:tcPr>
          <w:p w14:paraId="55D70037">
            <w:pPr>
              <w:widowControl/>
              <w:spacing w:line="240" w:lineRule="auto"/>
              <w:rPr>
                <w:rFonts w:ascii="Times New Roman"/>
                <w:sz w:val="18"/>
                <w:szCs w:val="20"/>
                <w:lang w:eastAsia="zh-CN"/>
              </w:rPr>
            </w:pPr>
            <w:r>
              <w:rPr>
                <w:rFonts w:hint="eastAsia" w:ascii="Times New Roman" w:cs="宋体"/>
                <w:sz w:val="18"/>
                <w:szCs w:val="20"/>
                <w:lang w:val="zh-CN" w:eastAsia="zh-CN"/>
              </w:rPr>
              <w:t>温室气体直接排放（燃料燃烧）</w:t>
            </w:r>
          </w:p>
        </w:tc>
        <w:tc>
          <w:tcPr>
            <w:tcW w:w="708" w:type="dxa"/>
            <w:tcMar>
              <w:top w:w="120" w:type="dxa"/>
              <w:left w:w="120" w:type="dxa"/>
              <w:bottom w:w="120" w:type="dxa"/>
              <w:right w:w="120" w:type="dxa"/>
            </w:tcMar>
          </w:tcPr>
          <w:p w14:paraId="34300FA7">
            <w:pPr>
              <w:widowControl/>
              <w:spacing w:line="240" w:lineRule="auto"/>
              <w:rPr>
                <w:rFonts w:ascii="Times New Roman"/>
                <w:sz w:val="18"/>
                <w:szCs w:val="20"/>
                <w:lang w:eastAsia="zh-CN"/>
              </w:rPr>
            </w:pPr>
          </w:p>
        </w:tc>
        <w:tc>
          <w:tcPr>
            <w:tcW w:w="709" w:type="dxa"/>
          </w:tcPr>
          <w:p w14:paraId="32D5530F">
            <w:pPr>
              <w:widowControl/>
              <w:spacing w:line="240" w:lineRule="auto"/>
              <w:rPr>
                <w:rFonts w:ascii="Times New Roman"/>
                <w:sz w:val="18"/>
                <w:szCs w:val="20"/>
                <w:lang w:eastAsia="zh-CN"/>
              </w:rPr>
            </w:pPr>
          </w:p>
        </w:tc>
        <w:tc>
          <w:tcPr>
            <w:tcW w:w="709" w:type="dxa"/>
            <w:tcMar>
              <w:top w:w="120" w:type="dxa"/>
              <w:left w:w="120" w:type="dxa"/>
              <w:bottom w:w="120" w:type="dxa"/>
              <w:right w:w="120" w:type="dxa"/>
            </w:tcMar>
          </w:tcPr>
          <w:p w14:paraId="3CE034AD">
            <w:pPr>
              <w:widowControl/>
              <w:spacing w:line="240" w:lineRule="auto"/>
              <w:rPr>
                <w:rFonts w:ascii="Times New Roman"/>
                <w:sz w:val="18"/>
                <w:szCs w:val="20"/>
                <w:lang w:eastAsia="zh-CN"/>
              </w:rPr>
            </w:pPr>
          </w:p>
        </w:tc>
        <w:tc>
          <w:tcPr>
            <w:tcW w:w="1134" w:type="dxa"/>
            <w:tcMar>
              <w:top w:w="120" w:type="dxa"/>
              <w:left w:w="120" w:type="dxa"/>
              <w:bottom w:w="120" w:type="dxa"/>
              <w:right w:w="120" w:type="dxa"/>
            </w:tcMar>
          </w:tcPr>
          <w:p w14:paraId="00519C9B">
            <w:pPr>
              <w:widowControl/>
              <w:spacing w:line="240" w:lineRule="auto"/>
              <w:rPr>
                <w:rFonts w:ascii="Times New Roman"/>
                <w:sz w:val="18"/>
                <w:szCs w:val="20"/>
                <w:lang w:eastAsia="zh-CN"/>
              </w:rPr>
            </w:pPr>
          </w:p>
        </w:tc>
        <w:tc>
          <w:tcPr>
            <w:tcW w:w="2131" w:type="dxa"/>
            <w:tcMar>
              <w:top w:w="120" w:type="dxa"/>
              <w:left w:w="120" w:type="dxa"/>
              <w:bottom w:w="120" w:type="dxa"/>
              <w:right w:w="120" w:type="dxa"/>
            </w:tcMar>
          </w:tcPr>
          <w:p w14:paraId="55F18BEC">
            <w:pPr>
              <w:widowControl/>
              <w:spacing w:line="240" w:lineRule="auto"/>
              <w:rPr>
                <w:rFonts w:ascii="Times New Roman"/>
                <w:sz w:val="18"/>
                <w:szCs w:val="20"/>
                <w:lang w:eastAsia="zh-CN"/>
              </w:rPr>
            </w:pPr>
          </w:p>
        </w:tc>
      </w:tr>
      <w:tr w14:paraId="5FA68289">
        <w:trPr>
          <w:trHeight w:val="585" w:hRule="atLeast"/>
        </w:trPr>
        <w:tc>
          <w:tcPr>
            <w:tcW w:w="8647" w:type="dxa"/>
            <w:gridSpan w:val="6"/>
            <w:tcMar>
              <w:top w:w="120" w:type="dxa"/>
              <w:left w:w="120" w:type="dxa"/>
              <w:bottom w:w="120" w:type="dxa"/>
              <w:right w:w="120" w:type="dxa"/>
            </w:tcMar>
          </w:tcPr>
          <w:p w14:paraId="2824394E">
            <w:pPr>
              <w:widowControl/>
              <w:spacing w:after="0" w:line="240" w:lineRule="auto"/>
              <w:rPr>
                <w:rFonts w:ascii="黑体" w:hAnsi="黑体" w:eastAsia="黑体"/>
                <w:sz w:val="18"/>
                <w:szCs w:val="20"/>
                <w:lang w:eastAsia="zh-CN"/>
              </w:rPr>
            </w:pPr>
            <w:r>
              <w:rPr>
                <w:rFonts w:ascii="黑体" w:hAnsi="黑体" w:eastAsia="黑体" w:cs="宋体"/>
                <w:sz w:val="18"/>
                <w:szCs w:val="20"/>
                <w:lang w:eastAsia="zh-CN"/>
              </w:rPr>
              <w:t>注</w:t>
            </w:r>
            <w:r>
              <w:rPr>
                <w:rFonts w:ascii="黑体" w:hAnsi="黑体" w:eastAsia="黑体"/>
                <w:sz w:val="18"/>
                <w:szCs w:val="20"/>
                <w:lang w:eastAsia="zh-CN"/>
              </w:rPr>
              <w:t>1</w:t>
            </w:r>
            <w:r>
              <w:rPr>
                <w:rFonts w:ascii="黑体" w:hAnsi="黑体" w:eastAsia="黑体" w:cs="宋体"/>
                <w:sz w:val="18"/>
                <w:szCs w:val="20"/>
                <w:lang w:eastAsia="zh-CN"/>
              </w:rPr>
              <w:t>：此数据收集表中的数据是指规定时间段内所有未分配的输入和输出。</w:t>
            </w:r>
          </w:p>
          <w:p w14:paraId="10B73630">
            <w:pPr>
              <w:widowControl/>
              <w:spacing w:after="0" w:line="240" w:lineRule="auto"/>
              <w:rPr>
                <w:rFonts w:ascii="黑体" w:hAnsi="黑体" w:eastAsia="黑体"/>
                <w:sz w:val="18"/>
                <w:szCs w:val="20"/>
                <w:lang w:eastAsia="zh-CN"/>
              </w:rPr>
            </w:pPr>
            <w:r>
              <w:rPr>
                <w:rFonts w:ascii="黑体" w:hAnsi="黑体" w:eastAsia="黑体" w:cs="宋体"/>
                <w:sz w:val="18"/>
                <w:szCs w:val="20"/>
                <w:lang w:eastAsia="zh-CN"/>
              </w:rPr>
              <w:t>注</w:t>
            </w:r>
            <w:r>
              <w:rPr>
                <w:rFonts w:ascii="黑体" w:hAnsi="黑体" w:eastAsia="黑体"/>
                <w:sz w:val="18"/>
                <w:szCs w:val="20"/>
                <w:lang w:eastAsia="zh-CN"/>
              </w:rPr>
              <w:t>2</w:t>
            </w:r>
            <w:r>
              <w:rPr>
                <w:rFonts w:ascii="黑体" w:hAnsi="黑体" w:eastAsia="黑体" w:cs="宋体"/>
                <w:sz w:val="18"/>
                <w:szCs w:val="20"/>
                <w:lang w:eastAsia="zh-CN"/>
              </w:rPr>
              <w:t>：燃料和热力以热量单位表示。</w:t>
            </w:r>
          </w:p>
        </w:tc>
      </w:tr>
    </w:tbl>
    <w:p w14:paraId="6414614E">
      <w:pPr>
        <w:widowControl/>
        <w:spacing w:after="0" w:line="240" w:lineRule="auto"/>
        <w:rPr>
          <w:rFonts w:ascii="Times New Roman" w:hAnsi="Times New Roman" w:eastAsia="宋体" w:cs="Times New Roman"/>
          <w:kern w:val="2"/>
          <w:sz w:val="21"/>
          <w:szCs w:val="24"/>
          <w:lang w:eastAsia="zh-CN"/>
        </w:rPr>
      </w:pPr>
    </w:p>
    <w:p w14:paraId="040615DA">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 xml:space="preserve">表C.4 </w:t>
      </w:r>
      <w:bookmarkStart w:id="127" w:name="_Hlk206687925"/>
      <w:r>
        <w:rPr>
          <w:rFonts w:hint="eastAsia" w:ascii="黑体" w:hAnsi="黑体" w:eastAsia="黑体" w:cs="Times New Roman"/>
          <w:kern w:val="2"/>
          <w:sz w:val="18"/>
          <w:szCs w:val="18"/>
          <w:lang w:eastAsia="zh-CN"/>
        </w:rPr>
        <w:t>以稀土精矿等含稀土的二次资源湿法分离生产单元</w:t>
      </w:r>
      <w:bookmarkEnd w:id="127"/>
      <w:r>
        <w:rPr>
          <w:rFonts w:hint="eastAsia" w:ascii="黑体" w:hAnsi="黑体" w:eastAsia="黑体" w:cs="Times New Roman"/>
          <w:kern w:val="2"/>
          <w:sz w:val="18"/>
          <w:szCs w:val="18"/>
          <w:lang w:eastAsia="zh-CN"/>
        </w:rPr>
        <w:t>输入、输出数据收集表</w:t>
      </w:r>
    </w:p>
    <w:tbl>
      <w:tblPr>
        <w:tblStyle w:val="13"/>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256"/>
        <w:gridCol w:w="708"/>
        <w:gridCol w:w="571"/>
        <w:gridCol w:w="709"/>
        <w:gridCol w:w="1134"/>
        <w:gridCol w:w="2269"/>
      </w:tblGrid>
      <w:tr w14:paraId="24EB4FF8">
        <w:trPr>
          <w:trHeight w:val="585" w:hRule="atLeast"/>
        </w:trPr>
        <w:tc>
          <w:tcPr>
            <w:tcW w:w="8647" w:type="dxa"/>
            <w:gridSpan w:val="6"/>
            <w:tcMar>
              <w:top w:w="120" w:type="dxa"/>
              <w:left w:w="120" w:type="dxa"/>
              <w:bottom w:w="120" w:type="dxa"/>
              <w:right w:w="120" w:type="dxa"/>
            </w:tcMar>
          </w:tcPr>
          <w:p w14:paraId="7880FC12">
            <w:pPr>
              <w:widowControl/>
              <w:spacing w:line="240" w:lineRule="auto"/>
              <w:rPr>
                <w:rFonts w:ascii="Times New Roman"/>
                <w:sz w:val="18"/>
                <w:szCs w:val="20"/>
                <w:lang w:eastAsia="zh-CN"/>
              </w:rPr>
            </w:pPr>
            <w:r>
              <w:rPr>
                <w:rFonts w:ascii="Times New Roman" w:cs="宋体"/>
                <w:sz w:val="18"/>
                <w:szCs w:val="20"/>
                <w:lang w:eastAsia="zh-CN"/>
              </w:rPr>
              <w:t>单元过程及统计口径描述：</w:t>
            </w:r>
          </w:p>
          <w:p w14:paraId="0753415E">
            <w:pPr>
              <w:widowControl/>
              <w:spacing w:line="240" w:lineRule="auto"/>
              <w:rPr>
                <w:rFonts w:ascii="Times New Roman"/>
                <w:sz w:val="18"/>
                <w:szCs w:val="20"/>
                <w:lang w:eastAsia="zh-CN"/>
              </w:rPr>
            </w:pPr>
            <w:r>
              <w:rPr>
                <w:rFonts w:ascii="Times New Roman" w:cs="宋体"/>
                <w:sz w:val="18"/>
                <w:szCs w:val="20"/>
                <w:lang w:eastAsia="zh-CN"/>
              </w:rPr>
              <w:t>时间段：起始时间</w:t>
            </w:r>
            <w:r>
              <w:rPr>
                <w:rFonts w:ascii="Times New Roman"/>
                <w:sz w:val="18"/>
                <w:szCs w:val="20"/>
                <w:lang w:eastAsia="zh-CN"/>
              </w:rPr>
              <w:t xml:space="preserve">      </w:t>
            </w:r>
            <w:r>
              <w:rPr>
                <w:rFonts w:ascii="Times New Roman" w:cs="宋体"/>
                <w:sz w:val="18"/>
                <w:szCs w:val="20"/>
                <w:lang w:eastAsia="zh-CN"/>
              </w:rPr>
              <w:t>年</w:t>
            </w:r>
            <w:r>
              <w:rPr>
                <w:rFonts w:ascii="Times New Roman"/>
                <w:sz w:val="18"/>
                <w:szCs w:val="20"/>
                <w:lang w:eastAsia="zh-CN"/>
              </w:rPr>
              <w:t xml:space="preserve">  </w:t>
            </w:r>
            <w:r>
              <w:rPr>
                <w:rFonts w:ascii="Times New Roman" w:cs="宋体"/>
                <w:sz w:val="18"/>
                <w:szCs w:val="20"/>
                <w:lang w:eastAsia="zh-CN"/>
              </w:rPr>
              <w:t>月</w:t>
            </w:r>
            <w:r>
              <w:rPr>
                <w:rFonts w:ascii="Times New Roman"/>
                <w:sz w:val="18"/>
                <w:szCs w:val="20"/>
                <w:lang w:eastAsia="zh-CN"/>
              </w:rPr>
              <w:t xml:space="preserve">   </w:t>
            </w:r>
            <w:r>
              <w:rPr>
                <w:rFonts w:ascii="Times New Roman" w:cs="宋体"/>
                <w:sz w:val="18"/>
                <w:szCs w:val="20"/>
                <w:lang w:eastAsia="zh-CN"/>
              </w:rPr>
              <w:t>日；终止时间</w:t>
            </w:r>
            <w:r>
              <w:rPr>
                <w:rFonts w:ascii="Times New Roman"/>
                <w:sz w:val="18"/>
                <w:szCs w:val="20"/>
                <w:lang w:eastAsia="zh-CN"/>
              </w:rPr>
              <w:t xml:space="preserve">      </w:t>
            </w:r>
            <w:r>
              <w:rPr>
                <w:rFonts w:ascii="Times New Roman" w:cs="宋体"/>
                <w:sz w:val="18"/>
                <w:szCs w:val="20"/>
                <w:lang w:eastAsia="zh-CN"/>
              </w:rPr>
              <w:t>年</w:t>
            </w:r>
            <w:r>
              <w:rPr>
                <w:rFonts w:ascii="Times New Roman"/>
                <w:sz w:val="18"/>
                <w:szCs w:val="20"/>
                <w:lang w:eastAsia="zh-CN"/>
              </w:rPr>
              <w:t xml:space="preserve">  </w:t>
            </w:r>
            <w:r>
              <w:rPr>
                <w:rFonts w:ascii="Times New Roman" w:cs="宋体"/>
                <w:sz w:val="18"/>
                <w:szCs w:val="20"/>
                <w:lang w:eastAsia="zh-CN"/>
              </w:rPr>
              <w:t>月</w:t>
            </w:r>
            <w:r>
              <w:rPr>
                <w:rFonts w:ascii="Times New Roman"/>
                <w:sz w:val="18"/>
                <w:szCs w:val="20"/>
                <w:lang w:eastAsia="zh-CN"/>
              </w:rPr>
              <w:t xml:space="preserve">  </w:t>
            </w:r>
            <w:r>
              <w:rPr>
                <w:rFonts w:ascii="Times New Roman" w:cs="宋体"/>
                <w:sz w:val="18"/>
                <w:szCs w:val="20"/>
                <w:lang w:eastAsia="zh-CN"/>
              </w:rPr>
              <w:t>日</w:t>
            </w:r>
          </w:p>
          <w:p w14:paraId="1FFF6C52">
            <w:pPr>
              <w:widowControl/>
              <w:spacing w:line="240" w:lineRule="auto"/>
              <w:rPr>
                <w:rFonts w:ascii="Times New Roman"/>
                <w:sz w:val="18"/>
                <w:szCs w:val="20"/>
              </w:rPr>
            </w:pPr>
            <w:r>
              <w:rPr>
                <w:rFonts w:ascii="Times New Roman" w:cs="宋体"/>
                <w:sz w:val="18"/>
                <w:szCs w:val="20"/>
              </w:rPr>
              <w:t>制表人：</w:t>
            </w:r>
            <w:r>
              <w:rPr>
                <w:rFonts w:ascii="Times New Roman"/>
                <w:sz w:val="18"/>
                <w:szCs w:val="20"/>
              </w:rPr>
              <w:t xml:space="preserve">                </w:t>
            </w:r>
            <w:r>
              <w:rPr>
                <w:rFonts w:ascii="Times New Roman" w:cs="宋体"/>
                <w:sz w:val="18"/>
                <w:szCs w:val="20"/>
              </w:rPr>
              <w:t>制表日期：</w:t>
            </w:r>
          </w:p>
        </w:tc>
      </w:tr>
      <w:tr w14:paraId="5578678E">
        <w:trPr>
          <w:trHeight w:val="205" w:hRule="atLeast"/>
        </w:trPr>
        <w:tc>
          <w:tcPr>
            <w:tcW w:w="3256" w:type="dxa"/>
            <w:tcMar>
              <w:top w:w="120" w:type="dxa"/>
              <w:left w:w="120" w:type="dxa"/>
              <w:bottom w:w="120" w:type="dxa"/>
              <w:right w:w="120" w:type="dxa"/>
            </w:tcMar>
          </w:tcPr>
          <w:p w14:paraId="7267B030">
            <w:pPr>
              <w:widowControl/>
              <w:spacing w:line="240" w:lineRule="auto"/>
              <w:rPr>
                <w:rFonts w:ascii="Times New Roman"/>
                <w:b/>
                <w:sz w:val="18"/>
                <w:szCs w:val="20"/>
              </w:rPr>
            </w:pPr>
            <w:r>
              <w:rPr>
                <w:rFonts w:ascii="Times New Roman" w:cs="宋体"/>
                <w:b/>
                <w:sz w:val="18"/>
                <w:szCs w:val="20"/>
              </w:rPr>
              <w:t>输入</w:t>
            </w:r>
          </w:p>
        </w:tc>
        <w:tc>
          <w:tcPr>
            <w:tcW w:w="708" w:type="dxa"/>
            <w:tcMar>
              <w:top w:w="120" w:type="dxa"/>
              <w:left w:w="120" w:type="dxa"/>
              <w:bottom w:w="120" w:type="dxa"/>
              <w:right w:w="120" w:type="dxa"/>
            </w:tcMar>
          </w:tcPr>
          <w:p w14:paraId="0EDF0C24">
            <w:pPr>
              <w:widowControl/>
              <w:spacing w:line="240" w:lineRule="auto"/>
              <w:jc w:val="center"/>
              <w:rPr>
                <w:rFonts w:ascii="Times New Roman"/>
                <w:b/>
                <w:sz w:val="18"/>
                <w:szCs w:val="20"/>
              </w:rPr>
            </w:pPr>
            <w:r>
              <w:rPr>
                <w:rFonts w:ascii="Times New Roman" w:cs="宋体"/>
                <w:b/>
                <w:sz w:val="18"/>
                <w:szCs w:val="20"/>
              </w:rPr>
              <w:t>单位</w:t>
            </w:r>
          </w:p>
        </w:tc>
        <w:tc>
          <w:tcPr>
            <w:tcW w:w="571" w:type="dxa"/>
          </w:tcPr>
          <w:p w14:paraId="1DE1675E">
            <w:pPr>
              <w:widowControl/>
              <w:spacing w:line="240" w:lineRule="auto"/>
              <w:jc w:val="center"/>
              <w:rPr>
                <w:rFonts w:ascii="Times New Roman"/>
                <w:b/>
                <w:sz w:val="18"/>
                <w:szCs w:val="20"/>
              </w:rPr>
            </w:pPr>
            <w:r>
              <w:rPr>
                <w:rFonts w:ascii="Times New Roman" w:cs="宋体"/>
                <w:b/>
                <w:sz w:val="18"/>
                <w:szCs w:val="20"/>
              </w:rPr>
              <w:t>数量</w:t>
            </w:r>
          </w:p>
        </w:tc>
        <w:tc>
          <w:tcPr>
            <w:tcW w:w="709" w:type="dxa"/>
            <w:tcMar>
              <w:top w:w="120" w:type="dxa"/>
              <w:left w:w="120" w:type="dxa"/>
              <w:bottom w:w="120" w:type="dxa"/>
              <w:right w:w="120" w:type="dxa"/>
            </w:tcMar>
          </w:tcPr>
          <w:p w14:paraId="6B475404">
            <w:pPr>
              <w:widowControl/>
              <w:spacing w:line="240" w:lineRule="auto"/>
              <w:jc w:val="center"/>
              <w:rPr>
                <w:rFonts w:ascii="Times New Roman"/>
                <w:b/>
                <w:sz w:val="18"/>
                <w:szCs w:val="20"/>
              </w:rPr>
            </w:pPr>
            <w:r>
              <w:rPr>
                <w:rFonts w:ascii="Times New Roman" w:cs="宋体"/>
                <w:b/>
                <w:sz w:val="18"/>
                <w:szCs w:val="20"/>
              </w:rPr>
              <w:t>运距</w:t>
            </w:r>
          </w:p>
        </w:tc>
        <w:tc>
          <w:tcPr>
            <w:tcW w:w="1134" w:type="dxa"/>
            <w:tcMar>
              <w:top w:w="120" w:type="dxa"/>
              <w:left w:w="120" w:type="dxa"/>
              <w:bottom w:w="120" w:type="dxa"/>
              <w:right w:w="120" w:type="dxa"/>
            </w:tcMar>
          </w:tcPr>
          <w:p w14:paraId="2A6F199C">
            <w:pPr>
              <w:widowControl/>
              <w:spacing w:line="240" w:lineRule="auto"/>
              <w:jc w:val="center"/>
              <w:rPr>
                <w:rFonts w:ascii="Times New Roman"/>
                <w:b/>
                <w:sz w:val="18"/>
                <w:szCs w:val="20"/>
              </w:rPr>
            </w:pPr>
            <w:r>
              <w:rPr>
                <w:rFonts w:ascii="Times New Roman" w:cs="宋体"/>
                <w:b/>
                <w:sz w:val="18"/>
                <w:szCs w:val="20"/>
              </w:rPr>
              <w:t>运输方式</w:t>
            </w:r>
          </w:p>
        </w:tc>
        <w:tc>
          <w:tcPr>
            <w:tcW w:w="2269" w:type="dxa"/>
            <w:tcMar>
              <w:top w:w="120" w:type="dxa"/>
              <w:left w:w="120" w:type="dxa"/>
              <w:bottom w:w="120" w:type="dxa"/>
              <w:right w:w="120" w:type="dxa"/>
            </w:tcMar>
          </w:tcPr>
          <w:p w14:paraId="03364EC4">
            <w:pPr>
              <w:widowControl/>
              <w:spacing w:line="240" w:lineRule="auto"/>
              <w:jc w:val="center"/>
              <w:rPr>
                <w:rFonts w:ascii="Times New Roman"/>
                <w:b/>
                <w:sz w:val="18"/>
                <w:szCs w:val="20"/>
              </w:rPr>
            </w:pPr>
            <w:r>
              <w:rPr>
                <w:rFonts w:ascii="Times New Roman" w:cs="宋体"/>
                <w:b/>
                <w:sz w:val="18"/>
                <w:szCs w:val="20"/>
              </w:rPr>
              <w:t>规格、成分</w:t>
            </w:r>
            <w:r>
              <w:rPr>
                <w:rFonts w:ascii="Times New Roman"/>
                <w:b/>
                <w:sz w:val="18"/>
                <w:szCs w:val="20"/>
              </w:rPr>
              <w:t>/</w:t>
            </w:r>
            <w:r>
              <w:rPr>
                <w:rFonts w:ascii="Times New Roman" w:cs="宋体"/>
                <w:b/>
                <w:sz w:val="18"/>
                <w:szCs w:val="20"/>
              </w:rPr>
              <w:t>来源</w:t>
            </w:r>
          </w:p>
        </w:tc>
      </w:tr>
      <w:tr w14:paraId="26DB4FEE">
        <w:trPr>
          <w:trHeight w:val="57" w:hRule="atLeast"/>
        </w:trPr>
        <w:tc>
          <w:tcPr>
            <w:tcW w:w="3256" w:type="dxa"/>
            <w:tcMar>
              <w:top w:w="120" w:type="dxa"/>
              <w:left w:w="120" w:type="dxa"/>
              <w:bottom w:w="120" w:type="dxa"/>
              <w:right w:w="120" w:type="dxa"/>
            </w:tcMar>
          </w:tcPr>
          <w:p w14:paraId="07298ED4">
            <w:pPr>
              <w:widowControl/>
              <w:spacing w:line="240" w:lineRule="auto"/>
              <w:rPr>
                <w:rFonts w:ascii="Times New Roman"/>
                <w:sz w:val="18"/>
                <w:szCs w:val="20"/>
                <w:lang w:eastAsia="zh-CN"/>
              </w:rPr>
            </w:pPr>
            <w:r>
              <w:rPr>
                <w:rFonts w:hint="eastAsia" w:ascii="Times New Roman" w:cs="宋体"/>
                <w:sz w:val="18"/>
                <w:szCs w:val="18"/>
                <w:lang w:eastAsia="zh-CN"/>
              </w:rPr>
              <w:t>稀土精矿或含稀土的二次资源</w:t>
            </w:r>
          </w:p>
        </w:tc>
        <w:tc>
          <w:tcPr>
            <w:tcW w:w="708" w:type="dxa"/>
            <w:tcMar>
              <w:top w:w="120" w:type="dxa"/>
              <w:left w:w="120" w:type="dxa"/>
              <w:bottom w:w="120" w:type="dxa"/>
              <w:right w:w="120" w:type="dxa"/>
            </w:tcMar>
          </w:tcPr>
          <w:p w14:paraId="60591622">
            <w:pPr>
              <w:widowControl/>
              <w:spacing w:line="240" w:lineRule="auto"/>
              <w:jc w:val="center"/>
              <w:rPr>
                <w:rFonts w:ascii="Times New Roman"/>
                <w:sz w:val="18"/>
                <w:szCs w:val="20"/>
                <w:lang w:eastAsia="zh-CN"/>
              </w:rPr>
            </w:pPr>
          </w:p>
        </w:tc>
        <w:tc>
          <w:tcPr>
            <w:tcW w:w="571" w:type="dxa"/>
          </w:tcPr>
          <w:p w14:paraId="54B2FC41">
            <w:pPr>
              <w:widowControl/>
              <w:spacing w:line="240" w:lineRule="auto"/>
              <w:jc w:val="center"/>
              <w:rPr>
                <w:rFonts w:ascii="Times New Roman"/>
                <w:sz w:val="18"/>
                <w:szCs w:val="20"/>
                <w:lang w:eastAsia="zh-CN"/>
              </w:rPr>
            </w:pPr>
          </w:p>
        </w:tc>
        <w:tc>
          <w:tcPr>
            <w:tcW w:w="709" w:type="dxa"/>
            <w:tcMar>
              <w:top w:w="120" w:type="dxa"/>
              <w:left w:w="120" w:type="dxa"/>
              <w:bottom w:w="120" w:type="dxa"/>
              <w:right w:w="120" w:type="dxa"/>
            </w:tcMar>
          </w:tcPr>
          <w:p w14:paraId="718424A6">
            <w:pPr>
              <w:widowControl/>
              <w:spacing w:line="240" w:lineRule="auto"/>
              <w:jc w:val="center"/>
              <w:rPr>
                <w:rFonts w:ascii="Times New Roman"/>
                <w:sz w:val="18"/>
                <w:szCs w:val="20"/>
                <w:lang w:eastAsia="zh-CN"/>
              </w:rPr>
            </w:pPr>
          </w:p>
        </w:tc>
        <w:tc>
          <w:tcPr>
            <w:tcW w:w="1134" w:type="dxa"/>
            <w:tcMar>
              <w:top w:w="120" w:type="dxa"/>
              <w:left w:w="120" w:type="dxa"/>
              <w:bottom w:w="120" w:type="dxa"/>
              <w:right w:w="120" w:type="dxa"/>
            </w:tcMar>
          </w:tcPr>
          <w:p w14:paraId="757EE8BE">
            <w:pPr>
              <w:widowControl/>
              <w:spacing w:line="240" w:lineRule="auto"/>
              <w:jc w:val="center"/>
              <w:rPr>
                <w:rFonts w:ascii="Times New Roman"/>
                <w:sz w:val="18"/>
                <w:szCs w:val="20"/>
                <w:lang w:eastAsia="zh-CN"/>
              </w:rPr>
            </w:pPr>
          </w:p>
        </w:tc>
        <w:tc>
          <w:tcPr>
            <w:tcW w:w="2269" w:type="dxa"/>
            <w:tcMar>
              <w:top w:w="120" w:type="dxa"/>
              <w:left w:w="120" w:type="dxa"/>
              <w:bottom w:w="120" w:type="dxa"/>
              <w:right w:w="120" w:type="dxa"/>
            </w:tcMar>
          </w:tcPr>
          <w:p w14:paraId="20B3A55B">
            <w:pPr>
              <w:widowControl/>
              <w:spacing w:line="240" w:lineRule="auto"/>
              <w:jc w:val="center"/>
              <w:rPr>
                <w:rFonts w:ascii="Times New Roman"/>
                <w:sz w:val="18"/>
                <w:szCs w:val="20"/>
                <w:lang w:eastAsia="zh-CN"/>
              </w:rPr>
            </w:pPr>
          </w:p>
        </w:tc>
      </w:tr>
      <w:tr w14:paraId="415BFA1B">
        <w:trPr>
          <w:trHeight w:val="79" w:hRule="atLeast"/>
        </w:trPr>
        <w:tc>
          <w:tcPr>
            <w:tcW w:w="3256" w:type="dxa"/>
            <w:tcMar>
              <w:top w:w="120" w:type="dxa"/>
              <w:left w:w="120" w:type="dxa"/>
              <w:bottom w:w="120" w:type="dxa"/>
              <w:right w:w="120" w:type="dxa"/>
            </w:tcMar>
          </w:tcPr>
          <w:p w14:paraId="469615F5">
            <w:pPr>
              <w:widowControl/>
              <w:spacing w:line="240" w:lineRule="auto"/>
              <w:rPr>
                <w:rFonts w:ascii="Times New Roman"/>
                <w:sz w:val="18"/>
                <w:szCs w:val="20"/>
                <w:lang w:eastAsia="zh-CN"/>
              </w:rPr>
            </w:pPr>
            <w:r>
              <w:rPr>
                <w:rFonts w:hint="eastAsia" w:ascii="Times New Roman" w:cs="宋体"/>
                <w:sz w:val="18"/>
                <w:szCs w:val="20"/>
                <w:lang w:eastAsia="zh-CN"/>
              </w:rPr>
              <w:t>辅助材料（水、硫酸、氧化镁、聚合硫酸铁、盐酸、氨水、煤油、</w:t>
            </w:r>
            <w:r>
              <w:rPr>
                <w:rFonts w:ascii="Times New Roman" w:cs="宋体"/>
                <w:sz w:val="18"/>
                <w:szCs w:val="20"/>
                <w:lang w:eastAsia="zh-CN"/>
              </w:rPr>
              <w:t>P507</w:t>
            </w:r>
            <w:r>
              <w:rPr>
                <w:rFonts w:hint="eastAsia" w:ascii="Times New Roman" w:cs="宋体"/>
                <w:sz w:val="18"/>
                <w:szCs w:val="20"/>
                <w:lang w:eastAsia="zh-CN"/>
              </w:rPr>
              <w:t>、</w:t>
            </w:r>
            <w:r>
              <w:rPr>
                <w:rFonts w:ascii="Times New Roman" w:cs="宋体"/>
                <w:sz w:val="18"/>
                <w:szCs w:val="20"/>
                <w:lang w:eastAsia="zh-CN"/>
              </w:rPr>
              <w:t>P204</w:t>
            </w:r>
            <w:r>
              <w:rPr>
                <w:rFonts w:hint="eastAsia" w:ascii="Times New Roman" w:cs="宋体"/>
                <w:sz w:val="18"/>
                <w:szCs w:val="20"/>
                <w:lang w:eastAsia="zh-CN"/>
              </w:rPr>
              <w:t>、</w:t>
            </w:r>
            <w:r>
              <w:rPr>
                <w:rFonts w:ascii="Times New Roman" w:cs="宋体"/>
                <w:sz w:val="18"/>
                <w:szCs w:val="20"/>
                <w:lang w:eastAsia="zh-CN"/>
              </w:rPr>
              <w:t>N235</w:t>
            </w:r>
            <w:r>
              <w:rPr>
                <w:rFonts w:hint="eastAsia" w:ascii="Times New Roman" w:cs="宋体"/>
                <w:sz w:val="18"/>
                <w:szCs w:val="20"/>
                <w:lang w:eastAsia="zh-CN"/>
              </w:rPr>
              <w:t>、环烷酸、异辛醇、碳酸氢铵、草酸等）</w:t>
            </w:r>
          </w:p>
        </w:tc>
        <w:tc>
          <w:tcPr>
            <w:tcW w:w="708" w:type="dxa"/>
            <w:tcMar>
              <w:top w:w="120" w:type="dxa"/>
              <w:left w:w="120" w:type="dxa"/>
              <w:bottom w:w="120" w:type="dxa"/>
              <w:right w:w="120" w:type="dxa"/>
            </w:tcMar>
          </w:tcPr>
          <w:p w14:paraId="06D53033">
            <w:pPr>
              <w:widowControl/>
              <w:spacing w:line="240" w:lineRule="auto"/>
              <w:jc w:val="center"/>
              <w:rPr>
                <w:rFonts w:ascii="Times New Roman"/>
                <w:sz w:val="18"/>
                <w:szCs w:val="20"/>
                <w:lang w:eastAsia="zh-CN"/>
              </w:rPr>
            </w:pPr>
          </w:p>
        </w:tc>
        <w:tc>
          <w:tcPr>
            <w:tcW w:w="571" w:type="dxa"/>
          </w:tcPr>
          <w:p w14:paraId="3BA6BFFD">
            <w:pPr>
              <w:widowControl/>
              <w:spacing w:line="240" w:lineRule="auto"/>
              <w:jc w:val="center"/>
              <w:rPr>
                <w:rFonts w:ascii="Times New Roman"/>
                <w:sz w:val="18"/>
                <w:szCs w:val="20"/>
                <w:lang w:eastAsia="zh-CN"/>
              </w:rPr>
            </w:pPr>
          </w:p>
        </w:tc>
        <w:tc>
          <w:tcPr>
            <w:tcW w:w="709" w:type="dxa"/>
            <w:tcMar>
              <w:top w:w="120" w:type="dxa"/>
              <w:left w:w="120" w:type="dxa"/>
              <w:bottom w:w="120" w:type="dxa"/>
              <w:right w:w="120" w:type="dxa"/>
            </w:tcMar>
          </w:tcPr>
          <w:p w14:paraId="07200DE0">
            <w:pPr>
              <w:widowControl/>
              <w:spacing w:line="240" w:lineRule="auto"/>
              <w:jc w:val="center"/>
              <w:rPr>
                <w:rFonts w:ascii="Times New Roman"/>
                <w:sz w:val="18"/>
                <w:szCs w:val="20"/>
                <w:lang w:eastAsia="zh-CN"/>
              </w:rPr>
            </w:pPr>
          </w:p>
        </w:tc>
        <w:tc>
          <w:tcPr>
            <w:tcW w:w="1134" w:type="dxa"/>
            <w:tcMar>
              <w:top w:w="120" w:type="dxa"/>
              <w:left w:w="120" w:type="dxa"/>
              <w:bottom w:w="120" w:type="dxa"/>
              <w:right w:w="120" w:type="dxa"/>
            </w:tcMar>
          </w:tcPr>
          <w:p w14:paraId="73C1105B">
            <w:pPr>
              <w:widowControl/>
              <w:spacing w:line="240" w:lineRule="auto"/>
              <w:jc w:val="center"/>
              <w:rPr>
                <w:rFonts w:ascii="Times New Roman"/>
                <w:sz w:val="18"/>
                <w:szCs w:val="20"/>
                <w:lang w:eastAsia="zh-CN"/>
              </w:rPr>
            </w:pPr>
          </w:p>
        </w:tc>
        <w:tc>
          <w:tcPr>
            <w:tcW w:w="2269" w:type="dxa"/>
            <w:tcMar>
              <w:top w:w="120" w:type="dxa"/>
              <w:left w:w="120" w:type="dxa"/>
              <w:bottom w:w="120" w:type="dxa"/>
              <w:right w:w="120" w:type="dxa"/>
            </w:tcMar>
          </w:tcPr>
          <w:p w14:paraId="509D65EC">
            <w:pPr>
              <w:widowControl/>
              <w:spacing w:line="240" w:lineRule="auto"/>
              <w:jc w:val="center"/>
              <w:rPr>
                <w:rFonts w:ascii="Times New Roman"/>
                <w:sz w:val="18"/>
                <w:szCs w:val="20"/>
                <w:lang w:eastAsia="zh-CN"/>
              </w:rPr>
            </w:pPr>
          </w:p>
        </w:tc>
      </w:tr>
      <w:tr w14:paraId="3E55C5B5">
        <w:trPr>
          <w:trHeight w:val="507" w:hRule="atLeast"/>
        </w:trPr>
        <w:tc>
          <w:tcPr>
            <w:tcW w:w="3256" w:type="dxa"/>
            <w:tcMar>
              <w:top w:w="120" w:type="dxa"/>
              <w:left w:w="120" w:type="dxa"/>
              <w:bottom w:w="120" w:type="dxa"/>
              <w:right w:w="120" w:type="dxa"/>
            </w:tcMar>
          </w:tcPr>
          <w:p w14:paraId="0096C2D1">
            <w:pPr>
              <w:widowControl/>
              <w:spacing w:line="240" w:lineRule="auto"/>
              <w:rPr>
                <w:rFonts w:ascii="Times New Roman" w:cs="宋体"/>
                <w:sz w:val="18"/>
                <w:szCs w:val="20"/>
                <w:lang w:eastAsia="zh-CN"/>
              </w:rPr>
            </w:pPr>
            <w:r>
              <w:rPr>
                <w:rFonts w:hint="eastAsia" w:ascii="Times New Roman" w:cs="宋体"/>
                <w:sz w:val="18"/>
                <w:szCs w:val="20"/>
                <w:lang w:eastAsia="zh-CN"/>
              </w:rPr>
              <w:t>燃料（例如柴油、汽油、天然气等）</w:t>
            </w:r>
          </w:p>
        </w:tc>
        <w:tc>
          <w:tcPr>
            <w:tcW w:w="708" w:type="dxa"/>
            <w:tcMar>
              <w:top w:w="120" w:type="dxa"/>
              <w:left w:w="120" w:type="dxa"/>
              <w:bottom w:w="120" w:type="dxa"/>
              <w:right w:w="120" w:type="dxa"/>
            </w:tcMar>
          </w:tcPr>
          <w:p w14:paraId="32BC79B5">
            <w:pPr>
              <w:widowControl/>
              <w:spacing w:line="240" w:lineRule="auto"/>
              <w:jc w:val="center"/>
              <w:rPr>
                <w:rFonts w:ascii="Times New Roman"/>
                <w:sz w:val="18"/>
                <w:szCs w:val="20"/>
                <w:lang w:eastAsia="zh-CN"/>
              </w:rPr>
            </w:pPr>
          </w:p>
        </w:tc>
        <w:tc>
          <w:tcPr>
            <w:tcW w:w="571" w:type="dxa"/>
          </w:tcPr>
          <w:p w14:paraId="0395EDEC">
            <w:pPr>
              <w:widowControl/>
              <w:spacing w:line="240" w:lineRule="auto"/>
              <w:jc w:val="center"/>
              <w:rPr>
                <w:rFonts w:ascii="Times New Roman"/>
                <w:sz w:val="18"/>
                <w:szCs w:val="20"/>
                <w:lang w:eastAsia="zh-CN"/>
              </w:rPr>
            </w:pPr>
          </w:p>
        </w:tc>
        <w:tc>
          <w:tcPr>
            <w:tcW w:w="709" w:type="dxa"/>
            <w:tcMar>
              <w:top w:w="120" w:type="dxa"/>
              <w:left w:w="120" w:type="dxa"/>
              <w:bottom w:w="120" w:type="dxa"/>
              <w:right w:w="120" w:type="dxa"/>
            </w:tcMar>
          </w:tcPr>
          <w:p w14:paraId="29D53B8F">
            <w:pPr>
              <w:widowControl/>
              <w:spacing w:line="240" w:lineRule="auto"/>
              <w:jc w:val="center"/>
              <w:rPr>
                <w:rFonts w:ascii="Times New Roman"/>
                <w:sz w:val="18"/>
                <w:szCs w:val="20"/>
                <w:lang w:eastAsia="zh-CN"/>
              </w:rPr>
            </w:pPr>
          </w:p>
        </w:tc>
        <w:tc>
          <w:tcPr>
            <w:tcW w:w="1134" w:type="dxa"/>
            <w:tcMar>
              <w:top w:w="120" w:type="dxa"/>
              <w:left w:w="120" w:type="dxa"/>
              <w:bottom w:w="120" w:type="dxa"/>
              <w:right w:w="120" w:type="dxa"/>
            </w:tcMar>
          </w:tcPr>
          <w:p w14:paraId="745A9D59">
            <w:pPr>
              <w:widowControl/>
              <w:spacing w:line="240" w:lineRule="auto"/>
              <w:jc w:val="center"/>
              <w:rPr>
                <w:rFonts w:ascii="Times New Roman"/>
                <w:sz w:val="18"/>
                <w:szCs w:val="20"/>
                <w:lang w:eastAsia="zh-CN"/>
              </w:rPr>
            </w:pPr>
          </w:p>
        </w:tc>
        <w:tc>
          <w:tcPr>
            <w:tcW w:w="2269" w:type="dxa"/>
            <w:tcMar>
              <w:top w:w="120" w:type="dxa"/>
              <w:left w:w="120" w:type="dxa"/>
              <w:bottom w:w="120" w:type="dxa"/>
              <w:right w:w="120" w:type="dxa"/>
            </w:tcMar>
          </w:tcPr>
          <w:p w14:paraId="535350F6">
            <w:pPr>
              <w:widowControl/>
              <w:spacing w:line="240" w:lineRule="auto"/>
              <w:jc w:val="center"/>
              <w:rPr>
                <w:rFonts w:ascii="Times New Roman"/>
                <w:sz w:val="18"/>
                <w:szCs w:val="20"/>
                <w:lang w:eastAsia="zh-CN"/>
              </w:rPr>
            </w:pPr>
          </w:p>
        </w:tc>
      </w:tr>
      <w:tr w14:paraId="305D1488">
        <w:trPr>
          <w:trHeight w:val="65" w:hRule="atLeast"/>
        </w:trPr>
        <w:tc>
          <w:tcPr>
            <w:tcW w:w="3256" w:type="dxa"/>
            <w:tcMar>
              <w:top w:w="120" w:type="dxa"/>
              <w:left w:w="120" w:type="dxa"/>
              <w:bottom w:w="120" w:type="dxa"/>
              <w:right w:w="120" w:type="dxa"/>
            </w:tcMar>
          </w:tcPr>
          <w:p w14:paraId="7B8E9082">
            <w:pPr>
              <w:widowControl/>
              <w:spacing w:line="240" w:lineRule="auto"/>
              <w:rPr>
                <w:rFonts w:ascii="Times New Roman"/>
                <w:sz w:val="18"/>
                <w:szCs w:val="20"/>
              </w:rPr>
            </w:pPr>
            <w:r>
              <w:rPr>
                <w:rFonts w:hint="eastAsia" w:ascii="Times New Roman" w:cs="宋体"/>
                <w:sz w:val="18"/>
                <w:szCs w:val="20"/>
                <w:lang w:eastAsia="zh-CN"/>
              </w:rPr>
              <w:t>电力</w:t>
            </w:r>
          </w:p>
        </w:tc>
        <w:tc>
          <w:tcPr>
            <w:tcW w:w="708" w:type="dxa"/>
            <w:tcMar>
              <w:top w:w="120" w:type="dxa"/>
              <w:left w:w="120" w:type="dxa"/>
              <w:bottom w:w="120" w:type="dxa"/>
              <w:right w:w="120" w:type="dxa"/>
            </w:tcMar>
          </w:tcPr>
          <w:p w14:paraId="274AD0AD">
            <w:pPr>
              <w:widowControl/>
              <w:spacing w:line="240" w:lineRule="auto"/>
              <w:jc w:val="center"/>
              <w:rPr>
                <w:rFonts w:ascii="Times New Roman"/>
                <w:sz w:val="18"/>
                <w:szCs w:val="20"/>
              </w:rPr>
            </w:pPr>
          </w:p>
        </w:tc>
        <w:tc>
          <w:tcPr>
            <w:tcW w:w="571" w:type="dxa"/>
          </w:tcPr>
          <w:p w14:paraId="7C3443A7">
            <w:pPr>
              <w:widowControl/>
              <w:spacing w:line="240" w:lineRule="auto"/>
              <w:jc w:val="center"/>
              <w:rPr>
                <w:rFonts w:ascii="Times New Roman"/>
                <w:sz w:val="18"/>
                <w:szCs w:val="20"/>
              </w:rPr>
            </w:pPr>
          </w:p>
        </w:tc>
        <w:tc>
          <w:tcPr>
            <w:tcW w:w="709" w:type="dxa"/>
            <w:tcMar>
              <w:top w:w="120" w:type="dxa"/>
              <w:left w:w="120" w:type="dxa"/>
              <w:bottom w:w="120" w:type="dxa"/>
              <w:right w:w="120" w:type="dxa"/>
            </w:tcMar>
          </w:tcPr>
          <w:p w14:paraId="7C145074">
            <w:pPr>
              <w:widowControl/>
              <w:spacing w:line="240" w:lineRule="auto"/>
              <w:jc w:val="center"/>
              <w:rPr>
                <w:rFonts w:ascii="Times New Roman"/>
                <w:sz w:val="18"/>
                <w:szCs w:val="20"/>
              </w:rPr>
            </w:pPr>
          </w:p>
        </w:tc>
        <w:tc>
          <w:tcPr>
            <w:tcW w:w="1134" w:type="dxa"/>
            <w:tcMar>
              <w:top w:w="120" w:type="dxa"/>
              <w:left w:w="120" w:type="dxa"/>
              <w:bottom w:w="120" w:type="dxa"/>
              <w:right w:w="120" w:type="dxa"/>
            </w:tcMar>
          </w:tcPr>
          <w:p w14:paraId="325F7CD6">
            <w:pPr>
              <w:widowControl/>
              <w:spacing w:line="240" w:lineRule="auto"/>
              <w:jc w:val="center"/>
              <w:rPr>
                <w:rFonts w:ascii="Times New Roman"/>
                <w:sz w:val="18"/>
                <w:szCs w:val="20"/>
              </w:rPr>
            </w:pPr>
          </w:p>
        </w:tc>
        <w:tc>
          <w:tcPr>
            <w:tcW w:w="2269" w:type="dxa"/>
            <w:tcMar>
              <w:top w:w="120" w:type="dxa"/>
              <w:left w:w="120" w:type="dxa"/>
              <w:bottom w:w="120" w:type="dxa"/>
              <w:right w:w="120" w:type="dxa"/>
            </w:tcMar>
          </w:tcPr>
          <w:p w14:paraId="1444D99D">
            <w:pPr>
              <w:widowControl/>
              <w:spacing w:line="240" w:lineRule="auto"/>
              <w:jc w:val="center"/>
              <w:rPr>
                <w:rFonts w:ascii="Times New Roman"/>
                <w:sz w:val="18"/>
                <w:szCs w:val="20"/>
              </w:rPr>
            </w:pPr>
          </w:p>
        </w:tc>
      </w:tr>
      <w:tr w14:paraId="530B6B45">
        <w:trPr>
          <w:trHeight w:val="200" w:hRule="atLeast"/>
        </w:trPr>
        <w:tc>
          <w:tcPr>
            <w:tcW w:w="3256" w:type="dxa"/>
            <w:tcMar>
              <w:top w:w="120" w:type="dxa"/>
              <w:left w:w="120" w:type="dxa"/>
              <w:bottom w:w="120" w:type="dxa"/>
              <w:right w:w="120" w:type="dxa"/>
            </w:tcMar>
          </w:tcPr>
          <w:p w14:paraId="7DE97D98">
            <w:pPr>
              <w:widowControl/>
              <w:spacing w:line="240" w:lineRule="auto"/>
              <w:rPr>
                <w:rFonts w:ascii="Times New Roman"/>
                <w:sz w:val="18"/>
                <w:szCs w:val="20"/>
              </w:rPr>
            </w:pPr>
            <w:r>
              <w:rPr>
                <w:rFonts w:hint="eastAsia" w:ascii="Times New Roman" w:cs="宋体"/>
                <w:sz w:val="18"/>
                <w:szCs w:val="20"/>
              </w:rPr>
              <w:t>热力</w:t>
            </w:r>
            <w:r>
              <w:rPr>
                <w:rFonts w:hint="eastAsia" w:ascii="Times New Roman" w:cs="宋体"/>
                <w:sz w:val="18"/>
                <w:szCs w:val="20"/>
                <w:lang w:eastAsia="zh-CN"/>
              </w:rPr>
              <w:t>（如有）</w:t>
            </w:r>
          </w:p>
        </w:tc>
        <w:tc>
          <w:tcPr>
            <w:tcW w:w="708" w:type="dxa"/>
            <w:tcMar>
              <w:top w:w="120" w:type="dxa"/>
              <w:left w:w="120" w:type="dxa"/>
              <w:bottom w:w="120" w:type="dxa"/>
              <w:right w:w="120" w:type="dxa"/>
            </w:tcMar>
          </w:tcPr>
          <w:p w14:paraId="01842868">
            <w:pPr>
              <w:widowControl/>
              <w:spacing w:line="240" w:lineRule="auto"/>
              <w:jc w:val="center"/>
              <w:rPr>
                <w:rFonts w:ascii="Times New Roman"/>
                <w:sz w:val="18"/>
                <w:szCs w:val="20"/>
              </w:rPr>
            </w:pPr>
          </w:p>
        </w:tc>
        <w:tc>
          <w:tcPr>
            <w:tcW w:w="571" w:type="dxa"/>
          </w:tcPr>
          <w:p w14:paraId="460EDEBE">
            <w:pPr>
              <w:widowControl/>
              <w:spacing w:line="240" w:lineRule="auto"/>
              <w:jc w:val="center"/>
              <w:rPr>
                <w:rFonts w:ascii="Times New Roman"/>
                <w:sz w:val="18"/>
                <w:szCs w:val="20"/>
              </w:rPr>
            </w:pPr>
          </w:p>
        </w:tc>
        <w:tc>
          <w:tcPr>
            <w:tcW w:w="709" w:type="dxa"/>
            <w:tcMar>
              <w:top w:w="120" w:type="dxa"/>
              <w:left w:w="120" w:type="dxa"/>
              <w:bottom w:w="120" w:type="dxa"/>
              <w:right w:w="120" w:type="dxa"/>
            </w:tcMar>
          </w:tcPr>
          <w:p w14:paraId="43840B5F">
            <w:pPr>
              <w:widowControl/>
              <w:spacing w:line="240" w:lineRule="auto"/>
              <w:jc w:val="center"/>
              <w:rPr>
                <w:rFonts w:ascii="Times New Roman"/>
                <w:sz w:val="18"/>
                <w:szCs w:val="20"/>
              </w:rPr>
            </w:pPr>
          </w:p>
        </w:tc>
        <w:tc>
          <w:tcPr>
            <w:tcW w:w="1134" w:type="dxa"/>
            <w:tcMar>
              <w:top w:w="120" w:type="dxa"/>
              <w:left w:w="120" w:type="dxa"/>
              <w:bottom w:w="120" w:type="dxa"/>
              <w:right w:w="120" w:type="dxa"/>
            </w:tcMar>
          </w:tcPr>
          <w:p w14:paraId="3BB5137A">
            <w:pPr>
              <w:widowControl/>
              <w:spacing w:line="240" w:lineRule="auto"/>
              <w:jc w:val="center"/>
              <w:rPr>
                <w:rFonts w:ascii="Times New Roman"/>
                <w:sz w:val="18"/>
                <w:szCs w:val="20"/>
              </w:rPr>
            </w:pPr>
          </w:p>
        </w:tc>
        <w:tc>
          <w:tcPr>
            <w:tcW w:w="2269" w:type="dxa"/>
            <w:tcMar>
              <w:top w:w="120" w:type="dxa"/>
              <w:left w:w="120" w:type="dxa"/>
              <w:bottom w:w="120" w:type="dxa"/>
              <w:right w:w="120" w:type="dxa"/>
            </w:tcMar>
          </w:tcPr>
          <w:p w14:paraId="2CB9129A">
            <w:pPr>
              <w:widowControl/>
              <w:spacing w:line="240" w:lineRule="auto"/>
              <w:jc w:val="center"/>
              <w:rPr>
                <w:rFonts w:ascii="Times New Roman"/>
                <w:sz w:val="18"/>
                <w:szCs w:val="20"/>
              </w:rPr>
            </w:pPr>
          </w:p>
        </w:tc>
      </w:tr>
      <w:tr w14:paraId="77A04870">
        <w:trPr>
          <w:trHeight w:val="200" w:hRule="atLeast"/>
        </w:trPr>
        <w:tc>
          <w:tcPr>
            <w:tcW w:w="3256" w:type="dxa"/>
            <w:tcMar>
              <w:top w:w="120" w:type="dxa"/>
              <w:left w:w="120" w:type="dxa"/>
              <w:bottom w:w="120" w:type="dxa"/>
              <w:right w:w="120" w:type="dxa"/>
            </w:tcMar>
          </w:tcPr>
          <w:p w14:paraId="7DFCBC76">
            <w:pPr>
              <w:widowControl/>
              <w:spacing w:line="240" w:lineRule="auto"/>
              <w:rPr>
                <w:rFonts w:ascii="Times New Roman" w:cs="宋体"/>
                <w:sz w:val="18"/>
                <w:szCs w:val="20"/>
              </w:rPr>
            </w:pPr>
            <w:r>
              <w:rPr>
                <w:rFonts w:hint="eastAsia" w:ascii="Times New Roman" w:cs="宋体"/>
                <w:sz w:val="18"/>
                <w:szCs w:val="20"/>
                <w:lang w:eastAsia="zh-CN"/>
              </w:rPr>
              <w:t>蒸汽</w:t>
            </w:r>
          </w:p>
        </w:tc>
        <w:tc>
          <w:tcPr>
            <w:tcW w:w="708" w:type="dxa"/>
            <w:tcMar>
              <w:top w:w="120" w:type="dxa"/>
              <w:left w:w="120" w:type="dxa"/>
              <w:bottom w:w="120" w:type="dxa"/>
              <w:right w:w="120" w:type="dxa"/>
            </w:tcMar>
          </w:tcPr>
          <w:p w14:paraId="63D6F73F">
            <w:pPr>
              <w:widowControl/>
              <w:spacing w:line="240" w:lineRule="auto"/>
              <w:jc w:val="center"/>
              <w:rPr>
                <w:rFonts w:ascii="Times New Roman"/>
                <w:sz w:val="18"/>
                <w:szCs w:val="20"/>
              </w:rPr>
            </w:pPr>
          </w:p>
        </w:tc>
        <w:tc>
          <w:tcPr>
            <w:tcW w:w="571" w:type="dxa"/>
          </w:tcPr>
          <w:p w14:paraId="48D819CE">
            <w:pPr>
              <w:widowControl/>
              <w:spacing w:line="240" w:lineRule="auto"/>
              <w:jc w:val="center"/>
              <w:rPr>
                <w:rFonts w:ascii="Times New Roman"/>
                <w:sz w:val="18"/>
                <w:szCs w:val="20"/>
              </w:rPr>
            </w:pPr>
          </w:p>
        </w:tc>
        <w:tc>
          <w:tcPr>
            <w:tcW w:w="709" w:type="dxa"/>
            <w:tcMar>
              <w:top w:w="120" w:type="dxa"/>
              <w:left w:w="120" w:type="dxa"/>
              <w:bottom w:w="120" w:type="dxa"/>
              <w:right w:w="120" w:type="dxa"/>
            </w:tcMar>
          </w:tcPr>
          <w:p w14:paraId="2562DF96">
            <w:pPr>
              <w:widowControl/>
              <w:spacing w:line="240" w:lineRule="auto"/>
              <w:jc w:val="center"/>
              <w:rPr>
                <w:rFonts w:ascii="Times New Roman"/>
                <w:sz w:val="18"/>
                <w:szCs w:val="20"/>
              </w:rPr>
            </w:pPr>
          </w:p>
        </w:tc>
        <w:tc>
          <w:tcPr>
            <w:tcW w:w="1134" w:type="dxa"/>
            <w:tcMar>
              <w:top w:w="120" w:type="dxa"/>
              <w:left w:w="120" w:type="dxa"/>
              <w:bottom w:w="120" w:type="dxa"/>
              <w:right w:w="120" w:type="dxa"/>
            </w:tcMar>
          </w:tcPr>
          <w:p w14:paraId="5D28389C">
            <w:pPr>
              <w:widowControl/>
              <w:spacing w:line="240" w:lineRule="auto"/>
              <w:jc w:val="center"/>
              <w:rPr>
                <w:rFonts w:ascii="Times New Roman"/>
                <w:sz w:val="18"/>
                <w:szCs w:val="20"/>
              </w:rPr>
            </w:pPr>
          </w:p>
        </w:tc>
        <w:tc>
          <w:tcPr>
            <w:tcW w:w="2269" w:type="dxa"/>
            <w:tcMar>
              <w:top w:w="120" w:type="dxa"/>
              <w:left w:w="120" w:type="dxa"/>
              <w:bottom w:w="120" w:type="dxa"/>
              <w:right w:w="120" w:type="dxa"/>
            </w:tcMar>
          </w:tcPr>
          <w:p w14:paraId="6B109E92">
            <w:pPr>
              <w:widowControl/>
              <w:spacing w:line="240" w:lineRule="auto"/>
              <w:jc w:val="center"/>
              <w:rPr>
                <w:rFonts w:ascii="Times New Roman"/>
                <w:sz w:val="18"/>
                <w:szCs w:val="20"/>
              </w:rPr>
            </w:pPr>
          </w:p>
        </w:tc>
      </w:tr>
      <w:tr w14:paraId="3BEF9C20">
        <w:trPr>
          <w:trHeight w:val="209" w:hRule="atLeast"/>
        </w:trPr>
        <w:tc>
          <w:tcPr>
            <w:tcW w:w="3256" w:type="dxa"/>
            <w:tcMar>
              <w:top w:w="120" w:type="dxa"/>
              <w:left w:w="120" w:type="dxa"/>
              <w:bottom w:w="120" w:type="dxa"/>
              <w:right w:w="120" w:type="dxa"/>
            </w:tcMar>
          </w:tcPr>
          <w:p w14:paraId="781F2149">
            <w:pPr>
              <w:widowControl/>
              <w:spacing w:line="240" w:lineRule="auto"/>
              <w:rPr>
                <w:rFonts w:ascii="Times New Roman"/>
                <w:sz w:val="18"/>
                <w:szCs w:val="20"/>
              </w:rPr>
            </w:pPr>
            <w:r>
              <w:rPr>
                <w:rFonts w:ascii="Times New Roman" w:cs="宋体"/>
                <w:sz w:val="18"/>
                <w:szCs w:val="20"/>
              </w:rPr>
              <w:t>第三方服务（如有）</w:t>
            </w:r>
          </w:p>
        </w:tc>
        <w:tc>
          <w:tcPr>
            <w:tcW w:w="708" w:type="dxa"/>
            <w:tcMar>
              <w:top w:w="120" w:type="dxa"/>
              <w:left w:w="120" w:type="dxa"/>
              <w:bottom w:w="120" w:type="dxa"/>
              <w:right w:w="120" w:type="dxa"/>
            </w:tcMar>
          </w:tcPr>
          <w:p w14:paraId="5D4CEAF3">
            <w:pPr>
              <w:widowControl/>
              <w:spacing w:line="240" w:lineRule="auto"/>
              <w:jc w:val="center"/>
              <w:rPr>
                <w:rFonts w:ascii="Times New Roman"/>
                <w:sz w:val="18"/>
                <w:szCs w:val="20"/>
              </w:rPr>
            </w:pPr>
          </w:p>
        </w:tc>
        <w:tc>
          <w:tcPr>
            <w:tcW w:w="571" w:type="dxa"/>
          </w:tcPr>
          <w:p w14:paraId="6ADE48D0">
            <w:pPr>
              <w:widowControl/>
              <w:spacing w:line="240" w:lineRule="auto"/>
              <w:jc w:val="center"/>
              <w:rPr>
                <w:rFonts w:ascii="Times New Roman"/>
                <w:sz w:val="18"/>
                <w:szCs w:val="20"/>
              </w:rPr>
            </w:pPr>
          </w:p>
        </w:tc>
        <w:tc>
          <w:tcPr>
            <w:tcW w:w="709" w:type="dxa"/>
            <w:tcMar>
              <w:top w:w="120" w:type="dxa"/>
              <w:left w:w="120" w:type="dxa"/>
              <w:bottom w:w="120" w:type="dxa"/>
              <w:right w:w="120" w:type="dxa"/>
            </w:tcMar>
          </w:tcPr>
          <w:p w14:paraId="6C9C39EA">
            <w:pPr>
              <w:widowControl/>
              <w:spacing w:line="240" w:lineRule="auto"/>
              <w:jc w:val="center"/>
              <w:rPr>
                <w:rFonts w:ascii="Times New Roman"/>
                <w:sz w:val="18"/>
                <w:szCs w:val="20"/>
              </w:rPr>
            </w:pPr>
          </w:p>
        </w:tc>
        <w:tc>
          <w:tcPr>
            <w:tcW w:w="1134" w:type="dxa"/>
            <w:tcMar>
              <w:top w:w="120" w:type="dxa"/>
              <w:left w:w="120" w:type="dxa"/>
              <w:bottom w:w="120" w:type="dxa"/>
              <w:right w:w="120" w:type="dxa"/>
            </w:tcMar>
          </w:tcPr>
          <w:p w14:paraId="4066A4A4">
            <w:pPr>
              <w:widowControl/>
              <w:spacing w:line="240" w:lineRule="auto"/>
              <w:jc w:val="center"/>
              <w:rPr>
                <w:rFonts w:ascii="Times New Roman"/>
                <w:sz w:val="18"/>
                <w:szCs w:val="20"/>
              </w:rPr>
            </w:pPr>
          </w:p>
        </w:tc>
        <w:tc>
          <w:tcPr>
            <w:tcW w:w="2269" w:type="dxa"/>
            <w:tcMar>
              <w:top w:w="120" w:type="dxa"/>
              <w:left w:w="120" w:type="dxa"/>
              <w:bottom w:w="120" w:type="dxa"/>
              <w:right w:w="120" w:type="dxa"/>
            </w:tcMar>
          </w:tcPr>
          <w:p w14:paraId="3CC7114D">
            <w:pPr>
              <w:widowControl/>
              <w:spacing w:line="240" w:lineRule="auto"/>
              <w:jc w:val="center"/>
              <w:rPr>
                <w:rFonts w:ascii="Times New Roman"/>
                <w:sz w:val="18"/>
                <w:szCs w:val="20"/>
              </w:rPr>
            </w:pPr>
          </w:p>
        </w:tc>
      </w:tr>
      <w:tr w14:paraId="30863DDC">
        <w:trPr>
          <w:trHeight w:val="216" w:hRule="atLeast"/>
        </w:trPr>
        <w:tc>
          <w:tcPr>
            <w:tcW w:w="3256" w:type="dxa"/>
            <w:tcMar>
              <w:top w:w="120" w:type="dxa"/>
              <w:left w:w="120" w:type="dxa"/>
              <w:bottom w:w="120" w:type="dxa"/>
              <w:right w:w="120" w:type="dxa"/>
            </w:tcMar>
          </w:tcPr>
          <w:p w14:paraId="724559B4">
            <w:pPr>
              <w:widowControl/>
              <w:spacing w:line="240" w:lineRule="auto"/>
              <w:rPr>
                <w:rFonts w:ascii="Times New Roman"/>
                <w:b/>
                <w:sz w:val="18"/>
                <w:szCs w:val="20"/>
              </w:rPr>
            </w:pPr>
            <w:r>
              <w:rPr>
                <w:rFonts w:ascii="Times New Roman" w:cs="宋体"/>
                <w:b/>
                <w:sz w:val="18"/>
                <w:szCs w:val="20"/>
              </w:rPr>
              <w:t>输出</w:t>
            </w:r>
          </w:p>
        </w:tc>
        <w:tc>
          <w:tcPr>
            <w:tcW w:w="708" w:type="dxa"/>
            <w:tcMar>
              <w:top w:w="120" w:type="dxa"/>
              <w:left w:w="120" w:type="dxa"/>
              <w:bottom w:w="120" w:type="dxa"/>
              <w:right w:w="120" w:type="dxa"/>
            </w:tcMar>
          </w:tcPr>
          <w:p w14:paraId="698F45AD">
            <w:pPr>
              <w:widowControl/>
              <w:spacing w:line="240" w:lineRule="auto"/>
              <w:jc w:val="center"/>
              <w:rPr>
                <w:rFonts w:ascii="Times New Roman"/>
                <w:b/>
                <w:sz w:val="18"/>
                <w:szCs w:val="20"/>
              </w:rPr>
            </w:pPr>
            <w:r>
              <w:rPr>
                <w:rFonts w:ascii="Times New Roman" w:cs="宋体"/>
                <w:b/>
                <w:sz w:val="18"/>
                <w:szCs w:val="20"/>
              </w:rPr>
              <w:t>单位</w:t>
            </w:r>
          </w:p>
        </w:tc>
        <w:tc>
          <w:tcPr>
            <w:tcW w:w="571" w:type="dxa"/>
          </w:tcPr>
          <w:p w14:paraId="3870DE48">
            <w:pPr>
              <w:widowControl/>
              <w:spacing w:line="240" w:lineRule="auto"/>
              <w:jc w:val="center"/>
              <w:rPr>
                <w:rFonts w:ascii="Times New Roman"/>
                <w:b/>
                <w:sz w:val="18"/>
                <w:szCs w:val="20"/>
              </w:rPr>
            </w:pPr>
            <w:r>
              <w:rPr>
                <w:rFonts w:ascii="Times New Roman" w:cs="宋体"/>
                <w:b/>
                <w:sz w:val="18"/>
                <w:szCs w:val="20"/>
              </w:rPr>
              <w:t>数量</w:t>
            </w:r>
          </w:p>
        </w:tc>
        <w:tc>
          <w:tcPr>
            <w:tcW w:w="709" w:type="dxa"/>
            <w:tcMar>
              <w:top w:w="120" w:type="dxa"/>
              <w:left w:w="120" w:type="dxa"/>
              <w:bottom w:w="120" w:type="dxa"/>
              <w:right w:w="120" w:type="dxa"/>
            </w:tcMar>
          </w:tcPr>
          <w:p w14:paraId="5D0C413A">
            <w:pPr>
              <w:widowControl/>
              <w:spacing w:line="240" w:lineRule="auto"/>
              <w:jc w:val="center"/>
              <w:rPr>
                <w:rFonts w:ascii="Times New Roman"/>
                <w:b/>
                <w:sz w:val="18"/>
                <w:szCs w:val="20"/>
              </w:rPr>
            </w:pPr>
            <w:r>
              <w:rPr>
                <w:rFonts w:ascii="Times New Roman" w:cs="宋体"/>
                <w:b/>
                <w:sz w:val="18"/>
                <w:szCs w:val="20"/>
              </w:rPr>
              <w:t>运距</w:t>
            </w:r>
          </w:p>
        </w:tc>
        <w:tc>
          <w:tcPr>
            <w:tcW w:w="1134" w:type="dxa"/>
            <w:tcMar>
              <w:top w:w="120" w:type="dxa"/>
              <w:left w:w="120" w:type="dxa"/>
              <w:bottom w:w="120" w:type="dxa"/>
              <w:right w:w="120" w:type="dxa"/>
            </w:tcMar>
          </w:tcPr>
          <w:p w14:paraId="3A2F3C71">
            <w:pPr>
              <w:widowControl/>
              <w:spacing w:line="240" w:lineRule="auto"/>
              <w:jc w:val="center"/>
              <w:rPr>
                <w:rFonts w:ascii="Times New Roman"/>
                <w:b/>
                <w:sz w:val="18"/>
                <w:szCs w:val="20"/>
              </w:rPr>
            </w:pPr>
            <w:r>
              <w:rPr>
                <w:rFonts w:ascii="Times New Roman" w:cs="宋体"/>
                <w:b/>
                <w:sz w:val="18"/>
                <w:szCs w:val="20"/>
              </w:rPr>
              <w:t>运输方式</w:t>
            </w:r>
          </w:p>
        </w:tc>
        <w:tc>
          <w:tcPr>
            <w:tcW w:w="2269" w:type="dxa"/>
            <w:tcMar>
              <w:top w:w="120" w:type="dxa"/>
              <w:left w:w="120" w:type="dxa"/>
              <w:bottom w:w="120" w:type="dxa"/>
              <w:right w:w="120" w:type="dxa"/>
            </w:tcMar>
          </w:tcPr>
          <w:p w14:paraId="412E83E2">
            <w:pPr>
              <w:widowControl/>
              <w:spacing w:line="240" w:lineRule="auto"/>
              <w:jc w:val="center"/>
              <w:rPr>
                <w:rFonts w:ascii="Times New Roman"/>
                <w:b/>
                <w:sz w:val="18"/>
                <w:szCs w:val="20"/>
              </w:rPr>
            </w:pPr>
            <w:r>
              <w:rPr>
                <w:rFonts w:ascii="Times New Roman" w:cs="宋体"/>
                <w:b/>
                <w:sz w:val="18"/>
                <w:szCs w:val="20"/>
              </w:rPr>
              <w:t>规格、成分</w:t>
            </w:r>
            <w:r>
              <w:rPr>
                <w:rFonts w:ascii="Times New Roman"/>
                <w:b/>
                <w:sz w:val="18"/>
                <w:szCs w:val="20"/>
              </w:rPr>
              <w:t>/</w:t>
            </w:r>
            <w:r>
              <w:rPr>
                <w:rFonts w:ascii="Times New Roman" w:cs="宋体"/>
                <w:b/>
                <w:sz w:val="18"/>
                <w:szCs w:val="20"/>
              </w:rPr>
              <w:t>去向</w:t>
            </w:r>
          </w:p>
        </w:tc>
      </w:tr>
      <w:tr w14:paraId="7EDB03B4">
        <w:trPr>
          <w:trHeight w:val="211" w:hRule="atLeast"/>
        </w:trPr>
        <w:tc>
          <w:tcPr>
            <w:tcW w:w="3256" w:type="dxa"/>
            <w:tcMar>
              <w:top w:w="120" w:type="dxa"/>
              <w:left w:w="120" w:type="dxa"/>
              <w:bottom w:w="120" w:type="dxa"/>
              <w:right w:w="120" w:type="dxa"/>
            </w:tcMar>
          </w:tcPr>
          <w:p w14:paraId="28FFE2B6">
            <w:pPr>
              <w:widowControl/>
              <w:spacing w:line="240" w:lineRule="auto"/>
              <w:rPr>
                <w:rFonts w:ascii="Times New Roman"/>
                <w:sz w:val="18"/>
                <w:szCs w:val="20"/>
              </w:rPr>
            </w:pPr>
            <w:r>
              <w:rPr>
                <w:rFonts w:hint="eastAsia" w:ascii="Times New Roman" w:cs="宋体"/>
                <w:sz w:val="18"/>
                <w:szCs w:val="20"/>
                <w:lang w:eastAsia="zh-CN"/>
              </w:rPr>
              <w:t>稀土冶炼分离产品</w:t>
            </w:r>
          </w:p>
        </w:tc>
        <w:tc>
          <w:tcPr>
            <w:tcW w:w="708" w:type="dxa"/>
            <w:tcMar>
              <w:top w:w="120" w:type="dxa"/>
              <w:left w:w="120" w:type="dxa"/>
              <w:bottom w:w="120" w:type="dxa"/>
              <w:right w:w="120" w:type="dxa"/>
            </w:tcMar>
          </w:tcPr>
          <w:p w14:paraId="7BA92606">
            <w:pPr>
              <w:widowControl/>
              <w:spacing w:line="240" w:lineRule="auto"/>
              <w:rPr>
                <w:rFonts w:ascii="Times New Roman"/>
                <w:sz w:val="18"/>
                <w:szCs w:val="20"/>
              </w:rPr>
            </w:pPr>
          </w:p>
        </w:tc>
        <w:tc>
          <w:tcPr>
            <w:tcW w:w="571" w:type="dxa"/>
          </w:tcPr>
          <w:p w14:paraId="2324A014">
            <w:pPr>
              <w:widowControl/>
              <w:spacing w:line="240" w:lineRule="auto"/>
              <w:rPr>
                <w:rFonts w:ascii="Times New Roman"/>
                <w:sz w:val="18"/>
                <w:szCs w:val="20"/>
              </w:rPr>
            </w:pPr>
          </w:p>
        </w:tc>
        <w:tc>
          <w:tcPr>
            <w:tcW w:w="709" w:type="dxa"/>
            <w:tcMar>
              <w:top w:w="120" w:type="dxa"/>
              <w:left w:w="120" w:type="dxa"/>
              <w:bottom w:w="120" w:type="dxa"/>
              <w:right w:w="120" w:type="dxa"/>
            </w:tcMar>
          </w:tcPr>
          <w:p w14:paraId="4F1DE852">
            <w:pPr>
              <w:widowControl/>
              <w:spacing w:line="240" w:lineRule="auto"/>
              <w:rPr>
                <w:rFonts w:ascii="Times New Roman"/>
                <w:sz w:val="18"/>
                <w:szCs w:val="20"/>
              </w:rPr>
            </w:pPr>
          </w:p>
        </w:tc>
        <w:tc>
          <w:tcPr>
            <w:tcW w:w="1134" w:type="dxa"/>
            <w:tcMar>
              <w:top w:w="120" w:type="dxa"/>
              <w:left w:w="120" w:type="dxa"/>
              <w:bottom w:w="120" w:type="dxa"/>
              <w:right w:w="120" w:type="dxa"/>
            </w:tcMar>
          </w:tcPr>
          <w:p w14:paraId="49666F73">
            <w:pPr>
              <w:widowControl/>
              <w:spacing w:line="240" w:lineRule="auto"/>
              <w:rPr>
                <w:rFonts w:ascii="Times New Roman"/>
                <w:sz w:val="18"/>
                <w:szCs w:val="20"/>
              </w:rPr>
            </w:pPr>
          </w:p>
        </w:tc>
        <w:tc>
          <w:tcPr>
            <w:tcW w:w="2269" w:type="dxa"/>
            <w:tcMar>
              <w:top w:w="120" w:type="dxa"/>
              <w:left w:w="120" w:type="dxa"/>
              <w:bottom w:w="120" w:type="dxa"/>
              <w:right w:w="120" w:type="dxa"/>
            </w:tcMar>
          </w:tcPr>
          <w:p w14:paraId="79CE6A90">
            <w:pPr>
              <w:widowControl/>
              <w:spacing w:line="240" w:lineRule="auto"/>
              <w:rPr>
                <w:rFonts w:ascii="Times New Roman"/>
                <w:sz w:val="18"/>
                <w:szCs w:val="20"/>
              </w:rPr>
            </w:pPr>
          </w:p>
        </w:tc>
      </w:tr>
      <w:tr w14:paraId="68C283BC">
        <w:trPr>
          <w:trHeight w:val="233" w:hRule="atLeast"/>
        </w:trPr>
        <w:tc>
          <w:tcPr>
            <w:tcW w:w="3256" w:type="dxa"/>
            <w:tcMar>
              <w:top w:w="120" w:type="dxa"/>
              <w:left w:w="120" w:type="dxa"/>
              <w:bottom w:w="120" w:type="dxa"/>
              <w:right w:w="120" w:type="dxa"/>
            </w:tcMar>
          </w:tcPr>
          <w:p w14:paraId="332A1816">
            <w:pPr>
              <w:widowControl/>
              <w:spacing w:line="240" w:lineRule="auto"/>
              <w:rPr>
                <w:rFonts w:ascii="Times New Roman"/>
                <w:sz w:val="18"/>
                <w:szCs w:val="20"/>
              </w:rPr>
            </w:pPr>
            <w:r>
              <w:rPr>
                <w:rFonts w:hint="eastAsia" w:ascii="Times New Roman" w:cs="宋体"/>
                <w:sz w:val="18"/>
                <w:szCs w:val="20"/>
                <w:lang w:val="zh-CN" w:eastAsia="zh-CN"/>
              </w:rPr>
              <w:t>废气、废水、废渣等</w:t>
            </w:r>
          </w:p>
        </w:tc>
        <w:tc>
          <w:tcPr>
            <w:tcW w:w="708" w:type="dxa"/>
            <w:tcMar>
              <w:top w:w="120" w:type="dxa"/>
              <w:left w:w="120" w:type="dxa"/>
              <w:bottom w:w="120" w:type="dxa"/>
              <w:right w:w="120" w:type="dxa"/>
            </w:tcMar>
          </w:tcPr>
          <w:p w14:paraId="70EADC08">
            <w:pPr>
              <w:widowControl/>
              <w:spacing w:line="240" w:lineRule="auto"/>
              <w:rPr>
                <w:rFonts w:ascii="Times New Roman"/>
                <w:sz w:val="18"/>
                <w:szCs w:val="20"/>
              </w:rPr>
            </w:pPr>
          </w:p>
        </w:tc>
        <w:tc>
          <w:tcPr>
            <w:tcW w:w="571" w:type="dxa"/>
          </w:tcPr>
          <w:p w14:paraId="7D080927">
            <w:pPr>
              <w:widowControl/>
              <w:spacing w:line="240" w:lineRule="auto"/>
              <w:rPr>
                <w:rFonts w:ascii="Times New Roman"/>
                <w:sz w:val="18"/>
                <w:szCs w:val="20"/>
              </w:rPr>
            </w:pPr>
          </w:p>
        </w:tc>
        <w:tc>
          <w:tcPr>
            <w:tcW w:w="709" w:type="dxa"/>
            <w:tcMar>
              <w:top w:w="120" w:type="dxa"/>
              <w:left w:w="120" w:type="dxa"/>
              <w:bottom w:w="120" w:type="dxa"/>
              <w:right w:w="120" w:type="dxa"/>
            </w:tcMar>
          </w:tcPr>
          <w:p w14:paraId="38540CE3">
            <w:pPr>
              <w:widowControl/>
              <w:spacing w:line="240" w:lineRule="auto"/>
              <w:rPr>
                <w:rFonts w:ascii="Times New Roman"/>
                <w:sz w:val="18"/>
                <w:szCs w:val="20"/>
              </w:rPr>
            </w:pPr>
          </w:p>
        </w:tc>
        <w:tc>
          <w:tcPr>
            <w:tcW w:w="1134" w:type="dxa"/>
            <w:tcMar>
              <w:top w:w="120" w:type="dxa"/>
              <w:left w:w="120" w:type="dxa"/>
              <w:bottom w:w="120" w:type="dxa"/>
              <w:right w:w="120" w:type="dxa"/>
            </w:tcMar>
          </w:tcPr>
          <w:p w14:paraId="0B7F33B7">
            <w:pPr>
              <w:widowControl/>
              <w:spacing w:line="240" w:lineRule="auto"/>
              <w:rPr>
                <w:rFonts w:ascii="Times New Roman"/>
                <w:sz w:val="18"/>
                <w:szCs w:val="20"/>
              </w:rPr>
            </w:pPr>
          </w:p>
        </w:tc>
        <w:tc>
          <w:tcPr>
            <w:tcW w:w="2269" w:type="dxa"/>
            <w:tcMar>
              <w:top w:w="120" w:type="dxa"/>
              <w:left w:w="120" w:type="dxa"/>
              <w:bottom w:w="120" w:type="dxa"/>
              <w:right w:w="120" w:type="dxa"/>
            </w:tcMar>
          </w:tcPr>
          <w:p w14:paraId="29EF9F64">
            <w:pPr>
              <w:widowControl/>
              <w:spacing w:line="240" w:lineRule="auto"/>
              <w:rPr>
                <w:rFonts w:ascii="Times New Roman"/>
                <w:sz w:val="18"/>
                <w:szCs w:val="20"/>
              </w:rPr>
            </w:pPr>
          </w:p>
        </w:tc>
      </w:tr>
      <w:tr w14:paraId="0A6E3CD2">
        <w:trPr>
          <w:trHeight w:val="240" w:hRule="atLeast"/>
        </w:trPr>
        <w:tc>
          <w:tcPr>
            <w:tcW w:w="3256" w:type="dxa"/>
            <w:tcMar>
              <w:top w:w="120" w:type="dxa"/>
              <w:left w:w="120" w:type="dxa"/>
              <w:bottom w:w="120" w:type="dxa"/>
              <w:right w:w="120" w:type="dxa"/>
            </w:tcMar>
          </w:tcPr>
          <w:p w14:paraId="0944BD49">
            <w:pPr>
              <w:widowControl/>
              <w:spacing w:line="240" w:lineRule="auto"/>
              <w:rPr>
                <w:rFonts w:ascii="Times New Roman"/>
                <w:sz w:val="18"/>
                <w:szCs w:val="20"/>
                <w:lang w:eastAsia="zh-CN"/>
              </w:rPr>
            </w:pPr>
            <w:r>
              <w:rPr>
                <w:rFonts w:hint="eastAsia" w:ascii="Times New Roman" w:cs="宋体"/>
                <w:sz w:val="18"/>
                <w:szCs w:val="20"/>
                <w:lang w:val="zh-CN" w:eastAsia="zh-CN"/>
              </w:rPr>
              <w:t>温室气体直接排放（燃料燃烧）</w:t>
            </w:r>
          </w:p>
        </w:tc>
        <w:tc>
          <w:tcPr>
            <w:tcW w:w="708" w:type="dxa"/>
            <w:tcMar>
              <w:top w:w="120" w:type="dxa"/>
              <w:left w:w="120" w:type="dxa"/>
              <w:bottom w:w="120" w:type="dxa"/>
              <w:right w:w="120" w:type="dxa"/>
            </w:tcMar>
          </w:tcPr>
          <w:p w14:paraId="2D1E41E8">
            <w:pPr>
              <w:widowControl/>
              <w:spacing w:line="240" w:lineRule="auto"/>
              <w:rPr>
                <w:rFonts w:ascii="Times New Roman"/>
                <w:sz w:val="18"/>
                <w:szCs w:val="20"/>
                <w:lang w:eastAsia="zh-CN"/>
              </w:rPr>
            </w:pPr>
          </w:p>
        </w:tc>
        <w:tc>
          <w:tcPr>
            <w:tcW w:w="571" w:type="dxa"/>
          </w:tcPr>
          <w:p w14:paraId="7CD33772">
            <w:pPr>
              <w:widowControl/>
              <w:spacing w:line="240" w:lineRule="auto"/>
              <w:rPr>
                <w:rFonts w:ascii="Times New Roman"/>
                <w:sz w:val="18"/>
                <w:szCs w:val="20"/>
                <w:lang w:eastAsia="zh-CN"/>
              </w:rPr>
            </w:pPr>
          </w:p>
        </w:tc>
        <w:tc>
          <w:tcPr>
            <w:tcW w:w="709" w:type="dxa"/>
            <w:tcMar>
              <w:top w:w="120" w:type="dxa"/>
              <w:left w:w="120" w:type="dxa"/>
              <w:bottom w:w="120" w:type="dxa"/>
              <w:right w:w="120" w:type="dxa"/>
            </w:tcMar>
          </w:tcPr>
          <w:p w14:paraId="4E030C45">
            <w:pPr>
              <w:widowControl/>
              <w:spacing w:line="240" w:lineRule="auto"/>
              <w:rPr>
                <w:rFonts w:ascii="Times New Roman"/>
                <w:sz w:val="18"/>
                <w:szCs w:val="20"/>
                <w:lang w:eastAsia="zh-CN"/>
              </w:rPr>
            </w:pPr>
          </w:p>
        </w:tc>
        <w:tc>
          <w:tcPr>
            <w:tcW w:w="1134" w:type="dxa"/>
            <w:tcMar>
              <w:top w:w="120" w:type="dxa"/>
              <w:left w:w="120" w:type="dxa"/>
              <w:bottom w:w="120" w:type="dxa"/>
              <w:right w:w="120" w:type="dxa"/>
            </w:tcMar>
          </w:tcPr>
          <w:p w14:paraId="65FA96A5">
            <w:pPr>
              <w:widowControl/>
              <w:spacing w:line="240" w:lineRule="auto"/>
              <w:rPr>
                <w:rFonts w:ascii="Times New Roman"/>
                <w:sz w:val="18"/>
                <w:szCs w:val="20"/>
                <w:lang w:eastAsia="zh-CN"/>
              </w:rPr>
            </w:pPr>
          </w:p>
        </w:tc>
        <w:tc>
          <w:tcPr>
            <w:tcW w:w="2269" w:type="dxa"/>
            <w:tcMar>
              <w:top w:w="120" w:type="dxa"/>
              <w:left w:w="120" w:type="dxa"/>
              <w:bottom w:w="120" w:type="dxa"/>
              <w:right w:w="120" w:type="dxa"/>
            </w:tcMar>
          </w:tcPr>
          <w:p w14:paraId="59722124">
            <w:pPr>
              <w:widowControl/>
              <w:spacing w:line="240" w:lineRule="auto"/>
              <w:rPr>
                <w:rFonts w:ascii="Times New Roman"/>
                <w:sz w:val="18"/>
                <w:szCs w:val="20"/>
                <w:lang w:eastAsia="zh-CN"/>
              </w:rPr>
            </w:pPr>
          </w:p>
        </w:tc>
      </w:tr>
      <w:tr w14:paraId="3768C1A0">
        <w:trPr>
          <w:trHeight w:val="585" w:hRule="atLeast"/>
        </w:trPr>
        <w:tc>
          <w:tcPr>
            <w:tcW w:w="8647" w:type="dxa"/>
            <w:gridSpan w:val="6"/>
            <w:tcMar>
              <w:top w:w="120" w:type="dxa"/>
              <w:left w:w="120" w:type="dxa"/>
              <w:bottom w:w="120" w:type="dxa"/>
              <w:right w:w="120" w:type="dxa"/>
            </w:tcMar>
          </w:tcPr>
          <w:p w14:paraId="421FF67E">
            <w:pPr>
              <w:widowControl/>
              <w:spacing w:after="0" w:line="240" w:lineRule="auto"/>
              <w:rPr>
                <w:rFonts w:ascii="黑体" w:hAnsi="黑体" w:eastAsia="黑体"/>
                <w:sz w:val="18"/>
                <w:szCs w:val="20"/>
                <w:lang w:eastAsia="zh-CN"/>
              </w:rPr>
            </w:pPr>
            <w:r>
              <w:rPr>
                <w:rFonts w:ascii="黑体" w:hAnsi="黑体" w:eastAsia="黑体" w:cs="宋体"/>
                <w:sz w:val="18"/>
                <w:szCs w:val="20"/>
                <w:lang w:eastAsia="zh-CN"/>
              </w:rPr>
              <w:t>注</w:t>
            </w:r>
            <w:r>
              <w:rPr>
                <w:rFonts w:ascii="黑体" w:hAnsi="黑体" w:eastAsia="黑体"/>
                <w:sz w:val="18"/>
                <w:szCs w:val="20"/>
                <w:lang w:eastAsia="zh-CN"/>
              </w:rPr>
              <w:t>1</w:t>
            </w:r>
            <w:r>
              <w:rPr>
                <w:rFonts w:ascii="黑体" w:hAnsi="黑体" w:eastAsia="黑体" w:cs="宋体"/>
                <w:sz w:val="18"/>
                <w:szCs w:val="20"/>
                <w:lang w:eastAsia="zh-CN"/>
              </w:rPr>
              <w:t>：此数据收集表中的数据是指规定时间段内所有未分配的输入和输出。</w:t>
            </w:r>
          </w:p>
          <w:p w14:paraId="5F400E12">
            <w:pPr>
              <w:widowControl/>
              <w:spacing w:after="0" w:line="240" w:lineRule="auto"/>
              <w:rPr>
                <w:rFonts w:ascii="黑体" w:hAnsi="黑体" w:eastAsia="黑体"/>
                <w:sz w:val="18"/>
                <w:szCs w:val="20"/>
                <w:lang w:eastAsia="zh-CN"/>
              </w:rPr>
            </w:pPr>
            <w:r>
              <w:rPr>
                <w:rFonts w:ascii="黑体" w:hAnsi="黑体" w:eastAsia="黑体" w:cs="宋体"/>
                <w:sz w:val="18"/>
                <w:szCs w:val="20"/>
                <w:lang w:eastAsia="zh-CN"/>
              </w:rPr>
              <w:t>注</w:t>
            </w:r>
            <w:r>
              <w:rPr>
                <w:rFonts w:ascii="黑体" w:hAnsi="黑体" w:eastAsia="黑体"/>
                <w:sz w:val="18"/>
                <w:szCs w:val="20"/>
                <w:lang w:eastAsia="zh-CN"/>
              </w:rPr>
              <w:t>2</w:t>
            </w:r>
            <w:r>
              <w:rPr>
                <w:rFonts w:ascii="黑体" w:hAnsi="黑体" w:eastAsia="黑体" w:cs="宋体"/>
                <w:sz w:val="18"/>
                <w:szCs w:val="20"/>
                <w:lang w:eastAsia="zh-CN"/>
              </w:rPr>
              <w:t>：燃料和热力以热量单位表示。</w:t>
            </w:r>
          </w:p>
        </w:tc>
      </w:tr>
    </w:tbl>
    <w:p w14:paraId="2A570AE3">
      <w:pPr>
        <w:widowControl/>
        <w:spacing w:after="0" w:line="240" w:lineRule="auto"/>
        <w:rPr>
          <w:rFonts w:ascii="Times New Roman" w:hAnsi="Times New Roman" w:eastAsia="宋体" w:cs="Times New Roman"/>
          <w:kern w:val="2"/>
          <w:sz w:val="21"/>
          <w:szCs w:val="24"/>
          <w:lang w:eastAsia="zh-CN"/>
        </w:rPr>
      </w:pPr>
    </w:p>
    <w:p w14:paraId="75FF8598">
      <w:pPr>
        <w:widowControl/>
        <w:spacing w:after="0" w:line="240" w:lineRule="auto"/>
        <w:rPr>
          <w:rFonts w:ascii="Times New Roman" w:hAnsi="Times New Roman" w:eastAsia="宋体" w:cs="Times New Roman"/>
          <w:kern w:val="2"/>
          <w:sz w:val="21"/>
          <w:szCs w:val="24"/>
          <w:lang w:eastAsia="zh-CN"/>
        </w:rPr>
      </w:pPr>
      <w:r>
        <w:rPr>
          <w:rFonts w:ascii="Times New Roman" w:hAnsi="Times New Roman" w:eastAsia="宋体" w:cs="Times New Roman"/>
          <w:kern w:val="2"/>
          <w:sz w:val="21"/>
          <w:szCs w:val="24"/>
          <w:lang w:eastAsia="zh-CN"/>
        </w:rPr>
        <w:br w:type="page"/>
      </w:r>
    </w:p>
    <w:p w14:paraId="47D2F202">
      <w:pPr>
        <w:keepNext/>
        <w:keepLines/>
        <w:adjustRightInd w:val="0"/>
        <w:snapToGrid w:val="0"/>
        <w:spacing w:before="100" w:after="90" w:line="240" w:lineRule="auto"/>
        <w:jc w:val="center"/>
        <w:outlineLvl w:val="0"/>
        <w:rPr>
          <w:rFonts w:ascii="宋体" w:hAnsi="宋体" w:eastAsia="黑体" w:cs="Times New Roman"/>
          <w:bCs/>
          <w:kern w:val="44"/>
          <w:sz w:val="21"/>
          <w:szCs w:val="44"/>
          <w:lang w:eastAsia="zh-CN"/>
        </w:rPr>
      </w:pPr>
      <w:bookmarkStart w:id="128" w:name="_Toc842605248"/>
      <w:bookmarkStart w:id="129" w:name="_Hlk199926109"/>
      <w:r>
        <w:rPr>
          <w:rFonts w:hint="eastAsia" w:ascii="黑体" w:hAnsi="黑体" w:eastAsia="黑体" w:cs="黑体"/>
          <w:bCs/>
          <w:kern w:val="44"/>
          <w:sz w:val="21"/>
          <w:szCs w:val="44"/>
          <w:lang w:eastAsia="zh-CN"/>
        </w:rPr>
        <w:t>附录 D</w:t>
      </w:r>
      <w:bookmarkEnd w:id="128"/>
    </w:p>
    <w:p w14:paraId="029B06AE">
      <w:pPr>
        <w:spacing w:after="0" w:line="360" w:lineRule="auto"/>
        <w:jc w:val="center"/>
        <w:rPr>
          <w:rFonts w:ascii="黑体" w:hAnsi="黑体" w:eastAsia="黑体" w:cs="黑体"/>
          <w:kern w:val="2"/>
          <w:sz w:val="21"/>
          <w:szCs w:val="24"/>
          <w:lang w:eastAsia="zh-CN"/>
        </w:rPr>
      </w:pPr>
      <w:r>
        <w:rPr>
          <w:rFonts w:hint="eastAsia" w:ascii="黑体" w:hAnsi="黑体" w:eastAsia="黑体" w:cs="黑体"/>
          <w:kern w:val="2"/>
          <w:sz w:val="21"/>
          <w:szCs w:val="24"/>
          <w:lang w:eastAsia="zh-CN"/>
        </w:rPr>
        <w:t>（资料性）</w:t>
      </w:r>
    </w:p>
    <w:p w14:paraId="105BED6C">
      <w:pPr>
        <w:spacing w:after="0" w:line="360" w:lineRule="auto"/>
        <w:jc w:val="center"/>
        <w:rPr>
          <w:rFonts w:ascii="黑体" w:hAnsi="黑体" w:eastAsia="黑体" w:cs="黑体"/>
          <w:kern w:val="2"/>
          <w:sz w:val="21"/>
          <w:szCs w:val="24"/>
          <w:lang w:eastAsia="zh-CN"/>
        </w:rPr>
      </w:pPr>
      <w:r>
        <w:rPr>
          <w:rFonts w:hint="eastAsia" w:ascii="黑体" w:hAnsi="黑体" w:eastAsia="黑体" w:cs="黑体"/>
          <w:kern w:val="2"/>
          <w:sz w:val="21"/>
          <w:szCs w:val="24"/>
          <w:lang w:eastAsia="zh-CN"/>
        </w:rPr>
        <w:t>全球变暖潜势</w:t>
      </w:r>
    </w:p>
    <w:bookmarkEnd w:id="129"/>
    <w:p w14:paraId="4BC89DF8">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部分温室气体的全球变暖潜势见表D.1。</w:t>
      </w:r>
    </w:p>
    <w:p w14:paraId="055BF4DB">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表</w:t>
      </w:r>
      <w:r>
        <w:rPr>
          <w:rFonts w:ascii="黑体" w:hAnsi="黑体" w:eastAsia="黑体" w:cs="Times New Roman"/>
          <w:kern w:val="2"/>
          <w:sz w:val="18"/>
          <w:szCs w:val="18"/>
          <w:lang w:eastAsia="zh-CN"/>
        </w:rPr>
        <w:t>D.1</w:t>
      </w:r>
      <w:r>
        <w:rPr>
          <w:rFonts w:hint="eastAsia" w:ascii="黑体" w:hAnsi="黑体" w:eastAsia="黑体" w:cs="Times New Roman"/>
          <w:kern w:val="2"/>
          <w:sz w:val="18"/>
          <w:szCs w:val="18"/>
          <w:lang w:eastAsia="zh-CN"/>
        </w:rPr>
        <w:t>温室气体全球变暖潜势</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65"/>
        <w:gridCol w:w="2765"/>
        <w:gridCol w:w="2766"/>
      </w:tblGrid>
      <w:tr w14:paraId="4FE4B81A">
        <w:trPr>
          <w:trHeight w:val="397" w:hRule="atLeast"/>
          <w:jc w:val="center"/>
        </w:trPr>
        <w:tc>
          <w:tcPr>
            <w:tcW w:w="2765" w:type="dxa"/>
            <w:tcBorders>
              <w:top w:val="single" w:color="000000" w:sz="4" w:space="0"/>
              <w:left w:val="single" w:color="000000" w:sz="4" w:space="0"/>
              <w:bottom w:val="single" w:color="000000" w:sz="4" w:space="0"/>
              <w:right w:val="single" w:color="000000" w:sz="4" w:space="0"/>
            </w:tcBorders>
            <w:vAlign w:val="center"/>
          </w:tcPr>
          <w:p w14:paraId="6674EC4A">
            <w:pPr>
              <w:adjustRightInd w:val="0"/>
              <w:snapToGrid w:val="0"/>
              <w:spacing w:after="0" w:line="240" w:lineRule="auto"/>
              <w:jc w:val="center"/>
              <w:rPr>
                <w:rFonts w:ascii="Times New Roman" w:hAnsi="Times New Roman" w:eastAsia="宋体" w:cs="Times New Roman"/>
                <w:kern w:val="2"/>
                <w:sz w:val="18"/>
                <w:szCs w:val="18"/>
                <w:lang w:eastAsia="zh-CN"/>
              </w:rPr>
            </w:pPr>
            <w:r>
              <w:rPr>
                <w:rFonts w:hint="eastAsia" w:ascii="Times New Roman" w:hAnsi="Times New Roman" w:eastAsia="宋体" w:cs="Times New Roman"/>
                <w:kern w:val="2"/>
                <w:sz w:val="18"/>
                <w:szCs w:val="18"/>
                <w:lang w:eastAsia="zh-CN"/>
              </w:rPr>
              <w:t>气体名称</w:t>
            </w:r>
          </w:p>
        </w:tc>
        <w:tc>
          <w:tcPr>
            <w:tcW w:w="2765" w:type="dxa"/>
            <w:tcBorders>
              <w:top w:val="single" w:color="000000" w:sz="4" w:space="0"/>
              <w:left w:val="nil"/>
              <w:bottom w:val="single" w:color="000000" w:sz="4" w:space="0"/>
              <w:right w:val="single" w:color="000000" w:sz="4" w:space="0"/>
            </w:tcBorders>
            <w:vAlign w:val="center"/>
          </w:tcPr>
          <w:p w14:paraId="2E99B9C3">
            <w:pPr>
              <w:adjustRightInd w:val="0"/>
              <w:snapToGrid w:val="0"/>
              <w:spacing w:after="0" w:line="240" w:lineRule="auto"/>
              <w:jc w:val="center"/>
              <w:rPr>
                <w:rFonts w:ascii="Times New Roman" w:hAnsi="Times New Roman" w:eastAsia="宋体" w:cs="Times New Roman"/>
                <w:kern w:val="2"/>
                <w:sz w:val="18"/>
                <w:szCs w:val="18"/>
                <w:lang w:eastAsia="zh-CN"/>
              </w:rPr>
            </w:pPr>
            <w:r>
              <w:rPr>
                <w:rFonts w:hint="eastAsia" w:ascii="Times New Roman" w:hAnsi="Times New Roman" w:eastAsia="宋体" w:cs="Times New Roman"/>
                <w:kern w:val="2"/>
                <w:sz w:val="18"/>
                <w:szCs w:val="18"/>
                <w:lang w:eastAsia="zh-CN"/>
              </w:rPr>
              <w:t>化学分子式</w:t>
            </w:r>
          </w:p>
        </w:tc>
        <w:tc>
          <w:tcPr>
            <w:tcW w:w="2766" w:type="dxa"/>
            <w:tcBorders>
              <w:top w:val="single" w:color="000000" w:sz="4" w:space="0"/>
              <w:left w:val="nil"/>
              <w:bottom w:val="single" w:color="000000" w:sz="4" w:space="0"/>
              <w:right w:val="single" w:color="000000" w:sz="4" w:space="0"/>
            </w:tcBorders>
            <w:vAlign w:val="center"/>
          </w:tcPr>
          <w:p w14:paraId="5A783060">
            <w:pPr>
              <w:adjustRightInd w:val="0"/>
              <w:snapToGrid w:val="0"/>
              <w:spacing w:after="0" w:line="240" w:lineRule="auto"/>
              <w:jc w:val="center"/>
              <w:rPr>
                <w:rFonts w:ascii="Times New Roman" w:hAnsi="Times New Roman" w:eastAsia="宋体" w:cs="Times New Roman"/>
                <w:kern w:val="2"/>
                <w:sz w:val="18"/>
                <w:szCs w:val="18"/>
                <w:lang w:eastAsia="zh-CN"/>
              </w:rPr>
            </w:pPr>
            <w:r>
              <w:rPr>
                <w:rFonts w:ascii="Times New Roman" w:hAnsi="Times New Roman" w:eastAsia="宋体" w:cs="Times New Roman"/>
                <w:kern w:val="2"/>
                <w:sz w:val="18"/>
                <w:szCs w:val="18"/>
                <w:lang w:eastAsia="zh-CN"/>
              </w:rPr>
              <w:t>100</w:t>
            </w:r>
            <w:r>
              <w:rPr>
                <w:rFonts w:hint="eastAsia" w:ascii="Times New Roman" w:hAnsi="Times New Roman" w:eastAsia="宋体" w:cs="Times New Roman"/>
                <w:kern w:val="2"/>
                <w:sz w:val="18"/>
                <w:szCs w:val="18"/>
                <w:lang w:eastAsia="zh-CN"/>
              </w:rPr>
              <w:t>年的</w:t>
            </w:r>
            <w:r>
              <w:rPr>
                <w:rFonts w:ascii="Times New Roman" w:hAnsi="Times New Roman" w:eastAsia="宋体" w:cs="Times New Roman"/>
                <w:kern w:val="2"/>
                <w:sz w:val="18"/>
                <w:szCs w:val="18"/>
                <w:lang w:eastAsia="zh-CN"/>
              </w:rPr>
              <w:t>GWP</w:t>
            </w:r>
          </w:p>
        </w:tc>
      </w:tr>
      <w:tr w14:paraId="6562D130">
        <w:trPr>
          <w:trHeight w:val="283" w:hRule="atLeast"/>
          <w:jc w:val="center"/>
        </w:trPr>
        <w:tc>
          <w:tcPr>
            <w:tcW w:w="2765" w:type="dxa"/>
            <w:tcBorders>
              <w:top w:val="single" w:color="000000" w:sz="4" w:space="0"/>
              <w:left w:val="single" w:color="000000" w:sz="4" w:space="0"/>
              <w:bottom w:val="single" w:color="000000" w:sz="4" w:space="0"/>
              <w:right w:val="single" w:color="000000" w:sz="4" w:space="0"/>
            </w:tcBorders>
            <w:vAlign w:val="center"/>
          </w:tcPr>
          <w:p w14:paraId="1477A67F">
            <w:pPr>
              <w:adjustRightInd w:val="0"/>
              <w:snapToGrid w:val="0"/>
              <w:spacing w:after="0" w:line="240" w:lineRule="auto"/>
              <w:jc w:val="center"/>
              <w:rPr>
                <w:rFonts w:ascii="Times New Roman" w:hAnsi="Times New Roman" w:eastAsia="宋体" w:cs="Times New Roman"/>
                <w:kern w:val="2"/>
                <w:sz w:val="18"/>
                <w:szCs w:val="18"/>
                <w:lang w:eastAsia="zh-CN"/>
              </w:rPr>
            </w:pPr>
            <w:r>
              <w:rPr>
                <w:rFonts w:hint="eastAsia" w:ascii="Times New Roman" w:hAnsi="Times New Roman" w:eastAsia="宋体" w:cs="Times New Roman"/>
                <w:kern w:val="2"/>
                <w:sz w:val="18"/>
                <w:szCs w:val="18"/>
                <w:lang w:eastAsia="zh-CN"/>
              </w:rPr>
              <w:t>二氧化碳</w:t>
            </w:r>
          </w:p>
        </w:tc>
        <w:tc>
          <w:tcPr>
            <w:tcW w:w="2765" w:type="dxa"/>
            <w:tcBorders>
              <w:top w:val="single" w:color="000000" w:sz="4" w:space="0"/>
              <w:left w:val="nil"/>
              <w:bottom w:val="single" w:color="000000" w:sz="4" w:space="0"/>
              <w:right w:val="single" w:color="000000" w:sz="4" w:space="0"/>
            </w:tcBorders>
            <w:vAlign w:val="center"/>
          </w:tcPr>
          <w:p w14:paraId="4D3B22F0">
            <w:pPr>
              <w:adjustRightInd w:val="0"/>
              <w:snapToGrid w:val="0"/>
              <w:spacing w:after="0" w:line="240" w:lineRule="auto"/>
              <w:jc w:val="center"/>
              <w:rPr>
                <w:rFonts w:ascii="Times New Roman" w:hAnsi="Times New Roman" w:eastAsia="宋体" w:cs="Times New Roman"/>
                <w:kern w:val="2"/>
                <w:sz w:val="18"/>
                <w:szCs w:val="18"/>
                <w:lang w:eastAsia="zh-CN"/>
              </w:rPr>
            </w:pPr>
            <w:r>
              <w:rPr>
                <w:rFonts w:ascii="Times New Roman" w:hAnsi="Times New Roman" w:eastAsia="宋体" w:cs="Times New Roman"/>
                <w:kern w:val="2"/>
                <w:sz w:val="18"/>
                <w:szCs w:val="18"/>
                <w:lang w:eastAsia="zh-CN"/>
              </w:rPr>
              <w:t>CO</w:t>
            </w:r>
            <w:r>
              <w:rPr>
                <w:rFonts w:ascii="Times New Roman" w:hAnsi="Times New Roman" w:eastAsia="宋体" w:cs="Times New Roman"/>
                <w:kern w:val="2"/>
                <w:sz w:val="18"/>
                <w:szCs w:val="18"/>
                <w:vertAlign w:val="subscript"/>
                <w:lang w:eastAsia="zh-CN"/>
              </w:rPr>
              <w:t>2</w:t>
            </w:r>
          </w:p>
        </w:tc>
        <w:tc>
          <w:tcPr>
            <w:tcW w:w="2766" w:type="dxa"/>
            <w:tcBorders>
              <w:top w:val="single" w:color="000000" w:sz="4" w:space="0"/>
              <w:left w:val="nil"/>
              <w:bottom w:val="single" w:color="000000" w:sz="4" w:space="0"/>
              <w:right w:val="single" w:color="000000" w:sz="4" w:space="0"/>
            </w:tcBorders>
            <w:vAlign w:val="center"/>
          </w:tcPr>
          <w:p w14:paraId="70B831FE">
            <w:pPr>
              <w:adjustRightInd w:val="0"/>
              <w:snapToGrid w:val="0"/>
              <w:spacing w:after="0" w:line="240" w:lineRule="auto"/>
              <w:jc w:val="center"/>
              <w:rPr>
                <w:rFonts w:ascii="Times New Roman" w:hAnsi="Times New Roman" w:eastAsia="宋体" w:cs="Times New Roman"/>
                <w:kern w:val="2"/>
                <w:sz w:val="18"/>
                <w:szCs w:val="18"/>
                <w:lang w:eastAsia="zh-CN"/>
              </w:rPr>
            </w:pPr>
            <w:r>
              <w:rPr>
                <w:rFonts w:ascii="Times New Roman" w:hAnsi="Times New Roman" w:eastAsia="宋体" w:cs="Times New Roman"/>
                <w:kern w:val="2"/>
                <w:sz w:val="18"/>
                <w:szCs w:val="18"/>
                <w:lang w:eastAsia="zh-CN"/>
              </w:rPr>
              <w:t>1</w:t>
            </w:r>
          </w:p>
        </w:tc>
      </w:tr>
      <w:tr w14:paraId="610C0B67">
        <w:trPr>
          <w:trHeight w:val="567" w:hRule="atLeast"/>
          <w:jc w:val="center"/>
        </w:trPr>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236E7F08">
            <w:pPr>
              <w:adjustRightInd w:val="0"/>
              <w:snapToGrid w:val="0"/>
              <w:spacing w:after="0" w:line="240" w:lineRule="auto"/>
              <w:rPr>
                <w:rFonts w:ascii="Times New Roman" w:hAnsi="Times New Roman" w:eastAsia="宋体" w:cs="Times New Roman"/>
                <w:kern w:val="2"/>
                <w:sz w:val="18"/>
                <w:szCs w:val="18"/>
                <w:lang w:eastAsia="zh-CN"/>
              </w:rPr>
            </w:pPr>
            <w:r>
              <w:rPr>
                <w:rFonts w:hint="eastAsia" w:ascii="Times New Roman" w:hAnsi="Times New Roman" w:eastAsia="宋体" w:cs="Times New Roman"/>
                <w:kern w:val="2"/>
                <w:sz w:val="18"/>
                <w:szCs w:val="18"/>
                <w:lang w:eastAsia="zh-CN"/>
              </w:rPr>
              <w:t>注：部分温室气体的全球变暖潜势来源于政府间气候变化专门委员会（</w:t>
            </w:r>
            <w:r>
              <w:rPr>
                <w:rFonts w:ascii="Times New Roman" w:hAnsi="Times New Roman" w:eastAsia="宋体" w:cs="Times New Roman"/>
                <w:kern w:val="2"/>
                <w:sz w:val="18"/>
                <w:szCs w:val="18"/>
                <w:lang w:eastAsia="zh-CN"/>
              </w:rPr>
              <w:t>IPCC</w:t>
            </w:r>
            <w:r>
              <w:rPr>
                <w:rFonts w:hint="eastAsia" w:ascii="Times New Roman" w:hAnsi="Times New Roman" w:eastAsia="宋体" w:cs="Times New Roman"/>
                <w:kern w:val="2"/>
                <w:sz w:val="18"/>
                <w:szCs w:val="18"/>
                <w:lang w:eastAsia="zh-CN"/>
              </w:rPr>
              <w:t>）《气候变化报告</w:t>
            </w:r>
            <w:r>
              <w:rPr>
                <w:rFonts w:ascii="Times New Roman" w:hAnsi="Times New Roman" w:eastAsia="宋体" w:cs="Times New Roman"/>
                <w:kern w:val="2"/>
                <w:sz w:val="18"/>
                <w:szCs w:val="18"/>
                <w:lang w:eastAsia="zh-CN"/>
              </w:rPr>
              <w:t>2021</w:t>
            </w:r>
            <w:r>
              <w:rPr>
                <w:rFonts w:hint="eastAsia" w:ascii="Times New Roman" w:hAnsi="Times New Roman" w:eastAsia="宋体" w:cs="Times New Roman"/>
                <w:kern w:val="2"/>
                <w:sz w:val="18"/>
                <w:szCs w:val="18"/>
                <w:lang w:eastAsia="zh-CN"/>
              </w:rPr>
              <w:t>：自然科学基础第一工作组对政府间气候变化专门委员会第六次评估报告的贡献》。</w:t>
            </w:r>
          </w:p>
        </w:tc>
      </w:tr>
    </w:tbl>
    <w:p w14:paraId="2DAA9D2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p>
    <w:p w14:paraId="2C7C494A">
      <w:pPr>
        <w:widowControl/>
        <w:spacing w:after="0" w:line="240" w:lineRule="auto"/>
        <w:rPr>
          <w:rFonts w:ascii="Times New Roman" w:hAnsi="Times New Roman" w:eastAsia="宋体" w:cs="Times New Roman"/>
          <w:kern w:val="2"/>
          <w:sz w:val="21"/>
          <w:szCs w:val="21"/>
          <w:lang w:eastAsia="zh-CN"/>
        </w:rPr>
      </w:pPr>
      <w:r>
        <w:rPr>
          <w:rFonts w:ascii="Times New Roman" w:hAnsi="Times New Roman" w:eastAsia="宋体" w:cs="Times New Roman"/>
          <w:kern w:val="2"/>
          <w:sz w:val="21"/>
          <w:szCs w:val="21"/>
          <w:lang w:eastAsia="zh-CN"/>
        </w:rPr>
        <w:br w:type="page"/>
      </w:r>
    </w:p>
    <w:p w14:paraId="367D78EB">
      <w:pPr>
        <w:keepNext/>
        <w:keepLines/>
        <w:adjustRightInd w:val="0"/>
        <w:snapToGrid w:val="0"/>
        <w:spacing w:before="100" w:after="90" w:line="240" w:lineRule="auto"/>
        <w:jc w:val="center"/>
        <w:outlineLvl w:val="0"/>
        <w:rPr>
          <w:rFonts w:ascii="宋体" w:hAnsi="宋体" w:eastAsia="黑体" w:cs="Times New Roman"/>
          <w:bCs/>
          <w:kern w:val="44"/>
          <w:sz w:val="21"/>
          <w:szCs w:val="44"/>
          <w:lang w:eastAsia="zh-CN"/>
        </w:rPr>
      </w:pPr>
      <w:bookmarkStart w:id="130" w:name="_Toc1159234818"/>
      <w:r>
        <w:rPr>
          <w:rFonts w:hint="eastAsia" w:ascii="黑体" w:hAnsi="黑体" w:eastAsia="黑体" w:cs="黑体"/>
          <w:bCs/>
          <w:kern w:val="44"/>
          <w:sz w:val="21"/>
          <w:szCs w:val="44"/>
          <w:lang w:eastAsia="zh-CN"/>
        </w:rPr>
        <w:t>附录 E</w:t>
      </w:r>
      <w:bookmarkEnd w:id="130"/>
    </w:p>
    <w:p w14:paraId="0694AF6F">
      <w:pPr>
        <w:spacing w:after="0" w:line="360" w:lineRule="auto"/>
        <w:jc w:val="center"/>
        <w:rPr>
          <w:rFonts w:ascii="黑体" w:hAnsi="黑体" w:eastAsia="黑体" w:cs="黑体"/>
          <w:kern w:val="2"/>
          <w:sz w:val="21"/>
          <w:szCs w:val="24"/>
          <w:lang w:eastAsia="zh-CN"/>
        </w:rPr>
      </w:pPr>
      <w:r>
        <w:rPr>
          <w:rFonts w:hint="eastAsia" w:ascii="黑体" w:hAnsi="黑体" w:eastAsia="黑体" w:cs="黑体"/>
          <w:kern w:val="2"/>
          <w:sz w:val="21"/>
          <w:szCs w:val="24"/>
          <w:lang w:eastAsia="zh-CN"/>
        </w:rPr>
        <w:t>（资料性）</w:t>
      </w:r>
    </w:p>
    <w:p w14:paraId="111AE38F">
      <w:pPr>
        <w:spacing w:after="0" w:line="360" w:lineRule="auto"/>
        <w:jc w:val="center"/>
        <w:rPr>
          <w:rFonts w:ascii="黑体" w:hAnsi="黑体" w:eastAsia="黑体" w:cs="黑体"/>
          <w:kern w:val="2"/>
          <w:sz w:val="21"/>
          <w:szCs w:val="24"/>
          <w:lang w:eastAsia="zh-CN"/>
        </w:rPr>
      </w:pPr>
      <w:r>
        <w:rPr>
          <w:rFonts w:hint="eastAsia" w:ascii="黑体" w:hAnsi="黑体" w:eastAsia="黑体" w:cs="黑体"/>
          <w:kern w:val="2"/>
          <w:sz w:val="21"/>
          <w:szCs w:val="24"/>
          <w:lang w:eastAsia="zh-CN"/>
        </w:rPr>
        <w:t>产品碳足迹报告模板</w:t>
      </w:r>
    </w:p>
    <w:p w14:paraId="4F989B32">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产品碳足迹报告模板如下。</w:t>
      </w:r>
    </w:p>
    <w:p w14:paraId="127711D4">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p>
    <w:p w14:paraId="7D93688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p>
    <w:p w14:paraId="09EB436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p>
    <w:p w14:paraId="369FDE6F">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p>
    <w:p w14:paraId="61FB52A9">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p>
    <w:p w14:paraId="4D0C0D1C">
      <w:pPr>
        <w:adjustRightInd w:val="0"/>
        <w:snapToGrid w:val="0"/>
        <w:spacing w:after="0" w:line="360" w:lineRule="auto"/>
        <w:jc w:val="center"/>
        <w:rPr>
          <w:rFonts w:ascii="黑体" w:hAnsi="黑体" w:eastAsia="黑体" w:cs="Times New Roman"/>
          <w:kern w:val="2"/>
          <w:sz w:val="36"/>
          <w:szCs w:val="36"/>
          <w:lang w:eastAsia="zh-CN"/>
        </w:rPr>
      </w:pPr>
      <w:r>
        <w:rPr>
          <w:rFonts w:hint="eastAsia" w:ascii="黑体" w:hAnsi="黑体" w:eastAsia="黑体" w:cs="Times New Roman"/>
          <w:kern w:val="2"/>
          <w:sz w:val="36"/>
          <w:szCs w:val="36"/>
          <w:lang w:eastAsia="zh-CN"/>
        </w:rPr>
        <w:t>产品碳足迹报告（模板）</w:t>
      </w:r>
    </w:p>
    <w:p w14:paraId="3661E81A">
      <w:pPr>
        <w:adjustRightInd w:val="0"/>
        <w:snapToGrid w:val="0"/>
        <w:spacing w:after="0" w:line="360" w:lineRule="auto"/>
        <w:rPr>
          <w:rFonts w:ascii="黑体" w:hAnsi="黑体" w:eastAsia="黑体" w:cs="Times New Roman"/>
          <w:kern w:val="2"/>
          <w:sz w:val="21"/>
          <w:szCs w:val="21"/>
          <w:lang w:eastAsia="zh-CN"/>
        </w:rPr>
      </w:pPr>
    </w:p>
    <w:p w14:paraId="7D24AA6A">
      <w:pPr>
        <w:adjustRightInd w:val="0"/>
        <w:snapToGrid w:val="0"/>
        <w:spacing w:after="0" w:line="360" w:lineRule="auto"/>
        <w:rPr>
          <w:rFonts w:ascii="黑体" w:hAnsi="黑体" w:eastAsia="黑体" w:cs="Times New Roman"/>
          <w:kern w:val="2"/>
          <w:sz w:val="21"/>
          <w:szCs w:val="21"/>
          <w:lang w:eastAsia="zh-CN"/>
        </w:rPr>
      </w:pPr>
    </w:p>
    <w:p w14:paraId="69049A46">
      <w:pPr>
        <w:adjustRightInd w:val="0"/>
        <w:snapToGrid w:val="0"/>
        <w:spacing w:after="0" w:line="360" w:lineRule="auto"/>
        <w:rPr>
          <w:rFonts w:ascii="黑体" w:hAnsi="黑体" w:eastAsia="黑体" w:cs="Times New Roman"/>
          <w:kern w:val="2"/>
          <w:sz w:val="21"/>
          <w:szCs w:val="21"/>
          <w:lang w:eastAsia="zh-CN"/>
        </w:rPr>
      </w:pPr>
    </w:p>
    <w:p w14:paraId="2D03BFA0">
      <w:pPr>
        <w:adjustRightInd w:val="0"/>
        <w:snapToGrid w:val="0"/>
        <w:spacing w:after="0" w:line="360" w:lineRule="auto"/>
        <w:rPr>
          <w:rFonts w:ascii="黑体" w:hAnsi="黑体" w:eastAsia="黑体" w:cs="Times New Roman"/>
          <w:kern w:val="2"/>
          <w:sz w:val="21"/>
          <w:szCs w:val="21"/>
          <w:lang w:eastAsia="zh-CN"/>
        </w:rPr>
      </w:pPr>
    </w:p>
    <w:p w14:paraId="643CB194">
      <w:pPr>
        <w:adjustRightInd w:val="0"/>
        <w:snapToGrid w:val="0"/>
        <w:spacing w:after="0" w:line="360" w:lineRule="auto"/>
        <w:rPr>
          <w:rFonts w:cs="Times New Roman" w:asciiTheme="minorEastAsia" w:hAnsiTheme="minorEastAsia"/>
          <w:kern w:val="2"/>
          <w:sz w:val="21"/>
          <w:szCs w:val="21"/>
          <w:lang w:eastAsia="zh-CN"/>
        </w:rPr>
      </w:pPr>
    </w:p>
    <w:p w14:paraId="4EB99920">
      <w:pPr>
        <w:adjustRightInd w:val="0"/>
        <w:snapToGrid w:val="0"/>
        <w:spacing w:after="0" w:line="480" w:lineRule="auto"/>
        <w:rPr>
          <w:rFonts w:cs="Times New Roman" w:asciiTheme="minorEastAsia" w:hAnsiTheme="minorEastAsia"/>
          <w:kern w:val="2"/>
          <w:sz w:val="21"/>
          <w:szCs w:val="21"/>
          <w:u w:val="single"/>
          <w:lang w:eastAsia="zh-CN"/>
        </w:rPr>
      </w:pPr>
      <w:r>
        <w:rPr>
          <w:rFonts w:hint="eastAsia" w:cs="Times New Roman" w:asciiTheme="minorEastAsia" w:hAnsiTheme="minorEastAsia"/>
          <w:kern w:val="2"/>
          <w:sz w:val="21"/>
          <w:szCs w:val="21"/>
          <w:lang w:eastAsia="zh-CN"/>
        </w:rPr>
        <w:t>产品名称：</w:t>
      </w:r>
      <w:r>
        <w:rPr>
          <w:rFonts w:hint="eastAsia" w:cs="Times New Roman" w:asciiTheme="minorEastAsia" w:hAnsiTheme="minorEastAsia"/>
          <w:kern w:val="2"/>
          <w:sz w:val="21"/>
          <w:szCs w:val="21"/>
          <w:u w:val="single"/>
          <w:lang w:eastAsia="zh-CN"/>
        </w:rPr>
        <w:t xml:space="preserve">                              </w:t>
      </w:r>
    </w:p>
    <w:p w14:paraId="4DA6C584">
      <w:pPr>
        <w:adjustRightInd w:val="0"/>
        <w:snapToGrid w:val="0"/>
        <w:spacing w:after="0" w:line="480" w:lineRule="auto"/>
        <w:rPr>
          <w:rFonts w:cs="Times New Roman" w:asciiTheme="minorEastAsia" w:hAnsiTheme="minorEastAsia"/>
          <w:kern w:val="2"/>
          <w:sz w:val="21"/>
          <w:szCs w:val="21"/>
          <w:u w:val="single"/>
          <w:lang w:eastAsia="zh-CN"/>
        </w:rPr>
      </w:pPr>
      <w:r>
        <w:rPr>
          <w:rFonts w:hint="eastAsia" w:cs="Times New Roman" w:asciiTheme="minorEastAsia" w:hAnsiTheme="minorEastAsia"/>
          <w:kern w:val="2"/>
          <w:sz w:val="21"/>
          <w:szCs w:val="21"/>
          <w:lang w:eastAsia="zh-CN"/>
        </w:rPr>
        <w:t>产品规格型号：</w:t>
      </w:r>
      <w:r>
        <w:rPr>
          <w:rFonts w:hint="eastAsia" w:cs="Times New Roman" w:asciiTheme="minorEastAsia" w:hAnsiTheme="minorEastAsia"/>
          <w:kern w:val="2"/>
          <w:sz w:val="21"/>
          <w:szCs w:val="21"/>
          <w:u w:val="single"/>
          <w:lang w:eastAsia="zh-CN"/>
        </w:rPr>
        <w:t xml:space="preserve">                          </w:t>
      </w:r>
    </w:p>
    <w:p w14:paraId="6F2D1E90">
      <w:pPr>
        <w:adjustRightInd w:val="0"/>
        <w:snapToGrid w:val="0"/>
        <w:spacing w:after="0" w:line="480" w:lineRule="auto"/>
        <w:rPr>
          <w:rFonts w:cs="Times New Roman" w:asciiTheme="minorEastAsia" w:hAnsiTheme="minorEastAsia"/>
          <w:kern w:val="2"/>
          <w:sz w:val="21"/>
          <w:szCs w:val="21"/>
          <w:lang w:eastAsia="zh-CN"/>
        </w:rPr>
      </w:pPr>
      <w:r>
        <w:rPr>
          <w:rFonts w:hint="eastAsia" w:cs="Times New Roman" w:asciiTheme="minorEastAsia" w:hAnsiTheme="minorEastAsia"/>
          <w:kern w:val="2"/>
          <w:sz w:val="21"/>
          <w:szCs w:val="21"/>
          <w:lang w:eastAsia="zh-CN"/>
        </w:rPr>
        <w:t>生产者名称：</w:t>
      </w:r>
      <w:r>
        <w:rPr>
          <w:rFonts w:hint="eastAsia" w:cs="Times New Roman" w:asciiTheme="minorEastAsia" w:hAnsiTheme="minorEastAsia"/>
          <w:kern w:val="2"/>
          <w:sz w:val="21"/>
          <w:szCs w:val="21"/>
          <w:u w:val="single"/>
          <w:lang w:eastAsia="zh-CN"/>
        </w:rPr>
        <w:t xml:space="preserve">                            </w:t>
      </w:r>
      <w:r>
        <w:rPr>
          <w:rFonts w:hint="eastAsia" w:cs="Times New Roman" w:asciiTheme="minorEastAsia" w:hAnsiTheme="minorEastAsia"/>
          <w:kern w:val="2"/>
          <w:sz w:val="21"/>
          <w:szCs w:val="21"/>
          <w:lang w:eastAsia="zh-CN"/>
        </w:rPr>
        <w:t xml:space="preserve">              </w:t>
      </w:r>
    </w:p>
    <w:p w14:paraId="3F36CF49">
      <w:pPr>
        <w:adjustRightInd w:val="0"/>
        <w:snapToGrid w:val="0"/>
        <w:spacing w:after="0" w:line="480" w:lineRule="auto"/>
        <w:rPr>
          <w:rFonts w:cs="Times New Roman" w:asciiTheme="minorEastAsia" w:hAnsiTheme="minorEastAsia"/>
          <w:kern w:val="2"/>
          <w:sz w:val="21"/>
          <w:szCs w:val="21"/>
          <w:u w:val="single"/>
          <w:lang w:eastAsia="zh-CN"/>
        </w:rPr>
      </w:pPr>
      <w:r>
        <w:rPr>
          <w:rFonts w:hint="eastAsia" w:cs="Times New Roman" w:asciiTheme="minorEastAsia" w:hAnsiTheme="minorEastAsia"/>
          <w:kern w:val="2"/>
          <w:sz w:val="21"/>
          <w:szCs w:val="21"/>
          <w:lang w:eastAsia="zh-CN"/>
        </w:rPr>
        <w:t>报告型号：</w:t>
      </w:r>
      <w:r>
        <w:rPr>
          <w:rFonts w:hint="eastAsia" w:cs="Times New Roman" w:asciiTheme="minorEastAsia" w:hAnsiTheme="minorEastAsia"/>
          <w:kern w:val="2"/>
          <w:sz w:val="21"/>
          <w:szCs w:val="21"/>
          <w:u w:val="single"/>
          <w:lang w:eastAsia="zh-CN"/>
        </w:rPr>
        <w:t xml:space="preserve">                              </w:t>
      </w:r>
    </w:p>
    <w:p w14:paraId="1B3D5BD7">
      <w:pPr>
        <w:adjustRightInd w:val="0"/>
        <w:snapToGrid w:val="0"/>
        <w:spacing w:after="0" w:line="360" w:lineRule="auto"/>
        <w:rPr>
          <w:rFonts w:cs="Times New Roman" w:asciiTheme="minorEastAsia" w:hAnsiTheme="minorEastAsia"/>
          <w:kern w:val="2"/>
          <w:sz w:val="21"/>
          <w:szCs w:val="21"/>
          <w:u w:val="single"/>
          <w:lang w:eastAsia="zh-CN"/>
        </w:rPr>
      </w:pPr>
    </w:p>
    <w:p w14:paraId="0E200086">
      <w:pPr>
        <w:adjustRightInd w:val="0"/>
        <w:snapToGrid w:val="0"/>
        <w:spacing w:after="0" w:line="360" w:lineRule="auto"/>
        <w:rPr>
          <w:rFonts w:cs="Times New Roman" w:asciiTheme="minorEastAsia" w:hAnsiTheme="minorEastAsia"/>
          <w:kern w:val="2"/>
          <w:sz w:val="21"/>
          <w:szCs w:val="21"/>
          <w:u w:val="single"/>
          <w:lang w:eastAsia="zh-CN"/>
        </w:rPr>
      </w:pPr>
    </w:p>
    <w:p w14:paraId="0B836FEE">
      <w:pPr>
        <w:adjustRightInd w:val="0"/>
        <w:snapToGrid w:val="0"/>
        <w:spacing w:after="0" w:line="360" w:lineRule="auto"/>
        <w:rPr>
          <w:rFonts w:cs="Times New Roman" w:asciiTheme="minorEastAsia" w:hAnsiTheme="minorEastAsia"/>
          <w:kern w:val="2"/>
          <w:sz w:val="21"/>
          <w:szCs w:val="21"/>
          <w:u w:val="single"/>
          <w:lang w:eastAsia="zh-CN"/>
        </w:rPr>
      </w:pPr>
    </w:p>
    <w:p w14:paraId="0E62311A">
      <w:pPr>
        <w:adjustRightInd w:val="0"/>
        <w:snapToGrid w:val="0"/>
        <w:spacing w:after="0" w:line="360" w:lineRule="auto"/>
        <w:rPr>
          <w:rFonts w:cs="Times New Roman" w:asciiTheme="minorEastAsia" w:hAnsiTheme="minorEastAsia"/>
          <w:kern w:val="2"/>
          <w:sz w:val="21"/>
          <w:szCs w:val="21"/>
          <w:u w:val="single"/>
          <w:lang w:eastAsia="zh-CN"/>
        </w:rPr>
      </w:pPr>
    </w:p>
    <w:p w14:paraId="422BFC74">
      <w:pPr>
        <w:adjustRightInd w:val="0"/>
        <w:snapToGrid w:val="0"/>
        <w:spacing w:after="0" w:line="360" w:lineRule="auto"/>
        <w:rPr>
          <w:rFonts w:cs="Times New Roman" w:asciiTheme="minorEastAsia" w:hAnsiTheme="minorEastAsia"/>
          <w:kern w:val="2"/>
          <w:sz w:val="21"/>
          <w:szCs w:val="21"/>
          <w:u w:val="single"/>
          <w:lang w:eastAsia="zh-CN"/>
        </w:rPr>
      </w:pPr>
    </w:p>
    <w:p w14:paraId="39365D5D">
      <w:pPr>
        <w:adjustRightInd w:val="0"/>
        <w:snapToGrid w:val="0"/>
        <w:spacing w:after="0" w:line="360" w:lineRule="auto"/>
        <w:rPr>
          <w:rFonts w:cs="Times New Roman" w:asciiTheme="minorEastAsia" w:hAnsiTheme="minorEastAsia"/>
          <w:kern w:val="2"/>
          <w:sz w:val="21"/>
          <w:szCs w:val="21"/>
          <w:u w:val="single"/>
          <w:lang w:eastAsia="zh-CN"/>
        </w:rPr>
      </w:pPr>
    </w:p>
    <w:p w14:paraId="5CCC0FCA">
      <w:pPr>
        <w:adjustRightInd w:val="0"/>
        <w:snapToGrid w:val="0"/>
        <w:spacing w:after="0" w:line="360" w:lineRule="auto"/>
        <w:ind w:firstLine="3360" w:firstLineChars="1600"/>
        <w:rPr>
          <w:rFonts w:cs="Times New Roman" w:asciiTheme="minorEastAsia" w:hAnsiTheme="minorEastAsia"/>
          <w:kern w:val="2"/>
          <w:sz w:val="21"/>
          <w:szCs w:val="21"/>
          <w:lang w:eastAsia="zh-CN"/>
        </w:rPr>
      </w:pPr>
      <w:r>
        <w:rPr>
          <w:rFonts w:hint="eastAsia" w:cs="Times New Roman" w:asciiTheme="minorEastAsia" w:hAnsiTheme="minorEastAsia"/>
          <w:kern w:val="2"/>
          <w:sz w:val="21"/>
          <w:szCs w:val="21"/>
          <w:lang w:eastAsia="zh-CN"/>
        </w:rPr>
        <w:t>出具报告机构：            （盖章</w:t>
      </w:r>
      <w:r>
        <w:rPr>
          <w:rFonts w:cs="Times New Roman" w:asciiTheme="minorEastAsia" w:hAnsiTheme="minorEastAsia"/>
          <w:kern w:val="2"/>
          <w:sz w:val="21"/>
          <w:szCs w:val="21"/>
          <w:lang w:eastAsia="zh-CN"/>
        </w:rPr>
        <w:t>）</w:t>
      </w:r>
    </w:p>
    <w:p w14:paraId="4E406852">
      <w:pPr>
        <w:adjustRightInd w:val="0"/>
        <w:snapToGrid w:val="0"/>
        <w:spacing w:after="0" w:line="360" w:lineRule="auto"/>
        <w:ind w:firstLine="3360" w:firstLineChars="1600"/>
        <w:rPr>
          <w:rFonts w:cs="Times New Roman" w:asciiTheme="minorEastAsia" w:hAnsiTheme="minorEastAsia"/>
          <w:kern w:val="2"/>
          <w:sz w:val="21"/>
          <w:szCs w:val="21"/>
          <w:lang w:eastAsia="zh-CN"/>
        </w:rPr>
      </w:pPr>
    </w:p>
    <w:p w14:paraId="45845DA2">
      <w:pPr>
        <w:adjustRightInd w:val="0"/>
        <w:snapToGrid w:val="0"/>
        <w:spacing w:after="0" w:line="360" w:lineRule="auto"/>
        <w:ind w:firstLine="5670" w:firstLineChars="2700"/>
        <w:rPr>
          <w:rFonts w:cs="Times New Roman" w:asciiTheme="minorEastAsia" w:hAnsiTheme="minorEastAsia"/>
          <w:kern w:val="2"/>
          <w:sz w:val="21"/>
          <w:szCs w:val="21"/>
          <w:lang w:eastAsia="zh-CN"/>
        </w:rPr>
      </w:pPr>
      <w:r>
        <w:rPr>
          <w:rFonts w:hint="eastAsia" w:cs="Times New Roman" w:asciiTheme="minorEastAsia" w:hAnsiTheme="minorEastAsia"/>
          <w:kern w:val="2"/>
          <w:sz w:val="21"/>
          <w:szCs w:val="21"/>
          <w:lang w:eastAsia="zh-CN"/>
        </w:rPr>
        <w:t>日期：      年    月    日</w:t>
      </w:r>
    </w:p>
    <w:p w14:paraId="17FCFFD8">
      <w:pPr>
        <w:adjustRightInd w:val="0"/>
        <w:snapToGrid w:val="0"/>
        <w:spacing w:after="0" w:line="360" w:lineRule="auto"/>
        <w:rPr>
          <w:rFonts w:cs="Times New Roman" w:asciiTheme="minorEastAsia" w:hAnsiTheme="minorEastAsia"/>
          <w:kern w:val="2"/>
          <w:sz w:val="21"/>
          <w:szCs w:val="21"/>
          <w:u w:val="single"/>
          <w:lang w:eastAsia="zh-CN"/>
        </w:rPr>
      </w:pPr>
    </w:p>
    <w:p w14:paraId="09DAFB24">
      <w:pPr>
        <w:adjustRightInd w:val="0"/>
        <w:snapToGrid w:val="0"/>
        <w:spacing w:after="0" w:line="360" w:lineRule="auto"/>
        <w:rPr>
          <w:rFonts w:cs="Times New Roman" w:asciiTheme="minorEastAsia" w:hAnsiTheme="minorEastAsia"/>
          <w:kern w:val="2"/>
          <w:sz w:val="21"/>
          <w:szCs w:val="21"/>
          <w:u w:val="single"/>
          <w:lang w:eastAsia="zh-CN"/>
        </w:rPr>
      </w:pPr>
    </w:p>
    <w:p w14:paraId="4F1B11E5">
      <w:pPr>
        <w:adjustRightInd w:val="0"/>
        <w:snapToGrid w:val="0"/>
        <w:spacing w:after="0" w:line="360" w:lineRule="auto"/>
        <w:rPr>
          <w:rFonts w:cs="Times New Roman" w:asciiTheme="minorEastAsia" w:hAnsiTheme="minorEastAsia"/>
          <w:kern w:val="2"/>
          <w:sz w:val="21"/>
          <w:szCs w:val="21"/>
          <w:lang w:eastAsia="zh-CN"/>
        </w:rPr>
      </w:pPr>
    </w:p>
    <w:p w14:paraId="67957367">
      <w:pPr>
        <w:widowControl/>
        <w:spacing w:after="0" w:line="240" w:lineRule="auto"/>
        <w:rPr>
          <w:rFonts w:cs="Times New Roman" w:asciiTheme="minorEastAsia" w:hAnsiTheme="minorEastAsia"/>
          <w:kern w:val="2"/>
          <w:sz w:val="21"/>
          <w:szCs w:val="21"/>
          <w:lang w:eastAsia="zh-CN"/>
        </w:rPr>
      </w:pPr>
      <w:r>
        <w:rPr>
          <w:rFonts w:hint="eastAsia" w:cs="Times New Roman" w:asciiTheme="minorEastAsia" w:hAnsiTheme="minorEastAsia"/>
          <w:kern w:val="2"/>
          <w:sz w:val="21"/>
          <w:szCs w:val="21"/>
          <w:lang w:eastAsia="zh-CN"/>
        </w:rPr>
        <w:br w:type="page"/>
      </w:r>
    </w:p>
    <w:p w14:paraId="03889E43">
      <w:pPr>
        <w:spacing w:before="240" w:beforeLines="100" w:after="240" w:afterLines="100" w:line="240" w:lineRule="auto"/>
        <w:rPr>
          <w:rFonts w:ascii="Times New Roman" w:eastAsia="黑体"/>
          <w:sz w:val="21"/>
          <w:szCs w:val="21"/>
          <w:lang w:eastAsia="zh-CN"/>
        </w:rPr>
      </w:pPr>
      <w:bookmarkStart w:id="131" w:name="_Toc190159514"/>
      <w:r>
        <w:rPr>
          <w:rFonts w:hint="eastAsia" w:ascii="Times New Roman" w:eastAsia="黑体"/>
          <w:bCs/>
          <w:sz w:val="21"/>
          <w:szCs w:val="21"/>
          <w:lang w:eastAsia="zh-CN"/>
        </w:rPr>
        <w:t>一、概况</w:t>
      </w:r>
      <w:bookmarkEnd w:id="131"/>
    </w:p>
    <w:p w14:paraId="2B2C3294">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32" w:name="_Toc190159515"/>
      <w:r>
        <w:rPr>
          <w:rFonts w:hint="eastAsia" w:ascii="黑体" w:hAnsi="黑体" w:eastAsia="黑体" w:cs="黑体"/>
          <w:kern w:val="2"/>
          <w:sz w:val="21"/>
          <w:szCs w:val="24"/>
          <w:lang w:eastAsia="zh-CN"/>
        </w:rPr>
        <w:t>1</w:t>
      </w:r>
      <w:r>
        <w:rPr>
          <w:rFonts w:ascii="黑体" w:hAnsi="黑体" w:eastAsia="黑体" w:cs="黑体"/>
          <w:kern w:val="2"/>
          <w:sz w:val="21"/>
          <w:szCs w:val="24"/>
          <w:lang w:eastAsia="zh-CN"/>
        </w:rPr>
        <w:t>.</w:t>
      </w:r>
      <w:r>
        <w:rPr>
          <w:rFonts w:hint="eastAsia" w:ascii="黑体" w:hAnsi="黑体" w:eastAsia="黑体" w:cs="黑体"/>
          <w:kern w:val="2"/>
          <w:sz w:val="21"/>
          <w:szCs w:val="24"/>
          <w:lang w:eastAsia="zh-CN"/>
        </w:rPr>
        <w:t>生产者信息</w:t>
      </w:r>
      <w:bookmarkEnd w:id="132"/>
    </w:p>
    <w:p w14:paraId="599D211F">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生产者名称：</w:t>
      </w:r>
    </w:p>
    <w:p w14:paraId="7C0C756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地址：</w:t>
      </w:r>
    </w:p>
    <w:p w14:paraId="0501EEA2">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法定代表人：</w:t>
      </w:r>
    </w:p>
    <w:p w14:paraId="362C5F18">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授权人（联系人）：</w:t>
      </w:r>
    </w:p>
    <w:p w14:paraId="5F48F5E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联系电话：</w:t>
      </w:r>
    </w:p>
    <w:p w14:paraId="0D0F9FF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公司概况：</w:t>
      </w:r>
    </w:p>
    <w:p w14:paraId="2B78FE9B">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33" w:name="_Toc190159516"/>
      <w:r>
        <w:rPr>
          <w:rFonts w:ascii="黑体" w:hAnsi="黑体" w:eastAsia="黑体" w:cs="黑体"/>
          <w:kern w:val="2"/>
          <w:sz w:val="21"/>
          <w:szCs w:val="24"/>
          <w:lang w:eastAsia="zh-CN"/>
        </w:rPr>
        <w:t>2</w:t>
      </w:r>
      <w:r>
        <w:rPr>
          <w:rFonts w:hint="eastAsia" w:ascii="黑体" w:hAnsi="黑体" w:eastAsia="黑体" w:cs="黑体"/>
          <w:kern w:val="2"/>
          <w:sz w:val="21"/>
          <w:szCs w:val="24"/>
          <w:lang w:eastAsia="zh-CN"/>
        </w:rPr>
        <w:t>．产品信息</w:t>
      </w:r>
      <w:bookmarkEnd w:id="133"/>
    </w:p>
    <w:p w14:paraId="5BCC5068">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产品名称：</w:t>
      </w:r>
    </w:p>
    <w:p w14:paraId="4835864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产品功能：</w:t>
      </w:r>
    </w:p>
    <w:p w14:paraId="486D9CE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产品介绍：</w:t>
      </w:r>
    </w:p>
    <w:p w14:paraId="3029F3FC">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产品图片：</w:t>
      </w:r>
    </w:p>
    <w:p w14:paraId="5481D3C0">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34" w:name="_Toc190159517"/>
      <w:r>
        <w:rPr>
          <w:rFonts w:ascii="黑体" w:hAnsi="黑体" w:eastAsia="黑体" w:cs="黑体"/>
          <w:kern w:val="2"/>
          <w:sz w:val="21"/>
          <w:szCs w:val="24"/>
          <w:lang w:eastAsia="zh-CN"/>
        </w:rPr>
        <w:t>3.</w:t>
      </w:r>
      <w:r>
        <w:rPr>
          <w:rFonts w:hint="eastAsia" w:ascii="黑体" w:hAnsi="黑体" w:eastAsia="黑体" w:cs="黑体"/>
          <w:kern w:val="2"/>
          <w:sz w:val="21"/>
          <w:szCs w:val="24"/>
          <w:lang w:eastAsia="zh-CN"/>
        </w:rPr>
        <w:t>量化方法</w:t>
      </w:r>
      <w:bookmarkEnd w:id="134"/>
    </w:p>
    <w:p w14:paraId="13A5585A">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依据标准：</w:t>
      </w:r>
    </w:p>
    <w:p w14:paraId="3B00832E">
      <w:pPr>
        <w:spacing w:line="240" w:lineRule="auto"/>
        <w:ind w:firstLine="420"/>
        <w:rPr>
          <w:rFonts w:ascii="Times New Roman"/>
          <w:szCs w:val="24"/>
          <w:lang w:eastAsia="zh-CN"/>
        </w:rPr>
      </w:pPr>
    </w:p>
    <w:p w14:paraId="493B21E0">
      <w:pPr>
        <w:spacing w:before="240" w:beforeLines="100" w:after="240" w:afterLines="100" w:line="240" w:lineRule="auto"/>
        <w:rPr>
          <w:rFonts w:ascii="Times New Roman" w:eastAsia="黑体"/>
          <w:bCs/>
          <w:sz w:val="21"/>
          <w:szCs w:val="21"/>
          <w:lang w:eastAsia="zh-CN"/>
        </w:rPr>
      </w:pPr>
      <w:bookmarkStart w:id="135" w:name="_Toc190159518"/>
      <w:r>
        <w:rPr>
          <w:rFonts w:hint="eastAsia" w:ascii="Times New Roman" w:eastAsia="黑体"/>
          <w:bCs/>
          <w:sz w:val="21"/>
          <w:szCs w:val="21"/>
          <w:lang w:eastAsia="zh-CN"/>
        </w:rPr>
        <w:t>二、量化目的</w:t>
      </w:r>
      <w:bookmarkEnd w:id="135"/>
    </w:p>
    <w:p w14:paraId="2541C58E">
      <w:pPr>
        <w:adjustRightInd w:val="0"/>
        <w:snapToGrid w:val="0"/>
        <w:spacing w:after="0" w:line="360" w:lineRule="auto"/>
        <w:ind w:firstLine="420" w:firstLineChars="200"/>
        <w:jc w:val="both"/>
        <w:rPr>
          <w:rFonts w:ascii="Times New Roman" w:eastAsia="黑体"/>
          <w:bCs/>
          <w:sz w:val="21"/>
          <w:szCs w:val="21"/>
          <w:lang w:eastAsia="zh-CN"/>
        </w:rPr>
      </w:pPr>
    </w:p>
    <w:p w14:paraId="7C8F7C84">
      <w:pPr>
        <w:spacing w:before="240" w:beforeLines="100" w:after="240" w:afterLines="100" w:line="240" w:lineRule="auto"/>
        <w:rPr>
          <w:rFonts w:ascii="Times New Roman" w:eastAsia="黑体"/>
          <w:bCs/>
          <w:sz w:val="21"/>
          <w:szCs w:val="21"/>
          <w:lang w:eastAsia="zh-CN"/>
        </w:rPr>
      </w:pPr>
      <w:bookmarkStart w:id="136" w:name="_Toc190159519"/>
      <w:r>
        <w:rPr>
          <w:rFonts w:hint="eastAsia" w:ascii="Times New Roman" w:eastAsia="黑体"/>
          <w:bCs/>
          <w:sz w:val="21"/>
          <w:szCs w:val="21"/>
          <w:lang w:eastAsia="zh-CN"/>
        </w:rPr>
        <w:t>三、量化范围</w:t>
      </w:r>
      <w:bookmarkEnd w:id="136"/>
    </w:p>
    <w:p w14:paraId="27A8D49B">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37" w:name="_Toc190159520"/>
      <w:r>
        <w:rPr>
          <w:rFonts w:hint="eastAsia" w:ascii="黑体" w:hAnsi="黑体" w:eastAsia="黑体" w:cs="黑体"/>
          <w:kern w:val="2"/>
          <w:sz w:val="21"/>
          <w:szCs w:val="24"/>
          <w:lang w:eastAsia="zh-CN"/>
        </w:rPr>
        <w:t>1</w:t>
      </w:r>
      <w:r>
        <w:rPr>
          <w:rFonts w:ascii="黑体" w:hAnsi="黑体" w:eastAsia="黑体" w:cs="黑体"/>
          <w:kern w:val="2"/>
          <w:sz w:val="21"/>
          <w:szCs w:val="24"/>
          <w:lang w:eastAsia="zh-CN"/>
        </w:rPr>
        <w:t>.</w:t>
      </w:r>
      <w:r>
        <w:rPr>
          <w:rFonts w:hint="eastAsia" w:ascii="黑体" w:hAnsi="黑体" w:eastAsia="黑体" w:cs="黑体"/>
          <w:kern w:val="2"/>
          <w:sz w:val="21"/>
          <w:szCs w:val="24"/>
          <w:lang w:eastAsia="zh-CN"/>
        </w:rPr>
        <w:t>声明单位：</w:t>
      </w:r>
      <w:bookmarkEnd w:id="137"/>
    </w:p>
    <w:p w14:paraId="12F11381">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声明单位为1</w:t>
      </w:r>
      <w:r>
        <w:rPr>
          <w:rFonts w:ascii="Times New Roman" w:hAnsi="Times New Roman" w:eastAsia="宋体" w:cs="Times New Roman"/>
          <w:kern w:val="2"/>
          <w:sz w:val="21"/>
          <w:szCs w:val="21"/>
          <w:lang w:eastAsia="zh-CN"/>
        </w:rPr>
        <w:t>t</w:t>
      </w:r>
      <w:r>
        <w:rPr>
          <w:rFonts w:ascii="Times New Roman" w:hAnsi="Times New Roman" w:eastAsia="宋体" w:cs="Times New Roman"/>
          <w:kern w:val="2"/>
          <w:sz w:val="21"/>
          <w:szCs w:val="21"/>
          <w:u w:val="single"/>
          <w:lang w:eastAsia="zh-CN"/>
        </w:rPr>
        <w:t xml:space="preserve">         </w:t>
      </w:r>
      <w:r>
        <w:rPr>
          <w:rFonts w:hint="eastAsia" w:ascii="Times New Roman" w:hAnsi="Times New Roman" w:eastAsia="宋体" w:cs="Times New Roman"/>
          <w:kern w:val="2"/>
          <w:sz w:val="21"/>
          <w:szCs w:val="21"/>
          <w:lang w:eastAsia="zh-CN"/>
        </w:rPr>
        <w:t>产品。</w:t>
      </w:r>
    </w:p>
    <w:p w14:paraId="4586037F">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38" w:name="_Toc190159521"/>
      <w:r>
        <w:rPr>
          <w:rFonts w:hint="eastAsia" w:ascii="黑体" w:hAnsi="黑体" w:eastAsia="黑体" w:cs="黑体"/>
          <w:kern w:val="2"/>
          <w:sz w:val="21"/>
          <w:szCs w:val="24"/>
          <w:lang w:eastAsia="zh-CN"/>
        </w:rPr>
        <w:t>2</w:t>
      </w:r>
      <w:r>
        <w:rPr>
          <w:rFonts w:ascii="黑体" w:hAnsi="黑体" w:eastAsia="黑体" w:cs="黑体"/>
          <w:kern w:val="2"/>
          <w:sz w:val="21"/>
          <w:szCs w:val="24"/>
          <w:lang w:eastAsia="zh-CN"/>
        </w:rPr>
        <w:t>.</w:t>
      </w:r>
      <w:r>
        <w:rPr>
          <w:rFonts w:hint="eastAsia" w:ascii="黑体" w:hAnsi="黑体" w:eastAsia="黑体" w:cs="黑体"/>
          <w:kern w:val="2"/>
          <w:sz w:val="21"/>
          <w:szCs w:val="24"/>
          <w:lang w:eastAsia="zh-CN"/>
        </w:rPr>
        <w:t>系统边界：</w:t>
      </w:r>
      <w:bookmarkEnd w:id="138"/>
    </w:p>
    <w:p w14:paraId="4140EB7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ascii="Times New Roman" w:hAnsi="Times New Roman" w:eastAsia="宋体" w:cs="Times New Roman"/>
          <w:kern w:val="2"/>
          <w:sz w:val="21"/>
          <w:szCs w:val="21"/>
          <w:lang w:eastAsia="zh-CN"/>
        </w:rPr>
        <w:sym w:font="Wingdings 2" w:char="F0A3"/>
      </w:r>
      <w:r>
        <w:rPr>
          <w:rFonts w:hint="eastAsia" w:ascii="Times New Roman" w:hAnsi="Times New Roman" w:eastAsia="宋体" w:cs="Times New Roman"/>
          <w:kern w:val="2"/>
          <w:sz w:val="21"/>
          <w:szCs w:val="21"/>
          <w:lang w:eastAsia="zh-CN"/>
        </w:rPr>
        <w:t xml:space="preserve">原材料获取阶段 </w:t>
      </w:r>
      <w:r>
        <w:rPr>
          <w:rFonts w:ascii="Times New Roman" w:hAnsi="Times New Roman" w:eastAsia="宋体" w:cs="Times New Roman"/>
          <w:kern w:val="2"/>
          <w:sz w:val="21"/>
          <w:szCs w:val="21"/>
          <w:lang w:eastAsia="zh-CN"/>
        </w:rPr>
        <w:sym w:font="Wingdings 2" w:char="F0A3"/>
      </w:r>
      <w:r>
        <w:rPr>
          <w:rFonts w:hint="eastAsia" w:ascii="Times New Roman" w:hAnsi="Times New Roman" w:eastAsia="宋体" w:cs="Times New Roman"/>
          <w:kern w:val="2"/>
          <w:sz w:val="21"/>
          <w:szCs w:val="21"/>
          <w:lang w:eastAsia="zh-CN"/>
        </w:rPr>
        <w:t xml:space="preserve">生产阶段 </w:t>
      </w:r>
      <w:r>
        <w:rPr>
          <w:rFonts w:ascii="Times New Roman" w:hAnsi="Times New Roman" w:eastAsia="宋体" w:cs="Times New Roman"/>
          <w:kern w:val="2"/>
          <w:sz w:val="21"/>
          <w:szCs w:val="21"/>
          <w:lang w:eastAsia="zh-CN"/>
        </w:rPr>
        <w:sym w:font="Wingdings 2" w:char="F0A3"/>
      </w:r>
      <w:r>
        <w:rPr>
          <w:rFonts w:hint="eastAsia" w:ascii="Times New Roman" w:hAnsi="Times New Roman" w:eastAsia="宋体" w:cs="Times New Roman"/>
          <w:kern w:val="2"/>
          <w:sz w:val="21"/>
          <w:szCs w:val="21"/>
          <w:lang w:eastAsia="zh-CN"/>
        </w:rPr>
        <w:t>运输（交付）阶段</w:t>
      </w:r>
    </w:p>
    <w:p w14:paraId="7296F7C5">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系统边界见图E.</w:t>
      </w:r>
      <w:r>
        <w:rPr>
          <w:rFonts w:ascii="Times New Roman" w:hAnsi="Times New Roman" w:eastAsia="宋体" w:cs="Times New Roman"/>
          <w:kern w:val="2"/>
          <w:sz w:val="21"/>
          <w:szCs w:val="21"/>
          <w:lang w:eastAsia="zh-CN"/>
        </w:rPr>
        <w:t>1</w:t>
      </w:r>
      <w:r>
        <w:rPr>
          <w:rFonts w:hint="eastAsia" w:ascii="Times New Roman" w:hAnsi="Times New Roman" w:eastAsia="宋体" w:cs="Times New Roman"/>
          <w:kern w:val="2"/>
          <w:sz w:val="21"/>
          <w:szCs w:val="21"/>
          <w:lang w:eastAsia="zh-CN"/>
        </w:rPr>
        <w:t>。</w:t>
      </w:r>
    </w:p>
    <w:p w14:paraId="24AC26D8">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p>
    <w:p w14:paraId="7B5B040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p>
    <w:p w14:paraId="6DB79A40">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p>
    <w:p w14:paraId="7F96B927">
      <w:pPr>
        <w:adjustRightInd w:val="0"/>
        <w:snapToGrid w:val="0"/>
        <w:spacing w:after="0" w:line="360" w:lineRule="auto"/>
        <w:jc w:val="both"/>
        <w:rPr>
          <w:rFonts w:ascii="Times New Roman" w:hAnsi="Times New Roman" w:eastAsia="宋体" w:cs="Times New Roman"/>
          <w:kern w:val="2"/>
          <w:sz w:val="21"/>
          <w:szCs w:val="21"/>
          <w:lang w:eastAsia="zh-CN"/>
        </w:rPr>
      </w:pPr>
    </w:p>
    <w:p w14:paraId="5449FB03">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图E</w:t>
      </w:r>
      <w:r>
        <w:rPr>
          <w:rFonts w:ascii="黑体" w:hAnsi="黑体" w:eastAsia="黑体" w:cs="Times New Roman"/>
          <w:kern w:val="2"/>
          <w:sz w:val="18"/>
          <w:szCs w:val="18"/>
          <w:lang w:eastAsia="zh-CN"/>
        </w:rPr>
        <w:t>.1 XX</w:t>
      </w:r>
      <w:r>
        <w:rPr>
          <w:rFonts w:hint="eastAsia" w:ascii="黑体" w:hAnsi="黑体" w:eastAsia="黑体" w:cs="Times New Roman"/>
          <w:kern w:val="2"/>
          <w:sz w:val="18"/>
          <w:szCs w:val="18"/>
          <w:lang w:eastAsia="zh-CN"/>
        </w:rPr>
        <w:t>产品碳足迹量化系统边界图</w:t>
      </w:r>
    </w:p>
    <w:p w14:paraId="352F8705">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39" w:name="_Toc190159522"/>
      <w:r>
        <w:rPr>
          <w:rFonts w:hint="eastAsia" w:ascii="黑体" w:hAnsi="黑体" w:eastAsia="黑体" w:cs="黑体"/>
          <w:kern w:val="2"/>
          <w:sz w:val="21"/>
          <w:szCs w:val="24"/>
          <w:lang w:eastAsia="zh-CN"/>
        </w:rPr>
        <w:t>3</w:t>
      </w:r>
      <w:r>
        <w:rPr>
          <w:rFonts w:ascii="黑体" w:hAnsi="黑体" w:eastAsia="黑体" w:cs="黑体"/>
          <w:kern w:val="2"/>
          <w:sz w:val="21"/>
          <w:szCs w:val="24"/>
          <w:lang w:eastAsia="zh-CN"/>
        </w:rPr>
        <w:t>.</w:t>
      </w:r>
      <w:r>
        <w:rPr>
          <w:rFonts w:hint="eastAsia" w:ascii="黑体" w:hAnsi="黑体" w:eastAsia="黑体" w:cs="黑体"/>
          <w:kern w:val="2"/>
          <w:sz w:val="21"/>
          <w:szCs w:val="24"/>
          <w:lang w:eastAsia="zh-CN"/>
        </w:rPr>
        <w:t>取舍准则：</w:t>
      </w:r>
      <w:bookmarkEnd w:id="139"/>
    </w:p>
    <w:p w14:paraId="7B5B97F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采用的取舍准则以</w:t>
      </w:r>
      <w:r>
        <w:rPr>
          <w:rFonts w:hint="eastAsia" w:ascii="Times New Roman" w:hAnsi="Times New Roman" w:eastAsia="宋体" w:cs="Times New Roman"/>
          <w:kern w:val="2"/>
          <w:sz w:val="21"/>
          <w:szCs w:val="21"/>
          <w:u w:val="single"/>
          <w:lang w:eastAsia="zh-CN"/>
        </w:rPr>
        <w:t xml:space="preserve"> </w:t>
      </w:r>
      <w:r>
        <w:rPr>
          <w:rFonts w:ascii="Times New Roman" w:hAnsi="Times New Roman" w:eastAsia="宋体" w:cs="Times New Roman"/>
          <w:kern w:val="2"/>
          <w:sz w:val="21"/>
          <w:szCs w:val="21"/>
          <w:u w:val="single"/>
          <w:lang w:eastAsia="zh-CN"/>
        </w:rPr>
        <w:t xml:space="preserve">              </w:t>
      </w:r>
      <w:r>
        <w:rPr>
          <w:rFonts w:hint="eastAsia" w:ascii="Times New Roman" w:hAnsi="Times New Roman" w:eastAsia="宋体" w:cs="Times New Roman"/>
          <w:kern w:val="2"/>
          <w:sz w:val="21"/>
          <w:szCs w:val="21"/>
          <w:lang w:eastAsia="zh-CN"/>
        </w:rPr>
        <w:t>为依据，具体规则如下：</w:t>
      </w:r>
    </w:p>
    <w:p w14:paraId="03E2C890">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40" w:name="_Toc190159523"/>
      <w:r>
        <w:rPr>
          <w:rFonts w:hint="eastAsia" w:ascii="黑体" w:hAnsi="黑体" w:eastAsia="黑体" w:cs="黑体"/>
          <w:kern w:val="2"/>
          <w:sz w:val="21"/>
          <w:szCs w:val="24"/>
          <w:lang w:eastAsia="zh-CN"/>
        </w:rPr>
        <w:t>4</w:t>
      </w:r>
      <w:r>
        <w:rPr>
          <w:rFonts w:ascii="黑体" w:hAnsi="黑体" w:eastAsia="黑体" w:cs="黑体"/>
          <w:kern w:val="2"/>
          <w:sz w:val="21"/>
          <w:szCs w:val="24"/>
          <w:lang w:eastAsia="zh-CN"/>
        </w:rPr>
        <w:t>.</w:t>
      </w:r>
      <w:r>
        <w:rPr>
          <w:rFonts w:hint="eastAsia" w:ascii="黑体" w:hAnsi="黑体" w:eastAsia="黑体" w:cs="黑体"/>
          <w:kern w:val="2"/>
          <w:sz w:val="21"/>
          <w:szCs w:val="24"/>
          <w:lang w:eastAsia="zh-CN"/>
        </w:rPr>
        <w:t>时间范围：</w:t>
      </w:r>
      <w:bookmarkEnd w:id="140"/>
    </w:p>
    <w:p w14:paraId="2E34F556">
      <w:pPr>
        <w:spacing w:line="240" w:lineRule="auto"/>
        <w:ind w:firstLine="420"/>
        <w:rPr>
          <w:rFonts w:ascii="Times New Roman"/>
          <w:szCs w:val="24"/>
          <w:lang w:eastAsia="zh-CN"/>
        </w:rPr>
      </w:pPr>
      <w:r>
        <w:rPr>
          <w:rFonts w:hint="eastAsia" w:ascii="Times New Roman"/>
          <w:szCs w:val="24"/>
          <w:u w:val="single"/>
          <w:lang w:eastAsia="zh-CN"/>
        </w:rPr>
        <w:t xml:space="preserve"> </w:t>
      </w:r>
      <w:r>
        <w:rPr>
          <w:rFonts w:ascii="Times New Roman"/>
          <w:szCs w:val="24"/>
          <w:u w:val="single"/>
          <w:lang w:eastAsia="zh-CN"/>
        </w:rPr>
        <w:t xml:space="preserve">       </w:t>
      </w:r>
      <w:r>
        <w:rPr>
          <w:rFonts w:hint="eastAsia" w:ascii="Times New Roman"/>
          <w:szCs w:val="24"/>
          <w:lang w:eastAsia="zh-CN"/>
        </w:rPr>
        <w:t>年度。</w:t>
      </w:r>
    </w:p>
    <w:p w14:paraId="40B4A07C">
      <w:pPr>
        <w:spacing w:before="240" w:beforeLines="100" w:after="240" w:afterLines="100" w:line="240" w:lineRule="auto"/>
        <w:rPr>
          <w:rFonts w:ascii="Times New Roman" w:eastAsia="黑体"/>
          <w:bCs/>
          <w:sz w:val="21"/>
          <w:szCs w:val="21"/>
          <w:lang w:eastAsia="zh-CN"/>
        </w:rPr>
      </w:pPr>
      <w:bookmarkStart w:id="141" w:name="_Toc190159524"/>
      <w:r>
        <w:rPr>
          <w:rFonts w:hint="eastAsia" w:ascii="Times New Roman" w:eastAsia="黑体"/>
          <w:bCs/>
          <w:sz w:val="21"/>
          <w:szCs w:val="21"/>
          <w:lang w:eastAsia="zh-CN"/>
        </w:rPr>
        <w:t>四、清单分析</w:t>
      </w:r>
      <w:bookmarkEnd w:id="141"/>
    </w:p>
    <w:p w14:paraId="6C7D9062">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42" w:name="_Toc190159525"/>
      <w:r>
        <w:rPr>
          <w:rFonts w:hint="eastAsia" w:ascii="黑体" w:hAnsi="黑体" w:eastAsia="黑体" w:cs="黑体"/>
          <w:kern w:val="2"/>
          <w:sz w:val="21"/>
          <w:szCs w:val="24"/>
          <w:lang w:eastAsia="zh-CN"/>
        </w:rPr>
        <w:t>1</w:t>
      </w:r>
      <w:r>
        <w:rPr>
          <w:rFonts w:ascii="黑体" w:hAnsi="黑体" w:eastAsia="黑体" w:cs="黑体"/>
          <w:kern w:val="2"/>
          <w:sz w:val="21"/>
          <w:szCs w:val="24"/>
          <w:lang w:eastAsia="zh-CN"/>
        </w:rPr>
        <w:t>.</w:t>
      </w:r>
      <w:r>
        <w:rPr>
          <w:rFonts w:hint="eastAsia" w:ascii="黑体" w:hAnsi="黑体" w:eastAsia="黑体" w:cs="黑体"/>
          <w:kern w:val="2"/>
          <w:sz w:val="21"/>
          <w:szCs w:val="24"/>
          <w:lang w:eastAsia="zh-CN"/>
        </w:rPr>
        <w:t>数据来源说明</w:t>
      </w:r>
      <w:bookmarkEnd w:id="142"/>
    </w:p>
    <w:p w14:paraId="2818E98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初级数据：</w:t>
      </w:r>
    </w:p>
    <w:p w14:paraId="5EC49A11">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次级数据：</w:t>
      </w:r>
    </w:p>
    <w:p w14:paraId="375761D5">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43" w:name="_Toc190159526"/>
      <w:r>
        <w:rPr>
          <w:rFonts w:hint="eastAsia" w:ascii="黑体" w:hAnsi="黑体" w:eastAsia="黑体" w:cs="黑体"/>
          <w:kern w:val="2"/>
          <w:sz w:val="21"/>
          <w:szCs w:val="24"/>
          <w:lang w:eastAsia="zh-CN"/>
        </w:rPr>
        <w:t>2</w:t>
      </w:r>
      <w:r>
        <w:rPr>
          <w:rFonts w:ascii="黑体" w:hAnsi="黑体" w:eastAsia="黑体" w:cs="黑体"/>
          <w:kern w:val="2"/>
          <w:sz w:val="21"/>
          <w:szCs w:val="24"/>
          <w:lang w:eastAsia="zh-CN"/>
        </w:rPr>
        <w:t>.</w:t>
      </w:r>
      <w:r>
        <w:rPr>
          <w:rFonts w:hint="eastAsia" w:ascii="黑体" w:hAnsi="黑体" w:eastAsia="黑体" w:cs="黑体"/>
          <w:kern w:val="2"/>
          <w:sz w:val="21"/>
          <w:szCs w:val="24"/>
          <w:lang w:eastAsia="zh-CN"/>
        </w:rPr>
        <w:t>分配原则与程序</w:t>
      </w:r>
      <w:bookmarkEnd w:id="143"/>
    </w:p>
    <w:p w14:paraId="2E50F22F">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分配依据：</w:t>
      </w:r>
    </w:p>
    <w:p w14:paraId="7267CBB0">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分配程序：</w:t>
      </w:r>
    </w:p>
    <w:p w14:paraId="12FE1E3E">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具体分配情况如下：</w:t>
      </w:r>
    </w:p>
    <w:p w14:paraId="39DAFB61">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44" w:name="_Toc190159527"/>
      <w:r>
        <w:rPr>
          <w:rFonts w:hint="eastAsia" w:ascii="黑体" w:hAnsi="黑体" w:eastAsia="黑体" w:cs="黑体"/>
          <w:kern w:val="2"/>
          <w:sz w:val="21"/>
          <w:szCs w:val="24"/>
          <w:lang w:eastAsia="zh-CN"/>
        </w:rPr>
        <w:t>3</w:t>
      </w:r>
      <w:r>
        <w:rPr>
          <w:rFonts w:ascii="黑体" w:hAnsi="黑体" w:eastAsia="黑体" w:cs="黑体"/>
          <w:kern w:val="2"/>
          <w:sz w:val="21"/>
          <w:szCs w:val="24"/>
          <w:lang w:eastAsia="zh-CN"/>
        </w:rPr>
        <w:t>.</w:t>
      </w:r>
      <w:r>
        <w:rPr>
          <w:rFonts w:hint="eastAsia" w:ascii="黑体" w:hAnsi="黑体" w:eastAsia="黑体" w:cs="黑体"/>
          <w:kern w:val="2"/>
          <w:sz w:val="21"/>
          <w:szCs w:val="24"/>
          <w:lang w:eastAsia="zh-CN"/>
        </w:rPr>
        <w:t>清单结果及计算</w:t>
      </w:r>
      <w:bookmarkEnd w:id="144"/>
    </w:p>
    <w:p w14:paraId="20EA7D53">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产品生产阶段的碳排放计算说明见表E.</w:t>
      </w:r>
      <w:r>
        <w:rPr>
          <w:rFonts w:ascii="Times New Roman" w:hAnsi="Times New Roman" w:eastAsia="宋体" w:cs="Times New Roman"/>
          <w:kern w:val="2"/>
          <w:sz w:val="21"/>
          <w:szCs w:val="21"/>
          <w:lang w:eastAsia="zh-CN"/>
        </w:rPr>
        <w:t>1</w:t>
      </w:r>
    </w:p>
    <w:p w14:paraId="5ED69EC2">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表</w:t>
      </w:r>
      <w:r>
        <w:rPr>
          <w:rFonts w:ascii="黑体" w:hAnsi="黑体" w:eastAsia="黑体" w:cs="Times New Roman"/>
          <w:kern w:val="2"/>
          <w:sz w:val="18"/>
          <w:szCs w:val="18"/>
          <w:lang w:eastAsia="zh-CN"/>
        </w:rPr>
        <w:t>E</w:t>
      </w:r>
      <w:r>
        <w:rPr>
          <w:rFonts w:hint="eastAsia" w:ascii="黑体" w:hAnsi="黑体" w:eastAsia="黑体" w:cs="Times New Roman"/>
          <w:kern w:val="2"/>
          <w:sz w:val="18"/>
          <w:szCs w:val="18"/>
          <w:lang w:eastAsia="zh-CN"/>
        </w:rPr>
        <w:t>.</w:t>
      </w:r>
      <w:r>
        <w:rPr>
          <w:rFonts w:ascii="黑体" w:hAnsi="黑体" w:eastAsia="黑体" w:cs="Times New Roman"/>
          <w:kern w:val="2"/>
          <w:sz w:val="18"/>
          <w:szCs w:val="18"/>
          <w:lang w:eastAsia="zh-CN"/>
        </w:rPr>
        <w:t>1</w:t>
      </w:r>
      <w:r>
        <w:rPr>
          <w:rFonts w:hint="eastAsia" w:ascii="黑体" w:hAnsi="黑体" w:eastAsia="黑体" w:cs="Times New Roman"/>
          <w:kern w:val="2"/>
          <w:sz w:val="18"/>
          <w:szCs w:val="18"/>
          <w:lang w:eastAsia="zh-CN"/>
        </w:rPr>
        <w:t xml:space="preserve"> 稀土冶炼分离产品生命周期碳排放清单示例</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2278"/>
        <w:gridCol w:w="1431"/>
        <w:gridCol w:w="1431"/>
        <w:gridCol w:w="1470"/>
      </w:tblGrid>
      <w:tr w14:paraId="55D5B8C7">
        <w:trPr>
          <w:jc w:val="center"/>
        </w:trPr>
        <w:tc>
          <w:tcPr>
            <w:tcW w:w="1980" w:type="dxa"/>
            <w:vAlign w:val="center"/>
          </w:tcPr>
          <w:p w14:paraId="37DD436A">
            <w:pPr>
              <w:widowControl/>
              <w:spacing w:after="0" w:line="240" w:lineRule="auto"/>
              <w:jc w:val="center"/>
              <w:rPr>
                <w:rFonts w:ascii="Times New Roman" w:cs="宋体"/>
                <w:sz w:val="18"/>
                <w:szCs w:val="18"/>
              </w:rPr>
            </w:pPr>
            <w:r>
              <w:rPr>
                <w:rFonts w:hint="eastAsia" w:ascii="Times New Roman" w:cs="宋体"/>
                <w:sz w:val="18"/>
                <w:szCs w:val="18"/>
              </w:rPr>
              <w:t>产品生产阶段</w:t>
            </w:r>
          </w:p>
        </w:tc>
        <w:tc>
          <w:tcPr>
            <w:tcW w:w="2278" w:type="dxa"/>
            <w:vAlign w:val="center"/>
          </w:tcPr>
          <w:p w14:paraId="3E700F9A">
            <w:pPr>
              <w:widowControl/>
              <w:spacing w:after="0" w:line="240" w:lineRule="auto"/>
              <w:jc w:val="center"/>
              <w:rPr>
                <w:rFonts w:ascii="Times New Roman" w:cs="宋体"/>
                <w:sz w:val="18"/>
                <w:szCs w:val="18"/>
              </w:rPr>
            </w:pPr>
            <w:r>
              <w:rPr>
                <w:rFonts w:hint="eastAsia" w:ascii="Times New Roman" w:cs="宋体"/>
                <w:sz w:val="18"/>
                <w:szCs w:val="18"/>
              </w:rPr>
              <w:t>流</w:t>
            </w:r>
          </w:p>
        </w:tc>
        <w:tc>
          <w:tcPr>
            <w:tcW w:w="1431" w:type="dxa"/>
            <w:vAlign w:val="center"/>
          </w:tcPr>
          <w:p w14:paraId="6C135578">
            <w:pPr>
              <w:widowControl/>
              <w:spacing w:after="0" w:line="240" w:lineRule="auto"/>
              <w:jc w:val="center"/>
              <w:rPr>
                <w:rFonts w:ascii="Times New Roman" w:cs="宋体"/>
                <w:sz w:val="18"/>
                <w:szCs w:val="18"/>
              </w:rPr>
            </w:pPr>
            <w:r>
              <w:rPr>
                <w:rFonts w:hint="eastAsia" w:ascii="Times New Roman" w:cs="宋体"/>
                <w:sz w:val="18"/>
                <w:szCs w:val="18"/>
              </w:rPr>
              <w:t>活动数据</w:t>
            </w:r>
          </w:p>
        </w:tc>
        <w:tc>
          <w:tcPr>
            <w:tcW w:w="1431" w:type="dxa"/>
            <w:vAlign w:val="center"/>
          </w:tcPr>
          <w:p w14:paraId="3CC2C438">
            <w:pPr>
              <w:widowControl/>
              <w:spacing w:after="0" w:line="240" w:lineRule="auto"/>
              <w:jc w:val="center"/>
              <w:rPr>
                <w:rFonts w:ascii="Times New Roman" w:cs="宋体"/>
                <w:sz w:val="18"/>
                <w:szCs w:val="18"/>
              </w:rPr>
            </w:pPr>
            <w:r>
              <w:rPr>
                <w:rFonts w:hint="eastAsia" w:ascii="Times New Roman" w:cs="宋体"/>
                <w:sz w:val="18"/>
                <w:szCs w:val="18"/>
              </w:rPr>
              <w:t>排放因子</w:t>
            </w:r>
          </w:p>
        </w:tc>
        <w:tc>
          <w:tcPr>
            <w:tcW w:w="1470" w:type="dxa"/>
            <w:vAlign w:val="center"/>
          </w:tcPr>
          <w:p w14:paraId="16EE7A47">
            <w:pPr>
              <w:widowControl/>
              <w:spacing w:after="0" w:line="240" w:lineRule="auto"/>
              <w:jc w:val="center"/>
              <w:rPr>
                <w:rFonts w:ascii="Times New Roman" w:cs="宋体"/>
                <w:sz w:val="18"/>
                <w:szCs w:val="18"/>
              </w:rPr>
            </w:pPr>
            <w:r>
              <w:rPr>
                <w:rFonts w:ascii="Times New Roman" w:cs="宋体"/>
                <w:sz w:val="18"/>
                <w:szCs w:val="18"/>
              </w:rPr>
              <w:t>GHG</w:t>
            </w:r>
            <w:r>
              <w:rPr>
                <w:rFonts w:hint="eastAsia" w:ascii="Times New Roman" w:cs="宋体"/>
                <w:sz w:val="18"/>
                <w:szCs w:val="18"/>
              </w:rPr>
              <w:t>排放量</w:t>
            </w:r>
          </w:p>
        </w:tc>
      </w:tr>
      <w:tr w14:paraId="5849FC64">
        <w:trPr>
          <w:jc w:val="center"/>
        </w:trPr>
        <w:tc>
          <w:tcPr>
            <w:tcW w:w="1980" w:type="dxa"/>
            <w:vMerge w:val="restart"/>
            <w:vAlign w:val="center"/>
          </w:tcPr>
          <w:p w14:paraId="031E92F9">
            <w:pPr>
              <w:spacing w:after="0" w:line="240" w:lineRule="auto"/>
              <w:jc w:val="center"/>
              <w:rPr>
                <w:rFonts w:ascii="Times New Roman" w:cs="宋体"/>
                <w:color w:val="000000" w:themeColor="text1"/>
                <w:sz w:val="18"/>
                <w:szCs w:val="18"/>
                <w:lang w:eastAsia="zh-CN"/>
                <w14:textFill>
                  <w14:solidFill>
                    <w14:schemeClr w14:val="tx1"/>
                  </w14:solidFill>
                </w14:textFill>
              </w:rPr>
            </w:pPr>
            <w:r>
              <w:rPr>
                <w:rFonts w:hint="eastAsia" w:ascii="Times New Roman" w:cs="宋体"/>
                <w:color w:val="000000" w:themeColor="text1"/>
                <w:sz w:val="18"/>
                <w:szCs w:val="18"/>
                <w:lang w:eastAsia="zh-CN"/>
                <w14:textFill>
                  <w14:solidFill>
                    <w14:schemeClr w14:val="tx1"/>
                  </w14:solidFill>
                </w14:textFill>
              </w:rPr>
              <w:t>稀土采矿</w:t>
            </w:r>
          </w:p>
        </w:tc>
        <w:tc>
          <w:tcPr>
            <w:tcW w:w="2278" w:type="dxa"/>
            <w:vAlign w:val="center"/>
          </w:tcPr>
          <w:p w14:paraId="46F9046B">
            <w:pPr>
              <w:widowControl/>
              <w:spacing w:after="0" w:line="240" w:lineRule="auto"/>
              <w:jc w:val="center"/>
              <w:rPr>
                <w:rFonts w:ascii="Times New Roman" w:cs="宋体"/>
                <w:sz w:val="18"/>
                <w:szCs w:val="18"/>
                <w:lang w:eastAsia="zh-CN"/>
              </w:rPr>
            </w:pPr>
            <w:r>
              <w:rPr>
                <w:rFonts w:hint="eastAsia" w:ascii="Times New Roman" w:cs="宋体"/>
                <w:sz w:val="18"/>
                <w:szCs w:val="18"/>
                <w:lang w:eastAsia="zh-CN"/>
              </w:rPr>
              <w:t>稀土原矿</w:t>
            </w:r>
          </w:p>
        </w:tc>
        <w:tc>
          <w:tcPr>
            <w:tcW w:w="1431" w:type="dxa"/>
            <w:vAlign w:val="center"/>
          </w:tcPr>
          <w:p w14:paraId="5A2B4BEC">
            <w:pPr>
              <w:widowControl/>
              <w:spacing w:after="0" w:line="240" w:lineRule="auto"/>
              <w:jc w:val="center"/>
              <w:rPr>
                <w:rFonts w:ascii="Times New Roman" w:cs="宋体"/>
                <w:sz w:val="18"/>
                <w:szCs w:val="18"/>
              </w:rPr>
            </w:pPr>
          </w:p>
        </w:tc>
        <w:tc>
          <w:tcPr>
            <w:tcW w:w="1431" w:type="dxa"/>
            <w:vAlign w:val="center"/>
          </w:tcPr>
          <w:p w14:paraId="4A0C7F6A">
            <w:pPr>
              <w:widowControl/>
              <w:spacing w:after="0" w:line="240" w:lineRule="auto"/>
              <w:jc w:val="center"/>
              <w:rPr>
                <w:rFonts w:ascii="Times New Roman" w:cs="宋体"/>
                <w:sz w:val="18"/>
                <w:szCs w:val="18"/>
              </w:rPr>
            </w:pPr>
          </w:p>
        </w:tc>
        <w:tc>
          <w:tcPr>
            <w:tcW w:w="1470" w:type="dxa"/>
            <w:vAlign w:val="center"/>
          </w:tcPr>
          <w:p w14:paraId="5C80E7D0">
            <w:pPr>
              <w:widowControl/>
              <w:spacing w:after="0" w:line="240" w:lineRule="auto"/>
              <w:jc w:val="center"/>
              <w:rPr>
                <w:rFonts w:ascii="Times New Roman" w:cs="宋体"/>
                <w:sz w:val="18"/>
                <w:szCs w:val="18"/>
              </w:rPr>
            </w:pPr>
          </w:p>
        </w:tc>
      </w:tr>
      <w:tr w14:paraId="44DA4B05">
        <w:trPr>
          <w:jc w:val="center"/>
        </w:trPr>
        <w:tc>
          <w:tcPr>
            <w:tcW w:w="1980" w:type="dxa"/>
            <w:vMerge w:val="continue"/>
            <w:vAlign w:val="center"/>
          </w:tcPr>
          <w:p w14:paraId="29645C66">
            <w:pPr>
              <w:spacing w:after="0" w:line="240" w:lineRule="auto"/>
              <w:jc w:val="center"/>
              <w:rPr>
                <w:rFonts w:ascii="Times New Roman" w:cs="宋体"/>
                <w:sz w:val="18"/>
                <w:szCs w:val="18"/>
              </w:rPr>
            </w:pPr>
          </w:p>
        </w:tc>
        <w:tc>
          <w:tcPr>
            <w:tcW w:w="2278" w:type="dxa"/>
            <w:vAlign w:val="center"/>
          </w:tcPr>
          <w:p w14:paraId="0A398741">
            <w:pPr>
              <w:widowControl/>
              <w:spacing w:after="0" w:line="240" w:lineRule="auto"/>
              <w:jc w:val="center"/>
              <w:rPr>
                <w:rFonts w:ascii="Times New Roman" w:cs="宋体"/>
                <w:sz w:val="18"/>
                <w:szCs w:val="18"/>
              </w:rPr>
            </w:pPr>
            <w:r>
              <w:rPr>
                <w:rFonts w:hint="eastAsia" w:ascii="Times New Roman" w:cs="宋体"/>
                <w:sz w:val="18"/>
                <w:szCs w:val="18"/>
                <w:lang w:val="zh-CN" w:eastAsia="zh-CN"/>
              </w:rPr>
              <w:t>燃料</w:t>
            </w:r>
          </w:p>
        </w:tc>
        <w:tc>
          <w:tcPr>
            <w:tcW w:w="1431" w:type="dxa"/>
            <w:vAlign w:val="center"/>
          </w:tcPr>
          <w:p w14:paraId="5C06860E">
            <w:pPr>
              <w:widowControl/>
              <w:spacing w:after="0" w:line="240" w:lineRule="auto"/>
              <w:jc w:val="center"/>
              <w:rPr>
                <w:rFonts w:ascii="Times New Roman" w:cs="宋体"/>
                <w:sz w:val="18"/>
                <w:szCs w:val="18"/>
              </w:rPr>
            </w:pPr>
          </w:p>
        </w:tc>
        <w:tc>
          <w:tcPr>
            <w:tcW w:w="1431" w:type="dxa"/>
            <w:vAlign w:val="center"/>
          </w:tcPr>
          <w:p w14:paraId="01519ED5">
            <w:pPr>
              <w:widowControl/>
              <w:spacing w:after="0" w:line="240" w:lineRule="auto"/>
              <w:jc w:val="center"/>
              <w:rPr>
                <w:rFonts w:ascii="Times New Roman" w:cs="宋体"/>
                <w:sz w:val="18"/>
                <w:szCs w:val="18"/>
              </w:rPr>
            </w:pPr>
          </w:p>
        </w:tc>
        <w:tc>
          <w:tcPr>
            <w:tcW w:w="1470" w:type="dxa"/>
            <w:vAlign w:val="center"/>
          </w:tcPr>
          <w:p w14:paraId="3346F964">
            <w:pPr>
              <w:widowControl/>
              <w:spacing w:after="0" w:line="240" w:lineRule="auto"/>
              <w:jc w:val="center"/>
              <w:rPr>
                <w:rFonts w:ascii="Times New Roman" w:cs="宋体"/>
                <w:sz w:val="18"/>
                <w:szCs w:val="18"/>
              </w:rPr>
            </w:pPr>
          </w:p>
        </w:tc>
      </w:tr>
      <w:tr w14:paraId="03658198">
        <w:trPr>
          <w:jc w:val="center"/>
        </w:trPr>
        <w:tc>
          <w:tcPr>
            <w:tcW w:w="1980" w:type="dxa"/>
            <w:vMerge w:val="continue"/>
            <w:vAlign w:val="center"/>
          </w:tcPr>
          <w:p w14:paraId="057CCE0F">
            <w:pPr>
              <w:spacing w:after="0" w:line="240" w:lineRule="auto"/>
              <w:jc w:val="center"/>
              <w:rPr>
                <w:rFonts w:ascii="Times New Roman" w:cs="宋体"/>
                <w:sz w:val="18"/>
                <w:szCs w:val="18"/>
              </w:rPr>
            </w:pPr>
          </w:p>
        </w:tc>
        <w:tc>
          <w:tcPr>
            <w:tcW w:w="2278" w:type="dxa"/>
            <w:vAlign w:val="center"/>
          </w:tcPr>
          <w:p w14:paraId="1FF9B8F8">
            <w:pPr>
              <w:widowControl/>
              <w:spacing w:after="0" w:line="240" w:lineRule="auto"/>
              <w:jc w:val="center"/>
              <w:rPr>
                <w:rFonts w:ascii="Times New Roman" w:cs="宋体"/>
                <w:sz w:val="18"/>
                <w:szCs w:val="18"/>
              </w:rPr>
            </w:pPr>
            <w:r>
              <w:rPr>
                <w:rFonts w:hint="eastAsia" w:ascii="Times New Roman" w:cs="宋体"/>
                <w:sz w:val="18"/>
                <w:szCs w:val="18"/>
                <w:lang w:val="zh-CN"/>
              </w:rPr>
              <w:t>各类</w:t>
            </w:r>
            <w:r>
              <w:rPr>
                <w:rFonts w:hint="eastAsia" w:ascii="Times New Roman" w:cs="宋体"/>
                <w:sz w:val="18"/>
                <w:szCs w:val="18"/>
                <w:lang w:val="zh-CN" w:eastAsia="zh-CN"/>
              </w:rPr>
              <w:t>物料</w:t>
            </w:r>
            <w:r>
              <w:rPr>
                <w:rFonts w:hint="eastAsia" w:ascii="Times New Roman" w:cs="宋体"/>
                <w:sz w:val="18"/>
                <w:szCs w:val="18"/>
                <w:lang w:val="zh-CN"/>
              </w:rPr>
              <w:t>运输</w:t>
            </w:r>
          </w:p>
        </w:tc>
        <w:tc>
          <w:tcPr>
            <w:tcW w:w="1431" w:type="dxa"/>
            <w:vAlign w:val="center"/>
          </w:tcPr>
          <w:p w14:paraId="4A39B951">
            <w:pPr>
              <w:widowControl/>
              <w:spacing w:after="0" w:line="240" w:lineRule="auto"/>
              <w:jc w:val="center"/>
              <w:rPr>
                <w:rFonts w:ascii="Times New Roman" w:cs="宋体"/>
                <w:sz w:val="18"/>
                <w:szCs w:val="18"/>
              </w:rPr>
            </w:pPr>
          </w:p>
        </w:tc>
        <w:tc>
          <w:tcPr>
            <w:tcW w:w="1431" w:type="dxa"/>
            <w:vAlign w:val="center"/>
          </w:tcPr>
          <w:p w14:paraId="23872D3F">
            <w:pPr>
              <w:widowControl/>
              <w:spacing w:after="0" w:line="240" w:lineRule="auto"/>
              <w:jc w:val="center"/>
              <w:rPr>
                <w:rFonts w:ascii="Times New Roman" w:cs="宋体"/>
                <w:sz w:val="18"/>
                <w:szCs w:val="18"/>
              </w:rPr>
            </w:pPr>
          </w:p>
        </w:tc>
        <w:tc>
          <w:tcPr>
            <w:tcW w:w="1470" w:type="dxa"/>
            <w:vAlign w:val="center"/>
          </w:tcPr>
          <w:p w14:paraId="13DF950B">
            <w:pPr>
              <w:widowControl/>
              <w:spacing w:after="0" w:line="240" w:lineRule="auto"/>
              <w:jc w:val="center"/>
              <w:rPr>
                <w:rFonts w:ascii="Times New Roman" w:cs="宋体"/>
                <w:sz w:val="18"/>
                <w:szCs w:val="18"/>
              </w:rPr>
            </w:pPr>
          </w:p>
        </w:tc>
      </w:tr>
      <w:tr w14:paraId="2DCE9CBD">
        <w:trPr>
          <w:jc w:val="center"/>
        </w:trPr>
        <w:tc>
          <w:tcPr>
            <w:tcW w:w="1980" w:type="dxa"/>
            <w:vMerge w:val="continue"/>
            <w:vAlign w:val="center"/>
          </w:tcPr>
          <w:p w14:paraId="68295957">
            <w:pPr>
              <w:spacing w:after="0" w:line="240" w:lineRule="auto"/>
              <w:jc w:val="center"/>
              <w:rPr>
                <w:rFonts w:ascii="Times New Roman" w:cs="宋体"/>
                <w:sz w:val="18"/>
                <w:szCs w:val="18"/>
              </w:rPr>
            </w:pPr>
          </w:p>
        </w:tc>
        <w:tc>
          <w:tcPr>
            <w:tcW w:w="2278" w:type="dxa"/>
            <w:vAlign w:val="center"/>
          </w:tcPr>
          <w:p w14:paraId="1555567E">
            <w:pPr>
              <w:widowControl/>
              <w:spacing w:after="0" w:line="240" w:lineRule="auto"/>
              <w:jc w:val="center"/>
              <w:rPr>
                <w:rFonts w:ascii="Times New Roman" w:cs="宋体"/>
                <w:sz w:val="18"/>
                <w:szCs w:val="18"/>
                <w:lang w:val="zh-CN"/>
              </w:rPr>
            </w:pPr>
            <w:r>
              <w:rPr>
                <w:rFonts w:hint="eastAsia" w:ascii="Times New Roman" w:cs="宋体"/>
                <w:sz w:val="18"/>
                <w:szCs w:val="18"/>
                <w:lang w:val="zh-CN"/>
              </w:rPr>
              <w:t>电力</w:t>
            </w:r>
          </w:p>
        </w:tc>
        <w:tc>
          <w:tcPr>
            <w:tcW w:w="1431" w:type="dxa"/>
            <w:vAlign w:val="center"/>
          </w:tcPr>
          <w:p w14:paraId="05E3EB3B">
            <w:pPr>
              <w:widowControl/>
              <w:spacing w:after="0" w:line="240" w:lineRule="auto"/>
              <w:jc w:val="center"/>
              <w:rPr>
                <w:rFonts w:ascii="Times New Roman" w:cs="宋体"/>
                <w:sz w:val="18"/>
                <w:szCs w:val="18"/>
              </w:rPr>
            </w:pPr>
          </w:p>
        </w:tc>
        <w:tc>
          <w:tcPr>
            <w:tcW w:w="1431" w:type="dxa"/>
            <w:vAlign w:val="center"/>
          </w:tcPr>
          <w:p w14:paraId="13C3E68A">
            <w:pPr>
              <w:widowControl/>
              <w:spacing w:after="0" w:line="240" w:lineRule="auto"/>
              <w:jc w:val="center"/>
              <w:rPr>
                <w:rFonts w:ascii="Times New Roman" w:cs="宋体"/>
                <w:sz w:val="18"/>
                <w:szCs w:val="18"/>
              </w:rPr>
            </w:pPr>
          </w:p>
        </w:tc>
        <w:tc>
          <w:tcPr>
            <w:tcW w:w="1470" w:type="dxa"/>
            <w:vAlign w:val="center"/>
          </w:tcPr>
          <w:p w14:paraId="5D700722">
            <w:pPr>
              <w:widowControl/>
              <w:spacing w:after="0" w:line="240" w:lineRule="auto"/>
              <w:jc w:val="center"/>
              <w:rPr>
                <w:rFonts w:ascii="Times New Roman" w:cs="宋体"/>
                <w:sz w:val="18"/>
                <w:szCs w:val="18"/>
              </w:rPr>
            </w:pPr>
          </w:p>
        </w:tc>
      </w:tr>
      <w:tr w14:paraId="58935CD1">
        <w:trPr>
          <w:jc w:val="center"/>
        </w:trPr>
        <w:tc>
          <w:tcPr>
            <w:tcW w:w="1980" w:type="dxa"/>
            <w:vMerge w:val="continue"/>
            <w:vAlign w:val="center"/>
          </w:tcPr>
          <w:p w14:paraId="6A5FBC06">
            <w:pPr>
              <w:spacing w:after="0" w:line="240" w:lineRule="auto"/>
              <w:jc w:val="center"/>
              <w:rPr>
                <w:rFonts w:ascii="Times New Roman" w:cs="宋体"/>
                <w:sz w:val="18"/>
                <w:szCs w:val="18"/>
              </w:rPr>
            </w:pPr>
          </w:p>
        </w:tc>
        <w:tc>
          <w:tcPr>
            <w:tcW w:w="2278" w:type="dxa"/>
            <w:vAlign w:val="center"/>
          </w:tcPr>
          <w:p w14:paraId="75BD2950">
            <w:pPr>
              <w:widowControl/>
              <w:spacing w:after="0" w:line="240" w:lineRule="auto"/>
              <w:jc w:val="center"/>
              <w:rPr>
                <w:rFonts w:ascii="Times New Roman" w:cs="宋体"/>
                <w:sz w:val="18"/>
                <w:szCs w:val="18"/>
                <w:lang w:val="zh-CN"/>
              </w:rPr>
            </w:pPr>
            <w:r>
              <w:rPr>
                <w:rFonts w:hint="eastAsia" w:ascii="Times New Roman" w:cs="宋体"/>
                <w:sz w:val="18"/>
                <w:szCs w:val="18"/>
                <w:lang w:val="zh-CN" w:eastAsia="zh-CN"/>
              </w:rPr>
              <w:t>水</w:t>
            </w:r>
          </w:p>
        </w:tc>
        <w:tc>
          <w:tcPr>
            <w:tcW w:w="1431" w:type="dxa"/>
            <w:vAlign w:val="center"/>
          </w:tcPr>
          <w:p w14:paraId="74E6DAEB">
            <w:pPr>
              <w:widowControl/>
              <w:spacing w:after="0" w:line="240" w:lineRule="auto"/>
              <w:jc w:val="center"/>
              <w:rPr>
                <w:rFonts w:ascii="Times New Roman" w:cs="宋体"/>
                <w:sz w:val="18"/>
                <w:szCs w:val="18"/>
              </w:rPr>
            </w:pPr>
          </w:p>
        </w:tc>
        <w:tc>
          <w:tcPr>
            <w:tcW w:w="1431" w:type="dxa"/>
            <w:vAlign w:val="center"/>
          </w:tcPr>
          <w:p w14:paraId="5769691F">
            <w:pPr>
              <w:widowControl/>
              <w:spacing w:after="0" w:line="240" w:lineRule="auto"/>
              <w:jc w:val="center"/>
              <w:rPr>
                <w:rFonts w:ascii="Times New Roman" w:cs="宋体"/>
                <w:sz w:val="18"/>
                <w:szCs w:val="18"/>
              </w:rPr>
            </w:pPr>
          </w:p>
        </w:tc>
        <w:tc>
          <w:tcPr>
            <w:tcW w:w="1470" w:type="dxa"/>
            <w:vAlign w:val="center"/>
          </w:tcPr>
          <w:p w14:paraId="01F2BEEE">
            <w:pPr>
              <w:widowControl/>
              <w:spacing w:after="0" w:line="240" w:lineRule="auto"/>
              <w:jc w:val="center"/>
              <w:rPr>
                <w:rFonts w:ascii="Times New Roman" w:cs="宋体"/>
                <w:sz w:val="18"/>
                <w:szCs w:val="18"/>
              </w:rPr>
            </w:pPr>
          </w:p>
        </w:tc>
      </w:tr>
      <w:tr w14:paraId="0549C272">
        <w:trPr>
          <w:jc w:val="center"/>
        </w:trPr>
        <w:tc>
          <w:tcPr>
            <w:tcW w:w="1980" w:type="dxa"/>
            <w:vMerge w:val="continue"/>
            <w:vAlign w:val="center"/>
          </w:tcPr>
          <w:p w14:paraId="285CAC26">
            <w:pPr>
              <w:spacing w:after="0" w:line="240" w:lineRule="auto"/>
              <w:jc w:val="center"/>
              <w:rPr>
                <w:rFonts w:ascii="Times New Roman" w:cs="宋体"/>
                <w:sz w:val="18"/>
                <w:szCs w:val="18"/>
              </w:rPr>
            </w:pPr>
          </w:p>
        </w:tc>
        <w:tc>
          <w:tcPr>
            <w:tcW w:w="2278" w:type="dxa"/>
            <w:vAlign w:val="center"/>
          </w:tcPr>
          <w:p w14:paraId="0644FFB5">
            <w:pPr>
              <w:widowControl/>
              <w:spacing w:after="0" w:line="240" w:lineRule="auto"/>
              <w:jc w:val="center"/>
              <w:rPr>
                <w:rFonts w:ascii="Times New Roman" w:cs="宋体"/>
                <w:sz w:val="18"/>
                <w:szCs w:val="18"/>
                <w:lang w:val="zh-CN"/>
              </w:rPr>
            </w:pPr>
            <w:r>
              <w:rPr>
                <w:rFonts w:hint="eastAsia" w:ascii="Times New Roman" w:cs="宋体"/>
                <w:sz w:val="18"/>
                <w:szCs w:val="18"/>
                <w:lang w:val="zh-CN"/>
              </w:rPr>
              <w:t>温室气体直接排放</w:t>
            </w:r>
          </w:p>
        </w:tc>
        <w:tc>
          <w:tcPr>
            <w:tcW w:w="1431" w:type="dxa"/>
            <w:vAlign w:val="center"/>
          </w:tcPr>
          <w:p w14:paraId="20126453">
            <w:pPr>
              <w:widowControl/>
              <w:spacing w:after="0" w:line="240" w:lineRule="auto"/>
              <w:jc w:val="center"/>
              <w:rPr>
                <w:rFonts w:ascii="Times New Roman" w:cs="宋体"/>
                <w:sz w:val="18"/>
                <w:szCs w:val="18"/>
              </w:rPr>
            </w:pPr>
          </w:p>
        </w:tc>
        <w:tc>
          <w:tcPr>
            <w:tcW w:w="1431" w:type="dxa"/>
            <w:vAlign w:val="center"/>
          </w:tcPr>
          <w:p w14:paraId="7C9F8603">
            <w:pPr>
              <w:widowControl/>
              <w:spacing w:after="0" w:line="240" w:lineRule="auto"/>
              <w:jc w:val="center"/>
              <w:rPr>
                <w:rFonts w:ascii="Times New Roman" w:cs="宋体"/>
                <w:sz w:val="18"/>
                <w:szCs w:val="18"/>
              </w:rPr>
            </w:pPr>
          </w:p>
        </w:tc>
        <w:tc>
          <w:tcPr>
            <w:tcW w:w="1470" w:type="dxa"/>
            <w:vAlign w:val="center"/>
          </w:tcPr>
          <w:p w14:paraId="0EE51455">
            <w:pPr>
              <w:widowControl/>
              <w:spacing w:after="0" w:line="240" w:lineRule="auto"/>
              <w:jc w:val="center"/>
              <w:rPr>
                <w:rFonts w:ascii="Times New Roman" w:cs="宋体"/>
                <w:sz w:val="18"/>
                <w:szCs w:val="18"/>
              </w:rPr>
            </w:pPr>
          </w:p>
        </w:tc>
      </w:tr>
      <w:tr w14:paraId="30600260">
        <w:trPr>
          <w:jc w:val="center"/>
        </w:trPr>
        <w:tc>
          <w:tcPr>
            <w:tcW w:w="1980" w:type="dxa"/>
            <w:vMerge w:val="restart"/>
            <w:vAlign w:val="center"/>
          </w:tcPr>
          <w:p w14:paraId="79B5406A">
            <w:pPr>
              <w:spacing w:after="0" w:line="240" w:lineRule="auto"/>
              <w:jc w:val="center"/>
              <w:rPr>
                <w:rFonts w:ascii="Times New Roman" w:cs="宋体"/>
                <w:sz w:val="18"/>
                <w:szCs w:val="18"/>
              </w:rPr>
            </w:pPr>
            <w:r>
              <w:rPr>
                <w:rFonts w:hint="eastAsia" w:ascii="Times New Roman" w:cs="宋体"/>
                <w:sz w:val="18"/>
                <w:szCs w:val="18"/>
                <w:lang w:eastAsia="zh-CN"/>
              </w:rPr>
              <w:t>稀土选矿</w:t>
            </w:r>
          </w:p>
        </w:tc>
        <w:tc>
          <w:tcPr>
            <w:tcW w:w="2278" w:type="dxa"/>
            <w:vAlign w:val="center"/>
          </w:tcPr>
          <w:p w14:paraId="39751AC5">
            <w:pPr>
              <w:widowControl/>
              <w:spacing w:after="0" w:line="240" w:lineRule="auto"/>
              <w:jc w:val="center"/>
              <w:rPr>
                <w:rFonts w:ascii="Times New Roman" w:cs="宋体"/>
                <w:sz w:val="18"/>
                <w:szCs w:val="18"/>
              </w:rPr>
            </w:pPr>
            <w:r>
              <w:rPr>
                <w:rFonts w:hint="eastAsia" w:ascii="Times New Roman" w:cs="宋体"/>
                <w:sz w:val="18"/>
                <w:szCs w:val="18"/>
                <w:lang w:val="zh-CN" w:eastAsia="zh-CN"/>
              </w:rPr>
              <w:t>稀土矿石</w:t>
            </w:r>
            <w:r>
              <w:rPr>
                <w:rFonts w:hint="eastAsia" w:ascii="Times New Roman" w:cs="宋体"/>
                <w:sz w:val="18"/>
                <w:szCs w:val="18"/>
                <w:lang w:val="zh-CN"/>
              </w:rPr>
              <w:t>/</w:t>
            </w:r>
            <w:r>
              <w:rPr>
                <w:rFonts w:hint="eastAsia" w:ascii="Times New Roman" w:cs="宋体"/>
                <w:sz w:val="18"/>
                <w:szCs w:val="18"/>
                <w:lang w:val="zh-CN" w:eastAsia="zh-CN"/>
              </w:rPr>
              <w:t>矿浆</w:t>
            </w:r>
            <w:r>
              <w:rPr>
                <w:rFonts w:ascii="Times New Roman" w:cs="宋体"/>
                <w:sz w:val="18"/>
                <w:szCs w:val="18"/>
              </w:rPr>
              <w:t xml:space="preserve"> </w:t>
            </w:r>
          </w:p>
        </w:tc>
        <w:tc>
          <w:tcPr>
            <w:tcW w:w="1431" w:type="dxa"/>
            <w:vAlign w:val="center"/>
          </w:tcPr>
          <w:p w14:paraId="5C90BF92">
            <w:pPr>
              <w:widowControl/>
              <w:spacing w:after="0" w:line="240" w:lineRule="auto"/>
              <w:jc w:val="center"/>
              <w:rPr>
                <w:rFonts w:ascii="Times New Roman" w:cs="宋体"/>
                <w:sz w:val="18"/>
                <w:szCs w:val="18"/>
              </w:rPr>
            </w:pPr>
          </w:p>
        </w:tc>
        <w:tc>
          <w:tcPr>
            <w:tcW w:w="1431" w:type="dxa"/>
            <w:vAlign w:val="center"/>
          </w:tcPr>
          <w:p w14:paraId="3812333C">
            <w:pPr>
              <w:widowControl/>
              <w:spacing w:after="0" w:line="240" w:lineRule="auto"/>
              <w:jc w:val="center"/>
              <w:rPr>
                <w:rFonts w:ascii="Times New Roman" w:cs="宋体"/>
                <w:sz w:val="18"/>
                <w:szCs w:val="18"/>
              </w:rPr>
            </w:pPr>
          </w:p>
        </w:tc>
        <w:tc>
          <w:tcPr>
            <w:tcW w:w="1470" w:type="dxa"/>
            <w:vAlign w:val="center"/>
          </w:tcPr>
          <w:p w14:paraId="2D444D8E">
            <w:pPr>
              <w:widowControl/>
              <w:spacing w:after="0" w:line="240" w:lineRule="auto"/>
              <w:jc w:val="center"/>
              <w:rPr>
                <w:rFonts w:ascii="Times New Roman" w:cs="宋体"/>
                <w:sz w:val="18"/>
                <w:szCs w:val="18"/>
              </w:rPr>
            </w:pPr>
          </w:p>
        </w:tc>
      </w:tr>
      <w:tr w14:paraId="101A9B7A">
        <w:trPr>
          <w:jc w:val="center"/>
        </w:trPr>
        <w:tc>
          <w:tcPr>
            <w:tcW w:w="1980" w:type="dxa"/>
            <w:vMerge w:val="continue"/>
            <w:vAlign w:val="center"/>
          </w:tcPr>
          <w:p w14:paraId="545210B9">
            <w:pPr>
              <w:spacing w:after="0" w:line="240" w:lineRule="auto"/>
              <w:jc w:val="center"/>
              <w:rPr>
                <w:rFonts w:ascii="Times New Roman" w:cs="宋体"/>
                <w:sz w:val="18"/>
                <w:szCs w:val="18"/>
              </w:rPr>
            </w:pPr>
          </w:p>
        </w:tc>
        <w:tc>
          <w:tcPr>
            <w:tcW w:w="2278" w:type="dxa"/>
            <w:vAlign w:val="center"/>
          </w:tcPr>
          <w:p w14:paraId="6B587C72">
            <w:pPr>
              <w:widowControl/>
              <w:spacing w:after="0" w:line="240" w:lineRule="auto"/>
              <w:jc w:val="center"/>
              <w:rPr>
                <w:rFonts w:ascii="Times New Roman" w:cs="宋体"/>
                <w:color w:val="EE0000"/>
                <w:sz w:val="18"/>
                <w:szCs w:val="18"/>
                <w:lang w:val="zh-CN" w:eastAsia="zh-CN"/>
              </w:rPr>
            </w:pPr>
            <w:r>
              <w:rPr>
                <w:rFonts w:hint="eastAsia" w:ascii="Times New Roman" w:cs="宋体"/>
                <w:sz w:val="18"/>
                <w:szCs w:val="18"/>
                <w:lang w:val="zh-CN" w:eastAsia="zh-CN"/>
              </w:rPr>
              <w:t>选矿药剂</w:t>
            </w:r>
          </w:p>
        </w:tc>
        <w:tc>
          <w:tcPr>
            <w:tcW w:w="1431" w:type="dxa"/>
            <w:vAlign w:val="center"/>
          </w:tcPr>
          <w:p w14:paraId="3CAB0931">
            <w:pPr>
              <w:widowControl/>
              <w:spacing w:after="0" w:line="240" w:lineRule="auto"/>
              <w:jc w:val="center"/>
              <w:rPr>
                <w:rFonts w:ascii="Times New Roman" w:cs="宋体"/>
                <w:sz w:val="18"/>
                <w:szCs w:val="18"/>
              </w:rPr>
            </w:pPr>
          </w:p>
        </w:tc>
        <w:tc>
          <w:tcPr>
            <w:tcW w:w="1431" w:type="dxa"/>
            <w:vAlign w:val="center"/>
          </w:tcPr>
          <w:p w14:paraId="088C664F">
            <w:pPr>
              <w:widowControl/>
              <w:spacing w:after="0" w:line="240" w:lineRule="auto"/>
              <w:jc w:val="center"/>
              <w:rPr>
                <w:rFonts w:ascii="Times New Roman" w:cs="宋体"/>
                <w:sz w:val="18"/>
                <w:szCs w:val="18"/>
              </w:rPr>
            </w:pPr>
          </w:p>
        </w:tc>
        <w:tc>
          <w:tcPr>
            <w:tcW w:w="1470" w:type="dxa"/>
            <w:vAlign w:val="center"/>
          </w:tcPr>
          <w:p w14:paraId="0D3D9F72">
            <w:pPr>
              <w:widowControl/>
              <w:spacing w:after="0" w:line="240" w:lineRule="auto"/>
              <w:jc w:val="center"/>
              <w:rPr>
                <w:rFonts w:ascii="Times New Roman" w:cs="宋体"/>
                <w:sz w:val="18"/>
                <w:szCs w:val="18"/>
              </w:rPr>
            </w:pPr>
          </w:p>
        </w:tc>
      </w:tr>
      <w:tr w14:paraId="308B40DC">
        <w:trPr>
          <w:jc w:val="center"/>
        </w:trPr>
        <w:tc>
          <w:tcPr>
            <w:tcW w:w="1980" w:type="dxa"/>
            <w:vMerge w:val="continue"/>
            <w:vAlign w:val="center"/>
          </w:tcPr>
          <w:p w14:paraId="67CB6099">
            <w:pPr>
              <w:spacing w:after="0" w:line="240" w:lineRule="auto"/>
              <w:jc w:val="center"/>
              <w:rPr>
                <w:rFonts w:ascii="Times New Roman" w:cs="宋体"/>
                <w:sz w:val="18"/>
                <w:szCs w:val="18"/>
              </w:rPr>
            </w:pPr>
          </w:p>
        </w:tc>
        <w:tc>
          <w:tcPr>
            <w:tcW w:w="2278" w:type="dxa"/>
            <w:vAlign w:val="center"/>
          </w:tcPr>
          <w:p w14:paraId="0045C027">
            <w:pPr>
              <w:widowControl/>
              <w:spacing w:after="0" w:line="240" w:lineRule="auto"/>
              <w:jc w:val="center"/>
              <w:rPr>
                <w:rFonts w:ascii="Times New Roman" w:cs="宋体"/>
                <w:sz w:val="18"/>
                <w:szCs w:val="18"/>
                <w:lang w:val="zh-CN" w:eastAsia="zh-CN"/>
              </w:rPr>
            </w:pPr>
            <w:r>
              <w:rPr>
                <w:rFonts w:hint="eastAsia" w:ascii="Times New Roman" w:cs="宋体"/>
                <w:sz w:val="18"/>
                <w:szCs w:val="18"/>
                <w:lang w:val="zh-CN" w:eastAsia="zh-CN"/>
              </w:rPr>
              <w:t>水</w:t>
            </w:r>
          </w:p>
        </w:tc>
        <w:tc>
          <w:tcPr>
            <w:tcW w:w="1431" w:type="dxa"/>
            <w:vAlign w:val="center"/>
          </w:tcPr>
          <w:p w14:paraId="0EE9413B">
            <w:pPr>
              <w:widowControl/>
              <w:spacing w:after="0" w:line="240" w:lineRule="auto"/>
              <w:jc w:val="center"/>
              <w:rPr>
                <w:rFonts w:ascii="Times New Roman" w:cs="宋体"/>
                <w:sz w:val="18"/>
                <w:szCs w:val="18"/>
              </w:rPr>
            </w:pPr>
          </w:p>
        </w:tc>
        <w:tc>
          <w:tcPr>
            <w:tcW w:w="1431" w:type="dxa"/>
            <w:vAlign w:val="center"/>
          </w:tcPr>
          <w:p w14:paraId="25783C98">
            <w:pPr>
              <w:widowControl/>
              <w:spacing w:after="0" w:line="240" w:lineRule="auto"/>
              <w:jc w:val="center"/>
              <w:rPr>
                <w:rFonts w:ascii="Times New Roman" w:cs="宋体"/>
                <w:sz w:val="18"/>
                <w:szCs w:val="18"/>
              </w:rPr>
            </w:pPr>
          </w:p>
        </w:tc>
        <w:tc>
          <w:tcPr>
            <w:tcW w:w="1470" w:type="dxa"/>
            <w:vAlign w:val="center"/>
          </w:tcPr>
          <w:p w14:paraId="10B951FE">
            <w:pPr>
              <w:widowControl/>
              <w:spacing w:after="0" w:line="240" w:lineRule="auto"/>
              <w:jc w:val="center"/>
              <w:rPr>
                <w:rFonts w:ascii="Times New Roman" w:cs="宋体"/>
                <w:sz w:val="18"/>
                <w:szCs w:val="18"/>
              </w:rPr>
            </w:pPr>
          </w:p>
        </w:tc>
      </w:tr>
      <w:tr w14:paraId="217D75F8">
        <w:trPr>
          <w:jc w:val="center"/>
        </w:trPr>
        <w:tc>
          <w:tcPr>
            <w:tcW w:w="1980" w:type="dxa"/>
            <w:vMerge w:val="continue"/>
            <w:vAlign w:val="center"/>
          </w:tcPr>
          <w:p w14:paraId="69440B9D">
            <w:pPr>
              <w:spacing w:after="0" w:line="240" w:lineRule="auto"/>
              <w:jc w:val="center"/>
              <w:rPr>
                <w:rFonts w:ascii="Times New Roman" w:cs="宋体"/>
                <w:sz w:val="18"/>
                <w:szCs w:val="18"/>
              </w:rPr>
            </w:pPr>
          </w:p>
        </w:tc>
        <w:tc>
          <w:tcPr>
            <w:tcW w:w="2278" w:type="dxa"/>
            <w:vAlign w:val="center"/>
          </w:tcPr>
          <w:p w14:paraId="727E821D">
            <w:pPr>
              <w:widowControl/>
              <w:spacing w:after="0" w:line="240" w:lineRule="auto"/>
              <w:jc w:val="center"/>
              <w:rPr>
                <w:rFonts w:ascii="Times New Roman" w:cs="宋体"/>
                <w:sz w:val="18"/>
                <w:szCs w:val="18"/>
              </w:rPr>
            </w:pPr>
            <w:r>
              <w:rPr>
                <w:rFonts w:hint="eastAsia" w:ascii="Times New Roman" w:cs="宋体"/>
                <w:sz w:val="18"/>
                <w:szCs w:val="18"/>
                <w:lang w:val="zh-CN"/>
              </w:rPr>
              <w:t>各类物</w:t>
            </w:r>
            <w:r>
              <w:rPr>
                <w:rFonts w:hint="eastAsia" w:ascii="Times New Roman" w:cs="宋体"/>
                <w:sz w:val="18"/>
                <w:szCs w:val="18"/>
                <w:lang w:val="zh-CN" w:eastAsia="zh-CN"/>
              </w:rPr>
              <w:t>料</w:t>
            </w:r>
            <w:r>
              <w:rPr>
                <w:rFonts w:hint="eastAsia" w:ascii="Times New Roman" w:cs="宋体"/>
                <w:sz w:val="18"/>
                <w:szCs w:val="18"/>
                <w:lang w:val="zh-CN"/>
              </w:rPr>
              <w:t>运输</w:t>
            </w:r>
          </w:p>
        </w:tc>
        <w:tc>
          <w:tcPr>
            <w:tcW w:w="1431" w:type="dxa"/>
            <w:vAlign w:val="center"/>
          </w:tcPr>
          <w:p w14:paraId="7A528AF1">
            <w:pPr>
              <w:widowControl/>
              <w:spacing w:after="0" w:line="240" w:lineRule="auto"/>
              <w:jc w:val="center"/>
              <w:rPr>
                <w:rFonts w:ascii="Times New Roman" w:cs="宋体"/>
                <w:sz w:val="18"/>
                <w:szCs w:val="18"/>
              </w:rPr>
            </w:pPr>
          </w:p>
        </w:tc>
        <w:tc>
          <w:tcPr>
            <w:tcW w:w="1431" w:type="dxa"/>
            <w:vAlign w:val="center"/>
          </w:tcPr>
          <w:p w14:paraId="4BA93BDB">
            <w:pPr>
              <w:widowControl/>
              <w:spacing w:after="0" w:line="240" w:lineRule="auto"/>
              <w:jc w:val="center"/>
              <w:rPr>
                <w:rFonts w:ascii="Times New Roman" w:cs="宋体"/>
                <w:sz w:val="18"/>
                <w:szCs w:val="18"/>
              </w:rPr>
            </w:pPr>
          </w:p>
        </w:tc>
        <w:tc>
          <w:tcPr>
            <w:tcW w:w="1470" w:type="dxa"/>
            <w:vAlign w:val="center"/>
          </w:tcPr>
          <w:p w14:paraId="366A2796">
            <w:pPr>
              <w:widowControl/>
              <w:spacing w:after="0" w:line="240" w:lineRule="auto"/>
              <w:jc w:val="center"/>
              <w:rPr>
                <w:rFonts w:ascii="Times New Roman" w:cs="宋体"/>
                <w:sz w:val="18"/>
                <w:szCs w:val="18"/>
              </w:rPr>
            </w:pPr>
          </w:p>
        </w:tc>
      </w:tr>
      <w:tr w14:paraId="3290B43E">
        <w:trPr>
          <w:jc w:val="center"/>
        </w:trPr>
        <w:tc>
          <w:tcPr>
            <w:tcW w:w="1980" w:type="dxa"/>
            <w:vMerge w:val="continue"/>
            <w:vAlign w:val="center"/>
          </w:tcPr>
          <w:p w14:paraId="652361B7">
            <w:pPr>
              <w:spacing w:after="0" w:line="240" w:lineRule="auto"/>
              <w:jc w:val="center"/>
              <w:rPr>
                <w:rFonts w:ascii="Times New Roman" w:cs="宋体"/>
                <w:sz w:val="18"/>
                <w:szCs w:val="18"/>
              </w:rPr>
            </w:pPr>
          </w:p>
        </w:tc>
        <w:tc>
          <w:tcPr>
            <w:tcW w:w="2278" w:type="dxa"/>
            <w:vAlign w:val="center"/>
          </w:tcPr>
          <w:p w14:paraId="19689348">
            <w:pPr>
              <w:widowControl/>
              <w:spacing w:after="0" w:line="240" w:lineRule="auto"/>
              <w:jc w:val="center"/>
              <w:rPr>
                <w:rFonts w:ascii="Times New Roman" w:cs="宋体"/>
                <w:sz w:val="18"/>
                <w:szCs w:val="18"/>
              </w:rPr>
            </w:pPr>
            <w:r>
              <w:rPr>
                <w:rFonts w:hint="eastAsia" w:ascii="Times New Roman" w:cs="宋体"/>
                <w:sz w:val="18"/>
                <w:szCs w:val="18"/>
                <w:lang w:val="zh-CN"/>
              </w:rPr>
              <w:t>电力</w:t>
            </w:r>
          </w:p>
        </w:tc>
        <w:tc>
          <w:tcPr>
            <w:tcW w:w="1431" w:type="dxa"/>
            <w:vAlign w:val="center"/>
          </w:tcPr>
          <w:p w14:paraId="5BE6F6EA">
            <w:pPr>
              <w:widowControl/>
              <w:spacing w:after="0" w:line="240" w:lineRule="auto"/>
              <w:jc w:val="center"/>
              <w:rPr>
                <w:rFonts w:ascii="Times New Roman" w:cs="宋体"/>
                <w:sz w:val="18"/>
                <w:szCs w:val="18"/>
              </w:rPr>
            </w:pPr>
          </w:p>
        </w:tc>
        <w:tc>
          <w:tcPr>
            <w:tcW w:w="1431" w:type="dxa"/>
            <w:vAlign w:val="center"/>
          </w:tcPr>
          <w:p w14:paraId="469B4CF8">
            <w:pPr>
              <w:widowControl/>
              <w:spacing w:after="0" w:line="240" w:lineRule="auto"/>
              <w:jc w:val="center"/>
              <w:rPr>
                <w:rFonts w:ascii="Times New Roman" w:cs="宋体"/>
                <w:sz w:val="18"/>
                <w:szCs w:val="18"/>
              </w:rPr>
            </w:pPr>
          </w:p>
        </w:tc>
        <w:tc>
          <w:tcPr>
            <w:tcW w:w="1470" w:type="dxa"/>
            <w:vAlign w:val="center"/>
          </w:tcPr>
          <w:p w14:paraId="4EE49764">
            <w:pPr>
              <w:widowControl/>
              <w:spacing w:after="0" w:line="240" w:lineRule="auto"/>
              <w:jc w:val="center"/>
              <w:rPr>
                <w:rFonts w:ascii="Times New Roman" w:cs="宋体"/>
                <w:sz w:val="18"/>
                <w:szCs w:val="18"/>
              </w:rPr>
            </w:pPr>
          </w:p>
        </w:tc>
      </w:tr>
      <w:tr w14:paraId="382F6C00">
        <w:trPr>
          <w:jc w:val="center"/>
        </w:trPr>
        <w:tc>
          <w:tcPr>
            <w:tcW w:w="1980" w:type="dxa"/>
            <w:vMerge w:val="continue"/>
            <w:vAlign w:val="center"/>
          </w:tcPr>
          <w:p w14:paraId="745F6AFD">
            <w:pPr>
              <w:spacing w:after="0" w:line="240" w:lineRule="auto"/>
              <w:jc w:val="center"/>
              <w:rPr>
                <w:rFonts w:ascii="Times New Roman" w:cs="宋体"/>
                <w:sz w:val="18"/>
                <w:szCs w:val="18"/>
              </w:rPr>
            </w:pPr>
          </w:p>
        </w:tc>
        <w:tc>
          <w:tcPr>
            <w:tcW w:w="2278" w:type="dxa"/>
            <w:vAlign w:val="center"/>
          </w:tcPr>
          <w:p w14:paraId="0B985C28">
            <w:pPr>
              <w:widowControl/>
              <w:spacing w:after="0" w:line="240" w:lineRule="auto"/>
              <w:jc w:val="center"/>
              <w:rPr>
                <w:rFonts w:ascii="Times New Roman" w:cs="宋体"/>
                <w:sz w:val="18"/>
                <w:szCs w:val="18"/>
              </w:rPr>
            </w:pPr>
            <w:r>
              <w:rPr>
                <w:rFonts w:hint="eastAsia" w:ascii="Times New Roman" w:cs="宋体"/>
                <w:sz w:val="18"/>
                <w:szCs w:val="18"/>
                <w:lang w:val="zh-CN" w:eastAsia="zh-CN"/>
              </w:rPr>
              <w:t>燃料</w:t>
            </w:r>
          </w:p>
        </w:tc>
        <w:tc>
          <w:tcPr>
            <w:tcW w:w="1431" w:type="dxa"/>
            <w:vAlign w:val="center"/>
          </w:tcPr>
          <w:p w14:paraId="6F1421E7">
            <w:pPr>
              <w:widowControl/>
              <w:spacing w:after="0" w:line="240" w:lineRule="auto"/>
              <w:jc w:val="center"/>
              <w:rPr>
                <w:rFonts w:ascii="Times New Roman" w:cs="宋体"/>
                <w:sz w:val="18"/>
                <w:szCs w:val="18"/>
              </w:rPr>
            </w:pPr>
          </w:p>
        </w:tc>
        <w:tc>
          <w:tcPr>
            <w:tcW w:w="1431" w:type="dxa"/>
            <w:vAlign w:val="center"/>
          </w:tcPr>
          <w:p w14:paraId="72657DAC">
            <w:pPr>
              <w:widowControl/>
              <w:spacing w:after="0" w:line="240" w:lineRule="auto"/>
              <w:jc w:val="center"/>
              <w:rPr>
                <w:rFonts w:ascii="Times New Roman" w:cs="宋体"/>
                <w:sz w:val="18"/>
                <w:szCs w:val="18"/>
              </w:rPr>
            </w:pPr>
          </w:p>
        </w:tc>
        <w:tc>
          <w:tcPr>
            <w:tcW w:w="1470" w:type="dxa"/>
            <w:vAlign w:val="center"/>
          </w:tcPr>
          <w:p w14:paraId="3A9318E9">
            <w:pPr>
              <w:widowControl/>
              <w:spacing w:after="0" w:line="240" w:lineRule="auto"/>
              <w:jc w:val="center"/>
              <w:rPr>
                <w:rFonts w:ascii="Times New Roman" w:cs="宋体"/>
                <w:sz w:val="18"/>
                <w:szCs w:val="18"/>
              </w:rPr>
            </w:pPr>
          </w:p>
        </w:tc>
      </w:tr>
      <w:tr w14:paraId="7431CE5F">
        <w:trPr>
          <w:jc w:val="center"/>
        </w:trPr>
        <w:tc>
          <w:tcPr>
            <w:tcW w:w="1980" w:type="dxa"/>
            <w:vMerge w:val="continue"/>
            <w:vAlign w:val="center"/>
          </w:tcPr>
          <w:p w14:paraId="0E4F0F2C">
            <w:pPr>
              <w:spacing w:after="0" w:line="240" w:lineRule="auto"/>
              <w:jc w:val="center"/>
              <w:rPr>
                <w:rFonts w:ascii="Times New Roman" w:cs="宋体"/>
                <w:sz w:val="18"/>
                <w:szCs w:val="18"/>
              </w:rPr>
            </w:pPr>
          </w:p>
        </w:tc>
        <w:tc>
          <w:tcPr>
            <w:tcW w:w="2278" w:type="dxa"/>
            <w:vAlign w:val="center"/>
          </w:tcPr>
          <w:p w14:paraId="0A05D64A">
            <w:pPr>
              <w:widowControl/>
              <w:spacing w:after="0" w:line="240" w:lineRule="auto"/>
              <w:jc w:val="center"/>
              <w:rPr>
                <w:rFonts w:ascii="Times New Roman" w:cs="宋体"/>
                <w:sz w:val="18"/>
                <w:szCs w:val="18"/>
              </w:rPr>
            </w:pPr>
            <w:r>
              <w:rPr>
                <w:rFonts w:hint="eastAsia" w:ascii="Times New Roman" w:cs="宋体"/>
                <w:sz w:val="18"/>
                <w:szCs w:val="18"/>
                <w:lang w:val="zh-CN" w:eastAsia="zh-CN"/>
              </w:rPr>
              <w:t>热力</w:t>
            </w:r>
          </w:p>
        </w:tc>
        <w:tc>
          <w:tcPr>
            <w:tcW w:w="1431" w:type="dxa"/>
            <w:vAlign w:val="center"/>
          </w:tcPr>
          <w:p w14:paraId="1CFA9D6A">
            <w:pPr>
              <w:widowControl/>
              <w:spacing w:after="0" w:line="240" w:lineRule="auto"/>
              <w:jc w:val="center"/>
              <w:rPr>
                <w:rFonts w:ascii="Times New Roman" w:cs="宋体"/>
                <w:sz w:val="18"/>
                <w:szCs w:val="18"/>
              </w:rPr>
            </w:pPr>
          </w:p>
        </w:tc>
        <w:tc>
          <w:tcPr>
            <w:tcW w:w="1431" w:type="dxa"/>
            <w:vAlign w:val="center"/>
          </w:tcPr>
          <w:p w14:paraId="5575BEC1">
            <w:pPr>
              <w:widowControl/>
              <w:spacing w:after="0" w:line="240" w:lineRule="auto"/>
              <w:jc w:val="center"/>
              <w:rPr>
                <w:rFonts w:ascii="Times New Roman" w:cs="宋体"/>
                <w:sz w:val="18"/>
                <w:szCs w:val="18"/>
              </w:rPr>
            </w:pPr>
          </w:p>
        </w:tc>
        <w:tc>
          <w:tcPr>
            <w:tcW w:w="1470" w:type="dxa"/>
            <w:vAlign w:val="center"/>
          </w:tcPr>
          <w:p w14:paraId="2123C463">
            <w:pPr>
              <w:widowControl/>
              <w:spacing w:after="0" w:line="240" w:lineRule="auto"/>
              <w:jc w:val="center"/>
              <w:rPr>
                <w:rFonts w:ascii="Times New Roman" w:cs="宋体"/>
                <w:sz w:val="18"/>
                <w:szCs w:val="18"/>
              </w:rPr>
            </w:pPr>
          </w:p>
        </w:tc>
      </w:tr>
      <w:tr w14:paraId="0EA0FB31">
        <w:trPr>
          <w:jc w:val="center"/>
        </w:trPr>
        <w:tc>
          <w:tcPr>
            <w:tcW w:w="1980" w:type="dxa"/>
            <w:vMerge w:val="continue"/>
            <w:vAlign w:val="center"/>
          </w:tcPr>
          <w:p w14:paraId="35C70C7F">
            <w:pPr>
              <w:spacing w:after="0" w:line="240" w:lineRule="auto"/>
              <w:jc w:val="center"/>
              <w:rPr>
                <w:rFonts w:ascii="Times New Roman" w:cs="宋体"/>
                <w:sz w:val="18"/>
                <w:szCs w:val="18"/>
              </w:rPr>
            </w:pPr>
          </w:p>
        </w:tc>
        <w:tc>
          <w:tcPr>
            <w:tcW w:w="2278" w:type="dxa"/>
            <w:vAlign w:val="center"/>
          </w:tcPr>
          <w:p w14:paraId="303732E3">
            <w:pPr>
              <w:widowControl/>
              <w:spacing w:after="0" w:line="240" w:lineRule="auto"/>
              <w:jc w:val="center"/>
              <w:rPr>
                <w:rFonts w:ascii="Times New Roman" w:cs="宋体"/>
                <w:sz w:val="18"/>
                <w:szCs w:val="18"/>
              </w:rPr>
            </w:pPr>
            <w:r>
              <w:rPr>
                <w:rFonts w:hint="eastAsia" w:ascii="Times New Roman" w:cs="宋体"/>
                <w:sz w:val="18"/>
                <w:szCs w:val="18"/>
                <w:lang w:val="zh-CN" w:eastAsia="zh-CN"/>
              </w:rPr>
              <w:t>温室气体直接排放</w:t>
            </w:r>
          </w:p>
        </w:tc>
        <w:tc>
          <w:tcPr>
            <w:tcW w:w="1431" w:type="dxa"/>
            <w:vAlign w:val="center"/>
          </w:tcPr>
          <w:p w14:paraId="50A804A2">
            <w:pPr>
              <w:widowControl/>
              <w:spacing w:after="0" w:line="240" w:lineRule="auto"/>
              <w:jc w:val="center"/>
              <w:rPr>
                <w:rFonts w:ascii="Times New Roman" w:cs="宋体"/>
                <w:sz w:val="18"/>
                <w:szCs w:val="18"/>
              </w:rPr>
            </w:pPr>
          </w:p>
        </w:tc>
        <w:tc>
          <w:tcPr>
            <w:tcW w:w="1431" w:type="dxa"/>
            <w:vAlign w:val="center"/>
          </w:tcPr>
          <w:p w14:paraId="58C69058">
            <w:pPr>
              <w:widowControl/>
              <w:spacing w:after="0" w:line="240" w:lineRule="auto"/>
              <w:jc w:val="center"/>
              <w:rPr>
                <w:rFonts w:ascii="Times New Roman" w:cs="宋体"/>
                <w:sz w:val="18"/>
                <w:szCs w:val="18"/>
              </w:rPr>
            </w:pPr>
          </w:p>
        </w:tc>
        <w:tc>
          <w:tcPr>
            <w:tcW w:w="1470" w:type="dxa"/>
            <w:vAlign w:val="center"/>
          </w:tcPr>
          <w:p w14:paraId="549C6379">
            <w:pPr>
              <w:widowControl/>
              <w:spacing w:after="0" w:line="240" w:lineRule="auto"/>
              <w:jc w:val="center"/>
              <w:rPr>
                <w:rFonts w:ascii="Times New Roman" w:cs="宋体"/>
                <w:sz w:val="18"/>
                <w:szCs w:val="18"/>
              </w:rPr>
            </w:pPr>
          </w:p>
        </w:tc>
      </w:tr>
      <w:tr w14:paraId="6BE36F56">
        <w:trPr>
          <w:jc w:val="center"/>
        </w:trPr>
        <w:tc>
          <w:tcPr>
            <w:tcW w:w="1980" w:type="dxa"/>
            <w:vMerge w:val="restart"/>
            <w:vAlign w:val="center"/>
          </w:tcPr>
          <w:p w14:paraId="50D13F4C">
            <w:pPr>
              <w:spacing w:after="0" w:line="240" w:lineRule="auto"/>
              <w:jc w:val="center"/>
              <w:rPr>
                <w:rFonts w:ascii="Times New Roman" w:cs="宋体"/>
                <w:sz w:val="18"/>
                <w:szCs w:val="18"/>
                <w:lang w:eastAsia="zh-CN"/>
              </w:rPr>
            </w:pPr>
            <w:r>
              <w:rPr>
                <w:rFonts w:hint="eastAsia" w:ascii="Times New Roman" w:cs="宋体"/>
                <w:sz w:val="18"/>
                <w:szCs w:val="18"/>
                <w:lang w:eastAsia="zh-CN"/>
              </w:rPr>
              <w:t>以稀土精矿或稀土二次资源回收料等含稀土的物料湿法分离</w:t>
            </w:r>
          </w:p>
        </w:tc>
        <w:tc>
          <w:tcPr>
            <w:tcW w:w="2278" w:type="dxa"/>
            <w:vAlign w:val="center"/>
          </w:tcPr>
          <w:p w14:paraId="06761ECE">
            <w:pPr>
              <w:widowControl/>
              <w:spacing w:after="0" w:line="240" w:lineRule="auto"/>
              <w:jc w:val="center"/>
              <w:rPr>
                <w:rFonts w:ascii="Times New Roman" w:cs="宋体"/>
                <w:sz w:val="18"/>
                <w:szCs w:val="18"/>
                <w:lang w:eastAsia="zh-CN"/>
              </w:rPr>
            </w:pPr>
            <w:r>
              <w:rPr>
                <w:rFonts w:hint="eastAsia" w:ascii="Times New Roman" w:cs="宋体"/>
                <w:sz w:val="18"/>
                <w:szCs w:val="18"/>
                <w:lang w:eastAsia="zh-CN"/>
              </w:rPr>
              <w:t>稀土精矿或稀土二次资源回收料等含稀土的物料</w:t>
            </w:r>
          </w:p>
        </w:tc>
        <w:tc>
          <w:tcPr>
            <w:tcW w:w="1431" w:type="dxa"/>
            <w:vAlign w:val="center"/>
          </w:tcPr>
          <w:p w14:paraId="7C88704A">
            <w:pPr>
              <w:widowControl/>
              <w:spacing w:after="0" w:line="240" w:lineRule="auto"/>
              <w:jc w:val="center"/>
              <w:rPr>
                <w:rFonts w:ascii="Times New Roman" w:cs="宋体"/>
                <w:sz w:val="18"/>
                <w:szCs w:val="18"/>
                <w:lang w:eastAsia="zh-CN"/>
              </w:rPr>
            </w:pPr>
          </w:p>
        </w:tc>
        <w:tc>
          <w:tcPr>
            <w:tcW w:w="1431" w:type="dxa"/>
            <w:vAlign w:val="center"/>
          </w:tcPr>
          <w:p w14:paraId="1948D493">
            <w:pPr>
              <w:widowControl/>
              <w:spacing w:after="0" w:line="240" w:lineRule="auto"/>
              <w:jc w:val="center"/>
              <w:rPr>
                <w:rFonts w:ascii="Times New Roman" w:cs="宋体"/>
                <w:sz w:val="18"/>
                <w:szCs w:val="18"/>
                <w:lang w:eastAsia="zh-CN"/>
              </w:rPr>
            </w:pPr>
          </w:p>
        </w:tc>
        <w:tc>
          <w:tcPr>
            <w:tcW w:w="1470" w:type="dxa"/>
            <w:vAlign w:val="center"/>
          </w:tcPr>
          <w:p w14:paraId="1A0FD177">
            <w:pPr>
              <w:widowControl/>
              <w:spacing w:after="0" w:line="240" w:lineRule="auto"/>
              <w:jc w:val="center"/>
              <w:rPr>
                <w:rFonts w:ascii="Times New Roman" w:cs="宋体"/>
                <w:sz w:val="18"/>
                <w:szCs w:val="18"/>
                <w:lang w:eastAsia="zh-CN"/>
              </w:rPr>
            </w:pPr>
          </w:p>
        </w:tc>
      </w:tr>
      <w:tr w14:paraId="1072A151">
        <w:trPr>
          <w:jc w:val="center"/>
        </w:trPr>
        <w:tc>
          <w:tcPr>
            <w:tcW w:w="1980" w:type="dxa"/>
            <w:vMerge w:val="continue"/>
            <w:vAlign w:val="center"/>
          </w:tcPr>
          <w:p w14:paraId="0F331D6C">
            <w:pPr>
              <w:spacing w:after="0" w:line="240" w:lineRule="auto"/>
              <w:jc w:val="center"/>
              <w:rPr>
                <w:rFonts w:ascii="Times New Roman" w:cs="宋体"/>
                <w:sz w:val="18"/>
                <w:szCs w:val="18"/>
                <w:lang w:eastAsia="zh-CN"/>
              </w:rPr>
            </w:pPr>
          </w:p>
        </w:tc>
        <w:tc>
          <w:tcPr>
            <w:tcW w:w="2278" w:type="dxa"/>
          </w:tcPr>
          <w:p w14:paraId="36FC705B">
            <w:pPr>
              <w:widowControl/>
              <w:spacing w:after="0" w:line="240" w:lineRule="auto"/>
              <w:jc w:val="center"/>
              <w:rPr>
                <w:rFonts w:ascii="Times New Roman" w:cs="宋体"/>
                <w:sz w:val="18"/>
                <w:szCs w:val="18"/>
                <w:lang w:val="zh-CN" w:eastAsia="zh-CN"/>
              </w:rPr>
            </w:pPr>
            <w:r>
              <w:rPr>
                <w:rFonts w:hint="eastAsia" w:ascii="Times New Roman" w:cs="宋体"/>
                <w:sz w:val="18"/>
                <w:szCs w:val="18"/>
                <w:lang w:val="zh-CN" w:eastAsia="zh-CN"/>
              </w:rPr>
              <w:t>水</w:t>
            </w:r>
          </w:p>
        </w:tc>
        <w:tc>
          <w:tcPr>
            <w:tcW w:w="1431" w:type="dxa"/>
            <w:vAlign w:val="center"/>
          </w:tcPr>
          <w:p w14:paraId="0D6F2EC6">
            <w:pPr>
              <w:widowControl/>
              <w:spacing w:after="0" w:line="240" w:lineRule="auto"/>
              <w:jc w:val="center"/>
              <w:rPr>
                <w:rFonts w:ascii="Times New Roman" w:cs="宋体"/>
                <w:sz w:val="18"/>
                <w:szCs w:val="18"/>
              </w:rPr>
            </w:pPr>
          </w:p>
        </w:tc>
        <w:tc>
          <w:tcPr>
            <w:tcW w:w="1431" w:type="dxa"/>
            <w:vAlign w:val="center"/>
          </w:tcPr>
          <w:p w14:paraId="7D6221FD">
            <w:pPr>
              <w:widowControl/>
              <w:spacing w:after="0" w:line="240" w:lineRule="auto"/>
              <w:jc w:val="center"/>
              <w:rPr>
                <w:rFonts w:ascii="Times New Roman" w:cs="宋体"/>
                <w:sz w:val="18"/>
                <w:szCs w:val="18"/>
              </w:rPr>
            </w:pPr>
          </w:p>
        </w:tc>
        <w:tc>
          <w:tcPr>
            <w:tcW w:w="1470" w:type="dxa"/>
            <w:vAlign w:val="center"/>
          </w:tcPr>
          <w:p w14:paraId="38BEF2BA">
            <w:pPr>
              <w:widowControl/>
              <w:spacing w:after="0" w:line="240" w:lineRule="auto"/>
              <w:jc w:val="center"/>
              <w:rPr>
                <w:rFonts w:ascii="Times New Roman" w:cs="宋体"/>
                <w:sz w:val="18"/>
                <w:szCs w:val="18"/>
              </w:rPr>
            </w:pPr>
          </w:p>
        </w:tc>
      </w:tr>
      <w:tr w14:paraId="38CF01C5">
        <w:trPr>
          <w:jc w:val="center"/>
        </w:trPr>
        <w:tc>
          <w:tcPr>
            <w:tcW w:w="1980" w:type="dxa"/>
            <w:vMerge w:val="continue"/>
            <w:vAlign w:val="center"/>
          </w:tcPr>
          <w:p w14:paraId="25A6A2BE">
            <w:pPr>
              <w:widowControl/>
              <w:spacing w:after="0" w:line="240" w:lineRule="auto"/>
              <w:jc w:val="center"/>
              <w:rPr>
                <w:rFonts w:ascii="Times New Roman" w:cs="宋体"/>
                <w:sz w:val="18"/>
                <w:szCs w:val="18"/>
              </w:rPr>
            </w:pPr>
          </w:p>
        </w:tc>
        <w:tc>
          <w:tcPr>
            <w:tcW w:w="2278" w:type="dxa"/>
            <w:vAlign w:val="center"/>
          </w:tcPr>
          <w:p w14:paraId="04BE19E9">
            <w:pPr>
              <w:widowControl/>
              <w:spacing w:after="0" w:line="240" w:lineRule="auto"/>
              <w:jc w:val="center"/>
              <w:rPr>
                <w:rFonts w:ascii="Times New Roman" w:cs="宋体"/>
                <w:sz w:val="18"/>
                <w:szCs w:val="18"/>
                <w:lang w:val="zh-CN"/>
              </w:rPr>
            </w:pPr>
            <w:r>
              <w:rPr>
                <w:rFonts w:hint="eastAsia" w:ascii="Times New Roman" w:cs="宋体"/>
                <w:sz w:val="18"/>
                <w:szCs w:val="18"/>
                <w:lang w:val="zh-CN" w:eastAsia="zh-CN"/>
              </w:rPr>
              <w:t>各类辅料</w:t>
            </w:r>
          </w:p>
        </w:tc>
        <w:tc>
          <w:tcPr>
            <w:tcW w:w="1431" w:type="dxa"/>
            <w:vAlign w:val="center"/>
          </w:tcPr>
          <w:p w14:paraId="0BF4ACAE">
            <w:pPr>
              <w:widowControl/>
              <w:spacing w:after="0" w:line="240" w:lineRule="auto"/>
              <w:jc w:val="center"/>
              <w:rPr>
                <w:rFonts w:ascii="Times New Roman" w:cs="宋体"/>
                <w:sz w:val="18"/>
                <w:szCs w:val="18"/>
              </w:rPr>
            </w:pPr>
          </w:p>
        </w:tc>
        <w:tc>
          <w:tcPr>
            <w:tcW w:w="1431" w:type="dxa"/>
            <w:vAlign w:val="center"/>
          </w:tcPr>
          <w:p w14:paraId="4491490E">
            <w:pPr>
              <w:widowControl/>
              <w:spacing w:after="0" w:line="240" w:lineRule="auto"/>
              <w:jc w:val="center"/>
              <w:rPr>
                <w:rFonts w:ascii="Times New Roman" w:cs="宋体"/>
                <w:sz w:val="18"/>
                <w:szCs w:val="18"/>
              </w:rPr>
            </w:pPr>
          </w:p>
        </w:tc>
        <w:tc>
          <w:tcPr>
            <w:tcW w:w="1470" w:type="dxa"/>
            <w:vAlign w:val="center"/>
          </w:tcPr>
          <w:p w14:paraId="14AC809F">
            <w:pPr>
              <w:widowControl/>
              <w:spacing w:after="0" w:line="240" w:lineRule="auto"/>
              <w:jc w:val="center"/>
              <w:rPr>
                <w:rFonts w:ascii="Times New Roman" w:cs="宋体"/>
                <w:sz w:val="18"/>
                <w:szCs w:val="18"/>
              </w:rPr>
            </w:pPr>
          </w:p>
        </w:tc>
      </w:tr>
      <w:tr w14:paraId="21F8EBD2">
        <w:trPr>
          <w:jc w:val="center"/>
        </w:trPr>
        <w:tc>
          <w:tcPr>
            <w:tcW w:w="1980" w:type="dxa"/>
            <w:vMerge w:val="continue"/>
            <w:vAlign w:val="center"/>
          </w:tcPr>
          <w:p w14:paraId="7883AA45">
            <w:pPr>
              <w:widowControl/>
              <w:spacing w:after="0" w:line="240" w:lineRule="auto"/>
              <w:jc w:val="center"/>
              <w:rPr>
                <w:rFonts w:ascii="Times New Roman" w:cs="宋体"/>
                <w:sz w:val="18"/>
                <w:szCs w:val="18"/>
              </w:rPr>
            </w:pPr>
          </w:p>
        </w:tc>
        <w:tc>
          <w:tcPr>
            <w:tcW w:w="2278" w:type="dxa"/>
            <w:vAlign w:val="center"/>
          </w:tcPr>
          <w:p w14:paraId="6E2812BF">
            <w:pPr>
              <w:widowControl/>
              <w:spacing w:after="0" w:line="240" w:lineRule="auto"/>
              <w:jc w:val="center"/>
              <w:rPr>
                <w:rFonts w:ascii="Times New Roman" w:cs="宋体"/>
                <w:sz w:val="18"/>
                <w:szCs w:val="18"/>
                <w:lang w:val="zh-CN" w:eastAsia="zh-CN"/>
              </w:rPr>
            </w:pPr>
            <w:r>
              <w:rPr>
                <w:rFonts w:hint="eastAsia" w:ascii="Times New Roman" w:cs="宋体"/>
                <w:sz w:val="18"/>
                <w:szCs w:val="18"/>
                <w:lang w:val="zh-CN" w:eastAsia="zh-CN"/>
              </w:rPr>
              <w:t>各类物料运输</w:t>
            </w:r>
          </w:p>
        </w:tc>
        <w:tc>
          <w:tcPr>
            <w:tcW w:w="1431" w:type="dxa"/>
            <w:vAlign w:val="center"/>
          </w:tcPr>
          <w:p w14:paraId="126428FE">
            <w:pPr>
              <w:widowControl/>
              <w:spacing w:after="0" w:line="240" w:lineRule="auto"/>
              <w:jc w:val="center"/>
              <w:rPr>
                <w:rFonts w:ascii="Times New Roman" w:cs="宋体"/>
                <w:sz w:val="18"/>
                <w:szCs w:val="18"/>
              </w:rPr>
            </w:pPr>
          </w:p>
        </w:tc>
        <w:tc>
          <w:tcPr>
            <w:tcW w:w="1431" w:type="dxa"/>
            <w:vAlign w:val="center"/>
          </w:tcPr>
          <w:p w14:paraId="278558A3">
            <w:pPr>
              <w:widowControl/>
              <w:spacing w:after="0" w:line="240" w:lineRule="auto"/>
              <w:jc w:val="center"/>
              <w:rPr>
                <w:rFonts w:ascii="Times New Roman" w:cs="宋体"/>
                <w:sz w:val="18"/>
                <w:szCs w:val="18"/>
              </w:rPr>
            </w:pPr>
          </w:p>
        </w:tc>
        <w:tc>
          <w:tcPr>
            <w:tcW w:w="1470" w:type="dxa"/>
            <w:vAlign w:val="center"/>
          </w:tcPr>
          <w:p w14:paraId="41A6402E">
            <w:pPr>
              <w:widowControl/>
              <w:spacing w:after="0" w:line="240" w:lineRule="auto"/>
              <w:jc w:val="center"/>
              <w:rPr>
                <w:rFonts w:ascii="Times New Roman" w:cs="宋体"/>
                <w:sz w:val="18"/>
                <w:szCs w:val="18"/>
              </w:rPr>
            </w:pPr>
          </w:p>
        </w:tc>
      </w:tr>
      <w:tr w14:paraId="34F3CD67">
        <w:trPr>
          <w:jc w:val="center"/>
        </w:trPr>
        <w:tc>
          <w:tcPr>
            <w:tcW w:w="1980" w:type="dxa"/>
            <w:vMerge w:val="continue"/>
            <w:vAlign w:val="center"/>
          </w:tcPr>
          <w:p w14:paraId="657B9939">
            <w:pPr>
              <w:widowControl/>
              <w:spacing w:after="0" w:line="240" w:lineRule="auto"/>
              <w:jc w:val="center"/>
              <w:rPr>
                <w:rFonts w:ascii="Times New Roman" w:cs="宋体"/>
                <w:sz w:val="18"/>
                <w:szCs w:val="18"/>
              </w:rPr>
            </w:pPr>
          </w:p>
        </w:tc>
        <w:tc>
          <w:tcPr>
            <w:tcW w:w="2278" w:type="dxa"/>
            <w:vAlign w:val="center"/>
          </w:tcPr>
          <w:p w14:paraId="51B219EA">
            <w:pPr>
              <w:widowControl/>
              <w:spacing w:after="0" w:line="240" w:lineRule="auto"/>
              <w:jc w:val="center"/>
              <w:rPr>
                <w:rFonts w:ascii="Times New Roman" w:cs="宋体"/>
                <w:sz w:val="18"/>
                <w:szCs w:val="18"/>
                <w:lang w:val="zh-CN" w:eastAsia="zh-CN"/>
              </w:rPr>
            </w:pPr>
            <w:r>
              <w:rPr>
                <w:rFonts w:hint="eastAsia" w:ascii="Times New Roman" w:cs="宋体"/>
                <w:sz w:val="18"/>
                <w:szCs w:val="18"/>
                <w:lang w:val="zh-CN" w:eastAsia="zh-CN"/>
              </w:rPr>
              <w:t>电力</w:t>
            </w:r>
          </w:p>
        </w:tc>
        <w:tc>
          <w:tcPr>
            <w:tcW w:w="1431" w:type="dxa"/>
            <w:vAlign w:val="center"/>
          </w:tcPr>
          <w:p w14:paraId="389909AA">
            <w:pPr>
              <w:widowControl/>
              <w:spacing w:after="0" w:line="240" w:lineRule="auto"/>
              <w:jc w:val="center"/>
              <w:rPr>
                <w:rFonts w:ascii="Times New Roman" w:cs="宋体"/>
                <w:sz w:val="18"/>
                <w:szCs w:val="18"/>
              </w:rPr>
            </w:pPr>
          </w:p>
        </w:tc>
        <w:tc>
          <w:tcPr>
            <w:tcW w:w="1431" w:type="dxa"/>
            <w:vAlign w:val="center"/>
          </w:tcPr>
          <w:p w14:paraId="6214888F">
            <w:pPr>
              <w:widowControl/>
              <w:spacing w:after="0" w:line="240" w:lineRule="auto"/>
              <w:jc w:val="center"/>
              <w:rPr>
                <w:rFonts w:ascii="Times New Roman" w:cs="宋体"/>
                <w:sz w:val="18"/>
                <w:szCs w:val="18"/>
              </w:rPr>
            </w:pPr>
          </w:p>
        </w:tc>
        <w:tc>
          <w:tcPr>
            <w:tcW w:w="1470" w:type="dxa"/>
            <w:vAlign w:val="center"/>
          </w:tcPr>
          <w:p w14:paraId="48C7D2EE">
            <w:pPr>
              <w:widowControl/>
              <w:spacing w:after="0" w:line="240" w:lineRule="auto"/>
              <w:jc w:val="center"/>
              <w:rPr>
                <w:rFonts w:ascii="Times New Roman" w:cs="宋体"/>
                <w:sz w:val="18"/>
                <w:szCs w:val="18"/>
              </w:rPr>
            </w:pPr>
          </w:p>
        </w:tc>
      </w:tr>
      <w:tr w14:paraId="3448BBEA">
        <w:trPr>
          <w:jc w:val="center"/>
        </w:trPr>
        <w:tc>
          <w:tcPr>
            <w:tcW w:w="1980" w:type="dxa"/>
            <w:vMerge w:val="continue"/>
            <w:vAlign w:val="center"/>
          </w:tcPr>
          <w:p w14:paraId="081BB333">
            <w:pPr>
              <w:widowControl/>
              <w:spacing w:after="0" w:line="240" w:lineRule="auto"/>
              <w:jc w:val="center"/>
              <w:rPr>
                <w:rFonts w:ascii="Times New Roman" w:cs="宋体"/>
                <w:sz w:val="18"/>
                <w:szCs w:val="18"/>
              </w:rPr>
            </w:pPr>
          </w:p>
        </w:tc>
        <w:tc>
          <w:tcPr>
            <w:tcW w:w="2278" w:type="dxa"/>
            <w:vAlign w:val="center"/>
          </w:tcPr>
          <w:p w14:paraId="29B669A5">
            <w:pPr>
              <w:widowControl/>
              <w:spacing w:after="0" w:line="240" w:lineRule="auto"/>
              <w:jc w:val="center"/>
              <w:rPr>
                <w:rFonts w:ascii="Times New Roman" w:cs="宋体"/>
                <w:sz w:val="18"/>
                <w:szCs w:val="18"/>
                <w:lang w:val="zh-CN" w:eastAsia="zh-CN"/>
              </w:rPr>
            </w:pPr>
            <w:r>
              <w:rPr>
                <w:rFonts w:hint="eastAsia" w:ascii="Times New Roman" w:cs="宋体"/>
                <w:sz w:val="18"/>
                <w:szCs w:val="18"/>
                <w:lang w:val="zh-CN" w:eastAsia="zh-CN"/>
              </w:rPr>
              <w:t>燃料</w:t>
            </w:r>
          </w:p>
        </w:tc>
        <w:tc>
          <w:tcPr>
            <w:tcW w:w="1431" w:type="dxa"/>
            <w:vAlign w:val="center"/>
          </w:tcPr>
          <w:p w14:paraId="55FFA8AB">
            <w:pPr>
              <w:widowControl/>
              <w:spacing w:after="0" w:line="240" w:lineRule="auto"/>
              <w:jc w:val="center"/>
              <w:rPr>
                <w:rFonts w:ascii="Times New Roman" w:cs="宋体"/>
                <w:sz w:val="18"/>
                <w:szCs w:val="18"/>
              </w:rPr>
            </w:pPr>
          </w:p>
        </w:tc>
        <w:tc>
          <w:tcPr>
            <w:tcW w:w="1431" w:type="dxa"/>
            <w:vAlign w:val="center"/>
          </w:tcPr>
          <w:p w14:paraId="4BF69E22">
            <w:pPr>
              <w:widowControl/>
              <w:spacing w:after="0" w:line="240" w:lineRule="auto"/>
              <w:jc w:val="center"/>
              <w:rPr>
                <w:rFonts w:ascii="Times New Roman" w:cs="宋体"/>
                <w:sz w:val="18"/>
                <w:szCs w:val="18"/>
              </w:rPr>
            </w:pPr>
          </w:p>
        </w:tc>
        <w:tc>
          <w:tcPr>
            <w:tcW w:w="1470" w:type="dxa"/>
            <w:vAlign w:val="center"/>
          </w:tcPr>
          <w:p w14:paraId="4F1D5B69">
            <w:pPr>
              <w:widowControl/>
              <w:spacing w:after="0" w:line="240" w:lineRule="auto"/>
              <w:jc w:val="center"/>
              <w:rPr>
                <w:rFonts w:ascii="Times New Roman" w:cs="宋体"/>
                <w:sz w:val="18"/>
                <w:szCs w:val="18"/>
              </w:rPr>
            </w:pPr>
          </w:p>
        </w:tc>
      </w:tr>
      <w:tr w14:paraId="72B1941E">
        <w:trPr>
          <w:jc w:val="center"/>
        </w:trPr>
        <w:tc>
          <w:tcPr>
            <w:tcW w:w="1980" w:type="dxa"/>
            <w:vMerge w:val="continue"/>
            <w:vAlign w:val="center"/>
          </w:tcPr>
          <w:p w14:paraId="655DC1A5">
            <w:pPr>
              <w:widowControl/>
              <w:spacing w:after="0" w:line="240" w:lineRule="auto"/>
              <w:jc w:val="center"/>
              <w:rPr>
                <w:rFonts w:ascii="Times New Roman" w:cs="宋体"/>
                <w:sz w:val="18"/>
                <w:szCs w:val="18"/>
              </w:rPr>
            </w:pPr>
          </w:p>
        </w:tc>
        <w:tc>
          <w:tcPr>
            <w:tcW w:w="2278" w:type="dxa"/>
            <w:vAlign w:val="center"/>
          </w:tcPr>
          <w:p w14:paraId="58DAB546">
            <w:pPr>
              <w:widowControl/>
              <w:spacing w:after="0" w:line="240" w:lineRule="auto"/>
              <w:jc w:val="center"/>
              <w:rPr>
                <w:rFonts w:ascii="Times New Roman" w:cs="宋体"/>
                <w:sz w:val="18"/>
                <w:szCs w:val="18"/>
                <w:lang w:val="zh-CN" w:eastAsia="zh-CN"/>
              </w:rPr>
            </w:pPr>
            <w:r>
              <w:rPr>
                <w:rFonts w:hint="eastAsia" w:ascii="Times New Roman" w:cs="宋体"/>
                <w:sz w:val="18"/>
                <w:szCs w:val="18"/>
                <w:lang w:val="zh-CN" w:eastAsia="zh-CN"/>
              </w:rPr>
              <w:t>热力</w:t>
            </w:r>
          </w:p>
        </w:tc>
        <w:tc>
          <w:tcPr>
            <w:tcW w:w="1431" w:type="dxa"/>
            <w:vAlign w:val="center"/>
          </w:tcPr>
          <w:p w14:paraId="59693291">
            <w:pPr>
              <w:widowControl/>
              <w:spacing w:after="0" w:line="240" w:lineRule="auto"/>
              <w:jc w:val="center"/>
              <w:rPr>
                <w:rFonts w:ascii="Times New Roman" w:cs="宋体"/>
                <w:sz w:val="18"/>
                <w:szCs w:val="18"/>
              </w:rPr>
            </w:pPr>
          </w:p>
        </w:tc>
        <w:tc>
          <w:tcPr>
            <w:tcW w:w="1431" w:type="dxa"/>
            <w:vAlign w:val="center"/>
          </w:tcPr>
          <w:p w14:paraId="33C5D359">
            <w:pPr>
              <w:widowControl/>
              <w:spacing w:after="0" w:line="240" w:lineRule="auto"/>
              <w:jc w:val="center"/>
              <w:rPr>
                <w:rFonts w:ascii="Times New Roman" w:cs="宋体"/>
                <w:sz w:val="18"/>
                <w:szCs w:val="18"/>
              </w:rPr>
            </w:pPr>
          </w:p>
        </w:tc>
        <w:tc>
          <w:tcPr>
            <w:tcW w:w="1470" w:type="dxa"/>
            <w:vAlign w:val="center"/>
          </w:tcPr>
          <w:p w14:paraId="4749BBAC">
            <w:pPr>
              <w:widowControl/>
              <w:spacing w:after="0" w:line="240" w:lineRule="auto"/>
              <w:jc w:val="center"/>
              <w:rPr>
                <w:rFonts w:ascii="Times New Roman" w:cs="宋体"/>
                <w:sz w:val="18"/>
                <w:szCs w:val="18"/>
              </w:rPr>
            </w:pPr>
          </w:p>
        </w:tc>
      </w:tr>
      <w:tr w14:paraId="102E2FFA">
        <w:trPr>
          <w:jc w:val="center"/>
        </w:trPr>
        <w:tc>
          <w:tcPr>
            <w:tcW w:w="1980" w:type="dxa"/>
            <w:vMerge w:val="continue"/>
            <w:vAlign w:val="center"/>
          </w:tcPr>
          <w:p w14:paraId="218C2C8D">
            <w:pPr>
              <w:widowControl/>
              <w:spacing w:after="0" w:line="240" w:lineRule="auto"/>
              <w:jc w:val="center"/>
              <w:rPr>
                <w:rFonts w:ascii="Times New Roman" w:cs="宋体"/>
                <w:sz w:val="18"/>
                <w:szCs w:val="18"/>
              </w:rPr>
            </w:pPr>
          </w:p>
        </w:tc>
        <w:tc>
          <w:tcPr>
            <w:tcW w:w="2278" w:type="dxa"/>
            <w:vAlign w:val="center"/>
          </w:tcPr>
          <w:p w14:paraId="1995D532">
            <w:pPr>
              <w:widowControl/>
              <w:spacing w:after="0" w:line="240" w:lineRule="auto"/>
              <w:jc w:val="center"/>
              <w:rPr>
                <w:rFonts w:ascii="Times New Roman" w:cs="宋体"/>
                <w:sz w:val="18"/>
                <w:szCs w:val="18"/>
                <w:lang w:val="zh-CN" w:eastAsia="zh-CN"/>
              </w:rPr>
            </w:pPr>
            <w:r>
              <w:rPr>
                <w:rFonts w:hint="eastAsia" w:ascii="Times New Roman" w:cs="宋体"/>
                <w:sz w:val="18"/>
                <w:szCs w:val="18"/>
                <w:lang w:val="zh-CN" w:eastAsia="zh-CN"/>
              </w:rPr>
              <w:t>温室气体直接排放</w:t>
            </w:r>
          </w:p>
        </w:tc>
        <w:tc>
          <w:tcPr>
            <w:tcW w:w="1431" w:type="dxa"/>
            <w:vAlign w:val="center"/>
          </w:tcPr>
          <w:p w14:paraId="2420ACF1">
            <w:pPr>
              <w:widowControl/>
              <w:spacing w:after="0" w:line="240" w:lineRule="auto"/>
              <w:jc w:val="center"/>
              <w:rPr>
                <w:rFonts w:ascii="Times New Roman" w:cs="宋体"/>
                <w:sz w:val="18"/>
                <w:szCs w:val="18"/>
              </w:rPr>
            </w:pPr>
          </w:p>
        </w:tc>
        <w:tc>
          <w:tcPr>
            <w:tcW w:w="1431" w:type="dxa"/>
            <w:vAlign w:val="center"/>
          </w:tcPr>
          <w:p w14:paraId="149761DC">
            <w:pPr>
              <w:widowControl/>
              <w:spacing w:after="0" w:line="240" w:lineRule="auto"/>
              <w:jc w:val="center"/>
              <w:rPr>
                <w:rFonts w:ascii="Times New Roman" w:cs="宋体"/>
                <w:sz w:val="18"/>
                <w:szCs w:val="18"/>
              </w:rPr>
            </w:pPr>
          </w:p>
        </w:tc>
        <w:tc>
          <w:tcPr>
            <w:tcW w:w="1470" w:type="dxa"/>
            <w:vAlign w:val="center"/>
          </w:tcPr>
          <w:p w14:paraId="0E91F344">
            <w:pPr>
              <w:widowControl/>
              <w:spacing w:after="0" w:line="240" w:lineRule="auto"/>
              <w:jc w:val="center"/>
              <w:rPr>
                <w:rFonts w:ascii="Times New Roman" w:cs="宋体"/>
                <w:sz w:val="18"/>
                <w:szCs w:val="18"/>
              </w:rPr>
            </w:pPr>
          </w:p>
        </w:tc>
      </w:tr>
    </w:tbl>
    <w:p w14:paraId="47F9C587">
      <w:pPr>
        <w:adjustRightInd w:val="0"/>
        <w:snapToGrid w:val="0"/>
        <w:spacing w:after="0" w:line="360" w:lineRule="auto"/>
        <w:jc w:val="center"/>
        <w:rPr>
          <w:rFonts w:ascii="黑体" w:hAnsi="黑体" w:eastAsia="黑体" w:cs="Times New Roman"/>
          <w:kern w:val="2"/>
          <w:sz w:val="18"/>
          <w:szCs w:val="18"/>
          <w:lang w:eastAsia="zh-CN"/>
        </w:rPr>
      </w:pPr>
    </w:p>
    <w:p w14:paraId="10749DA3">
      <w:pPr>
        <w:adjustRightInd w:val="0"/>
        <w:snapToGrid w:val="0"/>
        <w:spacing w:after="0" w:line="360" w:lineRule="auto"/>
        <w:jc w:val="center"/>
        <w:rPr>
          <w:rFonts w:ascii="黑体" w:hAnsi="黑体" w:eastAsia="黑体" w:cs="Times New Roman"/>
          <w:kern w:val="2"/>
          <w:sz w:val="18"/>
          <w:szCs w:val="18"/>
          <w:lang w:eastAsia="zh-CN"/>
        </w:rPr>
      </w:pPr>
    </w:p>
    <w:p w14:paraId="008FB0B1">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45" w:name="_Toc190159528"/>
      <w:r>
        <w:rPr>
          <w:rFonts w:hint="eastAsia" w:ascii="黑体" w:hAnsi="黑体" w:eastAsia="黑体" w:cs="黑体"/>
          <w:kern w:val="2"/>
          <w:sz w:val="21"/>
          <w:szCs w:val="24"/>
          <w:lang w:eastAsia="zh-CN"/>
        </w:rPr>
        <w:t>4</w:t>
      </w:r>
      <w:r>
        <w:rPr>
          <w:rFonts w:ascii="黑体" w:hAnsi="黑体" w:eastAsia="黑体" w:cs="黑体"/>
          <w:kern w:val="2"/>
          <w:sz w:val="21"/>
          <w:szCs w:val="24"/>
          <w:lang w:eastAsia="zh-CN"/>
        </w:rPr>
        <w:t>.</w:t>
      </w:r>
      <w:r>
        <w:rPr>
          <w:rFonts w:hint="eastAsia" w:ascii="黑体" w:hAnsi="黑体" w:eastAsia="黑体" w:cs="黑体"/>
          <w:kern w:val="2"/>
          <w:sz w:val="21"/>
          <w:szCs w:val="24"/>
          <w:lang w:eastAsia="zh-CN"/>
        </w:rPr>
        <w:t>数据质量评价</w:t>
      </w:r>
      <w:bookmarkEnd w:id="145"/>
    </w:p>
    <w:p w14:paraId="237A2296">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数据质量可从定性和定量两个方面对报告使用的初级数据和次级数据进行评价，具体评价内容包括：数据来源、完整性、数据代表性（时间、地理、技术）和准确性。</w:t>
      </w:r>
    </w:p>
    <w:p w14:paraId="1F8D9562">
      <w:pPr>
        <w:spacing w:before="240" w:beforeLines="100" w:after="240" w:afterLines="100" w:line="240" w:lineRule="auto"/>
        <w:rPr>
          <w:rFonts w:ascii="Times New Roman" w:eastAsia="黑体"/>
          <w:bCs/>
          <w:sz w:val="21"/>
          <w:szCs w:val="21"/>
          <w:lang w:eastAsia="zh-CN"/>
        </w:rPr>
      </w:pPr>
      <w:bookmarkStart w:id="146" w:name="_Toc190159529"/>
      <w:r>
        <w:rPr>
          <w:rFonts w:hint="eastAsia" w:ascii="Times New Roman" w:eastAsia="黑体"/>
          <w:bCs/>
          <w:sz w:val="21"/>
          <w:szCs w:val="21"/>
          <w:lang w:eastAsia="zh-CN"/>
        </w:rPr>
        <w:t>五、影响评价</w:t>
      </w:r>
      <w:bookmarkEnd w:id="146"/>
    </w:p>
    <w:p w14:paraId="15A89B1F">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47" w:name="_Toc190159530"/>
      <w:r>
        <w:rPr>
          <w:rFonts w:hint="eastAsia" w:ascii="黑体" w:hAnsi="黑体" w:eastAsia="黑体" w:cs="黑体"/>
          <w:kern w:val="2"/>
          <w:sz w:val="21"/>
          <w:szCs w:val="24"/>
          <w:lang w:eastAsia="zh-CN"/>
        </w:rPr>
        <w:t>1</w:t>
      </w:r>
      <w:r>
        <w:rPr>
          <w:rFonts w:ascii="黑体" w:hAnsi="黑体" w:eastAsia="黑体" w:cs="黑体"/>
          <w:kern w:val="2"/>
          <w:sz w:val="21"/>
          <w:szCs w:val="24"/>
          <w:lang w:eastAsia="zh-CN"/>
        </w:rPr>
        <w:t>.</w:t>
      </w:r>
      <w:r>
        <w:rPr>
          <w:rFonts w:hint="eastAsia" w:ascii="黑体" w:hAnsi="黑体" w:eastAsia="黑体" w:cs="黑体"/>
          <w:kern w:val="2"/>
          <w:sz w:val="21"/>
          <w:szCs w:val="24"/>
          <w:lang w:eastAsia="zh-CN"/>
        </w:rPr>
        <w:t>影响类型和特征化因子选择</w:t>
      </w:r>
      <w:bookmarkEnd w:id="147"/>
    </w:p>
    <w:p w14:paraId="0053AD2D">
      <w:pPr>
        <w:adjustRightInd w:val="0"/>
        <w:snapToGrid w:val="0"/>
        <w:spacing w:after="0" w:line="360" w:lineRule="auto"/>
        <w:ind w:firstLine="420" w:firstLineChars="200"/>
        <w:jc w:val="both"/>
        <w:rPr>
          <w:rFonts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一般选择联合国政府间气候变化专门委员会（I</w:t>
      </w:r>
      <w:r>
        <w:rPr>
          <w:rFonts w:ascii="Times New Roman" w:hAnsi="Times New Roman" w:eastAsia="宋体" w:cs="Times New Roman"/>
          <w:kern w:val="2"/>
          <w:sz w:val="21"/>
          <w:szCs w:val="21"/>
          <w:lang w:eastAsia="zh-CN"/>
        </w:rPr>
        <w:t>PCC</w:t>
      </w:r>
      <w:r>
        <w:rPr>
          <w:rFonts w:hint="eastAsia" w:ascii="Times New Roman" w:hAnsi="Times New Roman" w:eastAsia="宋体" w:cs="Times New Roman"/>
          <w:kern w:val="2"/>
          <w:sz w:val="21"/>
          <w:szCs w:val="21"/>
          <w:lang w:eastAsia="zh-CN"/>
        </w:rPr>
        <w:t>）给出的1</w:t>
      </w:r>
      <w:r>
        <w:rPr>
          <w:rFonts w:ascii="Times New Roman" w:hAnsi="Times New Roman" w:eastAsia="宋体" w:cs="Times New Roman"/>
          <w:kern w:val="2"/>
          <w:sz w:val="21"/>
          <w:szCs w:val="21"/>
          <w:lang w:eastAsia="zh-CN"/>
        </w:rPr>
        <w:t>00</w:t>
      </w:r>
      <w:r>
        <w:rPr>
          <w:rFonts w:hint="eastAsia" w:ascii="Times New Roman" w:hAnsi="Times New Roman" w:eastAsia="宋体" w:cs="Times New Roman"/>
          <w:kern w:val="2"/>
          <w:sz w:val="21"/>
          <w:szCs w:val="21"/>
          <w:lang w:eastAsia="zh-CN"/>
        </w:rPr>
        <w:t>年全球变暖潜势（G</w:t>
      </w:r>
      <w:r>
        <w:rPr>
          <w:rFonts w:ascii="Times New Roman" w:hAnsi="Times New Roman" w:eastAsia="宋体" w:cs="Times New Roman"/>
          <w:kern w:val="2"/>
          <w:sz w:val="21"/>
          <w:szCs w:val="21"/>
          <w:lang w:eastAsia="zh-CN"/>
        </w:rPr>
        <w:t>WP</w:t>
      </w:r>
      <w:r>
        <w:rPr>
          <w:rFonts w:hint="eastAsia" w:ascii="Times New Roman" w:hAnsi="Times New Roman" w:eastAsia="宋体" w:cs="Times New Roman"/>
          <w:kern w:val="2"/>
          <w:sz w:val="21"/>
          <w:szCs w:val="21"/>
          <w:lang w:eastAsia="zh-CN"/>
        </w:rPr>
        <w:t>）。</w:t>
      </w:r>
    </w:p>
    <w:p w14:paraId="252735F5">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48" w:name="_Toc190159531"/>
      <w:r>
        <w:rPr>
          <w:rFonts w:hint="eastAsia" w:ascii="黑体" w:hAnsi="黑体" w:eastAsia="黑体" w:cs="黑体"/>
          <w:kern w:val="2"/>
          <w:sz w:val="21"/>
          <w:szCs w:val="24"/>
          <w:lang w:eastAsia="zh-CN"/>
        </w:rPr>
        <w:t>2</w:t>
      </w:r>
      <w:r>
        <w:rPr>
          <w:rFonts w:ascii="黑体" w:hAnsi="黑体" w:eastAsia="黑体" w:cs="黑体"/>
          <w:kern w:val="2"/>
          <w:sz w:val="21"/>
          <w:szCs w:val="24"/>
          <w:lang w:eastAsia="zh-CN"/>
        </w:rPr>
        <w:t>.</w:t>
      </w:r>
      <w:r>
        <w:rPr>
          <w:rFonts w:hint="eastAsia" w:ascii="黑体" w:hAnsi="黑体" w:eastAsia="黑体" w:cs="黑体"/>
          <w:kern w:val="2"/>
          <w:sz w:val="21"/>
          <w:szCs w:val="24"/>
          <w:lang w:eastAsia="zh-CN"/>
        </w:rPr>
        <w:t>产品碳足迹结果计算</w:t>
      </w:r>
      <w:bookmarkEnd w:id="148"/>
    </w:p>
    <w:p w14:paraId="6C4DC657">
      <w:pPr>
        <w:spacing w:before="240" w:beforeLines="100" w:after="240" w:afterLines="100" w:line="240" w:lineRule="auto"/>
        <w:rPr>
          <w:rFonts w:ascii="Times New Roman" w:eastAsia="黑体"/>
          <w:bCs/>
          <w:sz w:val="21"/>
          <w:szCs w:val="21"/>
          <w:lang w:eastAsia="zh-CN"/>
        </w:rPr>
      </w:pPr>
      <w:bookmarkStart w:id="149" w:name="_Toc190159532"/>
      <w:r>
        <w:rPr>
          <w:rFonts w:hint="eastAsia" w:ascii="Times New Roman" w:eastAsia="黑体"/>
          <w:bCs/>
          <w:sz w:val="21"/>
          <w:szCs w:val="21"/>
          <w:lang w:eastAsia="zh-CN"/>
        </w:rPr>
        <w:t>六、结果解释</w:t>
      </w:r>
      <w:bookmarkEnd w:id="149"/>
    </w:p>
    <w:p w14:paraId="7EBEEF60">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50" w:name="_Toc190159533"/>
      <w:r>
        <w:rPr>
          <w:rFonts w:hint="eastAsia" w:ascii="黑体" w:hAnsi="黑体" w:eastAsia="黑体" w:cs="黑体"/>
          <w:kern w:val="2"/>
          <w:sz w:val="21"/>
          <w:szCs w:val="24"/>
          <w:lang w:eastAsia="zh-CN"/>
        </w:rPr>
        <w:t>1</w:t>
      </w:r>
      <w:r>
        <w:rPr>
          <w:rFonts w:ascii="黑体" w:hAnsi="黑体" w:eastAsia="黑体" w:cs="黑体"/>
          <w:kern w:val="2"/>
          <w:sz w:val="21"/>
          <w:szCs w:val="24"/>
          <w:lang w:eastAsia="zh-CN"/>
        </w:rPr>
        <w:t>.</w:t>
      </w:r>
      <w:r>
        <w:rPr>
          <w:rFonts w:hint="eastAsia" w:ascii="黑体" w:hAnsi="黑体" w:eastAsia="黑体" w:cs="黑体"/>
          <w:kern w:val="2"/>
          <w:sz w:val="21"/>
          <w:szCs w:val="24"/>
          <w:lang w:eastAsia="zh-CN"/>
        </w:rPr>
        <w:t>结果说明</w:t>
      </w:r>
      <w:bookmarkEnd w:id="150"/>
    </w:p>
    <w:p w14:paraId="7DF23087">
      <w:pPr>
        <w:spacing w:after="0" w:line="360" w:lineRule="auto"/>
        <w:ind w:firstLine="440" w:firstLineChars="200"/>
        <w:rPr>
          <w:rFonts w:ascii="Times New Roman"/>
          <w:szCs w:val="24"/>
          <w:lang w:eastAsia="zh-CN"/>
        </w:rPr>
      </w:pPr>
      <w:r>
        <w:rPr>
          <w:rFonts w:ascii="Times New Roman"/>
          <w:szCs w:val="24"/>
          <w:u w:val="single"/>
          <w:lang w:eastAsia="zh-CN"/>
        </w:rPr>
        <w:t xml:space="preserve">         </w:t>
      </w:r>
      <w:r>
        <w:rPr>
          <w:rFonts w:hint="eastAsia" w:ascii="Times New Roman"/>
          <w:szCs w:val="24"/>
          <w:lang w:eastAsia="zh-CN"/>
        </w:rPr>
        <w:t>公司生产的</w:t>
      </w:r>
      <w:r>
        <w:rPr>
          <w:rFonts w:hint="eastAsia" w:ascii="Times New Roman"/>
          <w:szCs w:val="24"/>
          <w:u w:val="single"/>
          <w:lang w:eastAsia="zh-CN"/>
        </w:rPr>
        <w:t xml:space="preserve"> </w:t>
      </w:r>
      <w:r>
        <w:rPr>
          <w:rFonts w:ascii="Times New Roman"/>
          <w:szCs w:val="24"/>
          <w:u w:val="single"/>
          <w:lang w:eastAsia="zh-CN"/>
        </w:rPr>
        <w:t xml:space="preserve">           </w:t>
      </w:r>
      <w:r>
        <w:rPr>
          <w:rFonts w:hint="eastAsia" w:ascii="Times New Roman"/>
          <w:szCs w:val="24"/>
          <w:lang w:eastAsia="zh-CN"/>
        </w:rPr>
        <w:t>（填写所评价的产品名称），从</w:t>
      </w:r>
      <w:r>
        <w:rPr>
          <w:rFonts w:hint="eastAsia" w:ascii="Times New Roman"/>
          <w:szCs w:val="24"/>
          <w:u w:val="single"/>
          <w:lang w:eastAsia="zh-CN"/>
        </w:rPr>
        <w:t xml:space="preserve"> </w:t>
      </w:r>
      <w:r>
        <w:rPr>
          <w:rFonts w:ascii="Times New Roman"/>
          <w:szCs w:val="24"/>
          <w:u w:val="single"/>
          <w:lang w:eastAsia="zh-CN"/>
        </w:rPr>
        <w:t xml:space="preserve">          </w:t>
      </w:r>
      <w:r>
        <w:rPr>
          <w:rFonts w:hint="eastAsia" w:ascii="Times New Roman"/>
          <w:szCs w:val="24"/>
          <w:lang w:eastAsia="zh-CN"/>
        </w:rPr>
        <w:t>（</w:t>
      </w:r>
    </w:p>
    <w:p w14:paraId="4F3CB895">
      <w:pPr>
        <w:spacing w:after="0" w:line="360" w:lineRule="auto"/>
        <w:rPr>
          <w:rFonts w:ascii="Times New Roman"/>
          <w:szCs w:val="24"/>
          <w:u w:val="single"/>
          <w:lang w:eastAsia="zh-CN"/>
        </w:rPr>
      </w:pPr>
      <w:r>
        <w:rPr>
          <w:rFonts w:hint="eastAsia" w:ascii="Times New Roman"/>
          <w:szCs w:val="24"/>
          <w:lang w:eastAsia="zh-CN"/>
        </w:rPr>
        <w:t>填写某生命周期阶段）到</w:t>
      </w:r>
      <w:r>
        <w:rPr>
          <w:rFonts w:hint="eastAsia" w:ascii="Times New Roman"/>
          <w:szCs w:val="24"/>
          <w:u w:val="single"/>
          <w:lang w:eastAsia="zh-CN"/>
        </w:rPr>
        <w:t xml:space="preserve"> </w:t>
      </w:r>
      <w:r>
        <w:rPr>
          <w:rFonts w:ascii="Times New Roman"/>
          <w:szCs w:val="24"/>
          <w:u w:val="single"/>
          <w:lang w:eastAsia="zh-CN"/>
        </w:rPr>
        <w:t xml:space="preserve">            </w:t>
      </w:r>
      <w:r>
        <w:rPr>
          <w:rFonts w:hint="eastAsia" w:ascii="Times New Roman"/>
          <w:szCs w:val="24"/>
          <w:lang w:eastAsia="zh-CN"/>
        </w:rPr>
        <w:t>（填写某生命周期阶段）生命周期碳足迹为</w:t>
      </w:r>
      <w:r>
        <w:rPr>
          <w:rFonts w:hint="eastAsia" w:ascii="Times New Roman"/>
          <w:szCs w:val="24"/>
          <w:u w:val="single"/>
          <w:lang w:eastAsia="zh-CN"/>
        </w:rPr>
        <w:t xml:space="preserve"> </w:t>
      </w:r>
      <w:r>
        <w:rPr>
          <w:rFonts w:ascii="Times New Roman"/>
          <w:szCs w:val="24"/>
          <w:u w:val="single"/>
          <w:lang w:eastAsia="zh-CN"/>
        </w:rPr>
        <w:t xml:space="preserve"> </w:t>
      </w:r>
    </w:p>
    <w:p w14:paraId="67820A9D">
      <w:pPr>
        <w:spacing w:after="0" w:line="360" w:lineRule="auto"/>
        <w:rPr>
          <w:rFonts w:ascii="Times New Roman"/>
          <w:szCs w:val="24"/>
          <w:lang w:eastAsia="zh-CN"/>
        </w:rPr>
      </w:pPr>
      <w:r>
        <w:rPr>
          <w:rFonts w:ascii="Times New Roman"/>
          <w:szCs w:val="24"/>
          <w:u w:val="single"/>
          <w:lang w:eastAsia="zh-CN"/>
        </w:rPr>
        <w:t xml:space="preserve">         </w:t>
      </w:r>
      <w:r>
        <w:rPr>
          <w:rFonts w:hint="eastAsia" w:ascii="Times New Roman"/>
          <w:szCs w:val="24"/>
          <w:lang w:eastAsia="zh-CN"/>
        </w:rPr>
        <w:t>k</w:t>
      </w:r>
      <w:r>
        <w:rPr>
          <w:rFonts w:ascii="Times New Roman"/>
          <w:szCs w:val="24"/>
          <w:lang w:eastAsia="zh-CN"/>
        </w:rPr>
        <w:t>gCO</w:t>
      </w:r>
      <w:r>
        <w:rPr>
          <w:rFonts w:ascii="Times New Roman"/>
          <w:szCs w:val="24"/>
          <w:vertAlign w:val="subscript"/>
          <w:lang w:eastAsia="zh-CN"/>
        </w:rPr>
        <w:t>2</w:t>
      </w:r>
      <w:r>
        <w:rPr>
          <w:rFonts w:ascii="Times New Roman"/>
          <w:szCs w:val="24"/>
          <w:lang w:eastAsia="zh-CN"/>
        </w:rPr>
        <w:t>e</w:t>
      </w:r>
      <w:r>
        <w:rPr>
          <w:rFonts w:hint="eastAsia" w:ascii="Times New Roman"/>
          <w:szCs w:val="24"/>
          <w:lang w:eastAsia="zh-CN"/>
        </w:rPr>
        <w:t>。各生命周期阶段的温室气体排放情况见表E</w:t>
      </w:r>
      <w:r>
        <w:rPr>
          <w:rFonts w:ascii="Times New Roman"/>
          <w:szCs w:val="24"/>
          <w:lang w:eastAsia="zh-CN"/>
        </w:rPr>
        <w:t>.2~E.4</w:t>
      </w:r>
      <w:r>
        <w:rPr>
          <w:rFonts w:hint="eastAsia" w:ascii="Times New Roman"/>
          <w:szCs w:val="24"/>
          <w:lang w:eastAsia="zh-CN"/>
        </w:rPr>
        <w:t>。</w:t>
      </w:r>
    </w:p>
    <w:p w14:paraId="02DE04C0">
      <w:pPr>
        <w:adjustRightInd w:val="0"/>
        <w:snapToGrid w:val="0"/>
        <w:spacing w:after="0" w:line="360" w:lineRule="auto"/>
        <w:jc w:val="center"/>
        <w:rPr>
          <w:rFonts w:ascii="黑体" w:hAnsi="黑体" w:eastAsia="黑体" w:cs="Times New Roman"/>
          <w:kern w:val="2"/>
          <w:sz w:val="18"/>
          <w:szCs w:val="18"/>
          <w:lang w:eastAsia="zh-CN"/>
        </w:rPr>
      </w:pPr>
      <w:r>
        <w:rPr>
          <w:rFonts w:hint="eastAsia" w:ascii="黑体" w:hAnsi="黑体" w:eastAsia="黑体" w:cs="Times New Roman"/>
          <w:kern w:val="2"/>
          <w:sz w:val="18"/>
          <w:szCs w:val="18"/>
          <w:lang w:eastAsia="zh-CN"/>
        </w:rPr>
        <w:t>表E</w:t>
      </w:r>
      <w:r>
        <w:rPr>
          <w:rFonts w:ascii="黑体" w:hAnsi="黑体" w:eastAsia="黑体" w:cs="Times New Roman"/>
          <w:kern w:val="2"/>
          <w:sz w:val="18"/>
          <w:szCs w:val="18"/>
          <w:lang w:eastAsia="zh-CN"/>
        </w:rPr>
        <w:t xml:space="preserve">.2 </w:t>
      </w:r>
      <w:r>
        <w:rPr>
          <w:rFonts w:hint="eastAsia" w:ascii="黑体" w:hAnsi="黑体" w:eastAsia="黑体" w:cs="Times New Roman"/>
          <w:kern w:val="2"/>
          <w:sz w:val="18"/>
          <w:szCs w:val="18"/>
          <w:lang w:eastAsia="zh-CN"/>
        </w:rPr>
        <w:t>稀土冶炼分离产品生命周期各阶段碳排放情况</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842"/>
        <w:gridCol w:w="2410"/>
        <w:gridCol w:w="1701"/>
        <w:gridCol w:w="1355"/>
      </w:tblGrid>
      <w:tr w14:paraId="33AEA37A">
        <w:trPr>
          <w:jc w:val="center"/>
        </w:trPr>
        <w:tc>
          <w:tcPr>
            <w:tcW w:w="2830" w:type="dxa"/>
            <w:gridSpan w:val="2"/>
            <w:vAlign w:val="center"/>
          </w:tcPr>
          <w:p w14:paraId="1A68F9D1">
            <w:pPr>
              <w:spacing w:after="0" w:line="240" w:lineRule="auto"/>
              <w:jc w:val="center"/>
              <w:rPr>
                <w:rFonts w:ascii="Times New Roman"/>
                <w:sz w:val="18"/>
                <w:szCs w:val="21"/>
              </w:rPr>
            </w:pPr>
            <w:r>
              <w:rPr>
                <w:rFonts w:hint="eastAsia" w:ascii="Times New Roman"/>
                <w:sz w:val="18"/>
                <w:szCs w:val="21"/>
              </w:rPr>
              <w:t>生命周期阶段</w:t>
            </w:r>
          </w:p>
        </w:tc>
        <w:tc>
          <w:tcPr>
            <w:tcW w:w="2410" w:type="dxa"/>
            <w:vAlign w:val="center"/>
          </w:tcPr>
          <w:p w14:paraId="48448604">
            <w:pPr>
              <w:spacing w:after="0" w:line="240" w:lineRule="auto"/>
              <w:jc w:val="center"/>
              <w:rPr>
                <w:rFonts w:ascii="Times New Roman"/>
                <w:sz w:val="18"/>
                <w:szCs w:val="21"/>
              </w:rPr>
            </w:pPr>
            <w:r>
              <w:rPr>
                <w:rFonts w:hint="eastAsia" w:ascii="Times New Roman"/>
                <w:sz w:val="18"/>
                <w:szCs w:val="21"/>
              </w:rPr>
              <w:t>碳足迹/（t</w:t>
            </w:r>
            <w:r>
              <w:rPr>
                <w:rFonts w:ascii="Times New Roman"/>
                <w:sz w:val="18"/>
                <w:szCs w:val="21"/>
              </w:rPr>
              <w:t xml:space="preserve"> CO</w:t>
            </w:r>
            <w:r>
              <w:rPr>
                <w:rFonts w:ascii="Times New Roman"/>
                <w:sz w:val="18"/>
                <w:szCs w:val="21"/>
                <w:vertAlign w:val="subscript"/>
              </w:rPr>
              <w:t>2</w:t>
            </w:r>
            <w:r>
              <w:rPr>
                <w:rFonts w:ascii="Times New Roman"/>
                <w:sz w:val="18"/>
                <w:szCs w:val="21"/>
              </w:rPr>
              <w:t>e/</w:t>
            </w:r>
            <w:r>
              <w:rPr>
                <w:rFonts w:hint="eastAsia" w:ascii="Times New Roman"/>
                <w:sz w:val="18"/>
                <w:szCs w:val="21"/>
                <w:lang w:eastAsia="zh-CN"/>
              </w:rPr>
              <w:t>产品</w:t>
            </w:r>
            <w:r>
              <w:rPr>
                <w:rFonts w:hint="eastAsia" w:ascii="Times New Roman"/>
                <w:sz w:val="18"/>
                <w:szCs w:val="21"/>
              </w:rPr>
              <w:t>）</w:t>
            </w:r>
          </w:p>
        </w:tc>
        <w:tc>
          <w:tcPr>
            <w:tcW w:w="1701" w:type="dxa"/>
            <w:vAlign w:val="center"/>
          </w:tcPr>
          <w:p w14:paraId="07D6360D">
            <w:pPr>
              <w:spacing w:after="0" w:line="240" w:lineRule="auto"/>
              <w:jc w:val="center"/>
              <w:rPr>
                <w:rFonts w:ascii="Times New Roman"/>
                <w:sz w:val="18"/>
                <w:szCs w:val="21"/>
              </w:rPr>
            </w:pPr>
            <w:r>
              <w:rPr>
                <w:rFonts w:hint="eastAsia" w:ascii="Times New Roman"/>
                <w:sz w:val="18"/>
                <w:szCs w:val="21"/>
              </w:rPr>
              <w:t>占比/</w:t>
            </w:r>
            <w:r>
              <w:rPr>
                <w:rFonts w:ascii="Times New Roman"/>
                <w:sz w:val="18"/>
                <w:szCs w:val="21"/>
              </w:rPr>
              <w:t>%</w:t>
            </w:r>
          </w:p>
        </w:tc>
        <w:tc>
          <w:tcPr>
            <w:tcW w:w="1355" w:type="dxa"/>
            <w:vAlign w:val="center"/>
          </w:tcPr>
          <w:p w14:paraId="3FE44818">
            <w:pPr>
              <w:spacing w:after="0" w:line="240" w:lineRule="auto"/>
              <w:jc w:val="center"/>
              <w:rPr>
                <w:rFonts w:ascii="Times New Roman"/>
                <w:sz w:val="18"/>
                <w:szCs w:val="21"/>
              </w:rPr>
            </w:pPr>
            <w:r>
              <w:rPr>
                <w:rFonts w:hint="eastAsia" w:ascii="Times New Roman"/>
                <w:sz w:val="18"/>
                <w:szCs w:val="21"/>
              </w:rPr>
              <w:t>备注</w:t>
            </w:r>
          </w:p>
        </w:tc>
      </w:tr>
      <w:tr w14:paraId="733D2941">
        <w:trPr>
          <w:jc w:val="center"/>
        </w:trPr>
        <w:tc>
          <w:tcPr>
            <w:tcW w:w="2830" w:type="dxa"/>
            <w:gridSpan w:val="2"/>
            <w:vMerge w:val="restart"/>
            <w:vAlign w:val="center"/>
          </w:tcPr>
          <w:p w14:paraId="4DC2423B">
            <w:pPr>
              <w:spacing w:after="0" w:line="240" w:lineRule="auto"/>
              <w:jc w:val="center"/>
              <w:rPr>
                <w:rFonts w:ascii="Times New Roman"/>
                <w:sz w:val="18"/>
                <w:szCs w:val="21"/>
                <w:lang w:eastAsia="zh-CN"/>
              </w:rPr>
            </w:pPr>
            <w:r>
              <w:rPr>
                <w:rFonts w:hint="eastAsia" w:ascii="Times New Roman"/>
                <w:sz w:val="18"/>
                <w:szCs w:val="21"/>
                <w:lang w:eastAsia="zh-CN"/>
              </w:rPr>
              <w:t>辅助材料和能源获取阶段</w:t>
            </w:r>
          </w:p>
        </w:tc>
        <w:tc>
          <w:tcPr>
            <w:tcW w:w="2410" w:type="dxa"/>
            <w:vAlign w:val="center"/>
          </w:tcPr>
          <w:p w14:paraId="3073B324">
            <w:pPr>
              <w:spacing w:after="0" w:line="240" w:lineRule="auto"/>
              <w:jc w:val="both"/>
              <w:rPr>
                <w:rFonts w:ascii="Times New Roman"/>
                <w:sz w:val="18"/>
                <w:szCs w:val="21"/>
                <w:lang w:eastAsia="zh-CN"/>
              </w:rPr>
            </w:pPr>
          </w:p>
        </w:tc>
        <w:tc>
          <w:tcPr>
            <w:tcW w:w="1701" w:type="dxa"/>
            <w:vAlign w:val="center"/>
          </w:tcPr>
          <w:p w14:paraId="61AC4085">
            <w:pPr>
              <w:spacing w:after="0" w:line="240" w:lineRule="auto"/>
              <w:jc w:val="both"/>
              <w:rPr>
                <w:rFonts w:ascii="Times New Roman"/>
                <w:sz w:val="18"/>
                <w:szCs w:val="21"/>
                <w:lang w:eastAsia="zh-CN"/>
              </w:rPr>
            </w:pPr>
          </w:p>
        </w:tc>
        <w:tc>
          <w:tcPr>
            <w:tcW w:w="1355" w:type="dxa"/>
            <w:vAlign w:val="center"/>
          </w:tcPr>
          <w:p w14:paraId="2834235B">
            <w:pPr>
              <w:spacing w:after="0" w:line="240" w:lineRule="auto"/>
              <w:jc w:val="both"/>
              <w:rPr>
                <w:rFonts w:ascii="Times New Roman"/>
                <w:sz w:val="18"/>
                <w:szCs w:val="21"/>
                <w:lang w:eastAsia="zh-CN"/>
              </w:rPr>
            </w:pPr>
          </w:p>
        </w:tc>
      </w:tr>
      <w:tr w14:paraId="02BCCC39">
        <w:trPr>
          <w:jc w:val="center"/>
        </w:trPr>
        <w:tc>
          <w:tcPr>
            <w:tcW w:w="2830" w:type="dxa"/>
            <w:gridSpan w:val="2"/>
            <w:vMerge w:val="continue"/>
            <w:vAlign w:val="center"/>
          </w:tcPr>
          <w:p w14:paraId="0C64A298">
            <w:pPr>
              <w:spacing w:after="0" w:line="240" w:lineRule="auto"/>
              <w:jc w:val="both"/>
              <w:rPr>
                <w:rFonts w:ascii="Times New Roman"/>
                <w:sz w:val="18"/>
                <w:szCs w:val="21"/>
                <w:lang w:eastAsia="zh-CN"/>
              </w:rPr>
            </w:pPr>
          </w:p>
        </w:tc>
        <w:tc>
          <w:tcPr>
            <w:tcW w:w="2410" w:type="dxa"/>
            <w:vAlign w:val="center"/>
          </w:tcPr>
          <w:p w14:paraId="0BBE5DFD">
            <w:pPr>
              <w:spacing w:after="0" w:line="240" w:lineRule="auto"/>
              <w:jc w:val="both"/>
              <w:rPr>
                <w:rFonts w:ascii="Times New Roman"/>
                <w:sz w:val="18"/>
                <w:szCs w:val="21"/>
                <w:lang w:eastAsia="zh-CN"/>
              </w:rPr>
            </w:pPr>
          </w:p>
        </w:tc>
        <w:tc>
          <w:tcPr>
            <w:tcW w:w="1701" w:type="dxa"/>
            <w:vAlign w:val="center"/>
          </w:tcPr>
          <w:p w14:paraId="2128724D">
            <w:pPr>
              <w:spacing w:after="0" w:line="240" w:lineRule="auto"/>
              <w:jc w:val="both"/>
              <w:rPr>
                <w:rFonts w:ascii="Times New Roman"/>
                <w:sz w:val="18"/>
                <w:szCs w:val="21"/>
                <w:lang w:eastAsia="zh-CN"/>
              </w:rPr>
            </w:pPr>
          </w:p>
        </w:tc>
        <w:tc>
          <w:tcPr>
            <w:tcW w:w="1355" w:type="dxa"/>
            <w:vAlign w:val="center"/>
          </w:tcPr>
          <w:p w14:paraId="27B5C113">
            <w:pPr>
              <w:spacing w:after="0" w:line="240" w:lineRule="auto"/>
              <w:jc w:val="both"/>
              <w:rPr>
                <w:rFonts w:ascii="Times New Roman"/>
                <w:sz w:val="18"/>
                <w:szCs w:val="21"/>
                <w:lang w:eastAsia="zh-CN"/>
              </w:rPr>
            </w:pPr>
          </w:p>
        </w:tc>
      </w:tr>
      <w:tr w14:paraId="738683CE">
        <w:trPr>
          <w:jc w:val="center"/>
        </w:trPr>
        <w:tc>
          <w:tcPr>
            <w:tcW w:w="2830" w:type="dxa"/>
            <w:gridSpan w:val="2"/>
            <w:vMerge w:val="continue"/>
            <w:vAlign w:val="center"/>
          </w:tcPr>
          <w:p w14:paraId="1FF363C7">
            <w:pPr>
              <w:spacing w:after="0" w:line="240" w:lineRule="auto"/>
              <w:jc w:val="both"/>
              <w:rPr>
                <w:rFonts w:ascii="Times New Roman"/>
                <w:sz w:val="18"/>
                <w:szCs w:val="21"/>
                <w:lang w:eastAsia="zh-CN"/>
              </w:rPr>
            </w:pPr>
          </w:p>
        </w:tc>
        <w:tc>
          <w:tcPr>
            <w:tcW w:w="2410" w:type="dxa"/>
            <w:vAlign w:val="center"/>
          </w:tcPr>
          <w:p w14:paraId="57477E32">
            <w:pPr>
              <w:spacing w:after="0" w:line="240" w:lineRule="auto"/>
              <w:jc w:val="both"/>
              <w:rPr>
                <w:rFonts w:ascii="Times New Roman"/>
                <w:sz w:val="18"/>
                <w:szCs w:val="21"/>
                <w:lang w:eastAsia="zh-CN"/>
              </w:rPr>
            </w:pPr>
          </w:p>
        </w:tc>
        <w:tc>
          <w:tcPr>
            <w:tcW w:w="1701" w:type="dxa"/>
            <w:vAlign w:val="center"/>
          </w:tcPr>
          <w:p w14:paraId="6CC117C8">
            <w:pPr>
              <w:spacing w:after="0" w:line="240" w:lineRule="auto"/>
              <w:jc w:val="both"/>
              <w:rPr>
                <w:rFonts w:ascii="Times New Roman"/>
                <w:sz w:val="18"/>
                <w:szCs w:val="21"/>
                <w:lang w:eastAsia="zh-CN"/>
              </w:rPr>
            </w:pPr>
          </w:p>
        </w:tc>
        <w:tc>
          <w:tcPr>
            <w:tcW w:w="1355" w:type="dxa"/>
            <w:vAlign w:val="center"/>
          </w:tcPr>
          <w:p w14:paraId="46BA48C5">
            <w:pPr>
              <w:spacing w:after="0" w:line="240" w:lineRule="auto"/>
              <w:jc w:val="both"/>
              <w:rPr>
                <w:rFonts w:ascii="Times New Roman"/>
                <w:sz w:val="18"/>
                <w:szCs w:val="21"/>
                <w:lang w:eastAsia="zh-CN"/>
              </w:rPr>
            </w:pPr>
          </w:p>
        </w:tc>
      </w:tr>
      <w:tr w14:paraId="0073C530">
        <w:trPr>
          <w:jc w:val="center"/>
        </w:trPr>
        <w:tc>
          <w:tcPr>
            <w:tcW w:w="2830" w:type="dxa"/>
            <w:gridSpan w:val="2"/>
            <w:vMerge w:val="continue"/>
            <w:vAlign w:val="center"/>
          </w:tcPr>
          <w:p w14:paraId="0A7B78AA">
            <w:pPr>
              <w:spacing w:after="0" w:line="240" w:lineRule="auto"/>
              <w:jc w:val="both"/>
              <w:rPr>
                <w:rFonts w:ascii="Times New Roman"/>
                <w:sz w:val="18"/>
                <w:szCs w:val="21"/>
                <w:lang w:eastAsia="zh-CN"/>
              </w:rPr>
            </w:pPr>
          </w:p>
        </w:tc>
        <w:tc>
          <w:tcPr>
            <w:tcW w:w="2410" w:type="dxa"/>
            <w:vAlign w:val="center"/>
          </w:tcPr>
          <w:p w14:paraId="3DD0CAEE">
            <w:pPr>
              <w:spacing w:after="0" w:line="240" w:lineRule="auto"/>
              <w:jc w:val="both"/>
              <w:rPr>
                <w:rFonts w:ascii="Times New Roman"/>
                <w:sz w:val="18"/>
                <w:szCs w:val="21"/>
                <w:lang w:eastAsia="zh-CN"/>
              </w:rPr>
            </w:pPr>
          </w:p>
        </w:tc>
        <w:tc>
          <w:tcPr>
            <w:tcW w:w="1701" w:type="dxa"/>
            <w:vAlign w:val="center"/>
          </w:tcPr>
          <w:p w14:paraId="0E05D6A5">
            <w:pPr>
              <w:spacing w:after="0" w:line="240" w:lineRule="auto"/>
              <w:jc w:val="both"/>
              <w:rPr>
                <w:rFonts w:ascii="Times New Roman"/>
                <w:sz w:val="18"/>
                <w:szCs w:val="21"/>
                <w:lang w:eastAsia="zh-CN"/>
              </w:rPr>
            </w:pPr>
          </w:p>
        </w:tc>
        <w:tc>
          <w:tcPr>
            <w:tcW w:w="1355" w:type="dxa"/>
            <w:vAlign w:val="center"/>
          </w:tcPr>
          <w:p w14:paraId="110824AD">
            <w:pPr>
              <w:spacing w:after="0" w:line="240" w:lineRule="auto"/>
              <w:jc w:val="both"/>
              <w:rPr>
                <w:rFonts w:ascii="Times New Roman"/>
                <w:sz w:val="18"/>
                <w:szCs w:val="21"/>
                <w:lang w:eastAsia="zh-CN"/>
              </w:rPr>
            </w:pPr>
          </w:p>
        </w:tc>
      </w:tr>
      <w:tr w14:paraId="021C1FBE">
        <w:trPr>
          <w:jc w:val="center"/>
        </w:trPr>
        <w:tc>
          <w:tcPr>
            <w:tcW w:w="988" w:type="dxa"/>
            <w:vMerge w:val="restart"/>
            <w:vAlign w:val="center"/>
          </w:tcPr>
          <w:p w14:paraId="746068B9">
            <w:pPr>
              <w:spacing w:after="0" w:line="240" w:lineRule="auto"/>
              <w:jc w:val="center"/>
              <w:rPr>
                <w:rFonts w:ascii="Times New Roman"/>
                <w:sz w:val="18"/>
                <w:szCs w:val="21"/>
              </w:rPr>
            </w:pPr>
            <w:r>
              <w:rPr>
                <w:rFonts w:hint="eastAsia" w:ascii="Times New Roman"/>
                <w:sz w:val="18"/>
                <w:szCs w:val="21"/>
              </w:rPr>
              <w:t>产品生产</w:t>
            </w:r>
          </w:p>
          <w:p w14:paraId="319E7A72">
            <w:pPr>
              <w:spacing w:after="0" w:line="240" w:lineRule="auto"/>
              <w:jc w:val="center"/>
              <w:rPr>
                <w:rFonts w:ascii="Times New Roman"/>
                <w:sz w:val="18"/>
                <w:szCs w:val="21"/>
              </w:rPr>
            </w:pPr>
            <w:r>
              <w:rPr>
                <w:rFonts w:hint="eastAsia" w:ascii="Times New Roman"/>
                <w:sz w:val="18"/>
                <w:szCs w:val="21"/>
              </w:rPr>
              <w:t>阶段</w:t>
            </w:r>
          </w:p>
        </w:tc>
        <w:tc>
          <w:tcPr>
            <w:tcW w:w="1842" w:type="dxa"/>
            <w:vAlign w:val="center"/>
          </w:tcPr>
          <w:p w14:paraId="27CC2262">
            <w:pPr>
              <w:spacing w:after="0" w:line="240" w:lineRule="auto"/>
              <w:jc w:val="both"/>
              <w:rPr>
                <w:rFonts w:ascii="Times New Roman"/>
                <w:sz w:val="18"/>
                <w:szCs w:val="21"/>
                <w:lang w:eastAsia="zh-CN"/>
              </w:rPr>
            </w:pPr>
            <w:r>
              <w:rPr>
                <w:rFonts w:hint="eastAsia" w:ascii="Times New Roman"/>
                <w:sz w:val="18"/>
                <w:szCs w:val="21"/>
                <w:lang w:eastAsia="zh-CN"/>
              </w:rPr>
              <w:t>稀土采矿</w:t>
            </w:r>
          </w:p>
        </w:tc>
        <w:tc>
          <w:tcPr>
            <w:tcW w:w="2410" w:type="dxa"/>
            <w:vAlign w:val="center"/>
          </w:tcPr>
          <w:p w14:paraId="5D4FE191">
            <w:pPr>
              <w:spacing w:after="0" w:line="240" w:lineRule="auto"/>
              <w:jc w:val="both"/>
              <w:rPr>
                <w:rFonts w:ascii="Times New Roman"/>
                <w:sz w:val="18"/>
                <w:szCs w:val="21"/>
              </w:rPr>
            </w:pPr>
          </w:p>
        </w:tc>
        <w:tc>
          <w:tcPr>
            <w:tcW w:w="1701" w:type="dxa"/>
            <w:vAlign w:val="center"/>
          </w:tcPr>
          <w:p w14:paraId="5C8D5AF4">
            <w:pPr>
              <w:spacing w:after="0" w:line="240" w:lineRule="auto"/>
              <w:jc w:val="both"/>
              <w:rPr>
                <w:rFonts w:ascii="Times New Roman"/>
                <w:sz w:val="18"/>
                <w:szCs w:val="21"/>
              </w:rPr>
            </w:pPr>
          </w:p>
        </w:tc>
        <w:tc>
          <w:tcPr>
            <w:tcW w:w="1355" w:type="dxa"/>
            <w:vAlign w:val="center"/>
          </w:tcPr>
          <w:p w14:paraId="35E73655">
            <w:pPr>
              <w:spacing w:after="0" w:line="240" w:lineRule="auto"/>
              <w:jc w:val="both"/>
              <w:rPr>
                <w:rFonts w:ascii="Times New Roman"/>
                <w:sz w:val="18"/>
                <w:szCs w:val="21"/>
              </w:rPr>
            </w:pPr>
          </w:p>
        </w:tc>
      </w:tr>
      <w:tr w14:paraId="6234645C">
        <w:trPr>
          <w:jc w:val="center"/>
        </w:trPr>
        <w:tc>
          <w:tcPr>
            <w:tcW w:w="988" w:type="dxa"/>
            <w:vMerge w:val="continue"/>
            <w:vAlign w:val="center"/>
          </w:tcPr>
          <w:p w14:paraId="0BFA6CBB">
            <w:pPr>
              <w:spacing w:after="0" w:line="240" w:lineRule="auto"/>
              <w:jc w:val="both"/>
              <w:rPr>
                <w:rFonts w:ascii="Times New Roman"/>
                <w:sz w:val="18"/>
                <w:szCs w:val="21"/>
              </w:rPr>
            </w:pPr>
          </w:p>
        </w:tc>
        <w:tc>
          <w:tcPr>
            <w:tcW w:w="1842" w:type="dxa"/>
            <w:vAlign w:val="center"/>
          </w:tcPr>
          <w:p w14:paraId="2129F7F6">
            <w:pPr>
              <w:spacing w:after="0" w:line="240" w:lineRule="auto"/>
              <w:jc w:val="both"/>
              <w:rPr>
                <w:rFonts w:ascii="Times New Roman"/>
                <w:sz w:val="18"/>
                <w:szCs w:val="21"/>
              </w:rPr>
            </w:pPr>
            <w:r>
              <w:rPr>
                <w:rFonts w:hint="eastAsia" w:ascii="Times New Roman"/>
                <w:sz w:val="18"/>
                <w:szCs w:val="21"/>
                <w:lang w:eastAsia="zh-CN"/>
              </w:rPr>
              <w:t>稀土选矿</w:t>
            </w:r>
          </w:p>
        </w:tc>
        <w:tc>
          <w:tcPr>
            <w:tcW w:w="2410" w:type="dxa"/>
            <w:vAlign w:val="center"/>
          </w:tcPr>
          <w:p w14:paraId="621A6169">
            <w:pPr>
              <w:spacing w:after="0" w:line="240" w:lineRule="auto"/>
              <w:jc w:val="both"/>
              <w:rPr>
                <w:rFonts w:ascii="Times New Roman"/>
                <w:sz w:val="18"/>
                <w:szCs w:val="21"/>
              </w:rPr>
            </w:pPr>
          </w:p>
        </w:tc>
        <w:tc>
          <w:tcPr>
            <w:tcW w:w="1701" w:type="dxa"/>
            <w:vAlign w:val="center"/>
          </w:tcPr>
          <w:p w14:paraId="2917EDEC">
            <w:pPr>
              <w:spacing w:after="0" w:line="240" w:lineRule="auto"/>
              <w:jc w:val="both"/>
              <w:rPr>
                <w:rFonts w:ascii="Times New Roman"/>
                <w:sz w:val="18"/>
                <w:szCs w:val="21"/>
              </w:rPr>
            </w:pPr>
          </w:p>
        </w:tc>
        <w:tc>
          <w:tcPr>
            <w:tcW w:w="1355" w:type="dxa"/>
            <w:vAlign w:val="center"/>
          </w:tcPr>
          <w:p w14:paraId="160F40C4">
            <w:pPr>
              <w:spacing w:after="0" w:line="240" w:lineRule="auto"/>
              <w:jc w:val="both"/>
              <w:rPr>
                <w:rFonts w:ascii="Times New Roman"/>
                <w:sz w:val="18"/>
                <w:szCs w:val="21"/>
              </w:rPr>
            </w:pPr>
          </w:p>
        </w:tc>
      </w:tr>
      <w:tr w14:paraId="59A67FA2">
        <w:trPr>
          <w:jc w:val="center"/>
        </w:trPr>
        <w:tc>
          <w:tcPr>
            <w:tcW w:w="988" w:type="dxa"/>
            <w:vMerge w:val="continue"/>
            <w:vAlign w:val="center"/>
          </w:tcPr>
          <w:p w14:paraId="0EFB105D">
            <w:pPr>
              <w:spacing w:after="0" w:line="240" w:lineRule="auto"/>
              <w:jc w:val="both"/>
              <w:rPr>
                <w:rFonts w:ascii="Times New Roman"/>
                <w:sz w:val="18"/>
                <w:szCs w:val="21"/>
              </w:rPr>
            </w:pPr>
          </w:p>
        </w:tc>
        <w:tc>
          <w:tcPr>
            <w:tcW w:w="1842" w:type="dxa"/>
            <w:vAlign w:val="center"/>
          </w:tcPr>
          <w:p w14:paraId="50AF8BB0">
            <w:pPr>
              <w:spacing w:after="0" w:line="240" w:lineRule="auto"/>
              <w:jc w:val="both"/>
              <w:rPr>
                <w:rFonts w:ascii="Times New Roman"/>
                <w:sz w:val="18"/>
                <w:szCs w:val="21"/>
              </w:rPr>
            </w:pPr>
            <w:r>
              <w:rPr>
                <w:rFonts w:hint="eastAsia" w:ascii="Times New Roman"/>
                <w:sz w:val="18"/>
                <w:szCs w:val="21"/>
              </w:rPr>
              <w:t>酸法冶炼分离</w:t>
            </w:r>
          </w:p>
        </w:tc>
        <w:tc>
          <w:tcPr>
            <w:tcW w:w="2410" w:type="dxa"/>
            <w:vAlign w:val="center"/>
          </w:tcPr>
          <w:p w14:paraId="798EB8D9">
            <w:pPr>
              <w:spacing w:after="0" w:line="240" w:lineRule="auto"/>
              <w:jc w:val="both"/>
              <w:rPr>
                <w:rFonts w:ascii="Times New Roman"/>
                <w:sz w:val="18"/>
                <w:szCs w:val="21"/>
              </w:rPr>
            </w:pPr>
          </w:p>
        </w:tc>
        <w:tc>
          <w:tcPr>
            <w:tcW w:w="1701" w:type="dxa"/>
            <w:vAlign w:val="center"/>
          </w:tcPr>
          <w:p w14:paraId="73565BD5">
            <w:pPr>
              <w:spacing w:after="0" w:line="240" w:lineRule="auto"/>
              <w:jc w:val="both"/>
              <w:rPr>
                <w:rFonts w:ascii="Times New Roman"/>
                <w:sz w:val="18"/>
                <w:szCs w:val="21"/>
              </w:rPr>
            </w:pPr>
          </w:p>
        </w:tc>
        <w:tc>
          <w:tcPr>
            <w:tcW w:w="1355" w:type="dxa"/>
            <w:vAlign w:val="center"/>
          </w:tcPr>
          <w:p w14:paraId="530DF616">
            <w:pPr>
              <w:spacing w:after="0" w:line="240" w:lineRule="auto"/>
              <w:jc w:val="both"/>
              <w:rPr>
                <w:rFonts w:ascii="Times New Roman"/>
                <w:sz w:val="18"/>
                <w:szCs w:val="21"/>
              </w:rPr>
            </w:pPr>
          </w:p>
        </w:tc>
      </w:tr>
      <w:tr w14:paraId="0551EF67">
        <w:trPr>
          <w:jc w:val="center"/>
        </w:trPr>
        <w:tc>
          <w:tcPr>
            <w:tcW w:w="988" w:type="dxa"/>
            <w:vMerge w:val="continue"/>
            <w:vAlign w:val="center"/>
          </w:tcPr>
          <w:p w14:paraId="637B5B4B">
            <w:pPr>
              <w:spacing w:after="0" w:line="240" w:lineRule="auto"/>
              <w:jc w:val="both"/>
              <w:rPr>
                <w:rFonts w:ascii="Times New Roman"/>
                <w:sz w:val="18"/>
                <w:szCs w:val="21"/>
              </w:rPr>
            </w:pPr>
          </w:p>
        </w:tc>
        <w:tc>
          <w:tcPr>
            <w:tcW w:w="1842" w:type="dxa"/>
            <w:vAlign w:val="center"/>
          </w:tcPr>
          <w:p w14:paraId="0E6A263D">
            <w:pPr>
              <w:spacing w:after="0" w:line="240" w:lineRule="auto"/>
              <w:jc w:val="both"/>
              <w:rPr>
                <w:rFonts w:ascii="Times New Roman"/>
                <w:sz w:val="18"/>
                <w:szCs w:val="21"/>
              </w:rPr>
            </w:pPr>
            <w:r>
              <w:rPr>
                <w:rFonts w:hint="eastAsia" w:ascii="Times New Roman"/>
                <w:sz w:val="18"/>
                <w:szCs w:val="21"/>
              </w:rPr>
              <w:t>碱法冶炼分离</w:t>
            </w:r>
          </w:p>
        </w:tc>
        <w:tc>
          <w:tcPr>
            <w:tcW w:w="2410" w:type="dxa"/>
            <w:vAlign w:val="center"/>
          </w:tcPr>
          <w:p w14:paraId="1949AB68">
            <w:pPr>
              <w:spacing w:after="0" w:line="240" w:lineRule="auto"/>
              <w:jc w:val="both"/>
              <w:rPr>
                <w:rFonts w:ascii="Times New Roman"/>
                <w:sz w:val="18"/>
                <w:szCs w:val="21"/>
              </w:rPr>
            </w:pPr>
          </w:p>
        </w:tc>
        <w:tc>
          <w:tcPr>
            <w:tcW w:w="1701" w:type="dxa"/>
            <w:vAlign w:val="center"/>
          </w:tcPr>
          <w:p w14:paraId="3A4185EE">
            <w:pPr>
              <w:spacing w:after="0" w:line="240" w:lineRule="auto"/>
              <w:jc w:val="both"/>
              <w:rPr>
                <w:rFonts w:ascii="Times New Roman"/>
                <w:sz w:val="18"/>
                <w:szCs w:val="21"/>
              </w:rPr>
            </w:pPr>
          </w:p>
        </w:tc>
        <w:tc>
          <w:tcPr>
            <w:tcW w:w="1355" w:type="dxa"/>
            <w:vAlign w:val="center"/>
          </w:tcPr>
          <w:p w14:paraId="7EBBCA6F">
            <w:pPr>
              <w:spacing w:after="0" w:line="240" w:lineRule="auto"/>
              <w:jc w:val="both"/>
              <w:rPr>
                <w:rFonts w:ascii="Times New Roman"/>
                <w:sz w:val="18"/>
                <w:szCs w:val="21"/>
              </w:rPr>
            </w:pPr>
          </w:p>
        </w:tc>
      </w:tr>
      <w:tr w14:paraId="19118827">
        <w:trPr>
          <w:jc w:val="center"/>
        </w:trPr>
        <w:tc>
          <w:tcPr>
            <w:tcW w:w="988" w:type="dxa"/>
            <w:vMerge w:val="continue"/>
            <w:vAlign w:val="center"/>
          </w:tcPr>
          <w:p w14:paraId="468CF617">
            <w:pPr>
              <w:spacing w:after="0" w:line="240" w:lineRule="auto"/>
              <w:jc w:val="both"/>
              <w:rPr>
                <w:rFonts w:ascii="Times New Roman"/>
                <w:sz w:val="18"/>
                <w:szCs w:val="21"/>
              </w:rPr>
            </w:pPr>
          </w:p>
        </w:tc>
        <w:tc>
          <w:tcPr>
            <w:tcW w:w="1842" w:type="dxa"/>
            <w:vAlign w:val="center"/>
          </w:tcPr>
          <w:p w14:paraId="28C9AA1F">
            <w:pPr>
              <w:spacing w:after="0" w:line="240" w:lineRule="auto"/>
              <w:jc w:val="both"/>
              <w:rPr>
                <w:rFonts w:ascii="Times New Roman"/>
                <w:sz w:val="18"/>
                <w:szCs w:val="21"/>
                <w:lang w:eastAsia="zh-CN"/>
              </w:rPr>
            </w:pPr>
            <w:r>
              <w:rPr>
                <w:rFonts w:hint="eastAsia" w:ascii="Times New Roman"/>
                <w:sz w:val="18"/>
                <w:szCs w:val="21"/>
                <w:lang w:eastAsia="zh-CN"/>
              </w:rPr>
              <w:t>以氟碳铈矿为原料湿法分离</w:t>
            </w:r>
          </w:p>
        </w:tc>
        <w:tc>
          <w:tcPr>
            <w:tcW w:w="2410" w:type="dxa"/>
            <w:vAlign w:val="center"/>
          </w:tcPr>
          <w:p w14:paraId="5B9031F7">
            <w:pPr>
              <w:spacing w:after="0" w:line="240" w:lineRule="auto"/>
              <w:jc w:val="both"/>
              <w:rPr>
                <w:rFonts w:ascii="Times New Roman"/>
                <w:sz w:val="18"/>
                <w:szCs w:val="21"/>
                <w:lang w:eastAsia="zh-CN"/>
              </w:rPr>
            </w:pPr>
          </w:p>
        </w:tc>
        <w:tc>
          <w:tcPr>
            <w:tcW w:w="1701" w:type="dxa"/>
            <w:vAlign w:val="center"/>
          </w:tcPr>
          <w:p w14:paraId="45D9AE3E">
            <w:pPr>
              <w:spacing w:after="0" w:line="240" w:lineRule="auto"/>
              <w:jc w:val="both"/>
              <w:rPr>
                <w:rFonts w:ascii="Times New Roman"/>
                <w:sz w:val="18"/>
                <w:szCs w:val="21"/>
                <w:lang w:eastAsia="zh-CN"/>
              </w:rPr>
            </w:pPr>
          </w:p>
        </w:tc>
        <w:tc>
          <w:tcPr>
            <w:tcW w:w="1355" w:type="dxa"/>
            <w:vAlign w:val="center"/>
          </w:tcPr>
          <w:p w14:paraId="4AFE4E60">
            <w:pPr>
              <w:spacing w:after="0" w:line="240" w:lineRule="auto"/>
              <w:jc w:val="both"/>
              <w:rPr>
                <w:rFonts w:ascii="Times New Roman"/>
                <w:sz w:val="18"/>
                <w:szCs w:val="21"/>
                <w:lang w:eastAsia="zh-CN"/>
              </w:rPr>
            </w:pPr>
          </w:p>
        </w:tc>
      </w:tr>
      <w:tr w14:paraId="5571F493">
        <w:trPr>
          <w:jc w:val="center"/>
        </w:trPr>
        <w:tc>
          <w:tcPr>
            <w:tcW w:w="988" w:type="dxa"/>
            <w:vMerge w:val="continue"/>
            <w:vAlign w:val="center"/>
          </w:tcPr>
          <w:p w14:paraId="2BFC2BE7">
            <w:pPr>
              <w:spacing w:after="0" w:line="240" w:lineRule="auto"/>
              <w:jc w:val="both"/>
              <w:rPr>
                <w:rFonts w:ascii="Times New Roman"/>
                <w:sz w:val="18"/>
                <w:szCs w:val="21"/>
                <w:lang w:eastAsia="zh-CN"/>
              </w:rPr>
            </w:pPr>
          </w:p>
        </w:tc>
        <w:tc>
          <w:tcPr>
            <w:tcW w:w="1842" w:type="dxa"/>
            <w:vAlign w:val="center"/>
          </w:tcPr>
          <w:p w14:paraId="042D0BE5">
            <w:pPr>
              <w:spacing w:after="0" w:line="240" w:lineRule="auto"/>
              <w:jc w:val="both"/>
              <w:rPr>
                <w:rFonts w:ascii="Times New Roman"/>
                <w:sz w:val="18"/>
                <w:szCs w:val="21"/>
                <w:lang w:eastAsia="zh-CN"/>
              </w:rPr>
            </w:pPr>
            <w:r>
              <w:rPr>
                <w:rFonts w:hint="eastAsia" w:ascii="Times New Roman"/>
                <w:sz w:val="18"/>
                <w:szCs w:val="21"/>
                <w:lang w:eastAsia="zh-CN"/>
              </w:rPr>
              <w:t>以独居石矿为原料湿法分离</w:t>
            </w:r>
          </w:p>
        </w:tc>
        <w:tc>
          <w:tcPr>
            <w:tcW w:w="2410" w:type="dxa"/>
            <w:vAlign w:val="center"/>
          </w:tcPr>
          <w:p w14:paraId="4F2E14E6">
            <w:pPr>
              <w:spacing w:after="0" w:line="240" w:lineRule="auto"/>
              <w:jc w:val="both"/>
              <w:rPr>
                <w:rFonts w:ascii="Times New Roman"/>
                <w:sz w:val="18"/>
                <w:szCs w:val="21"/>
                <w:lang w:eastAsia="zh-CN"/>
              </w:rPr>
            </w:pPr>
          </w:p>
        </w:tc>
        <w:tc>
          <w:tcPr>
            <w:tcW w:w="1701" w:type="dxa"/>
            <w:vAlign w:val="center"/>
          </w:tcPr>
          <w:p w14:paraId="35E4AB0D">
            <w:pPr>
              <w:spacing w:after="0" w:line="240" w:lineRule="auto"/>
              <w:jc w:val="both"/>
              <w:rPr>
                <w:rFonts w:ascii="Times New Roman"/>
                <w:sz w:val="18"/>
                <w:szCs w:val="21"/>
                <w:lang w:eastAsia="zh-CN"/>
              </w:rPr>
            </w:pPr>
          </w:p>
        </w:tc>
        <w:tc>
          <w:tcPr>
            <w:tcW w:w="1355" w:type="dxa"/>
            <w:vAlign w:val="center"/>
          </w:tcPr>
          <w:p w14:paraId="2082CFFE">
            <w:pPr>
              <w:spacing w:after="0" w:line="240" w:lineRule="auto"/>
              <w:jc w:val="both"/>
              <w:rPr>
                <w:rFonts w:ascii="Times New Roman"/>
                <w:sz w:val="18"/>
                <w:szCs w:val="21"/>
                <w:lang w:eastAsia="zh-CN"/>
              </w:rPr>
            </w:pPr>
          </w:p>
        </w:tc>
      </w:tr>
      <w:tr w14:paraId="1AF22311">
        <w:trPr>
          <w:jc w:val="center"/>
        </w:trPr>
        <w:tc>
          <w:tcPr>
            <w:tcW w:w="988" w:type="dxa"/>
            <w:vMerge w:val="continue"/>
            <w:vAlign w:val="center"/>
          </w:tcPr>
          <w:p w14:paraId="28643657">
            <w:pPr>
              <w:spacing w:after="0" w:line="240" w:lineRule="auto"/>
              <w:jc w:val="both"/>
              <w:rPr>
                <w:rFonts w:ascii="Times New Roman"/>
                <w:sz w:val="18"/>
                <w:szCs w:val="21"/>
                <w:lang w:eastAsia="zh-CN"/>
              </w:rPr>
            </w:pPr>
          </w:p>
        </w:tc>
        <w:tc>
          <w:tcPr>
            <w:tcW w:w="1842" w:type="dxa"/>
            <w:vAlign w:val="center"/>
          </w:tcPr>
          <w:p w14:paraId="27857143">
            <w:pPr>
              <w:spacing w:after="0" w:line="240" w:lineRule="auto"/>
              <w:jc w:val="both"/>
              <w:rPr>
                <w:rFonts w:ascii="Times New Roman"/>
                <w:sz w:val="18"/>
                <w:szCs w:val="21"/>
                <w:lang w:eastAsia="zh-CN"/>
              </w:rPr>
            </w:pPr>
            <w:r>
              <w:rPr>
                <w:rFonts w:hint="eastAsia" w:ascii="Times New Roman"/>
                <w:sz w:val="18"/>
                <w:szCs w:val="21"/>
                <w:lang w:eastAsia="zh-CN"/>
              </w:rPr>
              <w:t>以离子吸附型稀土矿为原料湿法分离</w:t>
            </w:r>
          </w:p>
        </w:tc>
        <w:tc>
          <w:tcPr>
            <w:tcW w:w="2410" w:type="dxa"/>
            <w:vAlign w:val="center"/>
          </w:tcPr>
          <w:p w14:paraId="4556E005">
            <w:pPr>
              <w:spacing w:after="0" w:line="240" w:lineRule="auto"/>
              <w:jc w:val="both"/>
              <w:rPr>
                <w:rFonts w:ascii="Times New Roman"/>
                <w:sz w:val="18"/>
                <w:szCs w:val="21"/>
                <w:lang w:eastAsia="zh-CN"/>
              </w:rPr>
            </w:pPr>
          </w:p>
        </w:tc>
        <w:tc>
          <w:tcPr>
            <w:tcW w:w="1701" w:type="dxa"/>
            <w:vAlign w:val="center"/>
          </w:tcPr>
          <w:p w14:paraId="30DD0100">
            <w:pPr>
              <w:spacing w:after="0" w:line="240" w:lineRule="auto"/>
              <w:jc w:val="both"/>
              <w:rPr>
                <w:rFonts w:ascii="Times New Roman"/>
                <w:sz w:val="18"/>
                <w:szCs w:val="21"/>
                <w:lang w:eastAsia="zh-CN"/>
              </w:rPr>
            </w:pPr>
          </w:p>
        </w:tc>
        <w:tc>
          <w:tcPr>
            <w:tcW w:w="1355" w:type="dxa"/>
            <w:vAlign w:val="center"/>
          </w:tcPr>
          <w:p w14:paraId="297C2708">
            <w:pPr>
              <w:spacing w:after="0" w:line="240" w:lineRule="auto"/>
              <w:jc w:val="both"/>
              <w:rPr>
                <w:rFonts w:ascii="Times New Roman"/>
                <w:sz w:val="18"/>
                <w:szCs w:val="21"/>
                <w:lang w:eastAsia="zh-CN"/>
              </w:rPr>
            </w:pPr>
          </w:p>
        </w:tc>
      </w:tr>
      <w:tr w14:paraId="74263F01">
        <w:trPr>
          <w:jc w:val="center"/>
        </w:trPr>
        <w:tc>
          <w:tcPr>
            <w:tcW w:w="988" w:type="dxa"/>
            <w:vMerge w:val="continue"/>
            <w:vAlign w:val="center"/>
          </w:tcPr>
          <w:p w14:paraId="12A45F24">
            <w:pPr>
              <w:spacing w:after="0" w:line="240" w:lineRule="auto"/>
              <w:jc w:val="both"/>
              <w:rPr>
                <w:rFonts w:ascii="Times New Roman"/>
                <w:sz w:val="18"/>
                <w:szCs w:val="21"/>
                <w:lang w:eastAsia="zh-CN"/>
              </w:rPr>
            </w:pPr>
          </w:p>
        </w:tc>
        <w:tc>
          <w:tcPr>
            <w:tcW w:w="1842" w:type="dxa"/>
            <w:vAlign w:val="center"/>
          </w:tcPr>
          <w:p w14:paraId="46E2AC30">
            <w:pPr>
              <w:spacing w:after="0" w:line="240" w:lineRule="auto"/>
              <w:jc w:val="both"/>
              <w:rPr>
                <w:rFonts w:ascii="Times New Roman"/>
                <w:sz w:val="18"/>
                <w:szCs w:val="21"/>
                <w:lang w:eastAsia="zh-CN"/>
              </w:rPr>
            </w:pPr>
            <w:r>
              <w:rPr>
                <w:rFonts w:hint="eastAsia" w:ascii="Times New Roman"/>
                <w:sz w:val="18"/>
                <w:szCs w:val="21"/>
                <w:lang w:eastAsia="zh-CN"/>
              </w:rPr>
              <w:t>以稀土二次资源回收料或含稀土的物料为原料湿法分离</w:t>
            </w:r>
          </w:p>
        </w:tc>
        <w:tc>
          <w:tcPr>
            <w:tcW w:w="2410" w:type="dxa"/>
            <w:vAlign w:val="center"/>
          </w:tcPr>
          <w:p w14:paraId="00F48B8D">
            <w:pPr>
              <w:spacing w:after="0" w:line="240" w:lineRule="auto"/>
              <w:jc w:val="both"/>
              <w:rPr>
                <w:rFonts w:ascii="Times New Roman"/>
                <w:sz w:val="18"/>
                <w:szCs w:val="21"/>
                <w:lang w:eastAsia="zh-CN"/>
              </w:rPr>
            </w:pPr>
          </w:p>
        </w:tc>
        <w:tc>
          <w:tcPr>
            <w:tcW w:w="1701" w:type="dxa"/>
            <w:vAlign w:val="center"/>
          </w:tcPr>
          <w:p w14:paraId="409A5918">
            <w:pPr>
              <w:spacing w:after="0" w:line="240" w:lineRule="auto"/>
              <w:jc w:val="both"/>
              <w:rPr>
                <w:rFonts w:ascii="Times New Roman"/>
                <w:sz w:val="18"/>
                <w:szCs w:val="21"/>
                <w:lang w:eastAsia="zh-CN"/>
              </w:rPr>
            </w:pPr>
          </w:p>
        </w:tc>
        <w:tc>
          <w:tcPr>
            <w:tcW w:w="1355" w:type="dxa"/>
            <w:vAlign w:val="center"/>
          </w:tcPr>
          <w:p w14:paraId="7C58C263">
            <w:pPr>
              <w:spacing w:after="0" w:line="240" w:lineRule="auto"/>
              <w:jc w:val="both"/>
              <w:rPr>
                <w:rFonts w:ascii="Times New Roman"/>
                <w:sz w:val="18"/>
                <w:szCs w:val="21"/>
                <w:lang w:eastAsia="zh-CN"/>
              </w:rPr>
            </w:pPr>
          </w:p>
        </w:tc>
      </w:tr>
    </w:tbl>
    <w:p w14:paraId="3359E543">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51" w:name="_Toc190159534"/>
      <w:r>
        <w:rPr>
          <w:rFonts w:hint="eastAsia" w:ascii="黑体" w:hAnsi="黑体" w:eastAsia="黑体" w:cs="黑体"/>
          <w:kern w:val="2"/>
          <w:sz w:val="21"/>
          <w:szCs w:val="24"/>
          <w:lang w:eastAsia="zh-CN"/>
        </w:rPr>
        <w:t>2</w:t>
      </w:r>
      <w:r>
        <w:rPr>
          <w:rFonts w:ascii="黑体" w:hAnsi="黑体" w:eastAsia="黑体" w:cs="黑体"/>
          <w:kern w:val="2"/>
          <w:sz w:val="21"/>
          <w:szCs w:val="24"/>
          <w:lang w:eastAsia="zh-CN"/>
        </w:rPr>
        <w:t>.</w:t>
      </w:r>
      <w:r>
        <w:rPr>
          <w:rFonts w:hint="eastAsia" w:ascii="黑体" w:hAnsi="黑体" w:eastAsia="黑体" w:cs="黑体"/>
          <w:kern w:val="2"/>
          <w:sz w:val="21"/>
          <w:szCs w:val="24"/>
          <w:lang w:eastAsia="zh-CN"/>
        </w:rPr>
        <w:t>假设和局限性说明（可选项）</w:t>
      </w:r>
      <w:bookmarkEnd w:id="151"/>
    </w:p>
    <w:p w14:paraId="1ABD0094">
      <w:pPr>
        <w:adjustRightInd w:val="0"/>
        <w:snapToGrid w:val="0"/>
        <w:spacing w:after="0" w:line="360" w:lineRule="auto"/>
        <w:ind w:firstLine="420" w:firstLineChars="200"/>
        <w:jc w:val="both"/>
        <w:rPr>
          <w:rFonts w:ascii="Times New Roman"/>
          <w:szCs w:val="24"/>
          <w:lang w:eastAsia="zh-CN"/>
        </w:rPr>
      </w:pPr>
      <w:r>
        <w:rPr>
          <w:rFonts w:hint="eastAsia" w:ascii="Times New Roman" w:hAnsi="Times New Roman" w:eastAsia="宋体" w:cs="Times New Roman"/>
          <w:kern w:val="2"/>
          <w:sz w:val="21"/>
          <w:szCs w:val="21"/>
          <w:lang w:eastAsia="zh-CN"/>
        </w:rPr>
        <w:t>结合量化情况，对范围、数据选择、情景设定等相关的假设和局限进行说明。</w:t>
      </w:r>
    </w:p>
    <w:p w14:paraId="5FCBDAF2">
      <w:pPr>
        <w:adjustRightInd w:val="0"/>
        <w:snapToGrid w:val="0"/>
        <w:spacing w:before="120" w:beforeLines="50" w:after="120" w:afterLines="50" w:line="240" w:lineRule="auto"/>
        <w:jc w:val="both"/>
        <w:rPr>
          <w:rFonts w:ascii="黑体" w:hAnsi="黑体" w:eastAsia="黑体" w:cs="黑体"/>
          <w:kern w:val="2"/>
          <w:sz w:val="21"/>
          <w:szCs w:val="24"/>
          <w:lang w:eastAsia="zh-CN"/>
        </w:rPr>
      </w:pPr>
      <w:bookmarkStart w:id="152" w:name="_Toc190159535"/>
      <w:r>
        <w:rPr>
          <w:rFonts w:ascii="黑体" w:hAnsi="黑体" w:eastAsia="黑体" w:cs="黑体"/>
          <w:kern w:val="2"/>
          <w:sz w:val="21"/>
          <w:szCs w:val="24"/>
          <w:lang w:eastAsia="zh-CN"/>
        </w:rPr>
        <w:t>3.</w:t>
      </w:r>
      <w:r>
        <w:rPr>
          <w:rFonts w:hint="eastAsia" w:ascii="黑体" w:hAnsi="黑体" w:eastAsia="黑体" w:cs="黑体"/>
          <w:kern w:val="2"/>
          <w:sz w:val="21"/>
          <w:szCs w:val="24"/>
          <w:lang w:eastAsia="zh-CN"/>
        </w:rPr>
        <w:t>改进建议</w:t>
      </w:r>
      <w:bookmarkEnd w:id="152"/>
    </w:p>
    <w:p w14:paraId="2A9B640F">
      <w:pPr>
        <w:spacing w:line="240" w:lineRule="auto"/>
        <w:rPr>
          <w:rFonts w:ascii="Times New Roman" w:eastAsia="黑体"/>
          <w:szCs w:val="21"/>
          <w:lang w:eastAsia="zh-CN"/>
        </w:rPr>
      </w:pPr>
    </w:p>
    <w:p w14:paraId="265A6DBD">
      <w:pPr>
        <w:spacing w:line="240" w:lineRule="auto"/>
        <w:rPr>
          <w:rFonts w:ascii="Times New Roman" w:eastAsia="黑体"/>
          <w:szCs w:val="21"/>
          <w:lang w:eastAsia="zh-CN"/>
        </w:rPr>
      </w:pPr>
    </w:p>
    <w:p w14:paraId="7630C0C7">
      <w:pPr>
        <w:spacing w:line="240" w:lineRule="auto"/>
        <w:jc w:val="center"/>
        <w:rPr>
          <w:rFonts w:ascii="Times New Roman" w:eastAsia="黑体"/>
          <w:szCs w:val="21"/>
          <w:lang w:eastAsia="zh-CN"/>
        </w:rPr>
      </w:pPr>
    </w:p>
    <w:p w14:paraId="4C3C01D0">
      <w:pPr>
        <w:adjustRightInd w:val="0"/>
        <w:snapToGrid w:val="0"/>
        <w:spacing w:after="0" w:line="360" w:lineRule="auto"/>
        <w:rPr>
          <w:rFonts w:cs="Times New Roman" w:asciiTheme="minorEastAsia" w:hAnsiTheme="minorEastAsia"/>
          <w:kern w:val="2"/>
          <w:sz w:val="21"/>
          <w:szCs w:val="21"/>
          <w:lang w:eastAsia="zh-CN"/>
        </w:rPr>
      </w:pPr>
    </w:p>
    <w:p w14:paraId="38A98FF3">
      <w:pPr>
        <w:widowControl/>
        <w:spacing w:after="0" w:line="240" w:lineRule="auto"/>
        <w:rPr>
          <w:rFonts w:cs="Times New Roman" w:asciiTheme="minorEastAsia" w:hAnsiTheme="minorEastAsia"/>
          <w:kern w:val="2"/>
          <w:sz w:val="21"/>
          <w:szCs w:val="21"/>
          <w:lang w:eastAsia="zh-CN"/>
        </w:rPr>
      </w:pPr>
      <w:r>
        <w:rPr>
          <w:rFonts w:hint="eastAsia" w:cs="Times New Roman" w:asciiTheme="minorEastAsia" w:hAnsiTheme="minorEastAsia"/>
          <w:kern w:val="2"/>
          <w:sz w:val="21"/>
          <w:szCs w:val="21"/>
          <w:lang w:eastAsia="zh-CN"/>
        </w:rPr>
        <w:br w:type="page"/>
      </w:r>
    </w:p>
    <w:p w14:paraId="1F7FB97E">
      <w:pPr>
        <w:spacing w:after="0" w:line="360" w:lineRule="auto"/>
        <w:jc w:val="center"/>
        <w:outlineLvl w:val="0"/>
        <w:rPr>
          <w:rFonts w:ascii="黑体" w:hAnsi="宋体" w:eastAsia="黑体" w:cs="Times New Roman"/>
          <w:bCs/>
          <w:kern w:val="2"/>
          <w:sz w:val="32"/>
          <w:szCs w:val="32"/>
          <w:lang w:eastAsia="zh-CN"/>
        </w:rPr>
      </w:pPr>
      <w:bookmarkStart w:id="153" w:name="_Toc1287940542"/>
      <w:r>
        <w:rPr>
          <w:rFonts w:hint="eastAsia" w:ascii="黑体" w:hAnsi="宋体" w:eastAsia="黑体" w:cs="Times New Roman"/>
          <w:bCs/>
          <w:kern w:val="2"/>
          <w:sz w:val="32"/>
          <w:szCs w:val="32"/>
          <w:lang w:eastAsia="zh-CN"/>
        </w:rPr>
        <w:t>参考文献</w:t>
      </w:r>
      <w:bookmarkEnd w:id="153"/>
    </w:p>
    <w:p w14:paraId="08155C07">
      <w:pPr>
        <w:widowControl/>
        <w:spacing w:after="0" w:line="360" w:lineRule="auto"/>
        <w:rPr>
          <w:rFonts w:ascii="Times New Roman" w:hAnsi="Times New Roman" w:cs="Times New Roman"/>
          <w:kern w:val="2"/>
          <w:sz w:val="21"/>
          <w:szCs w:val="21"/>
          <w:lang w:eastAsia="zh-CN"/>
        </w:rPr>
      </w:pPr>
      <w:r>
        <w:rPr>
          <w:rFonts w:ascii="Times New Roman" w:hAnsi="Times New Roman" w:cs="Times New Roman"/>
          <w:kern w:val="2"/>
          <w:sz w:val="21"/>
          <w:szCs w:val="21"/>
          <w:lang w:eastAsia="zh-CN"/>
        </w:rPr>
        <w:t xml:space="preserve">[1]ISO/TS </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14027:2017</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 xml:space="preserve"> Environmental labels and declarations-Development of product category rules</w:t>
      </w:r>
    </w:p>
    <w:p w14:paraId="04E5FA8C">
      <w:pPr>
        <w:widowControl/>
        <w:spacing w:after="0" w:line="360" w:lineRule="auto"/>
        <w:rPr>
          <w:rFonts w:ascii="Times New Roman" w:hAnsi="Times New Roman" w:cs="Times New Roman"/>
          <w:kern w:val="2"/>
          <w:sz w:val="21"/>
          <w:szCs w:val="21"/>
          <w:lang w:eastAsia="zh-CN"/>
        </w:rPr>
      </w:pPr>
      <w:r>
        <w:rPr>
          <w:rFonts w:ascii="Times New Roman" w:hAnsi="Times New Roman" w:cs="Times New Roman"/>
          <w:kern w:val="2"/>
          <w:sz w:val="21"/>
          <w:szCs w:val="21"/>
          <w:lang w:eastAsia="zh-CN"/>
        </w:rPr>
        <w:t>[2]ISO/TS</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 xml:space="preserve"> 14067:2018 </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Greenhouse gases-Carbon footprint of products-Requirements and</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 xml:space="preserve">guidelines </w:t>
      </w:r>
      <w:r>
        <w:rPr>
          <w:rFonts w:hint="eastAsia" w:ascii="Times New Roman" w:hAnsi="Times New Roman" w:cs="Times New Roman"/>
          <w:kern w:val="2"/>
          <w:sz w:val="21"/>
          <w:szCs w:val="21"/>
          <w:lang w:eastAsia="zh-CN"/>
        </w:rPr>
        <w:t>nn</w:t>
      </w:r>
      <w:r>
        <w:rPr>
          <w:rFonts w:ascii="Times New Roman" w:hAnsi="Times New Roman" w:cs="Times New Roman"/>
          <w:kern w:val="2"/>
          <w:sz w:val="21"/>
          <w:szCs w:val="21"/>
          <w:lang w:eastAsia="zh-CN"/>
        </w:rPr>
        <w:t>for quantification and communication</w:t>
      </w:r>
    </w:p>
    <w:p w14:paraId="5199072B">
      <w:pPr>
        <w:widowControl/>
        <w:spacing w:after="0" w:line="360" w:lineRule="auto"/>
        <w:rPr>
          <w:rFonts w:ascii="Times New Roman" w:hAnsi="Times New Roman" w:cs="Times New Roman"/>
          <w:kern w:val="2"/>
          <w:sz w:val="21"/>
          <w:szCs w:val="21"/>
          <w:lang w:eastAsia="zh-CN"/>
        </w:rPr>
      </w:pPr>
      <w:r>
        <w:rPr>
          <w:rFonts w:ascii="Times New Roman" w:hAnsi="Times New Roman" w:cs="Times New Roman"/>
          <w:kern w:val="2"/>
          <w:sz w:val="21"/>
          <w:szCs w:val="21"/>
          <w:lang w:eastAsia="zh-CN"/>
        </w:rPr>
        <w:t>[</w:t>
      </w:r>
      <w:r>
        <w:rPr>
          <w:rFonts w:hint="eastAsia" w:ascii="Times New Roman" w:hAnsi="Times New Roman" w:cs="Times New Roman"/>
          <w:kern w:val="2"/>
          <w:sz w:val="21"/>
          <w:szCs w:val="21"/>
          <w:lang w:val="en-US" w:eastAsia="zh-CN"/>
        </w:rPr>
        <w:t>3</w:t>
      </w:r>
      <w:r>
        <w:rPr>
          <w:rFonts w:ascii="Times New Roman" w:hAnsi="Times New Roman" w:cs="Times New Roman"/>
          <w:kern w:val="2"/>
          <w:sz w:val="21"/>
          <w:szCs w:val="21"/>
          <w:lang w:eastAsia="zh-CN"/>
        </w:rPr>
        <w:t>]WRI和 WBCSD《温室气体议定书</w:t>
      </w:r>
      <w:r>
        <w:rPr>
          <w:rFonts w:hint="eastAsia" w:ascii="Times New Roman" w:hAnsi="Times New Roman" w:cs="Times New Roman"/>
          <w:kern w:val="2"/>
          <w:sz w:val="21"/>
          <w:szCs w:val="21"/>
          <w:lang w:eastAsia="zh-CN"/>
        </w:rPr>
        <w:t>：</w:t>
      </w:r>
      <w:r>
        <w:rPr>
          <w:rFonts w:ascii="Times New Roman" w:hAnsi="Times New Roman" w:cs="Times New Roman"/>
          <w:kern w:val="2"/>
          <w:sz w:val="21"/>
          <w:szCs w:val="21"/>
          <w:lang w:eastAsia="zh-CN"/>
        </w:rPr>
        <w:t>产品寿命周期核算与报告标准》</w:t>
      </w:r>
      <w:r>
        <w:rPr>
          <w:rFonts w:hint="eastAsia" w:ascii="Times New Roman" w:hAnsi="Times New Roman" w:cs="Times New Roman"/>
          <w:kern w:val="2"/>
          <w:sz w:val="21"/>
          <w:szCs w:val="21"/>
          <w:lang w:eastAsia="zh-CN"/>
        </w:rPr>
        <w:t>，</w:t>
      </w:r>
      <w:r>
        <w:rPr>
          <w:rFonts w:ascii="Times New Roman" w:hAnsi="Times New Roman" w:cs="Times New Roman"/>
          <w:kern w:val="2"/>
          <w:sz w:val="21"/>
          <w:szCs w:val="21"/>
          <w:lang w:eastAsia="zh-CN"/>
        </w:rPr>
        <w:t>世界资源研究所和世界可持续发展工商理事会，2011</w:t>
      </w:r>
    </w:p>
    <w:p w14:paraId="316AEF7C">
      <w:pPr>
        <w:widowControl/>
        <w:spacing w:after="0" w:line="360" w:lineRule="auto"/>
        <w:rPr>
          <w:rFonts w:ascii="Times New Roman" w:hAnsi="Times New Roman" w:cs="Times New Roman"/>
          <w:kern w:val="2"/>
          <w:sz w:val="21"/>
          <w:szCs w:val="21"/>
          <w:lang w:eastAsia="zh-CN"/>
        </w:rPr>
      </w:pPr>
      <w:r>
        <w:rPr>
          <w:rFonts w:ascii="Times New Roman" w:hAnsi="Times New Roman" w:cs="Times New Roman"/>
          <w:kern w:val="2"/>
          <w:sz w:val="21"/>
          <w:szCs w:val="21"/>
          <w:lang w:eastAsia="zh-CN"/>
        </w:rPr>
        <w:t>[</w:t>
      </w:r>
      <w:r>
        <w:rPr>
          <w:rFonts w:hint="eastAsia" w:ascii="Times New Roman" w:hAnsi="Times New Roman" w:cs="Times New Roman"/>
          <w:kern w:val="2"/>
          <w:sz w:val="21"/>
          <w:szCs w:val="21"/>
          <w:lang w:val="en-US" w:eastAsia="zh-CN"/>
        </w:rPr>
        <w:t>4</w:t>
      </w:r>
      <w:r>
        <w:rPr>
          <w:rFonts w:ascii="Times New Roman" w:hAnsi="Times New Roman" w:cs="Times New Roman"/>
          <w:kern w:val="2"/>
          <w:sz w:val="21"/>
          <w:szCs w:val="21"/>
          <w:lang w:eastAsia="zh-CN"/>
        </w:rPr>
        <w:t>]IPCC.2006 IPCC Guidelines for National Greenhouse Gas Inventories.</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Prepared by the National</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 xml:space="preserve">Greenhouse Gas Inventories </w:t>
      </w:r>
      <w:r>
        <w:rPr>
          <w:rFonts w:hint="eastAsia" w:ascii="Times New Roman" w:hAnsi="Times New Roman" w:cs="Times New Roman"/>
          <w:kern w:val="2"/>
          <w:sz w:val="21"/>
          <w:szCs w:val="21"/>
          <w:lang w:eastAsia="zh-CN"/>
        </w:rPr>
        <w:t>Programme</w:t>
      </w:r>
      <w:r>
        <w:rPr>
          <w:rFonts w:ascii="Times New Roman" w:hAnsi="Times New Roman" w:cs="Times New Roman"/>
          <w:kern w:val="2"/>
          <w:sz w:val="21"/>
          <w:szCs w:val="21"/>
          <w:lang w:eastAsia="zh-CN"/>
        </w:rPr>
        <w:t>.</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EGGLESTON H.S,</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BLIENDIAL.MIWA K.NGARA Tand TANABE K.(eds).IGES,Japan,2006</w:t>
      </w:r>
    </w:p>
    <w:p w14:paraId="488775F4">
      <w:pPr>
        <w:widowControl/>
        <w:spacing w:after="0" w:line="360" w:lineRule="auto"/>
        <w:rPr>
          <w:rFonts w:ascii="Times New Roman" w:hAnsi="Times New Roman" w:cs="Times New Roman"/>
          <w:kern w:val="2"/>
          <w:sz w:val="21"/>
          <w:szCs w:val="21"/>
          <w:lang w:eastAsia="zh-CN"/>
        </w:rPr>
      </w:pPr>
      <w:r>
        <w:rPr>
          <w:sz w:val="21"/>
        </w:rPr>
        <mc:AlternateContent>
          <mc:Choice Requires="wps">
            <w:drawing>
              <wp:anchor distT="0" distB="0" distL="114300" distR="114300" simplePos="0" relativeHeight="251670528" behindDoc="0" locked="0" layoutInCell="1" allowOverlap="1">
                <wp:simplePos x="0" y="0"/>
                <wp:positionH relativeFrom="column">
                  <wp:posOffset>1569085</wp:posOffset>
                </wp:positionH>
                <wp:positionV relativeFrom="paragraph">
                  <wp:posOffset>2130425</wp:posOffset>
                </wp:positionV>
                <wp:extent cx="2345055" cy="0"/>
                <wp:effectExtent l="0" t="6350" r="0" b="6350"/>
                <wp:wrapNone/>
                <wp:docPr id="8" name="直接连接符 8"/>
                <wp:cNvGraphicFramePr/>
                <a:graphic xmlns:a="http://schemas.openxmlformats.org/drawingml/2006/main">
                  <a:graphicData uri="http://schemas.microsoft.com/office/word/2010/wordprocessingShape">
                    <wps:wsp>
                      <wps:cNvCnPr/>
                      <wps:spPr>
                        <a:xfrm>
                          <a:off x="1630680" y="7268210"/>
                          <a:ext cx="234505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23.55pt;margin-top:167.75pt;height:0pt;width:184.65pt;z-index:251670528;mso-width-relative:page;mso-height-relative:page;" filled="f" stroked="t" coordsize="21600,21600" o:gfxdata="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2avIMdoAAAALAQAADwAAAAAAAAABACAAAAAiAAAAZHJzL2Rvd25yZXYueG1sUEsBAhQA&#10;FAAAAAgAh07iQLmmSInwAQAAvgMAAA4AAAAAAAAAAQAgAAAAKQEAAGRycy9lMm9Eb2MueG1sUEsF&#10;BgAAAAAGAAYAWQEAAIsFAAAAAA==&#10;">
                <v:fill on="f" focussize="0,0"/>
                <v:stroke weight="1pt" color="#000000 [3213]" miterlimit="8" joinstyle="miter"/>
                <v:imagedata o:title=""/>
                <o:lock v:ext="edit" aspectratio="f"/>
              </v:line>
            </w:pict>
          </mc:Fallback>
        </mc:AlternateContent>
      </w:r>
      <w:r>
        <w:rPr>
          <w:rFonts w:ascii="Times New Roman" w:hAnsi="Times New Roman" w:cs="Times New Roman"/>
          <w:kern w:val="2"/>
          <w:sz w:val="21"/>
          <w:szCs w:val="21"/>
          <w:lang w:eastAsia="zh-CN"/>
        </w:rPr>
        <w:t>[</w:t>
      </w:r>
      <w:r>
        <w:rPr>
          <w:rFonts w:hint="eastAsia" w:ascii="Times New Roman" w:hAnsi="Times New Roman" w:cs="Times New Roman"/>
          <w:kern w:val="2"/>
          <w:sz w:val="21"/>
          <w:szCs w:val="21"/>
          <w:lang w:val="en-US" w:eastAsia="zh-CN"/>
        </w:rPr>
        <w:t>5</w:t>
      </w:r>
      <w:r>
        <w:rPr>
          <w:rFonts w:ascii="Times New Roman" w:hAnsi="Times New Roman" w:cs="Times New Roman"/>
          <w:kern w:val="2"/>
          <w:sz w:val="21"/>
          <w:szCs w:val="21"/>
          <w:lang w:eastAsia="zh-CN"/>
        </w:rPr>
        <w:t>]IPCC.</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Climate Change 2021:The Physical Science Basis.</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Working Group I contribution to the</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Sixth Assessment Report of the Intergovernmental Panel on Climate Change.</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Richard P.Allan.</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Paola A</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Arias.,</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Sophie Berger.</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Josep G.Canadell.,</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Christophe Cassou.,</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Deliang</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Chen.,</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Annalisa</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Cherchi.,</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Sarah L.Connors.,</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Erika Coppola.,</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Faye Abigail Cruz.,</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et al</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Cambridge</w:t>
      </w:r>
      <w:r>
        <w:rPr>
          <w:rFonts w:hint="eastAsia" w:ascii="Times New Roman" w:hAnsi="Times New Roman" w:cs="Times New Roman"/>
          <w:kern w:val="2"/>
          <w:sz w:val="21"/>
          <w:szCs w:val="21"/>
          <w:lang w:eastAsia="zh-CN"/>
        </w:rPr>
        <w:t xml:space="preserve"> </w:t>
      </w:r>
      <w:r>
        <w:rPr>
          <w:rFonts w:ascii="Times New Roman" w:hAnsi="Times New Roman" w:cs="Times New Roman"/>
          <w:kern w:val="2"/>
          <w:sz w:val="21"/>
          <w:szCs w:val="21"/>
          <w:lang w:eastAsia="zh-CN"/>
        </w:rPr>
        <w:t>University Press</w:t>
      </w:r>
      <w:r>
        <w:rPr>
          <w:rFonts w:hint="eastAsia" w:ascii="Times New Roman" w:hAnsi="Times New Roman" w:cs="Times New Roman"/>
          <w:kern w:val="2"/>
          <w:sz w:val="21"/>
          <w:szCs w:val="21"/>
          <w:lang w:eastAsia="zh-CN"/>
        </w:rPr>
        <w:t xml:space="preserve"> n</w:t>
      </w:r>
      <w:r>
        <w:rPr>
          <w:rFonts w:ascii="Times New Roman" w:hAnsi="Times New Roman" w:cs="Times New Roman"/>
          <w:kern w:val="2"/>
          <w:sz w:val="21"/>
          <w:szCs w:val="21"/>
          <w:lang w:eastAsia="zh-CN"/>
        </w:rPr>
        <w:t>2021,pp7SM24-35</w:t>
      </w:r>
    </w:p>
    <w:sectPr>
      <w:pgSz w:w="11920" w:h="16840"/>
      <w:pgMar w:top="1080" w:right="1640" w:bottom="1180" w:left="1680" w:header="880" w:footer="982"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仿宋_GB2312">
    <w:panose1 w:val="02010609030101010101"/>
    <w:charset w:val="86"/>
    <w:family w:val="modern"/>
    <w:pitch w:val="default"/>
    <w:sig w:usb0="00000001" w:usb1="080E0000" w:usb2="00000000" w:usb3="00000000" w:csb0="00040000" w:csb1="00000000"/>
  </w:font>
  <w:font w:name="E-BZ">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FZSSK--GBK1-0">
    <w:altName w:val="苹方-简"/>
    <w:panose1 w:val="00000000000000000000"/>
    <w:charset w:val="86"/>
    <w:family w:val="auto"/>
    <w:pitch w:val="default"/>
    <w:sig w:usb0="00000000" w:usb1="00000000" w:usb2="00000000" w:usb3="00000000" w:csb0="00160000" w:csb1="00000000"/>
  </w:font>
  <w:font w:name="华光小标宋_CNKI">
    <w:altName w:val="汉仪书宋二KW"/>
    <w:panose1 w:val="00000000000000000000"/>
    <w:charset w:val="86"/>
    <w:family w:val="auto"/>
    <w:pitch w:val="default"/>
    <w:sig w:usb0="00000000" w:usb1="00000000" w:usb2="00000016" w:usb3="00000000" w:csb0="0004000F" w:csb1="00000000"/>
  </w:font>
  <w:font w:name="Adobe 仿宋 Std R">
    <w:altName w:val="仿宋-简"/>
    <w:panose1 w:val="00000000000000000000"/>
    <w:charset w:val="86"/>
    <w:family w:val="roman"/>
    <w:pitch w:val="default"/>
    <w:sig w:usb0="00000000" w:usb1="00000000" w:usb2="00000016" w:usb3="00000000" w:csb0="00060007" w:csb1="00000000"/>
  </w:font>
  <w:font w:name="仿宋-简">
    <w:panose1 w:val="02010609060101010101"/>
    <w:charset w:val="86"/>
    <w:family w:val="auto"/>
    <w:pitch w:val="default"/>
    <w:sig w:usb0="A00002BF" w:usb1="3ACF7CFA" w:usb2="00000016" w:usb3="00000000" w:csb0="00040001" w:csb1="00000000"/>
  </w:font>
  <w:font w:name="DejaVu Math TeX Gyre">
    <w:panose1 w:val="02000503000000000000"/>
    <w:charset w:val="00"/>
    <w:family w:val="auto"/>
    <w:pitch w:val="default"/>
    <w:sig w:usb0="A10000EF" w:usb1="4201F9EE" w:usb2="02000000" w:usb3="00000000" w:csb0="60000193" w:csb1="0DD40000"/>
  </w:font>
  <w:font w:name="Times New Roman Italic">
    <w:panose1 w:val="02020503050405090304"/>
    <w:charset w:val="00"/>
    <w:family w:val="auto"/>
    <w:pitch w:val="default"/>
    <w:sig w:usb0="E0000AFF" w:usb1="00007843" w:usb2="00000001" w:usb3="00000000" w:csb0="400001BF" w:csb1="DFF70000"/>
  </w:font>
  <w:font w:name="Calibri Light">
    <w:altName w:val="Helvetica Neue"/>
    <w:panose1 w:val="020F0302020204030204"/>
    <w:charset w:val="00"/>
    <w:family w:val="swiss"/>
    <w:pitch w:val="default"/>
    <w:sig w:usb0="00000000" w:usb1="00000000" w:usb2="00000009" w:usb3="00000000" w:csb0="000001FF" w:csb1="00000000"/>
  </w:font>
  <w:font w:name="Wingdings 2">
    <w:panose1 w:val="05020102010507070707"/>
    <w:charset w:val="02"/>
    <w:family w:val="roman"/>
    <w:pitch w:val="default"/>
    <w:sig w:usb0="00000000" w:usb1="00000000" w:usb2="00000000" w:usb3="00000000" w:csb0="80000000" w:csb1="00000000"/>
  </w:font>
  <w:font w:name="儷宋 Pro">
    <w:panose1 w:val="02020300000000000000"/>
    <w:charset w:val="88"/>
    <w:family w:val="auto"/>
    <w:pitch w:val="default"/>
    <w:sig w:usb0="80000001" w:usb1="28091800" w:usb2="00000016" w:usb3="00000000" w:csb0="0010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1F4F1">
    <w:pPr>
      <w:pStyle w:val="30"/>
      <w:rPr>
        <w:rStyle w:val="16"/>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E0B5F">
                          <w:pPr>
                            <w:pStyle w:val="30"/>
                          </w:pPr>
                          <w:r>
                            <w:fldChar w:fldCharType="begin"/>
                          </w:r>
                          <w:r>
                            <w:rPr>
                              <w:rStyle w:val="16"/>
                            </w:rPr>
                            <w:instrText xml:space="preserve">PAGE  </w:instrText>
                          </w:r>
                          <w:r>
                            <w:fldChar w:fldCharType="separate"/>
                          </w:r>
                          <w:r>
                            <w:rPr>
                              <w:rStyle w:val="16"/>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5E0B5F">
                    <w:pPr>
                      <w:pStyle w:val="30"/>
                    </w:pPr>
                    <w:r>
                      <w:fldChar w:fldCharType="begin"/>
                    </w:r>
                    <w:r>
                      <w:rPr>
                        <w:rStyle w:val="16"/>
                      </w:rPr>
                      <w:instrText xml:space="preserve">PAGE  </w:instrText>
                    </w:r>
                    <w:r>
                      <w:fldChar w:fldCharType="separate"/>
                    </w:r>
                    <w:r>
                      <w:rPr>
                        <w:rStyle w:val="16"/>
                      </w:rP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E9390">
    <w:pPr>
      <w:pStyle w:val="31"/>
      <w:rPr>
        <w:rStyle w:val="16"/>
      </w:rPr>
    </w:pPr>
    <w:r>
      <w:fldChar w:fldCharType="begin"/>
    </w:r>
    <w:r>
      <w:rPr>
        <w:rStyle w:val="16"/>
      </w:rPr>
      <w:instrText xml:space="preserve">PAGE  </w:instrTex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DA5AC">
    <w:pPr>
      <w:spacing w:after="0" w:line="200" w:lineRule="exact"/>
      <w:jc w:val="center"/>
      <w:rPr>
        <w:rFonts w:hint="default" w:eastAsiaTheme="minorEastAsia"/>
        <w:sz w:val="20"/>
        <w:szCs w:val="20"/>
        <w:lang w:val="en-US" w:eastAsia="zh-CN"/>
      </w:rPr>
    </w:pPr>
    <w:r>
      <w:rPr>
        <w:rFonts w:hint="eastAsia"/>
        <w:sz w:val="20"/>
        <w:szCs w:val="20"/>
        <w:lang w:val="en-US" w:eastAsia="zh-CN"/>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9662A">
    <w:pPr>
      <w:tabs>
        <w:tab w:val="center" w:pos="4320"/>
      </w:tabs>
      <w:spacing w:after="0" w:line="200" w:lineRule="exact"/>
      <w:rPr>
        <w:sz w:val="20"/>
        <w:szCs w:val="20"/>
      </w:rPr>
    </w:pPr>
    <w:r>
      <w:rPr>
        <w:sz w:val="20"/>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6E3AB6">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A6E3AB6">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F5C9B">
    <w:pPr>
      <w:pStyle w:val="30"/>
      <w:jc w:val="left"/>
      <w:rPr>
        <w:rStyle w:val="16"/>
        <w:rFonts w:asciiTheme="majorHAnsi" w:hAnsiTheme="majorHAnsi"/>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75260" cy="232410"/>
              <wp:effectExtent l="0" t="0" r="0" b="0"/>
              <wp:wrapNone/>
              <wp:docPr id="12" name="文本框 15"/>
              <wp:cNvGraphicFramePr/>
              <a:graphic xmlns:a="http://schemas.openxmlformats.org/drawingml/2006/main">
                <a:graphicData uri="http://schemas.microsoft.com/office/word/2010/wordprocessingShape">
                  <wps:wsp>
                    <wps:cNvSpPr txBox="1"/>
                    <wps:spPr>
                      <a:xfrm>
                        <a:off x="0" y="0"/>
                        <a:ext cx="175093" cy="232677"/>
                      </a:xfrm>
                      <a:prstGeom prst="rect">
                        <a:avLst/>
                      </a:prstGeom>
                      <a:noFill/>
                      <a:ln w="9525">
                        <a:noFill/>
                      </a:ln>
                    </wps:spPr>
                    <wps:txbx>
                      <w:txbxContent>
                        <w:p w14:paraId="766FC8C0">
                          <w:pPr>
                            <w:pStyle w:val="8"/>
                            <w:jc w:val="center"/>
                          </w:pPr>
                          <w:r>
                            <w:fldChar w:fldCharType="begin"/>
                          </w:r>
                          <w:r>
                            <w:instrText xml:space="preserve"> PAGE  \* MERGEFORMAT </w:instrText>
                          </w:r>
                          <w:r>
                            <w:fldChar w:fldCharType="separate"/>
                          </w:r>
                          <w:r>
                            <w:t>3</w:t>
                          </w:r>
                          <w:r>
                            <w:fldChar w:fldCharType="end"/>
                          </w:r>
                        </w:p>
                      </w:txbxContent>
                    </wps:txbx>
                    <wps:bodyPr vert="horz" wrap="square" lIns="0" tIns="0" rIns="0" bIns="0" anchor="t" anchorCtr="0">
                      <a:noAutofit/>
                    </wps:bodyPr>
                  </wps:wsp>
                </a:graphicData>
              </a:graphic>
            </wp:anchor>
          </w:drawing>
        </mc:Choice>
        <mc:Fallback>
          <w:pict>
            <v:shape id="文本框 15" o:spid="_x0000_s1026" o:spt="202" type="#_x0000_t202" style="position:absolute;left:0pt;margin-top:0pt;height:18.3pt;width:13.8pt;mso-position-horizontal:center;mso-position-horizontal-relative:margin;z-index:251661312;mso-width-relative:page;mso-height-relative:page;" filled="f" stroked="f" coordsize="21600,21600" o:gfxdata="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J6wq0wAAAAMB&#10;AAAPAAAAAAAAAAEAIAAAACIAAABkcnMvZG93bnJldi54bWxQSwECFAAUAAAACACHTuJAcPb6GucB&#10;AAC9AwAADgAAAAAAAAABACAAAAAiAQAAZHJzL2Uyb0RvYy54bWxQSwUGAAAAAAYABgBZAQAAewUA&#10;AAAA&#10;">
              <v:fill on="f" focussize="0,0"/>
              <v:stroke on="f"/>
              <v:imagedata o:title=""/>
              <o:lock v:ext="edit" aspectratio="f"/>
              <v:textbox inset="0mm,0mm,0mm,0mm">
                <w:txbxContent>
                  <w:p w14:paraId="766FC8C0">
                    <w:pPr>
                      <w:pStyle w:val="8"/>
                      <w:jc w:val="center"/>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68C42">
    <w:pPr>
      <w:pStyle w:val="27"/>
      <w:jc w:val="center"/>
      <w:rPr>
        <w:rFonts w:ascii="宋体" w:hAnsi="宋体"/>
      </w:rPr>
    </w:pPr>
    <w:r>
      <w:rPr>
        <w:rFonts w:hint="eastAsia"/>
      </w:rPr>
      <w:t xml:space="preserve">                                                            </w:t>
    </w:r>
    <w:r>
      <w:rPr>
        <w:rFonts w:ascii="宋体" w:hAnsi="宋体"/>
      </w:rPr>
      <w:t xml:space="preserve">GB/T </w:t>
    </w:r>
    <w:r>
      <w:rPr>
        <w:rFonts w:hint="eastAsia" w:ascii="宋体" w:hAnsi="宋体"/>
      </w:rPr>
      <w:t>15677</w:t>
    </w:r>
    <w:r>
      <w:rPr>
        <w:rFonts w:ascii="宋体" w:hAnsi="宋体"/>
      </w:rPr>
      <w:t>—20</w:t>
    </w:r>
    <w:r>
      <w:rPr>
        <w:rFonts w:hint="eastAsia" w:ascii="宋体" w:hAnsi="宋体"/>
      </w:rPr>
      <w:t>2</w:t>
    </w:r>
    <w:r>
      <w:rPr>
        <w:rFonts w:ascii="宋体" w:hAnsi="宋体"/>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37422">
    <w:pPr>
      <w:pStyle w:val="28"/>
    </w:pPr>
    <w:r>
      <w:t>GB/T ××××—200×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8592D">
    <w:pPr>
      <w:pStyle w:val="29"/>
    </w:pPr>
    <w:r>
      <w:t xml:space="preserve">  </w:t>
    </w:r>
    <w:r>
      <w:rPr>
        <w:rFonts w:hint="eastAsia"/>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B2CB9">
    <w:pPr>
      <w:spacing w:after="0" w:line="200" w:lineRule="exact"/>
      <w:rPr>
        <w:sz w:val="20"/>
        <w:szCs w:val="20"/>
      </w:rPr>
    </w:pPr>
    <w:r>
      <w:rPr>
        <w:lang w:eastAsia="zh-CN"/>
      </w:rPr>
      <mc:AlternateContent>
        <mc:Choice Requires="wps">
          <w:drawing>
            <wp:anchor distT="0" distB="0" distL="114300" distR="114300" simplePos="0" relativeHeight="251659264" behindDoc="1" locked="0" layoutInCell="1" allowOverlap="1">
              <wp:simplePos x="0" y="0"/>
              <wp:positionH relativeFrom="page">
                <wp:posOffset>5715000</wp:posOffset>
              </wp:positionH>
              <wp:positionV relativeFrom="page">
                <wp:posOffset>536575</wp:posOffset>
              </wp:positionV>
              <wp:extent cx="1217930" cy="158750"/>
              <wp:effectExtent l="0" t="0" r="0" b="0"/>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1217930" cy="158750"/>
                      </a:xfrm>
                      <a:prstGeom prst="rect">
                        <a:avLst/>
                      </a:prstGeom>
                      <a:noFill/>
                      <a:ln>
                        <a:noFill/>
                      </a:ln>
                    </wps:spPr>
                    <wps:txbx>
                      <w:txbxContent>
                        <w:p w14:paraId="7316898D">
                          <w:pPr>
                            <w:spacing w:after="0" w:line="250" w:lineRule="exact"/>
                            <w:ind w:right="-51"/>
                            <w:rPr>
                              <w:rFonts w:ascii="Times New Roman" w:hAnsi="Times New Roman" w:eastAsia="Adobe 仿宋 Std R" w:cs="Times New Roman"/>
                              <w:sz w:val="21"/>
                              <w:szCs w:val="21"/>
                              <w:lang w:eastAsia="zh-CN"/>
                            </w:rPr>
                          </w:pPr>
                          <w:r>
                            <w:rPr>
                              <w:rFonts w:ascii="Times New Roman" w:hAnsi="Times New Roman" w:eastAsia="Adobe 仿宋 Std R" w:cs="Times New Roman"/>
                              <w:spacing w:val="-1"/>
                              <w:w w:val="86"/>
                              <w:sz w:val="21"/>
                              <w:szCs w:val="21"/>
                              <w:lang w:eastAsia="zh-CN"/>
                            </w:rPr>
                            <w:t>XB/T xxxx-202x</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450pt;margin-top:42.25pt;height:12.5pt;width:95.9pt;mso-position-horizontal-relative:page;mso-position-vertical-relative:page;z-index:-251657216;mso-width-relative:page;mso-height-relative:page;" filled="f" stroked="f" coordsize="21600,21600" o:gfxdata="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6PmkHNkAAAALAQAADwAAAAAAAAABACAAAAAiAAAAZHJzL2Rvd25y&#10;ZXYueG1sUEsBAhQAFAAAAAgAh07iQAqOfB39AQAABAQAAA4AAAAAAAAAAQAgAAAAKAEAAGRycy9l&#10;Mm9Eb2MueG1sUEsFBgAAAAAGAAYAWQEAAJcFAAAAAA==&#10;">
              <v:fill on="f" focussize="0,0"/>
              <v:stroke on="f"/>
              <v:imagedata o:title=""/>
              <o:lock v:ext="edit" aspectratio="f"/>
              <v:textbox inset="0mm,0mm,0mm,0mm">
                <w:txbxContent>
                  <w:p w14:paraId="7316898D">
                    <w:pPr>
                      <w:spacing w:after="0" w:line="250" w:lineRule="exact"/>
                      <w:ind w:right="-51"/>
                      <w:rPr>
                        <w:rFonts w:ascii="Times New Roman" w:hAnsi="Times New Roman" w:eastAsia="Adobe 仿宋 Std R" w:cs="Times New Roman"/>
                        <w:sz w:val="21"/>
                        <w:szCs w:val="21"/>
                        <w:lang w:eastAsia="zh-CN"/>
                      </w:rPr>
                    </w:pPr>
                    <w:r>
                      <w:rPr>
                        <w:rFonts w:ascii="Times New Roman" w:hAnsi="Times New Roman" w:eastAsia="Adobe 仿宋 Std R" w:cs="Times New Roman"/>
                        <w:spacing w:val="-1"/>
                        <w:w w:val="86"/>
                        <w:sz w:val="21"/>
                        <w:szCs w:val="21"/>
                        <w:lang w:eastAsia="zh-CN"/>
                      </w:rPr>
                      <w:t>XB/T xxxx-202x</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773F3A"/>
    <w:multiLevelType w:val="multilevel"/>
    <w:tmpl w:val="4A773F3A"/>
    <w:lvl w:ilvl="0" w:tentative="0">
      <w:start w:val="7"/>
      <w:numFmt w:val="decimal"/>
      <w:lvlText w:val="%1"/>
      <w:lvlJc w:val="left"/>
      <w:pPr>
        <w:tabs>
          <w:tab w:val="left" w:pos="420"/>
        </w:tabs>
        <w:ind w:left="420" w:hanging="420"/>
      </w:pPr>
      <w:rPr>
        <w:rFonts w:hint="default" w:hAnsi="Times New Roman"/>
      </w:rPr>
    </w:lvl>
    <w:lvl w:ilvl="1" w:tentative="0">
      <w:start w:val="1"/>
      <w:numFmt w:val="lowerLetter"/>
      <w:pStyle w:val="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gMiSzMTQ2MDc0MzCyUdpeDU4uLM/DyQAsNaAEGABngsAAAA"/>
    <w:docVar w:name="commondata" w:val="eyJoZGlkIjoiODc2YmM0NjZkZGE0ZDcwNDFiZTI1ZGJlNDA2MWEwYzAifQ=="/>
  </w:docVars>
  <w:rsids>
    <w:rsidRoot w:val="181F4046"/>
    <w:rsid w:val="00003B0C"/>
    <w:rsid w:val="000145F7"/>
    <w:rsid w:val="00014858"/>
    <w:rsid w:val="00025AB5"/>
    <w:rsid w:val="0002626C"/>
    <w:rsid w:val="000351EB"/>
    <w:rsid w:val="00040D5F"/>
    <w:rsid w:val="00041B78"/>
    <w:rsid w:val="0004515E"/>
    <w:rsid w:val="00046629"/>
    <w:rsid w:val="00053ED6"/>
    <w:rsid w:val="000566B8"/>
    <w:rsid w:val="00056D64"/>
    <w:rsid w:val="00060309"/>
    <w:rsid w:val="00060942"/>
    <w:rsid w:val="00063A22"/>
    <w:rsid w:val="0006681D"/>
    <w:rsid w:val="0006683F"/>
    <w:rsid w:val="0007347F"/>
    <w:rsid w:val="000827E9"/>
    <w:rsid w:val="00085335"/>
    <w:rsid w:val="00087071"/>
    <w:rsid w:val="00097A2E"/>
    <w:rsid w:val="000A0A29"/>
    <w:rsid w:val="000A0A4B"/>
    <w:rsid w:val="000A3B40"/>
    <w:rsid w:val="000A403C"/>
    <w:rsid w:val="000A55D2"/>
    <w:rsid w:val="000A56AE"/>
    <w:rsid w:val="000A7E77"/>
    <w:rsid w:val="000B194A"/>
    <w:rsid w:val="000B2452"/>
    <w:rsid w:val="000B4BCB"/>
    <w:rsid w:val="000B54A7"/>
    <w:rsid w:val="000B78B5"/>
    <w:rsid w:val="000C6218"/>
    <w:rsid w:val="000C7D30"/>
    <w:rsid w:val="000D23E0"/>
    <w:rsid w:val="000D3735"/>
    <w:rsid w:val="000D3DBA"/>
    <w:rsid w:val="000D6219"/>
    <w:rsid w:val="000D729D"/>
    <w:rsid w:val="000E59BD"/>
    <w:rsid w:val="000F15BF"/>
    <w:rsid w:val="000F5E2F"/>
    <w:rsid w:val="000F7F92"/>
    <w:rsid w:val="00100C33"/>
    <w:rsid w:val="001040C9"/>
    <w:rsid w:val="00106EB1"/>
    <w:rsid w:val="00107DB8"/>
    <w:rsid w:val="00112588"/>
    <w:rsid w:val="00116641"/>
    <w:rsid w:val="0012104E"/>
    <w:rsid w:val="00132966"/>
    <w:rsid w:val="00135AC8"/>
    <w:rsid w:val="00142F2E"/>
    <w:rsid w:val="00144ACD"/>
    <w:rsid w:val="00146291"/>
    <w:rsid w:val="00150DB2"/>
    <w:rsid w:val="0015377E"/>
    <w:rsid w:val="00155E5A"/>
    <w:rsid w:val="001575B9"/>
    <w:rsid w:val="001631E5"/>
    <w:rsid w:val="001755A9"/>
    <w:rsid w:val="0017625C"/>
    <w:rsid w:val="001778A5"/>
    <w:rsid w:val="001809AC"/>
    <w:rsid w:val="0018630E"/>
    <w:rsid w:val="001871CA"/>
    <w:rsid w:val="00190C41"/>
    <w:rsid w:val="00195410"/>
    <w:rsid w:val="00195D9A"/>
    <w:rsid w:val="001A0D52"/>
    <w:rsid w:val="001A4E92"/>
    <w:rsid w:val="001B25B0"/>
    <w:rsid w:val="001B3BFA"/>
    <w:rsid w:val="001C3B5B"/>
    <w:rsid w:val="001C4012"/>
    <w:rsid w:val="001D0A68"/>
    <w:rsid w:val="001D523E"/>
    <w:rsid w:val="001E2B15"/>
    <w:rsid w:val="001E4E2E"/>
    <w:rsid w:val="001F0BDD"/>
    <w:rsid w:val="001F5542"/>
    <w:rsid w:val="001F7BEC"/>
    <w:rsid w:val="00200702"/>
    <w:rsid w:val="002029B8"/>
    <w:rsid w:val="00213529"/>
    <w:rsid w:val="002244E5"/>
    <w:rsid w:val="002264C1"/>
    <w:rsid w:val="00237861"/>
    <w:rsid w:val="00245C66"/>
    <w:rsid w:val="002616E3"/>
    <w:rsid w:val="002620DF"/>
    <w:rsid w:val="002710E8"/>
    <w:rsid w:val="00272383"/>
    <w:rsid w:val="00274F83"/>
    <w:rsid w:val="00277B2C"/>
    <w:rsid w:val="002854D9"/>
    <w:rsid w:val="0028625A"/>
    <w:rsid w:val="00287B69"/>
    <w:rsid w:val="00291C91"/>
    <w:rsid w:val="002A2D33"/>
    <w:rsid w:val="002A7FB9"/>
    <w:rsid w:val="002B36BC"/>
    <w:rsid w:val="002C3448"/>
    <w:rsid w:val="002C7B7E"/>
    <w:rsid w:val="002D39BD"/>
    <w:rsid w:val="002D5561"/>
    <w:rsid w:val="002D66ED"/>
    <w:rsid w:val="002D7AAE"/>
    <w:rsid w:val="002E0430"/>
    <w:rsid w:val="002E7C76"/>
    <w:rsid w:val="002F0D9E"/>
    <w:rsid w:val="0030045D"/>
    <w:rsid w:val="00310B18"/>
    <w:rsid w:val="003118BF"/>
    <w:rsid w:val="00313AC3"/>
    <w:rsid w:val="00317497"/>
    <w:rsid w:val="00335FBA"/>
    <w:rsid w:val="00336F6C"/>
    <w:rsid w:val="003370B5"/>
    <w:rsid w:val="0034761D"/>
    <w:rsid w:val="003534B9"/>
    <w:rsid w:val="003606E4"/>
    <w:rsid w:val="00363116"/>
    <w:rsid w:val="003671AC"/>
    <w:rsid w:val="00370918"/>
    <w:rsid w:val="00371410"/>
    <w:rsid w:val="00373552"/>
    <w:rsid w:val="0037552C"/>
    <w:rsid w:val="00384245"/>
    <w:rsid w:val="00385E02"/>
    <w:rsid w:val="00390DA3"/>
    <w:rsid w:val="00392735"/>
    <w:rsid w:val="00396580"/>
    <w:rsid w:val="003966DE"/>
    <w:rsid w:val="003A0EED"/>
    <w:rsid w:val="003A1A7F"/>
    <w:rsid w:val="003A7C1F"/>
    <w:rsid w:val="003B361B"/>
    <w:rsid w:val="003C3B48"/>
    <w:rsid w:val="003C4364"/>
    <w:rsid w:val="003E2640"/>
    <w:rsid w:val="003E27BB"/>
    <w:rsid w:val="003E4D5E"/>
    <w:rsid w:val="004011AD"/>
    <w:rsid w:val="004013D5"/>
    <w:rsid w:val="00406FA3"/>
    <w:rsid w:val="00413F5B"/>
    <w:rsid w:val="00421F06"/>
    <w:rsid w:val="0042326C"/>
    <w:rsid w:val="00423EC2"/>
    <w:rsid w:val="0043193F"/>
    <w:rsid w:val="00431C79"/>
    <w:rsid w:val="00437E55"/>
    <w:rsid w:val="0044662C"/>
    <w:rsid w:val="00451A2D"/>
    <w:rsid w:val="00452354"/>
    <w:rsid w:val="0045359A"/>
    <w:rsid w:val="004543A7"/>
    <w:rsid w:val="0046133D"/>
    <w:rsid w:val="00465598"/>
    <w:rsid w:val="0047237E"/>
    <w:rsid w:val="00472AAF"/>
    <w:rsid w:val="00483FB2"/>
    <w:rsid w:val="004841BC"/>
    <w:rsid w:val="0048454F"/>
    <w:rsid w:val="00491B1D"/>
    <w:rsid w:val="00493314"/>
    <w:rsid w:val="004958B8"/>
    <w:rsid w:val="004A41EB"/>
    <w:rsid w:val="004A4515"/>
    <w:rsid w:val="004B1929"/>
    <w:rsid w:val="004B1C29"/>
    <w:rsid w:val="004B71A6"/>
    <w:rsid w:val="004C4E07"/>
    <w:rsid w:val="004C5F79"/>
    <w:rsid w:val="004D739A"/>
    <w:rsid w:val="004D7C06"/>
    <w:rsid w:val="004E233F"/>
    <w:rsid w:val="004F13CF"/>
    <w:rsid w:val="00500593"/>
    <w:rsid w:val="00501308"/>
    <w:rsid w:val="005020BA"/>
    <w:rsid w:val="00511B58"/>
    <w:rsid w:val="00514C3B"/>
    <w:rsid w:val="0052077A"/>
    <w:rsid w:val="00541190"/>
    <w:rsid w:val="00543811"/>
    <w:rsid w:val="00550A60"/>
    <w:rsid w:val="005529F9"/>
    <w:rsid w:val="005617F9"/>
    <w:rsid w:val="00567E46"/>
    <w:rsid w:val="005701F2"/>
    <w:rsid w:val="0057480D"/>
    <w:rsid w:val="005816C8"/>
    <w:rsid w:val="00584991"/>
    <w:rsid w:val="005874E4"/>
    <w:rsid w:val="00596EFD"/>
    <w:rsid w:val="005A1067"/>
    <w:rsid w:val="005A2B8D"/>
    <w:rsid w:val="005A7A3B"/>
    <w:rsid w:val="005B1E47"/>
    <w:rsid w:val="005C26B9"/>
    <w:rsid w:val="005C2D4B"/>
    <w:rsid w:val="005C75F6"/>
    <w:rsid w:val="005D0B5A"/>
    <w:rsid w:val="005D1F7A"/>
    <w:rsid w:val="005D46AF"/>
    <w:rsid w:val="005E3843"/>
    <w:rsid w:val="005F11F9"/>
    <w:rsid w:val="005F3189"/>
    <w:rsid w:val="005F348F"/>
    <w:rsid w:val="00614499"/>
    <w:rsid w:val="00614683"/>
    <w:rsid w:val="00614EDC"/>
    <w:rsid w:val="00616CA1"/>
    <w:rsid w:val="00642DF8"/>
    <w:rsid w:val="00643379"/>
    <w:rsid w:val="00644DDD"/>
    <w:rsid w:val="00650783"/>
    <w:rsid w:val="0065688E"/>
    <w:rsid w:val="00662719"/>
    <w:rsid w:val="006641A0"/>
    <w:rsid w:val="00664744"/>
    <w:rsid w:val="0066694E"/>
    <w:rsid w:val="00670766"/>
    <w:rsid w:val="0068060A"/>
    <w:rsid w:val="00684FF3"/>
    <w:rsid w:val="0068614C"/>
    <w:rsid w:val="00694F13"/>
    <w:rsid w:val="00695CD2"/>
    <w:rsid w:val="00697C8A"/>
    <w:rsid w:val="006A3B51"/>
    <w:rsid w:val="006A55D2"/>
    <w:rsid w:val="006A695E"/>
    <w:rsid w:val="006B7107"/>
    <w:rsid w:val="006B772E"/>
    <w:rsid w:val="006C4A50"/>
    <w:rsid w:val="006C75A7"/>
    <w:rsid w:val="006E3BAE"/>
    <w:rsid w:val="006E5618"/>
    <w:rsid w:val="006E7B25"/>
    <w:rsid w:val="006F0D00"/>
    <w:rsid w:val="006F16E8"/>
    <w:rsid w:val="006F1A95"/>
    <w:rsid w:val="00705C8E"/>
    <w:rsid w:val="00721CE5"/>
    <w:rsid w:val="00733459"/>
    <w:rsid w:val="00740CE9"/>
    <w:rsid w:val="00743E85"/>
    <w:rsid w:val="00751E1D"/>
    <w:rsid w:val="00754619"/>
    <w:rsid w:val="00764EAC"/>
    <w:rsid w:val="00765C23"/>
    <w:rsid w:val="007768D7"/>
    <w:rsid w:val="007776FF"/>
    <w:rsid w:val="00782E65"/>
    <w:rsid w:val="0078507E"/>
    <w:rsid w:val="007861DF"/>
    <w:rsid w:val="00795354"/>
    <w:rsid w:val="007A2C9B"/>
    <w:rsid w:val="007A5A2E"/>
    <w:rsid w:val="007A69CD"/>
    <w:rsid w:val="007B0424"/>
    <w:rsid w:val="007B33AD"/>
    <w:rsid w:val="007B38B8"/>
    <w:rsid w:val="007B5481"/>
    <w:rsid w:val="007C2C65"/>
    <w:rsid w:val="007D03B8"/>
    <w:rsid w:val="007D69AB"/>
    <w:rsid w:val="007D7434"/>
    <w:rsid w:val="007E3381"/>
    <w:rsid w:val="007F1B29"/>
    <w:rsid w:val="008014B7"/>
    <w:rsid w:val="0080241C"/>
    <w:rsid w:val="00805DF7"/>
    <w:rsid w:val="00810379"/>
    <w:rsid w:val="00813D0F"/>
    <w:rsid w:val="00817EE0"/>
    <w:rsid w:val="0082491D"/>
    <w:rsid w:val="00825641"/>
    <w:rsid w:val="00826E0A"/>
    <w:rsid w:val="0083240F"/>
    <w:rsid w:val="008324BA"/>
    <w:rsid w:val="00844BBC"/>
    <w:rsid w:val="00847501"/>
    <w:rsid w:val="008502B5"/>
    <w:rsid w:val="008528BE"/>
    <w:rsid w:val="00853CD6"/>
    <w:rsid w:val="00862020"/>
    <w:rsid w:val="00863139"/>
    <w:rsid w:val="0086722E"/>
    <w:rsid w:val="00873BF5"/>
    <w:rsid w:val="00881316"/>
    <w:rsid w:val="00884922"/>
    <w:rsid w:val="00886753"/>
    <w:rsid w:val="00896F32"/>
    <w:rsid w:val="00897B44"/>
    <w:rsid w:val="008A0C7E"/>
    <w:rsid w:val="008A1872"/>
    <w:rsid w:val="008A1EB7"/>
    <w:rsid w:val="008A2314"/>
    <w:rsid w:val="008A3D6E"/>
    <w:rsid w:val="008A7BEC"/>
    <w:rsid w:val="008B518C"/>
    <w:rsid w:val="008C07E1"/>
    <w:rsid w:val="008C3A52"/>
    <w:rsid w:val="008D2128"/>
    <w:rsid w:val="008D34C8"/>
    <w:rsid w:val="008D62CD"/>
    <w:rsid w:val="008D6B26"/>
    <w:rsid w:val="008E0DE1"/>
    <w:rsid w:val="008E16A9"/>
    <w:rsid w:val="008F0410"/>
    <w:rsid w:val="008F2726"/>
    <w:rsid w:val="0090037F"/>
    <w:rsid w:val="00900E3A"/>
    <w:rsid w:val="00903B70"/>
    <w:rsid w:val="00903F12"/>
    <w:rsid w:val="00905CBB"/>
    <w:rsid w:val="0091175E"/>
    <w:rsid w:val="00915730"/>
    <w:rsid w:val="00917A6E"/>
    <w:rsid w:val="009201D4"/>
    <w:rsid w:val="0092231B"/>
    <w:rsid w:val="00925DBF"/>
    <w:rsid w:val="00932102"/>
    <w:rsid w:val="00943C87"/>
    <w:rsid w:val="00944FF5"/>
    <w:rsid w:val="00945B5D"/>
    <w:rsid w:val="0095015D"/>
    <w:rsid w:val="00950554"/>
    <w:rsid w:val="00951C9B"/>
    <w:rsid w:val="00956BDE"/>
    <w:rsid w:val="009609BF"/>
    <w:rsid w:val="00961539"/>
    <w:rsid w:val="009615B1"/>
    <w:rsid w:val="009631E0"/>
    <w:rsid w:val="0096555E"/>
    <w:rsid w:val="0096653E"/>
    <w:rsid w:val="00972B9C"/>
    <w:rsid w:val="00976FE4"/>
    <w:rsid w:val="00977F28"/>
    <w:rsid w:val="009836DA"/>
    <w:rsid w:val="00983A0F"/>
    <w:rsid w:val="009A14E0"/>
    <w:rsid w:val="009A2044"/>
    <w:rsid w:val="009A2299"/>
    <w:rsid w:val="009A5A35"/>
    <w:rsid w:val="009B40DD"/>
    <w:rsid w:val="009B6A21"/>
    <w:rsid w:val="009B6AD7"/>
    <w:rsid w:val="009C0149"/>
    <w:rsid w:val="009C16B8"/>
    <w:rsid w:val="009C4CC8"/>
    <w:rsid w:val="009D0D93"/>
    <w:rsid w:val="009D2451"/>
    <w:rsid w:val="009E2006"/>
    <w:rsid w:val="009E3F14"/>
    <w:rsid w:val="009E3F42"/>
    <w:rsid w:val="009E5B19"/>
    <w:rsid w:val="009E74E7"/>
    <w:rsid w:val="009E7EDF"/>
    <w:rsid w:val="00A00BBE"/>
    <w:rsid w:val="00A06408"/>
    <w:rsid w:val="00A06534"/>
    <w:rsid w:val="00A108BB"/>
    <w:rsid w:val="00A14FA0"/>
    <w:rsid w:val="00A15699"/>
    <w:rsid w:val="00A214F2"/>
    <w:rsid w:val="00A25545"/>
    <w:rsid w:val="00A27F9E"/>
    <w:rsid w:val="00A30D9C"/>
    <w:rsid w:val="00A365DD"/>
    <w:rsid w:val="00A36BD5"/>
    <w:rsid w:val="00A37969"/>
    <w:rsid w:val="00A418E1"/>
    <w:rsid w:val="00A42380"/>
    <w:rsid w:val="00A45657"/>
    <w:rsid w:val="00A45939"/>
    <w:rsid w:val="00A52EFE"/>
    <w:rsid w:val="00A52FEC"/>
    <w:rsid w:val="00A56ACC"/>
    <w:rsid w:val="00A604D9"/>
    <w:rsid w:val="00A622FA"/>
    <w:rsid w:val="00A6271D"/>
    <w:rsid w:val="00A704DF"/>
    <w:rsid w:val="00A708A2"/>
    <w:rsid w:val="00A70BEC"/>
    <w:rsid w:val="00A76B19"/>
    <w:rsid w:val="00A80A56"/>
    <w:rsid w:val="00A816CC"/>
    <w:rsid w:val="00A82CF8"/>
    <w:rsid w:val="00A86DC3"/>
    <w:rsid w:val="00A87413"/>
    <w:rsid w:val="00A8772C"/>
    <w:rsid w:val="00A87F32"/>
    <w:rsid w:val="00A903E9"/>
    <w:rsid w:val="00A93A57"/>
    <w:rsid w:val="00A948AB"/>
    <w:rsid w:val="00A94C1A"/>
    <w:rsid w:val="00A94C8B"/>
    <w:rsid w:val="00AA4034"/>
    <w:rsid w:val="00AA5EBF"/>
    <w:rsid w:val="00AA6C5B"/>
    <w:rsid w:val="00AB5832"/>
    <w:rsid w:val="00AC6620"/>
    <w:rsid w:val="00AD4878"/>
    <w:rsid w:val="00AD507E"/>
    <w:rsid w:val="00AF7087"/>
    <w:rsid w:val="00AF7168"/>
    <w:rsid w:val="00B00587"/>
    <w:rsid w:val="00B00AB9"/>
    <w:rsid w:val="00B01FFE"/>
    <w:rsid w:val="00B0204D"/>
    <w:rsid w:val="00B024C4"/>
    <w:rsid w:val="00B0666E"/>
    <w:rsid w:val="00B17F69"/>
    <w:rsid w:val="00B22160"/>
    <w:rsid w:val="00B317DF"/>
    <w:rsid w:val="00B332EE"/>
    <w:rsid w:val="00B3555E"/>
    <w:rsid w:val="00B36638"/>
    <w:rsid w:val="00B42672"/>
    <w:rsid w:val="00B4521D"/>
    <w:rsid w:val="00B459C3"/>
    <w:rsid w:val="00B46324"/>
    <w:rsid w:val="00B47E9E"/>
    <w:rsid w:val="00B50B26"/>
    <w:rsid w:val="00B5307E"/>
    <w:rsid w:val="00B74378"/>
    <w:rsid w:val="00B761B8"/>
    <w:rsid w:val="00B817FA"/>
    <w:rsid w:val="00B85DBB"/>
    <w:rsid w:val="00B92A91"/>
    <w:rsid w:val="00BA0D63"/>
    <w:rsid w:val="00BA14B0"/>
    <w:rsid w:val="00BA266F"/>
    <w:rsid w:val="00BA28A7"/>
    <w:rsid w:val="00BB2FFA"/>
    <w:rsid w:val="00BB56CA"/>
    <w:rsid w:val="00BB6971"/>
    <w:rsid w:val="00BC444E"/>
    <w:rsid w:val="00BC5852"/>
    <w:rsid w:val="00BC7CD4"/>
    <w:rsid w:val="00BD480A"/>
    <w:rsid w:val="00BD48AC"/>
    <w:rsid w:val="00BD5948"/>
    <w:rsid w:val="00BE183F"/>
    <w:rsid w:val="00BE199D"/>
    <w:rsid w:val="00BE29D8"/>
    <w:rsid w:val="00BE2DD0"/>
    <w:rsid w:val="00BE3469"/>
    <w:rsid w:val="00BE5E35"/>
    <w:rsid w:val="00BF037B"/>
    <w:rsid w:val="00BF7990"/>
    <w:rsid w:val="00C01300"/>
    <w:rsid w:val="00C044E8"/>
    <w:rsid w:val="00C06C1C"/>
    <w:rsid w:val="00C22244"/>
    <w:rsid w:val="00C22550"/>
    <w:rsid w:val="00C22B33"/>
    <w:rsid w:val="00C22D31"/>
    <w:rsid w:val="00C23003"/>
    <w:rsid w:val="00C30AB0"/>
    <w:rsid w:val="00C32028"/>
    <w:rsid w:val="00C3301C"/>
    <w:rsid w:val="00C53142"/>
    <w:rsid w:val="00C536D8"/>
    <w:rsid w:val="00C54307"/>
    <w:rsid w:val="00C62DBC"/>
    <w:rsid w:val="00C64FD4"/>
    <w:rsid w:val="00C66E62"/>
    <w:rsid w:val="00C67074"/>
    <w:rsid w:val="00C675B0"/>
    <w:rsid w:val="00C702E4"/>
    <w:rsid w:val="00C71D23"/>
    <w:rsid w:val="00C72EB1"/>
    <w:rsid w:val="00C73E73"/>
    <w:rsid w:val="00C74679"/>
    <w:rsid w:val="00C80E5D"/>
    <w:rsid w:val="00C82813"/>
    <w:rsid w:val="00C8654C"/>
    <w:rsid w:val="00C93322"/>
    <w:rsid w:val="00C940AE"/>
    <w:rsid w:val="00CA1D13"/>
    <w:rsid w:val="00CA3AE6"/>
    <w:rsid w:val="00CB254A"/>
    <w:rsid w:val="00CB56D2"/>
    <w:rsid w:val="00CC3FED"/>
    <w:rsid w:val="00CC47FA"/>
    <w:rsid w:val="00CC50B3"/>
    <w:rsid w:val="00CC5657"/>
    <w:rsid w:val="00CC7381"/>
    <w:rsid w:val="00CD0CD3"/>
    <w:rsid w:val="00CD3469"/>
    <w:rsid w:val="00CE2B75"/>
    <w:rsid w:val="00CE41C2"/>
    <w:rsid w:val="00CE49AA"/>
    <w:rsid w:val="00CE7B50"/>
    <w:rsid w:val="00CF095C"/>
    <w:rsid w:val="00CF5F6F"/>
    <w:rsid w:val="00CF655B"/>
    <w:rsid w:val="00CF76D8"/>
    <w:rsid w:val="00D05462"/>
    <w:rsid w:val="00D10B84"/>
    <w:rsid w:val="00D1614A"/>
    <w:rsid w:val="00D239AE"/>
    <w:rsid w:val="00D26399"/>
    <w:rsid w:val="00D27474"/>
    <w:rsid w:val="00D341E4"/>
    <w:rsid w:val="00D40A0C"/>
    <w:rsid w:val="00D44219"/>
    <w:rsid w:val="00D4585D"/>
    <w:rsid w:val="00D517E7"/>
    <w:rsid w:val="00D5305F"/>
    <w:rsid w:val="00D739A2"/>
    <w:rsid w:val="00D745CE"/>
    <w:rsid w:val="00D74787"/>
    <w:rsid w:val="00D8037A"/>
    <w:rsid w:val="00D813A3"/>
    <w:rsid w:val="00D83240"/>
    <w:rsid w:val="00D91390"/>
    <w:rsid w:val="00D92200"/>
    <w:rsid w:val="00D94CBB"/>
    <w:rsid w:val="00DA1875"/>
    <w:rsid w:val="00DA1C50"/>
    <w:rsid w:val="00DA3110"/>
    <w:rsid w:val="00DB0DE1"/>
    <w:rsid w:val="00DB1285"/>
    <w:rsid w:val="00DB1E4F"/>
    <w:rsid w:val="00DB2B92"/>
    <w:rsid w:val="00DB6159"/>
    <w:rsid w:val="00DB633C"/>
    <w:rsid w:val="00DC1DE9"/>
    <w:rsid w:val="00DC1E99"/>
    <w:rsid w:val="00DC2815"/>
    <w:rsid w:val="00DC4D99"/>
    <w:rsid w:val="00DC670A"/>
    <w:rsid w:val="00DD330D"/>
    <w:rsid w:val="00DE1DA4"/>
    <w:rsid w:val="00DF247F"/>
    <w:rsid w:val="00DF7526"/>
    <w:rsid w:val="00E0000B"/>
    <w:rsid w:val="00E007AD"/>
    <w:rsid w:val="00E10268"/>
    <w:rsid w:val="00E12549"/>
    <w:rsid w:val="00E13C95"/>
    <w:rsid w:val="00E17ECE"/>
    <w:rsid w:val="00E2543F"/>
    <w:rsid w:val="00E27245"/>
    <w:rsid w:val="00E3034E"/>
    <w:rsid w:val="00E3066D"/>
    <w:rsid w:val="00E33587"/>
    <w:rsid w:val="00E344BA"/>
    <w:rsid w:val="00E34E26"/>
    <w:rsid w:val="00E4552D"/>
    <w:rsid w:val="00E5063F"/>
    <w:rsid w:val="00E543A7"/>
    <w:rsid w:val="00E675A8"/>
    <w:rsid w:val="00E71C0D"/>
    <w:rsid w:val="00E75837"/>
    <w:rsid w:val="00E8231E"/>
    <w:rsid w:val="00E82862"/>
    <w:rsid w:val="00E860B3"/>
    <w:rsid w:val="00E90B3B"/>
    <w:rsid w:val="00EA06C6"/>
    <w:rsid w:val="00EA7C2F"/>
    <w:rsid w:val="00EB0607"/>
    <w:rsid w:val="00EB1E5F"/>
    <w:rsid w:val="00EB2782"/>
    <w:rsid w:val="00EB5D8D"/>
    <w:rsid w:val="00EC10B0"/>
    <w:rsid w:val="00EC30FE"/>
    <w:rsid w:val="00EC5C09"/>
    <w:rsid w:val="00EC6091"/>
    <w:rsid w:val="00ED2A80"/>
    <w:rsid w:val="00ED68C5"/>
    <w:rsid w:val="00EE3322"/>
    <w:rsid w:val="00EF2226"/>
    <w:rsid w:val="00F040EF"/>
    <w:rsid w:val="00F05CD7"/>
    <w:rsid w:val="00F16471"/>
    <w:rsid w:val="00F17A1B"/>
    <w:rsid w:val="00F24E22"/>
    <w:rsid w:val="00F25174"/>
    <w:rsid w:val="00F26407"/>
    <w:rsid w:val="00F306CB"/>
    <w:rsid w:val="00F35833"/>
    <w:rsid w:val="00F4121E"/>
    <w:rsid w:val="00F41EC8"/>
    <w:rsid w:val="00F52899"/>
    <w:rsid w:val="00F70C7E"/>
    <w:rsid w:val="00F718C7"/>
    <w:rsid w:val="00F77D0D"/>
    <w:rsid w:val="00F832E6"/>
    <w:rsid w:val="00F86357"/>
    <w:rsid w:val="00F940EC"/>
    <w:rsid w:val="00FA4E62"/>
    <w:rsid w:val="00FA4FBC"/>
    <w:rsid w:val="00FA54A2"/>
    <w:rsid w:val="00FA6F3B"/>
    <w:rsid w:val="00FB0F73"/>
    <w:rsid w:val="00FB2B0B"/>
    <w:rsid w:val="00FB3723"/>
    <w:rsid w:val="00FB51F6"/>
    <w:rsid w:val="00FC1A7F"/>
    <w:rsid w:val="00FC4436"/>
    <w:rsid w:val="00FC48C7"/>
    <w:rsid w:val="00FC613E"/>
    <w:rsid w:val="00FD4E08"/>
    <w:rsid w:val="00FD63B4"/>
    <w:rsid w:val="00FE0F5E"/>
    <w:rsid w:val="01AA1EDD"/>
    <w:rsid w:val="07581711"/>
    <w:rsid w:val="089F47D7"/>
    <w:rsid w:val="0AAB7D76"/>
    <w:rsid w:val="0BA17CD0"/>
    <w:rsid w:val="0F400490"/>
    <w:rsid w:val="14E7655D"/>
    <w:rsid w:val="181F4046"/>
    <w:rsid w:val="1FAD34C7"/>
    <w:rsid w:val="1FBFD83F"/>
    <w:rsid w:val="26E054C2"/>
    <w:rsid w:val="283D640E"/>
    <w:rsid w:val="2F0E5BAD"/>
    <w:rsid w:val="2F0F5A43"/>
    <w:rsid w:val="35ED43D8"/>
    <w:rsid w:val="39AC3D4C"/>
    <w:rsid w:val="3BB70085"/>
    <w:rsid w:val="3BC57FD9"/>
    <w:rsid w:val="3C5651C9"/>
    <w:rsid w:val="3D3BAAF2"/>
    <w:rsid w:val="3EA510AB"/>
    <w:rsid w:val="41EF60C0"/>
    <w:rsid w:val="434B1AB3"/>
    <w:rsid w:val="47EE0603"/>
    <w:rsid w:val="482C010F"/>
    <w:rsid w:val="4BCE1070"/>
    <w:rsid w:val="50CE5FA5"/>
    <w:rsid w:val="51432DDC"/>
    <w:rsid w:val="51695AEF"/>
    <w:rsid w:val="54F41FB5"/>
    <w:rsid w:val="5853154E"/>
    <w:rsid w:val="596F7548"/>
    <w:rsid w:val="59DF307F"/>
    <w:rsid w:val="66B226A4"/>
    <w:rsid w:val="6E781B1E"/>
    <w:rsid w:val="6FBC7150"/>
    <w:rsid w:val="70125805"/>
    <w:rsid w:val="72646D4B"/>
    <w:rsid w:val="73506AF8"/>
    <w:rsid w:val="7577497F"/>
    <w:rsid w:val="762C424D"/>
    <w:rsid w:val="7BFDADE8"/>
    <w:rsid w:val="7D1FB092"/>
    <w:rsid w:val="7DEF65C8"/>
    <w:rsid w:val="7DEFC966"/>
    <w:rsid w:val="7DF8775C"/>
    <w:rsid w:val="7E4E3394"/>
    <w:rsid w:val="7E754177"/>
    <w:rsid w:val="7E7DFA3C"/>
    <w:rsid w:val="7EFF23B4"/>
    <w:rsid w:val="7FA70D37"/>
    <w:rsid w:val="7FF6694C"/>
    <w:rsid w:val="7FF7C477"/>
    <w:rsid w:val="9DDE2D99"/>
    <w:rsid w:val="ABA24C3A"/>
    <w:rsid w:val="B7F7A095"/>
    <w:rsid w:val="BFFBE233"/>
    <w:rsid w:val="DACF3899"/>
    <w:rsid w:val="DDBB9F12"/>
    <w:rsid w:val="DEF9C0F6"/>
    <w:rsid w:val="E9FCFAB2"/>
    <w:rsid w:val="F5772C4E"/>
    <w:rsid w:val="F6EDF47B"/>
    <w:rsid w:val="FCCBDD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39"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
    <w:qFormat/>
    <w:uiPriority w:val="9"/>
    <w:pPr>
      <w:keepNext/>
      <w:keepLines/>
      <w:spacing w:before="100" w:after="90" w:line="240" w:lineRule="auto"/>
      <w:jc w:val="both"/>
      <w:outlineLvl w:val="0"/>
    </w:pPr>
    <w:rPr>
      <w:rFonts w:ascii="宋体" w:hAnsi="宋体" w:eastAsia="黑体" w:cs="Times New Roman"/>
      <w:bCs/>
      <w:kern w:val="44"/>
      <w:sz w:val="21"/>
      <w:szCs w:val="44"/>
      <w:lang w:eastAsia="zh-CN"/>
    </w:rPr>
  </w:style>
  <w:style w:type="paragraph" w:styleId="3">
    <w:name w:val="heading 2"/>
    <w:basedOn w:val="1"/>
    <w:next w:val="1"/>
    <w:link w:val="33"/>
    <w:unhideWhenUsed/>
    <w:qFormat/>
    <w:uiPriority w:val="0"/>
    <w:pPr>
      <w:keepNext/>
      <w:keepLines/>
      <w:numPr>
        <w:ilvl w:val="1"/>
        <w:numId w:val="1"/>
      </w:numPr>
      <w:tabs>
        <w:tab w:val="left" w:pos="420"/>
      </w:tabs>
      <w:spacing w:beforeLines="100" w:after="0" w:afterLines="100" w:line="240" w:lineRule="auto"/>
      <w:outlineLvl w:val="1"/>
    </w:pPr>
    <w:rPr>
      <w:rFonts w:ascii="宋体" w:hAnsi="宋体" w:eastAsia="宋体" w:cs="Times New Roman"/>
      <w:bCs/>
      <w:kern w:val="2"/>
      <w:sz w:val="21"/>
      <w:szCs w:val="30"/>
      <w:lang w:eastAsia="zh-CN"/>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34"/>
    <w:unhideWhenUsed/>
    <w:qFormat/>
    <w:uiPriority w:val="99"/>
    <w:pPr>
      <w:spacing w:after="0" w:line="360" w:lineRule="auto"/>
    </w:pPr>
    <w:rPr>
      <w:rFonts w:ascii="宋体" w:hAnsi="宋体" w:eastAsia="宋体" w:cs="Times New Roman"/>
      <w:kern w:val="2"/>
      <w:sz w:val="21"/>
      <w:szCs w:val="24"/>
      <w:lang w:eastAsia="zh-CN"/>
    </w:rPr>
  </w:style>
  <w:style w:type="paragraph" w:styleId="5">
    <w:name w:val="Body Text"/>
    <w:basedOn w:val="1"/>
    <w:unhideWhenUsed/>
    <w:qFormat/>
    <w:uiPriority w:val="99"/>
    <w:pPr>
      <w:spacing w:after="120"/>
    </w:pPr>
  </w:style>
  <w:style w:type="paragraph" w:styleId="6">
    <w:name w:val="Body Text Indent 2"/>
    <w:basedOn w:val="1"/>
    <w:qFormat/>
    <w:uiPriority w:val="0"/>
    <w:pPr>
      <w:spacing w:line="440" w:lineRule="exact"/>
      <w:ind w:firstLine="420" w:firstLineChars="200"/>
    </w:pPr>
  </w:style>
  <w:style w:type="paragraph" w:styleId="7">
    <w:name w:val="Balloon Text"/>
    <w:basedOn w:val="1"/>
    <w:link w:val="35"/>
    <w:qFormat/>
    <w:uiPriority w:val="0"/>
    <w:pPr>
      <w:spacing w:after="0" w:line="240" w:lineRule="auto"/>
      <w:jc w:val="both"/>
    </w:pPr>
    <w:rPr>
      <w:rFonts w:ascii="宋体" w:hAnsi="宋体" w:eastAsia="宋体" w:cs="Times New Roman"/>
      <w:kern w:val="2"/>
      <w:sz w:val="18"/>
      <w:szCs w:val="18"/>
      <w:lang w:eastAsia="zh-CN"/>
    </w:rPr>
  </w:style>
  <w:style w:type="paragraph" w:styleId="8">
    <w:name w:val="footer"/>
    <w:basedOn w:val="1"/>
    <w:link w:val="36"/>
    <w:qFormat/>
    <w:uiPriority w:val="99"/>
    <w:pPr>
      <w:tabs>
        <w:tab w:val="center" w:pos="4153"/>
        <w:tab w:val="right" w:pos="8306"/>
      </w:tabs>
      <w:snapToGrid w:val="0"/>
      <w:spacing w:after="0" w:line="360" w:lineRule="auto"/>
    </w:pPr>
    <w:rPr>
      <w:rFonts w:ascii="宋体" w:hAnsi="宋体" w:eastAsia="宋体" w:cs="Times New Roman"/>
      <w:kern w:val="2"/>
      <w:sz w:val="18"/>
      <w:szCs w:val="18"/>
      <w:lang w:eastAsia="zh-CN"/>
    </w:rPr>
  </w:style>
  <w:style w:type="paragraph" w:styleId="9">
    <w:name w:val="header"/>
    <w:basedOn w:val="1"/>
    <w:link w:val="37"/>
    <w:qFormat/>
    <w:uiPriority w:val="0"/>
    <w:pPr>
      <w:pBdr>
        <w:bottom w:val="single" w:color="auto" w:sz="6" w:space="1"/>
      </w:pBdr>
      <w:tabs>
        <w:tab w:val="center" w:pos="4153"/>
        <w:tab w:val="right" w:pos="8306"/>
      </w:tabs>
      <w:snapToGrid w:val="0"/>
      <w:spacing w:after="0" w:line="360" w:lineRule="auto"/>
      <w:jc w:val="center"/>
    </w:pPr>
    <w:rPr>
      <w:rFonts w:ascii="宋体" w:hAnsi="宋体" w:eastAsia="宋体" w:cs="Times New Roman"/>
      <w:kern w:val="2"/>
      <w:sz w:val="18"/>
      <w:szCs w:val="18"/>
      <w:lang w:eastAsia="zh-CN"/>
    </w:rPr>
  </w:style>
  <w:style w:type="paragraph" w:styleId="10">
    <w:name w:val="toc 1"/>
    <w:basedOn w:val="1"/>
    <w:next w:val="1"/>
    <w:unhideWhenUsed/>
    <w:qFormat/>
    <w:uiPriority w:val="39"/>
    <w:pPr>
      <w:widowControl/>
      <w:spacing w:after="100" w:line="259" w:lineRule="auto"/>
    </w:pPr>
    <w:rPr>
      <w:rFonts w:ascii="Calibri" w:hAnsi="Calibri" w:eastAsia="宋体" w:cs="Times New Roman"/>
      <w:lang w:eastAsia="zh-CN"/>
    </w:rPr>
  </w:style>
  <w:style w:type="paragraph" w:styleId="11">
    <w:name w:val="Body Text Indent 3"/>
    <w:basedOn w:val="1"/>
    <w:link w:val="38"/>
    <w:qFormat/>
    <w:uiPriority w:val="0"/>
    <w:pPr>
      <w:spacing w:after="0" w:line="360" w:lineRule="auto"/>
      <w:ind w:firstLine="480" w:firstLineChars="200"/>
      <w:jc w:val="both"/>
    </w:pPr>
    <w:rPr>
      <w:rFonts w:ascii="宋体" w:hAnsi="宋体" w:eastAsia="宋体" w:cs="Times New Roman"/>
      <w:kern w:val="2"/>
      <w:sz w:val="24"/>
      <w:szCs w:val="24"/>
      <w:lang w:eastAsia="zh-CN"/>
    </w:rPr>
  </w:style>
  <w:style w:type="paragraph" w:styleId="12">
    <w:name w:val="annotation subject"/>
    <w:basedOn w:val="4"/>
    <w:next w:val="4"/>
    <w:link w:val="58"/>
    <w:uiPriority w:val="0"/>
    <w:pPr>
      <w:spacing w:after="200" w:line="276" w:lineRule="auto"/>
    </w:pPr>
    <w:rPr>
      <w:rFonts w:asciiTheme="minorHAnsi" w:hAnsiTheme="minorHAnsi" w:eastAsiaTheme="minorEastAsia" w:cstheme="minorBidi"/>
      <w:b/>
      <w:bCs/>
      <w:kern w:val="0"/>
      <w:sz w:val="22"/>
      <w:szCs w:val="22"/>
      <w:lang w:eastAsia="en-US"/>
    </w:rPr>
  </w:style>
  <w:style w:type="table" w:styleId="14">
    <w:name w:val="Table Grid"/>
    <w:basedOn w:val="13"/>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character" w:styleId="17">
    <w:name w:val="Hyperlink"/>
    <w:basedOn w:val="15"/>
    <w:unhideWhenUsed/>
    <w:qFormat/>
    <w:uiPriority w:val="99"/>
    <w:rPr>
      <w:color w:val="0563C1" w:themeColor="hyperlink"/>
      <w:u w:val="single"/>
      <w14:textFill>
        <w14:solidFill>
          <w14:schemeClr w14:val="hlink"/>
        </w14:solidFill>
      </w14:textFill>
    </w:rPr>
  </w:style>
  <w:style w:type="character" w:styleId="18">
    <w:name w:val="annotation reference"/>
    <w:basedOn w:val="15"/>
    <w:uiPriority w:val="0"/>
    <w:rPr>
      <w:sz w:val="21"/>
      <w:szCs w:val="21"/>
    </w:rPr>
  </w:style>
  <w:style w:type="paragraph" w:customStyle="1" w:styleId="19">
    <w:name w:val="封面正文"/>
    <w:qFormat/>
    <w:uiPriority w:val="0"/>
    <w:pPr>
      <w:jc w:val="both"/>
    </w:pPr>
    <w:rPr>
      <w:rFonts w:ascii="Times New Roman" w:hAnsi="Times New Roman" w:eastAsia="宋体" w:cs="Times New Roman"/>
      <w:lang w:val="en-US" w:eastAsia="zh-CN" w:bidi="ar-SA"/>
    </w:rPr>
  </w:style>
  <w:style w:type="paragraph" w:customStyle="1" w:styleId="2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1">
    <w:name w:val="发布"/>
    <w:qFormat/>
    <w:uiPriority w:val="0"/>
    <w:rPr>
      <w:rFonts w:ascii="黑体" w:eastAsia="黑体"/>
      <w:spacing w:val="22"/>
      <w:w w:val="100"/>
      <w:position w:val="3"/>
      <w:sz w:val="28"/>
    </w:rPr>
  </w:style>
  <w:style w:type="paragraph" w:customStyle="1" w:styleId="22">
    <w:name w:val="发布部门"/>
    <w:next w:val="1"/>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23">
    <w:name w:val="实施日期"/>
    <w:basedOn w:val="24"/>
    <w:qFormat/>
    <w:uiPriority w:val="0"/>
    <w:pPr>
      <w:framePr w:hSpace="0" w:wrap="around" w:xAlign="right"/>
      <w:jc w:val="right"/>
    </w:pPr>
  </w:style>
  <w:style w:type="paragraph" w:customStyle="1" w:styleId="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25">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2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27">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28">
    <w:name w:val="标准书眉_偶数页"/>
    <w:basedOn w:val="27"/>
    <w:next w:val="1"/>
    <w:qFormat/>
    <w:uiPriority w:val="0"/>
    <w:pPr>
      <w:jc w:val="left"/>
    </w:pPr>
  </w:style>
  <w:style w:type="paragraph" w:customStyle="1" w:styleId="29">
    <w:name w:val="标准书眉一"/>
    <w:qFormat/>
    <w:uiPriority w:val="0"/>
    <w:pPr>
      <w:jc w:val="both"/>
    </w:pPr>
    <w:rPr>
      <w:rFonts w:ascii="Times New Roman" w:hAnsi="Times New Roman" w:eastAsia="宋体" w:cs="Times New Roman"/>
      <w:lang w:val="en-US" w:eastAsia="zh-CN" w:bidi="ar-SA"/>
    </w:rPr>
  </w:style>
  <w:style w:type="paragraph" w:customStyle="1" w:styleId="30">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31">
    <w:name w:val="标准书脚_偶数页"/>
    <w:qFormat/>
    <w:uiPriority w:val="0"/>
    <w:pPr>
      <w:spacing w:before="120"/>
    </w:pPr>
    <w:rPr>
      <w:rFonts w:ascii="Times New Roman" w:hAnsi="Times New Roman" w:eastAsia="宋体" w:cs="Times New Roman"/>
      <w:sz w:val="18"/>
      <w:lang w:val="en-US" w:eastAsia="zh-CN" w:bidi="ar-SA"/>
    </w:rPr>
  </w:style>
  <w:style w:type="character" w:customStyle="1" w:styleId="32">
    <w:name w:val="标题 1 Char"/>
    <w:basedOn w:val="15"/>
    <w:link w:val="2"/>
    <w:qFormat/>
    <w:uiPriority w:val="9"/>
    <w:rPr>
      <w:rFonts w:ascii="宋体" w:hAnsi="宋体" w:eastAsia="黑体" w:cs="Times New Roman"/>
      <w:bCs/>
      <w:kern w:val="44"/>
      <w:sz w:val="21"/>
      <w:szCs w:val="44"/>
    </w:rPr>
  </w:style>
  <w:style w:type="character" w:customStyle="1" w:styleId="33">
    <w:name w:val="标题 2 Char"/>
    <w:basedOn w:val="15"/>
    <w:link w:val="3"/>
    <w:qFormat/>
    <w:uiPriority w:val="0"/>
    <w:rPr>
      <w:rFonts w:ascii="宋体" w:hAnsi="宋体" w:eastAsia="宋体" w:cs="Times New Roman"/>
      <w:bCs/>
      <w:kern w:val="2"/>
      <w:sz w:val="21"/>
      <w:szCs w:val="30"/>
    </w:rPr>
  </w:style>
  <w:style w:type="character" w:customStyle="1" w:styleId="34">
    <w:name w:val="批注文字 Char"/>
    <w:basedOn w:val="15"/>
    <w:link w:val="4"/>
    <w:qFormat/>
    <w:uiPriority w:val="99"/>
    <w:rPr>
      <w:rFonts w:ascii="宋体" w:hAnsi="宋体" w:eastAsia="宋体" w:cs="Times New Roman"/>
      <w:kern w:val="2"/>
      <w:sz w:val="21"/>
      <w:szCs w:val="24"/>
    </w:rPr>
  </w:style>
  <w:style w:type="character" w:customStyle="1" w:styleId="35">
    <w:name w:val="批注框文本 Char"/>
    <w:basedOn w:val="15"/>
    <w:link w:val="7"/>
    <w:qFormat/>
    <w:uiPriority w:val="0"/>
    <w:rPr>
      <w:rFonts w:ascii="宋体" w:hAnsi="宋体" w:eastAsia="宋体" w:cs="Times New Roman"/>
      <w:kern w:val="2"/>
      <w:sz w:val="18"/>
      <w:szCs w:val="18"/>
    </w:rPr>
  </w:style>
  <w:style w:type="character" w:customStyle="1" w:styleId="36">
    <w:name w:val="页脚 Char"/>
    <w:basedOn w:val="15"/>
    <w:link w:val="8"/>
    <w:qFormat/>
    <w:uiPriority w:val="99"/>
    <w:rPr>
      <w:rFonts w:ascii="宋体" w:hAnsi="宋体" w:eastAsia="宋体" w:cs="Times New Roman"/>
      <w:kern w:val="2"/>
      <w:sz w:val="18"/>
      <w:szCs w:val="18"/>
    </w:rPr>
  </w:style>
  <w:style w:type="character" w:customStyle="1" w:styleId="37">
    <w:name w:val="页眉 Char"/>
    <w:basedOn w:val="15"/>
    <w:link w:val="9"/>
    <w:qFormat/>
    <w:uiPriority w:val="0"/>
    <w:rPr>
      <w:rFonts w:ascii="宋体" w:hAnsi="宋体" w:eastAsia="宋体" w:cs="Times New Roman"/>
      <w:kern w:val="2"/>
      <w:sz w:val="18"/>
      <w:szCs w:val="18"/>
    </w:rPr>
  </w:style>
  <w:style w:type="character" w:customStyle="1" w:styleId="38">
    <w:name w:val="正文文本缩进 3 Char"/>
    <w:basedOn w:val="15"/>
    <w:link w:val="11"/>
    <w:qFormat/>
    <w:uiPriority w:val="0"/>
    <w:rPr>
      <w:rFonts w:ascii="宋体" w:hAnsi="宋体" w:eastAsia="宋体" w:cs="Times New Roman"/>
      <w:kern w:val="2"/>
      <w:sz w:val="24"/>
      <w:szCs w:val="24"/>
    </w:rPr>
  </w:style>
  <w:style w:type="paragraph" w:customStyle="1" w:styleId="39">
    <w:name w:val="其他标准称谓"/>
    <w:qFormat/>
    <w:uiPriority w:val="0"/>
    <w:pPr>
      <w:spacing w:line="0" w:lineRule="atLeast"/>
      <w:ind w:firstLine="200"/>
      <w:jc w:val="both"/>
    </w:pPr>
    <w:rPr>
      <w:rFonts w:ascii="黑体" w:hAnsi="黑体" w:eastAsia="黑体" w:cs="宋体"/>
      <w:color w:val="000000"/>
      <w:sz w:val="52"/>
      <w:lang w:val="en-US" w:eastAsia="zh-CN" w:bidi="ar-SA"/>
    </w:rPr>
  </w:style>
  <w:style w:type="paragraph" w:customStyle="1" w:styleId="40">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41">
    <w:name w:val="ENFI表体"/>
    <w:basedOn w:val="1"/>
    <w:qFormat/>
    <w:uiPriority w:val="0"/>
    <w:pPr>
      <w:widowControl/>
      <w:adjustRightInd w:val="0"/>
      <w:snapToGrid w:val="0"/>
      <w:spacing w:after="0" w:line="240" w:lineRule="atLeast"/>
    </w:pPr>
    <w:rPr>
      <w:rFonts w:ascii="宋体" w:hAnsi="宋体" w:eastAsia="仿宋_GB2312" w:cs="Times New Roman"/>
      <w:sz w:val="21"/>
      <w:szCs w:val="24"/>
      <w:lang w:eastAsia="zh-CN"/>
    </w:rPr>
  </w:style>
  <w:style w:type="paragraph" w:customStyle="1" w:styleId="42">
    <w:name w:val="标准标志"/>
    <w:next w:val="1"/>
    <w:qFormat/>
    <w:uiPriority w:val="0"/>
    <w:pPr>
      <w:shd w:val="solid" w:color="FFFFFF" w:fill="FFFFFF"/>
      <w:spacing w:line="0" w:lineRule="atLeast"/>
      <w:ind w:firstLine="200"/>
      <w:jc w:val="right"/>
    </w:pPr>
    <w:rPr>
      <w:rFonts w:ascii="Times New Roman" w:hAnsi="Times New Roman" w:eastAsia="宋体" w:cs="Times New Roman"/>
      <w:b/>
      <w:color w:val="000000"/>
      <w:w w:val="130"/>
      <w:sz w:val="96"/>
      <w:lang w:val="en-US" w:eastAsia="zh-CN" w:bidi="ar-SA"/>
    </w:rPr>
  </w:style>
  <w:style w:type="character" w:customStyle="1" w:styleId="43">
    <w:name w:val="fontstyle01"/>
    <w:basedOn w:val="15"/>
    <w:qFormat/>
    <w:uiPriority w:val="0"/>
    <w:rPr>
      <w:rFonts w:ascii="E-BZ" w:hAnsi="E-BZ" w:eastAsia="E-BZ" w:cs="E-BZ"/>
      <w:color w:val="000000"/>
      <w:sz w:val="20"/>
      <w:szCs w:val="20"/>
    </w:rPr>
  </w:style>
  <w:style w:type="character" w:customStyle="1" w:styleId="44">
    <w:name w:val="fontstyle21"/>
    <w:basedOn w:val="15"/>
    <w:qFormat/>
    <w:uiPriority w:val="0"/>
    <w:rPr>
      <w:rFonts w:ascii="FZSSK--GBK1-0" w:hAnsi="FZSSK--GBK1-0" w:eastAsia="FZSSK--GBK1-0" w:cs="FZSSK--GBK1-0"/>
      <w:color w:val="000000"/>
      <w:sz w:val="20"/>
      <w:szCs w:val="20"/>
    </w:rPr>
  </w:style>
  <w:style w:type="character" w:styleId="45">
    <w:name w:val="Placeholder Text"/>
    <w:basedOn w:val="15"/>
    <w:unhideWhenUsed/>
    <w:qFormat/>
    <w:uiPriority w:val="99"/>
    <w:rPr>
      <w:color w:val="808080"/>
    </w:rPr>
  </w:style>
  <w:style w:type="character" w:customStyle="1" w:styleId="46">
    <w:name w:val="15"/>
    <w:basedOn w:val="15"/>
    <w:qFormat/>
    <w:uiPriority w:val="0"/>
    <w:rPr>
      <w:rFonts w:hint="eastAsia" w:ascii="宋体" w:hAnsi="宋体" w:eastAsia="宋体"/>
      <w:color w:val="000000"/>
      <w:sz w:val="22"/>
      <w:szCs w:val="22"/>
    </w:rPr>
  </w:style>
  <w:style w:type="paragraph" w:customStyle="1" w:styleId="47">
    <w:name w:val="WPSOffice手动目录 1"/>
    <w:qFormat/>
    <w:uiPriority w:val="0"/>
    <w:rPr>
      <w:rFonts w:ascii="Times New Roman" w:hAnsi="Times New Roman" w:eastAsia="宋体" w:cs="Times New Roman"/>
      <w:lang w:val="en-US" w:eastAsia="zh-CN" w:bidi="ar-SA"/>
    </w:rPr>
  </w:style>
  <w:style w:type="paragraph" w:customStyle="1" w:styleId="48">
    <w:name w:val="修订1"/>
    <w:hidden/>
    <w:semiHidden/>
    <w:qFormat/>
    <w:uiPriority w:val="99"/>
    <w:rPr>
      <w:rFonts w:ascii="宋体" w:hAnsi="宋体" w:eastAsia="宋体" w:cs="Times New Roman"/>
      <w:kern w:val="2"/>
      <w:sz w:val="21"/>
      <w:szCs w:val="24"/>
      <w:lang w:val="en-US" w:eastAsia="zh-CN" w:bidi="ar-SA"/>
    </w:rPr>
  </w:style>
  <w:style w:type="table" w:customStyle="1" w:styleId="49">
    <w:name w:val="Table Normal1"/>
    <w:basedOn w:val="13"/>
    <w:qFormat/>
    <w:uiPriority w:val="0"/>
    <w:rPr>
      <w:rFonts w:eastAsia="Times New Roman"/>
    </w:rPr>
    <w:tblPr>
      <w:tblCellMar>
        <w:top w:w="0" w:type="dxa"/>
        <w:left w:w="0" w:type="dxa"/>
        <w:bottom w:w="0" w:type="dxa"/>
        <w:right w:w="0" w:type="dxa"/>
      </w:tblCellMar>
    </w:tblPr>
  </w:style>
  <w:style w:type="paragraph" w:styleId="50">
    <w:name w:val="List Paragraph"/>
    <w:basedOn w:val="1"/>
    <w:qFormat/>
    <w:uiPriority w:val="1"/>
    <w:pPr>
      <w:spacing w:after="0" w:line="360" w:lineRule="auto"/>
      <w:ind w:firstLine="420" w:firstLineChars="200"/>
      <w:jc w:val="both"/>
    </w:pPr>
    <w:rPr>
      <w:rFonts w:ascii="宋体" w:hAnsi="宋体" w:eastAsia="宋体" w:cs="Times New Roman"/>
      <w:kern w:val="2"/>
      <w:sz w:val="21"/>
      <w:szCs w:val="24"/>
      <w:lang w:eastAsia="zh-CN"/>
    </w:rPr>
  </w:style>
  <w:style w:type="table" w:customStyle="1" w:styleId="51">
    <w:name w:val="_Style 89"/>
    <w:basedOn w:val="13"/>
    <w:qFormat/>
    <w:uiPriority w:val="0"/>
    <w:tblPr>
      <w:tblCellMar>
        <w:top w:w="15" w:type="dxa"/>
        <w:left w:w="15" w:type="dxa"/>
        <w:bottom w:w="15" w:type="dxa"/>
        <w:right w:w="15" w:type="dxa"/>
      </w:tblCellMar>
    </w:tblPr>
  </w:style>
  <w:style w:type="table" w:customStyle="1" w:styleId="52">
    <w:name w:val="_Style 90"/>
    <w:basedOn w:val="13"/>
    <w:qFormat/>
    <w:uiPriority w:val="0"/>
    <w:tblPr>
      <w:tblCellMar>
        <w:top w:w="0" w:type="dxa"/>
        <w:left w:w="108" w:type="dxa"/>
        <w:bottom w:w="0" w:type="dxa"/>
        <w:right w:w="108" w:type="dxa"/>
      </w:tblCellMar>
    </w:tblPr>
  </w:style>
  <w:style w:type="table" w:customStyle="1" w:styleId="53">
    <w:name w:val="_Style 83"/>
    <w:basedOn w:val="13"/>
    <w:qFormat/>
    <w:uiPriority w:val="0"/>
    <w:tblPr>
      <w:tblCellMar>
        <w:top w:w="0" w:type="dxa"/>
        <w:left w:w="108" w:type="dxa"/>
        <w:bottom w:w="0" w:type="dxa"/>
        <w:right w:w="108" w:type="dxa"/>
      </w:tblCellMar>
    </w:tblPr>
  </w:style>
  <w:style w:type="table" w:customStyle="1" w:styleId="54">
    <w:name w:val="_Style 84"/>
    <w:basedOn w:val="13"/>
    <w:qFormat/>
    <w:uiPriority w:val="0"/>
    <w:tblPr>
      <w:tblCellMar>
        <w:top w:w="0" w:type="dxa"/>
        <w:left w:w="108" w:type="dxa"/>
        <w:bottom w:w="0" w:type="dxa"/>
        <w:right w:w="108" w:type="dxa"/>
      </w:tblCellMar>
    </w:tblPr>
  </w:style>
  <w:style w:type="table" w:customStyle="1" w:styleId="55">
    <w:name w:val="_Style 901"/>
    <w:basedOn w:val="13"/>
    <w:qFormat/>
    <w:uiPriority w:val="0"/>
    <w:rPr>
      <w:rFonts w:eastAsia="Times New Roman"/>
    </w:rPr>
    <w:tblPr>
      <w:tblCellMar>
        <w:top w:w="0" w:type="dxa"/>
        <w:left w:w="108" w:type="dxa"/>
        <w:bottom w:w="0" w:type="dxa"/>
        <w:right w:w="108" w:type="dxa"/>
      </w:tblCellMar>
    </w:tblPr>
  </w:style>
  <w:style w:type="paragraph" w:customStyle="1" w:styleId="56">
    <w:name w:val="修订2"/>
    <w:hidden/>
    <w:unhideWhenUsed/>
    <w:uiPriority w:val="99"/>
    <w:rPr>
      <w:rFonts w:asciiTheme="minorHAnsi" w:hAnsiTheme="minorHAnsi" w:eastAsiaTheme="minorEastAsia" w:cstheme="minorBidi"/>
      <w:sz w:val="22"/>
      <w:szCs w:val="22"/>
      <w:lang w:val="en-US" w:eastAsia="en-US" w:bidi="ar-SA"/>
    </w:rPr>
  </w:style>
  <w:style w:type="paragraph" w:customStyle="1" w:styleId="57">
    <w:name w:val="Revision"/>
    <w:hidden/>
    <w:unhideWhenUsed/>
    <w:uiPriority w:val="99"/>
    <w:rPr>
      <w:rFonts w:asciiTheme="minorHAnsi" w:hAnsiTheme="minorHAnsi" w:eastAsiaTheme="minorEastAsia" w:cstheme="minorBidi"/>
      <w:sz w:val="22"/>
      <w:szCs w:val="22"/>
      <w:lang w:val="en-US" w:eastAsia="en-US" w:bidi="ar-SA"/>
    </w:rPr>
  </w:style>
  <w:style w:type="character" w:customStyle="1" w:styleId="58">
    <w:name w:val="批注主题 Char"/>
    <w:basedOn w:val="34"/>
    <w:link w:val="12"/>
    <w:uiPriority w:val="0"/>
    <w:rPr>
      <w:rFonts w:asciiTheme="minorHAnsi" w:hAnsiTheme="minorHAnsi" w:eastAsiaTheme="minorEastAsia" w:cstheme="minorBidi"/>
      <w:b/>
      <w:bCs/>
      <w:kern w:val="2"/>
      <w:sz w:val="22"/>
      <w:szCs w:val="22"/>
      <w:lang w:eastAsia="en-US"/>
    </w:rPr>
  </w:style>
  <w:style w:type="paragraph" w:customStyle="1" w:styleId="59">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60">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61">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62">
    <w:name w:val="封面标准号2"/>
    <w:basedOn w:val="1"/>
    <w:qFormat/>
    <w:uiPriority w:val="0"/>
    <w:pPr>
      <w:framePr w:w="9138" w:h="1244" w:hRule="exact" w:wrap="around" w:vAnchor="page" w:hAnchor="margin" w:y="2908" w:anchorLock="1"/>
      <w:kinsoku w:val="0"/>
      <w:overflowPunct w:val="0"/>
      <w:autoSpaceDE w:val="0"/>
      <w:autoSpaceDN w:val="0"/>
      <w:adjustRightInd w:val="0"/>
      <w:spacing w:before="357" w:after="0" w:line="280" w:lineRule="exact"/>
      <w:jc w:val="right"/>
      <w:textAlignment w:val="center"/>
    </w:pPr>
    <w:rPr>
      <w:rFonts w:ascii="Times New Roman" w:hAnsi="Times New Roman" w:eastAsia="宋体" w:cs="Times New Roman"/>
      <w:sz w:val="28"/>
      <w:szCs w:val="20"/>
      <w:lang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emf"/><Relationship Id="rId23" Type="http://schemas.openxmlformats.org/officeDocument/2006/relationships/oleObject" Target="embeddings/oleObject3.bin"/><Relationship Id="rId22" Type="http://schemas.openxmlformats.org/officeDocument/2006/relationships/image" Target="media/image6.emf"/><Relationship Id="rId21" Type="http://schemas.openxmlformats.org/officeDocument/2006/relationships/oleObject" Target="embeddings/oleObject2.bin"/><Relationship Id="rId20" Type="http://schemas.openxmlformats.org/officeDocument/2006/relationships/image" Target="media/image5.e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163F09-8000-4E28-88F0-A2915D04ED78}">
  <ds:schemaRefs/>
</ds:datastoreItem>
</file>

<file path=docProps/app.xml><?xml version="1.0" encoding="utf-8"?>
<Properties xmlns="http://schemas.openxmlformats.org/officeDocument/2006/extended-properties" xmlns:vt="http://schemas.openxmlformats.org/officeDocument/2006/docPropsVTypes">
  <Template>Normal</Template>
  <Pages>35</Pages>
  <Words>3161</Words>
  <Characters>18018</Characters>
  <Lines>1</Lines>
  <Paragraphs>1</Paragraphs>
  <TotalTime>3</TotalTime>
  <ScaleCrop>false</ScaleCrop>
  <LinksUpToDate>false</LinksUpToDate>
  <CharactersWithSpaces>21137</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2025-08-22T15:58:00Z</dcterms:created>
  <dc:creator>丁艳蓉</dc:creator>
  <cp:lastModifiedBy>李婷婷</cp:lastModifiedBy>
  <dcterms:modified xsi:type="dcterms:W3CDTF">2026-09-09T14:24:01Z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BE020613893E420F9A9C27FCE6E1C52D_13</vt:lpwstr>
  </property>
  <property fmtid="{D5CDD505-2E9C-101B-9397-08002B2CF9AE}" pid="4" name="KSOTemplateDocerSaveRecord">
    <vt:lpwstr>eyJoZGlkIjoiZDRkMDcyZWIyM2JiMzVhYjY0NDE5YjhhMjdlY2MxYWYiLCJ1c2VySWQiOiI0NzIxNzk0ODMifQ==</vt:lpwstr>
  </property>
</Properties>
</file>