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18AFAE">
      <w:pPr>
        <w:pStyle w:val="98"/>
        <w:jc w:val="center"/>
        <w:rPr>
          <w:rFonts w:hint="eastAsia" w:ascii="黑体" w:hAnsi="黑体" w:eastAsia="黑体"/>
          <w:sz w:val="24"/>
          <w:szCs w:val="24"/>
        </w:rPr>
      </w:pPr>
      <w:bookmarkStart w:id="0" w:name="_Toc464728891"/>
      <w:bookmarkStart w:id="1" w:name="SectionMark4"/>
    </w:p>
    <w:p w14:paraId="0218799C">
      <w:pPr>
        <w:pStyle w:val="98"/>
        <w:jc w:val="center"/>
        <w:rPr>
          <w:rFonts w:hint="eastAsia" w:ascii="黑体" w:hAnsi="黑体" w:eastAsia="黑体"/>
          <w:sz w:val="24"/>
          <w:szCs w:val="24"/>
        </w:rPr>
      </w:pPr>
    </w:p>
    <w:p w14:paraId="7FFE0F83">
      <w:pPr>
        <w:pStyle w:val="98"/>
        <w:jc w:val="center"/>
        <w:rPr>
          <w:rFonts w:hint="eastAsia" w:ascii="黑体" w:hAnsi="黑体" w:eastAsia="黑体"/>
          <w:sz w:val="24"/>
          <w:szCs w:val="24"/>
        </w:rPr>
      </w:pPr>
    </w:p>
    <w:p w14:paraId="50A61D7C">
      <w:pPr>
        <w:pStyle w:val="98"/>
        <w:jc w:val="center"/>
        <w:rPr>
          <w:rFonts w:hint="eastAsia" w:ascii="黑体" w:hAnsi="黑体" w:eastAsia="黑体"/>
          <w:sz w:val="24"/>
          <w:szCs w:val="24"/>
        </w:rPr>
      </w:pPr>
    </w:p>
    <w:p w14:paraId="0FC6096C">
      <w:pPr>
        <w:pStyle w:val="98"/>
        <w:jc w:val="center"/>
        <w:rPr>
          <w:rFonts w:hint="eastAsia" w:ascii="黑体" w:hAnsi="黑体" w:eastAsia="黑体"/>
          <w:sz w:val="24"/>
          <w:szCs w:val="24"/>
        </w:rPr>
      </w:pPr>
    </w:p>
    <w:p w14:paraId="3B6432E0">
      <w:pPr>
        <w:pStyle w:val="98"/>
        <w:jc w:val="center"/>
        <w:rPr>
          <w:rFonts w:hint="eastAsia" w:ascii="黑体" w:hAnsi="黑体" w:eastAsia="黑体"/>
          <w:sz w:val="24"/>
          <w:szCs w:val="24"/>
        </w:rPr>
      </w:pPr>
    </w:p>
    <w:p w14:paraId="0E008F86">
      <w:pPr>
        <w:pStyle w:val="98"/>
        <w:jc w:val="center"/>
        <w:rPr>
          <w:rFonts w:hint="eastAsia" w:ascii="黑体" w:hAnsi="黑体" w:eastAsia="黑体"/>
          <w:sz w:val="24"/>
          <w:szCs w:val="24"/>
        </w:rPr>
      </w:pPr>
      <w:r>
        <mc:AlternateContent>
          <mc:Choice Requires="wps">
            <w:drawing>
              <wp:anchor distT="0" distB="0" distL="114300" distR="114300" simplePos="0" relativeHeight="251659264" behindDoc="0" locked="1" layoutInCell="1" allowOverlap="1">
                <wp:simplePos x="0" y="0"/>
                <wp:positionH relativeFrom="margin">
                  <wp:posOffset>66675</wp:posOffset>
                </wp:positionH>
                <wp:positionV relativeFrom="margin">
                  <wp:posOffset>1544955</wp:posOffset>
                </wp:positionV>
                <wp:extent cx="6120130" cy="2383790"/>
                <wp:effectExtent l="0" t="0" r="0" b="0"/>
                <wp:wrapNone/>
                <wp:docPr id="3" name="文本框 4"/>
                <wp:cNvGraphicFramePr/>
                <a:graphic xmlns:a="http://schemas.openxmlformats.org/drawingml/2006/main">
                  <a:graphicData uri="http://schemas.microsoft.com/office/word/2010/wordprocessingShape">
                    <wps:wsp>
                      <wps:cNvSpPr/>
                      <wps:spPr>
                        <a:xfrm>
                          <a:off x="0" y="0"/>
                          <a:ext cx="6120130" cy="2383790"/>
                        </a:xfrm>
                        <a:prstGeom prst="rect">
                          <a:avLst/>
                        </a:prstGeom>
                        <a:solidFill>
                          <a:srgbClr val="FFFFFF"/>
                        </a:solidFill>
                        <a:ln>
                          <a:noFill/>
                        </a:ln>
                      </wps:spPr>
                      <wps:txbx>
                        <w:txbxContent>
                          <w:p w14:paraId="052C2084">
                            <w:pPr>
                              <w:pStyle w:val="75"/>
                              <w:rPr>
                                <w:rFonts w:hint="eastAsia" w:hAnsi="黑体" w:cs="黑体"/>
                                <w:sz w:val="44"/>
                                <w:szCs w:val="44"/>
                              </w:rPr>
                            </w:pPr>
                            <w:bookmarkStart w:id="75" w:name="_Hlk23687263"/>
                            <w:r>
                              <w:rPr>
                                <w:rFonts w:hint="eastAsia" w:hAnsi="黑体" w:cs="黑体"/>
                                <w:sz w:val="44"/>
                                <w:szCs w:val="44"/>
                              </w:rPr>
                              <w:t>JJFZ（有色金属）008—2025</w:t>
                            </w:r>
                          </w:p>
                          <w:bookmarkEnd w:id="75"/>
                          <w:p w14:paraId="08E808B3">
                            <w:pPr>
                              <w:pStyle w:val="75"/>
                              <w:rPr>
                                <w:rFonts w:hint="eastAsia" w:hAnsi="黑体" w:cs="黑体"/>
                                <w:szCs w:val="52"/>
                              </w:rPr>
                            </w:pPr>
                            <w:r>
                              <w:rPr>
                                <w:rFonts w:hint="eastAsia" w:hAnsi="黑体" w:cs="黑体"/>
                                <w:szCs w:val="52"/>
                              </w:rPr>
                              <w:t>有色金属涡流电导率仪校准规范</w:t>
                            </w:r>
                          </w:p>
                          <w:p w14:paraId="48A27CF7">
                            <w:pPr>
                              <w:jc w:val="center"/>
                              <w:rPr>
                                <w:rFonts w:hint="eastAsia" w:ascii="黑体" w:hAnsi="黑体" w:eastAsia="黑体" w:cs="黑体"/>
                                <w:sz w:val="44"/>
                                <w:szCs w:val="44"/>
                              </w:rPr>
                            </w:pPr>
                            <w:r>
                              <w:rPr>
                                <w:rFonts w:hint="eastAsia" w:ascii="黑体" w:hAnsi="黑体" w:eastAsia="黑体" w:cs="黑体"/>
                                <w:sz w:val="44"/>
                                <w:szCs w:val="44"/>
                              </w:rPr>
                              <w:t>(编制说明)</w:t>
                            </w:r>
                          </w:p>
                        </w:txbxContent>
                      </wps:txbx>
                      <wps:bodyPr lIns="0" tIns="0" rIns="0" bIns="0" upright="1"/>
                    </wps:wsp>
                  </a:graphicData>
                </a:graphic>
              </wp:anchor>
            </w:drawing>
          </mc:Choice>
          <mc:Fallback>
            <w:pict>
              <v:rect id="文本框 4" o:spid="_x0000_s1026" o:spt="1" style="position:absolute;left:0pt;margin-left:5.25pt;margin-top:121.65pt;height:187.7pt;width:481.9pt;mso-position-horizontal-relative:margin;mso-position-vertical-relative:margin;z-index:251659264;mso-width-relative:page;mso-height-relative:page;" fillcolor="#FFFFFF" filled="t" stroked="f" coordsize="21600,21600" o:gfxdata="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2vt/d1wAAAAoBAAAPAAAAAAAAAAEAIAAAACIAAABkcnMv&#10;ZG93bnJldi54bWxQSwECFAAUAAAACACHTuJAY/5bKMsBAACSAwAADgAAAAAAAAABACAAAAAmAQAA&#10;ZHJzL2Uyb0RvYy54bWxQSwUGAAAAAAYABgBZAQAAYwUAAAAA&#10;">
                <v:fill on="t" focussize="0,0"/>
                <v:stroke on="f"/>
                <v:imagedata o:title=""/>
                <o:lock v:ext="edit" aspectratio="f"/>
                <v:textbox inset="0mm,0mm,0mm,0mm">
                  <w:txbxContent>
                    <w:p w14:paraId="052C2084">
                      <w:pPr>
                        <w:pStyle w:val="75"/>
                        <w:rPr>
                          <w:rFonts w:hint="eastAsia" w:hAnsi="黑体" w:cs="黑体"/>
                          <w:sz w:val="44"/>
                          <w:szCs w:val="44"/>
                        </w:rPr>
                      </w:pPr>
                      <w:bookmarkStart w:id="75" w:name="_Hlk23687263"/>
                      <w:r>
                        <w:rPr>
                          <w:rFonts w:hint="eastAsia" w:hAnsi="黑体" w:cs="黑体"/>
                          <w:sz w:val="44"/>
                          <w:szCs w:val="44"/>
                        </w:rPr>
                        <w:t>JJFZ（有色金属）008—2025</w:t>
                      </w:r>
                    </w:p>
                    <w:bookmarkEnd w:id="75"/>
                    <w:p w14:paraId="08E808B3">
                      <w:pPr>
                        <w:pStyle w:val="75"/>
                        <w:rPr>
                          <w:rFonts w:hint="eastAsia" w:hAnsi="黑体" w:cs="黑体"/>
                          <w:szCs w:val="52"/>
                        </w:rPr>
                      </w:pPr>
                      <w:r>
                        <w:rPr>
                          <w:rFonts w:hint="eastAsia" w:hAnsi="黑体" w:cs="黑体"/>
                          <w:szCs w:val="52"/>
                        </w:rPr>
                        <w:t>有色金属涡流电导率仪校准规范</w:t>
                      </w:r>
                    </w:p>
                    <w:p w14:paraId="48A27CF7">
                      <w:pPr>
                        <w:jc w:val="center"/>
                        <w:rPr>
                          <w:rFonts w:hint="eastAsia" w:ascii="黑体" w:hAnsi="黑体" w:eastAsia="黑体" w:cs="黑体"/>
                          <w:sz w:val="44"/>
                          <w:szCs w:val="44"/>
                        </w:rPr>
                      </w:pPr>
                      <w:r>
                        <w:rPr>
                          <w:rFonts w:hint="eastAsia" w:ascii="黑体" w:hAnsi="黑体" w:eastAsia="黑体" w:cs="黑体"/>
                          <w:sz w:val="44"/>
                          <w:szCs w:val="44"/>
                        </w:rPr>
                        <w:t>(编制说明)</w:t>
                      </w:r>
                    </w:p>
                  </w:txbxContent>
                </v:textbox>
                <w10:anchorlock/>
              </v:rect>
            </w:pict>
          </mc:Fallback>
        </mc:AlternateContent>
      </w:r>
    </w:p>
    <w:p w14:paraId="468EBA7B">
      <w:pPr>
        <w:pStyle w:val="98"/>
        <w:jc w:val="center"/>
        <w:rPr>
          <w:rFonts w:hint="eastAsia" w:ascii="黑体" w:hAnsi="黑体" w:eastAsia="黑体"/>
          <w:sz w:val="24"/>
          <w:szCs w:val="24"/>
        </w:rPr>
      </w:pPr>
    </w:p>
    <w:p w14:paraId="6C94E05D">
      <w:pPr>
        <w:pStyle w:val="98"/>
        <w:jc w:val="center"/>
        <w:rPr>
          <w:rFonts w:hint="eastAsia" w:ascii="黑体" w:hAnsi="黑体" w:eastAsia="黑体"/>
          <w:sz w:val="24"/>
          <w:szCs w:val="24"/>
        </w:rPr>
      </w:pPr>
    </w:p>
    <w:p w14:paraId="26704E44">
      <w:pPr>
        <w:pStyle w:val="98"/>
        <w:jc w:val="center"/>
        <w:rPr>
          <w:rFonts w:hint="eastAsia" w:ascii="黑体" w:hAnsi="黑体" w:eastAsia="黑体"/>
          <w:sz w:val="24"/>
          <w:szCs w:val="24"/>
        </w:rPr>
      </w:pPr>
    </w:p>
    <w:p w14:paraId="3D77518F">
      <w:pPr>
        <w:pStyle w:val="98"/>
        <w:jc w:val="center"/>
        <w:rPr>
          <w:rFonts w:hint="eastAsia" w:ascii="黑体" w:hAnsi="黑体" w:eastAsia="黑体"/>
          <w:sz w:val="24"/>
          <w:szCs w:val="24"/>
        </w:rPr>
      </w:pPr>
    </w:p>
    <w:p w14:paraId="2580A009">
      <w:pPr>
        <w:pStyle w:val="98"/>
        <w:jc w:val="center"/>
        <w:rPr>
          <w:rFonts w:hint="eastAsia" w:ascii="黑体" w:hAnsi="黑体" w:eastAsia="黑体"/>
          <w:sz w:val="24"/>
          <w:szCs w:val="24"/>
        </w:rPr>
      </w:pPr>
    </w:p>
    <w:p w14:paraId="52883EE1">
      <w:pPr>
        <w:pStyle w:val="98"/>
        <w:jc w:val="center"/>
        <w:rPr>
          <w:rFonts w:hint="eastAsia" w:ascii="黑体" w:hAnsi="黑体" w:eastAsia="黑体"/>
          <w:sz w:val="24"/>
          <w:szCs w:val="24"/>
        </w:rPr>
      </w:pPr>
    </w:p>
    <w:p w14:paraId="4FE10DC3">
      <w:pPr>
        <w:pStyle w:val="98"/>
        <w:jc w:val="center"/>
        <w:rPr>
          <w:rFonts w:hint="eastAsia" w:ascii="黑体" w:hAnsi="黑体" w:eastAsia="黑体"/>
          <w:sz w:val="24"/>
          <w:szCs w:val="24"/>
        </w:rPr>
      </w:pPr>
    </w:p>
    <w:p w14:paraId="07D9CB62">
      <w:pPr>
        <w:pStyle w:val="98"/>
        <w:jc w:val="center"/>
        <w:rPr>
          <w:rFonts w:hint="eastAsia" w:ascii="黑体" w:hAnsi="黑体" w:eastAsia="黑体"/>
          <w:sz w:val="24"/>
          <w:szCs w:val="24"/>
        </w:rPr>
      </w:pPr>
    </w:p>
    <w:p w14:paraId="495C2466">
      <w:pPr>
        <w:pStyle w:val="98"/>
        <w:jc w:val="center"/>
        <w:rPr>
          <w:rFonts w:hint="eastAsia" w:ascii="黑体" w:hAnsi="黑体" w:eastAsia="黑体"/>
          <w:sz w:val="24"/>
          <w:szCs w:val="24"/>
        </w:rPr>
      </w:pPr>
    </w:p>
    <w:p w14:paraId="6EED46ED">
      <w:pPr>
        <w:pStyle w:val="98"/>
        <w:jc w:val="center"/>
        <w:rPr>
          <w:rFonts w:hint="eastAsia" w:ascii="黑体" w:hAnsi="黑体" w:eastAsia="黑体"/>
          <w:sz w:val="24"/>
          <w:szCs w:val="24"/>
        </w:rPr>
      </w:pPr>
    </w:p>
    <w:p w14:paraId="1FC6E531">
      <w:pPr>
        <w:pStyle w:val="98"/>
        <w:jc w:val="center"/>
        <w:rPr>
          <w:rFonts w:hint="eastAsia" w:ascii="黑体" w:hAnsi="黑体" w:eastAsia="黑体"/>
          <w:sz w:val="24"/>
          <w:szCs w:val="24"/>
        </w:rPr>
      </w:pPr>
    </w:p>
    <w:p w14:paraId="2C533C47">
      <w:pPr>
        <w:pStyle w:val="98"/>
        <w:jc w:val="center"/>
        <w:rPr>
          <w:rFonts w:hint="eastAsia" w:ascii="黑体" w:hAnsi="黑体" w:eastAsia="黑体"/>
          <w:sz w:val="24"/>
          <w:szCs w:val="24"/>
        </w:rPr>
      </w:pPr>
    </w:p>
    <w:p w14:paraId="103C4178">
      <w:pPr>
        <w:pStyle w:val="98"/>
        <w:jc w:val="center"/>
        <w:rPr>
          <w:rFonts w:hint="eastAsia" w:ascii="黑体" w:hAnsi="黑体" w:eastAsia="黑体"/>
          <w:sz w:val="24"/>
          <w:szCs w:val="24"/>
        </w:rPr>
      </w:pPr>
    </w:p>
    <w:p w14:paraId="72A84B9E">
      <w:pPr>
        <w:pStyle w:val="98"/>
        <w:jc w:val="center"/>
        <w:rPr>
          <w:rFonts w:hint="eastAsia" w:ascii="黑体" w:hAnsi="黑体" w:eastAsia="黑体"/>
          <w:sz w:val="24"/>
          <w:szCs w:val="24"/>
        </w:rPr>
      </w:pPr>
    </w:p>
    <w:p w14:paraId="3D69E0FD">
      <w:pPr>
        <w:pStyle w:val="98"/>
        <w:jc w:val="center"/>
        <w:rPr>
          <w:rFonts w:hint="eastAsia" w:ascii="黑体" w:hAnsi="黑体" w:eastAsia="黑体"/>
          <w:sz w:val="24"/>
          <w:szCs w:val="24"/>
        </w:rPr>
      </w:pPr>
    </w:p>
    <w:p w14:paraId="21E915AA">
      <w:pPr>
        <w:pStyle w:val="98"/>
        <w:jc w:val="center"/>
        <w:rPr>
          <w:rFonts w:hint="eastAsia" w:ascii="黑体" w:hAnsi="黑体" w:eastAsia="黑体"/>
          <w:sz w:val="24"/>
          <w:szCs w:val="24"/>
        </w:rPr>
      </w:pPr>
    </w:p>
    <w:p w14:paraId="05F0E6BD">
      <w:pPr>
        <w:pStyle w:val="98"/>
        <w:jc w:val="center"/>
        <w:rPr>
          <w:rFonts w:hint="eastAsia" w:ascii="黑体" w:hAnsi="黑体" w:eastAsia="黑体"/>
          <w:sz w:val="24"/>
          <w:szCs w:val="24"/>
        </w:rPr>
      </w:pPr>
      <w:r>
        <mc:AlternateContent>
          <mc:Choice Requires="wps">
            <w:drawing>
              <wp:anchor distT="0" distB="0" distL="114300" distR="114300" simplePos="0" relativeHeight="251660288" behindDoc="0" locked="1" layoutInCell="1" allowOverlap="1">
                <wp:simplePos x="0" y="0"/>
                <wp:positionH relativeFrom="margin">
                  <wp:posOffset>153670</wp:posOffset>
                </wp:positionH>
                <wp:positionV relativeFrom="margin">
                  <wp:posOffset>4848860</wp:posOffset>
                </wp:positionV>
                <wp:extent cx="5969000" cy="1779270"/>
                <wp:effectExtent l="0" t="0" r="12700" b="11430"/>
                <wp:wrapNone/>
                <wp:docPr id="2" name="文本框 5"/>
                <wp:cNvGraphicFramePr/>
                <a:graphic xmlns:a="http://schemas.openxmlformats.org/drawingml/2006/main">
                  <a:graphicData uri="http://schemas.microsoft.com/office/word/2010/wordprocessingShape">
                    <wps:wsp>
                      <wps:cNvSpPr/>
                      <wps:spPr>
                        <a:xfrm>
                          <a:off x="0" y="0"/>
                          <a:ext cx="5969000" cy="1779270"/>
                        </a:xfrm>
                        <a:prstGeom prst="rect">
                          <a:avLst/>
                        </a:prstGeom>
                        <a:solidFill>
                          <a:srgbClr val="FFFFFF"/>
                        </a:solidFill>
                        <a:ln>
                          <a:noFill/>
                        </a:ln>
                      </wps:spPr>
                      <wps:txbx>
                        <w:txbxContent>
                          <w:p w14:paraId="6347620E">
                            <w:pPr>
                              <w:pStyle w:val="67"/>
                              <w:spacing w:before="600"/>
                              <w:rPr>
                                <w:rFonts w:hint="eastAsia" w:ascii="黑体" w:hAnsi="黑体" w:eastAsia="黑体"/>
                                <w:sz w:val="36"/>
                                <w:szCs w:val="36"/>
                              </w:rPr>
                            </w:pPr>
                            <w:r>
                              <w:rPr>
                                <w:rFonts w:hint="eastAsia" w:ascii="黑体" w:hAnsi="黑体" w:eastAsia="黑体"/>
                                <w:sz w:val="36"/>
                                <w:szCs w:val="36"/>
                                <w:lang w:val="en-US" w:eastAsia="zh-CN"/>
                              </w:rPr>
                              <w:t>预审</w:t>
                            </w:r>
                            <w:r>
                              <w:rPr>
                                <w:rFonts w:hint="eastAsia" w:ascii="黑体" w:hAnsi="黑体" w:eastAsia="黑体"/>
                                <w:sz w:val="36"/>
                                <w:szCs w:val="36"/>
                              </w:rPr>
                              <w:t>稿</w:t>
                            </w:r>
                          </w:p>
                          <w:p w14:paraId="4489A341">
                            <w:pPr>
                              <w:pStyle w:val="67"/>
                              <w:spacing w:before="600"/>
                              <w:rPr>
                                <w:rFonts w:hint="eastAsia" w:ascii="黑体" w:hAnsi="黑体" w:eastAsia="黑体"/>
                                <w:sz w:val="36"/>
                                <w:szCs w:val="36"/>
                                <w:lang w:eastAsia="zh-CN"/>
                              </w:rPr>
                            </w:pPr>
                            <w:r>
                              <w:rPr>
                                <w:rFonts w:hint="eastAsia" w:ascii="黑体" w:hAnsi="黑体" w:eastAsia="黑体"/>
                                <w:sz w:val="36"/>
                                <w:szCs w:val="36"/>
                              </w:rPr>
                              <w:t>20</w:t>
                            </w:r>
                            <w:r>
                              <w:rPr>
                                <w:rFonts w:ascii="黑体" w:hAnsi="黑体" w:eastAsia="黑体"/>
                                <w:sz w:val="36"/>
                                <w:szCs w:val="36"/>
                              </w:rPr>
                              <w:t>2</w:t>
                            </w:r>
                            <w:r>
                              <w:rPr>
                                <w:rFonts w:hint="eastAsia" w:ascii="黑体" w:hAnsi="黑体" w:eastAsia="黑体"/>
                                <w:sz w:val="36"/>
                                <w:szCs w:val="36"/>
                              </w:rPr>
                              <w:t>6-0</w:t>
                            </w:r>
                            <w:r>
                              <w:rPr>
                                <w:rFonts w:hint="eastAsia" w:ascii="黑体" w:hAnsi="黑体" w:eastAsia="黑体"/>
                                <w:sz w:val="36"/>
                                <w:szCs w:val="36"/>
                                <w:lang w:val="en-US" w:eastAsia="zh-CN"/>
                              </w:rPr>
                              <w:t>9</w:t>
                            </w:r>
                          </w:p>
                        </w:txbxContent>
                      </wps:txbx>
                      <wps:bodyPr lIns="0" tIns="0" rIns="0" bIns="0" upright="1"/>
                    </wps:wsp>
                  </a:graphicData>
                </a:graphic>
              </wp:anchor>
            </w:drawing>
          </mc:Choice>
          <mc:Fallback>
            <w:pict>
              <v:rect id="文本框 5" o:spid="_x0000_s1026" o:spt="1" style="position:absolute;left:0pt;margin-left:12.1pt;margin-top:381.8pt;height:140.1pt;width:470pt;mso-position-horizontal-relative:margin;mso-position-vertical-relative:margin;z-index:251660288;mso-width-relative:page;mso-height-relative:page;" fillcolor="#FFFFFF" filled="t" stroked="f" coordsize="21600,21600" o:gfxdata="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QgCV/1wAAAAsBAAAPAAAAAAAAAAEAIAAAACIAAABkcnMv&#10;ZG93bnJldi54bWxQSwECFAAUAAAACACHTuJAMTvMIMsBAACSAwAADgAAAAAAAAABACAAAAAmAQAA&#10;ZHJzL2Uyb0RvYy54bWxQSwUGAAAAAAYABgBZAQAAYwUAAAAA&#10;">
                <v:fill on="t" focussize="0,0"/>
                <v:stroke on="f"/>
                <v:imagedata o:title=""/>
                <o:lock v:ext="edit" aspectratio="f"/>
                <v:textbox inset="0mm,0mm,0mm,0mm">
                  <w:txbxContent>
                    <w:p w14:paraId="6347620E">
                      <w:pPr>
                        <w:pStyle w:val="67"/>
                        <w:spacing w:before="600"/>
                        <w:rPr>
                          <w:rFonts w:hint="eastAsia" w:ascii="黑体" w:hAnsi="黑体" w:eastAsia="黑体"/>
                          <w:sz w:val="36"/>
                          <w:szCs w:val="36"/>
                        </w:rPr>
                      </w:pPr>
                      <w:r>
                        <w:rPr>
                          <w:rFonts w:hint="eastAsia" w:ascii="黑体" w:hAnsi="黑体" w:eastAsia="黑体"/>
                          <w:sz w:val="36"/>
                          <w:szCs w:val="36"/>
                          <w:lang w:val="en-US" w:eastAsia="zh-CN"/>
                        </w:rPr>
                        <w:t>预审</w:t>
                      </w:r>
                      <w:r>
                        <w:rPr>
                          <w:rFonts w:hint="eastAsia" w:ascii="黑体" w:hAnsi="黑体" w:eastAsia="黑体"/>
                          <w:sz w:val="36"/>
                          <w:szCs w:val="36"/>
                        </w:rPr>
                        <w:t>稿</w:t>
                      </w:r>
                    </w:p>
                    <w:p w14:paraId="4489A341">
                      <w:pPr>
                        <w:pStyle w:val="67"/>
                        <w:spacing w:before="600"/>
                        <w:rPr>
                          <w:rFonts w:hint="eastAsia" w:ascii="黑体" w:hAnsi="黑体" w:eastAsia="黑体"/>
                          <w:sz w:val="36"/>
                          <w:szCs w:val="36"/>
                          <w:lang w:eastAsia="zh-CN"/>
                        </w:rPr>
                      </w:pPr>
                      <w:r>
                        <w:rPr>
                          <w:rFonts w:hint="eastAsia" w:ascii="黑体" w:hAnsi="黑体" w:eastAsia="黑体"/>
                          <w:sz w:val="36"/>
                          <w:szCs w:val="36"/>
                        </w:rPr>
                        <w:t>20</w:t>
                      </w:r>
                      <w:r>
                        <w:rPr>
                          <w:rFonts w:ascii="黑体" w:hAnsi="黑体" w:eastAsia="黑体"/>
                          <w:sz w:val="36"/>
                          <w:szCs w:val="36"/>
                        </w:rPr>
                        <w:t>2</w:t>
                      </w:r>
                      <w:r>
                        <w:rPr>
                          <w:rFonts w:hint="eastAsia" w:ascii="黑体" w:hAnsi="黑体" w:eastAsia="黑体"/>
                          <w:sz w:val="36"/>
                          <w:szCs w:val="36"/>
                        </w:rPr>
                        <w:t>6-0</w:t>
                      </w:r>
                      <w:r>
                        <w:rPr>
                          <w:rFonts w:hint="eastAsia" w:ascii="黑体" w:hAnsi="黑体" w:eastAsia="黑体"/>
                          <w:sz w:val="36"/>
                          <w:szCs w:val="36"/>
                          <w:lang w:val="en-US" w:eastAsia="zh-CN"/>
                        </w:rPr>
                        <w:t>9</w:t>
                      </w:r>
                    </w:p>
                  </w:txbxContent>
                </v:textbox>
                <w10:anchorlock/>
              </v:rect>
            </w:pict>
          </mc:Fallback>
        </mc:AlternateContent>
      </w:r>
    </w:p>
    <w:p w14:paraId="05D09B2F">
      <w:pPr>
        <w:pStyle w:val="98"/>
        <w:jc w:val="center"/>
        <w:rPr>
          <w:rFonts w:hint="eastAsia" w:ascii="黑体" w:hAnsi="黑体" w:eastAsia="黑体"/>
          <w:sz w:val="24"/>
          <w:szCs w:val="24"/>
        </w:rPr>
      </w:pPr>
    </w:p>
    <w:p w14:paraId="2EDE083B">
      <w:pPr>
        <w:pStyle w:val="98"/>
        <w:jc w:val="center"/>
        <w:rPr>
          <w:rFonts w:hint="eastAsia" w:ascii="黑体" w:hAnsi="黑体" w:eastAsia="黑体"/>
          <w:sz w:val="24"/>
          <w:szCs w:val="24"/>
        </w:rPr>
      </w:pPr>
    </w:p>
    <w:p w14:paraId="16EE9514">
      <w:pPr>
        <w:pStyle w:val="98"/>
        <w:jc w:val="center"/>
        <w:rPr>
          <w:rFonts w:hint="eastAsia" w:ascii="黑体" w:hAnsi="黑体" w:eastAsia="黑体"/>
          <w:sz w:val="24"/>
          <w:szCs w:val="24"/>
        </w:rPr>
      </w:pPr>
    </w:p>
    <w:p w14:paraId="59D9EB58">
      <w:pPr>
        <w:pStyle w:val="98"/>
        <w:jc w:val="center"/>
        <w:rPr>
          <w:rFonts w:hint="eastAsia" w:ascii="黑体" w:hAnsi="黑体" w:eastAsia="黑体"/>
          <w:sz w:val="24"/>
          <w:szCs w:val="24"/>
        </w:rPr>
      </w:pPr>
    </w:p>
    <w:p w14:paraId="182668F6">
      <w:pPr>
        <w:pStyle w:val="98"/>
        <w:jc w:val="center"/>
        <w:rPr>
          <w:rFonts w:hint="eastAsia" w:ascii="黑体" w:hAnsi="黑体" w:eastAsia="黑体"/>
          <w:sz w:val="24"/>
          <w:szCs w:val="24"/>
        </w:rPr>
      </w:pPr>
    </w:p>
    <w:p w14:paraId="14955E9E">
      <w:pPr>
        <w:pStyle w:val="98"/>
        <w:jc w:val="center"/>
        <w:rPr>
          <w:rFonts w:hint="eastAsia" w:ascii="黑体" w:hAnsi="黑体" w:eastAsia="黑体"/>
          <w:sz w:val="24"/>
          <w:szCs w:val="24"/>
        </w:rPr>
      </w:pPr>
    </w:p>
    <w:p w14:paraId="415B7E2F">
      <w:pPr>
        <w:pStyle w:val="98"/>
        <w:jc w:val="center"/>
        <w:rPr>
          <w:rFonts w:hint="eastAsia" w:ascii="黑体" w:hAnsi="黑体" w:eastAsia="黑体"/>
          <w:sz w:val="24"/>
          <w:szCs w:val="24"/>
        </w:rPr>
      </w:pPr>
    </w:p>
    <w:p w14:paraId="6E04A00C">
      <w:pPr>
        <w:pStyle w:val="98"/>
        <w:jc w:val="center"/>
        <w:rPr>
          <w:rFonts w:hint="eastAsia" w:ascii="黑体" w:hAnsi="黑体" w:eastAsia="黑体"/>
          <w:sz w:val="24"/>
          <w:szCs w:val="24"/>
        </w:rPr>
      </w:pPr>
    </w:p>
    <w:p w14:paraId="427CD76F">
      <w:pPr>
        <w:pStyle w:val="98"/>
        <w:jc w:val="center"/>
        <w:rPr>
          <w:rFonts w:hint="eastAsia" w:ascii="黑体" w:hAnsi="黑体" w:eastAsia="黑体"/>
          <w:sz w:val="24"/>
          <w:szCs w:val="24"/>
        </w:rPr>
      </w:pPr>
    </w:p>
    <w:p w14:paraId="4A618687">
      <w:pPr>
        <w:pStyle w:val="98"/>
        <w:jc w:val="center"/>
        <w:rPr>
          <w:rFonts w:hint="eastAsia" w:ascii="黑体" w:hAnsi="黑体" w:eastAsia="黑体"/>
          <w:sz w:val="24"/>
          <w:szCs w:val="24"/>
        </w:rPr>
      </w:pPr>
    </w:p>
    <w:p w14:paraId="1A72D4A5">
      <w:pPr>
        <w:pStyle w:val="98"/>
        <w:jc w:val="center"/>
        <w:rPr>
          <w:rFonts w:hint="eastAsia" w:ascii="黑体" w:hAnsi="黑体" w:eastAsia="黑体"/>
          <w:sz w:val="24"/>
          <w:szCs w:val="24"/>
        </w:rPr>
      </w:pPr>
    </w:p>
    <w:p w14:paraId="42546B20">
      <w:pPr>
        <w:pStyle w:val="98"/>
        <w:jc w:val="center"/>
        <w:rPr>
          <w:rFonts w:hint="eastAsia" w:ascii="黑体" w:hAnsi="黑体" w:eastAsia="黑体"/>
          <w:sz w:val="24"/>
          <w:szCs w:val="24"/>
        </w:rPr>
      </w:pPr>
    </w:p>
    <w:p w14:paraId="3B9E7268">
      <w:pPr>
        <w:pStyle w:val="98"/>
        <w:jc w:val="center"/>
        <w:rPr>
          <w:rFonts w:hint="eastAsia" w:ascii="黑体" w:hAnsi="黑体" w:eastAsia="黑体"/>
          <w:sz w:val="24"/>
          <w:szCs w:val="24"/>
        </w:rPr>
      </w:pPr>
    </w:p>
    <w:p w14:paraId="4897DA12">
      <w:pPr>
        <w:pStyle w:val="98"/>
        <w:jc w:val="center"/>
        <w:rPr>
          <w:rFonts w:hint="eastAsia" w:ascii="黑体" w:hAnsi="黑体" w:eastAsia="黑体"/>
          <w:sz w:val="24"/>
          <w:szCs w:val="24"/>
        </w:rPr>
      </w:pPr>
      <w:r>
        <mc:AlternateContent>
          <mc:Choice Requires="wps">
            <w:drawing>
              <wp:anchor distT="0" distB="0" distL="114300" distR="114300" simplePos="0" relativeHeight="251661312" behindDoc="0" locked="1" layoutInCell="1" allowOverlap="1">
                <wp:simplePos x="0" y="0"/>
                <wp:positionH relativeFrom="margin">
                  <wp:posOffset>144145</wp:posOffset>
                </wp:positionH>
                <wp:positionV relativeFrom="margin">
                  <wp:posOffset>7559040</wp:posOffset>
                </wp:positionV>
                <wp:extent cx="6120130" cy="1544320"/>
                <wp:effectExtent l="0" t="0" r="13970" b="17780"/>
                <wp:wrapNone/>
                <wp:docPr id="1" name="fmFrame7"/>
                <wp:cNvGraphicFramePr/>
                <a:graphic xmlns:a="http://schemas.openxmlformats.org/drawingml/2006/main">
                  <a:graphicData uri="http://schemas.microsoft.com/office/word/2010/wordprocessingShape">
                    <wps:wsp>
                      <wps:cNvSpPr/>
                      <wps:spPr>
                        <a:xfrm>
                          <a:off x="0" y="0"/>
                          <a:ext cx="6120130" cy="1544320"/>
                        </a:xfrm>
                        <a:prstGeom prst="rect">
                          <a:avLst/>
                        </a:prstGeom>
                        <a:solidFill>
                          <a:srgbClr val="FFFFFF"/>
                        </a:solidFill>
                        <a:ln>
                          <a:noFill/>
                        </a:ln>
                      </wps:spPr>
                      <wps:txbx>
                        <w:txbxContent>
                          <w:p w14:paraId="56A96F5F">
                            <w:pPr>
                              <w:pStyle w:val="75"/>
                              <w:rPr>
                                <w:rFonts w:hint="eastAsia" w:ascii="宋体" w:hAnsi="宋体" w:eastAsia="宋体" w:cs="宋体"/>
                                <w:spacing w:val="58"/>
                                <w:w w:val="120"/>
                                <w:kern w:val="2"/>
                                <w:sz w:val="28"/>
                                <w:szCs w:val="28"/>
                              </w:rPr>
                            </w:pPr>
                          </w:p>
                          <w:p w14:paraId="3D2280BB">
                            <w:pPr>
                              <w:jc w:val="center"/>
                              <w:rPr>
                                <w:rFonts w:hint="eastAsia" w:ascii="宋体" w:hAnsi="宋体" w:cs="宋体"/>
                                <w:spacing w:val="58"/>
                                <w:w w:val="120"/>
                                <w:sz w:val="28"/>
                                <w:szCs w:val="28"/>
                              </w:rPr>
                            </w:pPr>
                            <w:r>
                              <w:rPr>
                                <w:rFonts w:hint="eastAsia" w:ascii="宋体" w:hAnsi="宋体" w:cs="宋体"/>
                                <w:spacing w:val="58"/>
                                <w:w w:val="120"/>
                                <w:sz w:val="28"/>
                                <w:szCs w:val="28"/>
                              </w:rPr>
                              <w:t>有色金属涡流电导率仪校准规范</w:t>
                            </w:r>
                          </w:p>
                          <w:p w14:paraId="6FB14B04">
                            <w:pPr>
                              <w:jc w:val="center"/>
                              <w:rPr>
                                <w:rFonts w:hint="eastAsia" w:ascii="宋体" w:hAnsi="宋体" w:cs="宋体"/>
                                <w:sz w:val="28"/>
                                <w:szCs w:val="28"/>
                              </w:rPr>
                            </w:pPr>
                            <w:r>
                              <w:rPr>
                                <w:rFonts w:hint="eastAsia" w:ascii="宋体" w:hAnsi="宋体" w:cs="宋体"/>
                                <w:spacing w:val="58"/>
                                <w:w w:val="120"/>
                                <w:sz w:val="28"/>
                                <w:szCs w:val="28"/>
                              </w:rPr>
                              <w:t>编制组</w:t>
                            </w:r>
                          </w:p>
                          <w:p w14:paraId="7F97C46C">
                            <w:pPr>
                              <w:pStyle w:val="114"/>
                              <w:rPr>
                                <w:rFonts w:hint="eastAsia" w:ascii="宋体" w:hAnsi="宋体" w:eastAsia="宋体" w:cs="宋体"/>
                                <w:sz w:val="28"/>
                                <w:szCs w:val="28"/>
                              </w:rPr>
                            </w:pPr>
                            <w:r>
                              <w:rPr>
                                <w:rFonts w:hint="eastAsia" w:ascii="宋体" w:hAnsi="宋体" w:eastAsia="宋体" w:cs="宋体"/>
                                <w:sz w:val="28"/>
                                <w:szCs w:val="28"/>
                              </w:rPr>
                              <w:t>主编单位：西南铝业（集团）有限责任公司</w:t>
                            </w:r>
                          </w:p>
                        </w:txbxContent>
                      </wps:txbx>
                      <wps:bodyPr lIns="0" tIns="0" rIns="0" bIns="0" upright="1"/>
                    </wps:wsp>
                  </a:graphicData>
                </a:graphic>
              </wp:anchor>
            </w:drawing>
          </mc:Choice>
          <mc:Fallback>
            <w:pict>
              <v:rect id="fmFrame7" o:spid="_x0000_s1026" o:spt="1" style="position:absolute;left:0pt;margin-left:11.35pt;margin-top:595.2pt;height:121.6pt;width:481.9pt;mso-position-horizontal-relative:margin;mso-position-vertical-relative:margin;z-index:251661312;mso-width-relative:page;mso-height-relative:page;" fillcolor="#FFFFFF" filled="t" stroked="f" coordsize="21600,21600" o:gfxdata="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H+TSXYAAAADAEAAA8AAAAAAAAAAQAgAAAAIgAAAGRycy9kb3ducmV2LnhtbFBLAQIU&#10;ABQAAAAIAIdO4kBYM7RfugEAAI8DAAAOAAAAAAAAAAEAIAAAACcBAABkcnMvZTJvRG9jLnhtbFBL&#10;BQYAAAAABgAGAFkBAABTBQAAAAA=&#10;">
                <v:fill on="t" focussize="0,0"/>
                <v:stroke on="f"/>
                <v:imagedata o:title=""/>
                <o:lock v:ext="edit" aspectratio="f"/>
                <v:textbox inset="0mm,0mm,0mm,0mm">
                  <w:txbxContent>
                    <w:p w14:paraId="56A96F5F">
                      <w:pPr>
                        <w:pStyle w:val="75"/>
                        <w:rPr>
                          <w:rFonts w:hint="eastAsia" w:ascii="宋体" w:hAnsi="宋体" w:eastAsia="宋体" w:cs="宋体"/>
                          <w:spacing w:val="58"/>
                          <w:w w:val="120"/>
                          <w:kern w:val="2"/>
                          <w:sz w:val="28"/>
                          <w:szCs w:val="28"/>
                        </w:rPr>
                      </w:pPr>
                    </w:p>
                    <w:p w14:paraId="3D2280BB">
                      <w:pPr>
                        <w:jc w:val="center"/>
                        <w:rPr>
                          <w:rFonts w:hint="eastAsia" w:ascii="宋体" w:hAnsi="宋体" w:cs="宋体"/>
                          <w:spacing w:val="58"/>
                          <w:w w:val="120"/>
                          <w:sz w:val="28"/>
                          <w:szCs w:val="28"/>
                        </w:rPr>
                      </w:pPr>
                      <w:r>
                        <w:rPr>
                          <w:rFonts w:hint="eastAsia" w:ascii="宋体" w:hAnsi="宋体" w:cs="宋体"/>
                          <w:spacing w:val="58"/>
                          <w:w w:val="120"/>
                          <w:sz w:val="28"/>
                          <w:szCs w:val="28"/>
                        </w:rPr>
                        <w:t>有色金属涡流电导率仪校准规范</w:t>
                      </w:r>
                    </w:p>
                    <w:p w14:paraId="6FB14B04">
                      <w:pPr>
                        <w:jc w:val="center"/>
                        <w:rPr>
                          <w:rFonts w:hint="eastAsia" w:ascii="宋体" w:hAnsi="宋体" w:cs="宋体"/>
                          <w:sz w:val="28"/>
                          <w:szCs w:val="28"/>
                        </w:rPr>
                      </w:pPr>
                      <w:r>
                        <w:rPr>
                          <w:rFonts w:hint="eastAsia" w:ascii="宋体" w:hAnsi="宋体" w:cs="宋体"/>
                          <w:spacing w:val="58"/>
                          <w:w w:val="120"/>
                          <w:sz w:val="28"/>
                          <w:szCs w:val="28"/>
                        </w:rPr>
                        <w:t>编制组</w:t>
                      </w:r>
                    </w:p>
                    <w:p w14:paraId="7F97C46C">
                      <w:pPr>
                        <w:pStyle w:val="114"/>
                        <w:rPr>
                          <w:rFonts w:hint="eastAsia" w:ascii="宋体" w:hAnsi="宋体" w:eastAsia="宋体" w:cs="宋体"/>
                          <w:sz w:val="28"/>
                          <w:szCs w:val="28"/>
                        </w:rPr>
                      </w:pPr>
                      <w:r>
                        <w:rPr>
                          <w:rFonts w:hint="eastAsia" w:ascii="宋体" w:hAnsi="宋体" w:eastAsia="宋体" w:cs="宋体"/>
                          <w:sz w:val="28"/>
                          <w:szCs w:val="28"/>
                        </w:rPr>
                        <w:t>主编单位：西南铝业（集团）有限责任公司</w:t>
                      </w:r>
                    </w:p>
                  </w:txbxContent>
                </v:textbox>
                <w10:anchorlock/>
              </v:rect>
            </w:pict>
          </mc:Fallback>
        </mc:AlternateContent>
      </w:r>
    </w:p>
    <w:p w14:paraId="0495B9A9">
      <w:pPr>
        <w:pStyle w:val="98"/>
        <w:jc w:val="center"/>
        <w:rPr>
          <w:rFonts w:hint="eastAsia" w:ascii="黑体" w:hAnsi="黑体" w:eastAsia="黑体"/>
          <w:sz w:val="24"/>
          <w:szCs w:val="24"/>
        </w:rPr>
      </w:pPr>
    </w:p>
    <w:p w14:paraId="7F00490E">
      <w:pPr>
        <w:pStyle w:val="98"/>
        <w:jc w:val="center"/>
        <w:rPr>
          <w:rFonts w:hint="eastAsia" w:ascii="黑体" w:hAnsi="黑体" w:eastAsia="黑体"/>
          <w:sz w:val="24"/>
          <w:szCs w:val="24"/>
        </w:rPr>
      </w:pPr>
    </w:p>
    <w:p w14:paraId="48FF94EC">
      <w:pPr>
        <w:pStyle w:val="98"/>
        <w:jc w:val="center"/>
        <w:rPr>
          <w:rFonts w:hint="eastAsia" w:ascii="黑体" w:hAnsi="黑体" w:eastAsia="黑体"/>
          <w:sz w:val="24"/>
          <w:szCs w:val="24"/>
        </w:rPr>
      </w:pPr>
    </w:p>
    <w:p w14:paraId="1000FEE0">
      <w:pPr>
        <w:pStyle w:val="98"/>
        <w:jc w:val="center"/>
        <w:rPr>
          <w:rFonts w:hint="eastAsia" w:ascii="黑体" w:hAnsi="黑体" w:eastAsia="黑体"/>
          <w:sz w:val="24"/>
          <w:szCs w:val="24"/>
        </w:rPr>
      </w:pPr>
    </w:p>
    <w:p w14:paraId="113E8263">
      <w:pPr>
        <w:pStyle w:val="98"/>
        <w:jc w:val="center"/>
        <w:rPr>
          <w:rFonts w:hint="eastAsia" w:ascii="黑体" w:hAnsi="黑体" w:eastAsia="黑体"/>
          <w:sz w:val="24"/>
          <w:szCs w:val="24"/>
        </w:rPr>
      </w:pPr>
    </w:p>
    <w:p w14:paraId="261CCD7C">
      <w:pPr>
        <w:pStyle w:val="98"/>
        <w:jc w:val="center"/>
        <w:rPr>
          <w:rFonts w:hint="eastAsia" w:ascii="黑体" w:hAnsi="黑体" w:eastAsia="黑体"/>
          <w:sz w:val="24"/>
          <w:szCs w:val="24"/>
        </w:rPr>
      </w:pPr>
    </w:p>
    <w:p w14:paraId="3A03C665">
      <w:pPr>
        <w:pStyle w:val="98"/>
        <w:jc w:val="center"/>
        <w:rPr>
          <w:rFonts w:hint="eastAsia" w:ascii="黑体" w:hAnsi="黑体" w:eastAsia="黑体"/>
          <w:sz w:val="24"/>
          <w:szCs w:val="24"/>
        </w:rPr>
      </w:pPr>
    </w:p>
    <w:p w14:paraId="3DDEDAF2">
      <w:pPr>
        <w:pStyle w:val="2"/>
        <w:spacing w:before="156" w:after="156"/>
        <w:rPr>
          <w:b w:val="0"/>
          <w:bCs w:val="0"/>
        </w:rPr>
      </w:pPr>
      <w:r>
        <w:rPr>
          <w:rFonts w:hint="eastAsia"/>
          <w:b w:val="0"/>
          <w:bCs w:val="0"/>
        </w:rPr>
        <w:t>一、工作简况</w:t>
      </w:r>
      <w:bookmarkEnd w:id="0"/>
      <w:bookmarkStart w:id="2" w:name="_Toc464728896"/>
    </w:p>
    <w:p w14:paraId="29824FFB">
      <w:pPr>
        <w:pStyle w:val="3"/>
        <w:spacing w:before="156" w:after="156"/>
        <w:rPr>
          <w:b w:val="0"/>
          <w:bCs w:val="0"/>
        </w:rPr>
      </w:pPr>
      <w:r>
        <w:rPr>
          <w:rFonts w:hint="eastAsia"/>
          <w:b w:val="0"/>
          <w:bCs w:val="0"/>
        </w:rPr>
        <w:t>1.立项目的</w:t>
      </w:r>
    </w:p>
    <w:p w14:paraId="792BBC49">
      <w:pPr>
        <w:pStyle w:val="21"/>
        <w:spacing w:line="400" w:lineRule="exact"/>
        <w:ind w:firstLine="420" w:firstLineChars="200"/>
        <w:rPr>
          <w:rFonts w:hint="eastAsia" w:hAnsi="宋体"/>
          <w:szCs w:val="21"/>
          <w:highlight w:val="none"/>
        </w:rPr>
      </w:pPr>
      <w:r>
        <w:rPr>
          <w:rFonts w:hint="eastAsia" w:hAnsi="宋体"/>
          <w:szCs w:val="21"/>
          <w:highlight w:val="none"/>
        </w:rPr>
        <w:t>涡流电导率仪主要用于检测导电材料的电导率值。航空铝材在生产过程中需要对铝材进行电导率测试，以判断铝材的热处理状态是否符合要求、电导率值是否满足产品标准要求。涡流电导率仪由于在检测时，线圈不需要接触工件，也无需耦合介质，所以检测速度快，因此它在有色金属材料性能检测中应用十分广泛。</w:t>
      </w:r>
    </w:p>
    <w:p w14:paraId="1CA97E11">
      <w:pPr>
        <w:pStyle w:val="21"/>
        <w:spacing w:line="400" w:lineRule="exact"/>
        <w:ind w:firstLine="420" w:firstLineChars="200"/>
        <w:rPr>
          <w:rFonts w:hint="eastAsia" w:hAnsi="宋体"/>
          <w:szCs w:val="21"/>
          <w:highlight w:val="none"/>
        </w:rPr>
      </w:pPr>
      <w:r>
        <w:rPr>
          <w:rFonts w:hint="eastAsia" w:hAnsi="宋体"/>
          <w:szCs w:val="21"/>
          <w:highlight w:val="none"/>
        </w:rPr>
        <w:t>目前在用的技术规范GBT 12966-2022《铝及铝合金电导率涡流测试方法》、MIL-STD-1537C《采用涡流方式验证铝合金热处理后的涡流电导率的标准测试方法》、BAC5651《涡流电导率检测》、ASTM E1004-17《使用电磁的（涡流）方法测定电导率的标准方法》等对涡流电导率仪的示值误差、灵敏度、提离效应、稳定性、重复性等计量特性提出了要求，同时GBT 12966-2022还对探头的性能检测作出了要求。但现有的JJF1692-2018《涡流电导率仪校准规范》只对电导率示值误差这一计量特性进行了校准，JJG（民航）0092-2006《涡流电导率测试仪检定规程》只对电导率示值误差、稳定性进行了校准，涡流电导率仪的灵敏度、提离效应、重复性</w:t>
      </w:r>
      <w:r>
        <w:rPr>
          <w:rFonts w:hint="eastAsia" w:hAnsi="宋体"/>
          <w:szCs w:val="21"/>
          <w:highlight w:val="none"/>
          <w:lang w:eastAsia="zh-CN"/>
        </w:rPr>
        <w:t>、</w:t>
      </w:r>
      <w:r>
        <w:rPr>
          <w:rFonts w:hint="eastAsia" w:hAnsi="宋体"/>
          <w:szCs w:val="21"/>
          <w:highlight w:val="none"/>
          <w:lang w:val="en-US" w:eastAsia="zh-CN"/>
        </w:rPr>
        <w:t>探头性能</w:t>
      </w:r>
      <w:r>
        <w:rPr>
          <w:rFonts w:hint="eastAsia" w:hAnsi="宋体"/>
          <w:szCs w:val="21"/>
          <w:highlight w:val="none"/>
        </w:rPr>
        <w:t>等计量特性没有校准方法进行溯源。</w:t>
      </w:r>
    </w:p>
    <w:p w14:paraId="522B7088">
      <w:pPr>
        <w:pStyle w:val="21"/>
        <w:spacing w:line="400" w:lineRule="exact"/>
        <w:ind w:firstLine="420" w:firstLineChars="200"/>
        <w:rPr>
          <w:rFonts w:hint="eastAsia" w:hAnsi="宋体"/>
          <w:szCs w:val="21"/>
          <w:highlight w:val="none"/>
        </w:rPr>
      </w:pPr>
      <w:r>
        <w:rPr>
          <w:rFonts w:hint="eastAsia" w:hAnsi="宋体"/>
          <w:szCs w:val="21"/>
          <w:highlight w:val="none"/>
        </w:rPr>
        <w:t>因此,为保证涡流电导率仪测试结果的准确可靠，需要对其</w:t>
      </w:r>
      <w:r>
        <w:rPr>
          <w:rFonts w:hint="eastAsia" w:hAnsi="宋体"/>
          <w:szCs w:val="21"/>
          <w:highlight w:val="none"/>
          <w:lang w:val="en-US" w:eastAsia="zh-CN"/>
        </w:rPr>
        <w:t>所有计量特性</w:t>
      </w:r>
      <w:r>
        <w:rPr>
          <w:rFonts w:hint="eastAsia" w:hAnsi="宋体"/>
          <w:szCs w:val="21"/>
          <w:highlight w:val="none"/>
        </w:rPr>
        <w:t>进行校准，以有利于</w:t>
      </w:r>
      <w:r>
        <w:rPr>
          <w:rFonts w:hint="eastAsia" w:hAnsi="宋体"/>
          <w:szCs w:val="21"/>
          <w:highlight w:val="none"/>
          <w:lang w:val="en-US" w:eastAsia="zh-CN"/>
        </w:rPr>
        <w:t>有色金属行业产品</w:t>
      </w:r>
      <w:r>
        <w:rPr>
          <w:rFonts w:hint="eastAsia" w:hAnsi="宋体"/>
          <w:szCs w:val="21"/>
          <w:highlight w:val="none"/>
        </w:rPr>
        <w:t>质量提升。</w:t>
      </w:r>
    </w:p>
    <w:p w14:paraId="45FF82FA">
      <w:pPr>
        <w:pStyle w:val="3"/>
        <w:spacing w:before="156" w:after="156"/>
        <w:rPr>
          <w:b w:val="0"/>
          <w:bCs w:val="0"/>
        </w:rPr>
      </w:pPr>
      <w:r>
        <w:rPr>
          <w:rFonts w:hint="eastAsia"/>
          <w:b w:val="0"/>
          <w:bCs w:val="0"/>
        </w:rPr>
        <w:t>2.任务来源</w:t>
      </w:r>
      <w:bookmarkEnd w:id="2"/>
    </w:p>
    <w:p w14:paraId="7650985E">
      <w:pPr>
        <w:spacing w:line="360" w:lineRule="auto"/>
        <w:ind w:firstLine="420" w:firstLineChars="200"/>
        <w:rPr>
          <w:szCs w:val="21"/>
        </w:rPr>
      </w:pPr>
      <w:r>
        <w:rPr>
          <w:rFonts w:hint="eastAsia"/>
          <w:szCs w:val="21"/>
        </w:rPr>
        <w:t>根据工业和信息化部《关于印发2025年行业计量技术规范制修订计划的通知》（工厅科［2025］299号）文的要求，行业计量技术规范《有色金属涡流电导率仪校准规范》由西南铝业（集团）有限责任公司负责起草。该项目计划编号为JJFZ（有色金属）008-2025。按计划要求，本计量规范应于2027年12月完成制定。</w:t>
      </w:r>
    </w:p>
    <w:p w14:paraId="0CF24F67">
      <w:pPr>
        <w:pStyle w:val="3"/>
        <w:spacing w:before="156" w:after="156"/>
        <w:rPr>
          <w:b w:val="0"/>
          <w:bCs w:val="0"/>
        </w:rPr>
      </w:pPr>
      <w:r>
        <w:rPr>
          <w:rFonts w:hint="eastAsia"/>
          <w:b w:val="0"/>
          <w:bCs w:val="0"/>
        </w:rPr>
        <w:t>3.项目编制组单位简况</w:t>
      </w:r>
    </w:p>
    <w:p w14:paraId="46DCE2A2">
      <w:pPr>
        <w:pStyle w:val="4"/>
        <w:spacing w:before="156" w:after="156"/>
        <w:rPr>
          <w:b w:val="0"/>
          <w:bCs w:val="0"/>
        </w:rPr>
      </w:pPr>
      <w:r>
        <w:rPr>
          <w:rFonts w:hint="eastAsia"/>
          <w:b w:val="0"/>
          <w:bCs w:val="0"/>
        </w:rPr>
        <w:t>3.1编制组成员单位</w:t>
      </w:r>
    </w:p>
    <w:p w14:paraId="22EF2DE1">
      <w:pPr>
        <w:widowControl/>
        <w:autoSpaceDE w:val="0"/>
        <w:autoSpaceDN w:val="0"/>
        <w:spacing w:line="400" w:lineRule="exact"/>
        <w:ind w:firstLine="420" w:firstLineChars="200"/>
        <w:rPr>
          <w:szCs w:val="21"/>
        </w:rPr>
      </w:pPr>
      <w:bookmarkStart w:id="3" w:name="_Toc462884344"/>
      <w:bookmarkStart w:id="4" w:name="_Toc464728900"/>
      <w:r>
        <w:rPr>
          <w:rFonts w:hint="eastAsia"/>
          <w:szCs w:val="21"/>
        </w:rPr>
        <w:t>本规范的编制组单位为：西南铝业（集团）有限责任公司、东北轻合金有限责任公司、国合通用（青岛）测试评价股份有限公司、国标（北京）检验认证有限公司、广东省科学院工业分析检测中心、西安汉唐分析检测有限公司、中国船舶集团有限公司第七二五研究所、广东省科学院新材料研究所、中铝洛阳铜加工有限公司、国合通用（重庆）测试评价认证有限公司、上海有色金属工业技术监测中心有限公司等</w:t>
      </w:r>
    </w:p>
    <w:p w14:paraId="4CBFE016">
      <w:pPr>
        <w:pStyle w:val="4"/>
        <w:spacing w:before="156" w:after="156"/>
        <w:rPr>
          <w:b w:val="0"/>
          <w:bCs w:val="0"/>
        </w:rPr>
      </w:pPr>
      <w:r>
        <w:rPr>
          <w:rFonts w:hint="eastAsia"/>
          <w:b w:val="0"/>
          <w:bCs w:val="0"/>
        </w:rPr>
        <w:t>3.2 主编单位简介</w:t>
      </w:r>
    </w:p>
    <w:bookmarkEnd w:id="3"/>
    <w:bookmarkEnd w:id="4"/>
    <w:p w14:paraId="7804938A">
      <w:pPr>
        <w:spacing w:line="400" w:lineRule="exact"/>
        <w:ind w:firstLine="420" w:firstLineChars="200"/>
        <w:contextualSpacing/>
        <w:jc w:val="left"/>
        <w:rPr>
          <w:szCs w:val="21"/>
        </w:rPr>
      </w:pPr>
      <w:r>
        <w:rPr>
          <w:rFonts w:hint="eastAsia"/>
          <w:szCs w:val="21"/>
        </w:rPr>
        <w:t>西南铝业(集团)有限责任公司(简称西南铝)位于重庆市九龙坡区西彭镇,前身为冶金部112厂、西南铝加工厂，始建于1965年7月，2000年12月改制成立有限责任公司,是我国为生产重点项目、航空航天所需大规格、新品种、高质量铝及铝合金材料而建设的大型企业。西南铝培养了中国工程院院士1人、两江学者1人、国家级技能大师1人、享受国务院政府特殊津贴专家30余人，建有院士工作站,拥有国家级企业技术中心。西南铝建有校准实验室与检测实验室，均通过了CNAS认可，具备对涡流电导率仪、涡流电导率块、闭路循环法铝及铝合金液态测氢仪、衡器、材料试验机、金属布氏硬度计、电子天平、压力表、数字压力计、温度显示仪等123项测量仪器的CNAS校准能力，检测实验室是空客、赛峰等民用航空授权试验室，具备铝合金材料的力学性能、硬度、制耳率、深冲性能、疲劳、断裂韧性等性能检测能力，具备铝合金材料的化学成分、固态测氢等分析检测能力，具备铝合金材料的晶间腐蚀、剥落腐蚀、C形环应力腐蚀、拉伸应力腐蚀等腐蚀性能检测能力，具备铝合金材料显微组织结构、SEM分析、微区组分等分析检测能力，具备铝合金材料的失效分析检测能力，可为铝产业提供金相、机械性能、腐蚀、化学成分等专业检测服务。西南铝主持和参与国家、行业标准277项，作为主编单位起草了《行业校准规范《闭路循环法铝及铝合金液态测氢仪校准规范》、《电热恒温水浴锅校准规范》、《电子式温湿度计校准规范》、《油膜测厚仪校准规范校准规范》、《支辊式弯曲试验机校准规范》、《叉式热电偶校准规范》、《铝板带在线测厚仪校准规范》。</w:t>
      </w:r>
    </w:p>
    <w:p w14:paraId="629D1662">
      <w:pPr>
        <w:spacing w:line="400" w:lineRule="exact"/>
        <w:ind w:firstLine="420" w:firstLineChars="200"/>
        <w:contextualSpacing/>
        <w:jc w:val="left"/>
        <w:rPr>
          <w:szCs w:val="21"/>
        </w:rPr>
      </w:pPr>
      <w:r>
        <w:rPr>
          <w:rFonts w:hint="eastAsia"/>
          <w:szCs w:val="21"/>
        </w:rPr>
        <w:t>该单位主要负责本规范的起草工作，成立编制组并根据委员会的工作安排组织编制组成员单位开展相关校准工作，组织各单位对规范的《讨论稿》进行认真的讨论，并就提出的意见和建议进行反馈和修改，在编制组中发挥了主要带头作用。</w:t>
      </w:r>
    </w:p>
    <w:p w14:paraId="3F70942E">
      <w:pPr>
        <w:pStyle w:val="60"/>
        <w:numPr>
          <w:ilvl w:val="0"/>
          <w:numId w:val="0"/>
        </w:numPr>
        <w:spacing w:before="156" w:beforeLines="50" w:after="156" w:afterLines="50"/>
        <w:rPr>
          <w:color w:val="auto"/>
        </w:rPr>
      </w:pPr>
      <w:bookmarkStart w:id="5" w:name="_Toc464728901"/>
      <w:bookmarkStart w:id="6" w:name="_Toc462884345"/>
      <w:r>
        <w:rPr>
          <w:rFonts w:hint="eastAsia"/>
          <w:color w:val="auto"/>
        </w:rPr>
        <w:t>3.3成员单位简介</w:t>
      </w:r>
      <w:bookmarkEnd w:id="5"/>
      <w:bookmarkEnd w:id="6"/>
    </w:p>
    <w:p w14:paraId="5CF175BC">
      <w:pPr>
        <w:pStyle w:val="59"/>
        <w:numPr>
          <w:ilvl w:val="0"/>
          <w:numId w:val="0"/>
        </w:numPr>
        <w:spacing w:before="156" w:beforeLines="50" w:after="156" w:afterLines="50"/>
        <w:contextualSpacing/>
        <w:rPr>
          <w:rFonts w:hint="eastAsia"/>
          <w:szCs w:val="21"/>
        </w:rPr>
      </w:pPr>
      <w:r>
        <w:rPr>
          <w:rFonts w:hint="eastAsia"/>
        </w:rPr>
        <w:t>3.3.1</w:t>
      </w:r>
      <w:r>
        <w:rPr>
          <w:rFonts w:hint="eastAsia" w:ascii="Times New Roman"/>
        </w:rPr>
        <w:t xml:space="preserve">   </w:t>
      </w:r>
      <w:r>
        <w:rPr>
          <w:rFonts w:hint="eastAsia"/>
          <w:szCs w:val="21"/>
        </w:rPr>
        <w:t>东北轻合金有限责任公司</w:t>
      </w:r>
    </w:p>
    <w:p w14:paraId="363EA303">
      <w:pPr>
        <w:spacing w:line="400" w:lineRule="exact"/>
        <w:ind w:firstLine="420" w:firstLineChars="200"/>
        <w:contextualSpacing/>
        <w:jc w:val="left"/>
        <w:rPr>
          <w:szCs w:val="21"/>
        </w:rPr>
      </w:pPr>
      <w:r>
        <w:rPr>
          <w:rFonts w:hint="eastAsia"/>
          <w:szCs w:val="21"/>
        </w:rPr>
        <w:t>东北轻合金有限责任公司（即101厂，以下简称东轻公司）是建国初期陈云同志向党中央撰写报告，由毛泽东、朱德、周恩来、刘少奇亲自阅定、签批筹建的中国第一个铝镁合金加工企业，是国家“一五”期间156项重点工程中的2项。1952年建厂，1956年开工生产。1998年6月改制为国有独资公司，2000年7月划归哈尔滨市管理。2007年9月进入中国铝业公司，成为中国铝业公司铝加工五大基地之一。公司于1996年通过了ISO9001国际质量体系认证，近年来先后通过军工产品质量体系认证、AS9100、PED压力容器以及中国新时代认证中心的质量管理体系、职业健康安全和环境管理体系认证等。公司曾获得“国家质量管理奖”、“国家一级企业”、“质量、服务、信誉AAA级品牌、“国家优秀计量企业”，“黑龙江省先进计量企业”称号，并获得计量一级企业，2001年获得完善计量检测体系（GB／T19022.1）合格证书，2020年9月获得AAA级测量管理体系认证证书。</w:t>
      </w:r>
    </w:p>
    <w:p w14:paraId="1C006B48">
      <w:pPr>
        <w:pStyle w:val="59"/>
        <w:numPr>
          <w:ilvl w:val="0"/>
          <w:numId w:val="0"/>
        </w:numPr>
        <w:spacing w:before="156" w:beforeLines="50" w:after="156" w:afterLines="50"/>
        <w:contextualSpacing/>
        <w:rPr>
          <w:rFonts w:hint="eastAsia"/>
          <w:szCs w:val="21"/>
        </w:rPr>
      </w:pPr>
      <w:r>
        <w:rPr>
          <w:rFonts w:hint="eastAsia"/>
        </w:rPr>
        <w:t>3.3.2</w:t>
      </w:r>
      <w:r>
        <w:rPr>
          <w:rFonts w:hint="eastAsia" w:ascii="Times New Roman"/>
        </w:rPr>
        <w:t xml:space="preserve">  </w:t>
      </w:r>
      <w:r>
        <w:rPr>
          <w:rFonts w:hint="eastAsia"/>
          <w:szCs w:val="21"/>
        </w:rPr>
        <w:t>国标（北京）检验认证有限公司</w:t>
      </w:r>
    </w:p>
    <w:p w14:paraId="57205DAE">
      <w:pPr>
        <w:spacing w:line="360" w:lineRule="auto"/>
        <w:ind w:firstLine="420" w:firstLineChars="200"/>
      </w:pPr>
      <w:r>
        <w:rPr>
          <w:rFonts w:hint="eastAsia"/>
        </w:rPr>
        <w:t>国标（北京）检验认证有限公司是我国有色行业的材料研究和材料检测的权威机构。该公司运行着国家有色金属质量监督检验中心，是我国有色行业金属材料检测的权威机构。中心拥有雄厚的技术力量，先进的仪器，齐全的分析方法，以及与国际接轨的质量管理体系（ISO/IEC 17025），承接了国家质量监督抽查、实施生产许可证产品的质量检验、方圆产品认证检验、产品质量鉴定、质量评价和仲裁检验等任务。同时，研究开发新的检验技术和方法，培训检验人员和技术咨询，承担和参加国家标准、行业标准的制定和修订工作，负责和参与起草制订国家标准150余项，行业标准70余项。</w:t>
      </w:r>
    </w:p>
    <w:p w14:paraId="0FB6C2B7">
      <w:pPr>
        <w:pStyle w:val="59"/>
        <w:numPr>
          <w:ilvl w:val="0"/>
          <w:numId w:val="0"/>
        </w:numPr>
        <w:spacing w:before="156" w:beforeLines="50" w:after="156" w:afterLines="50"/>
        <w:contextualSpacing/>
        <w:rPr>
          <w:rFonts w:hint="eastAsia"/>
          <w:szCs w:val="21"/>
        </w:rPr>
      </w:pPr>
      <w:r>
        <w:rPr>
          <w:rFonts w:hint="eastAsia"/>
        </w:rPr>
        <w:t>3.3.3</w:t>
      </w:r>
      <w:r>
        <w:rPr>
          <w:rFonts w:hint="eastAsia" w:ascii="Times New Roman"/>
        </w:rPr>
        <w:t xml:space="preserve">  </w:t>
      </w:r>
      <w:r>
        <w:rPr>
          <w:rFonts w:hint="eastAsia"/>
          <w:szCs w:val="21"/>
        </w:rPr>
        <w:t>西安汉唐分析检测有限公司</w:t>
      </w:r>
    </w:p>
    <w:p w14:paraId="7158AC89">
      <w:pPr>
        <w:pStyle w:val="58"/>
        <w:spacing w:line="360" w:lineRule="auto"/>
        <w:ind w:firstLine="420"/>
        <w:rPr>
          <w:rFonts w:ascii="Times New Roman" w:hAnsi="Times New Roman"/>
          <w:kern w:val="2"/>
          <w:szCs w:val="24"/>
        </w:rPr>
      </w:pPr>
      <w:r>
        <w:rPr>
          <w:rFonts w:hint="eastAsia" w:ascii="Times New Roman" w:hAnsi="Times New Roman"/>
          <w:kern w:val="2"/>
          <w:szCs w:val="24"/>
        </w:rPr>
        <w:t>西安汉唐分析检测有限公司是西北有色金属研究院(集团)控股子公司，属国有企业，主要从事有色产品的检测、可靠性评价、失效分析、质量评估、腐蚀性能及表面测试与表征、规范起草、检测方法的开发、标物的研制、设备的计量校准等。公司于1985年被陕西省质监局授权为陕西省有色金属产品质量监督检验站。1987年被中国有色金属工业总公司授权为西北质量监督检验中心，先后被国家质检总局确定为钛及钛合金、铜及铜合金管材生产许可证检验工作实施单位；公司通过CNAS、CMA、国防DiLAC等认证认可，是陕西省有色金属材料分析检测与评价中心、陕西省稀有金属材料安全评估和失效分析中心、工业（稀有金属）产品质量和技术评价实验室、陕西省核工业用金属材料检测与评价服务平台挂靠单位。公司是国内最早从事有色金属材料及其产品分析检验检测与评价研究的专业机构之一，先后承担了国家、省市多项重大课题，目前已建成国内唯一的核电堆芯材料分析检测平台、多层金属复合材料测试和评价平台、钛及钛合金专业检测平台。近10年起草有色金属国家/行业规范共80余项、发表论文120余篇、授权专利30余项。先后荣获中国有色金属工业一等奖、二等奖20余次。</w:t>
      </w:r>
    </w:p>
    <w:p w14:paraId="71DFFD9A">
      <w:pPr>
        <w:pStyle w:val="58"/>
        <w:spacing w:line="360" w:lineRule="auto"/>
        <w:ind w:firstLine="420"/>
        <w:rPr>
          <w:rFonts w:ascii="Times New Roman" w:hAnsi="Times New Roman"/>
          <w:kern w:val="2"/>
          <w:szCs w:val="24"/>
        </w:rPr>
      </w:pPr>
      <w:r>
        <w:rPr>
          <w:rFonts w:hint="eastAsia"/>
        </w:rPr>
        <w:t>该单位积极参与编制组的各项工作会议，对规范的校准方法提出了有效建议，在编制组中发挥了主要作用。</w:t>
      </w:r>
    </w:p>
    <w:p w14:paraId="3910E446">
      <w:pPr>
        <w:pStyle w:val="59"/>
        <w:numPr>
          <w:ilvl w:val="0"/>
          <w:numId w:val="0"/>
        </w:numPr>
        <w:spacing w:before="156" w:beforeLines="50" w:after="156" w:afterLines="50"/>
        <w:contextualSpacing/>
        <w:rPr>
          <w:rFonts w:hint="eastAsia"/>
          <w:szCs w:val="21"/>
        </w:rPr>
      </w:pPr>
      <w:r>
        <w:rPr>
          <w:rFonts w:hint="eastAsia"/>
        </w:rPr>
        <w:t>3.3.4</w:t>
      </w:r>
      <w:r>
        <w:rPr>
          <w:rFonts w:hint="eastAsia" w:ascii="Times New Roman"/>
        </w:rPr>
        <w:t xml:space="preserve">  </w:t>
      </w:r>
      <w:r>
        <w:rPr>
          <w:rFonts w:hint="eastAsia"/>
          <w:szCs w:val="21"/>
        </w:rPr>
        <w:t>广东省科学院工业分析检测中心</w:t>
      </w:r>
    </w:p>
    <w:p w14:paraId="5812177D">
      <w:pPr>
        <w:pStyle w:val="58"/>
        <w:spacing w:line="360" w:lineRule="auto"/>
        <w:ind w:firstLine="420"/>
      </w:pPr>
      <w:r>
        <w:rPr>
          <w:rFonts w:hint="eastAsia"/>
        </w:rPr>
        <w:t>广东省科学院工业分析检测中心始建于1971 年，先后隶属于广州有色金属研究院、广东省工业技术研究院（广州有色金属研究院），2015年12月经广东省机构编制委员会批准成为广东省科学院属下的独立二级事业法人单位。是我国从事矿产品、金属材料、冶金产品、化工产品、再生资源质量检测和性能评价，欧盟环保（RoHS）指令的有害物质检测、金属材料综合利用检测以及分析测试技术研究与技术咨询的专业机构。中心现有高、中、初级专业技术和管理人员100余人，其中教授有15人，高级工程师24人，硕博士20人，具有中级职称以上科技人员占80%。累计申请专利19件，其中授权发明专利8件、授权实用新型专利2件。承担国家、省级各类项目50余项，主持和参与国家、行业标准200余项，发表专著5部，发表论文300余篇。</w:t>
      </w:r>
    </w:p>
    <w:p w14:paraId="127BF099">
      <w:pPr>
        <w:widowControl/>
        <w:spacing w:before="156" w:beforeLines="50" w:after="156" w:afterLines="50" w:line="300" w:lineRule="auto"/>
        <w:contextualSpacing/>
        <w:outlineLvl w:val="3"/>
        <w:rPr>
          <w:rFonts w:ascii="黑体" w:hAnsi="黑体" w:eastAsia="黑体"/>
          <w:color w:val="000000" w:themeColor="text1"/>
          <w:spacing w:val="-6"/>
          <w:kern w:val="0"/>
          <w:szCs w:val="21"/>
          <w14:textFill>
            <w14:solidFill>
              <w14:schemeClr w14:val="tx1"/>
            </w14:solidFill>
          </w14:textFill>
        </w:rPr>
      </w:pPr>
      <w:bookmarkStart w:id="7" w:name="OLE_LINK2"/>
      <w:r>
        <w:rPr>
          <w:rFonts w:hint="eastAsia" w:ascii="黑体" w:hAnsi="黑体" w:eastAsia="黑体"/>
          <w:color w:val="000000" w:themeColor="text1"/>
          <w:spacing w:val="-6"/>
          <w:kern w:val="0"/>
          <w14:textFill>
            <w14:solidFill>
              <w14:schemeClr w14:val="tx1"/>
            </w14:solidFill>
          </w14:textFill>
        </w:rPr>
        <w:t>3.3.5</w:t>
      </w:r>
      <w:r>
        <w:rPr>
          <w:rFonts w:hint="eastAsia" w:hAnsi="黑体" w:eastAsia="黑体"/>
          <w:color w:val="000000" w:themeColor="text1"/>
          <w:spacing w:val="-6"/>
          <w:kern w:val="0"/>
          <w14:textFill>
            <w14:solidFill>
              <w14:schemeClr w14:val="tx1"/>
            </w14:solidFill>
          </w14:textFill>
        </w:rPr>
        <w:t xml:space="preserve">  </w:t>
      </w:r>
      <w:r>
        <w:rPr>
          <w:rFonts w:hint="eastAsia" w:ascii="黑体" w:hAnsi="黑体" w:eastAsia="黑体"/>
          <w:color w:val="000000" w:themeColor="text1"/>
          <w:spacing w:val="-6"/>
          <w:kern w:val="0"/>
          <w:szCs w:val="21"/>
          <w14:textFill>
            <w14:solidFill>
              <w14:schemeClr w14:val="tx1"/>
            </w14:solidFill>
          </w14:textFill>
        </w:rPr>
        <w:t>国合通用(青岛)测试评价股份有限公司</w:t>
      </w:r>
    </w:p>
    <w:p w14:paraId="5A5DD822">
      <w:pPr>
        <w:widowControl/>
        <w:spacing w:before="156" w:beforeLines="50" w:after="156" w:afterLines="50" w:line="300" w:lineRule="auto"/>
        <w:contextualSpacing/>
        <w:outlineLvl w:val="3"/>
        <w:rPr>
          <w:rFonts w:ascii="黑体" w:hAnsi="黑体" w:eastAsia="黑体"/>
          <w:color w:val="000000" w:themeColor="text1"/>
          <w:spacing w:val="-6"/>
          <w:kern w:val="0"/>
          <w:szCs w:val="21"/>
          <w14:textFill>
            <w14:solidFill>
              <w14:schemeClr w14:val="tx1"/>
            </w14:solidFill>
          </w14:textFill>
        </w:rPr>
      </w:pPr>
    </w:p>
    <w:p w14:paraId="6F9D3E0C">
      <w:pPr>
        <w:widowControl/>
        <w:spacing w:before="156" w:beforeLines="50" w:after="156" w:afterLines="50" w:line="300" w:lineRule="auto"/>
        <w:contextualSpacing/>
        <w:outlineLvl w:val="3"/>
        <w:rPr>
          <w:rFonts w:ascii="黑体" w:hAnsi="黑体" w:eastAsia="黑体"/>
          <w:color w:val="000000" w:themeColor="text1"/>
          <w:spacing w:val="-6"/>
          <w:kern w:val="0"/>
          <w:szCs w:val="21"/>
          <w14:textFill>
            <w14:solidFill>
              <w14:schemeClr w14:val="tx1"/>
            </w14:solidFill>
          </w14:textFill>
        </w:rPr>
      </w:pPr>
      <w:r>
        <w:rPr>
          <w:rFonts w:hint="eastAsia" w:ascii="黑体" w:hAnsi="黑体" w:eastAsia="黑体"/>
          <w:color w:val="000000" w:themeColor="text1"/>
          <w:spacing w:val="-6"/>
          <w:kern w:val="0"/>
          <w:szCs w:val="21"/>
          <w14:textFill>
            <w14:solidFill>
              <w14:schemeClr w14:val="tx1"/>
            </w14:solidFill>
          </w14:textFill>
        </w:rPr>
        <w:t>3.3.6  中国船舶集团有限公司第七二五研究所</w:t>
      </w:r>
    </w:p>
    <w:p w14:paraId="6A47932A">
      <w:pPr>
        <w:widowControl/>
        <w:spacing w:before="156" w:beforeLines="50" w:after="156" w:afterLines="50" w:line="300" w:lineRule="auto"/>
        <w:contextualSpacing/>
        <w:outlineLvl w:val="3"/>
        <w:rPr>
          <w:rFonts w:ascii="黑体" w:hAnsi="黑体" w:eastAsia="黑体"/>
          <w:color w:val="000000" w:themeColor="text1"/>
          <w:spacing w:val="-6"/>
          <w:kern w:val="0"/>
          <w:szCs w:val="21"/>
          <w14:textFill>
            <w14:solidFill>
              <w14:schemeClr w14:val="tx1"/>
            </w14:solidFill>
          </w14:textFill>
        </w:rPr>
      </w:pPr>
    </w:p>
    <w:p w14:paraId="62E0DAAB">
      <w:pPr>
        <w:widowControl/>
        <w:spacing w:before="156" w:beforeLines="50" w:after="156" w:afterLines="50" w:line="300" w:lineRule="auto"/>
        <w:contextualSpacing/>
        <w:outlineLvl w:val="3"/>
        <w:rPr>
          <w:rFonts w:ascii="黑体" w:hAnsi="黑体" w:eastAsia="黑体"/>
          <w:color w:val="000000" w:themeColor="text1"/>
          <w:spacing w:val="-6"/>
          <w:kern w:val="0"/>
          <w:szCs w:val="21"/>
          <w14:textFill>
            <w14:solidFill>
              <w14:schemeClr w14:val="tx1"/>
            </w14:solidFill>
          </w14:textFill>
        </w:rPr>
      </w:pPr>
      <w:r>
        <w:rPr>
          <w:rFonts w:hint="eastAsia" w:ascii="黑体" w:hAnsi="黑体" w:eastAsia="黑体"/>
          <w:color w:val="000000" w:themeColor="text1"/>
          <w:spacing w:val="-6"/>
          <w:kern w:val="0"/>
          <w14:textFill>
            <w14:solidFill>
              <w14:schemeClr w14:val="tx1"/>
            </w14:solidFill>
          </w14:textFill>
        </w:rPr>
        <w:t>3.3.7</w:t>
      </w:r>
      <w:r>
        <w:rPr>
          <w:rFonts w:hint="eastAsia" w:hAnsi="黑体" w:eastAsia="黑体"/>
          <w:color w:val="000000" w:themeColor="text1"/>
          <w:spacing w:val="-6"/>
          <w:kern w:val="0"/>
          <w14:textFill>
            <w14:solidFill>
              <w14:schemeClr w14:val="tx1"/>
            </w14:solidFill>
          </w14:textFill>
        </w:rPr>
        <w:t xml:space="preserve">  </w:t>
      </w:r>
      <w:r>
        <w:rPr>
          <w:rFonts w:hint="eastAsia" w:ascii="黑体" w:hAnsi="黑体" w:eastAsia="黑体"/>
          <w:color w:val="000000" w:themeColor="text1"/>
          <w:spacing w:val="-6"/>
          <w:kern w:val="0"/>
          <w:szCs w:val="21"/>
          <w14:textFill>
            <w14:solidFill>
              <w14:schemeClr w14:val="tx1"/>
            </w14:solidFill>
          </w14:textFill>
        </w:rPr>
        <w:t>广东省科学院新材料研究所</w:t>
      </w:r>
    </w:p>
    <w:p w14:paraId="5893FA82">
      <w:pPr>
        <w:widowControl/>
        <w:spacing w:before="156" w:beforeLines="50" w:after="156" w:afterLines="50" w:line="300" w:lineRule="auto"/>
        <w:contextualSpacing/>
        <w:outlineLvl w:val="3"/>
        <w:rPr>
          <w:rFonts w:ascii="黑体" w:hAnsi="黑体" w:eastAsia="黑体"/>
          <w:color w:val="000000" w:themeColor="text1"/>
          <w:spacing w:val="-6"/>
          <w:kern w:val="0"/>
          <w:szCs w:val="21"/>
          <w14:textFill>
            <w14:solidFill>
              <w14:schemeClr w14:val="tx1"/>
            </w14:solidFill>
          </w14:textFill>
        </w:rPr>
      </w:pPr>
    </w:p>
    <w:p w14:paraId="4DBE1A6C">
      <w:pPr>
        <w:widowControl/>
        <w:spacing w:before="156" w:beforeLines="50" w:after="156" w:afterLines="50" w:line="300" w:lineRule="auto"/>
        <w:contextualSpacing/>
        <w:outlineLvl w:val="3"/>
        <w:rPr>
          <w:rFonts w:hint="eastAsia" w:ascii="黑体" w:hAnsi="黑体" w:eastAsia="黑体"/>
          <w:color w:val="000000" w:themeColor="text1"/>
          <w:spacing w:val="-6"/>
          <w:kern w:val="0"/>
          <w:szCs w:val="21"/>
          <w14:textFill>
            <w14:solidFill>
              <w14:schemeClr w14:val="tx1"/>
            </w14:solidFill>
          </w14:textFill>
        </w:rPr>
      </w:pPr>
      <w:r>
        <w:rPr>
          <w:rFonts w:hint="eastAsia" w:ascii="黑体" w:hAnsi="黑体" w:eastAsia="黑体"/>
          <w:color w:val="000000" w:themeColor="text1"/>
          <w:spacing w:val="-6"/>
          <w:kern w:val="0"/>
          <w14:textFill>
            <w14:solidFill>
              <w14:schemeClr w14:val="tx1"/>
            </w14:solidFill>
          </w14:textFill>
        </w:rPr>
        <w:t>3.3.8</w:t>
      </w:r>
      <w:r>
        <w:rPr>
          <w:rFonts w:hint="eastAsia" w:hAnsi="黑体" w:eastAsia="黑体"/>
          <w:color w:val="000000" w:themeColor="text1"/>
          <w:spacing w:val="-6"/>
          <w:kern w:val="0"/>
          <w14:textFill>
            <w14:solidFill>
              <w14:schemeClr w14:val="tx1"/>
            </w14:solidFill>
          </w14:textFill>
        </w:rPr>
        <w:t xml:space="preserve">  </w:t>
      </w:r>
      <w:r>
        <w:rPr>
          <w:rFonts w:hint="eastAsia" w:ascii="黑体" w:hAnsi="黑体" w:eastAsia="黑体"/>
          <w:color w:val="000000" w:themeColor="text1"/>
          <w:spacing w:val="-6"/>
          <w:kern w:val="0"/>
          <w:szCs w:val="21"/>
          <w14:textFill>
            <w14:solidFill>
              <w14:schemeClr w14:val="tx1"/>
            </w14:solidFill>
          </w14:textFill>
        </w:rPr>
        <w:t>中铝洛阳铜加工有限公司</w:t>
      </w:r>
    </w:p>
    <w:p w14:paraId="15A8F7C8">
      <w:pPr>
        <w:widowControl/>
        <w:spacing w:before="156" w:beforeLines="50" w:after="156" w:afterLines="50" w:line="300" w:lineRule="auto"/>
        <w:contextualSpacing/>
        <w:outlineLvl w:val="3"/>
        <w:rPr>
          <w:rFonts w:ascii="黑体" w:hAnsi="黑体" w:eastAsia="黑体"/>
          <w:color w:val="000000" w:themeColor="text1"/>
          <w:spacing w:val="-6"/>
          <w:kern w:val="0"/>
          <w:szCs w:val="21"/>
          <w14:textFill>
            <w14:solidFill>
              <w14:schemeClr w14:val="tx1"/>
            </w14:solidFill>
          </w14:textFill>
        </w:rPr>
      </w:pPr>
    </w:p>
    <w:p w14:paraId="47DC8D00">
      <w:pPr>
        <w:widowControl/>
        <w:spacing w:before="156" w:beforeLines="50" w:after="156" w:afterLines="50" w:line="300" w:lineRule="auto"/>
        <w:contextualSpacing/>
        <w:outlineLvl w:val="3"/>
        <w:rPr>
          <w:rFonts w:hint="eastAsia" w:ascii="黑体" w:hAnsi="黑体" w:eastAsia="黑体"/>
          <w:color w:val="000000" w:themeColor="text1"/>
          <w:spacing w:val="-6"/>
          <w:kern w:val="0"/>
          <w:szCs w:val="21"/>
          <w14:textFill>
            <w14:solidFill>
              <w14:schemeClr w14:val="tx1"/>
            </w14:solidFill>
          </w14:textFill>
        </w:rPr>
      </w:pPr>
      <w:r>
        <w:rPr>
          <w:rFonts w:hint="eastAsia" w:ascii="黑体" w:hAnsi="黑体" w:eastAsia="黑体"/>
          <w:color w:val="000000" w:themeColor="text1"/>
          <w:spacing w:val="-6"/>
          <w:kern w:val="0"/>
          <w14:textFill>
            <w14:solidFill>
              <w14:schemeClr w14:val="tx1"/>
            </w14:solidFill>
          </w14:textFill>
        </w:rPr>
        <w:t>3.3.9</w:t>
      </w:r>
      <w:r>
        <w:rPr>
          <w:rFonts w:hint="eastAsia" w:hAnsi="黑体" w:eastAsia="黑体"/>
          <w:color w:val="000000" w:themeColor="text1"/>
          <w:spacing w:val="-6"/>
          <w:kern w:val="0"/>
          <w14:textFill>
            <w14:solidFill>
              <w14:schemeClr w14:val="tx1"/>
            </w14:solidFill>
          </w14:textFill>
        </w:rPr>
        <w:t xml:space="preserve">  </w:t>
      </w:r>
      <w:r>
        <w:rPr>
          <w:rFonts w:hint="eastAsia" w:ascii="黑体" w:hAnsi="黑体" w:eastAsia="黑体"/>
          <w:color w:val="000000" w:themeColor="text1"/>
          <w:spacing w:val="-6"/>
          <w:kern w:val="0"/>
          <w:szCs w:val="21"/>
          <w14:textFill>
            <w14:solidFill>
              <w14:schemeClr w14:val="tx1"/>
            </w14:solidFill>
          </w14:textFill>
        </w:rPr>
        <w:t>国合通用（重庆）测试评价认证有限公司</w:t>
      </w:r>
    </w:p>
    <w:p w14:paraId="6333CCD7">
      <w:pPr>
        <w:widowControl/>
        <w:spacing w:before="156" w:beforeLines="50" w:after="156" w:afterLines="50" w:line="300" w:lineRule="auto"/>
        <w:contextualSpacing/>
        <w:outlineLvl w:val="3"/>
        <w:rPr>
          <w:rFonts w:ascii="黑体" w:hAnsi="黑体" w:eastAsia="黑体"/>
          <w:color w:val="000000" w:themeColor="text1"/>
          <w:spacing w:val="-6"/>
          <w:kern w:val="0"/>
          <w:szCs w:val="21"/>
          <w14:textFill>
            <w14:solidFill>
              <w14:schemeClr w14:val="tx1"/>
            </w14:solidFill>
          </w14:textFill>
        </w:rPr>
      </w:pPr>
    </w:p>
    <w:p w14:paraId="69BE8ED3">
      <w:pPr>
        <w:widowControl/>
        <w:spacing w:before="156" w:beforeLines="50" w:after="156" w:afterLines="50" w:line="300" w:lineRule="auto"/>
        <w:contextualSpacing/>
        <w:outlineLvl w:val="3"/>
        <w:rPr>
          <w:rFonts w:hint="eastAsia" w:ascii="黑体" w:hAnsi="黑体" w:eastAsia="黑体"/>
          <w:color w:val="000000" w:themeColor="text1"/>
          <w:spacing w:val="-6"/>
          <w:kern w:val="0"/>
          <w:szCs w:val="21"/>
          <w14:textFill>
            <w14:solidFill>
              <w14:schemeClr w14:val="tx1"/>
            </w14:solidFill>
          </w14:textFill>
        </w:rPr>
      </w:pPr>
      <w:r>
        <w:rPr>
          <w:rFonts w:hint="eastAsia" w:ascii="黑体" w:hAnsi="黑体" w:eastAsia="黑体"/>
          <w:color w:val="000000" w:themeColor="text1"/>
          <w:spacing w:val="-6"/>
          <w:kern w:val="0"/>
          <w14:textFill>
            <w14:solidFill>
              <w14:schemeClr w14:val="tx1"/>
            </w14:solidFill>
          </w14:textFill>
        </w:rPr>
        <w:t>3.3.10</w:t>
      </w:r>
      <w:r>
        <w:rPr>
          <w:rFonts w:hint="eastAsia" w:hAnsi="黑体" w:eastAsia="黑体"/>
          <w:color w:val="000000" w:themeColor="text1"/>
          <w:spacing w:val="-6"/>
          <w:kern w:val="0"/>
          <w14:textFill>
            <w14:solidFill>
              <w14:schemeClr w14:val="tx1"/>
            </w14:solidFill>
          </w14:textFill>
        </w:rPr>
        <w:t xml:space="preserve">  </w:t>
      </w:r>
      <w:r>
        <w:rPr>
          <w:rFonts w:hint="eastAsia" w:ascii="黑体" w:hAnsi="黑体" w:eastAsia="黑体"/>
          <w:color w:val="000000" w:themeColor="text1"/>
          <w:spacing w:val="-6"/>
          <w:kern w:val="0"/>
          <w:szCs w:val="21"/>
          <w14:textFill>
            <w14:solidFill>
              <w14:schemeClr w14:val="tx1"/>
            </w14:solidFill>
          </w14:textFill>
        </w:rPr>
        <w:t>上海有色金属工业技术监测中心有限公司</w:t>
      </w:r>
    </w:p>
    <w:p w14:paraId="3E39D8FB">
      <w:pPr>
        <w:widowControl/>
        <w:spacing w:before="156" w:beforeLines="50" w:after="156" w:afterLines="50" w:line="300" w:lineRule="auto"/>
        <w:contextualSpacing/>
        <w:outlineLvl w:val="3"/>
        <w:rPr>
          <w:rFonts w:hint="eastAsia" w:ascii="黑体" w:hAnsi="黑体" w:eastAsia="黑体"/>
          <w:color w:val="000000" w:themeColor="text1"/>
          <w:spacing w:val="-6"/>
          <w:kern w:val="0"/>
          <w:szCs w:val="21"/>
          <w14:textFill>
            <w14:solidFill>
              <w14:schemeClr w14:val="tx1"/>
            </w14:solidFill>
          </w14:textFill>
        </w:rPr>
      </w:pPr>
    </w:p>
    <w:p w14:paraId="3AA62E34">
      <w:pPr>
        <w:widowControl/>
        <w:spacing w:before="156" w:beforeLines="50" w:after="156" w:afterLines="50" w:line="300" w:lineRule="auto"/>
        <w:contextualSpacing/>
        <w:outlineLvl w:val="3"/>
        <w:rPr>
          <w:rFonts w:hint="eastAsia" w:ascii="黑体" w:hAnsi="黑体" w:eastAsia="黑体"/>
          <w:color w:val="000000" w:themeColor="text1"/>
          <w:spacing w:val="-6"/>
          <w:kern w:val="0"/>
          <w:szCs w:val="21"/>
          <w14:textFill>
            <w14:solidFill>
              <w14:schemeClr w14:val="tx1"/>
            </w14:solidFill>
          </w14:textFill>
        </w:rPr>
      </w:pPr>
      <w:r>
        <w:rPr>
          <w:rFonts w:hint="eastAsia" w:ascii="黑体" w:hAnsi="黑体" w:eastAsia="黑体"/>
          <w:color w:val="000000" w:themeColor="text1"/>
          <w:spacing w:val="-6"/>
          <w:kern w:val="0"/>
          <w:szCs w:val="21"/>
          <w:lang w:val="en-US" w:eastAsia="zh-CN"/>
          <w14:textFill>
            <w14:solidFill>
              <w14:schemeClr w14:val="tx1"/>
            </w14:solidFill>
          </w14:textFill>
        </w:rPr>
        <w:t xml:space="preserve">3.3.11 </w:t>
      </w:r>
      <w:r>
        <w:rPr>
          <w:rFonts w:hint="eastAsia" w:ascii="黑体" w:hAnsi="黑体" w:eastAsia="黑体"/>
          <w:color w:val="000000" w:themeColor="text1"/>
          <w:spacing w:val="-6"/>
          <w:kern w:val="0"/>
          <w:szCs w:val="21"/>
          <w14:textFill>
            <w14:solidFill>
              <w14:schemeClr w14:val="tx1"/>
            </w14:solidFill>
          </w14:textFill>
        </w:rPr>
        <w:t>辽宁盛达计量检测技术有限公司</w:t>
      </w:r>
    </w:p>
    <w:p w14:paraId="57F79CC5">
      <w:pPr>
        <w:widowControl/>
        <w:spacing w:before="156" w:beforeLines="50" w:after="156" w:afterLines="50" w:line="300" w:lineRule="auto"/>
        <w:contextualSpacing/>
        <w:outlineLvl w:val="3"/>
        <w:rPr>
          <w:rFonts w:hint="eastAsia" w:ascii="黑体" w:hAnsi="黑体" w:eastAsia="黑体"/>
          <w:color w:val="000000" w:themeColor="text1"/>
          <w:spacing w:val="-6"/>
          <w:kern w:val="0"/>
          <w:szCs w:val="21"/>
          <w14:textFill>
            <w14:solidFill>
              <w14:schemeClr w14:val="tx1"/>
            </w14:solidFill>
          </w14:textFill>
        </w:rPr>
      </w:pPr>
    </w:p>
    <w:p w14:paraId="4260247C">
      <w:pPr>
        <w:widowControl/>
        <w:spacing w:before="156" w:beforeLines="50" w:after="156" w:afterLines="50" w:line="300" w:lineRule="auto"/>
        <w:contextualSpacing/>
        <w:outlineLvl w:val="3"/>
        <w:rPr>
          <w:rFonts w:hint="eastAsia" w:ascii="黑体" w:hAnsi="黑体" w:eastAsia="黑体"/>
          <w:color w:val="000000" w:themeColor="text1"/>
          <w:spacing w:val="-6"/>
          <w:kern w:val="0"/>
          <w:szCs w:val="21"/>
          <w14:textFill>
            <w14:solidFill>
              <w14:schemeClr w14:val="tx1"/>
            </w14:solidFill>
          </w14:textFill>
        </w:rPr>
      </w:pPr>
      <w:r>
        <w:rPr>
          <w:rFonts w:hint="eastAsia" w:ascii="黑体" w:hAnsi="黑体" w:eastAsia="黑体"/>
          <w:color w:val="000000" w:themeColor="text1"/>
          <w:spacing w:val="-6"/>
          <w:kern w:val="0"/>
          <w:szCs w:val="21"/>
          <w:lang w:val="en-US" w:eastAsia="zh-CN"/>
          <w14:textFill>
            <w14:solidFill>
              <w14:schemeClr w14:val="tx1"/>
            </w14:solidFill>
          </w14:textFill>
        </w:rPr>
        <w:t xml:space="preserve">3.3.12 </w:t>
      </w:r>
      <w:r>
        <w:rPr>
          <w:rFonts w:hint="eastAsia" w:ascii="黑体" w:hAnsi="黑体" w:eastAsia="黑体"/>
          <w:color w:val="000000" w:themeColor="text1"/>
          <w:spacing w:val="-6"/>
          <w:kern w:val="0"/>
          <w:szCs w:val="21"/>
          <w14:textFill>
            <w14:solidFill>
              <w14:schemeClr w14:val="tx1"/>
            </w14:solidFill>
          </w14:textFill>
        </w:rPr>
        <w:t>广东省科学院新材料研究所</w:t>
      </w:r>
    </w:p>
    <w:p w14:paraId="5A6CF1B3">
      <w:pPr>
        <w:widowControl/>
        <w:spacing w:before="156" w:beforeLines="50" w:after="156" w:afterLines="50" w:line="300" w:lineRule="auto"/>
        <w:contextualSpacing/>
        <w:outlineLvl w:val="3"/>
        <w:rPr>
          <w:rFonts w:hint="eastAsia" w:ascii="黑体" w:hAnsi="黑体" w:eastAsia="黑体"/>
          <w:color w:val="000000" w:themeColor="text1"/>
          <w:spacing w:val="-6"/>
          <w:kern w:val="0"/>
          <w:szCs w:val="21"/>
          <w14:textFill>
            <w14:solidFill>
              <w14:schemeClr w14:val="tx1"/>
            </w14:solidFill>
          </w14:textFill>
        </w:rPr>
      </w:pPr>
    </w:p>
    <w:bookmarkEnd w:id="7"/>
    <w:p w14:paraId="491BE9E1">
      <w:pPr>
        <w:pStyle w:val="4"/>
        <w:spacing w:before="156" w:after="156"/>
        <w:rPr>
          <w:b w:val="0"/>
          <w:bCs w:val="0"/>
        </w:rPr>
      </w:pPr>
      <w:bookmarkStart w:id="8" w:name="_Toc462884357"/>
      <w:bookmarkStart w:id="9" w:name="_Toc464728913"/>
      <w:r>
        <w:rPr>
          <w:rFonts w:hint="eastAsia"/>
          <w:b w:val="0"/>
          <w:bCs w:val="0"/>
        </w:rPr>
        <w:t>4.主要工作过程</w:t>
      </w:r>
      <w:bookmarkEnd w:id="8"/>
      <w:bookmarkEnd w:id="9"/>
    </w:p>
    <w:p w14:paraId="4EE843EA">
      <w:pPr>
        <w:spacing w:line="400" w:lineRule="exact"/>
        <w:ind w:firstLine="420" w:firstLineChars="200"/>
      </w:pPr>
      <w:bookmarkStart w:id="10" w:name="_Hlk134448643"/>
      <w:r>
        <w:rPr>
          <w:rFonts w:hint="eastAsia"/>
          <w:bCs/>
        </w:rPr>
        <w:t>西南铝业（集团）有限责任公司于2025年7月接到有色金属行业计量技术委员会转发下达的制定任务后，成立了计量规范编制组。对计量技术规范编写工作进行了部署和分工，制定了制定原则及计划工作。本项目主要工作过程经过了以下几个阶段</w:t>
      </w:r>
      <w:r>
        <w:rPr>
          <w:rFonts w:hint="eastAsia"/>
        </w:rPr>
        <w:t>：</w:t>
      </w:r>
    </w:p>
    <w:p w14:paraId="3F82466B">
      <w:pPr>
        <w:spacing w:line="400" w:lineRule="exact"/>
        <w:ind w:firstLine="420" w:firstLineChars="200"/>
      </w:pPr>
      <w:r>
        <w:t>1</w:t>
      </w:r>
      <w:r>
        <w:rPr>
          <w:rFonts w:hint="eastAsia"/>
        </w:rPr>
        <w:t>）</w:t>
      </w:r>
      <w:r>
        <w:t>20</w:t>
      </w:r>
      <w:r>
        <w:rPr>
          <w:rFonts w:hint="eastAsia"/>
        </w:rPr>
        <w:t>25年</w:t>
      </w:r>
      <w:r>
        <w:rPr>
          <w:rFonts w:hint="eastAsia"/>
          <w:lang w:val="en-US" w:eastAsia="zh-CN"/>
        </w:rPr>
        <w:t>9</w:t>
      </w:r>
      <w:r>
        <w:rPr>
          <w:rFonts w:hint="eastAsia"/>
        </w:rPr>
        <w:t>月</w:t>
      </w:r>
      <w:r>
        <w:rPr>
          <w:rFonts w:hint="eastAsia"/>
          <w:lang w:val="en-US" w:eastAsia="zh-CN"/>
        </w:rPr>
        <w:t>在陕西省西安市召开了有色金属行业计量技术工作会议，会议对规范的起草进行了任务落实，</w:t>
      </w:r>
      <w:r>
        <w:rPr>
          <w:rFonts w:hint="eastAsia"/>
        </w:rPr>
        <w:t>成立了计量规范编制组，明确了编制组成员各自的工作内容和任务。</w:t>
      </w:r>
    </w:p>
    <w:p w14:paraId="03D44B9E">
      <w:pPr>
        <w:spacing w:line="400" w:lineRule="exact"/>
        <w:ind w:firstLine="420" w:firstLineChars="200"/>
        <w:rPr>
          <w:rFonts w:hint="eastAsia"/>
        </w:rPr>
      </w:pPr>
      <w:r>
        <w:rPr>
          <w:rFonts w:hint="eastAsia"/>
          <w:lang w:val="en-US" w:eastAsia="zh-CN"/>
        </w:rPr>
        <w:t>2）</w:t>
      </w:r>
      <w:r>
        <w:rPr>
          <w:rFonts w:hint="eastAsia"/>
        </w:rPr>
        <w:t>2025年</w:t>
      </w:r>
      <w:r>
        <w:rPr>
          <w:rFonts w:hint="eastAsia"/>
          <w:lang w:val="en-US" w:eastAsia="zh-CN"/>
        </w:rPr>
        <w:t>9</w:t>
      </w:r>
      <w:r>
        <w:rPr>
          <w:rFonts w:hint="eastAsia"/>
        </w:rPr>
        <w:t>月～2026年5月计量规范编制组成员对有色金属涡流电导率仪</w:t>
      </w:r>
      <w:r>
        <w:rPr>
          <w:rFonts w:hint="eastAsia"/>
          <w:szCs w:val="21"/>
        </w:rPr>
        <w:t>校准规范</w:t>
      </w:r>
      <w:r>
        <w:rPr>
          <w:rFonts w:hint="eastAsia"/>
        </w:rPr>
        <w:t>中的计量特性及校准方法进行了讨论，确定了校准项目和方法，在2025年5月形成了计量规范讨论稿。</w:t>
      </w:r>
    </w:p>
    <w:p w14:paraId="7F216024">
      <w:pPr>
        <w:spacing w:line="400" w:lineRule="exact"/>
        <w:ind w:firstLine="420" w:firstLineChars="200"/>
        <w:rPr>
          <w:rFonts w:hint="default" w:ascii="Times New Roman" w:hAnsi="Times New Roman" w:cs="Times New Roman"/>
          <w:b w:val="0"/>
          <w:bCs w:val="0"/>
          <w:lang w:val="en-US" w:eastAsia="zh-CN"/>
        </w:rPr>
      </w:pPr>
      <w:r>
        <w:rPr>
          <w:rFonts w:hint="eastAsia"/>
          <w:lang w:val="en-US" w:eastAsia="zh-CN"/>
        </w:rPr>
        <w:t>3）2026年5月在这辽宁省大连市召开了有色金属行业计量技术工作会议，</w:t>
      </w:r>
      <w:r>
        <w:rPr>
          <w:rFonts w:hint="eastAsia"/>
          <w:b w:val="0"/>
          <w:bCs w:val="0"/>
          <w:szCs w:val="21"/>
        </w:rPr>
        <w:t>会上对《</w:t>
      </w:r>
      <w:r>
        <w:rPr>
          <w:rFonts w:hint="eastAsia"/>
          <w:szCs w:val="21"/>
          <w:lang w:val="en-US" w:eastAsia="zh-CN"/>
        </w:rPr>
        <w:t>有色金属涡流电导率仪校准规范</w:t>
      </w:r>
      <w:r>
        <w:rPr>
          <w:rFonts w:hint="eastAsia"/>
          <w:b w:val="0"/>
          <w:bCs w:val="0"/>
          <w:szCs w:val="21"/>
        </w:rPr>
        <w:t>-讨论稿》进行了讨论，</w:t>
      </w:r>
      <w:r>
        <w:rPr>
          <w:rFonts w:hint="eastAsia" w:ascii="Times New Roman" w:hAnsi="Times New Roman" w:cs="Times New Roman"/>
          <w:b w:val="0"/>
          <w:bCs w:val="0"/>
          <w:lang w:val="en-US" w:eastAsia="zh-CN"/>
        </w:rPr>
        <w:t>与会专家、代表对本校准规范的讨论稿提出了宝贵的意见和建议。</w:t>
      </w:r>
      <w:r>
        <w:rPr>
          <w:rFonts w:hint="eastAsia" w:cs="Times New Roman"/>
          <w:b w:val="0"/>
          <w:bCs w:val="0"/>
          <w:lang w:val="en-US" w:eastAsia="zh-CN"/>
        </w:rPr>
        <w:t>具体内容见表1。</w:t>
      </w:r>
    </w:p>
    <w:p w14:paraId="49710CDF">
      <w:pPr>
        <w:spacing w:line="360" w:lineRule="auto"/>
        <w:ind w:firstLine="210" w:firstLineChars="100"/>
        <w:jc w:val="center"/>
        <w:rPr>
          <w:rFonts w:hint="eastAsia" w:eastAsia="宋体"/>
          <w:b w:val="0"/>
          <w:bCs w:val="0"/>
          <w:lang w:eastAsia="zh-CN"/>
        </w:rPr>
      </w:pPr>
      <w:r>
        <w:rPr>
          <w:rFonts w:hint="eastAsia"/>
          <w:b w:val="0"/>
          <w:bCs w:val="0"/>
        </w:rPr>
        <w:t>表</w:t>
      </w:r>
      <w:r>
        <w:rPr>
          <w:rFonts w:hint="eastAsia"/>
          <w:b w:val="0"/>
          <w:bCs w:val="0"/>
          <w:lang w:val="en-US" w:eastAsia="zh-CN"/>
        </w:rPr>
        <w:t xml:space="preserve">1 </w:t>
      </w:r>
      <w:r>
        <w:rPr>
          <w:rFonts w:hint="eastAsia"/>
          <w:b w:val="0"/>
          <w:bCs w:val="0"/>
        </w:rPr>
        <w:t>有色金属计量技术规范研讨会会议纪要</w:t>
      </w:r>
      <w:r>
        <w:rPr>
          <w:rFonts w:hint="eastAsia"/>
          <w:b w:val="0"/>
          <w:bCs w:val="0"/>
          <w:lang w:eastAsia="zh-CN"/>
        </w:rPr>
        <w:t>（</w:t>
      </w:r>
      <w:r>
        <w:rPr>
          <w:rFonts w:hint="eastAsia"/>
          <w:b w:val="0"/>
          <w:bCs w:val="0"/>
          <w:lang w:val="en-US" w:eastAsia="zh-CN"/>
        </w:rPr>
        <w:t>讨论稿</w:t>
      </w:r>
      <w:r>
        <w:rPr>
          <w:rFonts w:hint="eastAsia"/>
          <w:b w:val="0"/>
          <w:bCs w:val="0"/>
          <w:lang w:eastAsia="zh-CN"/>
        </w:rPr>
        <w:t>）</w:t>
      </w:r>
    </w:p>
    <w:tbl>
      <w:tblPr>
        <w:tblStyle w:val="41"/>
        <w:tblW w:w="4765" w:type="pct"/>
        <w:jc w:val="center"/>
        <w:tblLayout w:type="fixed"/>
        <w:tblCellMar>
          <w:top w:w="0" w:type="dxa"/>
          <w:left w:w="108" w:type="dxa"/>
          <w:bottom w:w="0" w:type="dxa"/>
          <w:right w:w="108" w:type="dxa"/>
        </w:tblCellMar>
      </w:tblPr>
      <w:tblGrid>
        <w:gridCol w:w="602"/>
        <w:gridCol w:w="1631"/>
        <w:gridCol w:w="3073"/>
        <w:gridCol w:w="2400"/>
        <w:gridCol w:w="1416"/>
      </w:tblGrid>
      <w:tr w14:paraId="3F616573">
        <w:tblPrEx>
          <w:tblCellMar>
            <w:top w:w="0" w:type="dxa"/>
            <w:left w:w="108" w:type="dxa"/>
            <w:bottom w:w="0" w:type="dxa"/>
            <w:right w:w="108" w:type="dxa"/>
          </w:tblCellMar>
        </w:tblPrEx>
        <w:trPr>
          <w:trHeight w:val="567" w:hRule="atLeast"/>
          <w:jc w:val="center"/>
        </w:trPr>
        <w:tc>
          <w:tcPr>
            <w:tcW w:w="3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5256DE">
            <w:pPr>
              <w:widowControl/>
              <w:ind w:firstLine="0" w:firstLineChars="0"/>
              <w:jc w:val="left"/>
              <w:rPr>
                <w:rFonts w:hint="eastAsia" w:ascii="Times New Roman" w:hAnsi="Times New Roman" w:eastAsia="宋体" w:cs="宋体"/>
                <w:b w:val="0"/>
                <w:bCs w:val="0"/>
                <w:color w:val="000000"/>
                <w:kern w:val="0"/>
                <w:sz w:val="18"/>
                <w:szCs w:val="18"/>
                <w:highlight w:val="none"/>
              </w:rPr>
            </w:pPr>
            <w:r>
              <w:rPr>
                <w:rFonts w:hint="eastAsia" w:ascii="Times New Roman" w:hAnsi="Times New Roman" w:eastAsia="宋体" w:cs="宋体"/>
                <w:b w:val="0"/>
                <w:bCs w:val="0"/>
                <w:color w:val="000000"/>
                <w:kern w:val="0"/>
                <w:sz w:val="18"/>
                <w:szCs w:val="18"/>
                <w:highlight w:val="none"/>
              </w:rPr>
              <w:t>序号</w:t>
            </w:r>
          </w:p>
        </w:tc>
        <w:tc>
          <w:tcPr>
            <w:tcW w:w="893" w:type="pct"/>
            <w:tcBorders>
              <w:top w:val="single" w:color="auto" w:sz="4" w:space="0"/>
              <w:left w:val="nil"/>
              <w:bottom w:val="single" w:color="auto" w:sz="4" w:space="0"/>
              <w:right w:val="single" w:color="auto" w:sz="4" w:space="0"/>
            </w:tcBorders>
            <w:shd w:val="clear" w:color="auto" w:fill="auto"/>
            <w:vAlign w:val="center"/>
          </w:tcPr>
          <w:p w14:paraId="14EFFD8F">
            <w:pPr>
              <w:widowControl/>
              <w:ind w:firstLine="0" w:firstLineChars="0"/>
              <w:jc w:val="left"/>
              <w:rPr>
                <w:rFonts w:hint="eastAsia" w:ascii="Times New Roman" w:hAnsi="Times New Roman" w:eastAsia="宋体" w:cs="宋体"/>
                <w:b w:val="0"/>
                <w:bCs w:val="0"/>
                <w:color w:val="000000"/>
                <w:kern w:val="0"/>
                <w:sz w:val="18"/>
                <w:szCs w:val="18"/>
                <w:highlight w:val="none"/>
              </w:rPr>
            </w:pPr>
            <w:r>
              <w:rPr>
                <w:rFonts w:hint="eastAsia" w:ascii="Times New Roman" w:hAnsi="Times New Roman" w:eastAsia="宋体" w:cs="宋体"/>
                <w:b w:val="0"/>
                <w:bCs w:val="0"/>
                <w:color w:val="000000"/>
                <w:kern w:val="0"/>
                <w:sz w:val="18"/>
                <w:szCs w:val="18"/>
                <w:highlight w:val="none"/>
              </w:rPr>
              <w:t>标准章条编号</w:t>
            </w:r>
          </w:p>
        </w:tc>
        <w:tc>
          <w:tcPr>
            <w:tcW w:w="1684" w:type="pct"/>
            <w:tcBorders>
              <w:top w:val="single" w:color="auto" w:sz="4" w:space="0"/>
              <w:left w:val="nil"/>
              <w:bottom w:val="single" w:color="auto" w:sz="4" w:space="0"/>
              <w:right w:val="single" w:color="auto" w:sz="4" w:space="0"/>
            </w:tcBorders>
            <w:shd w:val="clear" w:color="auto" w:fill="auto"/>
            <w:noWrap/>
            <w:vAlign w:val="center"/>
          </w:tcPr>
          <w:p w14:paraId="2E2BFFD8">
            <w:pPr>
              <w:widowControl/>
              <w:ind w:firstLine="360" w:firstLineChars="200"/>
              <w:jc w:val="left"/>
              <w:rPr>
                <w:rFonts w:hint="eastAsia" w:ascii="Times New Roman" w:hAnsi="Times New Roman" w:eastAsia="宋体" w:cs="宋体"/>
                <w:b w:val="0"/>
                <w:bCs w:val="0"/>
                <w:color w:val="000000"/>
                <w:kern w:val="0"/>
                <w:sz w:val="18"/>
                <w:szCs w:val="18"/>
                <w:highlight w:val="none"/>
              </w:rPr>
            </w:pPr>
            <w:r>
              <w:rPr>
                <w:rFonts w:hint="eastAsia" w:ascii="Times New Roman" w:hAnsi="Times New Roman" w:eastAsia="宋体" w:cs="宋体"/>
                <w:b w:val="0"/>
                <w:bCs w:val="0"/>
                <w:color w:val="000000"/>
                <w:kern w:val="0"/>
                <w:sz w:val="18"/>
                <w:szCs w:val="18"/>
                <w:highlight w:val="none"/>
              </w:rPr>
              <w:t>意见内容</w:t>
            </w:r>
          </w:p>
        </w:tc>
        <w:tc>
          <w:tcPr>
            <w:tcW w:w="1315" w:type="pct"/>
            <w:tcBorders>
              <w:top w:val="single" w:color="auto" w:sz="4" w:space="0"/>
              <w:left w:val="nil"/>
              <w:bottom w:val="single" w:color="auto" w:sz="4" w:space="0"/>
              <w:right w:val="single" w:color="auto" w:sz="4" w:space="0"/>
            </w:tcBorders>
            <w:shd w:val="clear" w:color="auto" w:fill="auto"/>
            <w:noWrap/>
            <w:vAlign w:val="center"/>
          </w:tcPr>
          <w:p w14:paraId="33B4AE45">
            <w:pPr>
              <w:widowControl/>
              <w:ind w:firstLine="360" w:firstLineChars="200"/>
              <w:jc w:val="left"/>
              <w:rPr>
                <w:rFonts w:hint="eastAsia" w:ascii="Times New Roman" w:hAnsi="Times New Roman" w:eastAsia="宋体" w:cs="宋体"/>
                <w:b w:val="0"/>
                <w:bCs w:val="0"/>
                <w:color w:val="000000"/>
                <w:kern w:val="0"/>
                <w:sz w:val="18"/>
                <w:szCs w:val="18"/>
                <w:highlight w:val="none"/>
              </w:rPr>
            </w:pPr>
            <w:r>
              <w:rPr>
                <w:rFonts w:hint="eastAsia" w:ascii="Times New Roman" w:hAnsi="Times New Roman" w:eastAsia="宋体" w:cs="宋体"/>
                <w:b w:val="0"/>
                <w:bCs w:val="0"/>
                <w:color w:val="000000"/>
                <w:kern w:val="0"/>
                <w:sz w:val="18"/>
                <w:szCs w:val="18"/>
                <w:highlight w:val="none"/>
              </w:rPr>
              <w:t>提出单位</w:t>
            </w:r>
          </w:p>
        </w:tc>
        <w:tc>
          <w:tcPr>
            <w:tcW w:w="776" w:type="pct"/>
            <w:tcBorders>
              <w:top w:val="single" w:color="auto" w:sz="4" w:space="0"/>
              <w:left w:val="nil"/>
              <w:bottom w:val="single" w:color="auto" w:sz="4" w:space="0"/>
              <w:right w:val="single" w:color="auto" w:sz="4" w:space="0"/>
            </w:tcBorders>
            <w:shd w:val="clear" w:color="auto" w:fill="auto"/>
            <w:noWrap/>
            <w:vAlign w:val="center"/>
          </w:tcPr>
          <w:p w14:paraId="07BFF437">
            <w:pPr>
              <w:widowControl/>
              <w:ind w:firstLine="0" w:firstLineChars="0"/>
              <w:jc w:val="left"/>
              <w:rPr>
                <w:rFonts w:hint="eastAsia" w:ascii="Times New Roman" w:hAnsi="Times New Roman" w:eastAsia="宋体" w:cs="宋体"/>
                <w:b w:val="0"/>
                <w:bCs w:val="0"/>
                <w:color w:val="000000"/>
                <w:kern w:val="0"/>
                <w:sz w:val="18"/>
                <w:szCs w:val="18"/>
                <w:highlight w:val="none"/>
              </w:rPr>
            </w:pPr>
            <w:r>
              <w:rPr>
                <w:rFonts w:hint="eastAsia" w:ascii="Times New Roman" w:hAnsi="Times New Roman" w:eastAsia="宋体" w:cs="宋体"/>
                <w:b w:val="0"/>
                <w:bCs w:val="0"/>
                <w:color w:val="000000"/>
                <w:kern w:val="0"/>
                <w:sz w:val="18"/>
                <w:szCs w:val="18"/>
                <w:highlight w:val="none"/>
              </w:rPr>
              <w:t>处理意见</w:t>
            </w:r>
          </w:p>
        </w:tc>
      </w:tr>
      <w:tr w14:paraId="56D8F90C">
        <w:tblPrEx>
          <w:tblCellMar>
            <w:top w:w="0" w:type="dxa"/>
            <w:left w:w="108" w:type="dxa"/>
            <w:bottom w:w="0" w:type="dxa"/>
            <w:right w:w="108" w:type="dxa"/>
          </w:tblCellMar>
        </w:tblPrEx>
        <w:trPr>
          <w:trHeight w:val="567" w:hRule="atLeast"/>
          <w:jc w:val="center"/>
        </w:trPr>
        <w:tc>
          <w:tcPr>
            <w:tcW w:w="3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9E8744">
            <w:pPr>
              <w:pStyle w:val="302"/>
              <w:keepNext/>
              <w:keepLines/>
              <w:widowControl w:val="0"/>
              <w:numPr>
                <w:ilvl w:val="0"/>
                <w:numId w:val="11"/>
              </w:numPr>
              <w:ind w:firstLineChars="0"/>
              <w:jc w:val="center"/>
              <w:rPr>
                <w:rFonts w:hint="eastAsia" w:ascii="Times New Roman" w:hAnsi="Times New Roman" w:eastAsia="宋体" w:cs="宋体"/>
                <w:b w:val="0"/>
                <w:bCs w:val="0"/>
                <w:color w:val="000000"/>
                <w:kern w:val="0"/>
                <w:sz w:val="18"/>
                <w:szCs w:val="18"/>
                <w:highlight w:val="none"/>
              </w:rPr>
            </w:pPr>
          </w:p>
        </w:tc>
        <w:tc>
          <w:tcPr>
            <w:tcW w:w="893" w:type="pct"/>
            <w:tcBorders>
              <w:top w:val="single" w:color="auto" w:sz="4" w:space="0"/>
              <w:left w:val="nil"/>
              <w:bottom w:val="single" w:color="auto" w:sz="4" w:space="0"/>
              <w:right w:val="single" w:color="auto" w:sz="4" w:space="0"/>
            </w:tcBorders>
            <w:shd w:val="clear" w:color="auto" w:fill="auto"/>
            <w:noWrap/>
            <w:vAlign w:val="center"/>
          </w:tcPr>
          <w:p w14:paraId="536A7FC6">
            <w:pPr>
              <w:keepNext/>
              <w:keepLines/>
              <w:widowControl w:val="0"/>
              <w:jc w:val="left"/>
              <w:rPr>
                <w:rFonts w:hint="default" w:cs="宋体"/>
                <w:color w:val="000000"/>
                <w:kern w:val="0"/>
                <w:sz w:val="18"/>
                <w:szCs w:val="18"/>
                <w:highlight w:val="none"/>
                <w:lang w:val="en-US" w:eastAsia="zh-CN"/>
              </w:rPr>
            </w:pPr>
            <w:r>
              <w:rPr>
                <w:rFonts w:hint="eastAsia" w:cs="宋体"/>
                <w:color w:val="000000"/>
                <w:kern w:val="0"/>
                <w:sz w:val="18"/>
                <w:szCs w:val="18"/>
                <w:highlight w:val="none"/>
                <w:lang w:val="en-US" w:eastAsia="zh-CN"/>
              </w:rPr>
              <w:t>3.1术语</w:t>
            </w:r>
          </w:p>
        </w:tc>
        <w:tc>
          <w:tcPr>
            <w:tcW w:w="1684" w:type="pct"/>
            <w:tcBorders>
              <w:top w:val="single" w:color="auto" w:sz="4" w:space="0"/>
              <w:left w:val="nil"/>
              <w:bottom w:val="single" w:color="auto" w:sz="4" w:space="0"/>
              <w:right w:val="single" w:color="auto" w:sz="4" w:space="0"/>
            </w:tcBorders>
            <w:shd w:val="clear" w:color="auto" w:fill="auto"/>
            <w:noWrap/>
            <w:vAlign w:val="center"/>
          </w:tcPr>
          <w:p w14:paraId="33698A2F">
            <w:pPr>
              <w:keepNext w:val="0"/>
              <w:keepLines w:val="0"/>
              <w:widowControl/>
              <w:numPr>
                <w:ilvl w:val="-1"/>
                <w:numId w:val="0"/>
              </w:numPr>
              <w:ind w:left="0" w:firstLine="0"/>
              <w:jc w:val="left"/>
              <w:rPr>
                <w:rFonts w:hint="default" w:cs="宋体"/>
                <w:color w:val="000000"/>
                <w:kern w:val="0"/>
                <w:sz w:val="18"/>
                <w:szCs w:val="18"/>
                <w:highlight w:val="none"/>
                <w:lang w:val="en-US" w:eastAsia="zh-CN"/>
              </w:rPr>
            </w:pPr>
            <w:r>
              <w:rPr>
                <w:rFonts w:hint="eastAsia" w:ascii="Times New Roman" w:hAnsi="Times New Roman" w:cs="宋体"/>
                <w:color w:val="000000"/>
                <w:kern w:val="0"/>
                <w:sz w:val="18"/>
                <w:szCs w:val="18"/>
                <w:highlight w:val="none"/>
                <w:lang w:val="en-US" w:eastAsia="zh-CN"/>
              </w:rPr>
              <w:t>将100%IACS=58MS/m修改为：1%IACS=0.58MS/m</w:t>
            </w:r>
          </w:p>
        </w:tc>
        <w:tc>
          <w:tcPr>
            <w:tcW w:w="1315" w:type="pct"/>
            <w:tcBorders>
              <w:top w:val="single" w:color="auto" w:sz="4" w:space="0"/>
              <w:left w:val="nil"/>
              <w:bottom w:val="single" w:color="auto" w:sz="4" w:space="0"/>
              <w:right w:val="single" w:color="auto" w:sz="4" w:space="0"/>
            </w:tcBorders>
            <w:shd w:val="clear" w:color="auto" w:fill="auto"/>
            <w:noWrap/>
            <w:vAlign w:val="center"/>
          </w:tcPr>
          <w:p w14:paraId="29F28192">
            <w:pPr>
              <w:keepNext/>
              <w:keepLines/>
              <w:widowControl w:val="0"/>
              <w:jc w:val="left"/>
              <w:rPr>
                <w:rFonts w:hint="eastAsia" w:cs="宋体"/>
                <w:color w:val="000000"/>
                <w:kern w:val="0"/>
                <w:sz w:val="18"/>
                <w:szCs w:val="18"/>
                <w:highlight w:val="none"/>
              </w:rPr>
            </w:pPr>
            <w:r>
              <w:rPr>
                <w:rFonts w:hint="eastAsia" w:cs="宋体"/>
                <w:b w:val="0"/>
                <w:bCs w:val="0"/>
                <w:color w:val="000000"/>
                <w:spacing w:val="-6"/>
                <w:sz w:val="18"/>
                <w:szCs w:val="18"/>
                <w:highlight w:val="none"/>
                <w:lang w:val="en-US" w:eastAsia="zh-CN"/>
              </w:rPr>
              <w:t>国合通用(青岛)测试评价股份有限公司</w:t>
            </w:r>
          </w:p>
        </w:tc>
        <w:tc>
          <w:tcPr>
            <w:tcW w:w="776" w:type="pct"/>
            <w:tcBorders>
              <w:top w:val="single" w:color="auto" w:sz="4" w:space="0"/>
              <w:left w:val="nil"/>
              <w:bottom w:val="single" w:color="auto" w:sz="4" w:space="0"/>
              <w:right w:val="single" w:color="auto" w:sz="4" w:space="0"/>
            </w:tcBorders>
            <w:shd w:val="clear" w:color="auto" w:fill="auto"/>
            <w:noWrap/>
            <w:vAlign w:val="center"/>
          </w:tcPr>
          <w:p w14:paraId="5FEEB788">
            <w:pPr>
              <w:keepNext/>
              <w:keepLines/>
              <w:widowControl w:val="0"/>
              <w:jc w:val="left"/>
              <w:rPr>
                <w:rFonts w:hint="eastAsia" w:ascii="Times New Roman" w:hAnsi="Times New Roman" w:eastAsia="宋体" w:cs="宋体"/>
                <w:b w:val="0"/>
                <w:bCs w:val="0"/>
                <w:color w:val="000000"/>
                <w:kern w:val="0"/>
                <w:sz w:val="18"/>
                <w:szCs w:val="18"/>
                <w:highlight w:val="none"/>
                <w:lang w:val="en-US" w:eastAsia="zh-CN"/>
              </w:rPr>
            </w:pPr>
            <w:r>
              <w:rPr>
                <w:rFonts w:hint="eastAsia" w:ascii="Times New Roman" w:hAnsi="Times New Roman" w:eastAsia="宋体" w:cs="宋体"/>
                <w:b w:val="0"/>
                <w:bCs w:val="0"/>
                <w:color w:val="000000"/>
                <w:kern w:val="0"/>
                <w:sz w:val="18"/>
                <w:szCs w:val="18"/>
                <w:highlight w:val="none"/>
                <w:lang w:val="en-US" w:eastAsia="zh-CN"/>
              </w:rPr>
              <w:t>采纳</w:t>
            </w:r>
          </w:p>
        </w:tc>
      </w:tr>
      <w:tr w14:paraId="7E2B2BCE">
        <w:tblPrEx>
          <w:tblCellMar>
            <w:top w:w="0" w:type="dxa"/>
            <w:left w:w="108" w:type="dxa"/>
            <w:bottom w:w="0" w:type="dxa"/>
            <w:right w:w="108" w:type="dxa"/>
          </w:tblCellMar>
        </w:tblPrEx>
        <w:trPr>
          <w:trHeight w:val="567" w:hRule="atLeast"/>
          <w:jc w:val="center"/>
        </w:trPr>
        <w:tc>
          <w:tcPr>
            <w:tcW w:w="3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0203EE">
            <w:pPr>
              <w:pStyle w:val="302"/>
              <w:keepNext/>
              <w:keepLines/>
              <w:widowControl w:val="0"/>
              <w:numPr>
                <w:ilvl w:val="0"/>
                <w:numId w:val="11"/>
              </w:numPr>
              <w:ind w:firstLineChars="0"/>
              <w:jc w:val="center"/>
              <w:rPr>
                <w:rFonts w:hint="eastAsia" w:ascii="Times New Roman" w:hAnsi="Times New Roman" w:eastAsia="宋体" w:cs="宋体"/>
                <w:b w:val="0"/>
                <w:bCs w:val="0"/>
                <w:color w:val="000000"/>
                <w:kern w:val="0"/>
                <w:sz w:val="18"/>
                <w:szCs w:val="18"/>
                <w:highlight w:val="none"/>
              </w:rPr>
            </w:pPr>
          </w:p>
        </w:tc>
        <w:tc>
          <w:tcPr>
            <w:tcW w:w="893" w:type="pct"/>
            <w:tcBorders>
              <w:top w:val="single" w:color="auto" w:sz="4" w:space="0"/>
              <w:left w:val="nil"/>
              <w:bottom w:val="single" w:color="auto" w:sz="4" w:space="0"/>
              <w:right w:val="single" w:color="auto" w:sz="4" w:space="0"/>
            </w:tcBorders>
            <w:shd w:val="clear" w:color="auto" w:fill="auto"/>
            <w:noWrap/>
            <w:vAlign w:val="center"/>
          </w:tcPr>
          <w:p w14:paraId="7F0E5DE4">
            <w:pPr>
              <w:keepNext/>
              <w:keepLines/>
              <w:widowControl w:val="0"/>
              <w:jc w:val="left"/>
              <w:rPr>
                <w:rFonts w:hint="eastAsia" w:cs="宋体"/>
                <w:b w:val="0"/>
                <w:bCs w:val="0"/>
                <w:color w:val="000000"/>
                <w:kern w:val="0"/>
                <w:sz w:val="18"/>
                <w:szCs w:val="18"/>
                <w:highlight w:val="none"/>
                <w:lang w:val="en-US" w:eastAsia="zh-CN" w:bidi="ar-SA"/>
              </w:rPr>
            </w:pPr>
            <w:r>
              <w:rPr>
                <w:rFonts w:hint="eastAsia" w:cs="宋体"/>
                <w:color w:val="000000"/>
                <w:kern w:val="0"/>
                <w:sz w:val="18"/>
                <w:szCs w:val="18"/>
                <w:highlight w:val="none"/>
                <w:lang w:val="en-US" w:eastAsia="zh-CN"/>
              </w:rPr>
              <w:t>4概述</w:t>
            </w:r>
          </w:p>
        </w:tc>
        <w:tc>
          <w:tcPr>
            <w:tcW w:w="1684" w:type="pct"/>
            <w:tcBorders>
              <w:top w:val="single" w:color="auto" w:sz="4" w:space="0"/>
              <w:left w:val="nil"/>
              <w:bottom w:val="single" w:color="auto" w:sz="4" w:space="0"/>
              <w:right w:val="single" w:color="auto" w:sz="4" w:space="0"/>
            </w:tcBorders>
            <w:shd w:val="clear" w:color="auto" w:fill="auto"/>
            <w:noWrap/>
            <w:vAlign w:val="center"/>
          </w:tcPr>
          <w:p w14:paraId="34077C61">
            <w:pPr>
              <w:keepNext w:val="0"/>
              <w:keepLines w:val="0"/>
              <w:widowControl/>
              <w:numPr>
                <w:ilvl w:val="-1"/>
                <w:numId w:val="0"/>
              </w:numPr>
              <w:ind w:left="0" w:firstLine="0"/>
              <w:jc w:val="left"/>
              <w:rPr>
                <w:rFonts w:hint="default" w:cs="宋体"/>
                <w:b w:val="0"/>
                <w:bCs w:val="0"/>
                <w:color w:val="000000"/>
                <w:kern w:val="0"/>
                <w:sz w:val="18"/>
                <w:szCs w:val="18"/>
                <w:highlight w:val="none"/>
                <w:lang w:val="en-US" w:eastAsia="zh-CN" w:bidi="ar-SA"/>
              </w:rPr>
            </w:pPr>
            <w:r>
              <w:rPr>
                <w:rFonts w:hint="eastAsia" w:cs="宋体"/>
                <w:color w:val="000000"/>
                <w:kern w:val="0"/>
                <w:sz w:val="18"/>
                <w:szCs w:val="18"/>
                <w:highlight w:val="none"/>
                <w:lang w:val="en-US" w:eastAsia="zh-CN"/>
              </w:rPr>
              <w:t>测量范围使用了%IACS、MS/m两个单位，可只使用%IACS这个单位，后面相同情况一并修改。在附件中列出常用电导率的%IACS与MS/m的对应表格。</w:t>
            </w:r>
          </w:p>
        </w:tc>
        <w:tc>
          <w:tcPr>
            <w:tcW w:w="1315" w:type="pct"/>
            <w:tcBorders>
              <w:top w:val="single" w:color="auto" w:sz="4" w:space="0"/>
              <w:left w:val="nil"/>
              <w:bottom w:val="single" w:color="auto" w:sz="4" w:space="0"/>
              <w:right w:val="single" w:color="auto" w:sz="4" w:space="0"/>
            </w:tcBorders>
            <w:shd w:val="clear" w:color="auto" w:fill="auto"/>
            <w:noWrap/>
            <w:vAlign w:val="center"/>
          </w:tcPr>
          <w:p w14:paraId="7604EA00">
            <w:pPr>
              <w:keepNext/>
              <w:keepLines/>
              <w:widowControl w:val="0"/>
              <w:jc w:val="left"/>
              <w:rPr>
                <w:rFonts w:hint="eastAsia" w:ascii="Times New Roman" w:hAnsi="Times New Roman" w:eastAsia="宋体" w:cs="宋体"/>
                <w:b w:val="0"/>
                <w:bCs w:val="0"/>
                <w:color w:val="000000"/>
                <w:kern w:val="0"/>
                <w:sz w:val="18"/>
                <w:szCs w:val="18"/>
                <w:highlight w:val="none"/>
              </w:rPr>
            </w:pPr>
            <w:r>
              <w:rPr>
                <w:rFonts w:hint="eastAsia" w:cs="宋体"/>
                <w:color w:val="000000"/>
                <w:kern w:val="0"/>
                <w:sz w:val="18"/>
                <w:szCs w:val="18"/>
                <w:highlight w:val="none"/>
              </w:rPr>
              <w:t>有色金属技术经济研究院有限责任公司</w:t>
            </w:r>
          </w:p>
        </w:tc>
        <w:tc>
          <w:tcPr>
            <w:tcW w:w="776" w:type="pct"/>
            <w:tcBorders>
              <w:top w:val="single" w:color="auto" w:sz="4" w:space="0"/>
              <w:left w:val="nil"/>
              <w:bottom w:val="single" w:color="auto" w:sz="4" w:space="0"/>
              <w:right w:val="single" w:color="auto" w:sz="4" w:space="0"/>
            </w:tcBorders>
            <w:shd w:val="clear" w:color="auto" w:fill="auto"/>
            <w:noWrap/>
            <w:vAlign w:val="center"/>
          </w:tcPr>
          <w:p w14:paraId="69639872">
            <w:pPr>
              <w:keepNext/>
              <w:keepLines/>
              <w:widowControl w:val="0"/>
              <w:jc w:val="left"/>
              <w:rPr>
                <w:rFonts w:hint="eastAsia" w:ascii="Times New Roman" w:hAnsi="Times New Roman" w:eastAsia="宋体" w:cs="宋体"/>
                <w:b w:val="0"/>
                <w:bCs w:val="0"/>
                <w:color w:val="000000"/>
                <w:kern w:val="0"/>
                <w:sz w:val="18"/>
                <w:szCs w:val="18"/>
                <w:highlight w:val="none"/>
                <w:lang w:val="en-US" w:eastAsia="zh-CN"/>
              </w:rPr>
            </w:pPr>
            <w:r>
              <w:rPr>
                <w:rFonts w:hint="eastAsia" w:ascii="Times New Roman" w:hAnsi="Times New Roman" w:eastAsia="宋体" w:cs="宋体"/>
                <w:b w:val="0"/>
                <w:bCs w:val="0"/>
                <w:color w:val="000000"/>
                <w:kern w:val="0"/>
                <w:sz w:val="18"/>
                <w:szCs w:val="18"/>
                <w:highlight w:val="none"/>
                <w:lang w:val="en-US" w:eastAsia="zh-CN"/>
              </w:rPr>
              <w:t>采纳</w:t>
            </w:r>
          </w:p>
        </w:tc>
      </w:tr>
      <w:tr w14:paraId="05BC428F">
        <w:tblPrEx>
          <w:tblCellMar>
            <w:top w:w="0" w:type="dxa"/>
            <w:left w:w="108" w:type="dxa"/>
            <w:bottom w:w="0" w:type="dxa"/>
            <w:right w:w="108" w:type="dxa"/>
          </w:tblCellMar>
        </w:tblPrEx>
        <w:trPr>
          <w:trHeight w:val="567" w:hRule="atLeast"/>
          <w:jc w:val="center"/>
        </w:trPr>
        <w:tc>
          <w:tcPr>
            <w:tcW w:w="329" w:type="pct"/>
            <w:tcBorders>
              <w:top w:val="nil"/>
              <w:left w:val="single" w:color="auto" w:sz="4" w:space="0"/>
              <w:bottom w:val="single" w:color="auto" w:sz="4" w:space="0"/>
              <w:right w:val="single" w:color="auto" w:sz="4" w:space="0"/>
            </w:tcBorders>
            <w:shd w:val="clear" w:color="auto" w:fill="auto"/>
            <w:noWrap/>
            <w:vAlign w:val="center"/>
          </w:tcPr>
          <w:p w14:paraId="73E4D2F6">
            <w:pPr>
              <w:pStyle w:val="302"/>
              <w:keepNext/>
              <w:keepLines/>
              <w:widowControl w:val="0"/>
              <w:numPr>
                <w:ilvl w:val="0"/>
                <w:numId w:val="11"/>
              </w:numPr>
              <w:ind w:firstLineChars="0"/>
              <w:jc w:val="center"/>
              <w:rPr>
                <w:rFonts w:hint="eastAsia" w:ascii="Times New Roman" w:hAnsi="Times New Roman" w:eastAsia="宋体" w:cs="宋体"/>
                <w:b w:val="0"/>
                <w:bCs w:val="0"/>
                <w:color w:val="000000"/>
                <w:kern w:val="0"/>
                <w:sz w:val="18"/>
                <w:szCs w:val="18"/>
                <w:highlight w:val="none"/>
              </w:rPr>
            </w:pPr>
          </w:p>
        </w:tc>
        <w:tc>
          <w:tcPr>
            <w:tcW w:w="893" w:type="pct"/>
            <w:tcBorders>
              <w:top w:val="nil"/>
              <w:left w:val="nil"/>
              <w:bottom w:val="single" w:color="auto" w:sz="4" w:space="0"/>
              <w:right w:val="single" w:color="auto" w:sz="4" w:space="0"/>
            </w:tcBorders>
            <w:shd w:val="clear" w:color="auto" w:fill="auto"/>
            <w:noWrap/>
            <w:vAlign w:val="center"/>
          </w:tcPr>
          <w:p w14:paraId="18D0AA92">
            <w:pPr>
              <w:keepNext/>
              <w:keepLines/>
              <w:widowControl w:val="0"/>
              <w:jc w:val="left"/>
              <w:rPr>
                <w:rFonts w:hint="eastAsia" w:ascii="Times New Roman" w:hAnsi="Times New Roman" w:eastAsia="宋体" w:cs="宋体"/>
                <w:b w:val="0"/>
                <w:bCs w:val="0"/>
                <w:color w:val="000000"/>
                <w:kern w:val="0"/>
                <w:sz w:val="18"/>
                <w:szCs w:val="18"/>
                <w:highlight w:val="none"/>
                <w:lang w:val="en-US" w:eastAsia="zh-CN" w:bidi="ar-SA"/>
              </w:rPr>
            </w:pPr>
            <w:r>
              <w:rPr>
                <w:rFonts w:hint="eastAsia" w:cs="宋体"/>
                <w:b w:val="0"/>
                <w:bCs w:val="0"/>
                <w:color w:val="000000"/>
                <w:kern w:val="0"/>
                <w:sz w:val="18"/>
                <w:szCs w:val="18"/>
                <w:highlight w:val="none"/>
                <w:lang w:val="en-US" w:eastAsia="zh-CN" w:bidi="ar-SA"/>
              </w:rPr>
              <w:t>6.2.1标准块（组）</w:t>
            </w:r>
          </w:p>
        </w:tc>
        <w:tc>
          <w:tcPr>
            <w:tcW w:w="1684" w:type="pct"/>
            <w:tcBorders>
              <w:top w:val="nil"/>
              <w:left w:val="nil"/>
              <w:bottom w:val="single" w:color="auto" w:sz="4" w:space="0"/>
              <w:right w:val="single" w:color="auto" w:sz="4" w:space="0"/>
            </w:tcBorders>
            <w:shd w:val="clear" w:color="auto" w:fill="auto"/>
            <w:noWrap/>
            <w:vAlign w:val="center"/>
          </w:tcPr>
          <w:p w14:paraId="1F0CF960">
            <w:pPr>
              <w:keepNext/>
              <w:keepLines/>
              <w:widowControl w:val="0"/>
              <w:jc w:val="left"/>
              <w:rPr>
                <w:rFonts w:hint="eastAsia" w:ascii="Times New Roman" w:hAnsi="Times New Roman" w:eastAsia="宋体" w:cs="宋体"/>
                <w:b w:val="0"/>
                <w:bCs w:val="0"/>
                <w:color w:val="000000"/>
                <w:kern w:val="0"/>
                <w:sz w:val="18"/>
                <w:szCs w:val="18"/>
                <w:highlight w:val="none"/>
                <w:lang w:val="en-US" w:eastAsia="zh-CN" w:bidi="ar-SA"/>
              </w:rPr>
            </w:pPr>
            <w:r>
              <w:rPr>
                <w:rFonts w:hint="eastAsia" w:cs="宋体"/>
                <w:b w:val="0"/>
                <w:bCs w:val="0"/>
                <w:color w:val="000000"/>
                <w:kern w:val="0"/>
                <w:sz w:val="18"/>
                <w:szCs w:val="18"/>
                <w:highlight w:val="none"/>
                <w:lang w:val="en-US" w:eastAsia="zh-CN" w:bidi="ar-SA"/>
              </w:rPr>
              <w:t>将边缘效应与标准渗透深度两个术语在段中体现，以说明为什么对标准块外形尺寸及厚度的要求。</w:t>
            </w:r>
          </w:p>
        </w:tc>
        <w:tc>
          <w:tcPr>
            <w:tcW w:w="1315" w:type="pct"/>
            <w:tcBorders>
              <w:top w:val="nil"/>
              <w:left w:val="nil"/>
              <w:bottom w:val="single" w:color="auto" w:sz="4" w:space="0"/>
              <w:right w:val="single" w:color="auto" w:sz="4" w:space="0"/>
            </w:tcBorders>
            <w:shd w:val="clear" w:color="auto" w:fill="auto"/>
            <w:noWrap/>
            <w:vAlign w:val="center"/>
          </w:tcPr>
          <w:p w14:paraId="3DF2F146">
            <w:pPr>
              <w:keepNext/>
              <w:keepLines/>
              <w:widowControl w:val="0"/>
              <w:jc w:val="left"/>
              <w:rPr>
                <w:rFonts w:hint="default" w:ascii="Times New Roman" w:hAnsi="Times New Roman" w:eastAsia="宋体" w:cs="宋体"/>
                <w:b w:val="0"/>
                <w:bCs w:val="0"/>
                <w:color w:val="000000"/>
                <w:kern w:val="0"/>
                <w:sz w:val="18"/>
                <w:szCs w:val="18"/>
                <w:highlight w:val="none"/>
                <w:lang w:val="en-US" w:eastAsia="zh-CN" w:bidi="ar-SA"/>
              </w:rPr>
            </w:pPr>
            <w:r>
              <w:rPr>
                <w:rFonts w:hint="eastAsia" w:ascii="Times New Roman" w:hAnsi="Times New Roman" w:eastAsia="宋体" w:cs="宋体"/>
                <w:b w:val="0"/>
                <w:bCs w:val="0"/>
                <w:color w:val="000000"/>
                <w:spacing w:val="-6"/>
                <w:sz w:val="18"/>
                <w:szCs w:val="18"/>
                <w:highlight w:val="none"/>
                <w:lang w:eastAsia="zh-CN"/>
              </w:rPr>
              <w:t>国标（北京）检验认证有限公司</w:t>
            </w:r>
            <w:r>
              <w:rPr>
                <w:rFonts w:hint="eastAsia" w:cs="宋体"/>
                <w:b w:val="0"/>
                <w:bCs w:val="0"/>
                <w:color w:val="000000"/>
                <w:spacing w:val="-6"/>
                <w:sz w:val="18"/>
                <w:szCs w:val="18"/>
                <w:highlight w:val="none"/>
                <w:lang w:eastAsia="zh-CN"/>
              </w:rPr>
              <w:t>、</w:t>
            </w:r>
            <w:r>
              <w:rPr>
                <w:rFonts w:hint="eastAsia" w:cs="宋体"/>
                <w:b w:val="0"/>
                <w:bCs w:val="0"/>
                <w:color w:val="000000"/>
                <w:spacing w:val="-6"/>
                <w:sz w:val="18"/>
                <w:szCs w:val="18"/>
                <w:highlight w:val="none"/>
                <w:lang w:val="en-US" w:eastAsia="zh-CN"/>
              </w:rPr>
              <w:t>国合通用(青岛)测试评价股份有限公司</w:t>
            </w:r>
          </w:p>
        </w:tc>
        <w:tc>
          <w:tcPr>
            <w:tcW w:w="776" w:type="pct"/>
            <w:tcBorders>
              <w:top w:val="nil"/>
              <w:left w:val="nil"/>
              <w:bottom w:val="single" w:color="auto" w:sz="4" w:space="0"/>
              <w:right w:val="single" w:color="auto" w:sz="4" w:space="0"/>
            </w:tcBorders>
            <w:shd w:val="clear" w:color="auto" w:fill="auto"/>
            <w:noWrap/>
            <w:vAlign w:val="center"/>
          </w:tcPr>
          <w:p w14:paraId="0DFF48E8">
            <w:pPr>
              <w:keepNext/>
              <w:keepLines/>
              <w:widowControl w:val="0"/>
              <w:jc w:val="left"/>
              <w:rPr>
                <w:rFonts w:hint="eastAsia" w:ascii="Times New Roman" w:hAnsi="Times New Roman" w:eastAsia="宋体" w:cs="宋体"/>
                <w:b w:val="0"/>
                <w:bCs w:val="0"/>
                <w:color w:val="000000"/>
                <w:kern w:val="0"/>
                <w:sz w:val="18"/>
                <w:szCs w:val="18"/>
                <w:highlight w:val="none"/>
                <w:lang w:val="en-US" w:eastAsia="zh-CN" w:bidi="ar-SA"/>
              </w:rPr>
            </w:pPr>
            <w:r>
              <w:rPr>
                <w:rFonts w:hint="eastAsia" w:ascii="Times New Roman" w:hAnsi="Times New Roman" w:eastAsia="宋体" w:cs="宋体"/>
                <w:b w:val="0"/>
                <w:bCs w:val="0"/>
                <w:color w:val="000000"/>
                <w:kern w:val="0"/>
                <w:sz w:val="18"/>
                <w:szCs w:val="18"/>
                <w:highlight w:val="none"/>
                <w:lang w:val="en-US" w:eastAsia="zh-CN"/>
              </w:rPr>
              <w:t>采纳</w:t>
            </w:r>
          </w:p>
        </w:tc>
      </w:tr>
      <w:tr w14:paraId="5873E93C">
        <w:tblPrEx>
          <w:tblCellMar>
            <w:top w:w="0" w:type="dxa"/>
            <w:left w:w="108" w:type="dxa"/>
            <w:bottom w:w="0" w:type="dxa"/>
            <w:right w:w="108" w:type="dxa"/>
          </w:tblCellMar>
        </w:tblPrEx>
        <w:trPr>
          <w:trHeight w:val="567" w:hRule="atLeast"/>
          <w:jc w:val="center"/>
        </w:trPr>
        <w:tc>
          <w:tcPr>
            <w:tcW w:w="329" w:type="pct"/>
            <w:tcBorders>
              <w:top w:val="nil"/>
              <w:left w:val="single" w:color="auto" w:sz="4" w:space="0"/>
              <w:bottom w:val="single" w:color="auto" w:sz="4" w:space="0"/>
              <w:right w:val="single" w:color="auto" w:sz="4" w:space="0"/>
            </w:tcBorders>
            <w:shd w:val="clear" w:color="auto" w:fill="auto"/>
            <w:noWrap/>
            <w:vAlign w:val="center"/>
          </w:tcPr>
          <w:p w14:paraId="32774D23">
            <w:pPr>
              <w:pStyle w:val="302"/>
              <w:keepNext/>
              <w:keepLines/>
              <w:widowControl w:val="0"/>
              <w:numPr>
                <w:ilvl w:val="0"/>
                <w:numId w:val="11"/>
              </w:numPr>
              <w:ind w:firstLineChars="0"/>
              <w:jc w:val="center"/>
              <w:rPr>
                <w:rFonts w:hint="eastAsia" w:ascii="Times New Roman" w:hAnsi="Times New Roman" w:eastAsia="宋体" w:cs="宋体"/>
                <w:b w:val="0"/>
                <w:bCs w:val="0"/>
                <w:color w:val="000000"/>
                <w:kern w:val="0"/>
                <w:sz w:val="18"/>
                <w:szCs w:val="18"/>
                <w:highlight w:val="none"/>
              </w:rPr>
            </w:pPr>
          </w:p>
        </w:tc>
        <w:tc>
          <w:tcPr>
            <w:tcW w:w="893" w:type="pct"/>
            <w:tcBorders>
              <w:top w:val="nil"/>
              <w:left w:val="nil"/>
              <w:bottom w:val="single" w:color="auto" w:sz="4" w:space="0"/>
              <w:right w:val="single" w:color="auto" w:sz="4" w:space="0"/>
            </w:tcBorders>
            <w:shd w:val="clear" w:color="auto" w:fill="auto"/>
            <w:noWrap/>
            <w:vAlign w:val="center"/>
          </w:tcPr>
          <w:p w14:paraId="64C5F6CD">
            <w:pPr>
              <w:keepNext/>
              <w:keepLines/>
              <w:widowControl w:val="0"/>
              <w:jc w:val="left"/>
              <w:rPr>
                <w:rFonts w:hint="default" w:cs="宋体"/>
                <w:b w:val="0"/>
                <w:bCs w:val="0"/>
                <w:color w:val="000000"/>
                <w:kern w:val="0"/>
                <w:sz w:val="18"/>
                <w:szCs w:val="18"/>
                <w:highlight w:val="none"/>
                <w:lang w:val="en-US" w:eastAsia="zh-CN" w:bidi="ar-SA"/>
              </w:rPr>
            </w:pPr>
            <w:r>
              <w:rPr>
                <w:rFonts w:hint="eastAsia" w:cs="宋体"/>
                <w:color w:val="000000"/>
                <w:kern w:val="0"/>
                <w:sz w:val="18"/>
                <w:szCs w:val="18"/>
                <w:highlight w:val="none"/>
                <w:lang w:val="en-US" w:eastAsia="zh-CN"/>
              </w:rPr>
              <w:t>7.2.6 提离效应</w:t>
            </w:r>
          </w:p>
        </w:tc>
        <w:tc>
          <w:tcPr>
            <w:tcW w:w="1684" w:type="pct"/>
            <w:tcBorders>
              <w:top w:val="nil"/>
              <w:left w:val="nil"/>
              <w:bottom w:val="single" w:color="auto" w:sz="4" w:space="0"/>
              <w:right w:val="single" w:color="auto" w:sz="4" w:space="0"/>
            </w:tcBorders>
            <w:shd w:val="clear" w:color="auto" w:fill="auto"/>
            <w:noWrap/>
            <w:vAlign w:val="center"/>
          </w:tcPr>
          <w:p w14:paraId="4AA40C57">
            <w:pPr>
              <w:keepNext w:val="0"/>
              <w:keepLines w:val="0"/>
              <w:widowControl/>
              <w:numPr>
                <w:ilvl w:val="-1"/>
                <w:numId w:val="0"/>
              </w:numPr>
              <w:ind w:left="0" w:firstLine="0"/>
              <w:jc w:val="left"/>
              <w:rPr>
                <w:rFonts w:hint="eastAsia" w:cs="宋体"/>
                <w:b w:val="0"/>
                <w:bCs w:val="0"/>
                <w:color w:val="000000"/>
                <w:kern w:val="0"/>
                <w:sz w:val="18"/>
                <w:szCs w:val="18"/>
                <w:highlight w:val="none"/>
                <w:lang w:val="en-US" w:eastAsia="zh-CN" w:bidi="ar-SA"/>
              </w:rPr>
            </w:pPr>
            <w:bookmarkStart w:id="11" w:name="_Toc29610"/>
            <w:r>
              <w:rPr>
                <w:rFonts w:hint="eastAsia" w:cs="宋体"/>
                <w:color w:val="000000"/>
                <w:kern w:val="0"/>
                <w:sz w:val="18"/>
                <w:szCs w:val="18"/>
                <w:highlight w:val="none"/>
                <w:lang w:val="en-US" w:eastAsia="zh-CN"/>
              </w:rPr>
              <w:t>对公式（6）进行修改，加上绝对值符号</w:t>
            </w:r>
            <w:bookmarkEnd w:id="11"/>
            <w:r>
              <w:rPr>
                <w:rFonts w:hint="eastAsia" w:cs="宋体"/>
                <w:color w:val="000000"/>
                <w:kern w:val="0"/>
                <w:sz w:val="18"/>
                <w:szCs w:val="18"/>
                <w:highlight w:val="none"/>
                <w:lang w:val="en-US" w:eastAsia="zh-CN"/>
              </w:rPr>
              <w:t>。</w:t>
            </w:r>
          </w:p>
        </w:tc>
        <w:tc>
          <w:tcPr>
            <w:tcW w:w="1315" w:type="pct"/>
            <w:tcBorders>
              <w:top w:val="nil"/>
              <w:left w:val="nil"/>
              <w:bottom w:val="single" w:color="auto" w:sz="4" w:space="0"/>
              <w:right w:val="single" w:color="auto" w:sz="4" w:space="0"/>
            </w:tcBorders>
            <w:shd w:val="clear" w:color="auto" w:fill="auto"/>
            <w:noWrap/>
            <w:vAlign w:val="center"/>
          </w:tcPr>
          <w:p w14:paraId="436CA272">
            <w:pPr>
              <w:keepNext/>
              <w:keepLines/>
              <w:widowControl w:val="0"/>
              <w:jc w:val="left"/>
              <w:rPr>
                <w:rFonts w:hint="eastAsia" w:ascii="Times New Roman" w:hAnsi="Times New Roman" w:eastAsia="宋体" w:cs="宋体"/>
                <w:b w:val="0"/>
                <w:bCs w:val="0"/>
                <w:color w:val="000000"/>
                <w:kern w:val="0"/>
                <w:sz w:val="18"/>
                <w:szCs w:val="18"/>
                <w:highlight w:val="none"/>
              </w:rPr>
            </w:pPr>
            <w:r>
              <w:rPr>
                <w:rFonts w:hint="eastAsia" w:cs="宋体"/>
                <w:b w:val="0"/>
                <w:bCs w:val="0"/>
                <w:color w:val="000000"/>
                <w:spacing w:val="-6"/>
                <w:sz w:val="18"/>
                <w:szCs w:val="18"/>
                <w:highlight w:val="none"/>
                <w:lang w:val="en-US" w:eastAsia="zh-CN"/>
              </w:rPr>
              <w:t>国合通用(青岛)测试评价股份有限公司</w:t>
            </w:r>
          </w:p>
        </w:tc>
        <w:tc>
          <w:tcPr>
            <w:tcW w:w="776" w:type="pct"/>
            <w:tcBorders>
              <w:top w:val="nil"/>
              <w:left w:val="nil"/>
              <w:bottom w:val="single" w:color="auto" w:sz="4" w:space="0"/>
              <w:right w:val="single" w:color="auto" w:sz="4" w:space="0"/>
            </w:tcBorders>
            <w:shd w:val="clear" w:color="auto" w:fill="auto"/>
            <w:noWrap/>
            <w:vAlign w:val="center"/>
          </w:tcPr>
          <w:p w14:paraId="1C967179">
            <w:pPr>
              <w:keepNext/>
              <w:keepLines/>
              <w:widowControl w:val="0"/>
              <w:jc w:val="left"/>
              <w:rPr>
                <w:rFonts w:hint="eastAsia" w:ascii="Times New Roman" w:hAnsi="Times New Roman" w:eastAsia="宋体" w:cs="宋体"/>
                <w:b w:val="0"/>
                <w:bCs w:val="0"/>
                <w:color w:val="000000"/>
                <w:kern w:val="0"/>
                <w:sz w:val="18"/>
                <w:szCs w:val="18"/>
                <w:highlight w:val="none"/>
                <w:lang w:val="en-US" w:eastAsia="zh-CN"/>
              </w:rPr>
            </w:pPr>
            <w:r>
              <w:rPr>
                <w:rFonts w:hint="eastAsia" w:ascii="Times New Roman" w:hAnsi="Times New Roman" w:eastAsia="宋体" w:cs="宋体"/>
                <w:b w:val="0"/>
                <w:bCs w:val="0"/>
                <w:color w:val="000000"/>
                <w:kern w:val="0"/>
                <w:sz w:val="18"/>
                <w:szCs w:val="18"/>
                <w:highlight w:val="none"/>
                <w:lang w:val="en-US" w:eastAsia="zh-CN"/>
              </w:rPr>
              <w:t>采纳</w:t>
            </w:r>
          </w:p>
        </w:tc>
      </w:tr>
      <w:tr w14:paraId="41CC5FE7">
        <w:tblPrEx>
          <w:tblCellMar>
            <w:top w:w="0" w:type="dxa"/>
            <w:left w:w="108" w:type="dxa"/>
            <w:bottom w:w="0" w:type="dxa"/>
            <w:right w:w="108" w:type="dxa"/>
          </w:tblCellMar>
        </w:tblPrEx>
        <w:trPr>
          <w:trHeight w:val="567" w:hRule="atLeast"/>
          <w:jc w:val="center"/>
        </w:trPr>
        <w:tc>
          <w:tcPr>
            <w:tcW w:w="329" w:type="pct"/>
            <w:tcBorders>
              <w:top w:val="nil"/>
              <w:left w:val="single" w:color="auto" w:sz="4" w:space="0"/>
              <w:bottom w:val="single" w:color="auto" w:sz="4" w:space="0"/>
              <w:right w:val="single" w:color="auto" w:sz="4" w:space="0"/>
            </w:tcBorders>
            <w:shd w:val="clear" w:color="auto" w:fill="auto"/>
            <w:noWrap/>
            <w:vAlign w:val="center"/>
          </w:tcPr>
          <w:p w14:paraId="2344084D">
            <w:pPr>
              <w:pStyle w:val="302"/>
              <w:keepNext/>
              <w:keepLines/>
              <w:widowControl w:val="0"/>
              <w:numPr>
                <w:ilvl w:val="0"/>
                <w:numId w:val="11"/>
              </w:numPr>
              <w:ind w:firstLineChars="0"/>
              <w:jc w:val="center"/>
              <w:rPr>
                <w:rFonts w:hint="eastAsia" w:ascii="Times New Roman" w:hAnsi="Times New Roman" w:eastAsia="宋体" w:cs="宋体"/>
                <w:b w:val="0"/>
                <w:bCs w:val="0"/>
                <w:color w:val="000000"/>
                <w:kern w:val="0"/>
                <w:sz w:val="18"/>
                <w:szCs w:val="18"/>
                <w:highlight w:val="none"/>
              </w:rPr>
            </w:pPr>
          </w:p>
        </w:tc>
        <w:tc>
          <w:tcPr>
            <w:tcW w:w="893" w:type="pct"/>
            <w:tcBorders>
              <w:top w:val="nil"/>
              <w:left w:val="nil"/>
              <w:bottom w:val="single" w:color="auto" w:sz="4" w:space="0"/>
              <w:right w:val="single" w:color="auto" w:sz="4" w:space="0"/>
            </w:tcBorders>
            <w:shd w:val="clear" w:color="auto" w:fill="auto"/>
            <w:noWrap/>
            <w:vAlign w:val="center"/>
          </w:tcPr>
          <w:p w14:paraId="3FC997F6">
            <w:pPr>
              <w:keepNext/>
              <w:keepLines/>
              <w:widowControl w:val="0"/>
              <w:jc w:val="left"/>
              <w:rPr>
                <w:rFonts w:hint="default" w:cs="宋体"/>
                <w:color w:val="000000"/>
                <w:kern w:val="0"/>
                <w:sz w:val="18"/>
                <w:szCs w:val="18"/>
                <w:highlight w:val="none"/>
                <w:lang w:val="en-US" w:eastAsia="zh-CN"/>
              </w:rPr>
            </w:pPr>
            <w:r>
              <w:rPr>
                <w:rFonts w:hint="eastAsia" w:cs="宋体"/>
                <w:b w:val="0"/>
                <w:bCs w:val="0"/>
                <w:color w:val="000000"/>
                <w:kern w:val="0"/>
                <w:sz w:val="18"/>
                <w:szCs w:val="18"/>
                <w:highlight w:val="none"/>
                <w:lang w:val="en-US" w:eastAsia="zh-CN"/>
              </w:rPr>
              <w:t>7.2.8探头性能</w:t>
            </w:r>
          </w:p>
        </w:tc>
        <w:tc>
          <w:tcPr>
            <w:tcW w:w="1684" w:type="pct"/>
            <w:tcBorders>
              <w:top w:val="nil"/>
              <w:left w:val="nil"/>
              <w:bottom w:val="single" w:color="auto" w:sz="4" w:space="0"/>
              <w:right w:val="single" w:color="auto" w:sz="4" w:space="0"/>
            </w:tcBorders>
            <w:shd w:val="clear" w:color="auto" w:fill="auto"/>
            <w:noWrap/>
            <w:vAlign w:val="center"/>
          </w:tcPr>
          <w:p w14:paraId="7E63A970">
            <w:pPr>
              <w:keepNext w:val="0"/>
              <w:keepLines w:val="0"/>
              <w:widowControl/>
              <w:numPr>
                <w:ilvl w:val="-1"/>
                <w:numId w:val="0"/>
              </w:numPr>
              <w:ind w:left="0" w:firstLine="0"/>
              <w:jc w:val="left"/>
              <w:rPr>
                <w:rFonts w:hint="eastAsia" w:cs="宋体"/>
                <w:color w:val="000000"/>
                <w:kern w:val="0"/>
                <w:sz w:val="18"/>
                <w:szCs w:val="18"/>
                <w:highlight w:val="none"/>
                <w:lang w:val="en-US" w:eastAsia="zh-CN"/>
              </w:rPr>
            </w:pPr>
            <w:r>
              <w:rPr>
                <w:rFonts w:hint="eastAsia" w:cs="宋体"/>
                <w:color w:val="000000"/>
                <w:kern w:val="0"/>
                <w:sz w:val="18"/>
                <w:szCs w:val="18"/>
                <w:highlight w:val="none"/>
                <w:lang w:val="en-US" w:eastAsia="zh-CN"/>
              </w:rPr>
              <w:t>建议对探头性能的校准采用4次校准，每次时间5min，结果取4次结果的平均值</w:t>
            </w:r>
            <w:r>
              <w:rPr>
                <w:rFonts w:hint="eastAsia" w:ascii="Times New Roman" w:hAnsi="Times New Roman" w:cs="宋体"/>
                <w:color w:val="000000"/>
                <w:kern w:val="0"/>
                <w:sz w:val="18"/>
                <w:szCs w:val="18"/>
                <w:highlight w:val="none"/>
                <w:lang w:val="en-US" w:eastAsia="zh-CN"/>
              </w:rPr>
              <w:t>。</w:t>
            </w:r>
          </w:p>
        </w:tc>
        <w:tc>
          <w:tcPr>
            <w:tcW w:w="1315" w:type="pct"/>
            <w:tcBorders>
              <w:top w:val="nil"/>
              <w:left w:val="nil"/>
              <w:bottom w:val="single" w:color="auto" w:sz="4" w:space="0"/>
              <w:right w:val="single" w:color="auto" w:sz="4" w:space="0"/>
            </w:tcBorders>
            <w:shd w:val="clear" w:color="auto" w:fill="auto"/>
            <w:noWrap/>
            <w:vAlign w:val="center"/>
          </w:tcPr>
          <w:p w14:paraId="45FFEEAB">
            <w:pPr>
              <w:keepNext/>
              <w:keepLines/>
              <w:widowControl w:val="0"/>
              <w:jc w:val="left"/>
              <w:rPr>
                <w:rFonts w:hint="eastAsia" w:ascii="Times New Roman" w:hAnsi="Times New Roman" w:eastAsia="宋体" w:cs="宋体"/>
                <w:b w:val="0"/>
                <w:bCs w:val="0"/>
                <w:color w:val="000000"/>
                <w:kern w:val="0"/>
                <w:sz w:val="18"/>
                <w:szCs w:val="18"/>
                <w:highlight w:val="none"/>
              </w:rPr>
            </w:pPr>
            <w:r>
              <w:rPr>
                <w:rFonts w:hint="eastAsia" w:cs="宋体"/>
                <w:b w:val="0"/>
                <w:bCs w:val="0"/>
                <w:color w:val="000000"/>
                <w:spacing w:val="-6"/>
                <w:sz w:val="18"/>
                <w:szCs w:val="18"/>
                <w:highlight w:val="none"/>
                <w:lang w:val="en-US" w:eastAsia="zh-CN"/>
              </w:rPr>
              <w:t>国合通用(青岛)测试评价股份有限公司</w:t>
            </w:r>
          </w:p>
        </w:tc>
        <w:tc>
          <w:tcPr>
            <w:tcW w:w="776" w:type="pct"/>
            <w:tcBorders>
              <w:top w:val="nil"/>
              <w:left w:val="nil"/>
              <w:bottom w:val="single" w:color="auto" w:sz="4" w:space="0"/>
              <w:right w:val="single" w:color="auto" w:sz="4" w:space="0"/>
            </w:tcBorders>
            <w:shd w:val="clear" w:color="auto" w:fill="auto"/>
            <w:noWrap/>
            <w:vAlign w:val="center"/>
          </w:tcPr>
          <w:p w14:paraId="63CDC671">
            <w:pPr>
              <w:keepNext/>
              <w:keepLines/>
              <w:widowControl w:val="0"/>
              <w:jc w:val="left"/>
              <w:rPr>
                <w:rFonts w:hint="default" w:ascii="Times New Roman" w:hAnsi="Times New Roman" w:eastAsia="宋体" w:cs="宋体"/>
                <w:b w:val="0"/>
                <w:bCs w:val="0"/>
                <w:color w:val="000000"/>
                <w:kern w:val="0"/>
                <w:sz w:val="18"/>
                <w:szCs w:val="18"/>
                <w:highlight w:val="none"/>
                <w:lang w:val="en-US" w:eastAsia="zh-CN"/>
              </w:rPr>
            </w:pPr>
            <w:r>
              <w:rPr>
                <w:rFonts w:hint="eastAsia" w:cs="宋体"/>
                <w:b w:val="0"/>
                <w:bCs w:val="0"/>
                <w:color w:val="000000"/>
                <w:kern w:val="0"/>
                <w:sz w:val="18"/>
                <w:szCs w:val="18"/>
                <w:highlight w:val="none"/>
                <w:lang w:val="en-US" w:eastAsia="zh-CN"/>
              </w:rPr>
              <w:t>不</w:t>
            </w:r>
            <w:r>
              <w:rPr>
                <w:rFonts w:hint="eastAsia" w:ascii="Times New Roman" w:hAnsi="Times New Roman" w:eastAsia="宋体" w:cs="宋体"/>
                <w:b w:val="0"/>
                <w:bCs w:val="0"/>
                <w:color w:val="000000"/>
                <w:kern w:val="0"/>
                <w:sz w:val="18"/>
                <w:szCs w:val="18"/>
                <w:highlight w:val="none"/>
                <w:lang w:val="en-US" w:eastAsia="zh-CN"/>
              </w:rPr>
              <w:t>采纳</w:t>
            </w:r>
            <w:r>
              <w:rPr>
                <w:rFonts w:hint="eastAsia" w:cs="宋体"/>
                <w:b w:val="0"/>
                <w:bCs w:val="0"/>
                <w:color w:val="000000"/>
                <w:kern w:val="0"/>
                <w:sz w:val="18"/>
                <w:szCs w:val="18"/>
                <w:highlight w:val="none"/>
                <w:lang w:val="en-US" w:eastAsia="zh-CN"/>
              </w:rPr>
              <w:t>，长时间的操作，环境温度变化及涡流电导率仪的漂移都会对结果带来影响，该项目应快速测试。</w:t>
            </w:r>
          </w:p>
        </w:tc>
      </w:tr>
      <w:tr w14:paraId="2890AEDC">
        <w:tblPrEx>
          <w:tblCellMar>
            <w:top w:w="0" w:type="dxa"/>
            <w:left w:w="108" w:type="dxa"/>
            <w:bottom w:w="0" w:type="dxa"/>
            <w:right w:w="108" w:type="dxa"/>
          </w:tblCellMar>
        </w:tblPrEx>
        <w:trPr>
          <w:trHeight w:val="567" w:hRule="atLeast"/>
          <w:jc w:val="center"/>
        </w:trPr>
        <w:tc>
          <w:tcPr>
            <w:tcW w:w="329" w:type="pct"/>
            <w:tcBorders>
              <w:top w:val="nil"/>
              <w:left w:val="single" w:color="auto" w:sz="4" w:space="0"/>
              <w:bottom w:val="single" w:color="auto" w:sz="4" w:space="0"/>
              <w:right w:val="single" w:color="auto" w:sz="4" w:space="0"/>
            </w:tcBorders>
            <w:shd w:val="clear" w:color="auto" w:fill="auto"/>
            <w:noWrap/>
            <w:vAlign w:val="center"/>
          </w:tcPr>
          <w:p w14:paraId="4CD96E00">
            <w:pPr>
              <w:pStyle w:val="302"/>
              <w:keepNext/>
              <w:keepLines/>
              <w:widowControl w:val="0"/>
              <w:numPr>
                <w:ilvl w:val="0"/>
                <w:numId w:val="11"/>
              </w:numPr>
              <w:ind w:firstLineChars="0"/>
              <w:jc w:val="center"/>
              <w:rPr>
                <w:rFonts w:hint="eastAsia" w:ascii="Times New Roman" w:hAnsi="Times New Roman" w:eastAsia="宋体" w:cs="宋体"/>
                <w:b w:val="0"/>
                <w:bCs w:val="0"/>
                <w:color w:val="000000"/>
                <w:kern w:val="0"/>
                <w:sz w:val="18"/>
                <w:szCs w:val="18"/>
                <w:highlight w:val="none"/>
              </w:rPr>
            </w:pPr>
          </w:p>
        </w:tc>
        <w:tc>
          <w:tcPr>
            <w:tcW w:w="893" w:type="pct"/>
            <w:tcBorders>
              <w:top w:val="nil"/>
              <w:left w:val="nil"/>
              <w:bottom w:val="single" w:color="auto" w:sz="4" w:space="0"/>
              <w:right w:val="single" w:color="auto" w:sz="4" w:space="0"/>
            </w:tcBorders>
            <w:shd w:val="clear" w:color="auto" w:fill="auto"/>
            <w:noWrap/>
            <w:vAlign w:val="center"/>
          </w:tcPr>
          <w:p w14:paraId="2CAF99B4">
            <w:pPr>
              <w:keepNext/>
              <w:keepLines/>
              <w:widowControl w:val="0"/>
              <w:jc w:val="left"/>
              <w:rPr>
                <w:rFonts w:hint="default" w:ascii="Times New Roman" w:hAnsi="Times New Roman" w:eastAsia="宋体" w:cs="宋体"/>
                <w:b w:val="0"/>
                <w:bCs w:val="0"/>
                <w:color w:val="000000"/>
                <w:kern w:val="0"/>
                <w:sz w:val="18"/>
                <w:szCs w:val="18"/>
                <w:highlight w:val="none"/>
                <w:lang w:val="en-US" w:eastAsia="zh-CN"/>
              </w:rPr>
            </w:pPr>
            <w:r>
              <w:rPr>
                <w:rFonts w:hint="eastAsia" w:cs="宋体"/>
                <w:b w:val="0"/>
                <w:bCs w:val="0"/>
                <w:color w:val="000000"/>
                <w:kern w:val="0"/>
                <w:sz w:val="18"/>
                <w:szCs w:val="18"/>
                <w:highlight w:val="none"/>
                <w:lang w:val="en-US" w:eastAsia="zh-CN"/>
              </w:rPr>
              <w:t>附录A校准记录参考格式</w:t>
            </w:r>
          </w:p>
        </w:tc>
        <w:tc>
          <w:tcPr>
            <w:tcW w:w="1684" w:type="pct"/>
            <w:tcBorders>
              <w:top w:val="nil"/>
              <w:left w:val="nil"/>
              <w:bottom w:val="single" w:color="auto" w:sz="4" w:space="0"/>
              <w:right w:val="single" w:color="auto" w:sz="4" w:space="0"/>
            </w:tcBorders>
            <w:shd w:val="clear" w:color="auto" w:fill="auto"/>
            <w:noWrap/>
            <w:vAlign w:val="center"/>
          </w:tcPr>
          <w:p w14:paraId="55623E26">
            <w:pPr>
              <w:keepNext w:val="0"/>
              <w:keepLines w:val="0"/>
              <w:widowControl/>
              <w:numPr>
                <w:ilvl w:val="-1"/>
                <w:numId w:val="0"/>
              </w:numPr>
              <w:ind w:left="0" w:firstLine="0"/>
              <w:jc w:val="left"/>
              <w:rPr>
                <w:rFonts w:hint="default" w:ascii="Times New Roman" w:hAnsi="Times New Roman" w:eastAsia="宋体" w:cs="宋体"/>
                <w:b w:val="0"/>
                <w:bCs w:val="0"/>
                <w:color w:val="000000"/>
                <w:kern w:val="0"/>
                <w:sz w:val="18"/>
                <w:szCs w:val="18"/>
                <w:highlight w:val="none"/>
                <w:lang w:val="en-US" w:eastAsia="zh-CN"/>
              </w:rPr>
            </w:pPr>
            <w:r>
              <w:rPr>
                <w:rFonts w:hint="eastAsia" w:cs="宋体"/>
                <w:b w:val="0"/>
                <w:bCs w:val="0"/>
                <w:color w:val="000000"/>
                <w:kern w:val="0"/>
                <w:sz w:val="18"/>
                <w:szCs w:val="18"/>
                <w:highlight w:val="none"/>
                <w:lang w:val="en-US" w:eastAsia="zh-CN"/>
              </w:rPr>
              <w:t>将</w:t>
            </w:r>
            <w:r>
              <w:rPr>
                <w:rFonts w:hint="eastAsia" w:ascii="Times New Roman" w:hAnsi="Times New Roman" w:eastAsia="宋体" w:cs="宋体"/>
                <w:b w:val="0"/>
                <w:bCs w:val="0"/>
                <w:color w:val="000000"/>
                <w:kern w:val="0"/>
                <w:sz w:val="18"/>
                <w:szCs w:val="18"/>
                <w:highlight w:val="none"/>
                <w:lang w:val="en-US" w:eastAsia="zh-CN"/>
              </w:rPr>
              <w:t>探头性能测试</w:t>
            </w:r>
            <w:r>
              <w:rPr>
                <w:rFonts w:hint="eastAsia" w:cs="宋体"/>
                <w:b w:val="0"/>
                <w:bCs w:val="0"/>
                <w:color w:val="000000"/>
                <w:kern w:val="0"/>
                <w:sz w:val="18"/>
                <w:szCs w:val="18"/>
                <w:highlight w:val="none"/>
                <w:lang w:val="en-US" w:eastAsia="zh-CN"/>
              </w:rPr>
              <w:t>的结果列到表格中</w:t>
            </w:r>
          </w:p>
        </w:tc>
        <w:tc>
          <w:tcPr>
            <w:tcW w:w="1315" w:type="pct"/>
            <w:tcBorders>
              <w:top w:val="nil"/>
              <w:left w:val="nil"/>
              <w:bottom w:val="single" w:color="auto" w:sz="4" w:space="0"/>
              <w:right w:val="single" w:color="auto" w:sz="4" w:space="0"/>
            </w:tcBorders>
            <w:shd w:val="clear" w:color="auto" w:fill="auto"/>
            <w:noWrap/>
            <w:vAlign w:val="center"/>
          </w:tcPr>
          <w:p w14:paraId="3C6224D8">
            <w:pPr>
              <w:keepNext/>
              <w:keepLines/>
              <w:widowControl w:val="0"/>
              <w:jc w:val="left"/>
              <w:rPr>
                <w:rFonts w:hint="eastAsia" w:ascii="Times New Roman" w:hAnsi="Times New Roman" w:eastAsia="宋体" w:cs="宋体"/>
                <w:b w:val="0"/>
                <w:bCs w:val="0"/>
                <w:color w:val="000000"/>
                <w:kern w:val="0"/>
                <w:sz w:val="18"/>
                <w:szCs w:val="18"/>
                <w:highlight w:val="none"/>
              </w:rPr>
            </w:pPr>
            <w:r>
              <w:rPr>
                <w:rFonts w:hint="eastAsia" w:cs="宋体"/>
                <w:color w:val="000000"/>
                <w:kern w:val="0"/>
                <w:sz w:val="18"/>
                <w:szCs w:val="18"/>
                <w:highlight w:val="none"/>
              </w:rPr>
              <w:t>有色金属技术经济研究院有限责任公司</w:t>
            </w:r>
          </w:p>
        </w:tc>
        <w:tc>
          <w:tcPr>
            <w:tcW w:w="776" w:type="pct"/>
            <w:tcBorders>
              <w:top w:val="nil"/>
              <w:left w:val="nil"/>
              <w:bottom w:val="single" w:color="auto" w:sz="4" w:space="0"/>
              <w:right w:val="single" w:color="auto" w:sz="4" w:space="0"/>
            </w:tcBorders>
            <w:shd w:val="clear" w:color="auto" w:fill="auto"/>
            <w:noWrap/>
            <w:vAlign w:val="center"/>
          </w:tcPr>
          <w:p w14:paraId="7C15DB1D">
            <w:pPr>
              <w:keepNext/>
              <w:keepLines/>
              <w:widowControl w:val="0"/>
              <w:jc w:val="left"/>
              <w:rPr>
                <w:rFonts w:hint="default" w:ascii="Times New Roman" w:hAnsi="Times New Roman" w:eastAsia="宋体" w:cs="宋体"/>
                <w:b w:val="0"/>
                <w:bCs w:val="0"/>
                <w:color w:val="000000"/>
                <w:kern w:val="0"/>
                <w:sz w:val="18"/>
                <w:szCs w:val="18"/>
                <w:highlight w:val="none"/>
                <w:lang w:val="en-US" w:eastAsia="zh-CN"/>
              </w:rPr>
            </w:pPr>
            <w:r>
              <w:rPr>
                <w:rFonts w:hint="eastAsia" w:cs="宋体"/>
                <w:b w:val="0"/>
                <w:bCs w:val="0"/>
                <w:color w:val="000000"/>
                <w:kern w:val="0"/>
                <w:sz w:val="18"/>
                <w:szCs w:val="18"/>
                <w:highlight w:val="none"/>
                <w:lang w:val="en-US" w:eastAsia="zh-CN"/>
              </w:rPr>
              <w:t>采纳</w:t>
            </w:r>
          </w:p>
        </w:tc>
      </w:tr>
      <w:tr w14:paraId="4B55D1CC">
        <w:tblPrEx>
          <w:tblCellMar>
            <w:top w:w="0" w:type="dxa"/>
            <w:left w:w="108" w:type="dxa"/>
            <w:bottom w:w="0" w:type="dxa"/>
            <w:right w:w="108" w:type="dxa"/>
          </w:tblCellMar>
        </w:tblPrEx>
        <w:trPr>
          <w:trHeight w:val="567" w:hRule="atLeast"/>
          <w:jc w:val="center"/>
        </w:trPr>
        <w:tc>
          <w:tcPr>
            <w:tcW w:w="3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783F90">
            <w:pPr>
              <w:pStyle w:val="302"/>
              <w:keepNext/>
              <w:keepLines/>
              <w:widowControl w:val="0"/>
              <w:numPr>
                <w:ilvl w:val="0"/>
                <w:numId w:val="11"/>
              </w:numPr>
              <w:ind w:firstLineChars="0"/>
              <w:jc w:val="center"/>
              <w:rPr>
                <w:rFonts w:hint="eastAsia" w:ascii="Times New Roman" w:hAnsi="Times New Roman" w:eastAsia="宋体" w:cs="宋体"/>
                <w:b w:val="0"/>
                <w:bCs w:val="0"/>
                <w:color w:val="000000"/>
                <w:kern w:val="0"/>
                <w:sz w:val="18"/>
                <w:szCs w:val="18"/>
                <w:highlight w:val="none"/>
              </w:rPr>
            </w:pPr>
          </w:p>
        </w:tc>
        <w:tc>
          <w:tcPr>
            <w:tcW w:w="8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EC34CD">
            <w:pPr>
              <w:keepNext/>
              <w:keepLines/>
              <w:widowControl w:val="0"/>
              <w:jc w:val="left"/>
              <w:rPr>
                <w:rFonts w:hint="eastAsia" w:ascii="Times New Roman" w:hAnsi="Times New Roman" w:eastAsia="宋体" w:cs="宋体"/>
                <w:b w:val="0"/>
                <w:bCs w:val="0"/>
                <w:color w:val="000000"/>
                <w:kern w:val="0"/>
                <w:sz w:val="18"/>
                <w:szCs w:val="18"/>
                <w:highlight w:val="none"/>
                <w:lang w:val="en-US" w:eastAsia="zh-CN" w:bidi="ar-SA"/>
              </w:rPr>
            </w:pPr>
            <w:r>
              <w:rPr>
                <w:rFonts w:hint="eastAsia" w:cs="宋体"/>
                <w:b w:val="0"/>
                <w:bCs w:val="0"/>
                <w:color w:val="000000"/>
                <w:kern w:val="0"/>
                <w:sz w:val="18"/>
                <w:szCs w:val="18"/>
                <w:highlight w:val="none"/>
                <w:lang w:val="en-US" w:eastAsia="zh-CN"/>
              </w:rPr>
              <w:t>附录B校准证书内页参考格式</w:t>
            </w:r>
          </w:p>
        </w:tc>
        <w:tc>
          <w:tcPr>
            <w:tcW w:w="168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795273">
            <w:pPr>
              <w:keepNext w:val="0"/>
              <w:keepLines w:val="0"/>
              <w:widowControl/>
              <w:numPr>
                <w:ilvl w:val="-1"/>
                <w:numId w:val="0"/>
              </w:numPr>
              <w:ind w:left="0" w:leftChars="0" w:firstLine="0" w:firstLineChars="0"/>
              <w:jc w:val="left"/>
              <w:rPr>
                <w:rFonts w:hint="eastAsia" w:ascii="Times New Roman" w:hAnsi="Times New Roman" w:eastAsia="宋体" w:cs="宋体"/>
                <w:b w:val="0"/>
                <w:bCs w:val="0"/>
                <w:color w:val="000000"/>
                <w:kern w:val="0"/>
                <w:sz w:val="18"/>
                <w:szCs w:val="18"/>
                <w:highlight w:val="none"/>
                <w:lang w:val="en-US" w:eastAsia="zh-CN" w:bidi="ar-SA"/>
              </w:rPr>
            </w:pPr>
            <w:r>
              <w:rPr>
                <w:rFonts w:hint="eastAsia" w:cs="宋体"/>
                <w:b w:val="0"/>
                <w:bCs w:val="0"/>
                <w:color w:val="000000"/>
                <w:kern w:val="0"/>
                <w:sz w:val="18"/>
                <w:szCs w:val="18"/>
                <w:highlight w:val="none"/>
                <w:lang w:val="en-US" w:eastAsia="zh-CN"/>
              </w:rPr>
              <w:t>将</w:t>
            </w:r>
            <w:r>
              <w:rPr>
                <w:rFonts w:hint="eastAsia" w:ascii="Times New Roman" w:hAnsi="Times New Roman" w:eastAsia="宋体" w:cs="宋体"/>
                <w:b w:val="0"/>
                <w:bCs w:val="0"/>
                <w:color w:val="000000"/>
                <w:kern w:val="0"/>
                <w:sz w:val="18"/>
                <w:szCs w:val="18"/>
                <w:highlight w:val="none"/>
                <w:lang w:val="en-US" w:eastAsia="zh-CN"/>
              </w:rPr>
              <w:t>探头性能测试</w:t>
            </w:r>
            <w:r>
              <w:rPr>
                <w:rFonts w:hint="eastAsia" w:cs="宋体"/>
                <w:b w:val="0"/>
                <w:bCs w:val="0"/>
                <w:color w:val="000000"/>
                <w:kern w:val="0"/>
                <w:sz w:val="18"/>
                <w:szCs w:val="18"/>
                <w:highlight w:val="none"/>
                <w:lang w:val="en-US" w:eastAsia="zh-CN"/>
              </w:rPr>
              <w:t>的结果列到表格中</w:t>
            </w:r>
          </w:p>
        </w:tc>
        <w:tc>
          <w:tcPr>
            <w:tcW w:w="131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9AC0D8">
            <w:pPr>
              <w:keepNext/>
              <w:keepLines/>
              <w:widowControl w:val="0"/>
              <w:jc w:val="left"/>
              <w:rPr>
                <w:rFonts w:hint="eastAsia" w:ascii="Times New Roman" w:hAnsi="Times New Roman" w:eastAsia="宋体" w:cs="宋体"/>
                <w:b w:val="0"/>
                <w:bCs w:val="0"/>
                <w:color w:val="000000"/>
                <w:kern w:val="0"/>
                <w:sz w:val="18"/>
                <w:szCs w:val="18"/>
                <w:highlight w:val="none"/>
                <w:lang w:val="en-US" w:eastAsia="zh-CN" w:bidi="ar-SA"/>
              </w:rPr>
            </w:pPr>
            <w:r>
              <w:rPr>
                <w:rFonts w:hint="eastAsia" w:cs="宋体"/>
                <w:color w:val="000000"/>
                <w:kern w:val="0"/>
                <w:sz w:val="18"/>
                <w:szCs w:val="18"/>
                <w:highlight w:val="none"/>
              </w:rPr>
              <w:t>有色金属技术经济研究院有限责任公司</w:t>
            </w:r>
          </w:p>
        </w:tc>
        <w:tc>
          <w:tcPr>
            <w:tcW w:w="7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6F6566">
            <w:pPr>
              <w:keepNext/>
              <w:keepLines/>
              <w:widowControl w:val="0"/>
              <w:jc w:val="left"/>
              <w:rPr>
                <w:rFonts w:hint="eastAsia" w:ascii="Times New Roman" w:hAnsi="Times New Roman" w:eastAsia="宋体" w:cs="宋体"/>
                <w:b w:val="0"/>
                <w:bCs w:val="0"/>
                <w:color w:val="000000"/>
                <w:kern w:val="0"/>
                <w:sz w:val="18"/>
                <w:szCs w:val="18"/>
                <w:highlight w:val="none"/>
                <w:lang w:val="en-US" w:eastAsia="zh-CN" w:bidi="ar-SA"/>
              </w:rPr>
            </w:pPr>
            <w:r>
              <w:rPr>
                <w:rFonts w:hint="eastAsia" w:cs="宋体"/>
                <w:b w:val="0"/>
                <w:bCs w:val="0"/>
                <w:color w:val="000000"/>
                <w:kern w:val="0"/>
                <w:sz w:val="18"/>
                <w:szCs w:val="18"/>
                <w:highlight w:val="none"/>
                <w:lang w:val="en-US" w:eastAsia="zh-CN"/>
              </w:rPr>
              <w:t>采纳</w:t>
            </w:r>
          </w:p>
        </w:tc>
      </w:tr>
      <w:tr w14:paraId="66480981">
        <w:tblPrEx>
          <w:tblCellMar>
            <w:top w:w="0" w:type="dxa"/>
            <w:left w:w="108" w:type="dxa"/>
            <w:bottom w:w="0" w:type="dxa"/>
            <w:right w:w="108" w:type="dxa"/>
          </w:tblCellMar>
        </w:tblPrEx>
        <w:trPr>
          <w:trHeight w:val="567" w:hRule="atLeast"/>
          <w:jc w:val="center"/>
        </w:trPr>
        <w:tc>
          <w:tcPr>
            <w:tcW w:w="3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CF07F3">
            <w:pPr>
              <w:pStyle w:val="302"/>
              <w:keepNext/>
              <w:keepLines/>
              <w:widowControl w:val="0"/>
              <w:numPr>
                <w:ilvl w:val="0"/>
                <w:numId w:val="11"/>
              </w:numPr>
              <w:ind w:firstLineChars="0"/>
              <w:jc w:val="center"/>
              <w:rPr>
                <w:rFonts w:hint="eastAsia" w:ascii="Times New Roman" w:hAnsi="Times New Roman" w:eastAsia="宋体" w:cs="宋体"/>
                <w:b w:val="0"/>
                <w:bCs w:val="0"/>
                <w:color w:val="000000"/>
                <w:kern w:val="0"/>
                <w:sz w:val="18"/>
                <w:szCs w:val="18"/>
                <w:highlight w:val="none"/>
              </w:rPr>
            </w:pPr>
          </w:p>
        </w:tc>
        <w:tc>
          <w:tcPr>
            <w:tcW w:w="8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D9124A">
            <w:pPr>
              <w:keepNext/>
              <w:keepLines/>
              <w:widowControl w:val="0"/>
              <w:jc w:val="left"/>
              <w:rPr>
                <w:rFonts w:hint="default" w:cs="宋体"/>
                <w:b w:val="0"/>
                <w:bCs w:val="0"/>
                <w:color w:val="000000"/>
                <w:kern w:val="0"/>
                <w:sz w:val="18"/>
                <w:szCs w:val="18"/>
                <w:highlight w:val="none"/>
                <w:lang w:val="en-US" w:eastAsia="zh-CN" w:bidi="ar-SA"/>
              </w:rPr>
            </w:pPr>
            <w:r>
              <w:rPr>
                <w:rFonts w:hint="eastAsia" w:cs="宋体"/>
                <w:b w:val="0"/>
                <w:bCs w:val="0"/>
                <w:color w:val="000000"/>
                <w:kern w:val="0"/>
                <w:sz w:val="18"/>
                <w:szCs w:val="18"/>
                <w:highlight w:val="none"/>
                <w:lang w:val="en-US" w:eastAsia="zh-CN" w:bidi="ar-SA"/>
              </w:rPr>
              <w:t>附录D.4.2</w:t>
            </w:r>
          </w:p>
        </w:tc>
        <w:tc>
          <w:tcPr>
            <w:tcW w:w="168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56C8DA">
            <w:pPr>
              <w:keepNext w:val="0"/>
              <w:keepLines w:val="0"/>
              <w:widowControl/>
              <w:numPr>
                <w:ilvl w:val="-1"/>
                <w:numId w:val="0"/>
              </w:numPr>
              <w:ind w:left="0" w:leftChars="0" w:firstLine="0" w:firstLineChars="0"/>
              <w:jc w:val="left"/>
              <w:rPr>
                <w:rFonts w:hint="default" w:cs="宋体"/>
                <w:b w:val="0"/>
                <w:bCs w:val="0"/>
                <w:color w:val="000000"/>
                <w:kern w:val="0"/>
                <w:sz w:val="18"/>
                <w:szCs w:val="18"/>
                <w:highlight w:val="none"/>
                <w:lang w:val="en-US" w:eastAsia="zh-CN" w:bidi="ar-SA"/>
              </w:rPr>
            </w:pPr>
            <w:r>
              <w:rPr>
                <w:rFonts w:hint="eastAsia" w:ascii="Times New Roman" w:hAnsi="Times New Roman" w:eastAsia="宋体" w:cs="宋体"/>
                <w:b w:val="0"/>
                <w:bCs w:val="0"/>
                <w:color w:val="000000"/>
                <w:kern w:val="0"/>
                <w:sz w:val="18"/>
                <w:szCs w:val="18"/>
                <w:highlight w:val="none"/>
                <w:lang w:val="en-US" w:eastAsia="zh-CN"/>
              </w:rPr>
              <w:t>将</w:t>
            </w:r>
            <w:r>
              <w:rPr>
                <w:rFonts w:hint="eastAsia" w:ascii="宋体" w:hAnsi="宋体" w:eastAsia="宋体" w:cs="宋体"/>
                <w:position w:val="-24"/>
                <w:sz w:val="24"/>
                <w:szCs w:val="24"/>
                <w:lang w:val="en-US" w:eastAsia="zh-CN"/>
              </w:rPr>
              <w:object>
                <v:shape id="_x0000_i1025" o:spt="75" type="#_x0000_t75" style="height:30.55pt;width:37.4pt;" o:ole="t" filled="f" o:preferrelative="t" stroked="f" coordsize="21600,21600">
                  <v:path/>
                  <v:fill on="f" focussize="0,0"/>
                  <v:stroke on="f"/>
                  <v:imagedata r:id="rId8" o:title=""/>
                  <o:lock v:ext="edit" aspectratio="t"/>
                  <w10:wrap type="none"/>
                  <w10:anchorlock/>
                </v:shape>
                <o:OLEObject Type="Embed" ProgID="Equation.KSEE3" ShapeID="_x0000_i1025" DrawAspect="Content" ObjectID="_1468075725" r:id="rId7">
                  <o:LockedField>false</o:LockedField>
                </o:OLEObject>
              </w:object>
            </w:r>
            <w:r>
              <w:rPr>
                <w:rFonts w:hint="eastAsia" w:ascii="Times New Roman" w:hAnsi="Times New Roman" w:eastAsia="宋体" w:cs="宋体"/>
                <w:b w:val="0"/>
                <w:bCs w:val="0"/>
                <w:color w:val="000000"/>
                <w:kern w:val="0"/>
                <w:sz w:val="18"/>
                <w:szCs w:val="18"/>
                <w:highlight w:val="none"/>
                <w:lang w:val="en-US" w:eastAsia="zh-CN"/>
              </w:rPr>
              <w:t>修改为</w:t>
            </w:r>
            <w:r>
              <w:rPr>
                <w:rFonts w:hint="eastAsia" w:ascii="宋体" w:hAnsi="宋体" w:eastAsia="宋体" w:cs="宋体"/>
                <w:position w:val="-24"/>
                <w:sz w:val="24"/>
                <w:szCs w:val="24"/>
                <w:lang w:val="en-US" w:eastAsia="zh-CN"/>
              </w:rPr>
              <w:object>
                <v:shape id="_x0000_i1026" o:spt="75" type="#_x0000_t75" style="height:30.55pt;width:37.4pt;" o:ole="t" filled="f" o:preferrelative="t" stroked="f" coordsize="21600,21600">
                  <v:path/>
                  <v:fill on="f" focussize="0,0"/>
                  <v:stroke on="f"/>
                  <v:imagedata r:id="rId10" o:title=""/>
                  <o:lock v:ext="edit" aspectratio="t"/>
                  <w10:wrap type="none"/>
                  <w10:anchorlock/>
                </v:shape>
                <o:OLEObject Type="Embed" ProgID="Equation.KSEE3" ShapeID="_x0000_i1026" DrawAspect="Content" ObjectID="_1468075726" r:id="rId9">
                  <o:LockedField>false</o:LockedField>
                </o:OLEObject>
              </w:object>
            </w:r>
          </w:p>
        </w:tc>
        <w:tc>
          <w:tcPr>
            <w:tcW w:w="131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F807A2">
            <w:pPr>
              <w:keepNext/>
              <w:keepLines/>
              <w:widowControl w:val="0"/>
              <w:jc w:val="left"/>
              <w:rPr>
                <w:rFonts w:hint="eastAsia" w:ascii="Times New Roman" w:hAnsi="Times New Roman" w:eastAsia="宋体" w:cs="宋体"/>
                <w:b w:val="0"/>
                <w:bCs w:val="0"/>
                <w:color w:val="000000"/>
                <w:kern w:val="0"/>
                <w:sz w:val="18"/>
                <w:szCs w:val="18"/>
                <w:highlight w:val="none"/>
                <w:lang w:val="en-US" w:eastAsia="zh-CN" w:bidi="ar-SA"/>
              </w:rPr>
            </w:pPr>
            <w:r>
              <w:rPr>
                <w:rFonts w:hint="eastAsia" w:cs="宋体"/>
                <w:color w:val="000000"/>
                <w:kern w:val="0"/>
                <w:sz w:val="18"/>
                <w:szCs w:val="18"/>
                <w:highlight w:val="none"/>
              </w:rPr>
              <w:t>有色金属技术经济研究院有限责任公司</w:t>
            </w:r>
          </w:p>
        </w:tc>
        <w:tc>
          <w:tcPr>
            <w:tcW w:w="7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027F30">
            <w:pPr>
              <w:keepNext/>
              <w:keepLines/>
              <w:widowControl w:val="0"/>
              <w:jc w:val="left"/>
              <w:rPr>
                <w:rFonts w:hint="eastAsia" w:ascii="Times New Roman" w:hAnsi="Times New Roman" w:eastAsia="宋体" w:cs="宋体"/>
                <w:b w:val="0"/>
                <w:bCs w:val="0"/>
                <w:color w:val="000000"/>
                <w:kern w:val="0"/>
                <w:sz w:val="18"/>
                <w:szCs w:val="18"/>
                <w:highlight w:val="none"/>
                <w:lang w:val="en-US" w:eastAsia="zh-CN" w:bidi="ar-SA"/>
              </w:rPr>
            </w:pPr>
            <w:r>
              <w:rPr>
                <w:rFonts w:hint="eastAsia" w:cs="宋体"/>
                <w:b w:val="0"/>
                <w:bCs w:val="0"/>
                <w:color w:val="000000"/>
                <w:kern w:val="0"/>
                <w:sz w:val="18"/>
                <w:szCs w:val="18"/>
                <w:highlight w:val="none"/>
                <w:lang w:val="en-US" w:eastAsia="zh-CN"/>
              </w:rPr>
              <w:t>采纳</w:t>
            </w:r>
          </w:p>
        </w:tc>
      </w:tr>
      <w:tr w14:paraId="695DD1DB">
        <w:tblPrEx>
          <w:tblCellMar>
            <w:top w:w="0" w:type="dxa"/>
            <w:left w:w="108" w:type="dxa"/>
            <w:bottom w:w="0" w:type="dxa"/>
            <w:right w:w="108" w:type="dxa"/>
          </w:tblCellMar>
        </w:tblPrEx>
        <w:trPr>
          <w:trHeight w:val="567" w:hRule="atLeast"/>
          <w:jc w:val="center"/>
        </w:trPr>
        <w:tc>
          <w:tcPr>
            <w:tcW w:w="3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969E50">
            <w:pPr>
              <w:pStyle w:val="302"/>
              <w:keepNext/>
              <w:keepLines/>
              <w:widowControl w:val="0"/>
              <w:numPr>
                <w:ilvl w:val="0"/>
                <w:numId w:val="11"/>
              </w:numPr>
              <w:ind w:firstLineChars="0"/>
              <w:jc w:val="center"/>
              <w:rPr>
                <w:rFonts w:hint="eastAsia" w:ascii="Times New Roman" w:hAnsi="Times New Roman" w:eastAsia="宋体" w:cs="宋体"/>
                <w:b w:val="0"/>
                <w:bCs w:val="0"/>
                <w:color w:val="000000"/>
                <w:kern w:val="0"/>
                <w:sz w:val="18"/>
                <w:szCs w:val="18"/>
                <w:highlight w:val="none"/>
              </w:rPr>
            </w:pPr>
          </w:p>
        </w:tc>
        <w:tc>
          <w:tcPr>
            <w:tcW w:w="8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FD1B6F">
            <w:pPr>
              <w:keepNext/>
              <w:keepLines/>
              <w:widowControl w:val="0"/>
              <w:jc w:val="left"/>
              <w:rPr>
                <w:b w:val="0"/>
                <w:bCs w:val="0"/>
              </w:rPr>
            </w:pPr>
            <w:r>
              <w:rPr>
                <w:rFonts w:hint="eastAsia" w:cs="宋体"/>
                <w:b w:val="0"/>
                <w:bCs w:val="0"/>
                <w:color w:val="000000"/>
                <w:kern w:val="0"/>
                <w:sz w:val="18"/>
                <w:szCs w:val="18"/>
                <w:highlight w:val="none"/>
                <w:lang w:val="en-US" w:eastAsia="zh-CN" w:bidi="ar-SA"/>
              </w:rPr>
              <w:t>编制说明的（二）确定主要内容3术语</w:t>
            </w:r>
          </w:p>
          <w:p w14:paraId="3BFF2AC8">
            <w:pPr>
              <w:keepNext/>
              <w:keepLines/>
              <w:widowControl w:val="0"/>
              <w:jc w:val="left"/>
              <w:rPr>
                <w:rFonts w:hint="default" w:cs="宋体"/>
                <w:b w:val="0"/>
                <w:bCs w:val="0"/>
                <w:color w:val="000000"/>
                <w:kern w:val="0"/>
                <w:sz w:val="18"/>
                <w:szCs w:val="18"/>
                <w:lang w:val="en-US" w:eastAsia="zh-CN" w:bidi="ar-SA"/>
              </w:rPr>
            </w:pPr>
          </w:p>
        </w:tc>
        <w:tc>
          <w:tcPr>
            <w:tcW w:w="168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D4A250">
            <w:pPr>
              <w:keepNext w:val="0"/>
              <w:keepLines w:val="0"/>
              <w:widowControl/>
              <w:numPr>
                <w:ilvl w:val="-1"/>
                <w:numId w:val="0"/>
              </w:numPr>
              <w:ind w:left="0" w:leftChars="0" w:firstLine="0" w:firstLineChars="0"/>
              <w:jc w:val="left"/>
              <w:rPr>
                <w:rFonts w:hint="default" w:ascii="Times New Roman" w:hAnsi="Times New Roman" w:eastAsia="宋体" w:cs="宋体"/>
                <w:b w:val="0"/>
                <w:bCs w:val="0"/>
                <w:color w:val="000000"/>
                <w:kern w:val="0"/>
                <w:sz w:val="18"/>
                <w:szCs w:val="18"/>
                <w:highlight w:val="none"/>
                <w:lang w:val="en-US" w:eastAsia="zh-CN"/>
              </w:rPr>
            </w:pPr>
            <w:r>
              <w:rPr>
                <w:rFonts w:hint="eastAsia" w:cs="宋体"/>
                <w:b w:val="0"/>
                <w:bCs w:val="0"/>
                <w:color w:val="000000"/>
                <w:kern w:val="0"/>
                <w:sz w:val="18"/>
                <w:szCs w:val="18"/>
                <w:highlight w:val="none"/>
                <w:lang w:val="en-US" w:eastAsia="zh-CN"/>
              </w:rPr>
              <w:t>对每个术语的出处分别说明</w:t>
            </w:r>
          </w:p>
        </w:tc>
        <w:tc>
          <w:tcPr>
            <w:tcW w:w="131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2AF01D">
            <w:pPr>
              <w:keepNext/>
              <w:keepLines/>
              <w:widowControl w:val="0"/>
              <w:jc w:val="left"/>
              <w:rPr>
                <w:rFonts w:hint="eastAsia" w:ascii="Times New Roman" w:hAnsi="Times New Roman" w:eastAsia="宋体" w:cs="宋体"/>
                <w:b w:val="0"/>
                <w:bCs w:val="0"/>
                <w:color w:val="000000"/>
                <w:kern w:val="0"/>
                <w:sz w:val="18"/>
                <w:szCs w:val="18"/>
                <w:highlight w:val="none"/>
                <w:lang w:val="en-US" w:eastAsia="zh-CN" w:bidi="ar-SA"/>
              </w:rPr>
            </w:pPr>
            <w:r>
              <w:rPr>
                <w:rFonts w:hint="eastAsia" w:cs="宋体"/>
                <w:color w:val="000000"/>
                <w:kern w:val="0"/>
                <w:sz w:val="18"/>
                <w:szCs w:val="18"/>
                <w:highlight w:val="none"/>
              </w:rPr>
              <w:t>有色金属技术经济研究院有限责任公司</w:t>
            </w:r>
          </w:p>
        </w:tc>
        <w:tc>
          <w:tcPr>
            <w:tcW w:w="7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29EBC4">
            <w:pPr>
              <w:keepNext/>
              <w:keepLines/>
              <w:widowControl w:val="0"/>
              <w:jc w:val="left"/>
              <w:rPr>
                <w:rFonts w:hint="eastAsia" w:ascii="Times New Roman" w:hAnsi="Times New Roman" w:eastAsia="宋体" w:cs="宋体"/>
                <w:b w:val="0"/>
                <w:bCs w:val="0"/>
                <w:color w:val="000000"/>
                <w:kern w:val="0"/>
                <w:sz w:val="18"/>
                <w:szCs w:val="18"/>
                <w:highlight w:val="none"/>
                <w:lang w:val="en-US" w:eastAsia="zh-CN" w:bidi="ar-SA"/>
              </w:rPr>
            </w:pPr>
            <w:r>
              <w:rPr>
                <w:rFonts w:hint="eastAsia" w:cs="宋体"/>
                <w:b w:val="0"/>
                <w:bCs w:val="0"/>
                <w:color w:val="000000"/>
                <w:kern w:val="0"/>
                <w:sz w:val="18"/>
                <w:szCs w:val="18"/>
                <w:highlight w:val="none"/>
                <w:lang w:val="en-US" w:eastAsia="zh-CN"/>
              </w:rPr>
              <w:t>采纳</w:t>
            </w:r>
          </w:p>
        </w:tc>
      </w:tr>
    </w:tbl>
    <w:p w14:paraId="374CFD00">
      <w:pPr>
        <w:spacing w:line="400" w:lineRule="exact"/>
        <w:ind w:firstLine="420" w:firstLineChars="200"/>
        <w:rPr>
          <w:rFonts w:hint="eastAsia"/>
          <w:b w:val="0"/>
          <w:bCs w:val="0"/>
          <w:highlight w:val="none"/>
          <w:lang w:val="en-US" w:eastAsia="zh-CN"/>
        </w:rPr>
      </w:pPr>
      <w:r>
        <w:rPr>
          <w:rFonts w:hint="eastAsia"/>
          <w:b w:val="0"/>
          <w:bCs w:val="0"/>
          <w:szCs w:val="21"/>
          <w:lang w:val="en-US" w:eastAsia="zh-CN"/>
        </w:rPr>
        <w:t>同时，</w:t>
      </w:r>
      <w:r>
        <w:rPr>
          <w:rFonts w:hint="eastAsia"/>
          <w:b w:val="0"/>
          <w:bCs w:val="0"/>
        </w:rPr>
        <w:t>会上确定了项目</w:t>
      </w:r>
      <w:r>
        <w:rPr>
          <w:rFonts w:hint="eastAsia"/>
          <w:b w:val="0"/>
          <w:bCs w:val="0"/>
          <w:lang w:val="en-US" w:eastAsia="zh-CN"/>
        </w:rPr>
        <w:t>的参编</w:t>
      </w:r>
      <w:r>
        <w:rPr>
          <w:rFonts w:hint="eastAsia"/>
          <w:b w:val="0"/>
          <w:bCs w:val="0"/>
        </w:rPr>
        <w:t>单位及一验、二验单位，明确了各项工作时间进度要求</w:t>
      </w:r>
      <w:r>
        <w:rPr>
          <w:rFonts w:hint="eastAsia"/>
          <w:b w:val="0"/>
          <w:bCs w:val="0"/>
          <w:highlight w:val="none"/>
          <w:lang w:eastAsia="zh-CN"/>
        </w:rPr>
        <w:t>，</w:t>
      </w:r>
      <w:r>
        <w:rPr>
          <w:rFonts w:hint="eastAsia"/>
          <w:b w:val="0"/>
          <w:bCs w:val="0"/>
          <w:highlight w:val="none"/>
          <w:lang w:val="en-US" w:eastAsia="zh-CN"/>
        </w:rPr>
        <w:t>具体内容见表2。</w:t>
      </w:r>
    </w:p>
    <w:p w14:paraId="7F79B83A">
      <w:pPr>
        <w:spacing w:line="360" w:lineRule="auto"/>
        <w:ind w:firstLine="210" w:firstLineChars="100"/>
        <w:jc w:val="center"/>
        <w:rPr>
          <w:b w:val="0"/>
          <w:bCs w:val="0"/>
        </w:rPr>
      </w:pPr>
      <w:r>
        <w:rPr>
          <w:rFonts w:hint="eastAsia"/>
          <w:b w:val="0"/>
          <w:bCs w:val="0"/>
          <w:highlight w:val="none"/>
        </w:rPr>
        <w:t>表</w:t>
      </w:r>
      <w:r>
        <w:rPr>
          <w:rFonts w:hint="eastAsia"/>
          <w:b w:val="0"/>
          <w:bCs w:val="0"/>
          <w:highlight w:val="none"/>
          <w:lang w:val="en-US" w:eastAsia="zh-CN"/>
        </w:rPr>
        <w:t>2</w:t>
      </w:r>
      <w:r>
        <w:rPr>
          <w:rFonts w:hint="eastAsia"/>
          <w:b w:val="0"/>
          <w:bCs w:val="0"/>
          <w:highlight w:val="none"/>
        </w:rPr>
        <w:t>《</w:t>
      </w:r>
      <w:r>
        <w:rPr>
          <w:rFonts w:hint="eastAsia"/>
          <w:szCs w:val="21"/>
          <w:lang w:val="en-US" w:eastAsia="zh-CN"/>
        </w:rPr>
        <w:t>有色金属涡流电导率仪校准规范</w:t>
      </w:r>
      <w:r>
        <w:rPr>
          <w:rFonts w:hint="eastAsia"/>
          <w:b w:val="0"/>
          <w:bCs w:val="0"/>
          <w:szCs w:val="21"/>
        </w:rPr>
        <w:t>-讨论稿</w:t>
      </w:r>
      <w:r>
        <w:rPr>
          <w:rFonts w:hint="eastAsia"/>
          <w:b w:val="0"/>
          <w:bCs w:val="0"/>
        </w:rPr>
        <w:t>》</w:t>
      </w:r>
      <w:r>
        <w:rPr>
          <w:rFonts w:hint="eastAsia"/>
          <w:b w:val="0"/>
          <w:bCs w:val="0"/>
          <w:lang w:val="en-US" w:eastAsia="zh-CN"/>
        </w:rPr>
        <w:t>工作安排</w:t>
      </w:r>
    </w:p>
    <w:tbl>
      <w:tblPr>
        <w:tblStyle w:val="41"/>
        <w:tblW w:w="4764" w:type="pct"/>
        <w:jc w:val="center"/>
        <w:tblLayout w:type="fixed"/>
        <w:tblCellMar>
          <w:top w:w="0" w:type="dxa"/>
          <w:left w:w="108" w:type="dxa"/>
          <w:bottom w:w="0" w:type="dxa"/>
          <w:right w:w="108" w:type="dxa"/>
        </w:tblCellMar>
      </w:tblPr>
      <w:tblGrid>
        <w:gridCol w:w="1864"/>
        <w:gridCol w:w="7257"/>
      </w:tblGrid>
      <w:tr w14:paraId="0AE7ED35">
        <w:tblPrEx>
          <w:tblCellMar>
            <w:top w:w="0" w:type="dxa"/>
            <w:left w:w="108" w:type="dxa"/>
            <w:bottom w:w="0" w:type="dxa"/>
            <w:right w:w="108" w:type="dxa"/>
          </w:tblCellMar>
        </w:tblPrEx>
        <w:trPr>
          <w:trHeight w:val="567" w:hRule="atLeast"/>
          <w:jc w:val="center"/>
        </w:trPr>
        <w:tc>
          <w:tcPr>
            <w:tcW w:w="18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512233">
            <w:pPr>
              <w:spacing w:line="240" w:lineRule="auto"/>
              <w:rPr>
                <w:b w:val="0"/>
                <w:bCs w:val="0"/>
                <w:sz w:val="18"/>
                <w:szCs w:val="18"/>
              </w:rPr>
            </w:pPr>
            <w:r>
              <w:rPr>
                <w:rFonts w:hint="eastAsia"/>
                <w:b w:val="0"/>
                <w:bCs w:val="0"/>
                <w:sz w:val="18"/>
                <w:szCs w:val="18"/>
              </w:rPr>
              <w:t>拟参与编制单位</w:t>
            </w:r>
          </w:p>
        </w:tc>
        <w:tc>
          <w:tcPr>
            <w:tcW w:w="7257" w:type="dxa"/>
            <w:tcBorders>
              <w:top w:val="single" w:color="auto" w:sz="4" w:space="0"/>
              <w:left w:val="nil"/>
              <w:bottom w:val="single" w:color="auto" w:sz="4" w:space="0"/>
              <w:right w:val="single" w:color="auto" w:sz="4" w:space="0"/>
            </w:tcBorders>
            <w:shd w:val="clear" w:color="auto" w:fill="auto"/>
            <w:noWrap/>
            <w:vAlign w:val="center"/>
          </w:tcPr>
          <w:p w14:paraId="7AFCC429">
            <w:pPr>
              <w:widowControl/>
              <w:spacing w:line="240" w:lineRule="auto"/>
              <w:ind w:firstLine="360" w:firstLineChars="200"/>
              <w:jc w:val="left"/>
              <w:rPr>
                <w:rFonts w:hint="eastAsia" w:eastAsia="宋体"/>
                <w:b w:val="0"/>
                <w:bCs w:val="0"/>
                <w:sz w:val="18"/>
                <w:szCs w:val="18"/>
                <w:highlight w:val="none"/>
                <w:lang w:eastAsia="zh-CN"/>
              </w:rPr>
            </w:pPr>
            <w:r>
              <w:rPr>
                <w:rFonts w:hint="eastAsia" w:cs="宋体"/>
                <w:b w:val="0"/>
                <w:bCs w:val="0"/>
                <w:color w:val="000000"/>
                <w:kern w:val="0"/>
                <w:sz w:val="18"/>
                <w:szCs w:val="18"/>
                <w:highlight w:val="none"/>
                <w:lang w:val="en-US" w:eastAsia="zh-CN"/>
              </w:rPr>
              <w:t>东北轻合金有限责任公司</w:t>
            </w:r>
            <w:r>
              <w:rPr>
                <w:rFonts w:hint="eastAsia" w:cs="宋体"/>
                <w:b w:val="0"/>
                <w:bCs w:val="0"/>
                <w:color w:val="000000"/>
                <w:kern w:val="0"/>
                <w:sz w:val="18"/>
                <w:szCs w:val="18"/>
                <w:highlight w:val="none"/>
              </w:rPr>
              <w:t>、</w:t>
            </w:r>
            <w:r>
              <w:rPr>
                <w:rFonts w:hint="eastAsia" w:cs="宋体"/>
                <w:b w:val="0"/>
                <w:bCs w:val="0"/>
                <w:color w:val="000000"/>
                <w:kern w:val="0"/>
                <w:sz w:val="18"/>
                <w:szCs w:val="18"/>
                <w:highlight w:val="none"/>
                <w:lang w:val="en-US" w:eastAsia="zh-CN"/>
              </w:rPr>
              <w:t>国标（北京）检验认证有限公司、西安汉唐分析检测有限公司、广东省科学院工业分析检测中心</w:t>
            </w:r>
            <w:r>
              <w:rPr>
                <w:rFonts w:cs="宋体"/>
                <w:b w:val="0"/>
                <w:bCs w:val="0"/>
                <w:color w:val="000000"/>
                <w:kern w:val="0"/>
                <w:sz w:val="18"/>
                <w:szCs w:val="18"/>
                <w:highlight w:val="none"/>
              </w:rPr>
              <w:t>等</w:t>
            </w:r>
            <w:r>
              <w:rPr>
                <w:rFonts w:hint="eastAsia" w:cs="宋体"/>
                <w:b w:val="0"/>
                <w:bCs w:val="0"/>
                <w:color w:val="000000"/>
                <w:kern w:val="0"/>
                <w:sz w:val="18"/>
                <w:szCs w:val="18"/>
                <w:highlight w:val="none"/>
                <w:lang w:eastAsia="zh-CN"/>
              </w:rPr>
              <w:t>（</w:t>
            </w:r>
            <w:r>
              <w:rPr>
                <w:rFonts w:hint="eastAsia" w:cs="宋体"/>
                <w:b w:val="0"/>
                <w:bCs w:val="0"/>
                <w:color w:val="000000"/>
                <w:kern w:val="0"/>
                <w:sz w:val="18"/>
                <w:szCs w:val="18"/>
                <w:highlight w:val="none"/>
                <w:lang w:val="en-US" w:eastAsia="zh-CN"/>
              </w:rPr>
              <w:t>应与最终报批稿一致，不一致的应说明情况</w:t>
            </w:r>
            <w:r>
              <w:rPr>
                <w:rFonts w:hint="eastAsia" w:cs="宋体"/>
                <w:b w:val="0"/>
                <w:bCs w:val="0"/>
                <w:color w:val="000000"/>
                <w:kern w:val="0"/>
                <w:sz w:val="18"/>
                <w:szCs w:val="18"/>
                <w:highlight w:val="none"/>
                <w:lang w:eastAsia="zh-CN"/>
              </w:rPr>
              <w:t>）</w:t>
            </w:r>
          </w:p>
        </w:tc>
      </w:tr>
      <w:tr w14:paraId="75D9E735">
        <w:tblPrEx>
          <w:tblCellMar>
            <w:top w:w="0" w:type="dxa"/>
            <w:left w:w="108" w:type="dxa"/>
            <w:bottom w:w="0" w:type="dxa"/>
            <w:right w:w="108" w:type="dxa"/>
          </w:tblCellMar>
        </w:tblPrEx>
        <w:trPr>
          <w:trHeight w:val="567" w:hRule="atLeast"/>
          <w:jc w:val="center"/>
        </w:trPr>
        <w:tc>
          <w:tcPr>
            <w:tcW w:w="18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073BB1">
            <w:pPr>
              <w:spacing w:line="240" w:lineRule="auto"/>
              <w:rPr>
                <w:rFonts w:hint="eastAsia"/>
                <w:b w:val="0"/>
                <w:bCs w:val="0"/>
                <w:sz w:val="18"/>
                <w:szCs w:val="18"/>
              </w:rPr>
            </w:pPr>
            <w:r>
              <w:rPr>
                <w:rFonts w:hint="eastAsia"/>
                <w:b w:val="0"/>
                <w:bCs w:val="0"/>
                <w:sz w:val="18"/>
                <w:szCs w:val="18"/>
              </w:rPr>
              <w:t>一验单位</w:t>
            </w:r>
          </w:p>
        </w:tc>
        <w:tc>
          <w:tcPr>
            <w:tcW w:w="7257" w:type="dxa"/>
            <w:tcBorders>
              <w:top w:val="single" w:color="auto" w:sz="4" w:space="0"/>
              <w:left w:val="nil"/>
              <w:bottom w:val="single" w:color="auto" w:sz="4" w:space="0"/>
              <w:right w:val="single" w:color="auto" w:sz="4" w:space="0"/>
            </w:tcBorders>
            <w:shd w:val="clear" w:color="auto" w:fill="auto"/>
            <w:noWrap/>
            <w:vAlign w:val="center"/>
          </w:tcPr>
          <w:p w14:paraId="5D1E09D6">
            <w:pPr>
              <w:spacing w:line="240" w:lineRule="auto"/>
              <w:ind w:firstLine="360" w:firstLineChars="200"/>
              <w:rPr>
                <w:rFonts w:hint="default" w:eastAsia="宋体"/>
                <w:b w:val="0"/>
                <w:bCs w:val="0"/>
                <w:sz w:val="18"/>
                <w:szCs w:val="18"/>
                <w:lang w:val="en-US" w:eastAsia="zh-CN"/>
              </w:rPr>
            </w:pPr>
            <w:r>
              <w:rPr>
                <w:rFonts w:hint="eastAsia" w:cs="宋体"/>
                <w:b w:val="0"/>
                <w:bCs w:val="0"/>
                <w:color w:val="000000"/>
                <w:kern w:val="0"/>
                <w:sz w:val="18"/>
                <w:szCs w:val="18"/>
                <w:highlight w:val="none"/>
                <w:lang w:val="en-US" w:eastAsia="zh-CN"/>
              </w:rPr>
              <w:t>中铝洛阳铜加工有限公司</w:t>
            </w:r>
          </w:p>
        </w:tc>
      </w:tr>
      <w:tr w14:paraId="5972E535">
        <w:tblPrEx>
          <w:tblCellMar>
            <w:top w:w="0" w:type="dxa"/>
            <w:left w:w="108" w:type="dxa"/>
            <w:bottom w:w="0" w:type="dxa"/>
            <w:right w:w="108" w:type="dxa"/>
          </w:tblCellMar>
        </w:tblPrEx>
        <w:trPr>
          <w:trHeight w:val="567" w:hRule="atLeast"/>
          <w:jc w:val="center"/>
        </w:trPr>
        <w:tc>
          <w:tcPr>
            <w:tcW w:w="18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31579A">
            <w:pPr>
              <w:spacing w:line="240" w:lineRule="auto"/>
              <w:rPr>
                <w:rFonts w:hint="eastAsia"/>
                <w:b w:val="0"/>
                <w:bCs w:val="0"/>
                <w:sz w:val="18"/>
                <w:szCs w:val="18"/>
              </w:rPr>
            </w:pPr>
            <w:r>
              <w:rPr>
                <w:rFonts w:hint="eastAsia"/>
                <w:b w:val="0"/>
                <w:bCs w:val="0"/>
                <w:sz w:val="18"/>
                <w:szCs w:val="18"/>
              </w:rPr>
              <w:t>二验单位</w:t>
            </w:r>
          </w:p>
        </w:tc>
        <w:tc>
          <w:tcPr>
            <w:tcW w:w="7257" w:type="dxa"/>
            <w:tcBorders>
              <w:top w:val="single" w:color="auto" w:sz="4" w:space="0"/>
              <w:left w:val="nil"/>
              <w:bottom w:val="single" w:color="auto" w:sz="4" w:space="0"/>
              <w:right w:val="single" w:color="auto" w:sz="4" w:space="0"/>
            </w:tcBorders>
            <w:shd w:val="clear" w:color="auto" w:fill="auto"/>
            <w:noWrap/>
            <w:vAlign w:val="center"/>
          </w:tcPr>
          <w:p w14:paraId="18B9FFA7">
            <w:pPr>
              <w:spacing w:line="240" w:lineRule="auto"/>
              <w:ind w:firstLine="360" w:firstLineChars="200"/>
              <w:rPr>
                <w:rFonts w:hint="eastAsia"/>
                <w:b w:val="0"/>
                <w:bCs w:val="0"/>
                <w:sz w:val="18"/>
                <w:szCs w:val="18"/>
                <w:highlight w:val="none"/>
              </w:rPr>
            </w:pPr>
            <w:r>
              <w:rPr>
                <w:rFonts w:hint="eastAsia" w:cs="宋体"/>
                <w:b w:val="0"/>
                <w:bCs w:val="0"/>
                <w:color w:val="000000"/>
                <w:kern w:val="0"/>
                <w:sz w:val="18"/>
                <w:szCs w:val="18"/>
                <w:highlight w:val="none"/>
                <w:lang w:val="en-US" w:eastAsia="zh-CN"/>
              </w:rPr>
              <w:t>辽宁盛达计量检测技术有限公司、国合通用(青岛)测试评价股份有限公司、国合通用（重庆）测试评价认证有限公司、广东省科学院工业分析检测中心、广东省科学院新材料研究所</w:t>
            </w:r>
          </w:p>
        </w:tc>
      </w:tr>
      <w:tr w14:paraId="4B424658">
        <w:tblPrEx>
          <w:tblCellMar>
            <w:top w:w="0" w:type="dxa"/>
            <w:left w:w="108" w:type="dxa"/>
            <w:bottom w:w="0" w:type="dxa"/>
            <w:right w:w="108" w:type="dxa"/>
          </w:tblCellMar>
        </w:tblPrEx>
        <w:trPr>
          <w:trHeight w:val="567" w:hRule="atLeast"/>
          <w:jc w:val="center"/>
        </w:trPr>
        <w:tc>
          <w:tcPr>
            <w:tcW w:w="18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E76ABA">
            <w:pPr>
              <w:spacing w:line="240" w:lineRule="auto"/>
              <w:rPr>
                <w:b w:val="0"/>
                <w:bCs w:val="0"/>
                <w:sz w:val="18"/>
                <w:szCs w:val="18"/>
              </w:rPr>
            </w:pPr>
            <w:r>
              <w:rPr>
                <w:rFonts w:hint="eastAsia"/>
                <w:b w:val="0"/>
                <w:bCs w:val="0"/>
                <w:sz w:val="18"/>
                <w:szCs w:val="18"/>
              </w:rPr>
              <w:t>时间节点安排</w:t>
            </w:r>
          </w:p>
        </w:tc>
        <w:tc>
          <w:tcPr>
            <w:tcW w:w="7257" w:type="dxa"/>
            <w:tcBorders>
              <w:top w:val="single" w:color="auto" w:sz="4" w:space="0"/>
              <w:left w:val="nil"/>
              <w:bottom w:val="single" w:color="auto" w:sz="4" w:space="0"/>
              <w:right w:val="single" w:color="auto" w:sz="4" w:space="0"/>
            </w:tcBorders>
            <w:shd w:val="clear" w:color="auto" w:fill="auto"/>
            <w:noWrap/>
            <w:vAlign w:val="center"/>
          </w:tcPr>
          <w:p w14:paraId="03B4C9E7">
            <w:pPr>
              <w:spacing w:line="240" w:lineRule="auto"/>
              <w:ind w:firstLine="360" w:firstLineChars="200"/>
              <w:rPr>
                <w:b w:val="0"/>
                <w:bCs w:val="0"/>
                <w:sz w:val="18"/>
                <w:szCs w:val="18"/>
              </w:rPr>
            </w:pPr>
            <w:r>
              <w:rPr>
                <w:rFonts w:hint="eastAsia"/>
                <w:b w:val="0"/>
                <w:bCs w:val="0"/>
                <w:sz w:val="18"/>
                <w:szCs w:val="18"/>
                <w:highlight w:val="none"/>
              </w:rPr>
              <w:t>202</w:t>
            </w:r>
            <w:r>
              <w:rPr>
                <w:rFonts w:hint="eastAsia"/>
                <w:b w:val="0"/>
                <w:bCs w:val="0"/>
                <w:sz w:val="18"/>
                <w:szCs w:val="18"/>
                <w:highlight w:val="none"/>
                <w:lang w:val="en-US" w:eastAsia="zh-CN"/>
              </w:rPr>
              <w:t>6</w:t>
            </w:r>
            <w:r>
              <w:rPr>
                <w:rFonts w:hint="eastAsia"/>
                <w:b w:val="0"/>
                <w:bCs w:val="0"/>
                <w:sz w:val="18"/>
                <w:szCs w:val="18"/>
                <w:highlight w:val="none"/>
              </w:rPr>
              <w:t>年</w:t>
            </w:r>
            <w:r>
              <w:rPr>
                <w:rFonts w:hint="eastAsia"/>
                <w:b w:val="0"/>
                <w:bCs w:val="0"/>
                <w:sz w:val="18"/>
                <w:szCs w:val="18"/>
                <w:highlight w:val="none"/>
                <w:lang w:val="en-US" w:eastAsia="zh-CN"/>
              </w:rPr>
              <w:t>10月完成试验验证，2027年6月</w:t>
            </w:r>
            <w:r>
              <w:rPr>
                <w:rFonts w:hint="eastAsia"/>
                <w:b w:val="0"/>
                <w:bCs w:val="0"/>
                <w:sz w:val="18"/>
                <w:szCs w:val="18"/>
                <w:highlight w:val="none"/>
              </w:rPr>
              <w:t>完成规范报批</w:t>
            </w:r>
          </w:p>
        </w:tc>
      </w:tr>
    </w:tbl>
    <w:p w14:paraId="7CEC114C">
      <w:pPr>
        <w:spacing w:line="400" w:lineRule="exact"/>
        <w:ind w:firstLine="420" w:firstLineChars="200"/>
        <w:rPr>
          <w:rFonts w:hint="eastAsia"/>
          <w:b w:val="0"/>
          <w:bCs w:val="0"/>
          <w:szCs w:val="21"/>
          <w:highlight w:val="none"/>
        </w:rPr>
      </w:pPr>
      <w:r>
        <w:rPr>
          <w:rFonts w:hint="eastAsia" w:cs="Times New Roman"/>
          <w:b w:val="0"/>
          <w:bCs w:val="0"/>
          <w:lang w:val="en-US" w:eastAsia="zh-CN"/>
        </w:rPr>
        <w:t>4）</w:t>
      </w:r>
      <w:r>
        <w:rPr>
          <w:rFonts w:hint="eastAsia" w:ascii="Times New Roman" w:hAnsi="Times New Roman" w:cs="Times New Roman"/>
          <w:b w:val="0"/>
          <w:bCs w:val="0"/>
          <w:lang w:val="en-US" w:eastAsia="zh-CN"/>
        </w:rPr>
        <w:t>2026年5月，针对5月的</w:t>
      </w:r>
      <w:r>
        <w:rPr>
          <w:rFonts w:hint="eastAsia"/>
          <w:lang w:val="en-US" w:eastAsia="zh-CN"/>
        </w:rPr>
        <w:t>大连市</w:t>
      </w:r>
      <w:r>
        <w:rPr>
          <w:rFonts w:hint="eastAsia" w:ascii="Times New Roman" w:hAnsi="Times New Roman" w:cs="Times New Roman"/>
          <w:b w:val="0"/>
          <w:bCs w:val="0"/>
          <w:lang w:val="en-US" w:eastAsia="zh-CN"/>
        </w:rPr>
        <w:t>讨论会中代表们提出的修改意见和建议，编制组修改了校准规范</w:t>
      </w:r>
      <w:r>
        <w:rPr>
          <w:rFonts w:hint="eastAsia" w:cs="Times New Roman"/>
          <w:b w:val="0"/>
          <w:bCs w:val="0"/>
          <w:lang w:val="en-US" w:eastAsia="zh-CN"/>
        </w:rPr>
        <w:t>，</w:t>
      </w:r>
      <w:r>
        <w:rPr>
          <w:rFonts w:hint="eastAsia"/>
          <w:b w:val="0"/>
          <w:bCs w:val="0"/>
          <w:highlight w:val="none"/>
        </w:rPr>
        <w:t>形成</w:t>
      </w:r>
      <w:r>
        <w:rPr>
          <w:rFonts w:hint="eastAsia"/>
          <w:b w:val="0"/>
          <w:bCs w:val="0"/>
          <w:highlight w:val="none"/>
          <w:lang w:val="en-US" w:eastAsia="zh-CN"/>
        </w:rPr>
        <w:t>了</w:t>
      </w:r>
      <w:r>
        <w:rPr>
          <w:rFonts w:hint="eastAsia"/>
          <w:b w:val="0"/>
          <w:bCs w:val="0"/>
          <w:szCs w:val="21"/>
          <w:highlight w:val="none"/>
        </w:rPr>
        <w:t>《</w:t>
      </w:r>
      <w:r>
        <w:rPr>
          <w:rFonts w:hint="eastAsia"/>
          <w:szCs w:val="21"/>
          <w:lang w:val="en-US" w:eastAsia="zh-CN"/>
        </w:rPr>
        <w:t>有色金属涡流电导率仪校准规范</w:t>
      </w:r>
      <w:r>
        <w:rPr>
          <w:rFonts w:hint="eastAsia"/>
          <w:b w:val="0"/>
          <w:bCs w:val="0"/>
          <w:szCs w:val="21"/>
          <w:highlight w:val="none"/>
        </w:rPr>
        <w:t>-</w:t>
      </w:r>
      <w:r>
        <w:rPr>
          <w:rFonts w:hint="eastAsia"/>
          <w:b w:val="0"/>
          <w:bCs w:val="0"/>
          <w:highlight w:val="none"/>
        </w:rPr>
        <w:t>征求意见稿</w:t>
      </w:r>
      <w:r>
        <w:rPr>
          <w:rFonts w:hint="eastAsia"/>
          <w:b w:val="0"/>
          <w:bCs w:val="0"/>
          <w:szCs w:val="21"/>
          <w:highlight w:val="none"/>
        </w:rPr>
        <w:t>》</w:t>
      </w:r>
    </w:p>
    <w:p w14:paraId="31EAF0EC">
      <w:pPr>
        <w:spacing w:line="400" w:lineRule="exact"/>
        <w:ind w:firstLine="420" w:firstLineChars="200"/>
        <w:rPr>
          <w:rFonts w:hint="eastAsia"/>
          <w:b w:val="0"/>
          <w:bCs w:val="0"/>
          <w:highlight w:val="none"/>
        </w:rPr>
      </w:pPr>
      <w:r>
        <w:rPr>
          <w:rFonts w:hint="eastAsia"/>
          <w:b w:val="0"/>
          <w:bCs w:val="0"/>
          <w:szCs w:val="21"/>
          <w:highlight w:val="none"/>
          <w:lang w:val="en-US" w:eastAsia="zh-CN"/>
        </w:rPr>
        <w:t>5）</w:t>
      </w:r>
      <w:r>
        <w:rPr>
          <w:rFonts w:hint="eastAsia"/>
          <w:b w:val="0"/>
          <w:bCs w:val="0"/>
          <w:highlight w:val="none"/>
        </w:rPr>
        <w:t>202</w:t>
      </w:r>
      <w:r>
        <w:rPr>
          <w:rFonts w:hint="eastAsia"/>
          <w:b w:val="0"/>
          <w:bCs w:val="0"/>
          <w:highlight w:val="none"/>
          <w:lang w:val="en-US" w:eastAsia="zh-CN"/>
        </w:rPr>
        <w:t>6</w:t>
      </w:r>
      <w:r>
        <w:rPr>
          <w:rFonts w:hint="eastAsia"/>
          <w:b w:val="0"/>
          <w:bCs w:val="0"/>
          <w:highlight w:val="none"/>
        </w:rPr>
        <w:t>年</w:t>
      </w:r>
      <w:r>
        <w:rPr>
          <w:rFonts w:hint="eastAsia"/>
          <w:b w:val="0"/>
          <w:bCs w:val="0"/>
          <w:highlight w:val="none"/>
          <w:lang w:val="en-US" w:eastAsia="zh-CN"/>
        </w:rPr>
        <w:t>6</w:t>
      </w:r>
      <w:r>
        <w:rPr>
          <w:rFonts w:hint="eastAsia"/>
          <w:b w:val="0"/>
          <w:bCs w:val="0"/>
          <w:highlight w:val="none"/>
        </w:rPr>
        <w:t>月</w:t>
      </w:r>
      <w:r>
        <w:rPr>
          <w:rFonts w:hint="eastAsia"/>
          <w:b w:val="0"/>
          <w:bCs w:val="0"/>
          <w:highlight w:val="none"/>
          <w:lang w:eastAsia="zh-CN"/>
        </w:rPr>
        <w:t>，</w:t>
      </w:r>
      <w:r>
        <w:rPr>
          <w:rFonts w:hint="eastAsia"/>
          <w:b w:val="0"/>
          <w:bCs w:val="0"/>
          <w:highlight w:val="none"/>
          <w:lang w:val="en-US" w:eastAsia="zh-CN"/>
        </w:rPr>
        <w:t>中国有色金属工业协会发文关于对《辉光放电发射光谱仪校准规范》等7项计量技术规范征求意见的函</w:t>
      </w:r>
      <w:r>
        <w:rPr>
          <w:rFonts w:hint="eastAsia" w:ascii="宋体" w:hAnsi="宋体" w:cs="宋体"/>
          <w:b w:val="0"/>
          <w:bCs w:val="0"/>
          <w:highlight w:val="none"/>
          <w:lang w:val="en-US" w:eastAsia="zh-CN"/>
        </w:rPr>
        <w:t>（中色计量委字〔</w:t>
      </w:r>
      <w:r>
        <w:rPr>
          <w:rFonts w:hint="eastAsia" w:ascii="宋体" w:hAnsi="宋体" w:eastAsia="宋体" w:cs="宋体"/>
          <w:b w:val="0"/>
          <w:bCs w:val="0"/>
          <w:highlight w:val="none"/>
          <w:lang w:val="en-US" w:eastAsia="zh-CN"/>
        </w:rPr>
        <w:t>202</w:t>
      </w:r>
      <w:r>
        <w:rPr>
          <w:rFonts w:hint="eastAsia" w:ascii="宋体" w:hAnsi="宋体" w:cs="宋体"/>
          <w:b w:val="0"/>
          <w:bCs w:val="0"/>
          <w:highlight w:val="none"/>
          <w:lang w:val="en-US" w:eastAsia="zh-CN"/>
        </w:rPr>
        <w:t>6〕7</w:t>
      </w:r>
      <w:r>
        <w:rPr>
          <w:rFonts w:hint="eastAsia" w:ascii="宋体" w:hAnsi="宋体" w:eastAsia="宋体" w:cs="宋体"/>
          <w:b w:val="0"/>
          <w:bCs w:val="0"/>
          <w:highlight w:val="none"/>
          <w:lang w:val="en-US" w:eastAsia="zh-CN"/>
        </w:rPr>
        <w:t>号</w:t>
      </w:r>
      <w:r>
        <w:rPr>
          <w:rFonts w:hint="eastAsia" w:ascii="宋体" w:hAnsi="宋体" w:cs="宋体"/>
          <w:b w:val="0"/>
          <w:bCs w:val="0"/>
          <w:highlight w:val="none"/>
          <w:lang w:val="en-US" w:eastAsia="zh-CN"/>
        </w:rPr>
        <w:t>），向</w:t>
      </w:r>
      <w:r>
        <w:rPr>
          <w:rFonts w:hint="eastAsia"/>
          <w:b w:val="0"/>
          <w:bCs w:val="0"/>
          <w:highlight w:val="none"/>
          <w:lang w:val="en-US" w:eastAsia="zh-CN"/>
        </w:rPr>
        <w:t>社会广泛征求意见</w:t>
      </w:r>
      <w:r>
        <w:rPr>
          <w:rFonts w:hint="eastAsia"/>
          <w:b w:val="0"/>
          <w:bCs w:val="0"/>
          <w:highlight w:val="none"/>
        </w:rPr>
        <w:t>。</w:t>
      </w:r>
    </w:p>
    <w:p w14:paraId="7318E826">
      <w:pPr>
        <w:spacing w:line="400" w:lineRule="exact"/>
        <w:ind w:firstLine="420" w:firstLineChars="200"/>
        <w:rPr>
          <w:rFonts w:hint="eastAsia"/>
          <w:b w:val="0"/>
          <w:bCs w:val="0"/>
          <w:szCs w:val="21"/>
          <w:highlight w:val="none"/>
          <w:lang w:val="en-US" w:eastAsia="zh-CN"/>
        </w:rPr>
      </w:pPr>
      <w:r>
        <w:rPr>
          <w:rFonts w:hint="eastAsia"/>
          <w:b w:val="0"/>
          <w:bCs w:val="0"/>
          <w:highlight w:val="none"/>
          <w:lang w:val="en-US" w:eastAsia="zh-CN"/>
        </w:rPr>
        <w:t>6）2025年7-9月</w:t>
      </w:r>
      <w:r>
        <w:rPr>
          <w:rFonts w:hint="eastAsia"/>
          <w:b w:val="0"/>
          <w:bCs w:val="0"/>
          <w:szCs w:val="21"/>
          <w:highlight w:val="none"/>
          <w:lang w:val="en-US" w:eastAsia="zh-CN"/>
        </w:rPr>
        <w:t>主编单位西南铝业（集团）有限责任公司对意见进行了收集整理，根据收集的意见，对规范进行了修改，形成了预审稿。</w:t>
      </w:r>
    </w:p>
    <w:p w14:paraId="3E4CB2E6">
      <w:pPr>
        <w:spacing w:line="400" w:lineRule="exact"/>
        <w:ind w:firstLine="420" w:firstLineChars="200"/>
        <w:rPr>
          <w:rFonts w:hint="default" w:eastAsia="宋体"/>
          <w:lang w:val="en-US" w:eastAsia="zh-CN"/>
        </w:rPr>
      </w:pPr>
    </w:p>
    <w:bookmarkEnd w:id="10"/>
    <w:p w14:paraId="0265B096">
      <w:pPr>
        <w:pStyle w:val="2"/>
        <w:spacing w:before="156" w:after="156"/>
        <w:rPr>
          <w:b w:val="0"/>
          <w:bCs w:val="0"/>
        </w:rPr>
      </w:pPr>
      <w:r>
        <w:rPr>
          <w:rFonts w:hint="eastAsia"/>
          <w:b w:val="0"/>
          <w:bCs w:val="0"/>
        </w:rPr>
        <w:t>二、编制原则和依据</w:t>
      </w:r>
    </w:p>
    <w:p w14:paraId="12342936">
      <w:pPr>
        <w:pStyle w:val="3"/>
        <w:spacing w:before="156" w:after="156"/>
        <w:rPr>
          <w:b w:val="0"/>
          <w:bCs w:val="0"/>
        </w:rPr>
      </w:pPr>
      <w:bookmarkStart w:id="12" w:name="_Toc464728925"/>
      <w:r>
        <w:rPr>
          <w:rFonts w:hint="eastAsia"/>
          <w:b w:val="0"/>
          <w:bCs w:val="0"/>
        </w:rPr>
        <w:t>（一）编制原则</w:t>
      </w:r>
      <w:bookmarkEnd w:id="12"/>
    </w:p>
    <w:p w14:paraId="761DB15E">
      <w:pPr>
        <w:spacing w:line="400" w:lineRule="exact"/>
        <w:ind w:firstLine="420" w:firstLineChars="200"/>
        <w:rPr>
          <w:szCs w:val="21"/>
        </w:rPr>
      </w:pPr>
      <w:bookmarkStart w:id="13" w:name="_Toc464728926"/>
      <w:r>
        <w:rPr>
          <w:rFonts w:hint="eastAsia"/>
          <w:szCs w:val="21"/>
        </w:rPr>
        <w:t>本规范是以JJF 1071-2010《国家计量校准规范编写规则》、JJF 1001-2011《通用计量术语及定义》和JJF 1059.1-2012《测量不确定度评定与表示》为基础性系列规范进行编写。</w:t>
      </w:r>
    </w:p>
    <w:p w14:paraId="6C2A4F31">
      <w:pPr>
        <w:spacing w:line="400" w:lineRule="exact"/>
        <w:ind w:firstLine="420" w:firstLineChars="200"/>
        <w:rPr>
          <w:szCs w:val="21"/>
        </w:rPr>
      </w:pPr>
      <w:r>
        <w:rPr>
          <w:rFonts w:hint="eastAsia"/>
          <w:szCs w:val="21"/>
        </w:rPr>
        <w:t>本规范参考了GBT 12966-2022《铝及铝合金电导率涡流测试方法》、JJF 1692-2018《涡流电导率仪校准规范》、JJG（民航）0092-2006《涡流电导率测试仪检定规程》、MIL-STD-1537C《采用涡流方式验证铝合金热处理后的涡流电导率的标准测试方法》、BAC5651《涡流电导率检测》、ASTM E1004 《涡流法测定材料电导率》的技术内容，对涡流电导率仪计量特性进行了详细描述，对有色金属涡流电导率仪</w:t>
      </w:r>
      <w:r>
        <w:rPr>
          <w:rFonts w:hint="eastAsia" w:asciiTheme="minorEastAsia" w:hAnsiTheme="minorEastAsia" w:eastAsiaTheme="minorEastAsia" w:cstheme="minorEastAsia"/>
          <w:bCs/>
          <w:szCs w:val="21"/>
        </w:rPr>
        <w:t>校准规范</w:t>
      </w:r>
      <w:r>
        <w:rPr>
          <w:rFonts w:hint="eastAsia"/>
          <w:szCs w:val="21"/>
        </w:rPr>
        <w:t>的校准方法和误差计算方法进行了详细的描述；对校准标准装置进行了详细的规定，对校准点也明确列出规定。</w:t>
      </w:r>
    </w:p>
    <w:p w14:paraId="2E2D084F">
      <w:pPr>
        <w:pStyle w:val="3"/>
        <w:spacing w:before="156" w:after="156"/>
        <w:rPr>
          <w:rFonts w:hint="eastAsia" w:ascii="宋体" w:hAnsi="宋体"/>
          <w:b w:val="0"/>
          <w:bCs w:val="0"/>
        </w:rPr>
      </w:pPr>
      <w:r>
        <w:rPr>
          <w:rFonts w:hint="eastAsia"/>
          <w:b w:val="0"/>
          <w:bCs w:val="0"/>
        </w:rPr>
        <w:t>（二）确定主要内</w:t>
      </w:r>
      <w:bookmarkEnd w:id="13"/>
      <w:r>
        <w:rPr>
          <w:rFonts w:hint="eastAsia"/>
          <w:b w:val="0"/>
          <w:bCs w:val="0"/>
        </w:rPr>
        <w:t>容</w:t>
      </w:r>
    </w:p>
    <w:p w14:paraId="10A47BC5">
      <w:pPr>
        <w:pStyle w:val="4"/>
        <w:spacing w:before="156" w:after="156"/>
        <w:rPr>
          <w:b w:val="0"/>
          <w:bCs w:val="0"/>
        </w:rPr>
      </w:pPr>
      <w:bookmarkStart w:id="14" w:name="_Toc500258929"/>
      <w:bookmarkStart w:id="15" w:name="_Toc23837_WPSOffice_Level1"/>
      <w:bookmarkStart w:id="16" w:name="_Toc193860027"/>
      <w:bookmarkStart w:id="17" w:name="_Toc193860177"/>
      <w:bookmarkStart w:id="18" w:name="_Toc193860208"/>
      <w:bookmarkStart w:id="19" w:name="_Toc464728964"/>
      <w:r>
        <w:rPr>
          <w:rFonts w:hint="eastAsia"/>
          <w:b w:val="0"/>
          <w:bCs w:val="0"/>
        </w:rPr>
        <w:t>1范围</w:t>
      </w:r>
      <w:bookmarkEnd w:id="14"/>
      <w:bookmarkEnd w:id="15"/>
      <w:bookmarkEnd w:id="16"/>
      <w:bookmarkEnd w:id="17"/>
      <w:bookmarkEnd w:id="18"/>
    </w:p>
    <w:p w14:paraId="112CE978">
      <w:pPr>
        <w:spacing w:line="400" w:lineRule="exact"/>
        <w:ind w:firstLine="420" w:firstLineChars="200"/>
        <w:rPr>
          <w:rFonts w:eastAsiaTheme="minorEastAsia"/>
          <w:kern w:val="0"/>
          <w:szCs w:val="21"/>
        </w:rPr>
      </w:pPr>
      <w:r>
        <w:rPr>
          <w:rFonts w:hint="eastAsia" w:ascii="宋体" w:hAnsi="宋体" w:cs="宋体"/>
          <w:bCs/>
          <w:szCs w:val="21"/>
        </w:rPr>
        <w:t>本规范适用于量程为0.9%IACS～104%IACS（0.5MS/m～60.5MS/m）的测量非铁磁金属电导率的直读式涡流电导率仪校准</w:t>
      </w:r>
      <w:bookmarkStart w:id="76" w:name="_GoBack"/>
      <w:bookmarkEnd w:id="76"/>
      <w:r>
        <w:rPr>
          <w:rFonts w:hint="eastAsia" w:eastAsiaTheme="minorEastAsia"/>
          <w:kern w:val="0"/>
          <w:szCs w:val="21"/>
        </w:rPr>
        <w:t>。</w:t>
      </w:r>
    </w:p>
    <w:p w14:paraId="03055D37">
      <w:pPr>
        <w:pStyle w:val="4"/>
        <w:spacing w:before="156" w:after="156"/>
        <w:rPr>
          <w:b w:val="0"/>
          <w:bCs w:val="0"/>
        </w:rPr>
      </w:pPr>
      <w:bookmarkStart w:id="20" w:name="_Toc193860028"/>
      <w:bookmarkStart w:id="21" w:name="_Toc193860209"/>
      <w:bookmarkStart w:id="22" w:name="_Toc193860178"/>
      <w:bookmarkStart w:id="23" w:name="_Toc500258930"/>
      <w:bookmarkStart w:id="24" w:name="_Toc7848_WPSOffice_Level1"/>
      <w:r>
        <w:rPr>
          <w:rFonts w:hint="eastAsia"/>
          <w:b w:val="0"/>
          <w:bCs w:val="0"/>
        </w:rPr>
        <w:t>2 引用文</w:t>
      </w:r>
      <w:bookmarkEnd w:id="20"/>
      <w:bookmarkEnd w:id="21"/>
      <w:bookmarkEnd w:id="22"/>
      <w:r>
        <w:rPr>
          <w:rFonts w:hint="eastAsia"/>
          <w:b w:val="0"/>
          <w:bCs w:val="0"/>
        </w:rPr>
        <w:t>件</w:t>
      </w:r>
      <w:bookmarkEnd w:id="23"/>
      <w:bookmarkEnd w:id="24"/>
    </w:p>
    <w:p w14:paraId="19600CDF">
      <w:pPr>
        <w:spacing w:line="400" w:lineRule="exact"/>
        <w:ind w:firstLine="420" w:firstLineChars="200"/>
        <w:rPr>
          <w:rFonts w:hint="eastAsia" w:ascii="宋体" w:hAnsi="宋体"/>
          <w:kern w:val="0"/>
          <w:szCs w:val="20"/>
        </w:rPr>
      </w:pPr>
      <w:r>
        <w:rPr>
          <w:rFonts w:hint="eastAsia" w:ascii="宋体" w:hAnsi="宋体"/>
          <w:kern w:val="0"/>
          <w:szCs w:val="20"/>
        </w:rPr>
        <w:t>本规范引用了下列文件：</w:t>
      </w:r>
    </w:p>
    <w:p w14:paraId="14DA8F2C">
      <w:pPr>
        <w:spacing w:line="400" w:lineRule="exact"/>
        <w:ind w:firstLine="420" w:firstLineChars="200"/>
        <w:rPr>
          <w:rFonts w:hint="eastAsia" w:ascii="宋体" w:hAnsi="宋体"/>
          <w:kern w:val="0"/>
          <w:szCs w:val="20"/>
        </w:rPr>
      </w:pPr>
      <w:r>
        <w:rPr>
          <w:rFonts w:hint="eastAsia" w:ascii="宋体" w:hAnsi="宋体"/>
          <w:kern w:val="0"/>
          <w:szCs w:val="20"/>
        </w:rPr>
        <w:t>JJF 1692-2018 涡流电导率仪校准规范</w:t>
      </w:r>
    </w:p>
    <w:p w14:paraId="1FB33B64">
      <w:pPr>
        <w:spacing w:line="400" w:lineRule="exact"/>
        <w:ind w:firstLine="420" w:firstLineChars="200"/>
        <w:rPr>
          <w:rFonts w:hint="eastAsia" w:ascii="宋体" w:hAnsi="宋体"/>
          <w:kern w:val="0"/>
          <w:szCs w:val="20"/>
        </w:rPr>
      </w:pPr>
      <w:r>
        <w:rPr>
          <w:rFonts w:hint="eastAsia" w:ascii="宋体" w:hAnsi="宋体"/>
          <w:kern w:val="0"/>
          <w:szCs w:val="20"/>
        </w:rPr>
        <w:t>BAC5651 涡流电导率检测</w:t>
      </w:r>
    </w:p>
    <w:p w14:paraId="39FA2BD8">
      <w:pPr>
        <w:spacing w:line="400" w:lineRule="exact"/>
        <w:ind w:firstLine="420" w:firstLineChars="200"/>
        <w:rPr>
          <w:rFonts w:hint="eastAsia" w:ascii="宋体" w:hAnsi="宋体"/>
          <w:kern w:val="0"/>
          <w:szCs w:val="20"/>
        </w:rPr>
      </w:pPr>
      <w:r>
        <w:rPr>
          <w:rFonts w:hint="eastAsia" w:ascii="宋体" w:hAnsi="宋体"/>
          <w:kern w:val="0"/>
          <w:szCs w:val="20"/>
        </w:rPr>
        <w:t>GBT 12966-2022 铝及铝合金电导率涡流测试方法</w:t>
      </w:r>
    </w:p>
    <w:p w14:paraId="4D70C001">
      <w:pPr>
        <w:spacing w:line="400" w:lineRule="exact"/>
        <w:ind w:firstLine="420" w:firstLineChars="200"/>
        <w:rPr>
          <w:rFonts w:hint="eastAsia" w:ascii="宋体" w:hAnsi="宋体"/>
          <w:kern w:val="0"/>
          <w:szCs w:val="20"/>
        </w:rPr>
      </w:pPr>
      <w:r>
        <w:rPr>
          <w:rFonts w:hint="eastAsia" w:ascii="宋体" w:hAnsi="宋体"/>
          <w:kern w:val="0"/>
          <w:szCs w:val="20"/>
        </w:rPr>
        <w:t>JJG（民航）0092-2006 涡流电导率测试仪检定规程</w:t>
      </w:r>
    </w:p>
    <w:p w14:paraId="442A3FB1">
      <w:pPr>
        <w:spacing w:line="400" w:lineRule="exact"/>
        <w:ind w:firstLine="420" w:firstLineChars="200"/>
        <w:rPr>
          <w:rFonts w:eastAsiaTheme="minorEastAsia"/>
          <w:kern w:val="0"/>
          <w:szCs w:val="21"/>
        </w:rPr>
      </w:pPr>
      <w:r>
        <w:rPr>
          <w:rFonts w:hint="eastAsia" w:ascii="宋体" w:hAnsi="宋体"/>
          <w:kern w:val="0"/>
          <w:szCs w:val="20"/>
        </w:rPr>
        <w:t>凡是注日期的引用文件，仅注日期的版本适用于本规范；凡是不注日期的引用文件，其最新版本（包括所有的修改单）适用于本规范</w:t>
      </w:r>
      <w:r>
        <w:rPr>
          <w:rFonts w:hint="eastAsia" w:eastAsiaTheme="minorEastAsia"/>
          <w:kern w:val="0"/>
          <w:szCs w:val="21"/>
        </w:rPr>
        <w:t>。</w:t>
      </w:r>
    </w:p>
    <w:p w14:paraId="177F976A">
      <w:pPr>
        <w:pStyle w:val="4"/>
        <w:spacing w:before="156" w:after="156"/>
        <w:rPr>
          <w:b w:val="0"/>
          <w:bCs w:val="0"/>
        </w:rPr>
      </w:pPr>
      <w:bookmarkStart w:id="25" w:name="_Toc193619055"/>
      <w:bookmarkStart w:id="26" w:name="_Toc13054_WPSOffice_Level1"/>
      <w:bookmarkStart w:id="27" w:name="_Toc193618952"/>
      <w:bookmarkStart w:id="28" w:name="_Toc193860030"/>
      <w:bookmarkStart w:id="29" w:name="_Toc193619097"/>
      <w:bookmarkStart w:id="30" w:name="_Toc193860211"/>
      <w:bookmarkStart w:id="31" w:name="_Toc500258937"/>
      <w:bookmarkStart w:id="32" w:name="_Toc193860180"/>
      <w:r>
        <w:rPr>
          <w:rFonts w:hint="eastAsia"/>
          <w:b w:val="0"/>
          <w:bCs w:val="0"/>
        </w:rPr>
        <w:t>3术语</w:t>
      </w:r>
    </w:p>
    <w:p w14:paraId="47F10F96">
      <w:pPr>
        <w:widowControl/>
        <w:autoSpaceDE w:val="0"/>
        <w:autoSpaceDN w:val="0"/>
        <w:spacing w:line="360" w:lineRule="auto"/>
        <w:rPr>
          <w:kern w:val="0"/>
          <w:szCs w:val="21"/>
        </w:rPr>
      </w:pPr>
      <w:r>
        <w:rPr>
          <w:rFonts w:hint="eastAsia"/>
          <w:kern w:val="0"/>
          <w:szCs w:val="21"/>
        </w:rPr>
        <w:t>3.1 国际退火铜标准（IACS）</w:t>
      </w:r>
    </w:p>
    <w:p w14:paraId="05EFC503">
      <w:pPr>
        <w:widowControl/>
        <w:autoSpaceDE w:val="0"/>
        <w:autoSpaceDN w:val="0"/>
        <w:spacing w:line="360" w:lineRule="auto"/>
        <w:ind w:firstLine="420" w:firstLineChars="200"/>
        <w:rPr>
          <w:kern w:val="0"/>
          <w:szCs w:val="21"/>
        </w:rPr>
      </w:pPr>
      <w:r>
        <w:rPr>
          <w:rFonts w:hint="eastAsia"/>
          <w:kern w:val="0"/>
          <w:szCs w:val="21"/>
        </w:rPr>
        <w:t>在温度为20℃时，当均匀截面积为1mm</w:t>
      </w:r>
      <w:r>
        <w:rPr>
          <w:rFonts w:hint="eastAsia"/>
          <w:kern w:val="0"/>
          <w:szCs w:val="21"/>
          <w:vertAlign w:val="superscript"/>
        </w:rPr>
        <w:t>2</w:t>
      </w:r>
      <w:r>
        <w:rPr>
          <w:rFonts w:hint="eastAsia"/>
          <w:kern w:val="0"/>
          <w:szCs w:val="21"/>
        </w:rPr>
        <w:t>，长度为1m的铜线具有的电阻为（1/58）Ω时，规定它是100%的国际退火铜标准（即100%IACS），与国际单位制的换算公式如式（1）：</w:t>
      </w:r>
    </w:p>
    <w:p w14:paraId="5A65BD8F">
      <w:pPr>
        <w:widowControl/>
        <w:autoSpaceDE w:val="0"/>
        <w:autoSpaceDN w:val="0"/>
        <w:spacing w:line="360" w:lineRule="auto"/>
        <w:ind w:left="0" w:leftChars="0" w:firstLine="0" w:firstLineChars="0"/>
        <w:jc w:val="right"/>
        <w:rPr>
          <w:rFonts w:hint="eastAsia"/>
          <w:kern w:val="0"/>
          <w:szCs w:val="21"/>
        </w:rPr>
      </w:pPr>
      <w:r>
        <w:rPr>
          <w:rFonts w:hint="eastAsia"/>
          <w:kern w:val="0"/>
          <w:szCs w:val="21"/>
        </w:rPr>
        <w:t>1%IACS=</w:t>
      </w:r>
      <w:r>
        <w:rPr>
          <w:rFonts w:hint="eastAsia"/>
          <w:kern w:val="0"/>
          <w:szCs w:val="21"/>
          <w:lang w:val="en-US" w:eastAsia="zh-CN"/>
        </w:rPr>
        <w:t>0.</w:t>
      </w:r>
      <w:r>
        <w:rPr>
          <w:rFonts w:hint="eastAsia"/>
          <w:kern w:val="0"/>
          <w:szCs w:val="21"/>
        </w:rPr>
        <w:t xml:space="preserve">58MS/m  </w:t>
      </w:r>
      <w:r>
        <w:rPr>
          <w:rFonts w:hint="eastAsia"/>
          <w:kern w:val="0"/>
          <w:szCs w:val="21"/>
          <w:lang w:val="en-US" w:eastAsia="zh-CN"/>
        </w:rPr>
        <w:t xml:space="preserve">    </w:t>
      </w:r>
      <w:r>
        <w:rPr>
          <w:rFonts w:hint="eastAsia"/>
          <w:kern w:val="0"/>
          <w:szCs w:val="21"/>
        </w:rPr>
        <w:t xml:space="preserve">   </w:t>
      </w:r>
      <w:r>
        <w:rPr>
          <w:rFonts w:hint="eastAsia"/>
          <w:kern w:val="0"/>
          <w:szCs w:val="21"/>
          <w:lang w:val="en-US" w:eastAsia="zh-CN"/>
        </w:rPr>
        <w:t xml:space="preserve">   </w:t>
      </w:r>
      <w:r>
        <w:rPr>
          <w:rFonts w:hint="eastAsia"/>
          <w:kern w:val="0"/>
          <w:szCs w:val="21"/>
        </w:rPr>
        <w:t xml:space="preserve">                    （1）</w:t>
      </w:r>
    </w:p>
    <w:p w14:paraId="34AD614D">
      <w:pPr>
        <w:widowControl/>
        <w:autoSpaceDE w:val="0"/>
        <w:autoSpaceDN w:val="0"/>
        <w:spacing w:line="360" w:lineRule="auto"/>
        <w:ind w:left="0" w:leftChars="0" w:firstLine="420" w:firstLineChars="200"/>
        <w:jc w:val="left"/>
        <w:rPr>
          <w:rFonts w:hint="eastAsia"/>
          <w:kern w:val="0"/>
          <w:szCs w:val="21"/>
        </w:rPr>
      </w:pPr>
      <w:r>
        <w:rPr>
          <w:rFonts w:hint="eastAsia"/>
          <w:b w:val="0"/>
          <w:bCs w:val="0"/>
          <w:i w:val="0"/>
          <w:iCs w:val="0"/>
          <w:kern w:val="0"/>
          <w:szCs w:val="21"/>
          <w:lang w:val="en-US" w:eastAsia="zh-CN"/>
        </w:rPr>
        <w:t>注：该</w:t>
      </w:r>
      <w:r>
        <w:rPr>
          <w:rFonts w:hint="eastAsia"/>
          <w:b w:val="0"/>
          <w:bCs w:val="0"/>
          <w:i w:val="0"/>
          <w:iCs w:val="0"/>
          <w:kern w:val="0"/>
          <w:szCs w:val="21"/>
        </w:rPr>
        <w:t>术语引用自JJF 1692-2018 ：3术语和计量单位。</w:t>
      </w:r>
    </w:p>
    <w:p w14:paraId="0C25FD01">
      <w:pPr>
        <w:widowControl/>
        <w:autoSpaceDE w:val="0"/>
        <w:autoSpaceDN w:val="0"/>
        <w:spacing w:line="360" w:lineRule="auto"/>
        <w:rPr>
          <w:rFonts w:hint="eastAsia"/>
          <w:kern w:val="0"/>
          <w:szCs w:val="21"/>
        </w:rPr>
      </w:pPr>
      <w:r>
        <w:rPr>
          <w:rFonts w:hint="eastAsia"/>
          <w:kern w:val="0"/>
          <w:szCs w:val="21"/>
        </w:rPr>
        <w:t>3.2 涡流</w:t>
      </w:r>
    </w:p>
    <w:p w14:paraId="2867D1FA">
      <w:pPr>
        <w:widowControl/>
        <w:autoSpaceDE w:val="0"/>
        <w:autoSpaceDN w:val="0"/>
        <w:spacing w:line="360" w:lineRule="auto"/>
        <w:ind w:firstLine="480"/>
        <w:rPr>
          <w:rFonts w:hint="eastAsia"/>
          <w:kern w:val="0"/>
          <w:szCs w:val="21"/>
        </w:rPr>
      </w:pPr>
      <w:r>
        <w:rPr>
          <w:rFonts w:hint="eastAsia"/>
          <w:kern w:val="0"/>
          <w:szCs w:val="21"/>
        </w:rPr>
        <w:t>由于外磁场在时间和空间上的变化而在导体表面及近表面产生的感应电流。</w:t>
      </w:r>
    </w:p>
    <w:p w14:paraId="1EE95A5F">
      <w:pPr>
        <w:widowControl/>
        <w:autoSpaceDE w:val="0"/>
        <w:autoSpaceDN w:val="0"/>
        <w:spacing w:line="360" w:lineRule="auto"/>
        <w:ind w:left="0" w:leftChars="0" w:firstLine="420" w:firstLineChars="200"/>
        <w:jc w:val="left"/>
        <w:rPr>
          <w:rFonts w:hint="eastAsia"/>
          <w:b/>
          <w:bCs/>
          <w:i/>
          <w:iCs/>
          <w:kern w:val="0"/>
          <w:szCs w:val="21"/>
        </w:rPr>
      </w:pPr>
      <w:r>
        <w:rPr>
          <w:rFonts w:hint="eastAsia"/>
          <w:b w:val="0"/>
          <w:bCs w:val="0"/>
          <w:i w:val="0"/>
          <w:iCs w:val="0"/>
          <w:kern w:val="0"/>
          <w:szCs w:val="21"/>
          <w:lang w:val="en-US" w:eastAsia="zh-CN"/>
        </w:rPr>
        <w:t>注：该</w:t>
      </w:r>
      <w:r>
        <w:rPr>
          <w:rFonts w:hint="eastAsia"/>
          <w:b w:val="0"/>
          <w:bCs w:val="0"/>
          <w:i w:val="0"/>
          <w:iCs w:val="0"/>
          <w:kern w:val="0"/>
          <w:szCs w:val="21"/>
        </w:rPr>
        <w:t>术语引用自JJF 1692-2018 ：3术语和计量单位。</w:t>
      </w:r>
    </w:p>
    <w:p w14:paraId="31EF29A8">
      <w:pPr>
        <w:widowControl/>
        <w:autoSpaceDE w:val="0"/>
        <w:autoSpaceDN w:val="0"/>
        <w:spacing w:line="360" w:lineRule="auto"/>
        <w:rPr>
          <w:rFonts w:hint="eastAsia"/>
          <w:kern w:val="0"/>
          <w:szCs w:val="21"/>
        </w:rPr>
      </w:pPr>
      <w:r>
        <w:rPr>
          <w:rFonts w:hint="eastAsia"/>
          <w:kern w:val="0"/>
          <w:szCs w:val="21"/>
        </w:rPr>
        <w:t>3.3 标准渗透深度</w:t>
      </w:r>
    </w:p>
    <w:p w14:paraId="3F1DD099">
      <w:pPr>
        <w:widowControl/>
        <w:autoSpaceDE w:val="0"/>
        <w:autoSpaceDN w:val="0"/>
        <w:spacing w:line="360" w:lineRule="auto"/>
        <w:ind w:firstLine="480"/>
        <w:rPr>
          <w:rFonts w:hint="eastAsia"/>
          <w:kern w:val="0"/>
          <w:szCs w:val="21"/>
        </w:rPr>
      </w:pPr>
      <w:r>
        <w:rPr>
          <w:rFonts w:hint="eastAsia"/>
          <w:kern w:val="0"/>
          <w:szCs w:val="21"/>
        </w:rPr>
        <w:t>在涡流检测中，涡流密度降至样块表面层涡流密度的1/e（e为自然常数，数值约为2.71828）时的深度</w:t>
      </w:r>
      <w:r>
        <w:rPr>
          <w:kern w:val="0"/>
          <w:szCs w:val="21"/>
        </w:rPr>
        <w:drawing>
          <wp:inline distT="0" distB="0" distL="0" distR="0">
            <wp:extent cx="135890" cy="172085"/>
            <wp:effectExtent l="0" t="0" r="0" b="0"/>
            <wp:docPr id="1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35890" cy="172085"/>
                    </a:xfrm>
                    <a:prstGeom prst="rect">
                      <a:avLst/>
                    </a:prstGeom>
                    <a:noFill/>
                    <a:ln>
                      <a:noFill/>
                    </a:ln>
                  </pic:spPr>
                </pic:pic>
              </a:graphicData>
            </a:graphic>
          </wp:inline>
        </w:drawing>
      </w:r>
      <w:r>
        <w:rPr>
          <w:rFonts w:hint="eastAsia"/>
          <w:kern w:val="0"/>
          <w:szCs w:val="21"/>
        </w:rPr>
        <w:t>称为标准渗透深度，可用式（2）计算</w:t>
      </w:r>
    </w:p>
    <w:p w14:paraId="75D84AC1">
      <w:pPr>
        <w:widowControl/>
        <w:autoSpaceDE w:val="0"/>
        <w:autoSpaceDN w:val="0"/>
        <w:spacing w:line="360" w:lineRule="auto"/>
        <w:ind w:firstLine="2154" w:firstLineChars="1026"/>
        <w:jc w:val="right"/>
        <w:rPr>
          <w:rFonts w:hint="eastAsia"/>
          <w:kern w:val="0"/>
          <w:szCs w:val="21"/>
        </w:rPr>
      </w:pPr>
      <w:r>
        <w:rPr>
          <w:kern w:val="0"/>
          <w:szCs w:val="21"/>
        </w:rPr>
        <w:drawing>
          <wp:inline distT="0" distB="0" distL="0" distR="0">
            <wp:extent cx="973455" cy="457200"/>
            <wp:effectExtent l="0" t="0" r="0" b="0"/>
            <wp:docPr id="1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973455" cy="457200"/>
                    </a:xfrm>
                    <a:prstGeom prst="rect">
                      <a:avLst/>
                    </a:prstGeom>
                    <a:noFill/>
                    <a:ln>
                      <a:noFill/>
                    </a:ln>
                  </pic:spPr>
                </pic:pic>
              </a:graphicData>
            </a:graphic>
          </wp:inline>
        </w:drawing>
      </w:r>
      <w:r>
        <w:rPr>
          <w:rFonts w:hint="eastAsia"/>
          <w:kern w:val="0"/>
          <w:szCs w:val="21"/>
        </w:rPr>
        <w:t xml:space="preserve">         </w:t>
      </w:r>
      <w:r>
        <w:rPr>
          <w:rFonts w:hint="eastAsia"/>
          <w:kern w:val="0"/>
          <w:szCs w:val="21"/>
          <w:lang w:val="en-US" w:eastAsia="zh-CN"/>
        </w:rPr>
        <w:t xml:space="preserve">    </w:t>
      </w:r>
      <w:r>
        <w:rPr>
          <w:rFonts w:hint="eastAsia"/>
          <w:kern w:val="0"/>
          <w:szCs w:val="21"/>
        </w:rPr>
        <w:t xml:space="preserve">                   （2）</w:t>
      </w:r>
    </w:p>
    <w:p w14:paraId="05B8D1C4">
      <w:pPr>
        <w:widowControl/>
        <w:autoSpaceDE w:val="0"/>
        <w:autoSpaceDN w:val="0"/>
        <w:spacing w:line="360" w:lineRule="auto"/>
        <w:ind w:firstLine="420" w:firstLineChars="200"/>
        <w:rPr>
          <w:rFonts w:hint="eastAsia"/>
          <w:kern w:val="0"/>
          <w:szCs w:val="21"/>
        </w:rPr>
      </w:pPr>
      <w:r>
        <w:rPr>
          <w:rFonts w:hint="eastAsia"/>
          <w:kern w:val="0"/>
          <w:szCs w:val="21"/>
        </w:rPr>
        <w:t>式中：</w:t>
      </w:r>
    </w:p>
    <w:p w14:paraId="1E54053A">
      <w:pPr>
        <w:widowControl/>
        <w:autoSpaceDE w:val="0"/>
        <w:autoSpaceDN w:val="0"/>
        <w:spacing w:line="360" w:lineRule="auto"/>
        <w:ind w:firstLine="420" w:firstLineChars="200"/>
        <w:rPr>
          <w:kern w:val="0"/>
          <w:szCs w:val="21"/>
        </w:rPr>
      </w:pPr>
      <w:r>
        <w:rPr>
          <w:kern w:val="0"/>
          <w:szCs w:val="21"/>
        </w:rPr>
        <w:drawing>
          <wp:inline distT="0" distB="0" distL="0" distR="0">
            <wp:extent cx="135890" cy="172085"/>
            <wp:effectExtent l="0" t="0" r="0" b="0"/>
            <wp:docPr id="1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35890" cy="172085"/>
                    </a:xfrm>
                    <a:prstGeom prst="rect">
                      <a:avLst/>
                    </a:prstGeom>
                    <a:noFill/>
                    <a:ln>
                      <a:noFill/>
                    </a:ln>
                  </pic:spPr>
                </pic:pic>
              </a:graphicData>
            </a:graphic>
          </wp:inline>
        </w:drawing>
      </w:r>
      <w:r>
        <w:rPr>
          <w:rFonts w:hint="eastAsia"/>
          <w:kern w:val="0"/>
          <w:szCs w:val="21"/>
        </w:rPr>
        <w:t>——标准渗透深度，m；</w:t>
      </w:r>
    </w:p>
    <w:p w14:paraId="18593E51">
      <w:pPr>
        <w:widowControl/>
        <w:autoSpaceDE w:val="0"/>
        <w:autoSpaceDN w:val="0"/>
        <w:spacing w:line="360" w:lineRule="auto"/>
        <w:ind w:firstLine="420" w:firstLineChars="200"/>
        <w:rPr>
          <w:kern w:val="0"/>
          <w:szCs w:val="21"/>
        </w:rPr>
      </w:pPr>
      <w:r>
        <w:rPr>
          <w:kern w:val="0"/>
          <w:szCs w:val="21"/>
        </w:rPr>
        <w:drawing>
          <wp:inline distT="0" distB="0" distL="0" distR="0">
            <wp:extent cx="153670" cy="135890"/>
            <wp:effectExtent l="0" t="0" r="0" b="0"/>
            <wp:docPr id="1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53670" cy="135890"/>
                    </a:xfrm>
                    <a:prstGeom prst="rect">
                      <a:avLst/>
                    </a:prstGeom>
                    <a:noFill/>
                    <a:ln>
                      <a:noFill/>
                    </a:ln>
                  </pic:spPr>
                </pic:pic>
              </a:graphicData>
            </a:graphic>
          </wp:inline>
        </w:drawing>
      </w:r>
      <w:r>
        <w:rPr>
          <w:rFonts w:hint="eastAsia"/>
          <w:kern w:val="0"/>
          <w:szCs w:val="21"/>
        </w:rPr>
        <w:t>——样块（标准块与仪器自校标准块）电导率，S/m；</w:t>
      </w:r>
    </w:p>
    <w:p w14:paraId="32B85E67">
      <w:pPr>
        <w:widowControl/>
        <w:autoSpaceDE w:val="0"/>
        <w:autoSpaceDN w:val="0"/>
        <w:spacing w:line="360" w:lineRule="auto"/>
        <w:ind w:firstLine="420" w:firstLineChars="200"/>
        <w:rPr>
          <w:kern w:val="0"/>
          <w:szCs w:val="21"/>
        </w:rPr>
      </w:pPr>
      <w:r>
        <w:rPr>
          <w:kern w:val="0"/>
          <w:szCs w:val="21"/>
        </w:rPr>
        <w:drawing>
          <wp:inline distT="0" distB="0" distL="0" distR="0">
            <wp:extent cx="153670" cy="199390"/>
            <wp:effectExtent l="0" t="0" r="0" b="0"/>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53670" cy="199390"/>
                    </a:xfrm>
                    <a:prstGeom prst="rect">
                      <a:avLst/>
                    </a:prstGeom>
                    <a:noFill/>
                    <a:ln>
                      <a:noFill/>
                    </a:ln>
                  </pic:spPr>
                </pic:pic>
              </a:graphicData>
            </a:graphic>
          </wp:inline>
        </w:drawing>
      </w:r>
      <w:r>
        <w:rPr>
          <w:rFonts w:hint="eastAsia"/>
          <w:kern w:val="0"/>
          <w:szCs w:val="21"/>
        </w:rPr>
        <w:t>——测试（探头激励源）频率，Hz；</w:t>
      </w:r>
    </w:p>
    <w:p w14:paraId="660A5900">
      <w:pPr>
        <w:widowControl/>
        <w:autoSpaceDE w:val="0"/>
        <w:autoSpaceDN w:val="0"/>
        <w:spacing w:line="360" w:lineRule="auto"/>
        <w:ind w:firstLine="420" w:firstLineChars="200"/>
        <w:rPr>
          <w:kern w:val="0"/>
          <w:szCs w:val="21"/>
        </w:rPr>
      </w:pPr>
      <w:r>
        <w:rPr>
          <w:kern w:val="0"/>
          <w:szCs w:val="21"/>
        </w:rPr>
        <w:drawing>
          <wp:inline distT="0" distB="0" distL="0" distR="0">
            <wp:extent cx="172085" cy="226060"/>
            <wp:effectExtent l="0" t="0" r="0" b="2540"/>
            <wp:docPr id="1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72085" cy="226060"/>
                    </a:xfrm>
                    <a:prstGeom prst="rect">
                      <a:avLst/>
                    </a:prstGeom>
                    <a:noFill/>
                    <a:ln>
                      <a:noFill/>
                    </a:ln>
                  </pic:spPr>
                </pic:pic>
              </a:graphicData>
            </a:graphic>
          </wp:inline>
        </w:drawing>
      </w:r>
      <w:r>
        <w:rPr>
          <w:rFonts w:hint="eastAsia"/>
          <w:kern w:val="0"/>
          <w:szCs w:val="21"/>
        </w:rPr>
        <w:t>——真空磁导率（</w:t>
      </w:r>
      <w:r>
        <w:rPr>
          <w:kern w:val="0"/>
          <w:szCs w:val="21"/>
        </w:rPr>
        <w:drawing>
          <wp:inline distT="0" distB="0" distL="0" distR="0">
            <wp:extent cx="873760" cy="240030"/>
            <wp:effectExtent l="0" t="0" r="2540" b="7620"/>
            <wp:docPr id="1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873760" cy="240030"/>
                    </a:xfrm>
                    <a:prstGeom prst="rect">
                      <a:avLst/>
                    </a:prstGeom>
                    <a:noFill/>
                    <a:ln>
                      <a:noFill/>
                    </a:ln>
                  </pic:spPr>
                </pic:pic>
              </a:graphicData>
            </a:graphic>
          </wp:inline>
        </w:drawing>
      </w:r>
      <w:r>
        <w:rPr>
          <w:rFonts w:hint="eastAsia"/>
          <w:kern w:val="0"/>
          <w:szCs w:val="21"/>
        </w:rPr>
        <w:t>），H/m；</w:t>
      </w:r>
    </w:p>
    <w:p w14:paraId="36054F0F">
      <w:pPr>
        <w:widowControl/>
        <w:autoSpaceDE w:val="0"/>
        <w:autoSpaceDN w:val="0"/>
        <w:spacing w:line="360" w:lineRule="auto"/>
        <w:ind w:firstLine="420" w:firstLineChars="200"/>
        <w:rPr>
          <w:kern w:val="0"/>
          <w:szCs w:val="21"/>
        </w:rPr>
      </w:pPr>
      <w:r>
        <w:rPr>
          <w:kern w:val="0"/>
          <w:szCs w:val="21"/>
        </w:rPr>
        <w:drawing>
          <wp:inline distT="0" distB="0" distL="0" distR="0">
            <wp:extent cx="163195" cy="208280"/>
            <wp:effectExtent l="0" t="0" r="8255" b="1270"/>
            <wp:docPr id="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163195" cy="208280"/>
                    </a:xfrm>
                    <a:prstGeom prst="rect">
                      <a:avLst/>
                    </a:prstGeom>
                    <a:noFill/>
                    <a:ln>
                      <a:noFill/>
                    </a:ln>
                  </pic:spPr>
                </pic:pic>
              </a:graphicData>
            </a:graphic>
          </wp:inline>
        </w:drawing>
      </w:r>
      <w:r>
        <w:rPr>
          <w:rFonts w:hint="eastAsia"/>
          <w:kern w:val="0"/>
          <w:szCs w:val="21"/>
        </w:rPr>
        <w:t>——相对磁导率，对于非铁磁金属材料</w:t>
      </w:r>
      <w:r>
        <w:rPr>
          <w:kern w:val="0"/>
          <w:szCs w:val="21"/>
        </w:rPr>
        <w:drawing>
          <wp:inline distT="0" distB="0" distL="0" distR="0">
            <wp:extent cx="163195" cy="208280"/>
            <wp:effectExtent l="0" t="0" r="8255" b="1270"/>
            <wp:docPr id="1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163195" cy="208280"/>
                    </a:xfrm>
                    <a:prstGeom prst="rect">
                      <a:avLst/>
                    </a:prstGeom>
                    <a:noFill/>
                    <a:ln>
                      <a:noFill/>
                    </a:ln>
                  </pic:spPr>
                </pic:pic>
              </a:graphicData>
            </a:graphic>
          </wp:inline>
        </w:drawing>
      </w:r>
      <w:r>
        <w:rPr>
          <w:rFonts w:hint="eastAsia"/>
          <w:kern w:val="0"/>
          <w:szCs w:val="21"/>
        </w:rPr>
        <w:t>近似为1（实际按1计算），无量纲。</w:t>
      </w:r>
    </w:p>
    <w:p w14:paraId="5BF46DD1">
      <w:pPr>
        <w:widowControl/>
        <w:autoSpaceDE w:val="0"/>
        <w:autoSpaceDN w:val="0"/>
        <w:spacing w:line="360" w:lineRule="auto"/>
        <w:ind w:left="0" w:leftChars="0" w:firstLine="420" w:firstLineChars="200"/>
        <w:jc w:val="left"/>
        <w:rPr>
          <w:rFonts w:hint="eastAsia"/>
          <w:kern w:val="0"/>
          <w:szCs w:val="21"/>
        </w:rPr>
      </w:pPr>
      <w:r>
        <w:rPr>
          <w:rFonts w:hint="eastAsia"/>
          <w:b w:val="0"/>
          <w:bCs w:val="0"/>
          <w:i w:val="0"/>
          <w:iCs w:val="0"/>
          <w:kern w:val="0"/>
          <w:szCs w:val="21"/>
          <w:lang w:val="en-US" w:eastAsia="zh-CN"/>
        </w:rPr>
        <w:t>注：该</w:t>
      </w:r>
      <w:r>
        <w:rPr>
          <w:rFonts w:hint="eastAsia"/>
          <w:b w:val="0"/>
          <w:bCs w:val="0"/>
          <w:i w:val="0"/>
          <w:iCs w:val="0"/>
          <w:kern w:val="0"/>
          <w:szCs w:val="21"/>
        </w:rPr>
        <w:t>术语引用自JJF 1692-2018 ：3术语和计量单位。</w:t>
      </w:r>
    </w:p>
    <w:p w14:paraId="04B6C82C">
      <w:pPr>
        <w:widowControl/>
        <w:autoSpaceDE w:val="0"/>
        <w:autoSpaceDN w:val="0"/>
        <w:spacing w:line="360" w:lineRule="auto"/>
        <w:rPr>
          <w:rFonts w:hint="eastAsia"/>
          <w:kern w:val="0"/>
          <w:szCs w:val="21"/>
        </w:rPr>
      </w:pPr>
      <w:r>
        <w:rPr>
          <w:rFonts w:hint="eastAsia"/>
          <w:kern w:val="0"/>
          <w:szCs w:val="21"/>
        </w:rPr>
        <w:t>3.4 提离效应</w:t>
      </w:r>
    </w:p>
    <w:p w14:paraId="7329EBAA">
      <w:pPr>
        <w:widowControl/>
        <w:autoSpaceDE w:val="0"/>
        <w:autoSpaceDN w:val="0"/>
        <w:spacing w:line="360" w:lineRule="auto"/>
        <w:ind w:firstLine="480"/>
        <w:rPr>
          <w:rFonts w:hint="eastAsia"/>
          <w:kern w:val="0"/>
          <w:szCs w:val="21"/>
        </w:rPr>
      </w:pPr>
      <w:r>
        <w:rPr>
          <w:rFonts w:hint="eastAsia"/>
          <w:kern w:val="0"/>
          <w:szCs w:val="21"/>
        </w:rPr>
        <w:t>涡流检测线圈与被检试件之间的距离改变时，其阻抗矢量产生变化的效应。</w:t>
      </w:r>
    </w:p>
    <w:p w14:paraId="5F4CE4A5">
      <w:pPr>
        <w:widowControl/>
        <w:autoSpaceDE w:val="0"/>
        <w:autoSpaceDN w:val="0"/>
        <w:spacing w:line="360" w:lineRule="auto"/>
        <w:ind w:left="0" w:leftChars="0" w:firstLine="420" w:firstLineChars="200"/>
        <w:jc w:val="left"/>
        <w:rPr>
          <w:rFonts w:hint="eastAsia"/>
          <w:kern w:val="0"/>
          <w:szCs w:val="21"/>
        </w:rPr>
      </w:pPr>
      <w:r>
        <w:rPr>
          <w:rFonts w:hint="eastAsia"/>
          <w:b w:val="0"/>
          <w:bCs w:val="0"/>
          <w:i w:val="0"/>
          <w:iCs w:val="0"/>
          <w:kern w:val="0"/>
          <w:szCs w:val="21"/>
          <w:lang w:val="en-US" w:eastAsia="zh-CN"/>
        </w:rPr>
        <w:t>注：该</w:t>
      </w:r>
      <w:r>
        <w:rPr>
          <w:rFonts w:hint="eastAsia"/>
          <w:b w:val="0"/>
          <w:bCs w:val="0"/>
          <w:i w:val="0"/>
          <w:iCs w:val="0"/>
          <w:kern w:val="0"/>
          <w:szCs w:val="21"/>
        </w:rPr>
        <w:t>术语引用自JJF 1692-2018 ：3术语和计量单位。</w:t>
      </w:r>
    </w:p>
    <w:p w14:paraId="2A42D4FE">
      <w:pPr>
        <w:widowControl/>
        <w:autoSpaceDE w:val="0"/>
        <w:autoSpaceDN w:val="0"/>
        <w:spacing w:line="360" w:lineRule="auto"/>
        <w:rPr>
          <w:rFonts w:hint="eastAsia"/>
          <w:kern w:val="0"/>
          <w:szCs w:val="21"/>
        </w:rPr>
      </w:pPr>
      <w:r>
        <w:rPr>
          <w:rFonts w:hint="eastAsia"/>
          <w:kern w:val="0"/>
          <w:szCs w:val="21"/>
        </w:rPr>
        <w:t>3.5 边缘效应</w:t>
      </w:r>
    </w:p>
    <w:p w14:paraId="60F1CE0B">
      <w:pPr>
        <w:widowControl/>
        <w:autoSpaceDE w:val="0"/>
        <w:autoSpaceDN w:val="0"/>
        <w:spacing w:line="360" w:lineRule="auto"/>
        <w:rPr>
          <w:rFonts w:hint="eastAsia"/>
          <w:kern w:val="0"/>
          <w:szCs w:val="21"/>
        </w:rPr>
      </w:pPr>
      <w:r>
        <w:rPr>
          <w:rFonts w:hint="eastAsia"/>
          <w:kern w:val="0"/>
          <w:szCs w:val="21"/>
        </w:rPr>
        <w:t xml:space="preserve">   在涡流检测中，由于试件几何形状的突变而产生的磁场和涡流的变化。</w:t>
      </w:r>
    </w:p>
    <w:p w14:paraId="4D542034">
      <w:pPr>
        <w:widowControl/>
        <w:autoSpaceDE w:val="0"/>
        <w:autoSpaceDN w:val="0"/>
        <w:spacing w:line="360" w:lineRule="auto"/>
        <w:ind w:firstLine="420" w:firstLineChars="200"/>
        <w:rPr>
          <w:rFonts w:hint="default" w:eastAsia="宋体"/>
          <w:kern w:val="0"/>
          <w:szCs w:val="21"/>
          <w:lang w:val="en-US" w:eastAsia="zh-CN"/>
        </w:rPr>
      </w:pPr>
      <w:r>
        <w:rPr>
          <w:rFonts w:hint="eastAsia"/>
          <w:b w:val="0"/>
          <w:bCs w:val="0"/>
          <w:i w:val="0"/>
          <w:iCs w:val="0"/>
          <w:kern w:val="0"/>
          <w:szCs w:val="21"/>
          <w:lang w:val="en-US" w:eastAsia="zh-CN"/>
        </w:rPr>
        <w:t>注：该术语引用自JJF 1692-2018 ：3术语和计量单位。</w:t>
      </w:r>
    </w:p>
    <w:p w14:paraId="23DA4AB6">
      <w:pPr>
        <w:pStyle w:val="4"/>
        <w:spacing w:before="156" w:after="156"/>
        <w:rPr>
          <w:b w:val="0"/>
          <w:bCs w:val="0"/>
        </w:rPr>
      </w:pPr>
      <w:r>
        <w:rPr>
          <w:rFonts w:hint="eastAsia"/>
          <w:b w:val="0"/>
          <w:bCs w:val="0"/>
        </w:rPr>
        <w:t>4 概述</w:t>
      </w:r>
      <w:bookmarkEnd w:id="25"/>
      <w:bookmarkEnd w:id="26"/>
      <w:bookmarkEnd w:id="27"/>
      <w:bookmarkEnd w:id="28"/>
      <w:bookmarkEnd w:id="29"/>
      <w:bookmarkEnd w:id="30"/>
      <w:bookmarkEnd w:id="31"/>
      <w:bookmarkEnd w:id="32"/>
    </w:p>
    <w:p w14:paraId="64321642">
      <w:pPr>
        <w:pStyle w:val="58"/>
        <w:spacing w:line="360" w:lineRule="auto"/>
        <w:ind w:firstLine="420"/>
        <w:rPr>
          <w:rFonts w:hint="eastAsia" w:ascii="Times New Roman" w:hAnsi="Times New Roman"/>
        </w:rPr>
      </w:pPr>
      <w:bookmarkStart w:id="33" w:name="_Toc193619056"/>
      <w:bookmarkStart w:id="34" w:name="_Toc193619098"/>
      <w:bookmarkStart w:id="35" w:name="_Toc500258938"/>
      <w:bookmarkStart w:id="36" w:name="_Toc193860212"/>
      <w:bookmarkStart w:id="37" w:name="_Toc19851_WPSOffice_Level1"/>
      <w:bookmarkStart w:id="38" w:name="_Toc193860181"/>
      <w:bookmarkStart w:id="39" w:name="_Toc193860031"/>
      <w:bookmarkStart w:id="40" w:name="_Toc193618953"/>
      <w:r>
        <w:rPr>
          <w:rFonts w:hint="eastAsia" w:ascii="Times New Roman" w:hAnsi="Times New Roman"/>
        </w:rPr>
        <w:t>涡流电导率仪（以下简称电导率仪）是用于测量非铁磁金属电导率的仪器，采用电磁感应原理。绕制电感线圈探头，接触并施加交变磁场作用于被测金属表面，使其产生感应涡流，该涡流所产生的磁场又反作用于探头线圈，使线圈阻抗改变，通过确定阻抗变化量来测定被测金属电导率。</w:t>
      </w:r>
    </w:p>
    <w:p w14:paraId="708CBCDD">
      <w:pPr>
        <w:pStyle w:val="58"/>
        <w:spacing w:line="360" w:lineRule="auto"/>
        <w:ind w:firstLine="420"/>
        <w:rPr>
          <w:rFonts w:hint="eastAsia" w:ascii="Times New Roman" w:hAnsi="Times New Roman"/>
        </w:rPr>
      </w:pPr>
      <w:r>
        <w:rPr>
          <w:rFonts w:hint="eastAsia" w:ascii="Times New Roman" w:hAnsi="Times New Roman"/>
        </w:rPr>
        <w:t>电导率仪测试频率一般在50kHz～500kHz，常用频率为60kHz。</w:t>
      </w:r>
    </w:p>
    <w:p w14:paraId="623650C9">
      <w:pPr>
        <w:pStyle w:val="58"/>
        <w:spacing w:line="360" w:lineRule="auto"/>
        <w:ind w:firstLine="420"/>
        <w:rPr>
          <w:rFonts w:hint="eastAsia" w:ascii="Times New Roman" w:hAnsi="Times New Roman"/>
        </w:rPr>
      </w:pPr>
      <w:r>
        <w:rPr>
          <w:rFonts w:hint="eastAsia" w:ascii="Times New Roman" w:hAnsi="Times New Roman"/>
        </w:rPr>
        <w:t>电导率仪按测试范围分为Ⅰ类、Ⅱ类、Ⅲ类：</w:t>
      </w:r>
    </w:p>
    <w:p w14:paraId="58C61B71">
      <w:pPr>
        <w:pStyle w:val="58"/>
        <w:spacing w:line="360" w:lineRule="auto"/>
        <w:ind w:firstLine="420"/>
        <w:rPr>
          <w:rFonts w:hint="eastAsia" w:ascii="Times New Roman" w:hAnsi="Times New Roman"/>
        </w:rPr>
      </w:pPr>
      <w:r>
        <w:rPr>
          <w:rFonts w:hint="eastAsia" w:ascii="Times New Roman" w:hAnsi="Times New Roman"/>
        </w:rPr>
        <w:t>Ⅰ类：0.5MS/m（0.9%IACS）～14.50MS/m（25%IACS）；</w:t>
      </w:r>
    </w:p>
    <w:p w14:paraId="43179185">
      <w:pPr>
        <w:pStyle w:val="58"/>
        <w:spacing w:line="360" w:lineRule="auto"/>
        <w:ind w:firstLine="420"/>
        <w:rPr>
          <w:rFonts w:hint="eastAsia" w:ascii="Times New Roman" w:hAnsi="Times New Roman"/>
        </w:rPr>
      </w:pPr>
      <w:r>
        <w:rPr>
          <w:rFonts w:hint="eastAsia" w:ascii="Times New Roman" w:hAnsi="Times New Roman"/>
        </w:rPr>
        <w:t>Ⅱ类：9.5MS/m（16%IACS）～35MS/m（60%IACS）；</w:t>
      </w:r>
    </w:p>
    <w:p w14:paraId="0870E0B1">
      <w:pPr>
        <w:pStyle w:val="58"/>
        <w:spacing w:line="360" w:lineRule="auto"/>
        <w:ind w:firstLine="420"/>
        <w:rPr>
          <w:rFonts w:hint="eastAsia" w:ascii="Times New Roman" w:hAnsi="Times New Roman"/>
        </w:rPr>
      </w:pPr>
      <w:r>
        <w:rPr>
          <w:rFonts w:hint="eastAsia" w:ascii="Times New Roman" w:hAnsi="Times New Roman"/>
        </w:rPr>
        <w:t>Ⅲ类：35MS/m（60%IACS）～59.16MS/m（102%IACS）。</w:t>
      </w:r>
    </w:p>
    <w:p w14:paraId="29463A71">
      <w:pPr>
        <w:pStyle w:val="58"/>
        <w:spacing w:line="360" w:lineRule="auto"/>
        <w:ind w:firstLine="420"/>
        <w:rPr>
          <w:rFonts w:hint="default" w:ascii="Times New Roman" w:hAnsi="Times New Roman"/>
          <w:lang w:val="en-US" w:eastAsia="zh-CN"/>
        </w:rPr>
      </w:pPr>
      <w:r>
        <w:rPr>
          <w:rFonts w:hint="eastAsia" w:ascii="Times New Roman" w:hAnsi="Times New Roman"/>
          <w:b w:val="0"/>
          <w:bCs w:val="0"/>
          <w:i w:val="0"/>
          <w:iCs w:val="0"/>
          <w:lang w:val="en-US" w:eastAsia="zh-CN"/>
        </w:rPr>
        <w:t>注：电导率仪的分类依据BAC5651的第2条分类。如下图所示。</w:t>
      </w:r>
    </w:p>
    <w:p w14:paraId="5EB65A28">
      <w:pPr>
        <w:pStyle w:val="58"/>
        <w:spacing w:line="360" w:lineRule="auto"/>
        <w:ind w:firstLine="420"/>
        <w:rPr>
          <w:rFonts w:hint="default" w:ascii="Times New Roman" w:hAnsi="Times New Roman"/>
          <w:lang w:val="en-US" w:eastAsia="zh-CN"/>
        </w:rPr>
      </w:pPr>
      <w:r>
        <w:drawing>
          <wp:inline distT="0" distB="0" distL="114300" distR="114300">
            <wp:extent cx="5928995" cy="1754505"/>
            <wp:effectExtent l="0" t="0" r="8255" b="5080"/>
            <wp:docPr id="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2"/>
                    <pic:cNvPicPr>
                      <a:picLocks noChangeAspect="1"/>
                    </pic:cNvPicPr>
                  </pic:nvPicPr>
                  <pic:blipFill>
                    <a:blip r:embed="rId18"/>
                    <a:stretch>
                      <a:fillRect/>
                    </a:stretch>
                  </pic:blipFill>
                  <pic:spPr>
                    <a:xfrm>
                      <a:off x="0" y="0"/>
                      <a:ext cx="5928995" cy="1754505"/>
                    </a:xfrm>
                    <a:prstGeom prst="rect">
                      <a:avLst/>
                    </a:prstGeom>
                    <a:noFill/>
                    <a:ln>
                      <a:noFill/>
                    </a:ln>
                  </pic:spPr>
                </pic:pic>
              </a:graphicData>
            </a:graphic>
          </wp:inline>
        </w:drawing>
      </w:r>
    </w:p>
    <w:p w14:paraId="6D689F18">
      <w:pPr>
        <w:pStyle w:val="4"/>
        <w:spacing w:before="156" w:after="156"/>
        <w:rPr>
          <w:b w:val="0"/>
          <w:bCs w:val="0"/>
        </w:rPr>
      </w:pPr>
      <w:r>
        <w:rPr>
          <w:rFonts w:hint="eastAsia"/>
          <w:b w:val="0"/>
          <w:bCs w:val="0"/>
        </w:rPr>
        <w:t>5计量特性</w:t>
      </w:r>
      <w:bookmarkEnd w:id="33"/>
      <w:bookmarkEnd w:id="34"/>
      <w:bookmarkEnd w:id="35"/>
      <w:bookmarkEnd w:id="36"/>
      <w:bookmarkEnd w:id="37"/>
      <w:bookmarkEnd w:id="38"/>
      <w:bookmarkEnd w:id="39"/>
      <w:bookmarkEnd w:id="40"/>
      <w:bookmarkStart w:id="41" w:name="_Toc25829_WPSOffice_Level1"/>
    </w:p>
    <w:p w14:paraId="61AC4FC8">
      <w:pPr>
        <w:adjustRightInd w:val="0"/>
        <w:snapToGrid w:val="0"/>
        <w:spacing w:line="360" w:lineRule="auto"/>
        <w:ind w:firstLine="420" w:firstLineChars="200"/>
        <w:rPr>
          <w:rFonts w:hint="eastAsia" w:hAnsi="宋体"/>
          <w:bCs/>
          <w:szCs w:val="21"/>
        </w:rPr>
      </w:pPr>
      <w:r>
        <w:rPr>
          <w:rFonts w:hint="eastAsia" w:hAnsi="宋体"/>
          <w:bCs/>
          <w:szCs w:val="21"/>
        </w:rPr>
        <w:t>仪表的计量特性主要为示值误差、灵敏度、提离效应、稳定性、重复性、减小探头上操作压力的响应变化</w:t>
      </w:r>
      <w:r>
        <w:rPr>
          <w:rFonts w:hint="eastAsia" w:hAnsi="宋体"/>
          <w:bCs/>
          <w:szCs w:val="21"/>
          <w:lang w:eastAsia="zh-CN"/>
        </w:rPr>
        <w:t>、探头垂直方向倾斜20度的响应变化</w:t>
      </w:r>
      <w:r>
        <w:rPr>
          <w:rFonts w:hint="eastAsia" w:hAnsi="宋体"/>
          <w:bCs/>
          <w:szCs w:val="21"/>
        </w:rPr>
        <w:t>。</w:t>
      </w:r>
    </w:p>
    <w:p w14:paraId="634E15A0">
      <w:pPr>
        <w:adjustRightInd w:val="0"/>
        <w:snapToGrid w:val="0"/>
        <w:spacing w:line="360" w:lineRule="auto"/>
        <w:rPr>
          <w:rFonts w:hint="eastAsia" w:cstheme="majorBidi"/>
          <w:kern w:val="44"/>
        </w:rPr>
      </w:pPr>
      <w:r>
        <w:rPr>
          <w:rFonts w:hint="eastAsia" w:cstheme="majorBidi"/>
          <w:kern w:val="44"/>
        </w:rPr>
        <w:t>5.1示值误差</w:t>
      </w:r>
    </w:p>
    <w:p w14:paraId="03A6A72B">
      <w:pPr>
        <w:spacing w:line="360" w:lineRule="auto"/>
        <w:ind w:firstLine="480"/>
        <w:rPr>
          <w:rFonts w:hint="eastAsia" w:cstheme="majorBidi"/>
          <w:kern w:val="44"/>
        </w:rPr>
      </w:pPr>
      <w:r>
        <w:rPr>
          <w:rFonts w:hint="eastAsia" w:cstheme="majorBidi"/>
          <w:kern w:val="44"/>
        </w:rPr>
        <w:t>小于或等于35.96MS/m（62%IACS）时：±0.29MS/m（0.5%IACS）；</w:t>
      </w:r>
    </w:p>
    <w:p w14:paraId="2A7D936F">
      <w:pPr>
        <w:spacing w:line="360" w:lineRule="auto"/>
        <w:ind w:firstLine="480"/>
        <w:rPr>
          <w:rFonts w:cstheme="majorBidi"/>
          <w:kern w:val="44"/>
        </w:rPr>
      </w:pPr>
      <w:r>
        <w:rPr>
          <w:rFonts w:hint="eastAsia" w:cstheme="majorBidi"/>
          <w:kern w:val="44"/>
        </w:rPr>
        <w:t>大于35.96MS/m（62%IACS）时：±0.58MS/m（1%IACS）。</w:t>
      </w:r>
    </w:p>
    <w:p w14:paraId="2AEA7129">
      <w:pPr>
        <w:adjustRightInd w:val="0"/>
        <w:snapToGrid w:val="0"/>
        <w:spacing w:line="360" w:lineRule="auto"/>
        <w:rPr>
          <w:rFonts w:hint="default" w:eastAsia="宋体" w:cstheme="majorBidi"/>
          <w:kern w:val="44"/>
          <w:lang w:val="en-US" w:eastAsia="zh-CN"/>
        </w:rPr>
      </w:pPr>
      <w:r>
        <w:rPr>
          <w:rFonts w:hint="eastAsia" w:cstheme="majorBidi"/>
          <w:kern w:val="44"/>
        </w:rPr>
        <w:t>5.</w:t>
      </w:r>
      <w:r>
        <w:rPr>
          <w:rFonts w:hint="eastAsia" w:cstheme="majorBidi"/>
          <w:kern w:val="44"/>
          <w:lang w:val="en-US" w:eastAsia="zh-CN"/>
        </w:rPr>
        <w:t>2</w:t>
      </w:r>
      <w:r>
        <w:rPr>
          <w:rFonts w:hint="eastAsia" w:cstheme="majorBidi"/>
          <w:kern w:val="44"/>
        </w:rPr>
        <w:t xml:space="preserve"> </w:t>
      </w:r>
      <w:r>
        <w:rPr>
          <w:rFonts w:hint="eastAsia" w:cstheme="majorBidi"/>
          <w:kern w:val="44"/>
          <w:lang w:val="en-US" w:eastAsia="zh-CN"/>
        </w:rPr>
        <w:t>垫膜示值误差</w:t>
      </w:r>
    </w:p>
    <w:p w14:paraId="4862B18F">
      <w:pPr>
        <w:spacing w:line="360" w:lineRule="auto"/>
        <w:ind w:firstLine="480"/>
        <w:rPr>
          <w:rFonts w:hint="eastAsia" w:cstheme="majorBidi"/>
          <w:kern w:val="44"/>
          <w:lang w:val="en-US" w:eastAsia="zh-CN"/>
        </w:rPr>
      </w:pPr>
      <w:r>
        <w:rPr>
          <w:rFonts w:hint="eastAsia" w:cstheme="majorBidi"/>
          <w:kern w:val="44"/>
          <w:lang w:val="en-US" w:eastAsia="zh-CN"/>
        </w:rPr>
        <w:t>小于或等于35.96MS/m（62%IACS）时：±0.29MS/m（0.5%IACS）；</w:t>
      </w:r>
    </w:p>
    <w:p w14:paraId="7D8A8B3F">
      <w:pPr>
        <w:spacing w:line="360" w:lineRule="auto"/>
        <w:ind w:firstLine="480"/>
        <w:rPr>
          <w:rFonts w:hint="eastAsia" w:cstheme="majorBidi"/>
          <w:kern w:val="44"/>
          <w:lang w:val="en-US" w:eastAsia="zh-CN"/>
        </w:rPr>
      </w:pPr>
      <w:r>
        <w:rPr>
          <w:rFonts w:hint="eastAsia" w:cstheme="majorBidi"/>
          <w:kern w:val="44"/>
          <w:lang w:val="en-US" w:eastAsia="zh-CN"/>
        </w:rPr>
        <w:t>大于35.96MS/m（62%IACS）时：±0.58MS/m（1%IACS）。</w:t>
      </w:r>
    </w:p>
    <w:p w14:paraId="570E9E2D">
      <w:pPr>
        <w:spacing w:line="360" w:lineRule="auto"/>
        <w:ind w:firstLine="480"/>
        <w:rPr>
          <w:rFonts w:hint="eastAsia" w:cstheme="majorBidi"/>
          <w:b w:val="0"/>
          <w:bCs w:val="0"/>
          <w:i w:val="0"/>
          <w:iCs w:val="0"/>
          <w:kern w:val="44"/>
          <w:lang w:eastAsia="zh-CN"/>
        </w:rPr>
      </w:pPr>
      <w:r>
        <w:rPr>
          <w:rFonts w:hint="eastAsia" w:cstheme="majorBidi"/>
          <w:b w:val="0"/>
          <w:bCs w:val="0"/>
          <w:i w:val="0"/>
          <w:iCs w:val="0"/>
          <w:kern w:val="44"/>
          <w:lang w:val="en-US" w:eastAsia="zh-CN"/>
        </w:rPr>
        <w:t>注：</w:t>
      </w:r>
      <w:r>
        <w:rPr>
          <w:rFonts w:hint="eastAsia" w:cstheme="majorBidi"/>
          <w:b w:val="0"/>
          <w:bCs w:val="0"/>
          <w:i w:val="0"/>
          <w:iCs w:val="0"/>
          <w:kern w:val="44"/>
        </w:rPr>
        <w:t>示值误差</w:t>
      </w:r>
      <w:r>
        <w:rPr>
          <w:rFonts w:hint="eastAsia" w:cstheme="majorBidi"/>
          <w:b w:val="0"/>
          <w:bCs w:val="0"/>
          <w:i w:val="0"/>
          <w:iCs w:val="0"/>
          <w:kern w:val="44"/>
          <w:lang w:val="en-US" w:eastAsia="zh-CN"/>
        </w:rPr>
        <w:t>与垫膜示值误差计量特性</w:t>
      </w:r>
      <w:r>
        <w:rPr>
          <w:rFonts w:hint="eastAsia" w:cstheme="majorBidi"/>
          <w:b w:val="0"/>
          <w:bCs w:val="0"/>
          <w:i w:val="0"/>
          <w:iCs w:val="0"/>
          <w:kern w:val="44"/>
        </w:rPr>
        <w:t>依据</w:t>
      </w:r>
      <w:r>
        <w:rPr>
          <w:rFonts w:hint="eastAsia" w:cstheme="majorBidi"/>
          <w:b w:val="0"/>
          <w:bCs w:val="0"/>
          <w:i w:val="0"/>
          <w:iCs w:val="0"/>
          <w:kern w:val="44"/>
          <w:lang w:eastAsia="zh-CN"/>
        </w:rPr>
        <w:t>：</w:t>
      </w:r>
    </w:p>
    <w:p w14:paraId="7A58D8B9">
      <w:pPr>
        <w:spacing w:line="360" w:lineRule="auto"/>
        <w:ind w:firstLine="480"/>
        <w:rPr>
          <w:rFonts w:cstheme="majorBidi"/>
          <w:b/>
          <w:bCs/>
          <w:i/>
          <w:iCs/>
          <w:kern w:val="44"/>
        </w:rPr>
      </w:pPr>
      <w:r>
        <w:rPr>
          <w:rFonts w:hint="eastAsia" w:cstheme="majorBidi"/>
          <w:b w:val="0"/>
          <w:bCs w:val="0"/>
          <w:i w:val="0"/>
          <w:iCs w:val="0"/>
          <w:kern w:val="44"/>
          <w:lang w:val="en-US" w:eastAsia="zh-CN"/>
        </w:rPr>
        <w:t>BAC5651</w:t>
      </w:r>
      <w:r>
        <w:rPr>
          <w:rFonts w:hint="eastAsia" w:cstheme="majorBidi"/>
          <w:b w:val="0"/>
          <w:bCs w:val="0"/>
          <w:i w:val="0"/>
          <w:iCs w:val="0"/>
          <w:kern w:val="44"/>
        </w:rPr>
        <w:t>：</w:t>
      </w:r>
      <w:r>
        <w:rPr>
          <w:rFonts w:hint="eastAsia" w:cstheme="majorBidi"/>
          <w:b w:val="0"/>
          <w:bCs w:val="0"/>
          <w:i w:val="0"/>
          <w:iCs w:val="0"/>
          <w:kern w:val="44"/>
          <w:lang w:val="en-US" w:eastAsia="zh-CN"/>
        </w:rPr>
        <w:t>6.2.1 c条</w:t>
      </w:r>
      <w:r>
        <w:rPr>
          <w:rFonts w:hint="eastAsia" w:cstheme="majorBidi"/>
          <w:b w:val="0"/>
          <w:bCs w:val="0"/>
          <w:i w:val="0"/>
          <w:iCs w:val="0"/>
          <w:kern w:val="44"/>
        </w:rPr>
        <w:t>，导电性测试仪器应具备以下测量精度：在仪器认证范围（最高达62% IACS）内，相对于任何参考标准值的测量误差应控制在±0.5% IACS（0.3 MS/m）；对于大于62% IACS 的参考标准值，测量误差应控制在±1.0% IACS（0.6 MS/m）。</w:t>
      </w:r>
      <w:r>
        <w:rPr>
          <w:rFonts w:hint="eastAsia" w:cstheme="majorBidi"/>
          <w:b w:val="0"/>
          <w:bCs w:val="0"/>
          <w:i w:val="0"/>
          <w:iCs w:val="0"/>
          <w:kern w:val="44"/>
          <w:highlight w:val="none"/>
        </w:rPr>
        <w:t>该要求适用于裸露材料及厚度不超过0.003英寸（0.08 mm）的非导电涂层。</w:t>
      </w:r>
    </w:p>
    <w:p w14:paraId="64C40BA9">
      <w:pPr>
        <w:adjustRightInd w:val="0"/>
        <w:snapToGrid w:val="0"/>
        <w:spacing w:line="360" w:lineRule="auto"/>
        <w:rPr>
          <w:rFonts w:hint="eastAsia" w:cstheme="majorBidi"/>
          <w:kern w:val="44"/>
        </w:rPr>
      </w:pPr>
      <w:r>
        <w:rPr>
          <w:rFonts w:hint="eastAsia" w:cstheme="majorBidi"/>
          <w:kern w:val="44"/>
        </w:rPr>
        <w:t>5.</w:t>
      </w:r>
      <w:r>
        <w:rPr>
          <w:rFonts w:hint="eastAsia" w:cstheme="majorBidi"/>
          <w:kern w:val="44"/>
          <w:lang w:val="en-US" w:eastAsia="zh-CN"/>
        </w:rPr>
        <w:t>3</w:t>
      </w:r>
      <w:r>
        <w:rPr>
          <w:rFonts w:hint="eastAsia" w:cstheme="majorBidi"/>
          <w:kern w:val="44"/>
        </w:rPr>
        <w:t xml:space="preserve"> 重复性：0.29MS/m（0.5%IACS）。</w:t>
      </w:r>
    </w:p>
    <w:p w14:paraId="4E2685D7">
      <w:pPr>
        <w:spacing w:line="360" w:lineRule="auto"/>
        <w:ind w:firstLine="480"/>
        <w:rPr>
          <w:rFonts w:hint="eastAsia" w:cstheme="majorBidi"/>
          <w:b w:val="0"/>
          <w:bCs w:val="0"/>
          <w:i w:val="0"/>
          <w:iCs w:val="0"/>
          <w:kern w:val="44"/>
          <w:lang w:val="en-US" w:eastAsia="zh-CN"/>
        </w:rPr>
      </w:pPr>
      <w:r>
        <w:rPr>
          <w:rFonts w:hint="eastAsia" w:cstheme="majorBidi"/>
          <w:b w:val="0"/>
          <w:bCs w:val="0"/>
          <w:i w:val="0"/>
          <w:iCs w:val="0"/>
          <w:kern w:val="44"/>
          <w:lang w:val="en-US" w:eastAsia="zh-CN"/>
        </w:rPr>
        <w:t>注：该计量特性依据：</w:t>
      </w:r>
    </w:p>
    <w:p w14:paraId="1EA642D3">
      <w:pPr>
        <w:spacing w:line="360" w:lineRule="auto"/>
        <w:ind w:firstLine="480"/>
        <w:rPr>
          <w:rFonts w:hint="eastAsia" w:cstheme="majorBidi"/>
          <w:b w:val="0"/>
          <w:bCs w:val="0"/>
          <w:i w:val="0"/>
          <w:iCs w:val="0"/>
          <w:kern w:val="44"/>
        </w:rPr>
      </w:pPr>
      <w:r>
        <w:rPr>
          <w:rFonts w:hint="eastAsia" w:ascii="Times New Roman" w:hAnsi="Times New Roman" w:cstheme="majorBidi"/>
          <w:b w:val="0"/>
          <w:bCs w:val="0"/>
          <w:i w:val="0"/>
          <w:iCs w:val="0"/>
          <w:kern w:val="44"/>
          <w:lang w:val="en-US" w:eastAsia="zh-CN"/>
        </w:rPr>
        <w:t>BAC5651</w:t>
      </w:r>
      <w:r>
        <w:rPr>
          <w:rFonts w:hint="eastAsia" w:cstheme="majorBidi"/>
          <w:b w:val="0"/>
          <w:bCs w:val="0"/>
          <w:i w:val="0"/>
          <w:iCs w:val="0"/>
          <w:kern w:val="44"/>
        </w:rPr>
        <w:t>：</w:t>
      </w:r>
      <w:r>
        <w:rPr>
          <w:rFonts w:hint="eastAsia" w:cstheme="majorBidi"/>
          <w:b w:val="0"/>
          <w:bCs w:val="0"/>
          <w:i w:val="0"/>
          <w:iCs w:val="0"/>
          <w:kern w:val="44"/>
          <w:lang w:val="en-US" w:eastAsia="zh-CN"/>
        </w:rPr>
        <w:t>6.2.1 d条：电导率测试仪器的稳定性应确保在无需任何调整的情况下，能够连续进行至少15分钟的重复测量，测量结果的电导率偏差 ±0.5%IACS。</w:t>
      </w:r>
    </w:p>
    <w:p w14:paraId="248040FE">
      <w:pPr>
        <w:adjustRightInd w:val="0"/>
        <w:snapToGrid w:val="0"/>
        <w:spacing w:line="360" w:lineRule="auto"/>
        <w:rPr>
          <w:rFonts w:hint="eastAsia" w:cstheme="majorBidi"/>
          <w:kern w:val="44"/>
        </w:rPr>
      </w:pPr>
    </w:p>
    <w:p w14:paraId="5BEEC26E">
      <w:pPr>
        <w:adjustRightInd w:val="0"/>
        <w:snapToGrid w:val="0"/>
        <w:spacing w:line="360" w:lineRule="auto"/>
        <w:rPr>
          <w:rFonts w:hint="eastAsia" w:cstheme="majorBidi"/>
          <w:kern w:val="44"/>
        </w:rPr>
      </w:pPr>
      <w:r>
        <w:rPr>
          <w:rFonts w:hint="eastAsia" w:cstheme="majorBidi"/>
          <w:kern w:val="44"/>
        </w:rPr>
        <w:t>5.</w:t>
      </w:r>
      <w:r>
        <w:rPr>
          <w:rFonts w:hint="eastAsia" w:cstheme="majorBidi"/>
          <w:kern w:val="44"/>
          <w:lang w:val="en-US" w:eastAsia="zh-CN"/>
        </w:rPr>
        <w:t>4</w:t>
      </w:r>
      <w:r>
        <w:rPr>
          <w:rFonts w:hint="eastAsia" w:cstheme="majorBidi"/>
          <w:kern w:val="44"/>
        </w:rPr>
        <w:t xml:space="preserve"> 灵敏度：不大于0.29MS/m（0.5%IACS）。</w:t>
      </w:r>
    </w:p>
    <w:p w14:paraId="7233811A">
      <w:pPr>
        <w:spacing w:line="360" w:lineRule="auto"/>
        <w:ind w:firstLine="480"/>
        <w:rPr>
          <w:rFonts w:hint="eastAsia" w:cstheme="majorBidi"/>
          <w:b w:val="0"/>
          <w:bCs w:val="0"/>
          <w:i w:val="0"/>
          <w:iCs w:val="0"/>
          <w:kern w:val="44"/>
          <w:lang w:val="en-US" w:eastAsia="zh-CN"/>
        </w:rPr>
      </w:pPr>
      <w:r>
        <w:rPr>
          <w:rFonts w:hint="eastAsia" w:cstheme="majorBidi"/>
          <w:b w:val="0"/>
          <w:bCs w:val="0"/>
          <w:i w:val="0"/>
          <w:iCs w:val="0"/>
          <w:kern w:val="44"/>
          <w:lang w:val="en-US" w:eastAsia="zh-CN"/>
        </w:rPr>
        <w:t>注：该计量特性依据：</w:t>
      </w:r>
    </w:p>
    <w:p w14:paraId="4F18D73B">
      <w:pPr>
        <w:spacing w:line="360" w:lineRule="auto"/>
        <w:ind w:firstLine="480"/>
        <w:rPr>
          <w:rFonts w:hint="eastAsia" w:cstheme="majorBidi"/>
          <w:b w:val="0"/>
          <w:bCs w:val="0"/>
          <w:i w:val="0"/>
          <w:iCs w:val="0"/>
          <w:kern w:val="44"/>
          <w:lang w:val="en-US" w:eastAsia="zh-CN"/>
        </w:rPr>
      </w:pPr>
      <w:r>
        <w:rPr>
          <w:rFonts w:hint="eastAsia" w:cstheme="majorBidi"/>
          <w:b w:val="0"/>
          <w:bCs w:val="0"/>
          <w:i w:val="0"/>
          <w:iCs w:val="0"/>
          <w:kern w:val="44"/>
          <w:lang w:val="en-US" w:eastAsia="zh-CN"/>
        </w:rPr>
        <w:t>MIL-STD-1537C：2002的4.1.2条，仪器灵敏度。直接读数与间接读数仪器的灵敏度应满足：在被测铝合金的电导率范围内，至少0.5% IACS 的变化应能被清晰区分。</w:t>
      </w:r>
    </w:p>
    <w:p w14:paraId="7B73535B">
      <w:pPr>
        <w:spacing w:line="360" w:lineRule="auto"/>
        <w:ind w:firstLine="480"/>
        <w:rPr>
          <w:rFonts w:hint="eastAsia" w:cstheme="majorBidi"/>
          <w:b w:val="0"/>
          <w:bCs w:val="0"/>
          <w:i w:val="0"/>
          <w:iCs w:val="0"/>
          <w:kern w:val="44"/>
          <w:lang w:val="en-US" w:eastAsia="zh-CN"/>
        </w:rPr>
      </w:pPr>
      <w:r>
        <w:rPr>
          <w:rFonts w:hint="eastAsia" w:cstheme="majorBidi"/>
          <w:b w:val="0"/>
          <w:bCs w:val="0"/>
          <w:i w:val="0"/>
          <w:iCs w:val="0"/>
          <w:kern w:val="44"/>
          <w:lang w:val="en-US" w:eastAsia="zh-CN"/>
        </w:rPr>
        <w:t>BAC5651：6.2.1 b条：导电率测试仪的灵敏度应在目标导电率范围内清晰分辨0.5% IACS（0.3MS/m）的变化。</w:t>
      </w:r>
    </w:p>
    <w:p w14:paraId="37197E98">
      <w:pPr>
        <w:adjustRightInd w:val="0"/>
        <w:snapToGrid w:val="0"/>
        <w:spacing w:line="360" w:lineRule="auto"/>
        <w:rPr>
          <w:rFonts w:hint="eastAsia" w:cstheme="majorBidi"/>
          <w:kern w:val="44"/>
        </w:rPr>
      </w:pPr>
      <w:r>
        <w:rPr>
          <w:rFonts w:hint="eastAsia" w:cstheme="majorBidi"/>
          <w:kern w:val="44"/>
        </w:rPr>
        <w:t>5.</w:t>
      </w:r>
      <w:r>
        <w:rPr>
          <w:rFonts w:hint="eastAsia" w:cstheme="majorBidi"/>
          <w:kern w:val="44"/>
          <w:lang w:val="en-US" w:eastAsia="zh-CN"/>
        </w:rPr>
        <w:t>5</w:t>
      </w:r>
      <w:r>
        <w:rPr>
          <w:rFonts w:hint="eastAsia" w:cstheme="majorBidi"/>
          <w:kern w:val="44"/>
        </w:rPr>
        <w:t xml:space="preserve"> 稳定性：30min内变化不超过±0.29MS/m（0.5%IACS）。</w:t>
      </w:r>
    </w:p>
    <w:p w14:paraId="734442B7">
      <w:pPr>
        <w:spacing w:line="360" w:lineRule="auto"/>
        <w:ind w:firstLine="480"/>
        <w:rPr>
          <w:rFonts w:hint="eastAsia" w:cstheme="majorBidi"/>
          <w:b w:val="0"/>
          <w:bCs w:val="0"/>
          <w:i w:val="0"/>
          <w:iCs w:val="0"/>
          <w:kern w:val="44"/>
          <w:lang w:val="en-US" w:eastAsia="zh-CN"/>
        </w:rPr>
      </w:pPr>
      <w:r>
        <w:rPr>
          <w:rFonts w:hint="eastAsia" w:cstheme="majorBidi"/>
          <w:b w:val="0"/>
          <w:bCs w:val="0"/>
          <w:i w:val="0"/>
          <w:iCs w:val="0"/>
          <w:kern w:val="44"/>
          <w:lang w:val="en-US" w:eastAsia="zh-CN"/>
        </w:rPr>
        <w:t>注：该计量特性依据：</w:t>
      </w:r>
    </w:p>
    <w:p w14:paraId="11F1445B">
      <w:pPr>
        <w:spacing w:line="360" w:lineRule="auto"/>
        <w:ind w:firstLine="480"/>
        <w:rPr>
          <w:rFonts w:hint="eastAsia" w:cstheme="majorBidi"/>
          <w:b w:val="0"/>
          <w:bCs w:val="0"/>
          <w:i w:val="0"/>
          <w:iCs w:val="0"/>
          <w:kern w:val="44"/>
          <w:lang w:val="en-US" w:eastAsia="zh-CN"/>
        </w:rPr>
      </w:pPr>
      <w:r>
        <w:rPr>
          <w:rFonts w:hint="eastAsia" w:cstheme="majorBidi"/>
          <w:b w:val="0"/>
          <w:bCs w:val="0"/>
          <w:i w:val="0"/>
          <w:iCs w:val="0"/>
          <w:kern w:val="44"/>
          <w:lang w:val="en-US" w:eastAsia="zh-CN"/>
        </w:rPr>
        <w:t>BAC5651</w:t>
      </w:r>
      <w:r>
        <w:rPr>
          <w:rFonts w:hint="eastAsia" w:cstheme="majorBidi"/>
          <w:b w:val="0"/>
          <w:bCs w:val="0"/>
          <w:i w:val="0"/>
          <w:iCs w:val="0"/>
          <w:kern w:val="44"/>
        </w:rPr>
        <w:t>：</w:t>
      </w:r>
      <w:r>
        <w:rPr>
          <w:rFonts w:hint="eastAsia" w:cstheme="majorBidi"/>
          <w:b w:val="0"/>
          <w:bCs w:val="0"/>
          <w:i w:val="0"/>
          <w:iCs w:val="0"/>
          <w:kern w:val="44"/>
          <w:lang w:val="en-US" w:eastAsia="zh-CN"/>
        </w:rPr>
        <w:t>6.2.1 d条：电导率测试仪器的稳定性应确保在无需任何调整的情况下，能够连续进行至少15分钟的重复测量，测量结果的电导率偏差 ±0.5%IACS。</w:t>
      </w:r>
    </w:p>
    <w:p w14:paraId="08BB3FED">
      <w:pPr>
        <w:spacing w:line="360" w:lineRule="auto"/>
        <w:ind w:firstLine="480"/>
        <w:rPr>
          <w:rFonts w:hint="default" w:cstheme="majorBidi"/>
          <w:b w:val="0"/>
          <w:bCs w:val="0"/>
          <w:i w:val="0"/>
          <w:iCs w:val="0"/>
          <w:kern w:val="44"/>
          <w:lang w:val="en-US" w:eastAsia="zh-CN"/>
        </w:rPr>
      </w:pPr>
      <w:r>
        <w:rPr>
          <w:rFonts w:hint="eastAsia" w:cstheme="majorBidi"/>
          <w:b w:val="0"/>
          <w:bCs w:val="0"/>
          <w:i w:val="0"/>
          <w:iCs w:val="0"/>
          <w:kern w:val="44"/>
          <w:lang w:val="en-US" w:eastAsia="zh-CN"/>
        </w:rPr>
        <w:t>BAC5651： 6.2.1条对仪器示值误差、垫膜示值误差、灵敏度、稳定性、重复性规定如下图所示：</w:t>
      </w:r>
    </w:p>
    <w:p w14:paraId="78085FC0">
      <w:pPr>
        <w:spacing w:line="360" w:lineRule="auto"/>
        <w:ind w:firstLine="480"/>
        <w:rPr>
          <w:rFonts w:hint="default" w:cstheme="majorBidi"/>
          <w:kern w:val="44"/>
          <w:lang w:val="en-US" w:eastAsia="zh-CN"/>
        </w:rPr>
      </w:pPr>
      <w:r>
        <w:drawing>
          <wp:inline distT="0" distB="0" distL="114300" distR="114300">
            <wp:extent cx="5928995" cy="3524885"/>
            <wp:effectExtent l="0" t="0" r="8255" b="5080"/>
            <wp:docPr id="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pic:cNvPicPr>
                      <a:picLocks noChangeAspect="1"/>
                    </pic:cNvPicPr>
                  </pic:nvPicPr>
                  <pic:blipFill>
                    <a:blip r:embed="rId19"/>
                    <a:stretch>
                      <a:fillRect/>
                    </a:stretch>
                  </pic:blipFill>
                  <pic:spPr>
                    <a:xfrm>
                      <a:off x="0" y="0"/>
                      <a:ext cx="5928995" cy="3524885"/>
                    </a:xfrm>
                    <a:prstGeom prst="rect">
                      <a:avLst/>
                    </a:prstGeom>
                    <a:noFill/>
                    <a:ln>
                      <a:noFill/>
                    </a:ln>
                  </pic:spPr>
                </pic:pic>
              </a:graphicData>
            </a:graphic>
          </wp:inline>
        </w:drawing>
      </w:r>
    </w:p>
    <w:p w14:paraId="7408B090">
      <w:pPr>
        <w:adjustRightInd w:val="0"/>
        <w:snapToGrid w:val="0"/>
        <w:spacing w:line="360" w:lineRule="auto"/>
        <w:rPr>
          <w:rFonts w:hint="eastAsia" w:cstheme="majorBidi"/>
          <w:kern w:val="44"/>
        </w:rPr>
      </w:pPr>
      <w:r>
        <w:rPr>
          <w:rFonts w:hint="eastAsia" w:cstheme="majorBidi"/>
          <w:kern w:val="44"/>
        </w:rPr>
        <w:t>5.6 提离效应</w:t>
      </w:r>
      <w:r>
        <w:rPr>
          <w:rFonts w:hint="eastAsia" w:cstheme="majorBidi"/>
          <w:kern w:val="44"/>
          <w:lang w:eastAsia="zh-CN"/>
        </w:rPr>
        <w:t>：</w:t>
      </w:r>
      <w:r>
        <w:rPr>
          <w:rFonts w:hint="eastAsia" w:cstheme="majorBidi"/>
          <w:kern w:val="44"/>
        </w:rPr>
        <w:t>不超过±0.5%IACS。</w:t>
      </w:r>
    </w:p>
    <w:p w14:paraId="4BBCF6B6">
      <w:pPr>
        <w:spacing w:line="360" w:lineRule="auto"/>
        <w:ind w:firstLine="480"/>
        <w:rPr>
          <w:rFonts w:hint="eastAsia" w:cstheme="majorBidi"/>
          <w:b w:val="0"/>
          <w:bCs w:val="0"/>
          <w:i w:val="0"/>
          <w:iCs w:val="0"/>
          <w:kern w:val="44"/>
          <w:lang w:val="en-US" w:eastAsia="zh-CN"/>
        </w:rPr>
      </w:pPr>
      <w:r>
        <w:rPr>
          <w:rFonts w:hint="eastAsia" w:cstheme="majorBidi"/>
          <w:b w:val="0"/>
          <w:bCs w:val="0"/>
          <w:i w:val="0"/>
          <w:iCs w:val="0"/>
          <w:kern w:val="44"/>
          <w:lang w:val="en-US" w:eastAsia="zh-CN"/>
        </w:rPr>
        <w:t>注：该计量特性依据：MIL-STD-1537C，4.3.1.2提离效应：</w:t>
      </w:r>
    </w:p>
    <w:p w14:paraId="4F88F3AB">
      <w:pPr>
        <w:spacing w:line="360" w:lineRule="auto"/>
        <w:ind w:firstLine="480"/>
        <w:rPr>
          <w:rFonts w:hint="eastAsia" w:cstheme="majorBidi"/>
          <w:b w:val="0"/>
          <w:bCs w:val="0"/>
          <w:i w:val="0"/>
          <w:iCs w:val="0"/>
          <w:kern w:val="44"/>
          <w:lang w:val="en-US" w:eastAsia="zh-CN"/>
        </w:rPr>
      </w:pPr>
      <w:r>
        <w:rPr>
          <w:rFonts w:hint="eastAsia" w:cstheme="majorBidi"/>
          <w:b w:val="0"/>
          <w:bCs w:val="0"/>
          <w:i w:val="0"/>
          <w:iCs w:val="0"/>
          <w:kern w:val="44"/>
          <w:lang w:val="en-US" w:eastAsia="zh-CN"/>
        </w:rPr>
        <w:t>提离效应通过比较以下两次读数来确定：首先将探头置于裸露的标准块上；随后在探头与标准块之间放置厚度为0.003英寸（0.076毫米）的非导电平面垫片。两次读数之差不得超过0.5% IACS 。若超出该限值，则需将仪器送回校准机构进行维修和重新认证。此项测试应在使用前立即执行，或根据客观证据表明所需精度持续保持良好时定期进行。对于间接读数仪器，应在使用前立即检查其提离效应。</w:t>
      </w:r>
    </w:p>
    <w:p w14:paraId="1660555F">
      <w:pPr>
        <w:spacing w:line="360" w:lineRule="auto"/>
        <w:ind w:firstLine="480"/>
        <w:rPr>
          <w:rFonts w:hint="eastAsia" w:cstheme="majorBidi"/>
          <w:b w:val="0"/>
          <w:bCs w:val="0"/>
          <w:i w:val="0"/>
          <w:iCs w:val="0"/>
          <w:kern w:val="44"/>
          <w:lang w:val="en-US" w:eastAsia="zh-CN"/>
        </w:rPr>
      </w:pPr>
      <w:r>
        <w:rPr>
          <w:rFonts w:hint="eastAsia" w:cstheme="majorBidi"/>
          <w:b w:val="0"/>
          <w:bCs w:val="0"/>
          <w:i w:val="0"/>
          <w:iCs w:val="0"/>
          <w:kern w:val="44"/>
          <w:lang w:val="en-US" w:eastAsia="zh-CN"/>
        </w:rPr>
        <w:t>如下图所示：</w:t>
      </w:r>
    </w:p>
    <w:p w14:paraId="4CDDAAC6">
      <w:pPr>
        <w:spacing w:line="360" w:lineRule="auto"/>
        <w:ind w:firstLine="480"/>
      </w:pPr>
      <w:r>
        <w:drawing>
          <wp:inline distT="0" distB="0" distL="114300" distR="114300">
            <wp:extent cx="5156835" cy="2965450"/>
            <wp:effectExtent l="0" t="0" r="3175" b="3175"/>
            <wp:docPr id="1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1"/>
                    <pic:cNvPicPr>
                      <a:picLocks noChangeAspect="1"/>
                    </pic:cNvPicPr>
                  </pic:nvPicPr>
                  <pic:blipFill>
                    <a:blip r:embed="rId20"/>
                    <a:stretch>
                      <a:fillRect/>
                    </a:stretch>
                  </pic:blipFill>
                  <pic:spPr>
                    <a:xfrm>
                      <a:off x="0" y="0"/>
                      <a:ext cx="5156835" cy="2965450"/>
                    </a:xfrm>
                    <a:prstGeom prst="rect">
                      <a:avLst/>
                    </a:prstGeom>
                    <a:noFill/>
                    <a:ln>
                      <a:noFill/>
                    </a:ln>
                  </pic:spPr>
                </pic:pic>
              </a:graphicData>
            </a:graphic>
          </wp:inline>
        </w:drawing>
      </w:r>
    </w:p>
    <w:p w14:paraId="13D3BEFE">
      <w:pPr>
        <w:adjustRightInd w:val="0"/>
        <w:snapToGrid w:val="0"/>
        <w:spacing w:line="360" w:lineRule="auto"/>
        <w:rPr>
          <w:rFonts w:hint="default" w:cstheme="majorBidi"/>
          <w:kern w:val="44"/>
          <w:lang w:val="en-US" w:eastAsia="zh-CN"/>
        </w:rPr>
      </w:pPr>
    </w:p>
    <w:p w14:paraId="110AF292">
      <w:pPr>
        <w:adjustRightInd w:val="0"/>
        <w:snapToGrid w:val="0"/>
        <w:spacing w:line="360" w:lineRule="auto"/>
        <w:rPr>
          <w:rFonts w:hint="eastAsia" w:cstheme="majorBidi"/>
          <w:kern w:val="44"/>
        </w:rPr>
      </w:pPr>
      <w:r>
        <w:rPr>
          <w:rFonts w:hint="eastAsia" w:cstheme="majorBidi"/>
          <w:kern w:val="44"/>
          <w:lang w:val="en-US" w:eastAsia="zh-CN"/>
        </w:rPr>
        <w:t>5.7</w:t>
      </w:r>
      <w:r>
        <w:rPr>
          <w:rFonts w:hint="eastAsia" w:cstheme="majorBidi"/>
          <w:kern w:val="44"/>
        </w:rPr>
        <w:t>减小探头上操作压力的响应变化：不大于0.29MS/m（0.5%IACS）。</w:t>
      </w:r>
    </w:p>
    <w:p w14:paraId="100A37DF">
      <w:pPr>
        <w:spacing w:line="360" w:lineRule="auto"/>
        <w:ind w:firstLine="480"/>
        <w:rPr>
          <w:rFonts w:hint="eastAsia" w:cstheme="majorBidi"/>
          <w:b w:val="0"/>
          <w:bCs w:val="0"/>
          <w:i w:val="0"/>
          <w:iCs w:val="0"/>
          <w:kern w:val="44"/>
          <w:lang w:val="en-US" w:eastAsia="zh-CN"/>
        </w:rPr>
      </w:pPr>
      <w:r>
        <w:rPr>
          <w:rFonts w:hint="eastAsia" w:cstheme="majorBidi"/>
          <w:b w:val="0"/>
          <w:bCs w:val="0"/>
          <w:i w:val="0"/>
          <w:iCs w:val="0"/>
          <w:kern w:val="44"/>
          <w:lang w:val="en-US" w:eastAsia="zh-CN"/>
        </w:rPr>
        <w:t>注：该计量特性依据：</w:t>
      </w:r>
    </w:p>
    <w:p w14:paraId="5EFF1BE3">
      <w:pPr>
        <w:spacing w:line="360" w:lineRule="auto"/>
        <w:ind w:firstLine="480"/>
        <w:rPr>
          <w:rFonts w:hint="eastAsia" w:cstheme="majorBidi"/>
          <w:kern w:val="44"/>
        </w:rPr>
      </w:pPr>
      <w:r>
        <w:rPr>
          <w:rFonts w:hint="eastAsia" w:cstheme="majorBidi"/>
          <w:b w:val="0"/>
          <w:bCs w:val="0"/>
          <w:i w:val="0"/>
          <w:iCs w:val="0"/>
          <w:kern w:val="44"/>
          <w:lang w:val="en-US" w:eastAsia="zh-CN"/>
        </w:rPr>
        <w:t>BAC5651</w:t>
      </w:r>
      <w:r>
        <w:rPr>
          <w:rFonts w:hint="eastAsia" w:cstheme="majorBidi"/>
          <w:b w:val="0"/>
          <w:bCs w:val="0"/>
          <w:i w:val="0"/>
          <w:iCs w:val="0"/>
          <w:kern w:val="44"/>
        </w:rPr>
        <w:t>：</w:t>
      </w:r>
      <w:r>
        <w:rPr>
          <w:rFonts w:hint="eastAsia" w:cstheme="majorBidi"/>
          <w:b w:val="0"/>
          <w:bCs w:val="0"/>
          <w:i w:val="0"/>
          <w:iCs w:val="0"/>
          <w:kern w:val="44"/>
          <w:lang w:val="en-US" w:eastAsia="zh-CN"/>
        </w:rPr>
        <w:t>6.3.3 c(1)条：</w:t>
      </w:r>
      <w:r>
        <w:rPr>
          <w:rFonts w:hint="eastAsia" w:cstheme="majorBidi"/>
          <w:b w:val="0"/>
          <w:bCs w:val="0"/>
          <w:i w:val="0"/>
          <w:iCs w:val="0"/>
          <w:kern w:val="44"/>
        </w:rPr>
        <w:t>探头承受的中等操作压力不应导致测试仪器响应值的变化超过0.5% IACS</w:t>
      </w:r>
    </w:p>
    <w:p w14:paraId="7FDBD9D3">
      <w:pPr>
        <w:adjustRightInd w:val="0"/>
        <w:snapToGrid w:val="0"/>
        <w:spacing w:line="360" w:lineRule="auto"/>
        <w:rPr>
          <w:rFonts w:hint="eastAsia" w:cstheme="majorBidi"/>
          <w:kern w:val="44"/>
        </w:rPr>
      </w:pPr>
      <w:r>
        <w:rPr>
          <w:rFonts w:hint="eastAsia" w:cstheme="majorBidi"/>
          <w:kern w:val="44"/>
        </w:rPr>
        <w:t>5.</w:t>
      </w:r>
      <w:r>
        <w:rPr>
          <w:rFonts w:hint="eastAsia" w:cstheme="majorBidi"/>
          <w:kern w:val="44"/>
          <w:lang w:val="en-US" w:eastAsia="zh-CN"/>
        </w:rPr>
        <w:t>8</w:t>
      </w:r>
      <w:r>
        <w:rPr>
          <w:rFonts w:hint="eastAsia" w:cstheme="majorBidi"/>
          <w:kern w:val="44"/>
        </w:rPr>
        <w:t xml:space="preserve"> 探头垂直方向倾斜20度的响应变化：不大于0.29MS/m（0.5%IACS）。</w:t>
      </w:r>
    </w:p>
    <w:p w14:paraId="38EC4DF5">
      <w:pPr>
        <w:spacing w:line="360" w:lineRule="auto"/>
        <w:ind w:firstLine="480"/>
        <w:rPr>
          <w:rFonts w:hint="eastAsia" w:cstheme="majorBidi"/>
          <w:b w:val="0"/>
          <w:bCs w:val="0"/>
          <w:i w:val="0"/>
          <w:iCs w:val="0"/>
          <w:kern w:val="44"/>
          <w:lang w:val="en-US" w:eastAsia="zh-CN"/>
        </w:rPr>
      </w:pPr>
      <w:r>
        <w:rPr>
          <w:rFonts w:hint="eastAsia" w:cstheme="majorBidi"/>
          <w:b w:val="0"/>
          <w:bCs w:val="0"/>
          <w:i w:val="0"/>
          <w:iCs w:val="0"/>
          <w:kern w:val="44"/>
          <w:lang w:val="en-US" w:eastAsia="zh-CN"/>
        </w:rPr>
        <w:t>注：该计量特性依据：</w:t>
      </w:r>
    </w:p>
    <w:p w14:paraId="351B90F2">
      <w:pPr>
        <w:spacing w:line="360" w:lineRule="auto"/>
        <w:ind w:firstLine="480"/>
        <w:rPr>
          <w:rFonts w:hint="eastAsia" w:cstheme="majorBidi"/>
          <w:b w:val="0"/>
          <w:bCs w:val="0"/>
          <w:i w:val="0"/>
          <w:iCs w:val="0"/>
          <w:kern w:val="44"/>
          <w:lang w:val="en-US" w:eastAsia="zh-CN"/>
        </w:rPr>
      </w:pPr>
      <w:r>
        <w:rPr>
          <w:rFonts w:hint="eastAsia" w:cstheme="majorBidi"/>
          <w:b w:val="0"/>
          <w:bCs w:val="0"/>
          <w:i w:val="0"/>
          <w:iCs w:val="0"/>
          <w:kern w:val="44"/>
          <w:lang w:val="en-US" w:eastAsia="zh-CN"/>
        </w:rPr>
        <w:t>BAC5651</w:t>
      </w:r>
      <w:r>
        <w:rPr>
          <w:rFonts w:hint="eastAsia" w:cstheme="majorBidi"/>
          <w:b w:val="0"/>
          <w:bCs w:val="0"/>
          <w:i w:val="0"/>
          <w:iCs w:val="0"/>
          <w:kern w:val="44"/>
        </w:rPr>
        <w:t>：</w:t>
      </w:r>
      <w:r>
        <w:rPr>
          <w:rFonts w:hint="eastAsia" w:cstheme="majorBidi"/>
          <w:b w:val="0"/>
          <w:bCs w:val="0"/>
          <w:i w:val="0"/>
          <w:iCs w:val="0"/>
          <w:kern w:val="44"/>
          <w:lang w:val="en-US" w:eastAsia="zh-CN"/>
        </w:rPr>
        <w:t>6.3.3 c(2)条：圆尖铅笔形探头的圆头部分与垂直方向的倾斜角度不超过20度时，测试仪器的响应变化不应超过0.5% IACS(0.3MS/m)。</w:t>
      </w:r>
    </w:p>
    <w:p w14:paraId="13A9C830">
      <w:pPr>
        <w:spacing w:line="360" w:lineRule="auto"/>
        <w:ind w:firstLine="480"/>
        <w:rPr>
          <w:rFonts w:hint="default" w:eastAsia="宋体" w:cstheme="majorBidi"/>
          <w:kern w:val="44"/>
          <w:lang w:val="en-US" w:eastAsia="zh-CN"/>
        </w:rPr>
      </w:pPr>
      <w:r>
        <w:rPr>
          <w:rFonts w:hint="eastAsia" w:cstheme="majorBidi"/>
          <w:b w:val="0"/>
          <w:bCs w:val="0"/>
          <w:i w:val="0"/>
          <w:iCs w:val="0"/>
          <w:kern w:val="44"/>
          <w:lang w:val="en-US" w:eastAsia="zh-CN"/>
        </w:rPr>
        <w:t>BAC5651</w:t>
      </w:r>
      <w:r>
        <w:rPr>
          <w:rFonts w:hint="eastAsia" w:cstheme="majorBidi"/>
          <w:b w:val="0"/>
          <w:bCs w:val="0"/>
          <w:i w:val="0"/>
          <w:iCs w:val="0"/>
          <w:kern w:val="44"/>
        </w:rPr>
        <w:t>：</w:t>
      </w:r>
      <w:r>
        <w:rPr>
          <w:rFonts w:hint="eastAsia" w:cstheme="majorBidi"/>
          <w:b w:val="0"/>
          <w:bCs w:val="0"/>
          <w:i w:val="0"/>
          <w:iCs w:val="0"/>
          <w:kern w:val="44"/>
          <w:lang w:val="en-US" w:eastAsia="zh-CN"/>
        </w:rPr>
        <w:t>6.3.3条对</w:t>
      </w:r>
      <w:r>
        <w:rPr>
          <w:rFonts w:hint="eastAsia" w:cstheme="majorBidi"/>
          <w:b w:val="0"/>
          <w:bCs w:val="0"/>
          <w:i w:val="0"/>
          <w:iCs w:val="0"/>
          <w:kern w:val="44"/>
        </w:rPr>
        <w:t>减小探头上操作压力的响应变化</w:t>
      </w:r>
      <w:r>
        <w:rPr>
          <w:rFonts w:hint="eastAsia" w:cstheme="majorBidi"/>
          <w:b w:val="0"/>
          <w:bCs w:val="0"/>
          <w:i w:val="0"/>
          <w:iCs w:val="0"/>
          <w:kern w:val="44"/>
          <w:lang w:eastAsia="zh-CN"/>
        </w:rPr>
        <w:t>、</w:t>
      </w:r>
      <w:r>
        <w:rPr>
          <w:rFonts w:hint="eastAsia" w:cstheme="majorBidi"/>
          <w:b w:val="0"/>
          <w:bCs w:val="0"/>
          <w:i w:val="0"/>
          <w:iCs w:val="0"/>
          <w:kern w:val="44"/>
        </w:rPr>
        <w:t>探头垂直方向倾斜20度的响应变化</w:t>
      </w:r>
      <w:r>
        <w:rPr>
          <w:rFonts w:hint="eastAsia" w:cstheme="majorBidi"/>
          <w:b w:val="0"/>
          <w:bCs w:val="0"/>
          <w:i w:val="0"/>
          <w:iCs w:val="0"/>
          <w:kern w:val="44"/>
          <w:lang w:val="en-US" w:eastAsia="zh-CN"/>
        </w:rPr>
        <w:t>的要求如下图所示：</w:t>
      </w:r>
    </w:p>
    <w:p w14:paraId="34A96587">
      <w:pPr>
        <w:spacing w:line="360" w:lineRule="auto"/>
        <w:ind w:firstLine="480"/>
        <w:rPr>
          <w:rFonts w:hint="eastAsia" w:cstheme="majorBidi"/>
          <w:kern w:val="44"/>
          <w:lang w:val="en-US" w:eastAsia="zh-CN"/>
        </w:rPr>
      </w:pPr>
      <w:r>
        <w:drawing>
          <wp:inline distT="0" distB="0" distL="114300" distR="114300">
            <wp:extent cx="5936615" cy="3030855"/>
            <wp:effectExtent l="0" t="0" r="635" b="2540"/>
            <wp:docPr id="6"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3"/>
                    <pic:cNvPicPr>
                      <a:picLocks noChangeAspect="1"/>
                    </pic:cNvPicPr>
                  </pic:nvPicPr>
                  <pic:blipFill>
                    <a:blip r:embed="rId21"/>
                    <a:stretch>
                      <a:fillRect/>
                    </a:stretch>
                  </pic:blipFill>
                  <pic:spPr>
                    <a:xfrm>
                      <a:off x="0" y="0"/>
                      <a:ext cx="5936615" cy="3030855"/>
                    </a:xfrm>
                    <a:prstGeom prst="rect">
                      <a:avLst/>
                    </a:prstGeom>
                    <a:noFill/>
                    <a:ln>
                      <a:noFill/>
                    </a:ln>
                  </pic:spPr>
                </pic:pic>
              </a:graphicData>
            </a:graphic>
          </wp:inline>
        </w:drawing>
      </w:r>
    </w:p>
    <w:p w14:paraId="55B80ADB">
      <w:pPr>
        <w:pStyle w:val="4"/>
        <w:spacing w:before="156" w:after="156"/>
        <w:rPr>
          <w:b w:val="0"/>
          <w:bCs w:val="0"/>
        </w:rPr>
      </w:pPr>
      <w:r>
        <w:rPr>
          <w:rFonts w:hint="eastAsia"/>
          <w:b w:val="0"/>
          <w:bCs w:val="0"/>
          <w:lang w:val="en-US" w:eastAsia="zh-CN"/>
        </w:rPr>
        <w:t>6</w:t>
      </w:r>
      <w:r>
        <w:rPr>
          <w:rFonts w:hint="eastAsia"/>
          <w:b w:val="0"/>
          <w:bCs w:val="0"/>
        </w:rPr>
        <w:t xml:space="preserve"> 校准条件</w:t>
      </w:r>
      <w:bookmarkEnd w:id="41"/>
      <w:bookmarkStart w:id="42" w:name="_Toc193860033"/>
      <w:bookmarkStart w:id="43" w:name="_Toc193860214"/>
      <w:bookmarkStart w:id="44" w:name="_Toc500258942"/>
      <w:bookmarkStart w:id="45" w:name="_Toc193860183"/>
    </w:p>
    <w:p w14:paraId="10855797">
      <w:pPr>
        <w:spacing w:line="360" w:lineRule="auto"/>
        <w:ind w:firstLine="420" w:firstLineChars="200"/>
        <w:rPr>
          <w:bCs/>
        </w:rPr>
      </w:pPr>
      <w:r>
        <w:rPr>
          <w:rFonts w:hint="eastAsia"/>
          <w:bCs/>
        </w:rPr>
        <w:t>校准条件包括校准用计量标准、其他设备、校准环境条件和其它条件，为了使测量结果具有尽可能小的不确定度，需要建立一种较优越的环境条件，降低环境因素对计量标准带来的附加误差；需要具备一定准确度要求的计量标准及其他设备以满足用户对测量不确定度的要求、能覆盖被校设备实际校准范围。本规范是按上述原则确定校准条件的。</w:t>
      </w:r>
    </w:p>
    <w:p w14:paraId="667E0223">
      <w:pPr>
        <w:adjustRightInd w:val="0"/>
        <w:snapToGrid w:val="0"/>
        <w:spacing w:line="360" w:lineRule="auto"/>
      </w:pPr>
      <w:r>
        <w:rPr>
          <w:rFonts w:hint="eastAsia"/>
          <w:lang w:val="en-US" w:eastAsia="zh-CN"/>
        </w:rPr>
        <w:t>6</w:t>
      </w:r>
      <w:r>
        <w:rPr>
          <w:rFonts w:hint="eastAsia"/>
        </w:rPr>
        <w:t xml:space="preserve">.1 </w:t>
      </w:r>
      <w:r>
        <w:rPr>
          <w:rFonts w:hint="eastAsia" w:ascii="宋体" w:hAnsi="宋体" w:cs="宋体"/>
          <w:kern w:val="44"/>
        </w:rPr>
        <w:t>环境</w:t>
      </w:r>
      <w:r>
        <w:rPr>
          <w:rFonts w:hint="eastAsia"/>
        </w:rPr>
        <w:t>条件</w:t>
      </w:r>
    </w:p>
    <w:p w14:paraId="1D1ADE96">
      <w:pPr>
        <w:spacing w:line="360" w:lineRule="auto"/>
        <w:ind w:firstLine="420" w:firstLineChars="200"/>
        <w:rPr>
          <w:rFonts w:hint="eastAsia"/>
        </w:rPr>
      </w:pPr>
      <w:r>
        <w:rPr>
          <w:rFonts w:hint="eastAsia"/>
        </w:rPr>
        <w:t>a)环境温度：（20±2）℃；</w:t>
      </w:r>
    </w:p>
    <w:p w14:paraId="42BA8148">
      <w:pPr>
        <w:spacing w:line="360" w:lineRule="auto"/>
        <w:ind w:firstLine="420" w:firstLineChars="200"/>
        <w:rPr>
          <w:rFonts w:hint="eastAsia"/>
        </w:rPr>
      </w:pPr>
      <w:r>
        <w:rPr>
          <w:rFonts w:hint="eastAsia"/>
        </w:rPr>
        <w:t>b)相对湿度：≤80%</w:t>
      </w:r>
    </w:p>
    <w:p w14:paraId="68A9CD70">
      <w:pPr>
        <w:spacing w:line="360" w:lineRule="auto"/>
        <w:ind w:firstLine="420" w:firstLineChars="200"/>
      </w:pPr>
      <w:r>
        <w:rPr>
          <w:rFonts w:hint="eastAsia"/>
        </w:rPr>
        <w:t>c)周围无影响仪器正常工作的电磁干扰和机械振动。</w:t>
      </w:r>
    </w:p>
    <w:p w14:paraId="1367B3A9">
      <w:pPr>
        <w:spacing w:line="360" w:lineRule="auto"/>
        <w:ind w:firstLine="420" w:firstLineChars="200"/>
        <w:rPr>
          <w:rFonts w:hint="default"/>
          <w:lang w:val="en-US" w:eastAsia="zh-CN"/>
        </w:rPr>
      </w:pPr>
      <w:r>
        <w:rPr>
          <w:rFonts w:hint="eastAsia"/>
          <w:b w:val="0"/>
          <w:bCs w:val="0"/>
          <w:i w:val="0"/>
          <w:iCs w:val="0"/>
          <w:lang w:val="en-US" w:eastAsia="zh-CN"/>
        </w:rPr>
        <w:t>注：该环境条件参考了JJF1692-2018涡流电导率仪校准规范6.1的要求。如下图：</w:t>
      </w:r>
    </w:p>
    <w:p w14:paraId="1ABFF68C">
      <w:pPr>
        <w:spacing w:line="360" w:lineRule="auto"/>
        <w:ind w:firstLine="420" w:firstLineChars="200"/>
        <w:rPr>
          <w:rFonts w:hint="default"/>
          <w:lang w:val="en-US" w:eastAsia="zh-CN"/>
        </w:rPr>
      </w:pPr>
      <w:r>
        <w:drawing>
          <wp:inline distT="0" distB="0" distL="114300" distR="114300">
            <wp:extent cx="4604385" cy="1054100"/>
            <wp:effectExtent l="0" t="0" r="5080" b="3810"/>
            <wp:docPr id="27"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6"/>
                    <pic:cNvPicPr>
                      <a:picLocks noChangeAspect="1"/>
                    </pic:cNvPicPr>
                  </pic:nvPicPr>
                  <pic:blipFill>
                    <a:blip r:embed="rId22"/>
                    <a:stretch>
                      <a:fillRect/>
                    </a:stretch>
                  </pic:blipFill>
                  <pic:spPr>
                    <a:xfrm>
                      <a:off x="0" y="0"/>
                      <a:ext cx="4604385" cy="1054100"/>
                    </a:xfrm>
                    <a:prstGeom prst="rect">
                      <a:avLst/>
                    </a:prstGeom>
                    <a:noFill/>
                    <a:ln>
                      <a:noFill/>
                    </a:ln>
                  </pic:spPr>
                </pic:pic>
              </a:graphicData>
            </a:graphic>
          </wp:inline>
        </w:drawing>
      </w:r>
    </w:p>
    <w:p w14:paraId="553B3168">
      <w:pPr>
        <w:adjustRightInd w:val="0"/>
        <w:snapToGrid w:val="0"/>
        <w:spacing w:line="360" w:lineRule="auto"/>
      </w:pPr>
      <w:r>
        <w:rPr>
          <w:rFonts w:hint="eastAsia"/>
          <w:lang w:val="en-US" w:eastAsia="zh-CN"/>
        </w:rPr>
        <w:t>6</w:t>
      </w:r>
      <w:r>
        <w:rPr>
          <w:rFonts w:hint="eastAsia"/>
        </w:rPr>
        <w:t>.2 测量标准及其他设备</w:t>
      </w:r>
    </w:p>
    <w:p w14:paraId="6789B06F">
      <w:pPr>
        <w:spacing w:line="360" w:lineRule="auto"/>
        <w:ind w:left="0" w:leftChars="0" w:firstLine="0" w:firstLineChars="0"/>
        <w:rPr>
          <w:rFonts w:hint="eastAsia"/>
        </w:rPr>
      </w:pPr>
      <w:r>
        <w:rPr>
          <w:rFonts w:hint="eastAsia"/>
          <w:lang w:val="en-US" w:eastAsia="zh-CN"/>
        </w:rPr>
        <w:t>6.2.1</w:t>
      </w:r>
      <w:r>
        <w:rPr>
          <w:rFonts w:hint="eastAsia"/>
        </w:rPr>
        <w:t>标准块（组）</w:t>
      </w:r>
    </w:p>
    <w:p w14:paraId="697EC0A8">
      <w:pPr>
        <w:spacing w:line="360" w:lineRule="auto"/>
        <w:ind w:firstLine="420" w:firstLineChars="200"/>
        <w:rPr>
          <w:rFonts w:hint="eastAsia"/>
        </w:rPr>
      </w:pPr>
      <w:r>
        <w:rPr>
          <w:rFonts w:hint="eastAsia"/>
        </w:rPr>
        <w:t>标准块（组）为非铁磁金属电导率二级及以上样（标）块，其电导率范围应均匀覆盖被校电导率仪的测量范围。</w:t>
      </w:r>
    </w:p>
    <w:p w14:paraId="4804005D">
      <w:pPr>
        <w:pStyle w:val="58"/>
        <w:spacing w:line="360" w:lineRule="auto"/>
        <w:ind w:firstLine="480"/>
        <w:rPr>
          <w:rFonts w:hint="eastAsia"/>
          <w:lang w:val="en-US" w:eastAsia="zh-CN"/>
        </w:rPr>
      </w:pPr>
      <w:r>
        <w:rPr>
          <w:rFonts w:hint="eastAsia"/>
          <w:lang w:val="en-US" w:eastAsia="zh-CN"/>
        </w:rPr>
        <w:t>标准块（组）表面应保持清洁，不得有油脂、灰尘等附着，标准块表面应无镀层、无划痕、无凹槽物，表面粗糙度Ra≤1.6μm。标准块的尺寸应足够大，以消除边缘效应影响，一般每个标准块有效面积的几何尺寸应不小于2.5倍探头直径，标准块测量表面电导率值的均匀性不大于0.1%IACS；为消除涡流渗透深度对检测结果的影响，标准块厚度不小于3倍标准渗透深度。</w:t>
      </w:r>
    </w:p>
    <w:p w14:paraId="194F9222">
      <w:pPr>
        <w:pStyle w:val="58"/>
        <w:spacing w:line="360" w:lineRule="auto"/>
        <w:ind w:firstLine="480"/>
        <w:rPr>
          <w:rFonts w:hint="default"/>
          <w:lang w:val="en-US" w:eastAsia="zh-CN"/>
        </w:rPr>
      </w:pPr>
      <w:r>
        <w:rPr>
          <w:rFonts w:hint="eastAsia"/>
          <w:b w:val="0"/>
          <w:bCs w:val="0"/>
          <w:i w:val="0"/>
          <w:iCs w:val="0"/>
          <w:lang w:val="en-US" w:eastAsia="zh-CN"/>
        </w:rPr>
        <w:t>注：对标准块表面粗糙度Ra≤1.6μm的要求，参考了BAC5651：6.4.1 b条的要求，如下图所示：</w:t>
      </w:r>
    </w:p>
    <w:p w14:paraId="3B13894E">
      <w:pPr>
        <w:pStyle w:val="58"/>
        <w:spacing w:line="360" w:lineRule="auto"/>
        <w:ind w:firstLine="480"/>
        <w:rPr>
          <w:rFonts w:hint="eastAsia"/>
          <w:lang w:val="en-US" w:eastAsia="zh-CN"/>
        </w:rPr>
      </w:pPr>
      <w:r>
        <w:drawing>
          <wp:inline distT="0" distB="0" distL="114300" distR="114300">
            <wp:extent cx="5930265" cy="1943100"/>
            <wp:effectExtent l="0" t="0" r="6985" b="0"/>
            <wp:docPr id="8"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5"/>
                    <pic:cNvPicPr>
                      <a:picLocks noChangeAspect="1"/>
                    </pic:cNvPicPr>
                  </pic:nvPicPr>
                  <pic:blipFill>
                    <a:blip r:embed="rId23"/>
                    <a:stretch>
                      <a:fillRect/>
                    </a:stretch>
                  </pic:blipFill>
                  <pic:spPr>
                    <a:xfrm>
                      <a:off x="0" y="0"/>
                      <a:ext cx="5930265" cy="1943100"/>
                    </a:xfrm>
                    <a:prstGeom prst="rect">
                      <a:avLst/>
                    </a:prstGeom>
                    <a:noFill/>
                    <a:ln>
                      <a:noFill/>
                    </a:ln>
                  </pic:spPr>
                </pic:pic>
              </a:graphicData>
            </a:graphic>
          </wp:inline>
        </w:drawing>
      </w:r>
    </w:p>
    <w:p w14:paraId="7361F24A">
      <w:pPr>
        <w:pStyle w:val="58"/>
        <w:spacing w:line="360" w:lineRule="auto"/>
        <w:ind w:firstLine="480"/>
        <w:rPr>
          <w:rFonts w:hint="default"/>
          <w:highlight w:val="none"/>
          <w:lang w:val="en-US" w:eastAsia="zh-CN"/>
        </w:rPr>
      </w:pPr>
      <w:r>
        <w:rPr>
          <w:rFonts w:hint="eastAsia"/>
          <w:highlight w:val="none"/>
          <w:lang w:val="en-US" w:eastAsia="zh-CN"/>
        </w:rPr>
        <w:t>美国标准粗造度Ra 63换算为中国标准为Ra=63</w:t>
      </w:r>
      <w:r>
        <w:rPr>
          <w:rFonts w:hint="default" w:ascii="Times New Roman" w:hAnsi="Times New Roman" w:cs="Times New Roman"/>
          <w:highlight w:val="none"/>
          <w:lang w:val="en-US" w:eastAsia="zh-CN"/>
        </w:rPr>
        <w:t>μ</w:t>
      </w:r>
      <w:r>
        <w:rPr>
          <w:rFonts w:hint="eastAsia"/>
          <w:highlight w:val="none"/>
          <w:lang w:val="en-US" w:eastAsia="zh-CN"/>
        </w:rPr>
        <w:t>in=0.0254*63</w:t>
      </w:r>
      <w:r>
        <w:rPr>
          <w:rFonts w:hint="default" w:ascii="Times New Roman" w:hAnsi="Times New Roman" w:cs="Times New Roman"/>
          <w:highlight w:val="none"/>
          <w:lang w:val="en-US" w:eastAsia="zh-CN"/>
        </w:rPr>
        <w:t>μ</w:t>
      </w:r>
      <w:r>
        <w:rPr>
          <w:rFonts w:hint="eastAsia"/>
          <w:highlight w:val="none"/>
          <w:lang w:val="en-US" w:eastAsia="zh-CN"/>
        </w:rPr>
        <w:t>m=1.6</w:t>
      </w:r>
      <w:r>
        <w:rPr>
          <w:rFonts w:hint="default" w:ascii="Times New Roman" w:hAnsi="Times New Roman" w:cs="Times New Roman"/>
          <w:highlight w:val="none"/>
          <w:lang w:val="en-US" w:eastAsia="zh-CN"/>
        </w:rPr>
        <w:t>μ</w:t>
      </w:r>
      <w:r>
        <w:rPr>
          <w:rFonts w:hint="eastAsia"/>
          <w:highlight w:val="none"/>
          <w:lang w:val="en-US" w:eastAsia="zh-CN"/>
        </w:rPr>
        <w:t>m</w:t>
      </w:r>
    </w:p>
    <w:p w14:paraId="0EBEA4CC">
      <w:pPr>
        <w:pStyle w:val="58"/>
        <w:spacing w:line="360" w:lineRule="auto"/>
        <w:ind w:firstLine="480"/>
        <w:rPr>
          <w:rFonts w:hint="eastAsia"/>
          <w:lang w:val="en-US" w:eastAsia="zh-CN"/>
        </w:rPr>
      </w:pPr>
      <w:r>
        <w:rPr>
          <w:rFonts w:hint="eastAsia"/>
          <w:highlight w:val="none"/>
          <w:lang w:val="en-US" w:eastAsia="zh-CN"/>
        </w:rPr>
        <w:t>注：对“标准块的尺寸应足够大，以消除边缘效应影响，一般每个标准块有效面积的几何尺寸应不小于2.5倍探头直径”的要求，</w:t>
      </w:r>
      <w:r>
        <w:rPr>
          <w:rFonts w:hint="eastAsia"/>
          <w:lang w:val="en-US" w:eastAsia="zh-CN"/>
        </w:rPr>
        <w:t>参考了</w:t>
      </w:r>
      <w:r>
        <w:rPr>
          <w:rFonts w:hint="eastAsia" w:ascii="Times New Roman" w:eastAsia="宋体"/>
          <w:lang w:val="en-US" w:eastAsia="zh-CN"/>
        </w:rPr>
        <w:t>BAC5651：6.4.1 c</w:t>
      </w:r>
      <w:r>
        <w:rPr>
          <w:rFonts w:hint="eastAsia" w:ascii="Times New Roman"/>
          <w:lang w:val="en-US" w:eastAsia="zh-CN"/>
        </w:rPr>
        <w:t xml:space="preserve"> （1）</w:t>
      </w:r>
      <w:r>
        <w:rPr>
          <w:rFonts w:hint="eastAsia" w:ascii="Times New Roman" w:eastAsia="宋体"/>
          <w:lang w:val="en-US" w:eastAsia="zh-CN"/>
        </w:rPr>
        <w:t>条的要求</w:t>
      </w:r>
      <w:r>
        <w:rPr>
          <w:rFonts w:hint="eastAsia" w:ascii="Times New Roman"/>
          <w:lang w:val="en-US" w:eastAsia="zh-CN"/>
        </w:rPr>
        <w:t>、JJF1692-2018涡流电导率仪校准规范</w:t>
      </w:r>
      <w:r>
        <w:rPr>
          <w:rFonts w:hint="eastAsia"/>
          <w:lang w:val="en-US" w:eastAsia="zh-CN"/>
        </w:rPr>
        <w:t>的6.2.1要求，如下图所示：</w:t>
      </w:r>
    </w:p>
    <w:p w14:paraId="4EAF402C">
      <w:pPr>
        <w:pStyle w:val="58"/>
        <w:spacing w:line="360" w:lineRule="auto"/>
        <w:ind w:firstLine="480"/>
        <w:rPr>
          <w:rFonts w:hint="eastAsia"/>
          <w:lang w:val="en-US" w:eastAsia="zh-CN"/>
        </w:rPr>
      </w:pPr>
      <w:r>
        <w:drawing>
          <wp:inline distT="0" distB="0" distL="114300" distR="114300">
            <wp:extent cx="5936615" cy="1285240"/>
            <wp:effectExtent l="0" t="0" r="635" b="10160"/>
            <wp:docPr id="28"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7"/>
                    <pic:cNvPicPr>
                      <a:picLocks noChangeAspect="1"/>
                    </pic:cNvPicPr>
                  </pic:nvPicPr>
                  <pic:blipFill>
                    <a:blip r:embed="rId24"/>
                    <a:stretch>
                      <a:fillRect/>
                    </a:stretch>
                  </pic:blipFill>
                  <pic:spPr>
                    <a:xfrm>
                      <a:off x="0" y="0"/>
                      <a:ext cx="5936615" cy="1285240"/>
                    </a:xfrm>
                    <a:prstGeom prst="rect">
                      <a:avLst/>
                    </a:prstGeom>
                    <a:noFill/>
                    <a:ln>
                      <a:noFill/>
                    </a:ln>
                  </pic:spPr>
                </pic:pic>
              </a:graphicData>
            </a:graphic>
          </wp:inline>
        </w:drawing>
      </w:r>
    </w:p>
    <w:p w14:paraId="38C56FD0">
      <w:pPr>
        <w:pStyle w:val="58"/>
        <w:spacing w:line="360" w:lineRule="auto"/>
        <w:ind w:firstLine="480"/>
        <w:rPr>
          <w:rFonts w:hint="eastAsia"/>
          <w:lang w:val="en-US" w:eastAsia="zh-CN"/>
        </w:rPr>
      </w:pPr>
      <w:r>
        <w:drawing>
          <wp:inline distT="0" distB="0" distL="114300" distR="114300">
            <wp:extent cx="5935980" cy="1280795"/>
            <wp:effectExtent l="0" t="0" r="1270" b="3810"/>
            <wp:docPr id="2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3"/>
                    <pic:cNvPicPr>
                      <a:picLocks noChangeAspect="1"/>
                    </pic:cNvPicPr>
                  </pic:nvPicPr>
                  <pic:blipFill>
                    <a:blip r:embed="rId25"/>
                    <a:stretch>
                      <a:fillRect/>
                    </a:stretch>
                  </pic:blipFill>
                  <pic:spPr>
                    <a:xfrm>
                      <a:off x="0" y="0"/>
                      <a:ext cx="5935980" cy="1280795"/>
                    </a:xfrm>
                    <a:prstGeom prst="rect">
                      <a:avLst/>
                    </a:prstGeom>
                    <a:noFill/>
                    <a:ln>
                      <a:noFill/>
                    </a:ln>
                  </pic:spPr>
                </pic:pic>
              </a:graphicData>
            </a:graphic>
          </wp:inline>
        </w:drawing>
      </w:r>
    </w:p>
    <w:p w14:paraId="11C035F0">
      <w:pPr>
        <w:pStyle w:val="58"/>
        <w:spacing w:line="360" w:lineRule="auto"/>
        <w:ind w:firstLine="480"/>
        <w:rPr>
          <w:rFonts w:hint="eastAsia"/>
          <w:b w:val="0"/>
          <w:bCs w:val="0"/>
          <w:i w:val="0"/>
          <w:iCs w:val="0"/>
          <w:lang w:val="en-US" w:eastAsia="zh-CN"/>
        </w:rPr>
      </w:pPr>
      <w:r>
        <w:rPr>
          <w:rFonts w:hint="eastAsia"/>
          <w:lang w:val="en-US" w:eastAsia="zh-CN"/>
        </w:rPr>
        <w:t>注：对标准块测量表面电导率值的均匀性不大于0.1%IACS的要求，参考了</w:t>
      </w:r>
      <w:r>
        <w:rPr>
          <w:rFonts w:hint="eastAsia"/>
          <w:b w:val="0"/>
          <w:bCs w:val="0"/>
          <w:i w:val="0"/>
          <w:iCs w:val="0"/>
          <w:lang w:val="en-US" w:eastAsia="zh-CN"/>
        </w:rPr>
        <w:t>BAC5651：6.4.2c条的要求，如下图所示：</w:t>
      </w:r>
    </w:p>
    <w:p w14:paraId="3E59A33B">
      <w:pPr>
        <w:pStyle w:val="58"/>
        <w:spacing w:line="360" w:lineRule="auto"/>
        <w:ind w:firstLine="480"/>
        <w:rPr>
          <w:rFonts w:hint="default"/>
          <w:b w:val="0"/>
          <w:bCs w:val="0"/>
          <w:i w:val="0"/>
          <w:iCs w:val="0"/>
          <w:lang w:val="en-US" w:eastAsia="zh-CN"/>
        </w:rPr>
      </w:pPr>
      <w:r>
        <w:drawing>
          <wp:inline distT="0" distB="0" distL="114300" distR="114300">
            <wp:extent cx="5939790" cy="532765"/>
            <wp:effectExtent l="0" t="0" r="3810" b="63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6"/>
                    <a:stretch>
                      <a:fillRect/>
                    </a:stretch>
                  </pic:blipFill>
                  <pic:spPr>
                    <a:xfrm>
                      <a:off x="0" y="0"/>
                      <a:ext cx="5939790" cy="532765"/>
                    </a:xfrm>
                    <a:prstGeom prst="rect">
                      <a:avLst/>
                    </a:prstGeom>
                    <a:noFill/>
                    <a:ln>
                      <a:noFill/>
                    </a:ln>
                  </pic:spPr>
                </pic:pic>
              </a:graphicData>
            </a:graphic>
          </wp:inline>
        </w:drawing>
      </w:r>
    </w:p>
    <w:p w14:paraId="50637204">
      <w:pPr>
        <w:pStyle w:val="58"/>
        <w:spacing w:line="360" w:lineRule="auto"/>
        <w:ind w:firstLine="480"/>
        <w:rPr>
          <w:rFonts w:hint="eastAsia"/>
          <w:lang w:val="en-US" w:eastAsia="zh-CN"/>
        </w:rPr>
      </w:pPr>
      <w:r>
        <w:rPr>
          <w:rFonts w:hint="eastAsia"/>
          <w:b w:val="0"/>
          <w:bCs w:val="0"/>
          <w:i w:val="0"/>
          <w:iCs w:val="0"/>
          <w:lang w:val="en-US" w:eastAsia="zh-CN"/>
        </w:rPr>
        <w:t>注：对标准块厚度不小于3倍标准渗透深度的要求，参考了BAC5651：6.4.1 c（2）条的要求，如下图所示：</w:t>
      </w:r>
    </w:p>
    <w:p w14:paraId="5476C347">
      <w:pPr>
        <w:pStyle w:val="58"/>
        <w:spacing w:line="360" w:lineRule="auto"/>
        <w:ind w:firstLine="480"/>
        <w:rPr>
          <w:rFonts w:hint="eastAsia"/>
          <w:lang w:val="en-US" w:eastAsia="zh-CN"/>
        </w:rPr>
      </w:pPr>
      <w:r>
        <w:drawing>
          <wp:inline distT="0" distB="0" distL="114300" distR="114300">
            <wp:extent cx="5932805" cy="1772920"/>
            <wp:effectExtent l="0" t="0" r="4445" b="8255"/>
            <wp:docPr id="9"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6"/>
                    <pic:cNvPicPr>
                      <a:picLocks noChangeAspect="1"/>
                    </pic:cNvPicPr>
                  </pic:nvPicPr>
                  <pic:blipFill>
                    <a:blip r:embed="rId27"/>
                    <a:stretch>
                      <a:fillRect/>
                    </a:stretch>
                  </pic:blipFill>
                  <pic:spPr>
                    <a:xfrm>
                      <a:off x="0" y="0"/>
                      <a:ext cx="5932805" cy="1772920"/>
                    </a:xfrm>
                    <a:prstGeom prst="rect">
                      <a:avLst/>
                    </a:prstGeom>
                    <a:noFill/>
                    <a:ln>
                      <a:noFill/>
                    </a:ln>
                  </pic:spPr>
                </pic:pic>
              </a:graphicData>
            </a:graphic>
          </wp:inline>
        </w:drawing>
      </w:r>
    </w:p>
    <w:p w14:paraId="7F2368E2">
      <w:pPr>
        <w:pStyle w:val="58"/>
        <w:spacing w:line="360" w:lineRule="auto"/>
        <w:ind w:firstLine="480"/>
        <w:rPr>
          <w:rFonts w:hint="eastAsia"/>
          <w:lang w:val="en-US" w:eastAsia="zh-CN"/>
        </w:rPr>
      </w:pPr>
      <w:r>
        <w:rPr>
          <w:rFonts w:hint="eastAsia"/>
          <w:lang w:val="en-US" w:eastAsia="zh-CN"/>
        </w:rPr>
        <w:t>对各类测量范围所需标准块的数量应按照表1要求选取，标准块应有较大范围的数据点，其中每一类应有一个示值为低限和一个示值为高限的标准块。示值为低限的标准块应在该类测量范围低端的± 2.5% IACS (1.45 MS/m)以内，示值为高限的标准块应在该类测量范围高端的± 2.5% IACS (1.45 MS/m)以内。</w:t>
      </w:r>
    </w:p>
    <w:p w14:paraId="1CED2A32">
      <w:pPr>
        <w:pStyle w:val="58"/>
        <w:spacing w:line="360" w:lineRule="auto"/>
        <w:ind w:firstLine="480"/>
        <w:rPr>
          <w:rFonts w:hint="default"/>
          <w:b/>
          <w:bCs/>
          <w:lang w:val="en-US" w:eastAsia="zh-CN"/>
        </w:rPr>
      </w:pPr>
      <w:r>
        <w:rPr>
          <w:rFonts w:hint="eastAsia"/>
          <w:b/>
          <w:bCs/>
          <w:i/>
          <w:iCs/>
          <w:lang w:val="en-US" w:eastAsia="zh-CN"/>
        </w:rPr>
        <w:t>该段参考了BAC5651：6.2.2.1b的要求，如下图所示：</w:t>
      </w:r>
    </w:p>
    <w:p w14:paraId="19E47A8F">
      <w:pPr>
        <w:pStyle w:val="58"/>
        <w:jc w:val="center"/>
        <w:rPr>
          <w:rStyle w:val="325"/>
          <w:rFonts w:hint="eastAsia" w:eastAsia="黑体"/>
          <w:color w:val="auto"/>
          <w:kern w:val="2"/>
          <w:highlight w:val="none"/>
          <w:lang w:val="en-US" w:eastAsia="zh-CN"/>
        </w:rPr>
      </w:pPr>
      <w:r>
        <w:drawing>
          <wp:inline distT="0" distB="0" distL="114300" distR="114300">
            <wp:extent cx="5335270" cy="802005"/>
            <wp:effectExtent l="0" t="0" r="8255" b="7620"/>
            <wp:docPr id="32"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1"/>
                    <pic:cNvPicPr>
                      <a:picLocks noChangeAspect="1"/>
                    </pic:cNvPicPr>
                  </pic:nvPicPr>
                  <pic:blipFill>
                    <a:blip r:embed="rId28"/>
                    <a:stretch>
                      <a:fillRect/>
                    </a:stretch>
                  </pic:blipFill>
                  <pic:spPr>
                    <a:xfrm>
                      <a:off x="0" y="0"/>
                      <a:ext cx="5335270" cy="802005"/>
                    </a:xfrm>
                    <a:prstGeom prst="rect">
                      <a:avLst/>
                    </a:prstGeom>
                    <a:noFill/>
                    <a:ln>
                      <a:noFill/>
                    </a:ln>
                  </pic:spPr>
                </pic:pic>
              </a:graphicData>
            </a:graphic>
          </wp:inline>
        </w:drawing>
      </w:r>
    </w:p>
    <w:p w14:paraId="542CCC17">
      <w:pPr>
        <w:pStyle w:val="58"/>
        <w:jc w:val="center"/>
        <w:rPr>
          <w:rStyle w:val="325"/>
          <w:rFonts w:hint="eastAsia" w:eastAsia="黑体"/>
          <w:color w:val="auto"/>
          <w:kern w:val="2"/>
          <w:highlight w:val="none"/>
          <w:lang w:val="en-US" w:eastAsia="zh-CN"/>
        </w:rPr>
      </w:pPr>
    </w:p>
    <w:p w14:paraId="4CEEC609">
      <w:pPr>
        <w:pStyle w:val="58"/>
        <w:jc w:val="center"/>
        <w:rPr>
          <w:rStyle w:val="325"/>
          <w:rFonts w:hint="default" w:eastAsia="黑体"/>
          <w:color w:val="auto"/>
          <w:kern w:val="2"/>
          <w:highlight w:val="none"/>
          <w:lang w:val="en-US" w:eastAsia="zh-CN"/>
        </w:rPr>
      </w:pPr>
      <w:r>
        <w:rPr>
          <w:rStyle w:val="325"/>
          <w:rFonts w:hint="eastAsia" w:eastAsia="黑体"/>
          <w:color w:val="auto"/>
          <w:kern w:val="2"/>
          <w:highlight w:val="none"/>
          <w:lang w:val="en-US" w:eastAsia="zh-CN"/>
        </w:rPr>
        <w:t>表1 各类测量范围所需标准块要求</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5"/>
        <w:gridCol w:w="2777"/>
        <w:gridCol w:w="2909"/>
        <w:gridCol w:w="1735"/>
      </w:tblGrid>
      <w:tr w14:paraId="38BFD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dxa"/>
            <w:vMerge w:val="restart"/>
            <w:vAlign w:val="center"/>
          </w:tcPr>
          <w:p w14:paraId="3E938B0E">
            <w:pPr>
              <w:pStyle w:val="58"/>
              <w:widowControl w:val="0"/>
              <w:ind w:left="0" w:leftChars="0" w:firstLine="0" w:firstLineChars="0"/>
              <w:jc w:val="center"/>
              <w:rPr>
                <w:rStyle w:val="324"/>
                <w:rFonts w:hint="default"/>
                <w:lang w:val="en-US" w:eastAsia="zh-CN"/>
              </w:rPr>
            </w:pPr>
            <w:r>
              <w:rPr>
                <w:rStyle w:val="324"/>
                <w:rFonts w:hint="eastAsia"/>
                <w:lang w:val="en-US" w:eastAsia="zh-CN"/>
              </w:rPr>
              <w:t>测量范围分类</w:t>
            </w:r>
          </w:p>
        </w:tc>
        <w:tc>
          <w:tcPr>
            <w:tcW w:w="5686" w:type="dxa"/>
            <w:gridSpan w:val="2"/>
            <w:vAlign w:val="center"/>
          </w:tcPr>
          <w:p w14:paraId="124EF654">
            <w:pPr>
              <w:pStyle w:val="58"/>
              <w:widowControl w:val="0"/>
              <w:ind w:left="0" w:leftChars="0" w:firstLine="0" w:firstLineChars="0"/>
              <w:jc w:val="center"/>
              <w:rPr>
                <w:rStyle w:val="324"/>
                <w:rFonts w:hint="eastAsia"/>
                <w:lang w:val="en-US" w:eastAsia="zh-CN"/>
              </w:rPr>
            </w:pPr>
            <w:r>
              <w:rPr>
                <w:rStyle w:val="324"/>
                <w:rFonts w:hint="eastAsia"/>
                <w:lang w:val="en-US" w:eastAsia="zh-CN"/>
              </w:rPr>
              <w:t>标准试样的电导率值/MS/m（%IACS）</w:t>
            </w:r>
          </w:p>
        </w:tc>
        <w:tc>
          <w:tcPr>
            <w:tcW w:w="1735" w:type="dxa"/>
            <w:vMerge w:val="restart"/>
            <w:vAlign w:val="center"/>
          </w:tcPr>
          <w:p w14:paraId="6F51CDCC">
            <w:pPr>
              <w:pStyle w:val="58"/>
              <w:widowControl w:val="0"/>
              <w:ind w:left="0" w:leftChars="0" w:firstLine="0" w:firstLineChars="0"/>
              <w:jc w:val="center"/>
              <w:rPr>
                <w:rStyle w:val="324"/>
                <w:rFonts w:hint="default"/>
                <w:lang w:val="en-US" w:eastAsia="zh-CN"/>
              </w:rPr>
            </w:pPr>
            <w:r>
              <w:rPr>
                <w:rStyle w:val="324"/>
                <w:rFonts w:hint="eastAsia"/>
                <w:lang w:val="en-US" w:eastAsia="zh-CN"/>
              </w:rPr>
              <w:t>校准需要的标准样块数量</w:t>
            </w:r>
          </w:p>
        </w:tc>
      </w:tr>
      <w:tr w14:paraId="763C6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dxa"/>
            <w:vMerge w:val="continue"/>
            <w:vAlign w:val="center"/>
          </w:tcPr>
          <w:p w14:paraId="2D7E20DE">
            <w:pPr>
              <w:pStyle w:val="58"/>
              <w:widowControl w:val="0"/>
              <w:jc w:val="center"/>
              <w:rPr>
                <w:rStyle w:val="324"/>
                <w:rFonts w:hint="eastAsia"/>
                <w:lang w:val="en-US" w:eastAsia="zh-CN"/>
              </w:rPr>
            </w:pPr>
          </w:p>
        </w:tc>
        <w:tc>
          <w:tcPr>
            <w:tcW w:w="2777" w:type="dxa"/>
            <w:vAlign w:val="center"/>
          </w:tcPr>
          <w:p w14:paraId="3F4C1C2A">
            <w:pPr>
              <w:pStyle w:val="58"/>
              <w:widowControl w:val="0"/>
              <w:ind w:left="0" w:leftChars="0" w:firstLine="0" w:firstLineChars="0"/>
              <w:jc w:val="center"/>
              <w:rPr>
                <w:rStyle w:val="324"/>
                <w:rFonts w:hint="default"/>
                <w:lang w:val="en-US" w:eastAsia="zh-CN"/>
              </w:rPr>
            </w:pPr>
            <w:r>
              <w:rPr>
                <w:rStyle w:val="324"/>
                <w:rFonts w:hint="eastAsia"/>
                <w:lang w:val="en-US" w:eastAsia="zh-CN"/>
              </w:rPr>
              <w:t>低限</w:t>
            </w:r>
          </w:p>
        </w:tc>
        <w:tc>
          <w:tcPr>
            <w:tcW w:w="2909" w:type="dxa"/>
            <w:vAlign w:val="center"/>
          </w:tcPr>
          <w:p w14:paraId="34A5C81C">
            <w:pPr>
              <w:pStyle w:val="58"/>
              <w:widowControl w:val="0"/>
              <w:ind w:left="0" w:leftChars="0" w:firstLine="0" w:firstLineChars="0"/>
              <w:jc w:val="center"/>
              <w:rPr>
                <w:rStyle w:val="324"/>
                <w:rFonts w:hint="default"/>
                <w:lang w:val="en-US" w:eastAsia="zh-CN"/>
              </w:rPr>
            </w:pPr>
            <w:r>
              <w:rPr>
                <w:rStyle w:val="324"/>
                <w:rFonts w:hint="eastAsia"/>
                <w:lang w:val="en-US" w:eastAsia="zh-CN"/>
              </w:rPr>
              <w:t>高限</w:t>
            </w:r>
          </w:p>
        </w:tc>
        <w:tc>
          <w:tcPr>
            <w:tcW w:w="1735" w:type="dxa"/>
            <w:vMerge w:val="continue"/>
            <w:vAlign w:val="center"/>
          </w:tcPr>
          <w:p w14:paraId="3C8D642E">
            <w:pPr>
              <w:pStyle w:val="58"/>
              <w:widowControl w:val="0"/>
              <w:jc w:val="center"/>
              <w:rPr>
                <w:rStyle w:val="324"/>
                <w:rFonts w:hint="eastAsia"/>
                <w:lang w:val="en-US" w:eastAsia="zh-CN"/>
              </w:rPr>
            </w:pPr>
          </w:p>
        </w:tc>
      </w:tr>
      <w:tr w14:paraId="7D53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dxa"/>
            <w:vAlign w:val="center"/>
          </w:tcPr>
          <w:p w14:paraId="5DE586E7">
            <w:pPr>
              <w:pStyle w:val="58"/>
              <w:widowControl w:val="0"/>
              <w:ind w:left="0" w:leftChars="0" w:firstLine="0" w:firstLineChars="0"/>
              <w:jc w:val="center"/>
              <w:rPr>
                <w:rStyle w:val="324"/>
                <w:rFonts w:hint="default"/>
                <w:lang w:val="en-US" w:eastAsia="zh-CN"/>
              </w:rPr>
            </w:pPr>
            <w:r>
              <w:rPr>
                <w:rStyle w:val="324"/>
                <w:rFonts w:hint="eastAsia"/>
                <w:lang w:val="en-US" w:eastAsia="zh-CN"/>
              </w:rPr>
              <w:t>Ⅰ类</w:t>
            </w:r>
          </w:p>
        </w:tc>
        <w:tc>
          <w:tcPr>
            <w:tcW w:w="2777" w:type="dxa"/>
            <w:vAlign w:val="center"/>
          </w:tcPr>
          <w:p w14:paraId="49AFB0F3">
            <w:pPr>
              <w:pStyle w:val="58"/>
              <w:widowControl w:val="0"/>
              <w:ind w:left="0" w:leftChars="0" w:firstLine="0" w:firstLineChars="0"/>
              <w:jc w:val="center"/>
              <w:rPr>
                <w:rStyle w:val="324"/>
                <w:rFonts w:hint="default"/>
                <w:lang w:val="en-US" w:eastAsia="zh-CN"/>
              </w:rPr>
            </w:pPr>
            <w:r>
              <w:rPr>
                <w:rStyle w:val="324"/>
                <w:rFonts w:hint="eastAsia"/>
                <w:lang w:val="en-US" w:eastAsia="zh-CN"/>
              </w:rPr>
              <w:t>0</w:t>
            </w:r>
            <w:r>
              <w:rPr>
                <w:rStyle w:val="324"/>
                <w:rFonts w:hint="eastAsia" w:ascii="微软雅黑" w:hAnsi="微软雅黑" w:eastAsia="微软雅黑" w:cs="微软雅黑"/>
                <w:lang w:val="en-US" w:eastAsia="zh-CN"/>
              </w:rPr>
              <w:t>~</w:t>
            </w:r>
            <w:r>
              <w:rPr>
                <w:rStyle w:val="324"/>
                <w:rFonts w:hint="eastAsia"/>
                <w:lang w:val="en-US" w:eastAsia="zh-CN"/>
              </w:rPr>
              <w:t>1.97（0</w:t>
            </w:r>
            <w:r>
              <w:rPr>
                <w:rStyle w:val="324"/>
                <w:rFonts w:hint="eastAsia" w:ascii="微软雅黑" w:hAnsi="微软雅黑" w:eastAsia="微软雅黑" w:cs="微软雅黑"/>
                <w:lang w:val="en-US" w:eastAsia="zh-CN"/>
              </w:rPr>
              <w:t>~</w:t>
            </w:r>
            <w:r>
              <w:rPr>
                <w:rStyle w:val="324"/>
                <w:rFonts w:hint="eastAsia"/>
                <w:lang w:val="en-US" w:eastAsia="zh-CN"/>
              </w:rPr>
              <w:t>3.4）</w:t>
            </w:r>
          </w:p>
        </w:tc>
        <w:tc>
          <w:tcPr>
            <w:tcW w:w="2909" w:type="dxa"/>
            <w:vAlign w:val="center"/>
          </w:tcPr>
          <w:p w14:paraId="6D428608">
            <w:pPr>
              <w:pStyle w:val="58"/>
              <w:widowControl w:val="0"/>
              <w:ind w:left="0" w:leftChars="0" w:firstLine="0" w:firstLineChars="0"/>
              <w:jc w:val="center"/>
              <w:rPr>
                <w:rStyle w:val="324"/>
                <w:rFonts w:hint="eastAsia"/>
                <w:lang w:val="en-US" w:eastAsia="zh-CN"/>
              </w:rPr>
            </w:pPr>
            <w:r>
              <w:rPr>
                <w:rStyle w:val="324"/>
                <w:rFonts w:hint="eastAsia"/>
                <w:lang w:val="en-US" w:eastAsia="zh-CN"/>
              </w:rPr>
              <w:t>13.05</w:t>
            </w:r>
            <w:r>
              <w:rPr>
                <w:rStyle w:val="324"/>
                <w:rFonts w:hint="eastAsia" w:ascii="微软雅黑" w:hAnsi="微软雅黑" w:eastAsia="微软雅黑" w:cs="微软雅黑"/>
                <w:lang w:val="en-US" w:eastAsia="zh-CN"/>
              </w:rPr>
              <w:t>~</w:t>
            </w:r>
            <w:r>
              <w:rPr>
                <w:rStyle w:val="324"/>
                <w:rFonts w:hint="eastAsia"/>
                <w:lang w:val="en-US" w:eastAsia="zh-CN"/>
              </w:rPr>
              <w:t>15.95（22.5</w:t>
            </w:r>
            <w:r>
              <w:rPr>
                <w:rStyle w:val="324"/>
                <w:rFonts w:hint="eastAsia" w:ascii="微软雅黑" w:hAnsi="微软雅黑" w:eastAsia="微软雅黑" w:cs="微软雅黑"/>
                <w:lang w:val="en-US" w:eastAsia="zh-CN"/>
              </w:rPr>
              <w:t>~</w:t>
            </w:r>
            <w:r>
              <w:rPr>
                <w:rStyle w:val="324"/>
                <w:rFonts w:hint="eastAsia"/>
                <w:lang w:val="en-US" w:eastAsia="zh-CN"/>
              </w:rPr>
              <w:t>27.5）</w:t>
            </w:r>
          </w:p>
        </w:tc>
        <w:tc>
          <w:tcPr>
            <w:tcW w:w="1735" w:type="dxa"/>
            <w:vAlign w:val="center"/>
          </w:tcPr>
          <w:p w14:paraId="33AA7248">
            <w:pPr>
              <w:pStyle w:val="58"/>
              <w:widowControl w:val="0"/>
              <w:ind w:left="0" w:leftChars="0" w:firstLine="0" w:firstLineChars="0"/>
              <w:jc w:val="center"/>
              <w:rPr>
                <w:rStyle w:val="324"/>
                <w:rFonts w:hint="default"/>
                <w:lang w:val="en-US" w:eastAsia="zh-CN"/>
              </w:rPr>
            </w:pPr>
            <w:r>
              <w:rPr>
                <w:rStyle w:val="324"/>
                <w:rFonts w:hint="eastAsia"/>
                <w:lang w:val="en-US" w:eastAsia="zh-CN"/>
              </w:rPr>
              <w:t>3个</w:t>
            </w:r>
          </w:p>
        </w:tc>
      </w:tr>
      <w:tr w14:paraId="2F539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dxa"/>
            <w:vAlign w:val="center"/>
          </w:tcPr>
          <w:p w14:paraId="313CA9DD">
            <w:pPr>
              <w:pStyle w:val="58"/>
              <w:widowControl w:val="0"/>
              <w:ind w:left="0" w:leftChars="0" w:firstLine="0" w:firstLineChars="0"/>
              <w:jc w:val="center"/>
              <w:rPr>
                <w:rStyle w:val="324"/>
                <w:rFonts w:hint="default"/>
                <w:lang w:val="en-US" w:eastAsia="zh-CN"/>
              </w:rPr>
            </w:pPr>
            <w:r>
              <w:rPr>
                <w:rStyle w:val="324"/>
                <w:rFonts w:hint="eastAsia"/>
                <w:lang w:val="en-US" w:eastAsia="zh-CN"/>
              </w:rPr>
              <w:t>Ⅱ类</w:t>
            </w:r>
          </w:p>
        </w:tc>
        <w:tc>
          <w:tcPr>
            <w:tcW w:w="2777" w:type="dxa"/>
            <w:vAlign w:val="center"/>
          </w:tcPr>
          <w:p w14:paraId="21F969C1">
            <w:pPr>
              <w:pStyle w:val="58"/>
              <w:widowControl w:val="0"/>
              <w:ind w:left="0" w:leftChars="0" w:firstLine="0" w:firstLineChars="0"/>
              <w:jc w:val="center"/>
              <w:rPr>
                <w:rStyle w:val="324"/>
                <w:rFonts w:hint="eastAsia"/>
                <w:lang w:val="en-US" w:eastAsia="zh-CN"/>
              </w:rPr>
            </w:pPr>
            <w:r>
              <w:rPr>
                <w:rStyle w:val="324"/>
                <w:rFonts w:hint="eastAsia"/>
                <w:lang w:val="en-US" w:eastAsia="zh-CN"/>
              </w:rPr>
              <w:t>7.83</w:t>
            </w:r>
            <w:r>
              <w:rPr>
                <w:rStyle w:val="324"/>
                <w:rFonts w:hint="eastAsia" w:ascii="微软雅黑" w:hAnsi="微软雅黑" w:eastAsia="微软雅黑" w:cs="微软雅黑"/>
                <w:lang w:val="en-US" w:eastAsia="zh-CN"/>
              </w:rPr>
              <w:t>~</w:t>
            </w:r>
            <w:r>
              <w:rPr>
                <w:rStyle w:val="324"/>
                <w:rFonts w:hint="eastAsia"/>
                <w:lang w:val="en-US" w:eastAsia="zh-CN"/>
              </w:rPr>
              <w:t>10.73（13.5</w:t>
            </w:r>
            <w:r>
              <w:rPr>
                <w:rStyle w:val="324"/>
                <w:rFonts w:hint="eastAsia" w:ascii="微软雅黑" w:hAnsi="微软雅黑" w:eastAsia="微软雅黑" w:cs="微软雅黑"/>
                <w:lang w:val="en-US" w:eastAsia="zh-CN"/>
              </w:rPr>
              <w:t>~</w:t>
            </w:r>
            <w:r>
              <w:rPr>
                <w:rStyle w:val="324"/>
                <w:rFonts w:hint="eastAsia"/>
                <w:lang w:val="en-US" w:eastAsia="zh-CN"/>
              </w:rPr>
              <w:t>18.5）</w:t>
            </w:r>
          </w:p>
        </w:tc>
        <w:tc>
          <w:tcPr>
            <w:tcW w:w="2909" w:type="dxa"/>
            <w:vAlign w:val="center"/>
          </w:tcPr>
          <w:p w14:paraId="0FC73C9B">
            <w:pPr>
              <w:pStyle w:val="58"/>
              <w:widowControl w:val="0"/>
              <w:ind w:left="0" w:leftChars="0" w:firstLine="0" w:firstLineChars="0"/>
              <w:jc w:val="center"/>
              <w:rPr>
                <w:rStyle w:val="324"/>
                <w:rFonts w:hint="default"/>
                <w:lang w:val="en-US" w:eastAsia="zh-CN"/>
              </w:rPr>
            </w:pPr>
            <w:r>
              <w:rPr>
                <w:rStyle w:val="324"/>
                <w:rFonts w:hint="eastAsia"/>
                <w:lang w:val="en-US" w:eastAsia="zh-CN"/>
              </w:rPr>
              <w:t>33.35</w:t>
            </w:r>
            <w:r>
              <w:rPr>
                <w:rStyle w:val="324"/>
                <w:rFonts w:hint="eastAsia" w:ascii="微软雅黑" w:hAnsi="微软雅黑" w:eastAsia="微软雅黑" w:cs="微软雅黑"/>
                <w:lang w:val="en-US" w:eastAsia="zh-CN"/>
              </w:rPr>
              <w:t>~</w:t>
            </w:r>
            <w:r>
              <w:rPr>
                <w:rStyle w:val="324"/>
                <w:rFonts w:hint="eastAsia"/>
                <w:lang w:val="en-US" w:eastAsia="zh-CN"/>
              </w:rPr>
              <w:t>36.25（57.5</w:t>
            </w:r>
            <w:r>
              <w:rPr>
                <w:rStyle w:val="324"/>
                <w:rFonts w:hint="eastAsia" w:ascii="微软雅黑" w:hAnsi="微软雅黑" w:eastAsia="微软雅黑" w:cs="微软雅黑"/>
                <w:lang w:val="en-US" w:eastAsia="zh-CN"/>
              </w:rPr>
              <w:t>~</w:t>
            </w:r>
            <w:r>
              <w:rPr>
                <w:rStyle w:val="324"/>
                <w:rFonts w:hint="eastAsia"/>
                <w:lang w:val="en-US" w:eastAsia="zh-CN"/>
              </w:rPr>
              <w:t>62.5）</w:t>
            </w:r>
          </w:p>
        </w:tc>
        <w:tc>
          <w:tcPr>
            <w:tcW w:w="1735" w:type="dxa"/>
            <w:vAlign w:val="center"/>
          </w:tcPr>
          <w:p w14:paraId="76E957E0">
            <w:pPr>
              <w:pStyle w:val="58"/>
              <w:widowControl w:val="0"/>
              <w:ind w:left="0" w:leftChars="0" w:firstLine="0" w:firstLineChars="0"/>
              <w:jc w:val="center"/>
              <w:rPr>
                <w:rStyle w:val="324"/>
                <w:rFonts w:hint="default"/>
                <w:lang w:val="en-US" w:eastAsia="zh-CN"/>
              </w:rPr>
            </w:pPr>
            <w:r>
              <w:rPr>
                <w:rStyle w:val="324"/>
                <w:rFonts w:hint="eastAsia"/>
                <w:lang w:val="en-US" w:eastAsia="zh-CN"/>
              </w:rPr>
              <w:t>5个</w:t>
            </w:r>
          </w:p>
        </w:tc>
      </w:tr>
      <w:tr w14:paraId="56ED5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dxa"/>
            <w:vAlign w:val="center"/>
          </w:tcPr>
          <w:p w14:paraId="39064CE8">
            <w:pPr>
              <w:pStyle w:val="58"/>
              <w:widowControl w:val="0"/>
              <w:ind w:left="0" w:leftChars="0" w:firstLine="0" w:firstLineChars="0"/>
              <w:jc w:val="center"/>
              <w:rPr>
                <w:rStyle w:val="324"/>
                <w:rFonts w:hint="default"/>
                <w:lang w:val="en-US" w:eastAsia="zh-CN"/>
              </w:rPr>
            </w:pPr>
            <w:r>
              <w:rPr>
                <w:rStyle w:val="324"/>
                <w:rFonts w:hint="eastAsia"/>
                <w:lang w:val="en-US" w:eastAsia="zh-CN"/>
              </w:rPr>
              <w:t>Ⅲ类</w:t>
            </w:r>
          </w:p>
        </w:tc>
        <w:tc>
          <w:tcPr>
            <w:tcW w:w="2777" w:type="dxa"/>
            <w:vAlign w:val="center"/>
          </w:tcPr>
          <w:p w14:paraId="13563BBD">
            <w:pPr>
              <w:pStyle w:val="58"/>
              <w:widowControl w:val="0"/>
              <w:ind w:left="0" w:leftChars="0" w:firstLine="0" w:firstLineChars="0"/>
              <w:jc w:val="center"/>
              <w:rPr>
                <w:rStyle w:val="324"/>
                <w:rFonts w:hint="eastAsia"/>
                <w:lang w:val="en-US" w:eastAsia="zh-CN"/>
              </w:rPr>
            </w:pPr>
            <w:r>
              <w:rPr>
                <w:rStyle w:val="324"/>
                <w:rFonts w:hint="eastAsia"/>
                <w:lang w:val="en-US" w:eastAsia="zh-CN"/>
              </w:rPr>
              <w:t>33.35</w:t>
            </w:r>
            <w:r>
              <w:rPr>
                <w:rStyle w:val="324"/>
                <w:rFonts w:hint="eastAsia" w:ascii="微软雅黑" w:hAnsi="微软雅黑" w:eastAsia="微软雅黑" w:cs="微软雅黑"/>
                <w:lang w:val="en-US" w:eastAsia="zh-CN"/>
              </w:rPr>
              <w:t>~</w:t>
            </w:r>
            <w:r>
              <w:rPr>
                <w:rStyle w:val="324"/>
                <w:rFonts w:hint="eastAsia"/>
                <w:lang w:val="en-US" w:eastAsia="zh-CN"/>
              </w:rPr>
              <w:t>36.25（57.5</w:t>
            </w:r>
            <w:r>
              <w:rPr>
                <w:rStyle w:val="324"/>
                <w:rFonts w:hint="eastAsia" w:ascii="微软雅黑" w:hAnsi="微软雅黑" w:eastAsia="微软雅黑" w:cs="微软雅黑"/>
                <w:lang w:val="en-US" w:eastAsia="zh-CN"/>
              </w:rPr>
              <w:t>~</w:t>
            </w:r>
            <w:r>
              <w:rPr>
                <w:rStyle w:val="324"/>
                <w:rFonts w:hint="eastAsia"/>
                <w:lang w:val="en-US" w:eastAsia="zh-CN"/>
              </w:rPr>
              <w:t>62.5）</w:t>
            </w:r>
          </w:p>
        </w:tc>
        <w:tc>
          <w:tcPr>
            <w:tcW w:w="2909" w:type="dxa"/>
            <w:vAlign w:val="center"/>
          </w:tcPr>
          <w:p w14:paraId="257CBE9C">
            <w:pPr>
              <w:pStyle w:val="58"/>
              <w:widowControl w:val="0"/>
              <w:ind w:left="0" w:leftChars="0" w:firstLine="0" w:firstLineChars="0"/>
              <w:jc w:val="center"/>
              <w:rPr>
                <w:rStyle w:val="324"/>
                <w:rFonts w:hint="eastAsia"/>
                <w:lang w:val="en-US" w:eastAsia="zh-CN"/>
              </w:rPr>
            </w:pPr>
            <w:r>
              <w:rPr>
                <w:rStyle w:val="324"/>
                <w:rFonts w:hint="eastAsia"/>
                <w:lang w:val="en-US" w:eastAsia="zh-CN"/>
              </w:rPr>
              <w:t>57.71</w:t>
            </w:r>
            <w:r>
              <w:rPr>
                <w:rStyle w:val="324"/>
                <w:rFonts w:hint="eastAsia" w:ascii="微软雅黑" w:hAnsi="微软雅黑" w:eastAsia="微软雅黑" w:cs="微软雅黑"/>
                <w:lang w:val="en-US" w:eastAsia="zh-CN"/>
              </w:rPr>
              <w:t>~</w:t>
            </w:r>
            <w:r>
              <w:rPr>
                <w:rStyle w:val="324"/>
                <w:rFonts w:hint="eastAsia"/>
                <w:lang w:val="en-US" w:eastAsia="zh-CN"/>
              </w:rPr>
              <w:t>60.61（99.5</w:t>
            </w:r>
            <w:r>
              <w:rPr>
                <w:rStyle w:val="324"/>
                <w:rFonts w:hint="eastAsia" w:ascii="微软雅黑" w:hAnsi="微软雅黑" w:eastAsia="微软雅黑" w:cs="微软雅黑"/>
                <w:lang w:val="en-US" w:eastAsia="zh-CN"/>
              </w:rPr>
              <w:t>~</w:t>
            </w:r>
            <w:r>
              <w:rPr>
                <w:rStyle w:val="324"/>
                <w:rFonts w:hint="eastAsia"/>
                <w:lang w:val="en-US" w:eastAsia="zh-CN"/>
              </w:rPr>
              <w:t>104.5）</w:t>
            </w:r>
          </w:p>
        </w:tc>
        <w:tc>
          <w:tcPr>
            <w:tcW w:w="1735" w:type="dxa"/>
            <w:vAlign w:val="center"/>
          </w:tcPr>
          <w:p w14:paraId="7CEBCA1C">
            <w:pPr>
              <w:pStyle w:val="58"/>
              <w:widowControl w:val="0"/>
              <w:ind w:left="0" w:leftChars="0" w:firstLine="0" w:firstLineChars="0"/>
              <w:jc w:val="center"/>
              <w:rPr>
                <w:rStyle w:val="324"/>
                <w:rFonts w:hint="default"/>
                <w:lang w:val="en-US" w:eastAsia="zh-CN"/>
              </w:rPr>
            </w:pPr>
            <w:r>
              <w:rPr>
                <w:rStyle w:val="324"/>
                <w:rFonts w:hint="eastAsia"/>
                <w:lang w:val="en-US" w:eastAsia="zh-CN"/>
              </w:rPr>
              <w:t>3个</w:t>
            </w:r>
          </w:p>
        </w:tc>
      </w:tr>
    </w:tbl>
    <w:p w14:paraId="4232D51B">
      <w:pPr>
        <w:pStyle w:val="58"/>
        <w:spacing w:line="360" w:lineRule="auto"/>
        <w:ind w:firstLine="480"/>
        <w:rPr>
          <w:rFonts w:hint="eastAsia"/>
          <w:highlight w:val="none"/>
          <w:lang w:eastAsia="zh-CN"/>
        </w:rPr>
      </w:pPr>
      <w:r>
        <w:rPr>
          <w:rFonts w:hint="eastAsia"/>
          <w:highlight w:val="none"/>
          <w:lang w:val="en-US" w:eastAsia="zh-CN"/>
        </w:rPr>
        <w:t>若测量范围覆盖</w:t>
      </w:r>
      <w:r>
        <w:rPr>
          <w:rFonts w:hint="eastAsia"/>
          <w:highlight w:val="none"/>
        </w:rPr>
        <w:t>I类、II类和III类</w:t>
      </w:r>
      <w:r>
        <w:rPr>
          <w:rFonts w:hint="eastAsia"/>
          <w:highlight w:val="none"/>
          <w:lang w:val="en-US" w:eastAsia="zh-CN"/>
        </w:rPr>
        <w:t>测量范围</w:t>
      </w:r>
      <w:r>
        <w:rPr>
          <w:rFonts w:hint="eastAsia"/>
          <w:highlight w:val="none"/>
        </w:rPr>
        <w:t>，至少需要</w:t>
      </w:r>
      <w:r>
        <w:rPr>
          <w:rFonts w:hint="eastAsia"/>
          <w:highlight w:val="none"/>
          <w:lang w:val="en-US" w:eastAsia="zh-CN"/>
        </w:rPr>
        <w:t>9</w:t>
      </w:r>
      <w:r>
        <w:rPr>
          <w:rFonts w:hint="eastAsia"/>
          <w:highlight w:val="none"/>
        </w:rPr>
        <w:t>个标</w:t>
      </w:r>
      <w:r>
        <w:rPr>
          <w:rFonts w:hint="eastAsia"/>
          <w:highlight w:val="none"/>
          <w:lang w:val="en-US" w:eastAsia="zh-CN"/>
        </w:rPr>
        <w:t>准</w:t>
      </w:r>
      <w:r>
        <w:rPr>
          <w:rFonts w:hint="eastAsia"/>
          <w:highlight w:val="none"/>
        </w:rPr>
        <w:t>块</w:t>
      </w:r>
      <w:r>
        <w:rPr>
          <w:rFonts w:hint="eastAsia"/>
          <w:highlight w:val="none"/>
          <w:lang w:eastAsia="zh-CN"/>
        </w:rPr>
        <w:t>。</w:t>
      </w:r>
    </w:p>
    <w:p w14:paraId="341E74C2">
      <w:pPr>
        <w:pStyle w:val="58"/>
        <w:spacing w:line="360" w:lineRule="auto"/>
        <w:ind w:firstLine="480"/>
        <w:rPr>
          <w:rFonts w:hint="default" w:ascii="Arial" w:hAnsi="Arial" w:cs="Arial"/>
          <w:color w:val="000000"/>
          <w:kern w:val="0"/>
          <w:sz w:val="19"/>
          <w:szCs w:val="19"/>
          <w:lang w:val="en-US" w:eastAsia="zh-CN" w:bidi="ar"/>
        </w:rPr>
      </w:pPr>
      <w:r>
        <w:rPr>
          <w:rFonts w:hint="eastAsia" w:cs="Times New Roman"/>
          <w:b w:val="0"/>
          <w:bCs w:val="0"/>
          <w:i w:val="0"/>
          <w:iCs w:val="0"/>
          <w:highlight w:val="none"/>
          <w:lang w:val="en-US" w:eastAsia="zh-CN"/>
        </w:rPr>
        <w:t>注：该条对标准块（组）的要求参考</w:t>
      </w:r>
      <w:r>
        <w:rPr>
          <w:rFonts w:hint="eastAsia"/>
          <w:b w:val="0"/>
          <w:bCs w:val="0"/>
          <w:i w:val="0"/>
          <w:iCs w:val="0"/>
          <w:lang w:val="en-US" w:eastAsia="zh-CN"/>
        </w:rPr>
        <w:t>了BAC5651：</w:t>
      </w:r>
      <w:r>
        <w:rPr>
          <w:rFonts w:ascii="Arial" w:hAnsi="Arial" w:eastAsia="宋体" w:cs="Arial"/>
          <w:b w:val="0"/>
          <w:bCs w:val="0"/>
          <w:i w:val="0"/>
          <w:iCs w:val="0"/>
          <w:color w:val="000000"/>
          <w:kern w:val="0"/>
          <w:sz w:val="19"/>
          <w:szCs w:val="19"/>
          <w:lang w:val="en-US" w:eastAsia="zh-CN" w:bidi="ar"/>
        </w:rPr>
        <w:t>6.2.2.1</w:t>
      </w:r>
      <w:r>
        <w:rPr>
          <w:rFonts w:hint="eastAsia" w:ascii="Arial" w:hAnsi="Arial" w:cs="Arial"/>
          <w:b w:val="0"/>
          <w:bCs w:val="0"/>
          <w:i w:val="0"/>
          <w:iCs w:val="0"/>
          <w:color w:val="000000"/>
          <w:kern w:val="0"/>
          <w:sz w:val="19"/>
          <w:szCs w:val="19"/>
          <w:lang w:val="en-US" w:eastAsia="zh-CN" w:bidi="ar"/>
        </w:rPr>
        <w:t>条e（2）。如下图所示：</w:t>
      </w:r>
    </w:p>
    <w:p w14:paraId="58AD5FD3">
      <w:pPr>
        <w:pStyle w:val="58"/>
        <w:spacing w:line="360" w:lineRule="auto"/>
        <w:ind w:firstLine="480"/>
        <w:rPr>
          <w:rFonts w:hint="eastAsia" w:ascii="Arial" w:hAnsi="Arial" w:cs="Arial"/>
          <w:color w:val="000000"/>
          <w:kern w:val="0"/>
          <w:sz w:val="19"/>
          <w:szCs w:val="19"/>
          <w:lang w:val="en-US" w:eastAsia="zh-CN" w:bidi="ar"/>
        </w:rPr>
      </w:pPr>
      <w:r>
        <w:drawing>
          <wp:inline distT="0" distB="0" distL="114300" distR="114300">
            <wp:extent cx="5928360" cy="2439035"/>
            <wp:effectExtent l="0" t="0" r="8890" b="635"/>
            <wp:docPr id="22"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4"/>
                    <pic:cNvPicPr>
                      <a:picLocks noChangeAspect="1"/>
                    </pic:cNvPicPr>
                  </pic:nvPicPr>
                  <pic:blipFill>
                    <a:blip r:embed="rId29"/>
                    <a:stretch>
                      <a:fillRect/>
                    </a:stretch>
                  </pic:blipFill>
                  <pic:spPr>
                    <a:xfrm>
                      <a:off x="0" y="0"/>
                      <a:ext cx="5928360" cy="2439035"/>
                    </a:xfrm>
                    <a:prstGeom prst="rect">
                      <a:avLst/>
                    </a:prstGeom>
                    <a:noFill/>
                    <a:ln>
                      <a:noFill/>
                    </a:ln>
                  </pic:spPr>
                </pic:pic>
              </a:graphicData>
            </a:graphic>
          </wp:inline>
        </w:drawing>
      </w:r>
    </w:p>
    <w:p w14:paraId="639EE2A6">
      <w:pPr>
        <w:pStyle w:val="58"/>
        <w:spacing w:line="360" w:lineRule="auto"/>
        <w:ind w:firstLine="480"/>
        <w:rPr>
          <w:rFonts w:hint="default" w:ascii="Arial" w:hAnsi="Arial" w:cs="Arial"/>
          <w:color w:val="000000"/>
          <w:kern w:val="0"/>
          <w:sz w:val="19"/>
          <w:szCs w:val="19"/>
          <w:lang w:val="en-US" w:eastAsia="zh-CN" w:bidi="ar"/>
        </w:rPr>
      </w:pPr>
      <w:r>
        <w:rPr>
          <w:rFonts w:hint="default" w:ascii="Arial" w:hAnsi="Arial" w:cs="Arial"/>
          <w:color w:val="000000"/>
          <w:kern w:val="0"/>
          <w:sz w:val="19"/>
          <w:szCs w:val="19"/>
          <w:lang w:val="en-US" w:eastAsia="zh-CN" w:bidi="ar"/>
        </w:rPr>
        <w:t>对用于铝合金检测用的电导率仪，至少应包含以下三个标准块：其中一个标准值应在（25～32）% IACS 之间，另一个在（32～38）% IACS 之间，第三个在（38～72）% IACS 之间。</w:t>
      </w:r>
    </w:p>
    <w:p w14:paraId="258F2D62">
      <w:pPr>
        <w:pStyle w:val="58"/>
        <w:spacing w:line="360" w:lineRule="auto"/>
        <w:ind w:firstLine="480"/>
        <w:rPr>
          <w:rFonts w:hint="eastAsia" w:ascii="Arial" w:hAnsi="Arial" w:cs="Arial"/>
          <w:b w:val="0"/>
          <w:bCs w:val="0"/>
          <w:i w:val="0"/>
          <w:iCs w:val="0"/>
          <w:color w:val="000000"/>
          <w:kern w:val="0"/>
          <w:sz w:val="19"/>
          <w:szCs w:val="19"/>
          <w:lang w:val="en-US" w:eastAsia="zh-CN" w:bidi="ar"/>
        </w:rPr>
      </w:pPr>
      <w:r>
        <w:rPr>
          <w:rFonts w:hint="eastAsia" w:cs="Times New Roman"/>
          <w:b w:val="0"/>
          <w:bCs w:val="0"/>
          <w:i w:val="0"/>
          <w:iCs w:val="0"/>
          <w:highlight w:val="none"/>
          <w:lang w:val="en-US" w:eastAsia="zh-CN"/>
        </w:rPr>
        <w:t>注：该句对标准块（组）的要求参考</w:t>
      </w:r>
      <w:r>
        <w:rPr>
          <w:rFonts w:hint="eastAsia"/>
          <w:b w:val="0"/>
          <w:bCs w:val="0"/>
          <w:i w:val="0"/>
          <w:iCs w:val="0"/>
          <w:lang w:val="en-US" w:eastAsia="zh-CN"/>
        </w:rPr>
        <w:t>了MIL-STD-1537C：</w:t>
      </w:r>
      <w:r>
        <w:rPr>
          <w:rFonts w:hint="eastAsia" w:ascii="Arial" w:hAnsi="Arial" w:cs="Arial"/>
          <w:b w:val="0"/>
          <w:bCs w:val="0"/>
          <w:i w:val="0"/>
          <w:iCs w:val="0"/>
          <w:color w:val="000000"/>
          <w:kern w:val="0"/>
          <w:sz w:val="19"/>
          <w:szCs w:val="19"/>
          <w:lang w:val="en-US" w:eastAsia="zh-CN" w:bidi="ar"/>
        </w:rPr>
        <w:t>4.2 标准 4.2.1 实验室电导率标准要求：</w:t>
      </w:r>
    </w:p>
    <w:p w14:paraId="7887F8A5">
      <w:pPr>
        <w:pStyle w:val="58"/>
        <w:spacing w:line="360" w:lineRule="auto"/>
        <w:ind w:firstLine="480"/>
        <w:rPr>
          <w:rFonts w:hint="eastAsia" w:ascii="Arial" w:hAnsi="Arial" w:cs="Arial"/>
          <w:b w:val="0"/>
          <w:bCs w:val="0"/>
          <w:i w:val="0"/>
          <w:iCs w:val="0"/>
          <w:color w:val="000000"/>
          <w:kern w:val="0"/>
          <w:sz w:val="19"/>
          <w:szCs w:val="19"/>
          <w:lang w:val="en-US" w:eastAsia="zh-CN" w:bidi="ar"/>
        </w:rPr>
      </w:pPr>
      <w:r>
        <w:rPr>
          <w:rFonts w:hint="eastAsia" w:ascii="Arial" w:hAnsi="Arial" w:cs="Arial"/>
          <w:b w:val="0"/>
          <w:bCs w:val="0"/>
          <w:i w:val="0"/>
          <w:iCs w:val="0"/>
          <w:color w:val="000000"/>
          <w:kern w:val="0"/>
          <w:sz w:val="19"/>
          <w:szCs w:val="19"/>
          <w:lang w:val="en-US" w:eastAsia="zh-CN" w:bidi="ar"/>
        </w:rPr>
        <w:t>承包商或校准机构应维护至少三个经认证的铝合金实验室电导率标准块：其中一个标准值应在25%至32% IACS 之间，另一个在32%至38% IACS 之间，第三个在38%至72% IACS 之间。实验室电导率标准需通过涡流测量法与基准电导率标准进行比对来验证；采用该比对方法时，各标准值应在20°C（68°F）条件下与其标称值相差不超过 ±0.35 %IACS or ±1 %（取较小值）。校准工作须按照ASTM B193规程并在符合ANSI Z540-1要求的系统中进行；校准周期应基于客观证据表明其精度始终维持在 ±0.35 %IACS or ±1 %值差的较小范围内。实验室电导率标准的重新校准间隔不应超过12个月。</w:t>
      </w:r>
    </w:p>
    <w:p w14:paraId="421C23F0">
      <w:pPr>
        <w:pStyle w:val="58"/>
        <w:spacing w:line="360" w:lineRule="auto"/>
        <w:ind w:firstLine="480"/>
        <w:rPr>
          <w:rFonts w:hint="eastAsia" w:ascii="Arial" w:hAnsi="Arial" w:cs="Arial"/>
          <w:b w:val="0"/>
          <w:bCs w:val="0"/>
          <w:i w:val="0"/>
          <w:iCs w:val="0"/>
          <w:color w:val="000000"/>
          <w:kern w:val="0"/>
          <w:sz w:val="19"/>
          <w:szCs w:val="19"/>
          <w:lang w:val="en-US" w:eastAsia="zh-CN" w:bidi="ar"/>
        </w:rPr>
      </w:pPr>
      <w:r>
        <w:rPr>
          <w:rFonts w:hint="eastAsia" w:ascii="Arial" w:hAnsi="Arial" w:cs="Arial"/>
          <w:b w:val="0"/>
          <w:bCs w:val="0"/>
          <w:i w:val="0"/>
          <w:iCs w:val="0"/>
          <w:color w:val="000000"/>
          <w:kern w:val="0"/>
          <w:sz w:val="19"/>
          <w:szCs w:val="19"/>
          <w:lang w:val="en-US" w:eastAsia="zh-CN" w:bidi="ar"/>
        </w:rPr>
        <w:t>如下图所示：</w:t>
      </w:r>
    </w:p>
    <w:p w14:paraId="758792E6">
      <w:pPr>
        <w:pStyle w:val="58"/>
        <w:spacing w:line="360" w:lineRule="auto"/>
        <w:ind w:firstLine="480"/>
        <w:rPr>
          <w:rFonts w:hint="default" w:ascii="Arial" w:hAnsi="Arial" w:cs="Arial"/>
          <w:color w:val="000000"/>
          <w:kern w:val="0"/>
          <w:sz w:val="19"/>
          <w:szCs w:val="19"/>
          <w:lang w:val="en-US" w:eastAsia="zh-CN" w:bidi="ar"/>
        </w:rPr>
      </w:pPr>
      <w:r>
        <w:drawing>
          <wp:inline distT="0" distB="0" distL="114300" distR="114300">
            <wp:extent cx="5398770" cy="2138680"/>
            <wp:effectExtent l="0" t="0" r="9525" b="9525"/>
            <wp:docPr id="2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5"/>
                    <pic:cNvPicPr>
                      <a:picLocks noChangeAspect="1"/>
                    </pic:cNvPicPr>
                  </pic:nvPicPr>
                  <pic:blipFill>
                    <a:blip r:embed="rId30"/>
                    <a:stretch>
                      <a:fillRect/>
                    </a:stretch>
                  </pic:blipFill>
                  <pic:spPr>
                    <a:xfrm>
                      <a:off x="0" y="0"/>
                      <a:ext cx="5398770" cy="2138680"/>
                    </a:xfrm>
                    <a:prstGeom prst="rect">
                      <a:avLst/>
                    </a:prstGeom>
                    <a:noFill/>
                    <a:ln>
                      <a:noFill/>
                    </a:ln>
                  </pic:spPr>
                </pic:pic>
              </a:graphicData>
            </a:graphic>
          </wp:inline>
        </w:drawing>
      </w:r>
    </w:p>
    <w:bookmarkEnd w:id="42"/>
    <w:bookmarkEnd w:id="43"/>
    <w:bookmarkEnd w:id="44"/>
    <w:bookmarkEnd w:id="45"/>
    <w:p w14:paraId="369EE346">
      <w:pPr>
        <w:pStyle w:val="59"/>
        <w:numPr>
          <w:ilvl w:val="3"/>
          <w:numId w:val="0"/>
        </w:numPr>
        <w:tabs>
          <w:tab w:val="left" w:pos="420"/>
        </w:tabs>
        <w:bidi w:val="0"/>
        <w:ind w:leftChars="0"/>
        <w:rPr>
          <w:rFonts w:hint="default"/>
          <w:lang w:val="en-US" w:eastAsia="zh-CN"/>
        </w:rPr>
      </w:pPr>
      <w:bookmarkStart w:id="46" w:name="_Toc193860185"/>
      <w:bookmarkStart w:id="47" w:name="_Toc500258944"/>
      <w:bookmarkStart w:id="48" w:name="_Toc193860216"/>
      <w:bookmarkStart w:id="49" w:name="_Toc2741_WPSOffice_Level1"/>
      <w:bookmarkStart w:id="50" w:name="_Toc193618955"/>
      <w:bookmarkStart w:id="51" w:name="_Toc193860035"/>
      <w:bookmarkStart w:id="52" w:name="_Toc193619100"/>
      <w:bookmarkStart w:id="53" w:name="_Toc193619058"/>
      <w:r>
        <w:rPr>
          <w:rFonts w:hint="eastAsia"/>
          <w:lang w:val="en-US" w:eastAsia="zh-CN"/>
        </w:rPr>
        <w:t>6.2.2非导电材料</w:t>
      </w:r>
    </w:p>
    <w:p w14:paraId="1798E438">
      <w:pPr>
        <w:pStyle w:val="58"/>
        <w:rPr>
          <w:rFonts w:hint="eastAsia"/>
          <w:lang w:val="en-US" w:eastAsia="zh-CN"/>
        </w:rPr>
      </w:pPr>
      <w:r>
        <w:rPr>
          <w:rFonts w:hint="eastAsia"/>
          <w:lang w:val="en-US" w:eastAsia="zh-CN"/>
        </w:rPr>
        <w:t>厚度不小于0.08mm的聚四氟乙烯薄膜或其他非导电耐磨薄膜。</w:t>
      </w:r>
    </w:p>
    <w:p w14:paraId="4E25AD4A">
      <w:pPr>
        <w:pStyle w:val="58"/>
        <w:rPr>
          <w:rFonts w:hint="default"/>
          <w:lang w:val="en-US" w:eastAsia="zh-CN"/>
        </w:rPr>
      </w:pPr>
      <w:r>
        <w:rPr>
          <w:rFonts w:hint="eastAsia"/>
          <w:b w:val="0"/>
          <w:bCs w:val="0"/>
          <w:i w:val="0"/>
          <w:iCs w:val="0"/>
          <w:highlight w:val="none"/>
          <w:lang w:val="en-US" w:eastAsia="zh-CN"/>
        </w:rPr>
        <w:t>注：该条引用了JJG（民航）0092-2006 涡流电导率测试仪检定规程的6.1.3。如下图所示：</w:t>
      </w:r>
    </w:p>
    <w:p w14:paraId="50EC195E">
      <w:pPr>
        <w:pStyle w:val="58"/>
        <w:rPr>
          <w:rFonts w:hint="default"/>
          <w:lang w:val="en-US" w:eastAsia="zh-CN"/>
        </w:rPr>
      </w:pPr>
      <w:r>
        <w:drawing>
          <wp:inline distT="0" distB="0" distL="114300" distR="114300">
            <wp:extent cx="4104640" cy="384810"/>
            <wp:effectExtent l="0" t="0" r="8255" b="3810"/>
            <wp:docPr id="25"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0"/>
                    <pic:cNvPicPr>
                      <a:picLocks noChangeAspect="1"/>
                    </pic:cNvPicPr>
                  </pic:nvPicPr>
                  <pic:blipFill>
                    <a:blip r:embed="rId31"/>
                    <a:stretch>
                      <a:fillRect/>
                    </a:stretch>
                  </pic:blipFill>
                  <pic:spPr>
                    <a:xfrm>
                      <a:off x="0" y="0"/>
                      <a:ext cx="4104640" cy="384810"/>
                    </a:xfrm>
                    <a:prstGeom prst="rect">
                      <a:avLst/>
                    </a:prstGeom>
                    <a:noFill/>
                    <a:ln>
                      <a:noFill/>
                    </a:ln>
                  </pic:spPr>
                </pic:pic>
              </a:graphicData>
            </a:graphic>
          </wp:inline>
        </w:drawing>
      </w:r>
    </w:p>
    <w:p w14:paraId="3EB1E5BE">
      <w:pPr>
        <w:pStyle w:val="4"/>
        <w:spacing w:before="156" w:after="156"/>
        <w:rPr>
          <w:b w:val="0"/>
          <w:bCs w:val="0"/>
        </w:rPr>
      </w:pPr>
      <w:r>
        <w:rPr>
          <w:rFonts w:hint="eastAsia"/>
          <w:b w:val="0"/>
          <w:bCs w:val="0"/>
          <w:lang w:val="en-US" w:eastAsia="zh-CN"/>
        </w:rPr>
        <w:t>7</w:t>
      </w:r>
      <w:r>
        <w:rPr>
          <w:rFonts w:hint="eastAsia"/>
          <w:b w:val="0"/>
          <w:bCs w:val="0"/>
        </w:rPr>
        <w:t xml:space="preserve"> 校准项目和校准方法</w:t>
      </w:r>
      <w:bookmarkEnd w:id="46"/>
      <w:bookmarkEnd w:id="47"/>
      <w:bookmarkEnd w:id="48"/>
      <w:bookmarkEnd w:id="49"/>
      <w:bookmarkEnd w:id="50"/>
      <w:bookmarkEnd w:id="51"/>
      <w:bookmarkEnd w:id="52"/>
      <w:bookmarkEnd w:id="53"/>
    </w:p>
    <w:p w14:paraId="49C77567">
      <w:pPr>
        <w:adjustRightInd w:val="0"/>
        <w:snapToGrid w:val="0"/>
        <w:spacing w:line="360" w:lineRule="auto"/>
        <w:ind w:firstLine="420" w:firstLineChars="200"/>
        <w:rPr>
          <w:rFonts w:hint="eastAsia" w:hAnsi="宋体"/>
          <w:bCs/>
          <w:szCs w:val="21"/>
        </w:rPr>
      </w:pPr>
      <w:bookmarkStart w:id="54" w:name="_Toc500258945"/>
      <w:bookmarkStart w:id="55" w:name="_Toc22718_WPSOffice_Level2"/>
      <w:r>
        <w:rPr>
          <w:rFonts w:hint="eastAsia" w:hAnsi="宋体"/>
          <w:bCs/>
          <w:szCs w:val="21"/>
        </w:rPr>
        <w:t>规范对</w:t>
      </w:r>
      <w:r>
        <w:rPr>
          <w:rFonts w:hint="eastAsia" w:hAnsi="宋体"/>
          <w:bCs/>
          <w:szCs w:val="21"/>
          <w:lang w:val="en-US" w:eastAsia="zh-CN"/>
        </w:rPr>
        <w:t>电导率仪</w:t>
      </w:r>
      <w:r>
        <w:rPr>
          <w:rFonts w:hint="eastAsia" w:hAnsi="宋体"/>
          <w:bCs/>
          <w:szCs w:val="21"/>
        </w:rPr>
        <w:t>校准点的选择进行了描述，规范对</w:t>
      </w:r>
      <w:r>
        <w:rPr>
          <w:rFonts w:hint="eastAsia" w:hAnsi="宋体"/>
          <w:bCs/>
          <w:szCs w:val="21"/>
          <w:lang w:val="en-US" w:eastAsia="zh-CN"/>
        </w:rPr>
        <w:t>电导率仪</w:t>
      </w:r>
      <w:r>
        <w:rPr>
          <w:rFonts w:hint="eastAsia" w:hAnsi="宋体"/>
          <w:bCs/>
          <w:szCs w:val="21"/>
        </w:rPr>
        <w:t>计量特性</w:t>
      </w:r>
      <w:r>
        <w:rPr>
          <w:rFonts w:hint="eastAsia"/>
        </w:rPr>
        <w:t>示值误差、垫膜示值误差、重复性、灵敏度、提离效应、稳定性</w:t>
      </w:r>
      <w:r>
        <w:rPr>
          <w:rFonts w:hint="eastAsia" w:hAnsi="宋体"/>
          <w:bCs/>
          <w:szCs w:val="21"/>
        </w:rPr>
        <w:t>、减小探头上操作压力的响应变化、探头垂直方向倾斜20度的响应变化的校准方法进行了详细描述。规范能较好地指导校准人员对</w:t>
      </w:r>
      <w:r>
        <w:rPr>
          <w:rFonts w:hint="eastAsia" w:hAnsi="宋体"/>
          <w:bCs/>
          <w:szCs w:val="21"/>
          <w:lang w:val="en-US" w:eastAsia="zh-CN"/>
        </w:rPr>
        <w:t>电导率仪</w:t>
      </w:r>
      <w:r>
        <w:rPr>
          <w:rFonts w:hint="eastAsia" w:hAnsi="宋体"/>
          <w:bCs/>
          <w:szCs w:val="21"/>
        </w:rPr>
        <w:t>进行校准，具有较强的可操作性。</w:t>
      </w:r>
    </w:p>
    <w:p w14:paraId="03EFBFEC">
      <w:pPr>
        <w:adjustRightInd w:val="0"/>
        <w:snapToGrid w:val="0"/>
        <w:spacing w:line="360" w:lineRule="auto"/>
        <w:rPr>
          <w:rFonts w:hint="eastAsia" w:hAnsi="宋体"/>
          <w:bCs/>
          <w:szCs w:val="21"/>
        </w:rPr>
      </w:pPr>
      <w:r>
        <w:rPr>
          <w:rFonts w:hint="eastAsia" w:hAnsi="宋体"/>
          <w:bCs/>
          <w:szCs w:val="21"/>
          <w:lang w:val="en-US" w:eastAsia="zh-CN"/>
        </w:rPr>
        <w:t>7</w:t>
      </w:r>
      <w:r>
        <w:rPr>
          <w:rFonts w:hint="eastAsia" w:hAnsi="宋体"/>
          <w:bCs/>
          <w:szCs w:val="21"/>
        </w:rPr>
        <w:t>.1 校准项目</w:t>
      </w:r>
    </w:p>
    <w:p w14:paraId="1FA2697F">
      <w:pPr>
        <w:adjustRightInd w:val="0"/>
        <w:snapToGrid w:val="0"/>
        <w:spacing w:line="360" w:lineRule="auto"/>
        <w:ind w:firstLine="420" w:firstLineChars="200"/>
        <w:rPr>
          <w:rFonts w:hint="eastAsia" w:hAnsi="宋体"/>
          <w:bCs/>
          <w:szCs w:val="21"/>
        </w:rPr>
      </w:pPr>
      <w:r>
        <w:rPr>
          <w:rFonts w:hint="eastAsia"/>
        </w:rPr>
        <w:t>校准项目有示值误差、垫膜示值误差、重复性、灵敏度、提离效应、稳定性和探头性能</w:t>
      </w:r>
      <w:r>
        <w:rPr>
          <w:rFonts w:hint="eastAsia" w:hAnsi="宋体"/>
          <w:bCs/>
          <w:szCs w:val="21"/>
        </w:rPr>
        <w:t>。</w:t>
      </w:r>
    </w:p>
    <w:p w14:paraId="34B5FFC9">
      <w:pPr>
        <w:adjustRightInd w:val="0"/>
        <w:snapToGrid w:val="0"/>
        <w:spacing w:line="360" w:lineRule="auto"/>
        <w:rPr>
          <w:rFonts w:hint="eastAsia" w:hAnsi="宋体"/>
          <w:bCs/>
          <w:szCs w:val="21"/>
        </w:rPr>
      </w:pPr>
      <w:r>
        <w:rPr>
          <w:rFonts w:hint="eastAsia" w:hAnsi="宋体"/>
          <w:bCs/>
          <w:szCs w:val="21"/>
          <w:lang w:val="en-US" w:eastAsia="zh-CN"/>
        </w:rPr>
        <w:t>7</w:t>
      </w:r>
      <w:r>
        <w:rPr>
          <w:rFonts w:hint="eastAsia" w:hAnsi="宋体"/>
          <w:bCs/>
          <w:szCs w:val="21"/>
        </w:rPr>
        <w:t>.2 校准方法</w:t>
      </w:r>
    </w:p>
    <w:bookmarkEnd w:id="54"/>
    <w:bookmarkEnd w:id="55"/>
    <w:p w14:paraId="1232FCA7">
      <w:pPr>
        <w:adjustRightInd w:val="0"/>
        <w:snapToGrid w:val="0"/>
        <w:spacing w:line="360" w:lineRule="auto"/>
        <w:rPr>
          <w:rFonts w:hint="eastAsia"/>
          <w:lang w:val="en-US" w:eastAsia="zh-CN"/>
        </w:rPr>
      </w:pPr>
      <w:bookmarkStart w:id="56" w:name="_Toc193860038"/>
      <w:bookmarkStart w:id="57" w:name="_Toc193619101"/>
      <w:bookmarkStart w:id="58" w:name="_Toc193860188"/>
      <w:bookmarkStart w:id="59" w:name="_Toc193860219"/>
      <w:bookmarkStart w:id="60" w:name="_Toc193619059"/>
      <w:bookmarkStart w:id="61" w:name="_Toc193618956"/>
      <w:bookmarkStart w:id="62" w:name="_Toc500258947"/>
      <w:bookmarkStart w:id="63" w:name="_Toc25466_WPSOffice_Level1"/>
      <w:r>
        <w:rPr>
          <w:rFonts w:hint="eastAsia"/>
          <w:lang w:val="en-US" w:eastAsia="zh-CN"/>
        </w:rPr>
        <w:t>7.2.1校准前准备工作</w:t>
      </w:r>
    </w:p>
    <w:p w14:paraId="274EF989">
      <w:pPr>
        <w:pStyle w:val="58"/>
        <w:spacing w:line="360" w:lineRule="auto"/>
        <w:rPr>
          <w:rFonts w:hint="eastAsia"/>
          <w:lang w:val="en-US" w:eastAsia="zh-CN"/>
        </w:rPr>
      </w:pPr>
      <w:r>
        <w:rPr>
          <w:rFonts w:hint="eastAsia"/>
          <w:lang w:val="en-US" w:eastAsia="zh-CN"/>
        </w:rPr>
        <w:t>须将被校电导率仪和探头作为一套装置一并予以校准。连接好被校电导率仪、探头，与标准块置于同一恒温环境中至少30min。在校准过程期间，应确保电导率仪、探头、标准块和环境温度之间的温差不大于±1℃。</w:t>
      </w:r>
    </w:p>
    <w:p w14:paraId="5054096A">
      <w:pPr>
        <w:pStyle w:val="58"/>
        <w:spacing w:line="360" w:lineRule="auto"/>
        <w:rPr>
          <w:rFonts w:hint="eastAsia"/>
          <w:b w:val="0"/>
          <w:bCs w:val="0"/>
          <w:i w:val="0"/>
          <w:iCs w:val="0"/>
          <w:lang w:val="en-US" w:eastAsia="zh-CN"/>
        </w:rPr>
      </w:pPr>
      <w:r>
        <w:rPr>
          <w:rFonts w:hint="eastAsia"/>
          <w:b w:val="0"/>
          <w:bCs w:val="0"/>
          <w:i w:val="0"/>
          <w:iCs w:val="0"/>
          <w:lang w:val="en-US" w:eastAsia="zh-CN"/>
        </w:rPr>
        <w:t>注：该条引用自BAS5651的6.3.3探头认证a条、6.2.2.1直直读式仪器认证a条、JJF1692-2018的7.2.2.1校准前准备，如下图所示：</w:t>
      </w:r>
    </w:p>
    <w:p w14:paraId="40B3C0B3">
      <w:pPr>
        <w:pStyle w:val="58"/>
        <w:spacing w:line="360" w:lineRule="auto"/>
        <w:rPr>
          <w:rFonts w:hint="default"/>
          <w:b w:val="0"/>
          <w:bCs w:val="0"/>
          <w:i w:val="0"/>
          <w:iCs w:val="0"/>
          <w:lang w:val="en-US" w:eastAsia="zh-CN"/>
        </w:rPr>
      </w:pPr>
      <w:r>
        <w:drawing>
          <wp:inline distT="0" distB="0" distL="114300" distR="114300">
            <wp:extent cx="5938520" cy="779780"/>
            <wp:effectExtent l="0" t="0" r="5080" b="7620"/>
            <wp:docPr id="2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3"/>
                    <pic:cNvPicPr>
                      <a:picLocks noChangeAspect="1"/>
                    </pic:cNvPicPr>
                  </pic:nvPicPr>
                  <pic:blipFill>
                    <a:blip r:embed="rId32"/>
                    <a:stretch>
                      <a:fillRect/>
                    </a:stretch>
                  </pic:blipFill>
                  <pic:spPr>
                    <a:xfrm>
                      <a:off x="0" y="0"/>
                      <a:ext cx="5938520" cy="779780"/>
                    </a:xfrm>
                    <a:prstGeom prst="rect">
                      <a:avLst/>
                    </a:prstGeom>
                    <a:noFill/>
                    <a:ln>
                      <a:noFill/>
                    </a:ln>
                  </pic:spPr>
                </pic:pic>
              </a:graphicData>
            </a:graphic>
          </wp:inline>
        </w:drawing>
      </w:r>
    </w:p>
    <w:p w14:paraId="66151C83">
      <w:pPr>
        <w:pStyle w:val="58"/>
        <w:spacing w:line="360" w:lineRule="auto"/>
      </w:pPr>
      <w:r>
        <w:drawing>
          <wp:inline distT="0" distB="0" distL="114300" distR="114300">
            <wp:extent cx="4740910" cy="630555"/>
            <wp:effectExtent l="0" t="0" r="8890" b="6350"/>
            <wp:docPr id="29"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8"/>
                    <pic:cNvPicPr>
                      <a:picLocks noChangeAspect="1"/>
                    </pic:cNvPicPr>
                  </pic:nvPicPr>
                  <pic:blipFill>
                    <a:blip r:embed="rId33"/>
                    <a:stretch>
                      <a:fillRect/>
                    </a:stretch>
                  </pic:blipFill>
                  <pic:spPr>
                    <a:xfrm>
                      <a:off x="0" y="0"/>
                      <a:ext cx="4740910" cy="630555"/>
                    </a:xfrm>
                    <a:prstGeom prst="rect">
                      <a:avLst/>
                    </a:prstGeom>
                    <a:noFill/>
                    <a:ln>
                      <a:noFill/>
                    </a:ln>
                  </pic:spPr>
                </pic:pic>
              </a:graphicData>
            </a:graphic>
          </wp:inline>
        </w:drawing>
      </w:r>
    </w:p>
    <w:p w14:paraId="0C8570AC">
      <w:pPr>
        <w:pStyle w:val="58"/>
        <w:spacing w:line="360" w:lineRule="auto"/>
        <w:rPr>
          <w:rFonts w:hint="eastAsia"/>
          <w:lang w:val="en-US" w:eastAsia="zh-CN"/>
        </w:rPr>
      </w:pPr>
      <w:r>
        <w:drawing>
          <wp:inline distT="0" distB="0" distL="114300" distR="114300">
            <wp:extent cx="5928995" cy="1538605"/>
            <wp:effectExtent l="0" t="0" r="1905" b="10795"/>
            <wp:docPr id="3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3"/>
                    <pic:cNvPicPr>
                      <a:picLocks noChangeAspect="1"/>
                    </pic:cNvPicPr>
                  </pic:nvPicPr>
                  <pic:blipFill>
                    <a:blip r:embed="rId34"/>
                    <a:stretch>
                      <a:fillRect/>
                    </a:stretch>
                  </pic:blipFill>
                  <pic:spPr>
                    <a:xfrm>
                      <a:off x="0" y="0"/>
                      <a:ext cx="5928995" cy="1538605"/>
                    </a:xfrm>
                    <a:prstGeom prst="rect">
                      <a:avLst/>
                    </a:prstGeom>
                    <a:noFill/>
                    <a:ln>
                      <a:noFill/>
                    </a:ln>
                  </pic:spPr>
                </pic:pic>
              </a:graphicData>
            </a:graphic>
          </wp:inline>
        </w:drawing>
      </w:r>
    </w:p>
    <w:p w14:paraId="4577D998">
      <w:pPr>
        <w:pStyle w:val="58"/>
        <w:spacing w:line="360" w:lineRule="auto"/>
        <w:rPr>
          <w:rFonts w:hint="eastAsia"/>
          <w:lang w:val="en-US" w:eastAsia="zh-CN"/>
        </w:rPr>
      </w:pPr>
      <w:r>
        <w:rPr>
          <w:rFonts w:hint="eastAsia"/>
          <w:lang w:val="en-US" w:eastAsia="zh-CN"/>
        </w:rPr>
        <w:t>校准时一般选择测量频率为60kHz，若电导率仪使用了其它的频率，在该频率下，电导率仪所有的计量特性都需校准。</w:t>
      </w:r>
    </w:p>
    <w:p w14:paraId="44B073E8">
      <w:pPr>
        <w:pStyle w:val="58"/>
        <w:spacing w:line="360" w:lineRule="auto"/>
        <w:rPr>
          <w:rFonts w:hint="default"/>
          <w:lang w:val="en-US" w:eastAsia="zh-CN"/>
        </w:rPr>
      </w:pPr>
      <w:r>
        <w:rPr>
          <w:rFonts w:hint="eastAsia"/>
          <w:lang w:val="en-US" w:eastAsia="zh-CN"/>
        </w:rPr>
        <w:t>注：</w:t>
      </w:r>
      <w:r>
        <w:rPr>
          <w:rFonts w:hint="eastAsia"/>
          <w:b w:val="0"/>
          <w:bCs w:val="0"/>
          <w:i w:val="0"/>
          <w:iCs w:val="0"/>
          <w:lang w:val="en-US" w:eastAsia="zh-CN"/>
        </w:rPr>
        <w:t>该条引用自BAS5651的6.2.2.1直读式仪器认证e（3）条</w:t>
      </w:r>
    </w:p>
    <w:p w14:paraId="1C58202D">
      <w:pPr>
        <w:pStyle w:val="58"/>
        <w:spacing w:line="360" w:lineRule="auto"/>
        <w:rPr>
          <w:rFonts w:hint="default"/>
          <w:lang w:val="en-US" w:eastAsia="zh-CN"/>
        </w:rPr>
      </w:pPr>
      <w:r>
        <w:drawing>
          <wp:inline distT="0" distB="0" distL="114300" distR="114300">
            <wp:extent cx="5936615" cy="870585"/>
            <wp:effectExtent l="0" t="0" r="6985" b="5715"/>
            <wp:docPr id="3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4"/>
                    <pic:cNvPicPr>
                      <a:picLocks noChangeAspect="1"/>
                    </pic:cNvPicPr>
                  </pic:nvPicPr>
                  <pic:blipFill>
                    <a:blip r:embed="rId35"/>
                    <a:stretch>
                      <a:fillRect/>
                    </a:stretch>
                  </pic:blipFill>
                  <pic:spPr>
                    <a:xfrm>
                      <a:off x="0" y="0"/>
                      <a:ext cx="5936615" cy="870585"/>
                    </a:xfrm>
                    <a:prstGeom prst="rect">
                      <a:avLst/>
                    </a:prstGeom>
                    <a:noFill/>
                    <a:ln>
                      <a:noFill/>
                    </a:ln>
                  </pic:spPr>
                </pic:pic>
              </a:graphicData>
            </a:graphic>
          </wp:inline>
        </w:drawing>
      </w:r>
    </w:p>
    <w:p w14:paraId="58F2562D">
      <w:pPr>
        <w:adjustRightInd w:val="0"/>
        <w:snapToGrid w:val="0"/>
        <w:spacing w:line="360" w:lineRule="auto"/>
        <w:rPr>
          <w:rFonts w:hint="eastAsia"/>
          <w:lang w:val="en-US" w:eastAsia="zh-CN"/>
        </w:rPr>
      </w:pPr>
      <w:r>
        <w:rPr>
          <w:rFonts w:hint="eastAsia"/>
          <w:lang w:val="en-US" w:eastAsia="zh-CN"/>
        </w:rPr>
        <w:t>7.2.2示值误差</w:t>
      </w:r>
    </w:p>
    <w:p w14:paraId="7E7389E1">
      <w:pPr>
        <w:pStyle w:val="58"/>
        <w:spacing w:line="360" w:lineRule="auto"/>
        <w:ind w:firstLine="0" w:firstLineChars="0"/>
        <w:rPr>
          <w:rFonts w:hint="eastAsia"/>
          <w:lang w:val="en-US" w:eastAsia="zh-CN"/>
        </w:rPr>
      </w:pPr>
      <w:r>
        <w:rPr>
          <w:rFonts w:hint="eastAsia"/>
          <w:lang w:val="en-US" w:eastAsia="zh-CN"/>
        </w:rPr>
        <w:t>7.2.2.1 自校准</w:t>
      </w:r>
    </w:p>
    <w:p w14:paraId="34FA1BDB">
      <w:pPr>
        <w:pStyle w:val="58"/>
        <w:spacing w:line="360" w:lineRule="auto"/>
        <w:ind w:firstLine="480" w:firstLineChars="0"/>
        <w:rPr>
          <w:rFonts w:hint="default"/>
          <w:highlight w:val="yellow"/>
          <w:lang w:val="en-US" w:eastAsia="zh-CN"/>
        </w:rPr>
      </w:pPr>
      <w:r>
        <w:rPr>
          <w:rFonts w:hint="eastAsia"/>
          <w:lang w:val="en-US" w:eastAsia="zh-CN"/>
        </w:rPr>
        <w:t>参照电导率仪说明书中自校要求设定仪器自校程序，探头垂直按压于自校标准块表面中心位置，使得标准块按压范围内受力均匀且不变形，保证探头与标准块表面贴合，执行校准程序。如仪器自带多个自校标准块，按以上步骤重复自校程序，完成仪器的自校准，并保存自校结果。</w:t>
      </w:r>
    </w:p>
    <w:p w14:paraId="45FE26EF">
      <w:pPr>
        <w:pStyle w:val="58"/>
        <w:spacing w:line="360" w:lineRule="auto"/>
        <w:ind w:firstLine="0" w:firstLineChars="0"/>
        <w:rPr>
          <w:rFonts w:hint="default"/>
          <w:lang w:val="en-US" w:eastAsia="zh-CN"/>
        </w:rPr>
      </w:pPr>
      <w:r>
        <w:rPr>
          <w:rFonts w:hint="eastAsia"/>
          <w:lang w:val="en-US" w:eastAsia="zh-CN"/>
        </w:rPr>
        <w:t>7.2.2.2 校准过程</w:t>
      </w:r>
    </w:p>
    <w:p w14:paraId="48922CC2">
      <w:pPr>
        <w:pStyle w:val="58"/>
        <w:spacing w:line="360" w:lineRule="auto"/>
        <w:ind w:firstLine="480" w:firstLineChars="0"/>
        <w:rPr>
          <w:rFonts w:hint="eastAsia"/>
          <w:highlight w:val="none"/>
          <w:lang w:val="en-US" w:eastAsia="zh-CN"/>
        </w:rPr>
      </w:pPr>
      <w:r>
        <w:rPr>
          <w:rFonts w:hint="eastAsia"/>
          <w:highlight w:val="none"/>
          <w:lang w:val="en-US" w:eastAsia="zh-CN"/>
        </w:rPr>
        <w:t>被校电导率仪完成自校准后，应立即开始电导率仪示值误差校准。根据电导率仪测量范围，按6.2.1要求选取标准块。将探头垂直适度按压于标准块表面中心位置，偏差不应大于6.35mm，使探头与标准块表面均匀贴合，待被校涡流电导率仪示值稳定，读取仪器显示值并进行记录，分别记作</w:t>
      </w:r>
      <m:oMath>
        <m:sSub>
          <m:sSubPr>
            <m:ctrlPr>
              <w:rPr>
                <w:rFonts w:ascii="Cambria Math" w:hAnsi="Cambria Math"/>
                <w:highlight w:val="none"/>
                <w:lang w:val="en-US"/>
              </w:rPr>
            </m:ctrlPr>
          </m:sSubPr>
          <m:e>
            <m:r>
              <m:rPr>
                <m:sty m:val="p"/>
              </m:rPr>
              <w:rPr>
                <w:rFonts w:ascii="Cambria Math" w:hAnsi="Cambria Math"/>
                <w:highlight w:val="none"/>
                <w:lang w:val="en-US"/>
              </w:rPr>
              <m:t>σ</m:t>
            </m:r>
            <m:ctrlPr>
              <w:rPr>
                <w:rFonts w:ascii="Cambria Math" w:hAnsi="Cambria Math"/>
                <w:highlight w:val="none"/>
                <w:lang w:val="en-US"/>
              </w:rPr>
            </m:ctrlPr>
          </m:e>
          <m:sub>
            <m:r>
              <m:rPr>
                <m:sty m:val="p"/>
              </m:rPr>
              <w:rPr>
                <w:rFonts w:hint="default" w:ascii="Cambria Math" w:hAnsi="Cambria Math"/>
                <w:highlight w:val="none"/>
                <w:lang w:val="en-US" w:eastAsia="zh-CN"/>
              </w:rPr>
              <m:t>1</m:t>
            </m:r>
            <m:ctrlPr>
              <w:rPr>
                <w:rFonts w:ascii="Cambria Math" w:hAnsi="Cambria Math"/>
                <w:highlight w:val="none"/>
                <w:lang w:val="en-US"/>
              </w:rPr>
            </m:ctrlPr>
          </m:sub>
        </m:sSub>
      </m:oMath>
      <w:r>
        <w:rPr>
          <w:rFonts w:hint="eastAsia" w:hAnsi="Cambria Math"/>
          <w:i w:val="0"/>
          <w:highlight w:val="none"/>
          <w:lang w:val="en-US" w:eastAsia="zh-CN"/>
        </w:rPr>
        <w:t>、</w:t>
      </w:r>
      <m:oMath>
        <m:sSub>
          <m:sSubPr>
            <m:ctrlPr>
              <w:rPr>
                <w:rFonts w:ascii="Cambria Math" w:hAnsi="Cambria Math"/>
                <w:highlight w:val="none"/>
                <w:lang w:val="en-US"/>
              </w:rPr>
            </m:ctrlPr>
          </m:sSubPr>
          <m:e>
            <m:r>
              <m:rPr>
                <m:sty m:val="p"/>
              </m:rPr>
              <w:rPr>
                <w:rFonts w:ascii="Cambria Math" w:hAnsi="Cambria Math"/>
                <w:highlight w:val="none"/>
                <w:lang w:val="en-US"/>
              </w:rPr>
              <m:t>σ</m:t>
            </m:r>
            <m:ctrlPr>
              <w:rPr>
                <w:rFonts w:ascii="Cambria Math" w:hAnsi="Cambria Math"/>
                <w:highlight w:val="none"/>
                <w:lang w:val="en-US"/>
              </w:rPr>
            </m:ctrlPr>
          </m:e>
          <m:sub>
            <m:r>
              <m:rPr>
                <m:sty m:val="p"/>
              </m:rPr>
              <w:rPr>
                <w:rFonts w:hint="default" w:ascii="Cambria Math" w:hAnsi="Cambria Math"/>
                <w:highlight w:val="none"/>
                <w:lang w:val="en-US" w:eastAsia="zh-CN"/>
              </w:rPr>
              <m:t>2</m:t>
            </m:r>
            <m:ctrlPr>
              <w:rPr>
                <w:rFonts w:ascii="Cambria Math" w:hAnsi="Cambria Math"/>
                <w:highlight w:val="none"/>
                <w:lang w:val="en-US"/>
              </w:rPr>
            </m:ctrlPr>
          </m:sub>
        </m:sSub>
      </m:oMath>
      <w:r>
        <w:rPr>
          <w:rFonts w:hint="eastAsia" w:hAnsi="Cambria Math"/>
          <w:i w:val="0"/>
          <w:highlight w:val="none"/>
          <w:lang w:val="en-US" w:eastAsia="zh-CN"/>
        </w:rPr>
        <w:t>、</w:t>
      </w:r>
      <m:oMath>
        <m:sSub>
          <m:sSubPr>
            <m:ctrlPr>
              <w:rPr>
                <w:rFonts w:ascii="Cambria Math" w:hAnsi="Cambria Math"/>
                <w:highlight w:val="none"/>
                <w:lang w:val="en-US"/>
              </w:rPr>
            </m:ctrlPr>
          </m:sSubPr>
          <m:e>
            <m:r>
              <m:rPr>
                <m:sty m:val="p"/>
              </m:rPr>
              <w:rPr>
                <w:rFonts w:ascii="Cambria Math" w:hAnsi="Cambria Math"/>
                <w:highlight w:val="none"/>
                <w:lang w:val="en-US"/>
              </w:rPr>
              <m:t>σ</m:t>
            </m:r>
            <m:ctrlPr>
              <w:rPr>
                <w:rFonts w:ascii="Cambria Math" w:hAnsi="Cambria Math"/>
                <w:highlight w:val="none"/>
                <w:lang w:val="en-US"/>
              </w:rPr>
            </m:ctrlPr>
          </m:e>
          <m:sub>
            <m:r>
              <m:rPr>
                <m:sty m:val="p"/>
              </m:rPr>
              <w:rPr>
                <w:rFonts w:hint="default" w:ascii="Cambria Math" w:hAnsi="Cambria Math"/>
                <w:highlight w:val="none"/>
                <w:lang w:val="en-US" w:eastAsia="zh-CN"/>
              </w:rPr>
              <m:t>3</m:t>
            </m:r>
            <m:ctrlPr>
              <w:rPr>
                <w:rFonts w:ascii="Cambria Math" w:hAnsi="Cambria Math"/>
                <w:highlight w:val="none"/>
                <w:lang w:val="en-US"/>
              </w:rPr>
            </m:ctrlPr>
          </m:sub>
        </m:sSub>
      </m:oMath>
      <w:r>
        <w:rPr>
          <w:rFonts w:hint="eastAsia" w:hAnsi="Cambria Math"/>
          <w:i w:val="0"/>
          <w:highlight w:val="none"/>
          <w:lang w:val="en-US" w:eastAsia="zh-CN"/>
        </w:rPr>
        <w:t>、</w:t>
      </w:r>
      <m:oMath>
        <m:sSub>
          <m:sSubPr>
            <m:ctrlPr>
              <w:rPr>
                <w:rFonts w:ascii="Cambria Math" w:hAnsi="Cambria Math"/>
                <w:highlight w:val="none"/>
                <w:lang w:val="en-US"/>
              </w:rPr>
            </m:ctrlPr>
          </m:sSubPr>
          <m:e>
            <m:r>
              <m:rPr>
                <m:sty m:val="p"/>
              </m:rPr>
              <w:rPr>
                <w:rFonts w:ascii="Cambria Math" w:hAnsi="Cambria Math"/>
                <w:highlight w:val="none"/>
                <w:lang w:val="en-US"/>
              </w:rPr>
              <m:t>σ</m:t>
            </m:r>
            <m:ctrlPr>
              <w:rPr>
                <w:rFonts w:ascii="Cambria Math" w:hAnsi="Cambria Math"/>
                <w:highlight w:val="none"/>
                <w:lang w:val="en-US"/>
              </w:rPr>
            </m:ctrlPr>
          </m:e>
          <m:sub>
            <m:r>
              <m:rPr>
                <m:sty m:val="p"/>
              </m:rPr>
              <w:rPr>
                <w:rFonts w:hint="default" w:ascii="Cambria Math" w:hAnsi="Cambria Math"/>
                <w:highlight w:val="none"/>
                <w:lang w:val="en-US" w:eastAsia="zh-CN"/>
              </w:rPr>
              <m:t>4</m:t>
            </m:r>
            <m:ctrlPr>
              <w:rPr>
                <w:rFonts w:ascii="Cambria Math" w:hAnsi="Cambria Math"/>
                <w:highlight w:val="none"/>
                <w:lang w:val="en-US"/>
              </w:rPr>
            </m:ctrlPr>
          </m:sub>
        </m:sSub>
      </m:oMath>
      <w:r>
        <w:rPr>
          <w:rFonts w:hint="eastAsia" w:hAnsi="Cambria Math"/>
          <w:i w:val="0"/>
          <w:highlight w:val="none"/>
          <w:lang w:val="en-US" w:eastAsia="zh-CN"/>
        </w:rPr>
        <w:t>、</w:t>
      </w:r>
      <m:oMath>
        <m:sSub>
          <m:sSubPr>
            <m:ctrlPr>
              <w:rPr>
                <w:rFonts w:ascii="Cambria Math" w:hAnsi="Cambria Math"/>
                <w:highlight w:val="none"/>
                <w:lang w:val="en-US"/>
              </w:rPr>
            </m:ctrlPr>
          </m:sSubPr>
          <m:e>
            <m:r>
              <m:rPr>
                <m:sty m:val="p"/>
              </m:rPr>
              <w:rPr>
                <w:rFonts w:ascii="Cambria Math" w:hAnsi="Cambria Math"/>
                <w:highlight w:val="none"/>
                <w:lang w:val="en-US"/>
              </w:rPr>
              <m:t>σ</m:t>
            </m:r>
            <m:ctrlPr>
              <w:rPr>
                <w:rFonts w:ascii="Cambria Math" w:hAnsi="Cambria Math"/>
                <w:highlight w:val="none"/>
                <w:lang w:val="en-US"/>
              </w:rPr>
            </m:ctrlPr>
          </m:e>
          <m:sub>
            <m:r>
              <m:rPr>
                <m:sty m:val="p"/>
              </m:rPr>
              <w:rPr>
                <w:rFonts w:hint="default" w:ascii="Cambria Math" w:hAnsi="Cambria Math"/>
                <w:highlight w:val="none"/>
                <w:lang w:val="en-US" w:eastAsia="zh-CN"/>
              </w:rPr>
              <m:t>5</m:t>
            </m:r>
            <m:ctrlPr>
              <w:rPr>
                <w:rFonts w:ascii="Cambria Math" w:hAnsi="Cambria Math"/>
                <w:highlight w:val="none"/>
                <w:lang w:val="en-US"/>
              </w:rPr>
            </m:ctrlPr>
          </m:sub>
        </m:sSub>
      </m:oMath>
      <w:r>
        <w:rPr>
          <w:rFonts w:hint="eastAsia" w:hAnsi="Cambria Math"/>
          <w:i w:val="0"/>
          <w:highlight w:val="none"/>
          <w:lang w:val="en-US" w:eastAsia="zh-CN"/>
        </w:rPr>
        <w:t>，按公式（3）和（4）计算被校电导率仪示值误差</w:t>
      </w:r>
      <w:r>
        <w:rPr>
          <w:rFonts w:hint="eastAsia"/>
          <w:highlight w:val="none"/>
          <w:lang w:val="en-US" w:eastAsia="zh-CN"/>
        </w:rPr>
        <w:t>。</w:t>
      </w:r>
    </w:p>
    <w:p w14:paraId="4ED2BC3F">
      <w:pPr>
        <w:pStyle w:val="58"/>
        <w:spacing w:line="360" w:lineRule="auto"/>
        <w:ind w:firstLine="480" w:firstLineChars="0"/>
        <w:jc w:val="right"/>
        <w:rPr>
          <w:rFonts w:hint="default"/>
          <w:highlight w:val="none"/>
          <w:lang w:val="en-US" w:eastAsia="zh-CN"/>
        </w:rPr>
      </w:pPr>
      <w:r>
        <w:rPr>
          <w:rFonts w:hint="eastAsia"/>
          <w:position w:val="-24"/>
          <w:highlight w:val="none"/>
          <w:lang w:val="en-US" w:eastAsia="zh-CN"/>
        </w:rPr>
        <w:object>
          <v:shape id="_x0000_i1027" o:spt="75" type="#_x0000_t75" style="height:31pt;width:134pt;" o:ole="t" filled="f" o:preferrelative="t" stroked="f" coordsize="21600,21600">
            <v:path/>
            <v:fill on="f" focussize="0,0"/>
            <v:stroke on="f"/>
            <v:imagedata r:id="rId37" o:title=""/>
            <o:lock v:ext="edit" aspectratio="t"/>
            <w10:wrap type="none"/>
            <w10:anchorlock/>
          </v:shape>
          <o:OLEObject Type="Embed" ProgID="Equation.KSEE3" ShapeID="_x0000_i1027" DrawAspect="Content" ObjectID="_1468075727" r:id="rId36">
            <o:LockedField>false</o:LockedField>
          </o:OLEObject>
        </w:object>
      </w:r>
      <w:r>
        <w:rPr>
          <w:rFonts w:hint="eastAsia"/>
          <w:highlight w:val="none"/>
          <w:lang w:val="en-US" w:eastAsia="zh-CN"/>
        </w:rPr>
        <w:t xml:space="preserve">                            （3）</w:t>
      </w:r>
    </w:p>
    <w:p w14:paraId="5BA2F44B">
      <w:pPr>
        <w:pStyle w:val="58"/>
        <w:spacing w:line="360" w:lineRule="auto"/>
        <w:ind w:firstLine="2364" w:firstLineChars="1126"/>
        <w:jc w:val="right"/>
        <w:rPr>
          <w:rFonts w:hint="default"/>
          <w:lang w:val="en-US" w:eastAsia="zh-CN"/>
        </w:rPr>
      </w:pPr>
      <w:r>
        <w:rPr>
          <w:rFonts w:hint="default"/>
          <w:position w:val="-12"/>
          <w:lang w:val="en-US" w:eastAsia="zh-CN"/>
        </w:rPr>
        <w:object>
          <v:shape id="_x0000_i1028" o:spt="75" type="#_x0000_t75" style="height:20pt;width:70pt;" o:ole="t" filled="f" o:preferrelative="t" stroked="f" coordsize="21600,21600">
            <v:path/>
            <v:fill on="f" focussize="0,0"/>
            <v:stroke on="f"/>
            <v:imagedata r:id="rId39" o:title=""/>
            <o:lock v:ext="edit" aspectratio="t"/>
            <w10:wrap type="none"/>
            <w10:anchorlock/>
          </v:shape>
          <o:OLEObject Type="Embed" ProgID="Equation.KSEE3" ShapeID="_x0000_i1028" DrawAspect="Content" ObjectID="_1468075728" r:id="rId38">
            <o:LockedField>false</o:LockedField>
          </o:OLEObject>
        </w:object>
      </w:r>
      <w:r>
        <w:rPr>
          <w:rFonts w:hint="eastAsia"/>
          <w:lang w:val="en-US" w:eastAsia="zh-CN"/>
        </w:rPr>
        <w:t xml:space="preserve">                                  （4）</w:t>
      </w:r>
    </w:p>
    <w:p w14:paraId="73C330EF">
      <w:pPr>
        <w:pStyle w:val="58"/>
        <w:spacing w:line="360" w:lineRule="auto"/>
        <w:ind w:firstLine="480"/>
        <w:rPr>
          <w:highlight w:val="none"/>
        </w:rPr>
      </w:pPr>
      <w:r>
        <w:rPr>
          <w:rFonts w:hint="eastAsia"/>
          <w:highlight w:val="none"/>
        </w:rPr>
        <w:t>式中：</w:t>
      </w:r>
    </w:p>
    <w:p w14:paraId="366E2CA6">
      <w:pPr>
        <w:pStyle w:val="58"/>
        <w:spacing w:line="360" w:lineRule="auto"/>
        <w:ind w:firstLine="480"/>
        <w:rPr>
          <w:highlight w:val="none"/>
        </w:rPr>
      </w:pPr>
      <w:r>
        <w:rPr>
          <w:rFonts w:hint="eastAsia"/>
          <w:position w:val="-6"/>
          <w:highlight w:val="none"/>
        </w:rPr>
        <w:object>
          <v:shape id="_x0000_i1029" o:spt="75" type="#_x0000_t75" style="height:13.95pt;width:20pt;" o:ole="t" filled="f" o:preferrelative="t" stroked="f" coordsize="21600,21600">
            <v:path/>
            <v:fill on="f" focussize="0,0"/>
            <v:stroke on="f"/>
            <v:imagedata r:id="rId41" o:title=""/>
            <o:lock v:ext="edit" aspectratio="t"/>
            <w10:wrap type="none"/>
            <w10:anchorlock/>
          </v:shape>
          <o:OLEObject Type="Embed" ProgID="Equation.KSEE3" ShapeID="_x0000_i1029" DrawAspect="Content" ObjectID="_1468075729" r:id="rId40">
            <o:LockedField>false</o:LockedField>
          </o:OLEObject>
        </w:object>
      </w:r>
      <w:r>
        <w:rPr>
          <w:rFonts w:hint="eastAsia"/>
          <w:highlight w:val="none"/>
        </w:rPr>
        <w:t>——被校</w:t>
      </w:r>
      <w:r>
        <w:rPr>
          <w:rFonts w:hint="eastAsia"/>
          <w:highlight w:val="none"/>
          <w:lang w:val="en-US" w:eastAsia="zh-CN"/>
        </w:rPr>
        <w:t>电导率仪示值误差，MS/m（%IACS）</w:t>
      </w:r>
      <w:r>
        <w:rPr>
          <w:rFonts w:hint="eastAsia"/>
          <w:highlight w:val="none"/>
        </w:rPr>
        <w:t>；</w:t>
      </w:r>
    </w:p>
    <w:p w14:paraId="03B213E2">
      <w:pPr>
        <w:pStyle w:val="58"/>
        <w:spacing w:line="360" w:lineRule="auto"/>
        <w:ind w:firstLine="480"/>
        <w:rPr>
          <w:highlight w:val="none"/>
        </w:rPr>
      </w:pPr>
      <w:r>
        <w:rPr>
          <w:rFonts w:hint="eastAsia"/>
          <w:position w:val="-12"/>
          <w:highlight w:val="none"/>
        </w:rPr>
        <w:object>
          <v:shape id="_x0000_i1030" o:spt="75" type="#_x0000_t75" style="height:20pt;width:17pt;" o:ole="t" filled="f" o:preferrelative="t" stroked="f" coordsize="21600,21600">
            <v:path/>
            <v:fill on="f" focussize="0,0"/>
            <v:stroke on="f"/>
            <v:imagedata r:id="rId43" o:title=""/>
            <o:lock v:ext="edit" aspectratio="t"/>
            <w10:wrap type="none"/>
            <w10:anchorlock/>
          </v:shape>
          <o:OLEObject Type="Embed" ProgID="Equation.KSEE3" ShapeID="_x0000_i1030" DrawAspect="Content" ObjectID="_1468075730" r:id="rId42">
            <o:LockedField>false</o:LockedField>
          </o:OLEObject>
        </w:object>
      </w:r>
      <w:r>
        <w:rPr>
          <w:rFonts w:hint="eastAsia"/>
          <w:highlight w:val="none"/>
        </w:rPr>
        <w:t>——</w:t>
      </w:r>
      <w:r>
        <w:rPr>
          <w:rFonts w:hint="eastAsia"/>
          <w:highlight w:val="none"/>
          <w:lang w:val="en-US" w:eastAsia="zh-CN"/>
        </w:rPr>
        <w:t>被校电导率仪校准平均值，MS/m（%IACS）</w:t>
      </w:r>
      <w:r>
        <w:rPr>
          <w:rFonts w:hint="eastAsia"/>
          <w:highlight w:val="none"/>
        </w:rPr>
        <w:t>；</w:t>
      </w:r>
    </w:p>
    <w:p w14:paraId="58C75591">
      <w:pPr>
        <w:pStyle w:val="58"/>
        <w:spacing w:line="360" w:lineRule="auto"/>
        <w:ind w:firstLine="480"/>
        <w:rPr>
          <w:rFonts w:hint="eastAsia"/>
          <w:highlight w:val="none"/>
          <w:lang w:val="en-US" w:eastAsia="zh-CN"/>
        </w:rPr>
      </w:pPr>
      <w:r>
        <w:rPr>
          <w:rFonts w:hint="eastAsia"/>
          <w:position w:val="-12"/>
          <w:highlight w:val="none"/>
        </w:rPr>
        <w:object>
          <v:shape id="_x0000_i1031" o:spt="75" type="#_x0000_t75" style="height:18pt;width:16pt;" o:ole="t" filled="f" o:preferrelative="t" stroked="f" coordsize="21600,21600">
            <v:path/>
            <v:fill on="f" focussize="0,0"/>
            <v:stroke on="f"/>
            <v:imagedata r:id="rId45" o:title=""/>
            <o:lock v:ext="edit" aspectratio="t"/>
            <w10:wrap type="none"/>
            <w10:anchorlock/>
          </v:shape>
          <o:OLEObject Type="Embed" ProgID="Equation.KSEE3" ShapeID="_x0000_i1031" DrawAspect="Content" ObjectID="_1468075731" r:id="rId44">
            <o:LockedField>false</o:LockedField>
          </o:OLEObject>
        </w:object>
      </w:r>
      <w:r>
        <w:rPr>
          <w:rFonts w:hint="eastAsia"/>
          <w:highlight w:val="none"/>
        </w:rPr>
        <w:t>——</w:t>
      </w:r>
      <w:r>
        <w:rPr>
          <w:rFonts w:hint="eastAsia"/>
          <w:highlight w:val="none"/>
          <w:lang w:val="en-US" w:eastAsia="zh-CN"/>
        </w:rPr>
        <w:t>电导率标准块的校准值，MS/m（%IACS）。</w:t>
      </w:r>
    </w:p>
    <w:p w14:paraId="7A645EC0">
      <w:pPr>
        <w:adjustRightInd w:val="0"/>
        <w:snapToGrid w:val="0"/>
        <w:spacing w:line="360" w:lineRule="auto"/>
        <w:rPr>
          <w:rFonts w:hint="default"/>
          <w:b w:val="0"/>
          <w:bCs w:val="0"/>
          <w:i w:val="0"/>
          <w:iCs w:val="0"/>
          <w:highlight w:val="none"/>
          <w:lang w:val="en-US" w:eastAsia="zh-CN"/>
        </w:rPr>
      </w:pPr>
      <w:r>
        <w:rPr>
          <w:rFonts w:hint="eastAsia"/>
          <w:b w:val="0"/>
          <w:bCs w:val="0"/>
          <w:i w:val="0"/>
          <w:iCs w:val="0"/>
          <w:highlight w:val="none"/>
          <w:lang w:val="en-US" w:eastAsia="zh-CN"/>
        </w:rPr>
        <w:t>注：该校准方法参考了JJF1692-2018 7.2.2的内容。对6.35mm的要求，参考了ASTM1004</w:t>
      </w:r>
    </w:p>
    <w:p w14:paraId="2B307DB6">
      <w:pPr>
        <w:pStyle w:val="58"/>
        <w:spacing w:line="360" w:lineRule="auto"/>
        <w:ind w:firstLine="0" w:firstLineChars="0"/>
        <w:rPr>
          <w:highlight w:val="none"/>
        </w:rPr>
      </w:pPr>
      <w:r>
        <w:rPr>
          <w:rFonts w:hint="eastAsia"/>
          <w:highlight w:val="none"/>
          <w:lang w:val="en-US" w:eastAsia="zh-CN"/>
        </w:rPr>
        <w:t>7.2.3 垫膜示值误差</w:t>
      </w:r>
    </w:p>
    <w:p w14:paraId="6AFDA5E1">
      <w:pPr>
        <w:pStyle w:val="58"/>
        <w:ind w:firstLine="480" w:firstLineChars="0"/>
        <w:rPr>
          <w:rFonts w:hint="eastAsia"/>
          <w:highlight w:val="none"/>
        </w:rPr>
      </w:pPr>
      <w:r>
        <w:rPr>
          <w:rFonts w:hint="eastAsia"/>
          <w:highlight w:val="none"/>
          <w:lang w:val="en-US" w:eastAsia="zh-CN"/>
        </w:rPr>
        <w:t>按7.2.2.1对被校电导率仪进行自校准，在每个标准块上放置厚度不小于0.08mm的非导电材料，按7.2.2.2校准过程，对被校电导率仪垫膜示值误差进行校准，按公式</w:t>
      </w:r>
      <w:r>
        <w:rPr>
          <w:rFonts w:hint="eastAsia" w:hAnsi="Cambria Math"/>
          <w:i w:val="0"/>
          <w:highlight w:val="none"/>
          <w:lang w:val="en-US" w:eastAsia="zh-CN"/>
        </w:rPr>
        <w:t>（3）和（4）计算被校电导率仪的垫膜示值误差。</w:t>
      </w:r>
      <w:r>
        <w:rPr>
          <w:rFonts w:hint="eastAsia"/>
          <w:highlight w:val="none"/>
        </w:rPr>
        <w:t xml:space="preserve"> </w:t>
      </w:r>
    </w:p>
    <w:p w14:paraId="7EA8364A">
      <w:pPr>
        <w:pStyle w:val="58"/>
        <w:ind w:firstLine="480" w:firstLineChars="0"/>
        <w:rPr>
          <w:rFonts w:hint="default" w:eastAsia="宋体"/>
          <w:b w:val="0"/>
          <w:bCs w:val="0"/>
          <w:i w:val="0"/>
          <w:iCs w:val="0"/>
          <w:highlight w:val="none"/>
          <w:lang w:val="en-US" w:eastAsia="zh-CN"/>
        </w:rPr>
      </w:pPr>
      <w:r>
        <w:rPr>
          <w:rFonts w:hint="eastAsia"/>
          <w:b w:val="0"/>
          <w:bCs w:val="0"/>
          <w:i w:val="0"/>
          <w:iCs w:val="0"/>
          <w:highlight w:val="none"/>
          <w:lang w:val="en-US" w:eastAsia="zh-CN"/>
        </w:rPr>
        <w:t>注：根据BAC5651：6.2.1c的要求，垫膜示值误差的校准方法与未垫膜示值误差的校准方法一样。</w:t>
      </w:r>
    </w:p>
    <w:p w14:paraId="702C3107">
      <w:pPr>
        <w:pStyle w:val="58"/>
        <w:spacing w:line="360" w:lineRule="auto"/>
        <w:ind w:firstLine="0" w:firstLineChars="0"/>
        <w:rPr>
          <w:highlight w:val="none"/>
        </w:rPr>
      </w:pPr>
      <w:r>
        <w:rPr>
          <w:rFonts w:hint="eastAsia"/>
          <w:highlight w:val="none"/>
          <w:lang w:val="en-US" w:eastAsia="zh-CN"/>
        </w:rPr>
        <w:t xml:space="preserve">7.2.4 重复性       </w:t>
      </w:r>
    </w:p>
    <w:p w14:paraId="4FFCF375">
      <w:pPr>
        <w:pStyle w:val="58"/>
        <w:ind w:firstLine="480" w:firstLineChars="0"/>
        <w:rPr>
          <w:rFonts w:hint="default"/>
          <w:highlight w:val="none"/>
          <w:lang w:val="en-US" w:eastAsia="zh-CN"/>
        </w:rPr>
      </w:pPr>
      <w:r>
        <w:rPr>
          <w:rFonts w:hint="eastAsia"/>
          <w:highlight w:val="none"/>
          <w:lang w:val="en-US" w:eastAsia="zh-CN"/>
        </w:rPr>
        <w:t>根据7.2.2与7.2.3测量结果分别计算裸测与垫膜的重复性，重复性为5次测量结果的最大值与最小值的差值。</w:t>
      </w:r>
    </w:p>
    <w:p w14:paraId="09CF6105">
      <w:pPr>
        <w:pStyle w:val="58"/>
        <w:ind w:firstLine="480" w:firstLineChars="0"/>
        <w:jc w:val="right"/>
        <w:rPr>
          <w:rFonts w:hint="default"/>
          <w:highlight w:val="none"/>
          <w:lang w:val="en-US" w:eastAsia="zh-CN"/>
        </w:rPr>
      </w:pPr>
      <w:r>
        <w:rPr>
          <w:rFonts w:hint="eastAsia"/>
          <w:position w:val="-12"/>
          <w:highlight w:val="none"/>
          <w:lang w:val="en-US" w:eastAsia="zh-CN"/>
        </w:rPr>
        <w:object>
          <v:shape id="_x0000_i1032" o:spt="75" type="#_x0000_t75" style="height:18pt;width:72pt;" o:ole="t" filled="f" o:preferrelative="t" stroked="f" coordsize="21600,21600">
            <v:path/>
            <v:fill on="f" focussize="0,0"/>
            <v:stroke on="f"/>
            <v:imagedata r:id="rId47" o:title=""/>
            <o:lock v:ext="edit" aspectratio="t"/>
            <w10:wrap type="none"/>
            <w10:anchorlock/>
          </v:shape>
          <o:OLEObject Type="Embed" ProgID="Equation.KSEE3" ShapeID="_x0000_i1032" DrawAspect="Content" ObjectID="_1468075732" r:id="rId46">
            <o:LockedField>false</o:LockedField>
          </o:OLEObject>
        </w:object>
      </w:r>
      <w:r>
        <w:rPr>
          <w:rFonts w:hint="eastAsia"/>
          <w:highlight w:val="none"/>
          <w:lang w:val="en-US" w:eastAsia="zh-CN"/>
        </w:rPr>
        <w:t xml:space="preserve">                             （5）</w:t>
      </w:r>
    </w:p>
    <w:p w14:paraId="11BE6AB5">
      <w:pPr>
        <w:pStyle w:val="58"/>
        <w:spacing w:line="360" w:lineRule="auto"/>
        <w:ind w:firstLine="420"/>
        <w:rPr>
          <w:rFonts w:hint="eastAsia" w:hAnsi="宋体"/>
        </w:rPr>
      </w:pPr>
      <w:r>
        <w:rPr>
          <w:rFonts w:hint="eastAsia" w:hAnsi="宋体"/>
        </w:rPr>
        <w:t>式中：</w:t>
      </w:r>
    </w:p>
    <w:p w14:paraId="67A9F783">
      <w:pPr>
        <w:pStyle w:val="58"/>
        <w:spacing w:line="360" w:lineRule="auto"/>
        <w:ind w:firstLine="420"/>
        <w:rPr>
          <w:rFonts w:hint="eastAsia" w:hAnsi="宋体" w:cs="宋体"/>
        </w:rPr>
      </w:pPr>
      <w:r>
        <w:rPr>
          <w:rFonts w:hint="eastAsia" w:hAnsi="宋体"/>
          <w:position w:val="-6"/>
        </w:rPr>
        <w:object>
          <v:shape id="_x0000_i1033" o:spt="75" type="#_x0000_t75" style="height:11pt;width:9pt;" o:ole="t" filled="f" o:preferrelative="t" stroked="f" coordsize="21600,21600">
            <v:path/>
            <v:fill on="f" focussize="0,0"/>
            <v:stroke on="f"/>
            <v:imagedata r:id="rId49" o:title=""/>
            <o:lock v:ext="edit" aspectratio="t"/>
            <w10:wrap type="none"/>
            <w10:anchorlock/>
          </v:shape>
          <o:OLEObject Type="Embed" ProgID="Equation.KSEE3" ShapeID="_x0000_i1033" DrawAspect="Content" ObjectID="_1468075733" r:id="rId48">
            <o:LockedField>false</o:LockedField>
          </o:OLEObject>
        </w:object>
      </w:r>
      <w:r>
        <w:rPr>
          <w:rFonts w:hint="eastAsia" w:hAnsi="宋体"/>
          <w:position w:val="-6"/>
          <w:lang w:eastAsia="zh-CN"/>
        </w:rPr>
        <w:t>——</w:t>
      </w:r>
      <w:r>
        <w:rPr>
          <w:rFonts w:hint="eastAsia" w:cs="宋体"/>
          <w:lang w:val="en-US" w:eastAsia="zh-CN"/>
        </w:rPr>
        <w:t>重复性</w:t>
      </w:r>
      <w:r>
        <w:rPr>
          <w:rFonts w:hint="eastAsia" w:hAnsi="宋体" w:cs="宋体"/>
        </w:rPr>
        <w:t>，</w:t>
      </w:r>
      <w:r>
        <w:rPr>
          <w:rFonts w:hint="eastAsia"/>
          <w:highlight w:val="none"/>
          <w:lang w:val="en-US" w:eastAsia="zh-CN"/>
        </w:rPr>
        <w:t>%IACS</w:t>
      </w:r>
      <w:r>
        <w:rPr>
          <w:rFonts w:hint="eastAsia" w:hAnsi="宋体" w:cs="宋体"/>
        </w:rPr>
        <w:t>；</w:t>
      </w:r>
    </w:p>
    <w:p w14:paraId="4F0BB227">
      <w:pPr>
        <w:pStyle w:val="58"/>
        <w:spacing w:line="360" w:lineRule="auto"/>
        <w:ind w:firstLine="420"/>
        <w:rPr>
          <w:rFonts w:hint="eastAsia" w:hAnsi="宋体" w:cs="宋体"/>
        </w:rPr>
      </w:pPr>
      <w:r>
        <w:rPr>
          <w:rFonts w:hint="eastAsia" w:hAnsi="宋体" w:cs="宋体"/>
          <w:position w:val="-12"/>
        </w:rPr>
        <w:object>
          <v:shape id="_x0000_i1034" o:spt="75" type="#_x0000_t75" style="height:18pt;width:24pt;" o:ole="t" filled="f" o:preferrelative="t" stroked="f" coordsize="21600,21600">
            <v:path/>
            <v:fill on="f" focussize="0,0"/>
            <v:stroke on="f"/>
            <v:imagedata r:id="rId51" o:title=""/>
            <o:lock v:ext="edit" aspectratio="t"/>
            <w10:wrap type="none"/>
            <w10:anchorlock/>
          </v:shape>
          <o:OLEObject Type="Embed" ProgID="Equation.KSEE3" ShapeID="_x0000_i1034" DrawAspect="Content" ObjectID="_1468075734" r:id="rId50">
            <o:LockedField>false</o:LockedField>
          </o:OLEObject>
        </w:object>
      </w:r>
      <w:r>
        <w:rPr>
          <w:rFonts w:hint="eastAsia" w:hAnsi="宋体" w:cs="宋体"/>
          <w:lang w:eastAsia="zh-CN"/>
        </w:rPr>
        <w:t>——</w:t>
      </w:r>
      <w:r>
        <w:rPr>
          <w:rFonts w:hint="eastAsia" w:cs="宋体"/>
          <w:lang w:val="en-US" w:eastAsia="zh-CN"/>
        </w:rPr>
        <w:t>测量</w:t>
      </w:r>
      <w:r>
        <w:rPr>
          <w:rFonts w:hint="eastAsia"/>
          <w:highlight w:val="none"/>
          <w:lang w:val="en-US" w:eastAsia="zh-CN"/>
        </w:rPr>
        <w:t>结果最大值，%IACS</w:t>
      </w:r>
      <w:r>
        <w:rPr>
          <w:rFonts w:hint="eastAsia"/>
          <w:highlight w:val="none"/>
        </w:rPr>
        <w:t>；</w:t>
      </w:r>
    </w:p>
    <w:p w14:paraId="5FC78A98">
      <w:pPr>
        <w:pStyle w:val="58"/>
        <w:spacing w:line="360" w:lineRule="auto"/>
        <w:ind w:firstLine="420"/>
        <w:rPr>
          <w:rFonts w:hint="eastAsia" w:hAnsi="宋体" w:eastAsia="宋体" w:cs="宋体"/>
          <w:lang w:eastAsia="zh-CN"/>
        </w:rPr>
      </w:pPr>
      <w:r>
        <w:rPr>
          <w:rFonts w:hint="eastAsia" w:hAnsi="宋体" w:cs="宋体"/>
          <w:position w:val="-10"/>
        </w:rPr>
        <w:object>
          <v:shape id="_x0000_i1035" o:spt="75" type="#_x0000_t75" style="height:17pt;width:23pt;" o:ole="t" filled="f" o:preferrelative="t" stroked="f" coordsize="21600,21600">
            <v:path/>
            <v:fill on="f" focussize="0,0"/>
            <v:stroke on="f"/>
            <v:imagedata r:id="rId53" o:title=""/>
            <o:lock v:ext="edit" aspectratio="t"/>
            <w10:wrap type="none"/>
            <w10:anchorlock/>
          </v:shape>
          <o:OLEObject Type="Embed" ProgID="Equation.KSEE3" ShapeID="_x0000_i1035" DrawAspect="Content" ObjectID="_1468075735" r:id="rId52">
            <o:LockedField>false</o:LockedField>
          </o:OLEObject>
        </w:object>
      </w:r>
      <w:r>
        <w:rPr>
          <w:rFonts w:hint="eastAsia" w:hAnsi="宋体" w:cs="宋体"/>
          <w:lang w:eastAsia="zh-CN"/>
        </w:rPr>
        <w:t>——</w:t>
      </w:r>
      <w:r>
        <w:rPr>
          <w:rFonts w:hint="eastAsia"/>
          <w:highlight w:val="none"/>
          <w:lang w:val="en-US" w:eastAsia="zh-CN"/>
        </w:rPr>
        <w:t>测量结果最小值，%IACS</w:t>
      </w:r>
      <w:r>
        <w:rPr>
          <w:rFonts w:hint="eastAsia" w:hAnsi="宋体" w:cs="宋体"/>
          <w:lang w:eastAsia="zh-CN"/>
        </w:rPr>
        <w:t>。</w:t>
      </w:r>
    </w:p>
    <w:p w14:paraId="4D05693F">
      <w:pPr>
        <w:adjustRightInd w:val="0"/>
        <w:snapToGrid w:val="0"/>
        <w:spacing w:line="360" w:lineRule="auto"/>
        <w:rPr>
          <w:rFonts w:hint="default"/>
          <w:lang w:val="en-US" w:eastAsia="zh-CN"/>
        </w:rPr>
      </w:pPr>
      <w:r>
        <w:rPr>
          <w:rFonts w:hint="eastAsia"/>
          <w:lang w:val="en-US" w:eastAsia="zh-CN"/>
        </w:rPr>
        <w:t>7.2.5</w:t>
      </w:r>
      <w:r>
        <w:rPr>
          <w:rFonts w:hint="eastAsia" w:ascii="Times New Roman" w:hAnsi="Times New Roman" w:cs="Times New Roman"/>
          <w:lang w:val="en-US" w:eastAsia="zh-CN"/>
        </w:rPr>
        <w:t>灵敏度</w:t>
      </w:r>
    </w:p>
    <w:p w14:paraId="62407A36">
      <w:pPr>
        <w:pStyle w:val="58"/>
        <w:spacing w:line="360" w:lineRule="auto"/>
        <w:ind w:firstLine="480"/>
        <w:jc w:val="both"/>
        <w:rPr>
          <w:rFonts w:hint="eastAsia"/>
          <w:color w:val="auto"/>
          <w:highlight w:val="none"/>
          <w:lang w:val="en-US" w:eastAsia="zh-CN"/>
        </w:rPr>
      </w:pPr>
      <w:r>
        <w:rPr>
          <w:rFonts w:hint="eastAsia"/>
          <w:color w:val="auto"/>
          <w:highlight w:val="none"/>
          <w:lang w:val="en-US" w:eastAsia="zh-CN"/>
        </w:rPr>
        <w:t xml:space="preserve"> 取两块电导率值相差不大于0.5%IACS的标准块，用电导率仪分别测试这两块标准块。将探头垂直适度按压于标准块表面中心位置，偏差不应大于6.35mm，使探头与标准块表面均匀贴合，待被校涡流电导率仪示值稳定，读取仪器显示值并进行记录，电导率仪的测量值能明确辨别出标准块的变化。标准块数值之差为电导率仪灵敏度。</w:t>
      </w:r>
    </w:p>
    <w:p w14:paraId="49833415">
      <w:pPr>
        <w:pStyle w:val="58"/>
        <w:spacing w:line="360" w:lineRule="auto"/>
        <w:ind w:firstLine="480"/>
        <w:jc w:val="both"/>
        <w:rPr>
          <w:rFonts w:hint="eastAsia"/>
          <w:color w:val="auto"/>
          <w:highlight w:val="none"/>
          <w:lang w:val="en-US" w:eastAsia="zh-CN"/>
        </w:rPr>
      </w:pPr>
      <w:r>
        <w:rPr>
          <w:rFonts w:hint="eastAsia"/>
          <w:color w:val="auto"/>
          <w:highlight w:val="none"/>
          <w:lang w:val="en-US" w:eastAsia="zh-CN"/>
        </w:rPr>
        <w:t>注：该计量特性的校准方法参考了BAC5651：6.2.1b对涡流电导率仪灵敏度的要求，如下图所示：</w:t>
      </w:r>
    </w:p>
    <w:p w14:paraId="149343B4">
      <w:pPr>
        <w:pStyle w:val="58"/>
        <w:spacing w:line="360" w:lineRule="auto"/>
        <w:ind w:left="0" w:leftChars="0" w:firstLine="0" w:firstLineChars="0"/>
        <w:jc w:val="both"/>
        <w:rPr>
          <w:rFonts w:hint="default"/>
          <w:color w:val="auto"/>
          <w:highlight w:val="none"/>
          <w:lang w:val="en-US" w:eastAsia="zh-CN"/>
        </w:rPr>
      </w:pPr>
      <w:r>
        <w:drawing>
          <wp:inline distT="0" distB="0" distL="114300" distR="114300">
            <wp:extent cx="5365750" cy="1331595"/>
            <wp:effectExtent l="0" t="0" r="10160" b="6985"/>
            <wp:docPr id="30"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9"/>
                    <pic:cNvPicPr>
                      <a:picLocks noChangeAspect="1"/>
                    </pic:cNvPicPr>
                  </pic:nvPicPr>
                  <pic:blipFill>
                    <a:blip r:embed="rId54"/>
                    <a:stretch>
                      <a:fillRect/>
                    </a:stretch>
                  </pic:blipFill>
                  <pic:spPr>
                    <a:xfrm>
                      <a:off x="0" y="0"/>
                      <a:ext cx="5365750" cy="1331595"/>
                    </a:xfrm>
                    <a:prstGeom prst="rect">
                      <a:avLst/>
                    </a:prstGeom>
                    <a:noFill/>
                    <a:ln>
                      <a:noFill/>
                    </a:ln>
                  </pic:spPr>
                </pic:pic>
              </a:graphicData>
            </a:graphic>
          </wp:inline>
        </w:drawing>
      </w:r>
    </w:p>
    <w:p w14:paraId="7F9CCBF7">
      <w:pPr>
        <w:adjustRightInd w:val="0"/>
        <w:snapToGrid w:val="0"/>
        <w:spacing w:line="360" w:lineRule="auto"/>
        <w:rPr>
          <w:rFonts w:hint="default"/>
          <w:highlight w:val="none"/>
          <w:lang w:val="en-US"/>
        </w:rPr>
      </w:pPr>
      <w:r>
        <w:rPr>
          <w:rFonts w:hint="eastAsia"/>
          <w:highlight w:val="none"/>
          <w:lang w:val="en-US" w:eastAsia="zh-CN"/>
        </w:rPr>
        <w:t>7.2.6</w:t>
      </w:r>
      <w:r>
        <w:rPr>
          <w:rFonts w:hint="eastAsia"/>
          <w:highlight w:val="none"/>
        </w:rPr>
        <w:t xml:space="preserve"> </w:t>
      </w:r>
      <w:r>
        <w:rPr>
          <w:rFonts w:hint="eastAsia"/>
          <w:highlight w:val="none"/>
          <w:lang w:val="en-US" w:eastAsia="zh-CN"/>
        </w:rPr>
        <w:t>提离</w:t>
      </w:r>
      <w:r>
        <w:rPr>
          <w:rFonts w:hint="eastAsia" w:ascii="Times New Roman" w:hAnsi="Times New Roman" w:cs="Times New Roman"/>
          <w:lang w:val="en-US" w:eastAsia="zh-CN"/>
        </w:rPr>
        <w:t>效应</w:t>
      </w:r>
    </w:p>
    <w:p w14:paraId="1CC6D0C3">
      <w:pPr>
        <w:pStyle w:val="58"/>
        <w:spacing w:line="360" w:lineRule="auto"/>
        <w:ind w:firstLine="480" w:firstLineChars="0"/>
        <w:rPr>
          <w:rFonts w:hint="eastAsia"/>
          <w:lang w:val="en-US" w:eastAsia="zh-CN"/>
        </w:rPr>
      </w:pPr>
      <w:r>
        <w:rPr>
          <w:rFonts w:hint="eastAsia"/>
          <w:highlight w:val="none"/>
          <w:lang w:val="en-US" w:eastAsia="zh-CN"/>
        </w:rPr>
        <w:t>按表1，至少取电导率仪测量范围的低限、高限及任一中间值标准块对提离效应进行校准。将被校电导率仪探头置于标准块表面中心位置，偏差不应大于6.35mm，读取电导率仪示值</w:t>
      </w:r>
      <w:r>
        <w:rPr>
          <w:rFonts w:hint="eastAsia"/>
          <w:position w:val="-10"/>
          <w:highlight w:val="none"/>
          <w:lang w:val="en-US" w:eastAsia="zh-CN"/>
        </w:rPr>
        <w:object>
          <v:shape id="_x0000_i1036" o:spt="75" type="#_x0000_t75" style="height:17pt;width:13.95pt;" o:ole="t" filled="f" o:preferrelative="t" stroked="f" coordsize="21600,21600">
            <v:path/>
            <v:fill on="f" focussize="0,0"/>
            <v:stroke on="f"/>
            <v:imagedata r:id="rId56" o:title=""/>
            <o:lock v:ext="edit" aspectratio="t"/>
            <w10:wrap type="none"/>
            <w10:anchorlock/>
          </v:shape>
          <o:OLEObject Type="Embed" ProgID="Equation.KSEE3" ShapeID="_x0000_i1036" DrawAspect="Content" ObjectID="_1468075736" r:id="rId55">
            <o:LockedField>false</o:LockedField>
          </o:OLEObject>
        </w:object>
      </w:r>
      <w:r>
        <w:rPr>
          <w:rFonts w:hint="eastAsia"/>
          <w:highlight w:val="none"/>
        </w:rPr>
        <w:t>。</w:t>
      </w:r>
      <w:r>
        <w:rPr>
          <w:rFonts w:hint="eastAsia"/>
          <w:highlight w:val="none"/>
          <w:lang w:val="en-US" w:eastAsia="zh-CN"/>
        </w:rPr>
        <w:t>在标准块上放置厚度不小于0.08mm的非导电材料，将被校电导率仪探头置于非导电材料上，探头位于标准块表面中心位置，偏差不应大于6.35mm，读取电导率仪示值</w:t>
      </w:r>
      <w:r>
        <w:rPr>
          <w:rFonts w:hint="eastAsia"/>
          <w:position w:val="-10"/>
          <w:highlight w:val="none"/>
          <w:lang w:val="en-US" w:eastAsia="zh-CN"/>
        </w:rPr>
        <w:object>
          <v:shape id="_x0000_i1037" o:spt="75" type="#_x0000_t75" style="height:17pt;width:16pt;" o:ole="t" filled="f" o:preferrelative="t" stroked="f" coordsize="21600,21600">
            <v:path/>
            <v:fill on="f" focussize="0,0"/>
            <v:stroke on="f"/>
            <v:imagedata r:id="rId58" o:title=""/>
            <o:lock v:ext="edit" aspectratio="t"/>
            <w10:wrap type="none"/>
            <w10:anchorlock/>
          </v:shape>
          <o:OLEObject Type="Embed" ProgID="Equation.KSEE3" ShapeID="_x0000_i1037" DrawAspect="Content" ObjectID="_1468075737" r:id="rId57">
            <o:LockedField>false</o:LockedField>
          </o:OLEObject>
        </w:object>
      </w:r>
      <w:r>
        <w:rPr>
          <w:rFonts w:hint="eastAsia"/>
          <w:highlight w:val="none"/>
          <w:lang w:val="en-US" w:eastAsia="zh-CN"/>
        </w:rPr>
        <w:t>，两次读数的差值为提离效应</w:t>
      </w:r>
      <w:r>
        <w:rPr>
          <w:rFonts w:hint="eastAsia"/>
          <w:position w:val="-4"/>
          <w:highlight w:val="none"/>
          <w:lang w:val="en-US" w:eastAsia="zh-CN"/>
        </w:rPr>
        <w:object>
          <v:shape id="_x0000_i1038" o:spt="75" type="#_x0000_t75" style="height:13pt;width:11pt;" o:ole="t" filled="f" o:preferrelative="t" stroked="f" coordsize="21600,21600">
            <v:path/>
            <v:fill on="f" focussize="0,0"/>
            <v:stroke on="f"/>
            <v:imagedata r:id="rId60" o:title=""/>
            <o:lock v:ext="edit" aspectratio="t"/>
            <w10:wrap type="none"/>
            <w10:anchorlock/>
          </v:shape>
          <o:OLEObject Type="Embed" ProgID="Equation.KSEE3" ShapeID="_x0000_i1038" DrawAspect="Content" ObjectID="_1468075738" r:id="rId59">
            <o:LockedField>false</o:LockedField>
          </o:OLEObject>
        </w:object>
      </w:r>
      <w:r>
        <w:rPr>
          <w:rFonts w:hint="eastAsia"/>
          <w:highlight w:val="none"/>
          <w:lang w:val="en-US" w:eastAsia="zh-CN"/>
        </w:rPr>
        <w:t>。</w:t>
      </w:r>
      <w:r>
        <w:rPr>
          <w:rFonts w:hint="eastAsia"/>
          <w:lang w:val="en-US" w:eastAsia="zh-CN"/>
        </w:rPr>
        <w:t>提离效应按式（5）计算：</w:t>
      </w:r>
    </w:p>
    <w:p w14:paraId="30BABCBD">
      <w:pPr>
        <w:pStyle w:val="58"/>
        <w:spacing w:line="360" w:lineRule="auto"/>
        <w:ind w:firstLine="2364" w:firstLineChars="1126"/>
        <w:jc w:val="right"/>
        <w:rPr>
          <w:rFonts w:hint="default"/>
          <w:lang w:val="en-US" w:eastAsia="zh-CN"/>
        </w:rPr>
      </w:pPr>
      <w:r>
        <w:rPr>
          <w:rFonts w:hint="default"/>
          <w:position w:val="-10"/>
          <w:lang w:val="en-US" w:eastAsia="zh-CN"/>
        </w:rPr>
        <w:object>
          <v:shape id="_x0000_i1039" o:spt="75" type="#_x0000_t75" style="height:17pt;width:59pt;" o:ole="t" filled="f" o:preferrelative="t" stroked="f" coordsize="21600,21600">
            <v:path/>
            <v:fill on="f" focussize="0,0"/>
            <v:stroke on="f"/>
            <v:imagedata r:id="rId62" o:title=""/>
            <o:lock v:ext="edit" aspectratio="t"/>
            <w10:wrap type="none"/>
            <w10:anchorlock/>
          </v:shape>
          <o:OLEObject Type="Embed" ProgID="Equation.KSEE3" ShapeID="_x0000_i1039" DrawAspect="Content" ObjectID="_1468075739" r:id="rId61">
            <o:LockedField>false</o:LockedField>
          </o:OLEObject>
        </w:object>
      </w:r>
      <w:r>
        <w:rPr>
          <w:rFonts w:hint="eastAsia"/>
          <w:lang w:val="en-US" w:eastAsia="zh-CN"/>
        </w:rPr>
        <w:t xml:space="preserve">                                 （6）</w:t>
      </w:r>
    </w:p>
    <w:p w14:paraId="731139F4">
      <w:pPr>
        <w:pStyle w:val="58"/>
        <w:spacing w:line="360" w:lineRule="auto"/>
        <w:ind w:firstLine="480"/>
        <w:rPr>
          <w:highlight w:val="none"/>
        </w:rPr>
      </w:pPr>
      <w:r>
        <w:rPr>
          <w:rFonts w:hint="eastAsia"/>
          <w:lang w:val="en-US" w:eastAsia="zh-CN"/>
        </w:rPr>
        <w:t xml:space="preserve">  </w:t>
      </w:r>
      <w:r>
        <w:rPr>
          <w:rFonts w:hint="eastAsia"/>
          <w:highlight w:val="none"/>
        </w:rPr>
        <w:t>式中：</w:t>
      </w:r>
    </w:p>
    <w:p w14:paraId="73E30376">
      <w:pPr>
        <w:pStyle w:val="58"/>
        <w:spacing w:line="360" w:lineRule="auto"/>
        <w:ind w:firstLine="480"/>
        <w:rPr>
          <w:highlight w:val="none"/>
        </w:rPr>
      </w:pPr>
      <w:r>
        <w:rPr>
          <w:rFonts w:hint="eastAsia"/>
          <w:position w:val="-4"/>
          <w:highlight w:val="none"/>
        </w:rPr>
        <w:object>
          <v:shape id="_x0000_i1040" o:spt="75" type="#_x0000_t75" style="height:13pt;width:11pt;" o:ole="t" filled="f" o:preferrelative="t" stroked="f" coordsize="21600,21600">
            <v:path/>
            <v:fill on="f" focussize="0,0"/>
            <v:stroke on="f"/>
            <v:imagedata r:id="rId64" o:title=""/>
            <o:lock v:ext="edit" aspectratio="t"/>
            <w10:wrap type="none"/>
            <w10:anchorlock/>
          </v:shape>
          <o:OLEObject Type="Embed" ProgID="Equation.KSEE3" ShapeID="_x0000_i1040" DrawAspect="Content" ObjectID="_1468075740" r:id="rId63">
            <o:LockedField>false</o:LockedField>
          </o:OLEObject>
        </w:object>
      </w:r>
      <w:r>
        <w:rPr>
          <w:rFonts w:hint="eastAsia"/>
          <w:highlight w:val="none"/>
        </w:rPr>
        <w:t>——被校</w:t>
      </w:r>
      <w:r>
        <w:rPr>
          <w:rFonts w:hint="eastAsia"/>
          <w:highlight w:val="none"/>
          <w:lang w:val="en-US" w:eastAsia="zh-CN"/>
        </w:rPr>
        <w:t>电导率仪提离效应，MS/m（%IACS）</w:t>
      </w:r>
      <w:r>
        <w:rPr>
          <w:rFonts w:hint="eastAsia"/>
          <w:highlight w:val="none"/>
        </w:rPr>
        <w:t>；</w:t>
      </w:r>
    </w:p>
    <w:p w14:paraId="0CF5A3E2">
      <w:pPr>
        <w:pStyle w:val="58"/>
        <w:spacing w:line="360" w:lineRule="auto"/>
        <w:ind w:firstLine="480"/>
        <w:rPr>
          <w:highlight w:val="none"/>
        </w:rPr>
      </w:pPr>
      <w:r>
        <w:rPr>
          <w:rFonts w:hint="eastAsia"/>
          <w:position w:val="-10"/>
          <w:highlight w:val="none"/>
        </w:rPr>
        <w:object>
          <v:shape id="_x0000_i1041" o:spt="75" type="#_x0000_t75" style="height:17pt;width:13.95pt;" o:ole="t" filled="f" o:preferrelative="t" stroked="f" coordsize="21600,21600">
            <v:path/>
            <v:fill on="f" focussize="0,0"/>
            <v:stroke on="f"/>
            <v:imagedata r:id="rId66" o:title=""/>
            <o:lock v:ext="edit" aspectratio="t"/>
            <w10:wrap type="none"/>
            <w10:anchorlock/>
          </v:shape>
          <o:OLEObject Type="Embed" ProgID="Equation.KSEE3" ShapeID="_x0000_i1041" DrawAspect="Content" ObjectID="_1468075741" r:id="rId65">
            <o:LockedField>false</o:LockedField>
          </o:OLEObject>
        </w:object>
      </w:r>
      <w:r>
        <w:rPr>
          <w:rFonts w:hint="eastAsia"/>
          <w:highlight w:val="none"/>
        </w:rPr>
        <w:t>——</w:t>
      </w:r>
      <w:r>
        <w:rPr>
          <w:rFonts w:hint="eastAsia"/>
          <w:highlight w:val="none"/>
          <w:lang w:val="en-US" w:eastAsia="zh-CN"/>
        </w:rPr>
        <w:t>电导率仪直接测标准块示值，MS/m（%IACS）</w:t>
      </w:r>
      <w:r>
        <w:rPr>
          <w:rFonts w:hint="eastAsia"/>
          <w:highlight w:val="none"/>
        </w:rPr>
        <w:t>；</w:t>
      </w:r>
    </w:p>
    <w:p w14:paraId="58494D01">
      <w:pPr>
        <w:pStyle w:val="58"/>
        <w:spacing w:line="360" w:lineRule="auto"/>
        <w:ind w:firstLine="480"/>
        <w:rPr>
          <w:rFonts w:hint="eastAsia"/>
          <w:highlight w:val="none"/>
          <w:lang w:val="en-US" w:eastAsia="zh-CN"/>
        </w:rPr>
      </w:pPr>
      <w:r>
        <w:rPr>
          <w:rFonts w:hint="eastAsia"/>
          <w:position w:val="-10"/>
          <w:highlight w:val="none"/>
        </w:rPr>
        <w:object>
          <v:shape id="_x0000_i1042" o:spt="75" type="#_x0000_t75" style="height:17pt;width:16pt;" o:ole="t" filled="f" o:preferrelative="t" stroked="f" coordsize="21600,21600">
            <v:path/>
            <v:fill on="f" focussize="0,0"/>
            <v:stroke on="f"/>
            <v:imagedata r:id="rId68" o:title=""/>
            <o:lock v:ext="edit" aspectratio="t"/>
            <w10:wrap type="none"/>
            <w10:anchorlock/>
          </v:shape>
          <o:OLEObject Type="Embed" ProgID="Equation.KSEE3" ShapeID="_x0000_i1042" DrawAspect="Content" ObjectID="_1468075742" r:id="rId67">
            <o:LockedField>false</o:LockedField>
          </o:OLEObject>
        </w:object>
      </w:r>
      <w:r>
        <w:rPr>
          <w:rFonts w:hint="eastAsia"/>
          <w:highlight w:val="none"/>
        </w:rPr>
        <w:t>——</w:t>
      </w:r>
      <w:r>
        <w:rPr>
          <w:rFonts w:hint="eastAsia"/>
          <w:highlight w:val="none"/>
          <w:lang w:val="en-US" w:eastAsia="zh-CN"/>
        </w:rPr>
        <w:t>电导率仪测标准块加上非导电材料后示值，MS/m（%IACS）。</w:t>
      </w:r>
    </w:p>
    <w:p w14:paraId="4DA6547F">
      <w:pPr>
        <w:pStyle w:val="58"/>
        <w:spacing w:line="360" w:lineRule="auto"/>
        <w:ind w:firstLine="480"/>
        <w:rPr>
          <w:rFonts w:hint="default"/>
          <w:highlight w:val="none"/>
          <w:lang w:val="en-US" w:eastAsia="zh-CN"/>
        </w:rPr>
      </w:pPr>
      <w:r>
        <w:rPr>
          <w:rFonts w:hint="eastAsia"/>
          <w:highlight w:val="none"/>
          <w:lang w:val="en-US" w:eastAsia="zh-CN"/>
        </w:rPr>
        <w:t>注：该计量特性的校准方法参考了MIL-STD-1537C中4.3.1.2的校准方法。如下：</w:t>
      </w:r>
    </w:p>
    <w:p w14:paraId="6341EEE1">
      <w:pPr>
        <w:pStyle w:val="58"/>
        <w:spacing w:line="360" w:lineRule="auto"/>
        <w:ind w:firstLine="480"/>
        <w:rPr>
          <w:rFonts w:hint="default"/>
          <w:highlight w:val="none"/>
          <w:lang w:val="en-US" w:eastAsia="zh-CN"/>
        </w:rPr>
      </w:pPr>
      <w:r>
        <w:rPr>
          <w:rFonts w:hint="default"/>
          <w:highlight w:val="none"/>
          <w:lang w:val="en-US" w:eastAsia="zh-CN"/>
        </w:rPr>
        <w:t xml:space="preserve">4.3.1.2 </w:t>
      </w:r>
      <w:r>
        <w:rPr>
          <w:rFonts w:hint="eastAsia"/>
          <w:highlight w:val="none"/>
          <w:lang w:val="en-US" w:eastAsia="zh-CN"/>
        </w:rPr>
        <w:t>提离</w:t>
      </w:r>
      <w:r>
        <w:rPr>
          <w:rFonts w:hint="default"/>
          <w:highlight w:val="none"/>
          <w:lang w:val="en-US" w:eastAsia="zh-CN"/>
        </w:rPr>
        <w:t>效应。</w:t>
      </w:r>
      <w:r>
        <w:rPr>
          <w:rFonts w:hint="eastAsia"/>
          <w:highlight w:val="none"/>
          <w:lang w:val="en-US" w:eastAsia="zh-CN"/>
        </w:rPr>
        <w:t>提离</w:t>
      </w:r>
      <w:r>
        <w:rPr>
          <w:rFonts w:hint="default"/>
          <w:highlight w:val="none"/>
          <w:lang w:val="en-US" w:eastAsia="zh-CN"/>
        </w:rPr>
        <w:t>效应通过比较以下两次读数来确定：首先将探头置于裸露的标准件上；随后在探头与标准件之间放置厚度为0.003英寸（0.076毫米）的非导电平板垫片。两次读数之差不得超过0.5% IACS 。</w:t>
      </w:r>
    </w:p>
    <w:p w14:paraId="64EA0057">
      <w:pPr>
        <w:adjustRightInd w:val="0"/>
        <w:snapToGrid w:val="0"/>
        <w:spacing w:line="360" w:lineRule="auto"/>
        <w:rPr>
          <w:rFonts w:hint="default"/>
          <w:highlight w:val="none"/>
          <w:lang w:val="en-US"/>
        </w:rPr>
      </w:pPr>
      <w:r>
        <w:rPr>
          <w:rFonts w:hint="eastAsia"/>
          <w:highlight w:val="none"/>
          <w:lang w:val="en-US" w:eastAsia="zh-CN"/>
        </w:rPr>
        <w:t>7.2.7</w:t>
      </w:r>
      <w:r>
        <w:rPr>
          <w:rFonts w:hint="eastAsia"/>
          <w:highlight w:val="none"/>
        </w:rPr>
        <w:t xml:space="preserve"> </w:t>
      </w:r>
      <w:r>
        <w:rPr>
          <w:rFonts w:hint="eastAsia"/>
          <w:highlight w:val="none"/>
          <w:lang w:val="en-US" w:eastAsia="zh-CN"/>
        </w:rPr>
        <w:t>稳定性</w:t>
      </w:r>
    </w:p>
    <w:p w14:paraId="43A720D7">
      <w:pPr>
        <w:pStyle w:val="58"/>
        <w:spacing w:line="360" w:lineRule="auto"/>
        <w:ind w:firstLine="480" w:firstLineChars="0"/>
        <w:rPr>
          <w:rFonts w:hint="eastAsia"/>
          <w:lang w:val="en-US" w:eastAsia="zh-CN"/>
        </w:rPr>
      </w:pPr>
      <w:r>
        <w:rPr>
          <w:rFonts w:hint="eastAsia"/>
          <w:highlight w:val="none"/>
          <w:lang w:val="en-US" w:eastAsia="zh-CN"/>
        </w:rPr>
        <w:t>按表1，至少取电导率仪测量范围的低限、高限及任一中间值标准块对提离效应进行校准。将探头置于标准试验中心，偏差不应大于6.35mm,读取被校电导率仪示值，记作</w:t>
      </w:r>
      <m:oMath>
        <m:sSub>
          <m:sSubPr>
            <m:ctrlPr>
              <w:rPr>
                <w:rFonts w:ascii="Cambria Math" w:hAnsi="Cambria Math"/>
                <w:i/>
                <w:highlight w:val="none"/>
                <w:lang w:val="en-US"/>
              </w:rPr>
            </m:ctrlPr>
          </m:sSubPr>
          <m:e>
            <m:r>
              <m:rPr/>
              <w:rPr>
                <w:rFonts w:ascii="Cambria Math" w:hAnsi="Cambria Math"/>
                <w:highlight w:val="none"/>
                <w:lang w:val="en-US"/>
              </w:rPr>
              <m:t>σ</m:t>
            </m:r>
            <m:ctrlPr>
              <w:rPr>
                <w:rFonts w:ascii="Cambria Math" w:hAnsi="Cambria Math"/>
                <w:i/>
                <w:highlight w:val="none"/>
                <w:lang w:val="en-US"/>
              </w:rPr>
            </m:ctrlPr>
          </m:e>
          <m:sub>
            <m:r>
              <m:rPr/>
              <w:rPr>
                <w:rFonts w:hint="default" w:ascii="Cambria Math" w:hAnsi="Cambria Math"/>
                <w:highlight w:val="none"/>
                <w:lang w:val="en-US" w:eastAsia="zh-CN"/>
              </w:rPr>
              <m:t>s1</m:t>
            </m:r>
            <m:ctrlPr>
              <w:rPr>
                <w:rFonts w:ascii="Cambria Math" w:hAnsi="Cambria Math"/>
                <w:i/>
                <w:highlight w:val="none"/>
                <w:lang w:val="en-US"/>
              </w:rPr>
            </m:ctrlPr>
          </m:sub>
        </m:sSub>
      </m:oMath>
      <w:r>
        <w:rPr>
          <w:rFonts w:hint="eastAsia" w:hAnsi="Cambria Math"/>
          <w:i w:val="0"/>
          <w:highlight w:val="none"/>
          <w:lang w:val="en-US" w:eastAsia="zh-CN"/>
        </w:rPr>
        <w:t>，</w:t>
      </w:r>
      <w:r>
        <w:rPr>
          <w:rFonts w:hint="eastAsia"/>
          <w:highlight w:val="none"/>
          <w:lang w:val="en-US" w:eastAsia="zh-CN"/>
        </w:rPr>
        <w:t>15min后再测量一次，记作</w:t>
      </w:r>
      <m:oMath>
        <m:sSub>
          <m:sSubPr>
            <m:ctrlPr>
              <w:rPr>
                <w:rFonts w:ascii="Cambria Math" w:hAnsi="Cambria Math"/>
                <w:i/>
                <w:highlight w:val="none"/>
                <w:lang w:val="en-US"/>
              </w:rPr>
            </m:ctrlPr>
          </m:sSubPr>
          <m:e>
            <m:r>
              <m:rPr/>
              <w:rPr>
                <w:rFonts w:ascii="Cambria Math" w:hAnsi="Cambria Math"/>
                <w:highlight w:val="none"/>
                <w:lang w:val="en-US"/>
              </w:rPr>
              <m:t>σ</m:t>
            </m:r>
            <m:ctrlPr>
              <w:rPr>
                <w:rFonts w:ascii="Cambria Math" w:hAnsi="Cambria Math"/>
                <w:i/>
                <w:highlight w:val="none"/>
                <w:lang w:val="en-US"/>
              </w:rPr>
            </m:ctrlPr>
          </m:e>
          <m:sub>
            <m:r>
              <m:rPr/>
              <w:rPr>
                <w:rFonts w:hint="default" w:ascii="Cambria Math" w:hAnsi="Cambria Math"/>
                <w:highlight w:val="none"/>
                <w:lang w:val="en-US" w:eastAsia="zh-CN"/>
              </w:rPr>
              <m:t>s2</m:t>
            </m:r>
            <m:ctrlPr>
              <w:rPr>
                <w:rFonts w:ascii="Cambria Math" w:hAnsi="Cambria Math"/>
                <w:i/>
                <w:highlight w:val="none"/>
                <w:lang w:val="en-US"/>
              </w:rPr>
            </m:ctrlPr>
          </m:sub>
        </m:sSub>
      </m:oMath>
      <w:r>
        <w:rPr>
          <w:rFonts w:hint="eastAsia"/>
          <w:highlight w:val="none"/>
          <w:lang w:val="en-US" w:eastAsia="zh-CN"/>
        </w:rPr>
        <w:t>，</w:t>
      </w:r>
      <w:r>
        <w:rPr>
          <w:rFonts w:hint="eastAsia"/>
          <w:lang w:val="en-US" w:eastAsia="zh-CN"/>
        </w:rPr>
        <w:t>按式（6）计算稳定性：</w:t>
      </w:r>
    </w:p>
    <w:p w14:paraId="4620D557">
      <w:pPr>
        <w:pStyle w:val="58"/>
        <w:spacing w:line="360" w:lineRule="auto"/>
        <w:ind w:firstLine="2364" w:firstLineChars="1126"/>
        <w:jc w:val="right"/>
        <w:rPr>
          <w:rFonts w:hint="default"/>
          <w:lang w:val="en-US" w:eastAsia="zh-CN"/>
        </w:rPr>
      </w:pPr>
      <w:r>
        <w:rPr>
          <w:rFonts w:hint="default"/>
          <w:position w:val="-12"/>
          <w:lang w:val="en-US" w:eastAsia="zh-CN"/>
        </w:rPr>
        <w:object>
          <v:shape id="_x0000_i1043" o:spt="75" type="#_x0000_t75" style="height:18pt;width:69pt;" o:ole="t" filled="f" o:preferrelative="t" stroked="f" coordsize="21600,21600">
            <v:path/>
            <v:fill on="f" focussize="0,0"/>
            <v:stroke on="f"/>
            <v:imagedata r:id="rId70" o:title=""/>
            <o:lock v:ext="edit" aspectratio="t"/>
            <w10:wrap type="none"/>
            <w10:anchorlock/>
          </v:shape>
          <o:OLEObject Type="Embed" ProgID="Equation.KSEE3" ShapeID="_x0000_i1043" DrawAspect="Content" ObjectID="_1468075743" r:id="rId69">
            <o:LockedField>false</o:LockedField>
          </o:OLEObject>
        </w:object>
      </w:r>
      <w:r>
        <w:rPr>
          <w:rFonts w:hint="eastAsia"/>
          <w:lang w:val="en-US" w:eastAsia="zh-CN"/>
        </w:rPr>
        <w:t xml:space="preserve">                               （7）</w:t>
      </w:r>
    </w:p>
    <w:p w14:paraId="33252B8D">
      <w:pPr>
        <w:pStyle w:val="58"/>
        <w:spacing w:line="360" w:lineRule="auto"/>
        <w:ind w:firstLine="480"/>
        <w:rPr>
          <w:highlight w:val="none"/>
        </w:rPr>
      </w:pPr>
      <w:r>
        <w:rPr>
          <w:rFonts w:hint="eastAsia"/>
          <w:lang w:val="en-US" w:eastAsia="zh-CN"/>
        </w:rPr>
        <w:t xml:space="preserve">  </w:t>
      </w:r>
      <w:r>
        <w:rPr>
          <w:rFonts w:hint="eastAsia"/>
          <w:highlight w:val="none"/>
        </w:rPr>
        <w:t>式中：</w:t>
      </w:r>
    </w:p>
    <w:p w14:paraId="0DD1338F">
      <w:pPr>
        <w:pStyle w:val="58"/>
        <w:spacing w:line="360" w:lineRule="auto"/>
        <w:ind w:firstLine="480"/>
        <w:rPr>
          <w:highlight w:val="none"/>
        </w:rPr>
      </w:pPr>
      <w:r>
        <w:rPr>
          <w:rFonts w:hint="eastAsia"/>
          <w:position w:val="-12"/>
          <w:highlight w:val="none"/>
        </w:rPr>
        <w:object>
          <v:shape id="_x0000_i1044" o:spt="75" type="#_x0000_t75" style="height:18pt;width:15pt;" o:ole="t" filled="f" o:preferrelative="t" stroked="f" coordsize="21600,21600">
            <v:path/>
            <v:fill on="f" focussize="0,0"/>
            <v:stroke on="f"/>
            <v:imagedata r:id="rId72" o:title=""/>
            <o:lock v:ext="edit" aspectratio="t"/>
            <w10:wrap type="none"/>
            <w10:anchorlock/>
          </v:shape>
          <o:OLEObject Type="Embed" ProgID="Equation.KSEE3" ShapeID="_x0000_i1044" DrawAspect="Content" ObjectID="_1468075744" r:id="rId71">
            <o:LockedField>false</o:LockedField>
          </o:OLEObject>
        </w:object>
      </w:r>
      <w:r>
        <w:rPr>
          <w:rFonts w:hint="eastAsia"/>
          <w:highlight w:val="none"/>
        </w:rPr>
        <w:t>——被校</w:t>
      </w:r>
      <w:r>
        <w:rPr>
          <w:rFonts w:hint="eastAsia"/>
          <w:highlight w:val="none"/>
          <w:lang w:val="en-US" w:eastAsia="zh-CN"/>
        </w:rPr>
        <w:t>涡流电导率仪稳定性，MS/m（%IACS）</w:t>
      </w:r>
      <w:r>
        <w:rPr>
          <w:rFonts w:hint="eastAsia"/>
          <w:highlight w:val="none"/>
        </w:rPr>
        <w:t>；</w:t>
      </w:r>
    </w:p>
    <w:p w14:paraId="1CA83AD7">
      <w:pPr>
        <w:pStyle w:val="58"/>
        <w:spacing w:line="360" w:lineRule="auto"/>
        <w:ind w:firstLine="480"/>
        <w:rPr>
          <w:highlight w:val="none"/>
        </w:rPr>
      </w:pPr>
      <w:r>
        <w:rPr>
          <w:rFonts w:hint="eastAsia"/>
          <w:position w:val="-12"/>
          <w:highlight w:val="none"/>
        </w:rPr>
        <w:object>
          <v:shape id="_x0000_i1045" o:spt="75" type="#_x0000_t75" style="height:18pt;width:18pt;" o:ole="t" filled="f" o:preferrelative="t" stroked="f" coordsize="21600,21600">
            <v:path/>
            <v:fill on="f" focussize="0,0"/>
            <v:stroke on="f"/>
            <v:imagedata r:id="rId74" o:title=""/>
            <o:lock v:ext="edit" aspectratio="t"/>
            <w10:wrap type="none"/>
            <w10:anchorlock/>
          </v:shape>
          <o:OLEObject Type="Embed" ProgID="Equation.KSEE3" ShapeID="_x0000_i1045" DrawAspect="Content" ObjectID="_1468075745" r:id="rId73">
            <o:LockedField>false</o:LockedField>
          </o:OLEObject>
        </w:object>
      </w:r>
      <w:r>
        <w:rPr>
          <w:rFonts w:hint="eastAsia"/>
          <w:highlight w:val="none"/>
        </w:rPr>
        <w:t>——</w:t>
      </w:r>
      <w:r>
        <w:rPr>
          <w:rFonts w:hint="eastAsia"/>
          <w:highlight w:val="none"/>
          <w:lang w:val="en-US" w:eastAsia="zh-CN"/>
        </w:rPr>
        <w:t>被校涡流电导率仪示值1，MS/m（%IACS）</w:t>
      </w:r>
      <w:r>
        <w:rPr>
          <w:rFonts w:hint="eastAsia"/>
          <w:highlight w:val="none"/>
        </w:rPr>
        <w:t>；</w:t>
      </w:r>
    </w:p>
    <w:p w14:paraId="0604A831">
      <w:pPr>
        <w:pStyle w:val="58"/>
        <w:spacing w:line="360" w:lineRule="auto"/>
        <w:ind w:firstLine="480"/>
        <w:rPr>
          <w:rFonts w:hint="eastAsia"/>
          <w:highlight w:val="none"/>
          <w:lang w:val="en-US" w:eastAsia="zh-CN"/>
        </w:rPr>
      </w:pPr>
      <w:r>
        <w:rPr>
          <w:rFonts w:hint="eastAsia"/>
          <w:position w:val="-12"/>
          <w:highlight w:val="none"/>
        </w:rPr>
        <w:object>
          <v:shape id="_x0000_i1046" o:spt="75" type="#_x0000_t75" style="height:18pt;width:19pt;" o:ole="t" filled="f" o:preferrelative="t" stroked="f" coordsize="21600,21600">
            <v:path/>
            <v:fill on="f" focussize="0,0"/>
            <v:stroke on="f"/>
            <v:imagedata r:id="rId76" o:title=""/>
            <o:lock v:ext="edit" aspectratio="t"/>
            <w10:wrap type="none"/>
            <w10:anchorlock/>
          </v:shape>
          <o:OLEObject Type="Embed" ProgID="Equation.KSEE3" ShapeID="_x0000_i1046" DrawAspect="Content" ObjectID="_1468075746" r:id="rId75">
            <o:LockedField>false</o:LockedField>
          </o:OLEObject>
        </w:object>
      </w:r>
      <w:r>
        <w:rPr>
          <w:rFonts w:hint="eastAsia"/>
          <w:highlight w:val="none"/>
        </w:rPr>
        <w:t>——</w:t>
      </w:r>
      <w:r>
        <w:rPr>
          <w:rFonts w:hint="eastAsia"/>
          <w:highlight w:val="none"/>
          <w:lang w:val="en-US" w:eastAsia="zh-CN"/>
        </w:rPr>
        <w:t>被校涡流电导率仪示值2，MS/m（%IACS）。</w:t>
      </w:r>
    </w:p>
    <w:p w14:paraId="0A73FAA4">
      <w:pPr>
        <w:pStyle w:val="58"/>
        <w:spacing w:line="360" w:lineRule="auto"/>
        <w:ind w:firstLine="480"/>
        <w:rPr>
          <w:rFonts w:hint="eastAsia"/>
          <w:highlight w:val="none"/>
          <w:lang w:val="en-US" w:eastAsia="zh-CN"/>
        </w:rPr>
      </w:pPr>
      <w:r>
        <w:rPr>
          <w:rFonts w:hint="eastAsia"/>
          <w:color w:val="auto"/>
          <w:highlight w:val="none"/>
          <w:lang w:val="en-US" w:eastAsia="zh-CN"/>
        </w:rPr>
        <w:t>注：该计量特性的校准方法参考了BAC5651：6.2.1d对涡流电导率仪稳定性的要求，如下图所示：</w:t>
      </w:r>
    </w:p>
    <w:p w14:paraId="6C419E0D">
      <w:pPr>
        <w:pStyle w:val="58"/>
        <w:spacing w:line="360" w:lineRule="auto"/>
        <w:ind w:firstLine="480"/>
        <w:rPr>
          <w:rFonts w:hint="eastAsia"/>
          <w:highlight w:val="none"/>
          <w:lang w:val="en-US" w:eastAsia="zh-CN"/>
        </w:rPr>
      </w:pPr>
      <w:r>
        <w:drawing>
          <wp:inline distT="0" distB="0" distL="114300" distR="114300">
            <wp:extent cx="5937250" cy="666115"/>
            <wp:effectExtent l="0" t="0" r="0" b="3175"/>
            <wp:docPr id="31"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40"/>
                    <pic:cNvPicPr>
                      <a:picLocks noChangeAspect="1"/>
                    </pic:cNvPicPr>
                  </pic:nvPicPr>
                  <pic:blipFill>
                    <a:blip r:embed="rId77"/>
                    <a:stretch>
                      <a:fillRect/>
                    </a:stretch>
                  </pic:blipFill>
                  <pic:spPr>
                    <a:xfrm>
                      <a:off x="0" y="0"/>
                      <a:ext cx="5937250" cy="666115"/>
                    </a:xfrm>
                    <a:prstGeom prst="rect">
                      <a:avLst/>
                    </a:prstGeom>
                    <a:noFill/>
                    <a:ln>
                      <a:noFill/>
                    </a:ln>
                  </pic:spPr>
                </pic:pic>
              </a:graphicData>
            </a:graphic>
          </wp:inline>
        </w:drawing>
      </w:r>
    </w:p>
    <w:p w14:paraId="25F5BCB6">
      <w:pPr>
        <w:adjustRightInd w:val="0"/>
        <w:snapToGrid w:val="0"/>
        <w:spacing w:line="360" w:lineRule="auto"/>
        <w:rPr>
          <w:highlight w:val="none"/>
        </w:rPr>
      </w:pPr>
      <w:r>
        <w:rPr>
          <w:rFonts w:hint="eastAsia"/>
          <w:lang w:val="en-US" w:eastAsia="zh-CN"/>
        </w:rPr>
        <w:t>7.2.8  探头性能</w:t>
      </w:r>
      <w:r>
        <w:rPr>
          <w:rFonts w:hint="eastAsia"/>
          <w:highlight w:val="none"/>
          <w:lang w:val="en-US" w:eastAsia="zh-CN"/>
        </w:rPr>
        <w:t xml:space="preserve">       </w:t>
      </w:r>
    </w:p>
    <w:p w14:paraId="37F07650">
      <w:pPr>
        <w:pStyle w:val="58"/>
        <w:spacing w:line="360" w:lineRule="auto"/>
        <w:ind w:firstLine="480" w:firstLineChars="0"/>
        <w:rPr>
          <w:rFonts w:hint="eastAsia"/>
          <w:color w:val="auto"/>
          <w:highlight w:val="none"/>
          <w:lang w:val="en-US" w:eastAsia="zh-CN"/>
        </w:rPr>
      </w:pPr>
      <w:r>
        <w:rPr>
          <w:rFonts w:hint="eastAsia"/>
          <w:color w:val="auto"/>
          <w:highlight w:val="none"/>
          <w:lang w:val="en-US" w:eastAsia="zh-CN"/>
        </w:rPr>
        <w:t>对于接触式</w:t>
      </w:r>
      <w:r>
        <w:rPr>
          <w:rFonts w:hint="eastAsia" w:cs="Times New Roman"/>
          <w:highlight w:val="none"/>
          <w:lang w:val="en-US" w:eastAsia="zh-CN"/>
        </w:rPr>
        <w:t>电导率</w:t>
      </w:r>
      <w:r>
        <w:rPr>
          <w:rFonts w:hint="eastAsia"/>
          <w:color w:val="auto"/>
          <w:highlight w:val="none"/>
          <w:lang w:val="en-US" w:eastAsia="zh-CN"/>
        </w:rPr>
        <w:t>仪，需将电导率仪和探头作为一套装置进行测试，对于非接触式电导率仪，无需将电导率仪和探头作为一套装置进行测试。调节探头上的手柄压力，观察电导率仪响应变化，记录最大变化量</w:t>
      </w:r>
      <m:oMath>
        <m:sSub>
          <m:sSubPr>
            <m:ctrlPr>
              <w:rPr>
                <w:rFonts w:ascii="Cambria Math" w:hAnsi="Cambria Math"/>
                <w:i/>
                <w:color w:val="auto"/>
                <w:highlight w:val="none"/>
                <w:lang w:val="en-US"/>
              </w:rPr>
            </m:ctrlPr>
          </m:sSubPr>
          <m:e>
            <m:r>
              <m:rPr/>
              <w:rPr>
                <w:rFonts w:ascii="Cambria Math" w:hAnsi="Cambria Math"/>
                <w:color w:val="auto"/>
                <w:highlight w:val="none"/>
                <w:lang w:val="en-US"/>
              </w:rPr>
              <m:t>σ</m:t>
            </m:r>
            <m:ctrlPr>
              <w:rPr>
                <w:rFonts w:ascii="Cambria Math" w:hAnsi="Cambria Math"/>
                <w:i/>
                <w:color w:val="auto"/>
                <w:highlight w:val="none"/>
                <w:lang w:val="en-US"/>
              </w:rPr>
            </m:ctrlPr>
          </m:e>
          <m:sub>
            <m:r>
              <m:rPr/>
              <w:rPr>
                <w:rFonts w:hint="default" w:ascii="Cambria Math" w:hAnsi="Cambria Math"/>
                <w:color w:val="auto"/>
                <w:highlight w:val="none"/>
                <w:lang w:val="en-US" w:eastAsia="zh-CN"/>
              </w:rPr>
              <m:t>P</m:t>
            </m:r>
            <m:ctrlPr>
              <w:rPr>
                <w:rFonts w:ascii="Cambria Math" w:hAnsi="Cambria Math"/>
                <w:i/>
                <w:color w:val="auto"/>
                <w:highlight w:val="none"/>
                <w:lang w:val="en-US"/>
              </w:rPr>
            </m:ctrlPr>
          </m:sub>
        </m:sSub>
      </m:oMath>
      <w:r>
        <w:rPr>
          <w:rFonts w:hint="eastAsia"/>
          <w:color w:val="auto"/>
          <w:highlight w:val="none"/>
          <w:lang w:val="en-US" w:eastAsia="zh-CN"/>
        </w:rPr>
        <w:t>。倾斜探头，使其与竖向夹角接近20度，观察电导率仪响应变化，记录其最大变化量</w:t>
      </w:r>
      <m:oMath>
        <m:sSub>
          <m:sSubPr>
            <m:ctrlPr>
              <w:rPr>
                <w:rFonts w:ascii="Cambria Math" w:hAnsi="Cambria Math"/>
                <w:i/>
                <w:color w:val="auto"/>
                <w:highlight w:val="none"/>
                <w:lang w:val="en-US"/>
              </w:rPr>
            </m:ctrlPr>
          </m:sSubPr>
          <m:e>
            <m:r>
              <m:rPr/>
              <w:rPr>
                <w:rFonts w:ascii="Cambria Math" w:hAnsi="Cambria Math"/>
                <w:color w:val="auto"/>
                <w:highlight w:val="none"/>
                <w:lang w:val="en-US"/>
              </w:rPr>
              <m:t>σ</m:t>
            </m:r>
            <m:ctrlPr>
              <w:rPr>
                <w:rFonts w:ascii="Cambria Math" w:hAnsi="Cambria Math"/>
                <w:i/>
                <w:color w:val="auto"/>
                <w:highlight w:val="none"/>
                <w:lang w:val="en-US"/>
              </w:rPr>
            </m:ctrlPr>
          </m:e>
          <m:sub>
            <m:r>
              <m:rPr/>
              <w:rPr>
                <w:rFonts w:hint="default" w:ascii="Cambria Math" w:hAnsi="Cambria Math"/>
                <w:color w:val="auto"/>
                <w:highlight w:val="none"/>
                <w:lang w:val="en-US" w:eastAsia="zh-CN"/>
              </w:rPr>
              <m:t>a</m:t>
            </m:r>
            <m:ctrlPr>
              <w:rPr>
                <w:rFonts w:ascii="Cambria Math" w:hAnsi="Cambria Math"/>
                <w:i/>
                <w:color w:val="auto"/>
                <w:highlight w:val="none"/>
                <w:lang w:val="en-US"/>
              </w:rPr>
            </m:ctrlPr>
          </m:sub>
        </m:sSub>
      </m:oMath>
      <w:r>
        <w:rPr>
          <w:rFonts w:hint="eastAsia"/>
          <w:color w:val="auto"/>
          <w:highlight w:val="none"/>
          <w:lang w:val="en-US" w:eastAsia="zh-CN"/>
        </w:rPr>
        <w:t>。</w:t>
      </w:r>
    </w:p>
    <w:p w14:paraId="00FB94F3">
      <w:pPr>
        <w:pStyle w:val="58"/>
        <w:spacing w:line="360" w:lineRule="auto"/>
        <w:ind w:firstLine="480" w:firstLineChars="0"/>
        <w:rPr>
          <w:rFonts w:hint="default"/>
          <w:color w:val="auto"/>
          <w:highlight w:val="none"/>
          <w:lang w:val="en-US" w:eastAsia="zh-CN"/>
        </w:rPr>
      </w:pPr>
      <w:r>
        <w:rPr>
          <w:rFonts w:hint="eastAsia"/>
          <w:color w:val="auto"/>
          <w:highlight w:val="none"/>
          <w:lang w:val="en-US" w:eastAsia="zh-CN"/>
        </w:rPr>
        <w:t>注：该项目的校准方法参考了BAC5651 6.3.3中对探头的性能测试，如下图所示：</w:t>
      </w:r>
    </w:p>
    <w:p w14:paraId="6D228109">
      <w:pPr>
        <w:pStyle w:val="58"/>
        <w:spacing w:line="360" w:lineRule="auto"/>
        <w:ind w:firstLine="480" w:firstLineChars="0"/>
        <w:rPr>
          <w:rFonts w:hint="eastAsia"/>
          <w:color w:val="auto"/>
          <w:highlight w:val="none"/>
          <w:lang w:val="en-US" w:eastAsia="zh-CN"/>
        </w:rPr>
      </w:pPr>
      <w:r>
        <w:drawing>
          <wp:inline distT="0" distB="0" distL="114300" distR="114300">
            <wp:extent cx="5936615" cy="3039110"/>
            <wp:effectExtent l="0" t="0" r="635" b="5080"/>
            <wp:docPr id="2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5"/>
                    <pic:cNvPicPr>
                      <a:picLocks noChangeAspect="1"/>
                    </pic:cNvPicPr>
                  </pic:nvPicPr>
                  <pic:blipFill>
                    <a:blip r:embed="rId78"/>
                    <a:stretch>
                      <a:fillRect/>
                    </a:stretch>
                  </pic:blipFill>
                  <pic:spPr>
                    <a:xfrm>
                      <a:off x="0" y="0"/>
                      <a:ext cx="5936615" cy="3039110"/>
                    </a:xfrm>
                    <a:prstGeom prst="rect">
                      <a:avLst/>
                    </a:prstGeom>
                    <a:noFill/>
                    <a:ln>
                      <a:noFill/>
                    </a:ln>
                  </pic:spPr>
                </pic:pic>
              </a:graphicData>
            </a:graphic>
          </wp:inline>
        </w:drawing>
      </w:r>
    </w:p>
    <w:p w14:paraId="05B96D1B">
      <w:pPr>
        <w:adjustRightInd w:val="0"/>
        <w:snapToGrid w:val="0"/>
        <w:spacing w:line="360" w:lineRule="auto"/>
        <w:rPr>
          <w:b w:val="0"/>
          <w:bCs w:val="0"/>
          <w:highlight w:val="none"/>
        </w:rPr>
      </w:pPr>
      <w:r>
        <w:rPr>
          <w:rFonts w:hint="eastAsia"/>
          <w:b w:val="0"/>
          <w:bCs w:val="0"/>
          <w:highlight w:val="none"/>
          <w:lang w:val="en-US" w:eastAsia="zh-CN"/>
        </w:rPr>
        <w:t>8</w:t>
      </w:r>
      <w:r>
        <w:rPr>
          <w:rFonts w:hint="eastAsia"/>
          <w:b w:val="0"/>
          <w:bCs w:val="0"/>
          <w:highlight w:val="none"/>
        </w:rPr>
        <w:t xml:space="preserve"> 校准</w:t>
      </w:r>
      <w:r>
        <w:rPr>
          <w:rFonts w:hint="eastAsia"/>
          <w:highlight w:val="none"/>
          <w:lang w:val="en-US" w:eastAsia="zh-CN"/>
        </w:rPr>
        <w:t>结果</w:t>
      </w:r>
      <w:bookmarkEnd w:id="56"/>
      <w:bookmarkEnd w:id="57"/>
      <w:bookmarkEnd w:id="58"/>
      <w:bookmarkEnd w:id="59"/>
      <w:bookmarkEnd w:id="60"/>
      <w:bookmarkEnd w:id="61"/>
      <w:r>
        <w:rPr>
          <w:rFonts w:hint="eastAsia"/>
          <w:b w:val="0"/>
          <w:bCs w:val="0"/>
          <w:highlight w:val="none"/>
        </w:rPr>
        <w:t>表达</w:t>
      </w:r>
      <w:bookmarkEnd w:id="62"/>
      <w:bookmarkEnd w:id="63"/>
    </w:p>
    <w:p w14:paraId="359B47BA">
      <w:pPr>
        <w:pStyle w:val="58"/>
        <w:spacing w:line="360" w:lineRule="auto"/>
        <w:ind w:firstLine="420"/>
        <w:rPr>
          <w:rFonts w:ascii="Times New Roman" w:hAnsi="Times New Roman" w:eastAsiaTheme="minorEastAsia"/>
          <w:kern w:val="2"/>
          <w:szCs w:val="21"/>
        </w:rPr>
      </w:pPr>
      <w:r>
        <w:rPr>
          <w:rFonts w:hint="eastAsia" w:ascii="Times New Roman" w:hAnsi="Times New Roman" w:eastAsiaTheme="minorEastAsia"/>
          <w:kern w:val="2"/>
          <w:szCs w:val="21"/>
        </w:rPr>
        <w:t>根据实验室环境要求、校准项目校准结果、测量不确定度评定结果等，按照JJF 1071-2010推荐的校准报告格式，出具校准证书。</w:t>
      </w:r>
    </w:p>
    <w:p w14:paraId="211B76C6">
      <w:pPr>
        <w:pStyle w:val="4"/>
        <w:spacing w:before="156" w:after="156"/>
        <w:rPr>
          <w:b w:val="0"/>
          <w:bCs w:val="0"/>
        </w:rPr>
      </w:pPr>
      <w:bookmarkStart w:id="64" w:name="_Toc193860040"/>
      <w:bookmarkStart w:id="65" w:name="_Toc193860220"/>
      <w:bookmarkStart w:id="66" w:name="_Toc193860189"/>
      <w:bookmarkStart w:id="67" w:name="_Toc14803_WPSOffice_Level1"/>
      <w:bookmarkStart w:id="68" w:name="_Toc5529"/>
      <w:bookmarkStart w:id="69" w:name="_Toc193860041"/>
      <w:r>
        <w:rPr>
          <w:rFonts w:hint="eastAsia"/>
          <w:b w:val="0"/>
          <w:bCs w:val="0"/>
        </w:rPr>
        <w:t>8 复校</w:t>
      </w:r>
      <w:bookmarkEnd w:id="64"/>
      <w:bookmarkEnd w:id="65"/>
      <w:bookmarkEnd w:id="66"/>
      <w:bookmarkEnd w:id="67"/>
      <w:bookmarkEnd w:id="68"/>
      <w:r>
        <w:rPr>
          <w:rFonts w:hint="eastAsia"/>
          <w:b w:val="0"/>
          <w:bCs w:val="0"/>
        </w:rPr>
        <w:t>时间间隔</w:t>
      </w:r>
    </w:p>
    <w:bookmarkEnd w:id="69"/>
    <w:p w14:paraId="35A8595B">
      <w:pPr>
        <w:pStyle w:val="58"/>
        <w:spacing w:line="360" w:lineRule="auto"/>
        <w:ind w:firstLine="420"/>
        <w:rPr>
          <w:rFonts w:hint="eastAsia" w:ascii="Times New Roman" w:hAnsi="Times New Roman" w:eastAsiaTheme="minorEastAsia"/>
          <w:kern w:val="2"/>
          <w:szCs w:val="21"/>
        </w:rPr>
      </w:pPr>
      <w:r>
        <w:rPr>
          <w:rFonts w:hint="eastAsia" w:ascii="Times New Roman" w:hAnsi="Times New Roman" w:eastAsiaTheme="minorEastAsia"/>
          <w:kern w:val="2"/>
          <w:szCs w:val="21"/>
        </w:rPr>
        <w:t>建议复校时间间隔一般不超过</w:t>
      </w:r>
      <w:r>
        <w:rPr>
          <w:rFonts w:hint="eastAsia" w:ascii="Times New Roman" w:hAnsi="Times New Roman" w:eastAsiaTheme="minorEastAsia"/>
          <w:kern w:val="2"/>
          <w:szCs w:val="21"/>
          <w:lang w:val="en-US" w:eastAsia="zh-CN"/>
        </w:rPr>
        <w:t>6</w:t>
      </w:r>
      <w:r>
        <w:rPr>
          <w:rFonts w:hint="eastAsia" w:ascii="Times New Roman" w:hAnsi="Times New Roman" w:eastAsiaTheme="minorEastAsia"/>
          <w:kern w:val="2"/>
          <w:szCs w:val="21"/>
        </w:rPr>
        <w:t>个月。送校单位可根据使用情况自主决定复校时间间隔。</w:t>
      </w:r>
    </w:p>
    <w:p w14:paraId="792D69F2">
      <w:pPr>
        <w:pStyle w:val="58"/>
        <w:spacing w:line="360" w:lineRule="auto"/>
        <w:ind w:firstLine="420"/>
        <w:rPr>
          <w:rFonts w:hint="default" w:ascii="Times New Roman" w:hAnsi="Times New Roman" w:eastAsiaTheme="minorEastAsia"/>
          <w:kern w:val="2"/>
          <w:szCs w:val="21"/>
          <w:lang w:val="en-US" w:eastAsia="zh-CN"/>
        </w:rPr>
      </w:pPr>
      <w:r>
        <w:rPr>
          <w:rFonts w:hint="eastAsia" w:ascii="Times New Roman" w:hAnsi="Times New Roman" w:eastAsiaTheme="minorEastAsia"/>
          <w:kern w:val="2"/>
          <w:szCs w:val="21"/>
          <w:lang w:val="en-US" w:eastAsia="zh-CN"/>
        </w:rPr>
        <w:t>注：该条根据BAC5651：6.2.2.1 g条要求，如下图所示：</w:t>
      </w:r>
    </w:p>
    <w:p w14:paraId="2AF7134A">
      <w:pPr>
        <w:pStyle w:val="58"/>
        <w:spacing w:line="360" w:lineRule="auto"/>
        <w:ind w:left="0" w:leftChars="0" w:firstLine="0" w:firstLineChars="0"/>
        <w:rPr>
          <w:rFonts w:hint="eastAsia" w:ascii="Times New Roman" w:hAnsi="Times New Roman" w:eastAsiaTheme="minorEastAsia"/>
          <w:kern w:val="2"/>
          <w:szCs w:val="21"/>
        </w:rPr>
      </w:pPr>
      <w:r>
        <w:drawing>
          <wp:inline distT="0" distB="0" distL="114300" distR="114300">
            <wp:extent cx="5928360" cy="1210945"/>
            <wp:effectExtent l="0" t="0" r="8890" b="8890"/>
            <wp:docPr id="7"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4"/>
                    <pic:cNvPicPr>
                      <a:picLocks noChangeAspect="1"/>
                    </pic:cNvPicPr>
                  </pic:nvPicPr>
                  <pic:blipFill>
                    <a:blip r:embed="rId79"/>
                    <a:stretch>
                      <a:fillRect/>
                    </a:stretch>
                  </pic:blipFill>
                  <pic:spPr>
                    <a:xfrm>
                      <a:off x="0" y="0"/>
                      <a:ext cx="5928360" cy="1210945"/>
                    </a:xfrm>
                    <a:prstGeom prst="rect">
                      <a:avLst/>
                    </a:prstGeom>
                    <a:noFill/>
                    <a:ln>
                      <a:noFill/>
                    </a:ln>
                  </pic:spPr>
                </pic:pic>
              </a:graphicData>
            </a:graphic>
          </wp:inline>
        </w:drawing>
      </w:r>
    </w:p>
    <w:p w14:paraId="1678C038">
      <w:pPr>
        <w:pStyle w:val="4"/>
        <w:spacing w:before="156" w:after="156"/>
        <w:rPr>
          <w:b w:val="0"/>
          <w:bCs w:val="0"/>
        </w:rPr>
      </w:pPr>
      <w:r>
        <w:rPr>
          <w:rFonts w:hint="eastAsia"/>
          <w:b w:val="0"/>
          <w:bCs w:val="0"/>
        </w:rPr>
        <w:t>9附录</w:t>
      </w:r>
    </w:p>
    <w:p w14:paraId="3172D4C0">
      <w:pPr>
        <w:pStyle w:val="58"/>
        <w:spacing w:line="360" w:lineRule="auto"/>
        <w:ind w:firstLine="420"/>
        <w:rPr>
          <w:rFonts w:ascii="Times New Roman" w:hAnsi="Times New Roman" w:eastAsiaTheme="minorEastAsia"/>
          <w:kern w:val="2"/>
          <w:szCs w:val="21"/>
        </w:rPr>
      </w:pPr>
      <w:r>
        <w:rPr>
          <w:rFonts w:hint="eastAsia" w:ascii="Times New Roman" w:hAnsi="Times New Roman" w:eastAsiaTheme="minorEastAsia"/>
          <w:kern w:val="2"/>
          <w:szCs w:val="21"/>
        </w:rPr>
        <w:t>附录主要包含校准原始记录参考格式、校准证书内页参考格式、</w:t>
      </w:r>
      <w:r>
        <w:rPr>
          <w:rFonts w:hint="eastAsia" w:eastAsiaTheme="minorEastAsia"/>
          <w:bCs/>
          <w:lang w:val="en-US" w:eastAsia="zh-CN"/>
        </w:rPr>
        <w:t>涡流电导率仪</w:t>
      </w:r>
      <w:r>
        <w:rPr>
          <w:rFonts w:hint="eastAsia"/>
          <w:bCs/>
        </w:rPr>
        <w:t>示值误差测量结果的不确定度评定示例</w:t>
      </w:r>
      <w:r>
        <w:rPr>
          <w:rFonts w:hint="eastAsia" w:ascii="Times New Roman" w:hAnsi="Times New Roman" w:eastAsiaTheme="minorEastAsia"/>
          <w:kern w:val="2"/>
          <w:szCs w:val="21"/>
        </w:rPr>
        <w:t>。</w:t>
      </w:r>
    </w:p>
    <w:p w14:paraId="1D588A44">
      <w:pPr>
        <w:adjustRightInd w:val="0"/>
        <w:snapToGrid w:val="0"/>
        <w:spacing w:line="360" w:lineRule="auto"/>
        <w:ind w:firstLine="420" w:firstLineChars="200"/>
      </w:pPr>
      <w:r>
        <w:rPr>
          <w:rFonts w:hint="eastAsia"/>
        </w:rPr>
        <w:t>本规范设置了</w:t>
      </w:r>
      <w:r>
        <w:t>3</w:t>
      </w:r>
      <w:r>
        <w:rPr>
          <w:rFonts w:hint="eastAsia"/>
        </w:rPr>
        <w:t>个附录，便于校准时参考和规范化。</w:t>
      </w:r>
    </w:p>
    <w:p w14:paraId="68BD153D">
      <w:pPr>
        <w:adjustRightInd w:val="0"/>
        <w:snapToGrid w:val="0"/>
        <w:spacing w:line="360" w:lineRule="auto"/>
        <w:ind w:firstLine="420" w:firstLineChars="200"/>
        <w:rPr>
          <w:bCs/>
        </w:rPr>
      </w:pPr>
      <w:r>
        <w:rPr>
          <w:rFonts w:hint="eastAsia"/>
          <w:bCs/>
        </w:rPr>
        <w:t xml:space="preserve">附录A </w:t>
      </w:r>
      <w:r>
        <w:rPr>
          <w:rFonts w:hint="eastAsia"/>
          <w:bCs/>
          <w:lang w:val="en-US" w:eastAsia="zh-CN"/>
        </w:rPr>
        <w:t>有色金属涡流电导率仪</w:t>
      </w:r>
      <w:r>
        <w:rPr>
          <w:rFonts w:hint="eastAsia"/>
          <w:bCs/>
        </w:rPr>
        <w:t>校准记录参考格式</w:t>
      </w:r>
    </w:p>
    <w:p w14:paraId="38E4AA64">
      <w:pPr>
        <w:adjustRightInd w:val="0"/>
        <w:snapToGrid w:val="0"/>
        <w:spacing w:line="360" w:lineRule="auto"/>
        <w:ind w:firstLine="420" w:firstLineChars="200"/>
        <w:rPr>
          <w:bCs/>
        </w:rPr>
      </w:pPr>
      <w:r>
        <w:rPr>
          <w:rFonts w:hint="eastAsia"/>
          <w:bCs/>
        </w:rPr>
        <w:t>附录B 有色金属涡流电导率仪校准证书内页参考格式</w:t>
      </w:r>
    </w:p>
    <w:p w14:paraId="37698104">
      <w:pPr>
        <w:adjustRightInd w:val="0"/>
        <w:snapToGrid w:val="0"/>
        <w:spacing w:line="360" w:lineRule="auto"/>
        <w:ind w:firstLine="420" w:firstLineChars="200"/>
        <w:rPr>
          <w:bCs/>
        </w:rPr>
      </w:pPr>
      <w:r>
        <w:rPr>
          <w:rFonts w:hint="eastAsia"/>
          <w:bCs/>
        </w:rPr>
        <w:t xml:space="preserve">附录C </w:t>
      </w:r>
      <w:r>
        <w:rPr>
          <w:rFonts w:hint="eastAsia"/>
          <w:bCs/>
          <w:lang w:val="en-US" w:eastAsia="zh-CN"/>
        </w:rPr>
        <w:t>有色金属</w:t>
      </w:r>
      <w:r>
        <w:rPr>
          <w:rFonts w:hint="eastAsia"/>
          <w:bCs/>
        </w:rPr>
        <w:t>涡流电导率仪示值误差测量结果的不确定度评定示例</w:t>
      </w:r>
    </w:p>
    <w:bookmarkEnd w:id="1"/>
    <w:bookmarkEnd w:id="19"/>
    <w:p w14:paraId="65874341">
      <w:pPr>
        <w:pStyle w:val="2"/>
        <w:spacing w:before="156" w:after="156"/>
        <w:rPr>
          <w:b w:val="0"/>
          <w:bCs w:val="0"/>
        </w:rPr>
      </w:pPr>
      <w:bookmarkStart w:id="70" w:name="_Toc464728965"/>
      <w:r>
        <w:rPr>
          <w:rFonts w:hint="eastAsia"/>
          <w:b w:val="0"/>
          <w:bCs w:val="0"/>
        </w:rPr>
        <w:t>三、实践检测情况</w:t>
      </w:r>
    </w:p>
    <w:p w14:paraId="112BF56C">
      <w:pPr>
        <w:adjustRightInd w:val="0"/>
        <w:spacing w:line="360" w:lineRule="auto"/>
        <w:ind w:firstLine="420" w:firstLineChars="200"/>
      </w:pPr>
    </w:p>
    <w:p w14:paraId="5E72FDC9">
      <w:pPr>
        <w:pStyle w:val="2"/>
        <w:spacing w:before="156" w:after="156"/>
        <w:rPr>
          <w:b w:val="0"/>
          <w:bCs w:val="0"/>
        </w:rPr>
      </w:pPr>
      <w:r>
        <w:rPr>
          <w:rFonts w:hint="eastAsia"/>
          <w:b w:val="0"/>
          <w:bCs w:val="0"/>
        </w:rPr>
        <w:t>四、规范水平分析</w:t>
      </w:r>
      <w:bookmarkEnd w:id="70"/>
    </w:p>
    <w:p w14:paraId="7C7EE1C8">
      <w:pPr>
        <w:adjustRightInd w:val="0"/>
        <w:spacing w:line="360" w:lineRule="auto"/>
        <w:ind w:firstLine="420" w:firstLineChars="200"/>
        <w:rPr>
          <w:rFonts w:hint="eastAsia" w:ascii="宋体" w:hAnsi="宋体"/>
          <w:szCs w:val="21"/>
        </w:rPr>
      </w:pPr>
      <w:r>
        <w:rPr>
          <w:rFonts w:hint="eastAsia" w:ascii="宋体" w:hAnsi="宋体"/>
          <w:bCs/>
          <w:szCs w:val="21"/>
        </w:rPr>
        <w:t>本规范填补了国内对</w:t>
      </w:r>
      <w:r>
        <w:rPr>
          <w:rFonts w:hint="eastAsia" w:ascii="宋体" w:hAnsi="宋体"/>
          <w:bCs/>
          <w:szCs w:val="21"/>
          <w:lang w:val="en-US" w:eastAsia="zh-CN"/>
        </w:rPr>
        <w:t>有色金属涡流电导率仪</w:t>
      </w:r>
      <w:r>
        <w:rPr>
          <w:rFonts w:hint="eastAsia" w:ascii="宋体" w:hAnsi="宋体"/>
          <w:bCs/>
          <w:szCs w:val="21"/>
        </w:rPr>
        <w:t>无校准规范的空白，规范对</w:t>
      </w:r>
      <w:r>
        <w:rPr>
          <w:rFonts w:hint="eastAsia" w:ascii="宋体" w:hAnsi="宋体"/>
          <w:bCs/>
          <w:szCs w:val="21"/>
          <w:lang w:val="en-US" w:eastAsia="zh-CN"/>
        </w:rPr>
        <w:t>电导率仪</w:t>
      </w:r>
      <w:r>
        <w:rPr>
          <w:rFonts w:hint="eastAsia" w:ascii="宋体" w:hAnsi="宋体"/>
          <w:bCs/>
          <w:szCs w:val="21"/>
        </w:rPr>
        <w:t>计量特性的校准，进行了详细描述，可操作性强，水平达到国内领先</w:t>
      </w:r>
      <w:r>
        <w:rPr>
          <w:rFonts w:hint="eastAsia"/>
          <w:szCs w:val="21"/>
        </w:rPr>
        <w:t>。</w:t>
      </w:r>
    </w:p>
    <w:p w14:paraId="2AA8A6BA">
      <w:pPr>
        <w:pStyle w:val="2"/>
        <w:spacing w:before="156" w:after="156"/>
        <w:rPr>
          <w:b w:val="0"/>
          <w:bCs w:val="0"/>
        </w:rPr>
      </w:pPr>
      <w:r>
        <w:rPr>
          <w:rFonts w:hint="eastAsia"/>
          <w:b w:val="0"/>
          <w:bCs w:val="0"/>
        </w:rPr>
        <w:t>五、与有关的现行法律、法规和强制性国家标准的关系</w:t>
      </w:r>
    </w:p>
    <w:p w14:paraId="2310E4CB">
      <w:pPr>
        <w:pStyle w:val="58"/>
        <w:spacing w:line="300" w:lineRule="auto"/>
        <w:ind w:firstLine="420"/>
        <w:rPr>
          <w:rFonts w:hint="eastAsia"/>
        </w:rPr>
      </w:pPr>
      <w:r>
        <w:rPr>
          <w:rFonts w:hint="eastAsia"/>
        </w:rPr>
        <w:t>本规范所引用的规程、规范及标准均为我国现行有效的计量规程及规范，是本规范的一部分，引用这些文件后，使本规范的要求与现行的相关法律、法规、规章及相关规程规范的关系不矛盾、不冲突，相互关系协调。</w:t>
      </w:r>
    </w:p>
    <w:p w14:paraId="5A261490">
      <w:pPr>
        <w:pStyle w:val="2"/>
        <w:spacing w:before="156" w:after="156"/>
        <w:rPr>
          <w:b w:val="0"/>
          <w:bCs w:val="0"/>
        </w:rPr>
      </w:pPr>
      <w:bookmarkStart w:id="71" w:name="_Toc464728973"/>
      <w:r>
        <w:rPr>
          <w:rFonts w:hint="eastAsia"/>
          <w:b w:val="0"/>
          <w:bCs w:val="0"/>
        </w:rPr>
        <w:t>六、规范中涉及的专利或知识产权说明</w:t>
      </w:r>
      <w:bookmarkEnd w:id="71"/>
    </w:p>
    <w:p w14:paraId="01EFC9D5">
      <w:pPr>
        <w:pStyle w:val="58"/>
        <w:spacing w:line="300" w:lineRule="auto"/>
        <w:ind w:firstLineChars="0"/>
        <w:contextualSpacing/>
        <w:rPr>
          <w:rFonts w:hint="eastAsia"/>
          <w:szCs w:val="21"/>
        </w:rPr>
      </w:pPr>
      <w:bookmarkStart w:id="72" w:name="_Toc464728974"/>
      <w:r>
        <w:rPr>
          <w:rFonts w:hint="eastAsia"/>
          <w:szCs w:val="21"/>
        </w:rPr>
        <w:t>无。</w:t>
      </w:r>
    </w:p>
    <w:p w14:paraId="671EAAF9">
      <w:pPr>
        <w:pStyle w:val="2"/>
        <w:spacing w:before="156" w:after="156"/>
        <w:rPr>
          <w:b w:val="0"/>
          <w:bCs w:val="0"/>
        </w:rPr>
      </w:pPr>
      <w:r>
        <w:rPr>
          <w:rFonts w:hint="eastAsia"/>
          <w:b w:val="0"/>
          <w:bCs w:val="0"/>
        </w:rPr>
        <w:t>七、重大分歧意见的处理经过和依据</w:t>
      </w:r>
      <w:bookmarkEnd w:id="72"/>
    </w:p>
    <w:p w14:paraId="1E91EDF3">
      <w:pPr>
        <w:pStyle w:val="58"/>
        <w:spacing w:line="300" w:lineRule="auto"/>
        <w:ind w:firstLine="420"/>
        <w:contextualSpacing/>
        <w:rPr>
          <w:rFonts w:hint="eastAsia"/>
          <w:szCs w:val="21"/>
        </w:rPr>
      </w:pPr>
      <w:r>
        <w:rPr>
          <w:rFonts w:hint="eastAsia"/>
          <w:szCs w:val="21"/>
        </w:rPr>
        <w:t>无。</w:t>
      </w:r>
    </w:p>
    <w:p w14:paraId="5F624570">
      <w:pPr>
        <w:pStyle w:val="2"/>
        <w:spacing w:before="156" w:after="156"/>
        <w:rPr>
          <w:b w:val="0"/>
          <w:bCs w:val="0"/>
        </w:rPr>
      </w:pPr>
      <w:r>
        <w:rPr>
          <w:rFonts w:hint="eastAsia"/>
          <w:b w:val="0"/>
          <w:bCs w:val="0"/>
        </w:rPr>
        <w:t>八、规范作为国家（或行业）计量技术规范的建议</w:t>
      </w:r>
    </w:p>
    <w:p w14:paraId="580EC270">
      <w:pPr>
        <w:adjustRightInd w:val="0"/>
        <w:spacing w:line="360" w:lineRule="auto"/>
        <w:ind w:firstLine="420" w:firstLineChars="200"/>
        <w:rPr>
          <w:rFonts w:hint="eastAsia" w:hAnsi="宋体"/>
          <w:szCs w:val="21"/>
        </w:rPr>
      </w:pPr>
      <w:r>
        <w:rPr>
          <w:rFonts w:hint="eastAsia" w:hAnsi="宋体"/>
          <w:szCs w:val="21"/>
        </w:rPr>
        <w:t>建议本规范作为行业计量技术规范，供行业企业参考使用。必要时可根据实际需要，结合其他行业使用要求，申报国家计量技术规范，以满足校准需要。</w:t>
      </w:r>
    </w:p>
    <w:p w14:paraId="494619FB">
      <w:pPr>
        <w:pStyle w:val="2"/>
        <w:spacing w:before="156" w:after="156"/>
        <w:rPr>
          <w:b w:val="0"/>
          <w:bCs w:val="0"/>
        </w:rPr>
      </w:pPr>
      <w:bookmarkStart w:id="73" w:name="_Toc464728976"/>
      <w:r>
        <w:rPr>
          <w:rFonts w:hint="eastAsia"/>
          <w:b w:val="0"/>
          <w:bCs w:val="0"/>
        </w:rPr>
        <w:t>九、贯彻规范的要求和措施建议</w:t>
      </w:r>
      <w:bookmarkEnd w:id="73"/>
    </w:p>
    <w:p w14:paraId="215F7D1D">
      <w:pPr>
        <w:pStyle w:val="58"/>
        <w:spacing w:line="300" w:lineRule="auto"/>
        <w:ind w:firstLine="420"/>
        <w:contextualSpacing/>
        <w:rPr>
          <w:rFonts w:hint="eastAsia"/>
          <w:szCs w:val="21"/>
        </w:rPr>
      </w:pPr>
      <w:r>
        <w:rPr>
          <w:rFonts w:hint="eastAsia"/>
          <w:szCs w:val="21"/>
        </w:rPr>
        <w:t>本规范发布后，中国有色金属行业协会和有色金属行业计量技术委员会应加强本规范的宣传力度，以促进我国企业的技术进步和产品质量上档次，提高我国产品在国际国内市场的竞争能力。</w:t>
      </w:r>
    </w:p>
    <w:p w14:paraId="674F8D96">
      <w:pPr>
        <w:pStyle w:val="2"/>
        <w:spacing w:before="156" w:after="156"/>
        <w:rPr>
          <w:b w:val="0"/>
          <w:bCs w:val="0"/>
        </w:rPr>
      </w:pPr>
      <w:bookmarkStart w:id="74" w:name="_Toc464728977"/>
      <w:r>
        <w:rPr>
          <w:rFonts w:hint="eastAsia"/>
          <w:b w:val="0"/>
          <w:bCs w:val="0"/>
        </w:rPr>
        <w:t>十、废止现行有关规范的建议</w:t>
      </w:r>
      <w:bookmarkEnd w:id="74"/>
    </w:p>
    <w:p w14:paraId="71F79B57">
      <w:pPr>
        <w:pStyle w:val="58"/>
        <w:spacing w:line="300" w:lineRule="auto"/>
        <w:ind w:firstLine="420"/>
        <w:contextualSpacing/>
        <w:rPr>
          <w:rFonts w:hint="eastAsia"/>
          <w:szCs w:val="21"/>
        </w:rPr>
      </w:pPr>
      <w:r>
        <w:rPr>
          <w:rFonts w:hint="eastAsia"/>
          <w:szCs w:val="21"/>
        </w:rPr>
        <w:t>无。</w:t>
      </w:r>
    </w:p>
    <w:p w14:paraId="430F4F5E">
      <w:pPr>
        <w:pStyle w:val="2"/>
        <w:spacing w:before="156" w:after="156"/>
        <w:rPr>
          <w:b w:val="0"/>
          <w:bCs w:val="0"/>
        </w:rPr>
      </w:pPr>
      <w:r>
        <w:rPr>
          <w:rFonts w:hint="eastAsia"/>
          <w:b w:val="0"/>
          <w:bCs w:val="0"/>
        </w:rPr>
        <w:t>十一、预期效果</w:t>
      </w:r>
    </w:p>
    <w:p w14:paraId="3D649F3E">
      <w:pPr>
        <w:ind w:firstLine="420" w:firstLineChars="200"/>
        <w:rPr>
          <w:rFonts w:hint="eastAsia" w:ascii="宋体" w:hAnsi="宋体"/>
          <w:kern w:val="0"/>
          <w:szCs w:val="21"/>
        </w:rPr>
      </w:pPr>
      <w:r>
        <w:rPr>
          <w:rFonts w:hint="eastAsia"/>
          <w:bCs/>
        </w:rPr>
        <w:t>本规范的制定使</w:t>
      </w:r>
      <w:r>
        <w:rPr>
          <w:rFonts w:hint="eastAsia"/>
          <w:bCs/>
          <w:lang w:val="en-US" w:eastAsia="zh-CN"/>
        </w:rPr>
        <w:t>有色金属涡流电导率仪</w:t>
      </w:r>
      <w:r>
        <w:rPr>
          <w:rFonts w:hint="eastAsia"/>
          <w:bCs/>
        </w:rPr>
        <w:t>的校准</w:t>
      </w:r>
      <w:r>
        <w:rPr>
          <w:rFonts w:hint="eastAsia" w:ascii="宋体" w:eastAsia="方正行楷简体"/>
          <w:bCs/>
          <w:kern w:val="0"/>
          <w:szCs w:val="21"/>
        </w:rPr>
        <w:t>有了可靠依据，对</w:t>
      </w:r>
      <w:r>
        <w:rPr>
          <w:rFonts w:hint="eastAsia" w:ascii="宋体" w:eastAsia="方正行楷简体"/>
          <w:bCs/>
          <w:kern w:val="0"/>
          <w:szCs w:val="21"/>
          <w:lang w:val="en-US" w:eastAsia="zh-CN"/>
        </w:rPr>
        <w:t>有色金属涡流电导率仪</w:t>
      </w:r>
      <w:r>
        <w:rPr>
          <w:rFonts w:hint="eastAsia" w:ascii="宋体" w:eastAsia="方正行楷简体"/>
          <w:bCs/>
          <w:kern w:val="0"/>
          <w:szCs w:val="21"/>
        </w:rPr>
        <w:t>的评价有了统一标准，能很好地用于指导生产</w:t>
      </w:r>
      <w:r>
        <w:rPr>
          <w:rFonts w:ascii="宋体" w:hAnsi="宋体"/>
          <w:kern w:val="0"/>
          <w:szCs w:val="21"/>
        </w:rPr>
        <w:t>。</w:t>
      </w:r>
    </w:p>
    <w:p w14:paraId="583DDC0C">
      <w:pPr>
        <w:pStyle w:val="2"/>
        <w:spacing w:before="156" w:after="156"/>
        <w:rPr>
          <w:b w:val="0"/>
          <w:bCs w:val="0"/>
        </w:rPr>
      </w:pPr>
      <w:r>
        <w:rPr>
          <w:rFonts w:hint="eastAsia"/>
          <w:b w:val="0"/>
          <w:bCs w:val="0"/>
        </w:rPr>
        <w:t>十二、其他应予说明的事项</w:t>
      </w:r>
    </w:p>
    <w:p w14:paraId="582F9FFC">
      <w:pPr>
        <w:pStyle w:val="58"/>
        <w:spacing w:line="300" w:lineRule="auto"/>
        <w:ind w:firstLineChars="0"/>
        <w:contextualSpacing/>
        <w:rPr>
          <w:rFonts w:hint="eastAsia"/>
          <w:szCs w:val="21"/>
        </w:rPr>
      </w:pPr>
      <w:r>
        <w:rPr>
          <w:rFonts w:hint="eastAsia"/>
          <w:szCs w:val="21"/>
        </w:rPr>
        <w:t>无。</w:t>
      </w:r>
    </w:p>
    <w:p w14:paraId="07C719CD">
      <w:pPr>
        <w:pStyle w:val="58"/>
        <w:spacing w:line="300" w:lineRule="auto"/>
        <w:ind w:firstLineChars="0"/>
        <w:contextualSpacing/>
        <w:jc w:val="right"/>
        <w:rPr>
          <w:rFonts w:ascii="Times New Roman" w:hAnsi="Times New Roman" w:eastAsia="黑体"/>
        </w:rPr>
      </w:pPr>
      <w:r>
        <w:rPr>
          <w:rFonts w:ascii="Times New Roman" w:hAnsi="Times New Roman" w:eastAsia="黑体"/>
        </w:rPr>
        <w:t xml:space="preserve"> </w:t>
      </w:r>
    </w:p>
    <w:p w14:paraId="7C3593E7">
      <w:pPr>
        <w:pStyle w:val="58"/>
        <w:spacing w:line="300" w:lineRule="auto"/>
        <w:ind w:firstLineChars="0"/>
        <w:contextualSpacing/>
        <w:jc w:val="right"/>
        <w:rPr>
          <w:rFonts w:ascii="Times New Roman" w:hAnsi="Times New Roman" w:eastAsia="黑体"/>
        </w:rPr>
      </w:pPr>
    </w:p>
    <w:p w14:paraId="2E77FB3B">
      <w:pPr>
        <w:pStyle w:val="58"/>
        <w:spacing w:line="300" w:lineRule="auto"/>
        <w:ind w:firstLineChars="0"/>
        <w:contextualSpacing/>
        <w:jc w:val="right"/>
        <w:rPr>
          <w:rFonts w:ascii="Times New Roman" w:hAnsi="Times New Roman" w:eastAsia="方正行楷简体"/>
          <w:szCs w:val="21"/>
        </w:rPr>
      </w:pPr>
      <w:r>
        <w:rPr>
          <w:rFonts w:ascii="Times New Roman" w:hAnsi="Times New Roman" w:eastAsia="方正行楷简体"/>
          <w:szCs w:val="21"/>
        </w:rPr>
        <w:t>《</w:t>
      </w:r>
      <w:r>
        <w:rPr>
          <w:rFonts w:hint="eastAsia" w:asciiTheme="minorEastAsia" w:hAnsiTheme="minorEastAsia" w:eastAsiaTheme="minorEastAsia" w:cstheme="minorEastAsia"/>
          <w:bCs/>
          <w:szCs w:val="21"/>
        </w:rPr>
        <w:t>有色金属涡流电导率仪校准规范</w:t>
      </w:r>
      <w:r>
        <w:rPr>
          <w:rFonts w:ascii="Times New Roman" w:hAnsi="Times New Roman" w:eastAsia="方正行楷简体"/>
          <w:szCs w:val="21"/>
        </w:rPr>
        <w:t xml:space="preserve">》编制组  </w:t>
      </w:r>
    </w:p>
    <w:p w14:paraId="4BEDD914">
      <w:pPr>
        <w:pStyle w:val="58"/>
        <w:spacing w:line="300" w:lineRule="auto"/>
        <w:ind w:firstLineChars="0"/>
        <w:contextualSpacing/>
        <w:jc w:val="right"/>
        <w:rPr>
          <w:rFonts w:hint="eastAsia"/>
          <w:szCs w:val="21"/>
        </w:rPr>
      </w:pPr>
      <w:r>
        <w:rPr>
          <w:rFonts w:ascii="Times New Roman" w:hAnsi="Times New Roman" w:eastAsia="方正行楷简体"/>
          <w:szCs w:val="21"/>
        </w:rPr>
        <w:t>202</w:t>
      </w:r>
      <w:r>
        <w:rPr>
          <w:rFonts w:hint="eastAsia" w:ascii="Times New Roman" w:hAnsi="Times New Roman" w:eastAsia="方正行楷简体"/>
          <w:szCs w:val="21"/>
        </w:rPr>
        <w:t>6</w:t>
      </w:r>
      <w:r>
        <w:rPr>
          <w:rFonts w:ascii="Times New Roman" w:hAnsi="Times New Roman" w:eastAsia="方正行楷简体"/>
          <w:szCs w:val="21"/>
        </w:rPr>
        <w:t>年</w:t>
      </w:r>
      <w:r>
        <w:rPr>
          <w:rFonts w:hint="eastAsia" w:ascii="Times New Roman" w:hAnsi="Times New Roman" w:eastAsia="方正行楷简体"/>
          <w:szCs w:val="21"/>
          <w:lang w:val="en-US" w:eastAsia="zh-CN"/>
        </w:rPr>
        <w:t>9</w:t>
      </w:r>
      <w:r>
        <w:rPr>
          <w:rFonts w:ascii="Times New Roman" w:hAnsi="Times New Roman" w:eastAsia="方正行楷简体"/>
          <w:szCs w:val="21"/>
        </w:rPr>
        <w:t>月</w:t>
      </w:r>
      <w:r>
        <w:rPr>
          <w:rFonts w:hint="eastAsia" w:ascii="Times New Roman" w:hAnsi="Times New Roman" w:eastAsia="方正行楷简体"/>
          <w:szCs w:val="21"/>
          <w:lang w:val="en-US" w:eastAsia="zh-CN"/>
        </w:rPr>
        <w:t>2</w:t>
      </w:r>
      <w:r>
        <w:rPr>
          <w:rFonts w:ascii="Times New Roman" w:hAnsi="Times New Roman" w:eastAsia="方正行楷简体"/>
          <w:szCs w:val="21"/>
        </w:rPr>
        <w:t>日</w:t>
      </w:r>
    </w:p>
    <w:sectPr>
      <w:footerReference r:id="rId5" w:type="first"/>
      <w:headerReference r:id="rId3" w:type="default"/>
      <w:footerReference r:id="rId4" w:type="default"/>
      <w:pgSz w:w="11907" w:h="16839"/>
      <w:pgMar w:top="1418" w:right="1134" w:bottom="1134" w:left="1418" w:header="1418" w:footer="851"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 w:name="方正行楷简体">
    <w:altName w:val="宋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0B99E">
    <w:pPr>
      <w:pStyle w:val="73"/>
      <w:jc w:val="center"/>
      <w:rPr>
        <w:rStyle w:val="45"/>
      </w:rPr>
    </w:pPr>
    <w:r>
      <w:fldChar w:fldCharType="begin"/>
    </w:r>
    <w:r>
      <w:rPr>
        <w:rStyle w:val="45"/>
      </w:rPr>
      <w:instrText xml:space="preserve">PAGE  </w:instrText>
    </w:r>
    <w:r>
      <w:fldChar w:fldCharType="separate"/>
    </w:r>
    <w:r>
      <w:rPr>
        <w:rStyle w:val="45"/>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08B58">
    <w:pPr>
      <w:pStyle w:val="30"/>
      <w:jc w:val="both"/>
    </w:pPr>
  </w:p>
  <w:p w14:paraId="26EE9ADE">
    <w:pPr>
      <w:pStyle w:val="30"/>
      <w:jc w:val="center"/>
      <w:rPr>
        <w:rFonts w:hint="eastAsia" w:ascii="宋体" w:hAnsi="宋体"/>
        <w:sz w:val="21"/>
      </w:rPr>
    </w:pPr>
    <w:r>
      <w:rPr>
        <w:rFonts w:hint="eastAsia" w:ascii="宋体" w:hAnsi="宋体"/>
        <w:sz w:val="21"/>
      </w:rPr>
      <w:t>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E9323">
    <w:pPr>
      <w:pStyle w:val="61"/>
      <w:widowControl w:val="0"/>
      <w:numPr>
        <w:ilvl w:val="1"/>
        <w:numId w:val="0"/>
      </w:numPr>
      <w:adjustRightInd w:val="0"/>
      <w:snapToGrid w:val="0"/>
      <w:spacing w:beforeLines="0" w:after="120"/>
      <w:outlineLvl w:val="9"/>
      <w:rPr>
        <w:rFonts w:ascii="Times New Roman" w:eastAsia="宋体"/>
        <w:kern w:val="2"/>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none"/>
      <w:pStyle w:val="80"/>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0C"/>
    <w:multiLevelType w:val="multilevel"/>
    <w:tmpl w:val="0000000C"/>
    <w:lvl w:ilvl="0" w:tentative="0">
      <w:start w:val="1"/>
      <w:numFmt w:val="none"/>
      <w:pStyle w:val="108"/>
      <w:lvlText w:val="%1示例"/>
      <w:lvlJc w:val="left"/>
      <w:pPr>
        <w:tabs>
          <w:tab w:val="left" w:pos="1120"/>
        </w:tabs>
        <w:ind w:left="0" w:firstLine="400"/>
      </w:pPr>
      <w:rPr>
        <w:rFonts w:hint="eastAsia" w:ascii="宋体"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10"/>
    <w:multiLevelType w:val="multilevel"/>
    <w:tmpl w:val="00000010"/>
    <w:lvl w:ilvl="0" w:tentative="0">
      <w:start w:val="1"/>
      <w:numFmt w:val="none"/>
      <w:pStyle w:val="91"/>
      <w:lvlText w:val="%1注："/>
      <w:lvlJc w:val="left"/>
      <w:pPr>
        <w:tabs>
          <w:tab w:val="left" w:pos="1140"/>
        </w:tabs>
        <w:ind w:left="840" w:hanging="42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13"/>
    <w:multiLevelType w:val="multilevel"/>
    <w:tmpl w:val="00000013"/>
    <w:lvl w:ilvl="0" w:tentative="0">
      <w:start w:val="1"/>
      <w:numFmt w:val="none"/>
      <w:suff w:val="nothing"/>
      <w:lvlText w:val="　"/>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pacing w:val="0"/>
        <w:w w:val="100"/>
        <w:kern w:val="21"/>
        <w:sz w:val="21"/>
      </w:rPr>
    </w:lvl>
    <w:lvl w:ilvl="2" w:tentative="0">
      <w:start w:val="1"/>
      <w:numFmt w:val="decimal"/>
      <w:pStyle w:val="118"/>
      <w:suff w:val="nothing"/>
      <w:lvlText w:val="%1%2.%3　"/>
      <w:lvlJc w:val="left"/>
      <w:pPr>
        <w:ind w:left="0" w:firstLine="0"/>
      </w:pPr>
      <w:rPr>
        <w:rFonts w:hint="eastAsia" w:ascii="黑体" w:hAnsi="Times New Roman" w:eastAsia="黑体"/>
        <w:b w:val="0"/>
        <w:i w:val="0"/>
        <w:sz w:val="21"/>
      </w:rPr>
    </w:lvl>
    <w:lvl w:ilvl="3" w:tentative="0">
      <w:start w:val="1"/>
      <w:numFmt w:val="decimal"/>
      <w:pStyle w:val="94"/>
      <w:suff w:val="nothing"/>
      <w:lvlText w:val="%1%2.%3.%4　"/>
      <w:lvlJc w:val="left"/>
      <w:pPr>
        <w:ind w:left="0" w:firstLine="0"/>
      </w:pPr>
      <w:rPr>
        <w:rFonts w:hint="eastAsia" w:ascii="黑体" w:hAnsi="Times New Roman" w:eastAsia="黑体"/>
        <w:b w:val="0"/>
        <w:i w:val="0"/>
        <w:sz w:val="21"/>
      </w:rPr>
    </w:lvl>
    <w:lvl w:ilvl="4" w:tentative="0">
      <w:start w:val="1"/>
      <w:numFmt w:val="decimal"/>
      <w:pStyle w:val="116"/>
      <w:suff w:val="nothing"/>
      <w:lvlText w:val="%1%2.%3.%4.%5　"/>
      <w:lvlJc w:val="left"/>
      <w:pPr>
        <w:ind w:left="0" w:firstLine="0"/>
      </w:pPr>
      <w:rPr>
        <w:rFonts w:hint="eastAsia" w:ascii="黑体" w:hAnsi="Times New Roman" w:eastAsia="黑体"/>
        <w:b w:val="0"/>
        <w:i w:val="0"/>
        <w:sz w:val="21"/>
      </w:rPr>
    </w:lvl>
    <w:lvl w:ilvl="5" w:tentative="0">
      <w:start w:val="1"/>
      <w:numFmt w:val="decimal"/>
      <w:pStyle w:val="110"/>
      <w:suff w:val="nothing"/>
      <w:lvlText w:val="%1%2.%3.%4.%5.%6　"/>
      <w:lvlJc w:val="left"/>
      <w:pPr>
        <w:ind w:left="0" w:firstLine="0"/>
      </w:pPr>
      <w:rPr>
        <w:rFonts w:hint="eastAsia" w:ascii="黑体" w:hAnsi="Times New Roman" w:eastAsia="黑体"/>
        <w:b w:val="0"/>
        <w:i w:val="0"/>
        <w:sz w:val="21"/>
      </w:rPr>
    </w:lvl>
    <w:lvl w:ilvl="6" w:tentative="0">
      <w:start w:val="1"/>
      <w:numFmt w:val="decimal"/>
      <w:pStyle w:val="83"/>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00000014"/>
    <w:multiLevelType w:val="multilevel"/>
    <w:tmpl w:val="00000014"/>
    <w:lvl w:ilvl="0" w:tentative="0">
      <w:start w:val="1"/>
      <w:numFmt w:val="none"/>
      <w:pStyle w:val="115"/>
      <w:lvlText w:val="%1·　"/>
      <w:lvlJc w:val="left"/>
      <w:pPr>
        <w:tabs>
          <w:tab w:val="left" w:pos="1140"/>
        </w:tabs>
        <w:ind w:left="737" w:hanging="317"/>
      </w:pPr>
      <w:rPr>
        <w:rFonts w:hint="eastAsia" w:ascii="宋体" w:hAnsi="Times New Roman" w:eastAsia="宋体"/>
        <w:b w:val="0"/>
        <w:i w:val="0"/>
        <w:sz w:val="21"/>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5">
    <w:nsid w:val="00000015"/>
    <w:multiLevelType w:val="multilevel"/>
    <w:tmpl w:val="00000015"/>
    <w:lvl w:ilvl="0" w:tentative="0">
      <w:start w:val="1"/>
      <w:numFmt w:val="upperLetter"/>
      <w:pStyle w:val="65"/>
      <w:suff w:val="nothing"/>
      <w:lvlText w:val="附　录　%1"/>
      <w:lvlJc w:val="left"/>
      <w:pPr>
        <w:ind w:left="0" w:firstLine="0"/>
      </w:pPr>
      <w:rPr>
        <w:rFonts w:hint="eastAsia" w:ascii="黑体" w:hAnsi="Times New Roman" w:eastAsia="黑体"/>
        <w:b w:val="0"/>
        <w:i w:val="0"/>
        <w:sz w:val="21"/>
      </w:rPr>
    </w:lvl>
    <w:lvl w:ilvl="1" w:tentative="0">
      <w:start w:val="1"/>
      <w:numFmt w:val="japaneseCounting"/>
      <w:pStyle w:val="79"/>
      <w:lvlText w:val="（%2）"/>
      <w:lvlJc w:val="left"/>
      <w:pPr>
        <w:ind w:left="0" w:firstLine="0"/>
      </w:pPr>
      <w:rPr>
        <w:rFonts w:hint="default"/>
        <w:b w:val="0"/>
        <w:i w:val="0"/>
        <w:spacing w:val="0"/>
        <w:w w:val="100"/>
        <w:kern w:val="21"/>
        <w:sz w:val="21"/>
      </w:rPr>
    </w:lvl>
    <w:lvl w:ilvl="2" w:tentative="0">
      <w:start w:val="1"/>
      <w:numFmt w:val="decimal"/>
      <w:pStyle w:val="103"/>
      <w:suff w:val="nothing"/>
      <w:lvlText w:val="%1.%2.%3　"/>
      <w:lvlJc w:val="left"/>
      <w:pPr>
        <w:ind w:left="0" w:firstLine="0"/>
      </w:pPr>
      <w:rPr>
        <w:rFonts w:hint="eastAsia" w:ascii="黑体" w:hAnsi="Times New Roman" w:eastAsia="黑体"/>
        <w:b w:val="0"/>
        <w:i w:val="0"/>
        <w:sz w:val="21"/>
      </w:rPr>
    </w:lvl>
    <w:lvl w:ilvl="3" w:tentative="0">
      <w:start w:val="1"/>
      <w:numFmt w:val="decimal"/>
      <w:pStyle w:val="102"/>
      <w:suff w:val="nothing"/>
      <w:lvlText w:val="%1.%2.%3.%4　"/>
      <w:lvlJc w:val="left"/>
      <w:pPr>
        <w:ind w:left="0" w:firstLine="0"/>
      </w:pPr>
      <w:rPr>
        <w:rFonts w:hint="eastAsia" w:ascii="黑体" w:hAnsi="Times New Roman" w:eastAsia="黑体"/>
        <w:b w:val="0"/>
        <w:i w:val="0"/>
        <w:sz w:val="21"/>
      </w:rPr>
    </w:lvl>
    <w:lvl w:ilvl="4" w:tentative="0">
      <w:start w:val="1"/>
      <w:numFmt w:val="decimal"/>
      <w:pStyle w:val="101"/>
      <w:suff w:val="nothing"/>
      <w:lvlText w:val="%1.%2.%3.%4.%5　"/>
      <w:lvlJc w:val="left"/>
      <w:pPr>
        <w:ind w:left="0" w:firstLine="0"/>
      </w:pPr>
      <w:rPr>
        <w:rFonts w:hint="eastAsia" w:ascii="黑体" w:hAnsi="Times New Roman" w:eastAsia="黑体"/>
        <w:b w:val="0"/>
        <w:i w:val="0"/>
        <w:sz w:val="21"/>
      </w:rPr>
    </w:lvl>
    <w:lvl w:ilvl="5" w:tentative="0">
      <w:start w:val="1"/>
      <w:numFmt w:val="decimal"/>
      <w:pStyle w:val="100"/>
      <w:suff w:val="nothing"/>
      <w:lvlText w:val="%1.%2.%3.%4.%5.%6　"/>
      <w:lvlJc w:val="left"/>
      <w:pPr>
        <w:ind w:left="0" w:firstLine="0"/>
      </w:pPr>
      <w:rPr>
        <w:rFonts w:hint="eastAsia" w:ascii="黑体" w:hAnsi="Times New Roman" w:eastAsia="黑体"/>
        <w:b w:val="0"/>
        <w:i w:val="0"/>
        <w:sz w:val="21"/>
      </w:rPr>
    </w:lvl>
    <w:lvl w:ilvl="6" w:tentative="0">
      <w:start w:val="1"/>
      <w:numFmt w:val="decimal"/>
      <w:pStyle w:val="99"/>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6">
    <w:nsid w:val="00000019"/>
    <w:multiLevelType w:val="multilevel"/>
    <w:tmpl w:val="00000019"/>
    <w:lvl w:ilvl="0" w:tentative="0">
      <w:start w:val="1"/>
      <w:numFmt w:val="decimal"/>
      <w:pStyle w:val="107"/>
      <w:suff w:val="nothing"/>
      <w:lvlText w:val="表%1　"/>
      <w:lvlJc w:val="left"/>
      <w:pPr>
        <w:ind w:left="3403" w:firstLine="0"/>
      </w:pPr>
      <w:rPr>
        <w:rFonts w:hint="eastAsia" w:ascii="黑体" w:hAnsi="Times New Roman" w:eastAsia="黑体"/>
        <w:b w:val="0"/>
        <w:i w:val="0"/>
        <w:sz w:val="21"/>
      </w:rPr>
    </w:lvl>
    <w:lvl w:ilvl="1" w:tentative="0">
      <w:start w:val="1"/>
      <w:numFmt w:val="decimal"/>
      <w:lvlText w:val="%1.%2"/>
      <w:lvlJc w:val="left"/>
      <w:pPr>
        <w:tabs>
          <w:tab w:val="left" w:pos="1202"/>
        </w:tabs>
        <w:ind w:left="1202" w:hanging="567"/>
      </w:pPr>
      <w:rPr>
        <w:rFonts w:hint="eastAsia"/>
      </w:rPr>
    </w:lvl>
    <w:lvl w:ilvl="2" w:tentative="0">
      <w:start w:val="1"/>
      <w:numFmt w:val="decimal"/>
      <w:lvlText w:val="%1.%2.%3"/>
      <w:lvlJc w:val="left"/>
      <w:pPr>
        <w:tabs>
          <w:tab w:val="left" w:pos="1628"/>
        </w:tabs>
        <w:ind w:left="1628" w:hanging="567"/>
      </w:pPr>
      <w:rPr>
        <w:rFonts w:hint="eastAsia"/>
      </w:rPr>
    </w:lvl>
    <w:lvl w:ilvl="3" w:tentative="0">
      <w:start w:val="1"/>
      <w:numFmt w:val="decimal"/>
      <w:lvlText w:val="%1.%2.%3.%4"/>
      <w:lvlJc w:val="left"/>
      <w:pPr>
        <w:tabs>
          <w:tab w:val="left" w:pos="2194"/>
        </w:tabs>
        <w:ind w:left="2194" w:hanging="708"/>
      </w:pPr>
      <w:rPr>
        <w:rFonts w:hint="eastAsia"/>
      </w:rPr>
    </w:lvl>
    <w:lvl w:ilvl="4" w:tentative="0">
      <w:start w:val="1"/>
      <w:numFmt w:val="decimal"/>
      <w:lvlText w:val="%1.%2.%3.%4.%5"/>
      <w:lvlJc w:val="left"/>
      <w:pPr>
        <w:tabs>
          <w:tab w:val="left" w:pos="2761"/>
        </w:tabs>
        <w:ind w:left="2761" w:hanging="850"/>
      </w:pPr>
      <w:rPr>
        <w:rFonts w:hint="eastAsia"/>
      </w:rPr>
    </w:lvl>
    <w:lvl w:ilvl="5" w:tentative="0">
      <w:start w:val="1"/>
      <w:numFmt w:val="decimal"/>
      <w:lvlText w:val="%1.%2.%3.%4.%5.%6"/>
      <w:lvlJc w:val="left"/>
      <w:pPr>
        <w:tabs>
          <w:tab w:val="left" w:pos="3470"/>
        </w:tabs>
        <w:ind w:left="3470" w:hanging="1134"/>
      </w:pPr>
      <w:rPr>
        <w:rFonts w:hint="eastAsia"/>
      </w:rPr>
    </w:lvl>
    <w:lvl w:ilvl="6" w:tentative="0">
      <w:start w:val="1"/>
      <w:numFmt w:val="decimal"/>
      <w:lvlText w:val="%1.%2.%3.%4.%5.%6.%7"/>
      <w:lvlJc w:val="left"/>
      <w:pPr>
        <w:tabs>
          <w:tab w:val="left" w:pos="4037"/>
        </w:tabs>
        <w:ind w:left="4037" w:hanging="1276"/>
      </w:pPr>
      <w:rPr>
        <w:rFonts w:hint="eastAsia"/>
      </w:rPr>
    </w:lvl>
    <w:lvl w:ilvl="7" w:tentative="0">
      <w:start w:val="1"/>
      <w:numFmt w:val="decimal"/>
      <w:lvlText w:val="%1.%2.%3.%4.%5.%6.%7.%8"/>
      <w:lvlJc w:val="left"/>
      <w:pPr>
        <w:tabs>
          <w:tab w:val="left" w:pos="4604"/>
        </w:tabs>
        <w:ind w:left="4604" w:hanging="1418"/>
      </w:pPr>
      <w:rPr>
        <w:rFonts w:hint="eastAsia"/>
      </w:rPr>
    </w:lvl>
    <w:lvl w:ilvl="8" w:tentative="0">
      <w:start w:val="1"/>
      <w:numFmt w:val="decimal"/>
      <w:lvlText w:val="%1.%2.%3.%4.%5.%6.%7.%8.%9"/>
      <w:lvlJc w:val="left"/>
      <w:pPr>
        <w:tabs>
          <w:tab w:val="left" w:pos="5312"/>
        </w:tabs>
        <w:ind w:left="5312" w:hanging="1700"/>
      </w:pPr>
      <w:rPr>
        <w:rFonts w:hint="eastAsia"/>
      </w:rPr>
    </w:lvl>
  </w:abstractNum>
  <w:abstractNum w:abstractNumId="7">
    <w:nsid w:val="00000022"/>
    <w:multiLevelType w:val="multilevel"/>
    <w:tmpl w:val="00000022"/>
    <w:lvl w:ilvl="0" w:tentative="0">
      <w:start w:val="1"/>
      <w:numFmt w:val="decimal"/>
      <w:pStyle w:val="90"/>
      <w:suff w:val="nothing"/>
      <w:lvlText w:val="图%1　"/>
      <w:lvlJc w:val="left"/>
      <w:pPr>
        <w:ind w:left="0" w:firstLine="0"/>
      </w:pPr>
      <w:rPr>
        <w:rFonts w:hint="eastAsia" w:ascii="黑体" w:hAnsi="Times New Roman" w:eastAsia="黑体"/>
        <w:b w:val="0"/>
        <w:i w:val="0"/>
        <w:color w:val="auto"/>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8">
    <w:nsid w:val="00000025"/>
    <w:multiLevelType w:val="multilevel"/>
    <w:tmpl w:val="00000025"/>
    <w:lvl w:ilvl="0" w:tentative="0">
      <w:start w:val="1"/>
      <w:numFmt w:val="none"/>
      <w:pStyle w:val="66"/>
      <w:suff w:val="nothing"/>
      <w:lvlText w:val="%1"/>
      <w:lvlJc w:val="left"/>
      <w:pPr>
        <w:ind w:left="0" w:firstLine="0"/>
      </w:pPr>
      <w:rPr>
        <w:rFonts w:hint="default" w:ascii="Times New Roman" w:hAnsi="Times New Roman"/>
        <w:b/>
        <w:i w:val="0"/>
        <w:sz w:val="21"/>
      </w:rPr>
    </w:lvl>
    <w:lvl w:ilvl="1" w:tentative="0">
      <w:start w:val="1"/>
      <w:numFmt w:val="decimal"/>
      <w:pStyle w:val="61"/>
      <w:suff w:val="nothing"/>
      <w:lvlText w:val="%1%2　"/>
      <w:lvlJc w:val="left"/>
      <w:pPr>
        <w:ind w:left="0" w:firstLine="0"/>
      </w:pPr>
      <w:rPr>
        <w:rFonts w:hint="default" w:ascii="Times New Roman" w:hAnsi="Times New Roman" w:eastAsia="黑体" w:cs="Times New Roman"/>
        <w:b w:val="0"/>
        <w:i w:val="0"/>
        <w:sz w:val="21"/>
      </w:rPr>
    </w:lvl>
    <w:lvl w:ilvl="2" w:tentative="0">
      <w:start w:val="1"/>
      <w:numFmt w:val="decimal"/>
      <w:pStyle w:val="60"/>
      <w:suff w:val="nothing"/>
      <w:lvlText w:val="%1%2.%3　"/>
      <w:lvlJc w:val="left"/>
      <w:pPr>
        <w:ind w:left="0" w:firstLine="0"/>
      </w:pPr>
      <w:rPr>
        <w:rFonts w:hint="eastAsia" w:ascii="黑体" w:hAnsi="Times New Roman" w:eastAsia="黑体"/>
        <w:b w:val="0"/>
        <w:i w:val="0"/>
        <w:sz w:val="21"/>
      </w:rPr>
    </w:lvl>
    <w:lvl w:ilvl="3" w:tentative="0">
      <w:start w:val="1"/>
      <w:numFmt w:val="decimal"/>
      <w:pStyle w:val="59"/>
      <w:suff w:val="nothing"/>
      <w:lvlText w:val="%1%2.%3.%4　"/>
      <w:lvlJc w:val="left"/>
      <w:pPr>
        <w:ind w:left="284" w:firstLine="0"/>
      </w:pPr>
      <w:rPr>
        <w:rFonts w:hint="eastAsia" w:ascii="黑体" w:hAnsi="Times New Roman" w:eastAsia="黑体"/>
        <w:b w:val="0"/>
        <w:i w:val="0"/>
        <w:sz w:val="21"/>
      </w:rPr>
    </w:lvl>
    <w:lvl w:ilvl="4" w:tentative="0">
      <w:start w:val="1"/>
      <w:numFmt w:val="decimal"/>
      <w:pStyle w:val="71"/>
      <w:suff w:val="nothing"/>
      <w:lvlText w:val="%1%2.%3.%4.%5　"/>
      <w:lvlJc w:val="left"/>
      <w:pPr>
        <w:ind w:left="0" w:firstLine="0"/>
      </w:pPr>
      <w:rPr>
        <w:rFonts w:hint="eastAsia" w:ascii="黑体" w:hAnsi="Times New Roman" w:eastAsia="黑体"/>
        <w:b w:val="0"/>
        <w:i w:val="0"/>
        <w:color w:val="auto"/>
        <w:sz w:val="21"/>
        <w:lang w:val="en-US"/>
      </w:rPr>
    </w:lvl>
    <w:lvl w:ilvl="5" w:tentative="0">
      <w:start w:val="1"/>
      <w:numFmt w:val="decimal"/>
      <w:pStyle w:val="70"/>
      <w:suff w:val="nothing"/>
      <w:lvlText w:val="%1%2.%3.%4.%5.%6　"/>
      <w:lvlJc w:val="left"/>
      <w:pPr>
        <w:ind w:left="0" w:firstLine="0"/>
      </w:pPr>
      <w:rPr>
        <w:rFonts w:hint="eastAsia" w:ascii="黑体" w:hAnsi="Times New Roman" w:eastAsia="黑体"/>
        <w:b w:val="0"/>
        <w:i w:val="0"/>
        <w:sz w:val="21"/>
      </w:rPr>
    </w:lvl>
    <w:lvl w:ilvl="6" w:tentative="0">
      <w:start w:val="1"/>
      <w:numFmt w:val="decimal"/>
      <w:pStyle w:val="87"/>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9">
    <w:nsid w:val="00000027"/>
    <w:multiLevelType w:val="multilevel"/>
    <w:tmpl w:val="00000027"/>
    <w:lvl w:ilvl="0" w:tentative="0">
      <w:start w:val="1"/>
      <w:numFmt w:val="none"/>
      <w:pStyle w:val="72"/>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3C69374D"/>
    <w:multiLevelType w:val="multilevel"/>
    <w:tmpl w:val="3C69374D"/>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8"/>
  </w:num>
  <w:num w:numId="2">
    <w:abstractNumId w:val="5"/>
  </w:num>
  <w:num w:numId="3">
    <w:abstractNumId w:val="9"/>
  </w:num>
  <w:num w:numId="4">
    <w:abstractNumId w:val="0"/>
  </w:num>
  <w:num w:numId="5">
    <w:abstractNumId w:val="3"/>
  </w:num>
  <w:num w:numId="6">
    <w:abstractNumId w:val="7"/>
  </w:num>
  <w:num w:numId="7">
    <w:abstractNumId w:val="2"/>
  </w:num>
  <w:num w:numId="8">
    <w:abstractNumId w:val="6"/>
  </w:num>
  <w:num w:numId="9">
    <w:abstractNumId w:val="1"/>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displayBackgroundShape w:val="1"/>
  <w:bordersDoNotSurroundHeader w:val="0"/>
  <w:bordersDoNotSurroundFooter w:val="0"/>
  <w:hideSpellingErrors/>
  <w:attachedTemplate r:id="rId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693668"/>
    <w:rsid w:val="000038F0"/>
    <w:rsid w:val="00004648"/>
    <w:rsid w:val="00014C66"/>
    <w:rsid w:val="000211BF"/>
    <w:rsid w:val="000237D4"/>
    <w:rsid w:val="000276BC"/>
    <w:rsid w:val="000309D7"/>
    <w:rsid w:val="00032F98"/>
    <w:rsid w:val="00034584"/>
    <w:rsid w:val="00036A21"/>
    <w:rsid w:val="00036F02"/>
    <w:rsid w:val="0004299E"/>
    <w:rsid w:val="00043D6D"/>
    <w:rsid w:val="0005764E"/>
    <w:rsid w:val="000657B2"/>
    <w:rsid w:val="0006679C"/>
    <w:rsid w:val="0007070D"/>
    <w:rsid w:val="00073A74"/>
    <w:rsid w:val="00084878"/>
    <w:rsid w:val="000971D5"/>
    <w:rsid w:val="000C1F88"/>
    <w:rsid w:val="000C772A"/>
    <w:rsid w:val="000F15FB"/>
    <w:rsid w:val="000F714B"/>
    <w:rsid w:val="00100912"/>
    <w:rsid w:val="00104CBC"/>
    <w:rsid w:val="001164A0"/>
    <w:rsid w:val="0012155C"/>
    <w:rsid w:val="00122AD8"/>
    <w:rsid w:val="00136813"/>
    <w:rsid w:val="0014120B"/>
    <w:rsid w:val="00150062"/>
    <w:rsid w:val="00151323"/>
    <w:rsid w:val="001527ED"/>
    <w:rsid w:val="001859F4"/>
    <w:rsid w:val="0019431C"/>
    <w:rsid w:val="001A4F75"/>
    <w:rsid w:val="001C13CE"/>
    <w:rsid w:val="001C7BB8"/>
    <w:rsid w:val="001D0501"/>
    <w:rsid w:val="001E0288"/>
    <w:rsid w:val="001E09C6"/>
    <w:rsid w:val="00235374"/>
    <w:rsid w:val="00244291"/>
    <w:rsid w:val="00247A7D"/>
    <w:rsid w:val="00255EB1"/>
    <w:rsid w:val="002732FF"/>
    <w:rsid w:val="00275F7A"/>
    <w:rsid w:val="00280BE9"/>
    <w:rsid w:val="002849BB"/>
    <w:rsid w:val="00291548"/>
    <w:rsid w:val="00293085"/>
    <w:rsid w:val="002977EC"/>
    <w:rsid w:val="002A1305"/>
    <w:rsid w:val="002D0634"/>
    <w:rsid w:val="002D2103"/>
    <w:rsid w:val="002E6C19"/>
    <w:rsid w:val="002F4E61"/>
    <w:rsid w:val="003012C4"/>
    <w:rsid w:val="00305CB9"/>
    <w:rsid w:val="00307A90"/>
    <w:rsid w:val="00314BA2"/>
    <w:rsid w:val="00322078"/>
    <w:rsid w:val="0032338B"/>
    <w:rsid w:val="0033057E"/>
    <w:rsid w:val="003318C1"/>
    <w:rsid w:val="00335FEC"/>
    <w:rsid w:val="0034125E"/>
    <w:rsid w:val="00352269"/>
    <w:rsid w:val="00366AF1"/>
    <w:rsid w:val="00373555"/>
    <w:rsid w:val="00397407"/>
    <w:rsid w:val="003B0148"/>
    <w:rsid w:val="003C2376"/>
    <w:rsid w:val="003C685D"/>
    <w:rsid w:val="003E10E7"/>
    <w:rsid w:val="003E237F"/>
    <w:rsid w:val="003F2C11"/>
    <w:rsid w:val="00400BF2"/>
    <w:rsid w:val="0040777C"/>
    <w:rsid w:val="00411DC2"/>
    <w:rsid w:val="00415481"/>
    <w:rsid w:val="004257BB"/>
    <w:rsid w:val="00425D1F"/>
    <w:rsid w:val="004265F2"/>
    <w:rsid w:val="004508BB"/>
    <w:rsid w:val="00455FE9"/>
    <w:rsid w:val="0046211B"/>
    <w:rsid w:val="00464019"/>
    <w:rsid w:val="00472194"/>
    <w:rsid w:val="00482AD2"/>
    <w:rsid w:val="0048362B"/>
    <w:rsid w:val="00497039"/>
    <w:rsid w:val="004A27E5"/>
    <w:rsid w:val="004B1DE2"/>
    <w:rsid w:val="004B3BD5"/>
    <w:rsid w:val="004C6FDF"/>
    <w:rsid w:val="004E1361"/>
    <w:rsid w:val="004E4C45"/>
    <w:rsid w:val="004E5080"/>
    <w:rsid w:val="00521FA9"/>
    <w:rsid w:val="0052761B"/>
    <w:rsid w:val="005305AE"/>
    <w:rsid w:val="00531FA0"/>
    <w:rsid w:val="00536268"/>
    <w:rsid w:val="00536BFA"/>
    <w:rsid w:val="0054662D"/>
    <w:rsid w:val="005535AA"/>
    <w:rsid w:val="0055489A"/>
    <w:rsid w:val="00556AC4"/>
    <w:rsid w:val="005608DA"/>
    <w:rsid w:val="00567271"/>
    <w:rsid w:val="005709C3"/>
    <w:rsid w:val="0059121E"/>
    <w:rsid w:val="005B3A80"/>
    <w:rsid w:val="005B5BAB"/>
    <w:rsid w:val="005C0BE7"/>
    <w:rsid w:val="005C2448"/>
    <w:rsid w:val="005C769A"/>
    <w:rsid w:val="005E67C7"/>
    <w:rsid w:val="005F42DD"/>
    <w:rsid w:val="00601ADF"/>
    <w:rsid w:val="00606487"/>
    <w:rsid w:val="00623451"/>
    <w:rsid w:val="00624A40"/>
    <w:rsid w:val="00625140"/>
    <w:rsid w:val="00627726"/>
    <w:rsid w:val="00633572"/>
    <w:rsid w:val="00636E32"/>
    <w:rsid w:val="00637AB5"/>
    <w:rsid w:val="00644C6D"/>
    <w:rsid w:val="006510D6"/>
    <w:rsid w:val="00660A77"/>
    <w:rsid w:val="00667FDB"/>
    <w:rsid w:val="00670276"/>
    <w:rsid w:val="00672533"/>
    <w:rsid w:val="006738AA"/>
    <w:rsid w:val="006820CD"/>
    <w:rsid w:val="00683E68"/>
    <w:rsid w:val="00686643"/>
    <w:rsid w:val="0069243E"/>
    <w:rsid w:val="00693668"/>
    <w:rsid w:val="006B3185"/>
    <w:rsid w:val="006B43C4"/>
    <w:rsid w:val="006C188A"/>
    <w:rsid w:val="006C2258"/>
    <w:rsid w:val="006C2AF8"/>
    <w:rsid w:val="006D1B98"/>
    <w:rsid w:val="006D7E99"/>
    <w:rsid w:val="006E11F0"/>
    <w:rsid w:val="00707309"/>
    <w:rsid w:val="00724E03"/>
    <w:rsid w:val="00733C71"/>
    <w:rsid w:val="00735A75"/>
    <w:rsid w:val="007373AB"/>
    <w:rsid w:val="00740702"/>
    <w:rsid w:val="00743BA2"/>
    <w:rsid w:val="00743BAC"/>
    <w:rsid w:val="00746BAC"/>
    <w:rsid w:val="00750ED3"/>
    <w:rsid w:val="00764D0A"/>
    <w:rsid w:val="00765621"/>
    <w:rsid w:val="007901C0"/>
    <w:rsid w:val="007902D1"/>
    <w:rsid w:val="00796CF0"/>
    <w:rsid w:val="007A3BEE"/>
    <w:rsid w:val="007C15E3"/>
    <w:rsid w:val="007D5B84"/>
    <w:rsid w:val="007E56C9"/>
    <w:rsid w:val="00804BC8"/>
    <w:rsid w:val="00820F69"/>
    <w:rsid w:val="00824B04"/>
    <w:rsid w:val="00826DAA"/>
    <w:rsid w:val="008461B6"/>
    <w:rsid w:val="0085122B"/>
    <w:rsid w:val="00854EC4"/>
    <w:rsid w:val="0086056F"/>
    <w:rsid w:val="0086378F"/>
    <w:rsid w:val="008754EE"/>
    <w:rsid w:val="00876D87"/>
    <w:rsid w:val="008B22FC"/>
    <w:rsid w:val="008C672E"/>
    <w:rsid w:val="008E415E"/>
    <w:rsid w:val="008F5DCA"/>
    <w:rsid w:val="009052E4"/>
    <w:rsid w:val="009111C1"/>
    <w:rsid w:val="00913ED1"/>
    <w:rsid w:val="00930DB4"/>
    <w:rsid w:val="00933D2C"/>
    <w:rsid w:val="00946B7D"/>
    <w:rsid w:val="009513C5"/>
    <w:rsid w:val="009542EF"/>
    <w:rsid w:val="00954DA4"/>
    <w:rsid w:val="00967A11"/>
    <w:rsid w:val="00971240"/>
    <w:rsid w:val="00977A4A"/>
    <w:rsid w:val="009A12AB"/>
    <w:rsid w:val="009B4929"/>
    <w:rsid w:val="009C0597"/>
    <w:rsid w:val="009C2D10"/>
    <w:rsid w:val="009D79FA"/>
    <w:rsid w:val="009E3D09"/>
    <w:rsid w:val="009F420F"/>
    <w:rsid w:val="00A06113"/>
    <w:rsid w:val="00A11A21"/>
    <w:rsid w:val="00A12727"/>
    <w:rsid w:val="00A1378A"/>
    <w:rsid w:val="00A1497C"/>
    <w:rsid w:val="00A15577"/>
    <w:rsid w:val="00A3211C"/>
    <w:rsid w:val="00A363F7"/>
    <w:rsid w:val="00A40E4F"/>
    <w:rsid w:val="00A47FE2"/>
    <w:rsid w:val="00A56163"/>
    <w:rsid w:val="00A662E8"/>
    <w:rsid w:val="00A77511"/>
    <w:rsid w:val="00A7790F"/>
    <w:rsid w:val="00A8043A"/>
    <w:rsid w:val="00A8426B"/>
    <w:rsid w:val="00A86AF0"/>
    <w:rsid w:val="00A87866"/>
    <w:rsid w:val="00AC0924"/>
    <w:rsid w:val="00AD093B"/>
    <w:rsid w:val="00AE0B35"/>
    <w:rsid w:val="00AE47AC"/>
    <w:rsid w:val="00AF6BEA"/>
    <w:rsid w:val="00AF7111"/>
    <w:rsid w:val="00B056DA"/>
    <w:rsid w:val="00B05E25"/>
    <w:rsid w:val="00B07D3B"/>
    <w:rsid w:val="00B27476"/>
    <w:rsid w:val="00B369B6"/>
    <w:rsid w:val="00B43636"/>
    <w:rsid w:val="00B45E9C"/>
    <w:rsid w:val="00B53389"/>
    <w:rsid w:val="00B60FA7"/>
    <w:rsid w:val="00B614F2"/>
    <w:rsid w:val="00B706F7"/>
    <w:rsid w:val="00B7116A"/>
    <w:rsid w:val="00B75677"/>
    <w:rsid w:val="00B817F8"/>
    <w:rsid w:val="00B911AF"/>
    <w:rsid w:val="00BB316D"/>
    <w:rsid w:val="00BB4554"/>
    <w:rsid w:val="00BB7985"/>
    <w:rsid w:val="00BC66A0"/>
    <w:rsid w:val="00BC6B82"/>
    <w:rsid w:val="00BF1D43"/>
    <w:rsid w:val="00BF4703"/>
    <w:rsid w:val="00C03A4F"/>
    <w:rsid w:val="00C058B2"/>
    <w:rsid w:val="00C10883"/>
    <w:rsid w:val="00C113A5"/>
    <w:rsid w:val="00C2681C"/>
    <w:rsid w:val="00C27739"/>
    <w:rsid w:val="00C40CAE"/>
    <w:rsid w:val="00C5059F"/>
    <w:rsid w:val="00C53BDD"/>
    <w:rsid w:val="00C5550F"/>
    <w:rsid w:val="00C57BAB"/>
    <w:rsid w:val="00C66C85"/>
    <w:rsid w:val="00C70EA3"/>
    <w:rsid w:val="00C7537E"/>
    <w:rsid w:val="00C8056F"/>
    <w:rsid w:val="00C81A49"/>
    <w:rsid w:val="00C86EE5"/>
    <w:rsid w:val="00C9548E"/>
    <w:rsid w:val="00CB3949"/>
    <w:rsid w:val="00CB750D"/>
    <w:rsid w:val="00CB7CDF"/>
    <w:rsid w:val="00CC3C55"/>
    <w:rsid w:val="00CC3DDD"/>
    <w:rsid w:val="00CC491D"/>
    <w:rsid w:val="00CC52E3"/>
    <w:rsid w:val="00CD2D13"/>
    <w:rsid w:val="00CD759E"/>
    <w:rsid w:val="00CF3CAA"/>
    <w:rsid w:val="00D01726"/>
    <w:rsid w:val="00D16568"/>
    <w:rsid w:val="00D17115"/>
    <w:rsid w:val="00D23221"/>
    <w:rsid w:val="00D436F5"/>
    <w:rsid w:val="00D6471A"/>
    <w:rsid w:val="00D81C1D"/>
    <w:rsid w:val="00D85454"/>
    <w:rsid w:val="00D86648"/>
    <w:rsid w:val="00D903E4"/>
    <w:rsid w:val="00DA22D1"/>
    <w:rsid w:val="00DB1E80"/>
    <w:rsid w:val="00DB4F65"/>
    <w:rsid w:val="00DD6769"/>
    <w:rsid w:val="00DD7D39"/>
    <w:rsid w:val="00DE144C"/>
    <w:rsid w:val="00E002FF"/>
    <w:rsid w:val="00E019C6"/>
    <w:rsid w:val="00E15312"/>
    <w:rsid w:val="00E179CE"/>
    <w:rsid w:val="00E22714"/>
    <w:rsid w:val="00E23465"/>
    <w:rsid w:val="00E23B76"/>
    <w:rsid w:val="00E31A7B"/>
    <w:rsid w:val="00E32480"/>
    <w:rsid w:val="00E71DCC"/>
    <w:rsid w:val="00E82471"/>
    <w:rsid w:val="00E911BC"/>
    <w:rsid w:val="00EB2994"/>
    <w:rsid w:val="00EC149D"/>
    <w:rsid w:val="00ED5F91"/>
    <w:rsid w:val="00EE5988"/>
    <w:rsid w:val="00F0491B"/>
    <w:rsid w:val="00F10C9E"/>
    <w:rsid w:val="00F171F6"/>
    <w:rsid w:val="00F27E52"/>
    <w:rsid w:val="00F32186"/>
    <w:rsid w:val="00F3447A"/>
    <w:rsid w:val="00F379EC"/>
    <w:rsid w:val="00F45BA8"/>
    <w:rsid w:val="00F507FB"/>
    <w:rsid w:val="00F5644A"/>
    <w:rsid w:val="00F7167F"/>
    <w:rsid w:val="00F71F31"/>
    <w:rsid w:val="00F80059"/>
    <w:rsid w:val="00F812C6"/>
    <w:rsid w:val="00F91E84"/>
    <w:rsid w:val="00FA4CA4"/>
    <w:rsid w:val="00FA6198"/>
    <w:rsid w:val="00FC5521"/>
    <w:rsid w:val="00FC7BF3"/>
    <w:rsid w:val="00FD235D"/>
    <w:rsid w:val="00FD7FCA"/>
    <w:rsid w:val="00FE0C1C"/>
    <w:rsid w:val="00FE17CA"/>
    <w:rsid w:val="00FE1932"/>
    <w:rsid w:val="00FE1A74"/>
    <w:rsid w:val="00FF5630"/>
    <w:rsid w:val="013A3F8C"/>
    <w:rsid w:val="015C3F8E"/>
    <w:rsid w:val="02465DB5"/>
    <w:rsid w:val="02D637C1"/>
    <w:rsid w:val="02F703B0"/>
    <w:rsid w:val="033E42CC"/>
    <w:rsid w:val="03E803DC"/>
    <w:rsid w:val="04731467"/>
    <w:rsid w:val="04E961B4"/>
    <w:rsid w:val="057D5E5D"/>
    <w:rsid w:val="05F125DB"/>
    <w:rsid w:val="06716757"/>
    <w:rsid w:val="06882CAF"/>
    <w:rsid w:val="07BD4D13"/>
    <w:rsid w:val="07D64274"/>
    <w:rsid w:val="07DC0ED5"/>
    <w:rsid w:val="084A1910"/>
    <w:rsid w:val="08FE04F3"/>
    <w:rsid w:val="0904785D"/>
    <w:rsid w:val="09573966"/>
    <w:rsid w:val="0A781AE7"/>
    <w:rsid w:val="0A940DEC"/>
    <w:rsid w:val="0AC1629C"/>
    <w:rsid w:val="0B8F36DE"/>
    <w:rsid w:val="0CB9457A"/>
    <w:rsid w:val="0CCA0314"/>
    <w:rsid w:val="0CCF275B"/>
    <w:rsid w:val="0D8022CA"/>
    <w:rsid w:val="0E6513CA"/>
    <w:rsid w:val="0EAA3109"/>
    <w:rsid w:val="0EBE2240"/>
    <w:rsid w:val="0F403A6D"/>
    <w:rsid w:val="0F761ED4"/>
    <w:rsid w:val="10AD1E70"/>
    <w:rsid w:val="10C025DC"/>
    <w:rsid w:val="10E85D8A"/>
    <w:rsid w:val="10E93381"/>
    <w:rsid w:val="11471F43"/>
    <w:rsid w:val="11762537"/>
    <w:rsid w:val="12B400C2"/>
    <w:rsid w:val="12CC4B12"/>
    <w:rsid w:val="132E405E"/>
    <w:rsid w:val="13877F6B"/>
    <w:rsid w:val="13B1031D"/>
    <w:rsid w:val="14103F10"/>
    <w:rsid w:val="14317D7D"/>
    <w:rsid w:val="148D5741"/>
    <w:rsid w:val="14FE0CE9"/>
    <w:rsid w:val="158E7867"/>
    <w:rsid w:val="16A67923"/>
    <w:rsid w:val="17027C18"/>
    <w:rsid w:val="1708403B"/>
    <w:rsid w:val="172C0F9E"/>
    <w:rsid w:val="174C2AB4"/>
    <w:rsid w:val="17E64F25"/>
    <w:rsid w:val="1AA43D0A"/>
    <w:rsid w:val="1AC615A0"/>
    <w:rsid w:val="1B675C26"/>
    <w:rsid w:val="1B9011D3"/>
    <w:rsid w:val="1B97283E"/>
    <w:rsid w:val="1C555759"/>
    <w:rsid w:val="1C6F5106"/>
    <w:rsid w:val="1C803B53"/>
    <w:rsid w:val="1CDE25B6"/>
    <w:rsid w:val="1CFA0297"/>
    <w:rsid w:val="1D2B124B"/>
    <w:rsid w:val="1E713A82"/>
    <w:rsid w:val="1F2A660C"/>
    <w:rsid w:val="1F5A1A25"/>
    <w:rsid w:val="1F714057"/>
    <w:rsid w:val="1FAB00D4"/>
    <w:rsid w:val="207B2FD6"/>
    <w:rsid w:val="208E75B3"/>
    <w:rsid w:val="218A16C9"/>
    <w:rsid w:val="21BE3478"/>
    <w:rsid w:val="21D04080"/>
    <w:rsid w:val="22423DCF"/>
    <w:rsid w:val="225C10E7"/>
    <w:rsid w:val="23063D49"/>
    <w:rsid w:val="231E1571"/>
    <w:rsid w:val="237D58D4"/>
    <w:rsid w:val="23A74BBD"/>
    <w:rsid w:val="23D43A72"/>
    <w:rsid w:val="255B5FF6"/>
    <w:rsid w:val="2583745E"/>
    <w:rsid w:val="262B706A"/>
    <w:rsid w:val="269B42B1"/>
    <w:rsid w:val="26AB6A4F"/>
    <w:rsid w:val="277C51D7"/>
    <w:rsid w:val="27BD3A55"/>
    <w:rsid w:val="28A00A66"/>
    <w:rsid w:val="28B93971"/>
    <w:rsid w:val="29846CB3"/>
    <w:rsid w:val="298C1931"/>
    <w:rsid w:val="29DA08EE"/>
    <w:rsid w:val="29E46257"/>
    <w:rsid w:val="29EE5A71"/>
    <w:rsid w:val="2A4110A1"/>
    <w:rsid w:val="2A636980"/>
    <w:rsid w:val="2AB85E2C"/>
    <w:rsid w:val="2AE10ACE"/>
    <w:rsid w:val="2B284444"/>
    <w:rsid w:val="2C066D52"/>
    <w:rsid w:val="2C147130"/>
    <w:rsid w:val="2C215E60"/>
    <w:rsid w:val="2C281A12"/>
    <w:rsid w:val="2C747B89"/>
    <w:rsid w:val="2CEE1EA1"/>
    <w:rsid w:val="2D126710"/>
    <w:rsid w:val="2D3D00F2"/>
    <w:rsid w:val="2DA76D0D"/>
    <w:rsid w:val="2E772BB0"/>
    <w:rsid w:val="2E7F7CB6"/>
    <w:rsid w:val="2F656952"/>
    <w:rsid w:val="2FBE527A"/>
    <w:rsid w:val="316D2F86"/>
    <w:rsid w:val="31B57A58"/>
    <w:rsid w:val="321C0D67"/>
    <w:rsid w:val="325F3B1A"/>
    <w:rsid w:val="327B68D7"/>
    <w:rsid w:val="33FC78CC"/>
    <w:rsid w:val="340D295B"/>
    <w:rsid w:val="34745E77"/>
    <w:rsid w:val="3492696B"/>
    <w:rsid w:val="34CD5E22"/>
    <w:rsid w:val="36AE69D8"/>
    <w:rsid w:val="37816F68"/>
    <w:rsid w:val="37893143"/>
    <w:rsid w:val="38B6063A"/>
    <w:rsid w:val="397D7EA4"/>
    <w:rsid w:val="39A93E39"/>
    <w:rsid w:val="39E63C45"/>
    <w:rsid w:val="3A910669"/>
    <w:rsid w:val="3A9C536A"/>
    <w:rsid w:val="3B2B4E9D"/>
    <w:rsid w:val="3B316A21"/>
    <w:rsid w:val="3B7571BF"/>
    <w:rsid w:val="3BE7173F"/>
    <w:rsid w:val="3BFA1058"/>
    <w:rsid w:val="3C5D1124"/>
    <w:rsid w:val="3C8844C9"/>
    <w:rsid w:val="3E0B5C25"/>
    <w:rsid w:val="3E3909B0"/>
    <w:rsid w:val="3EBA5BC3"/>
    <w:rsid w:val="3EFC546F"/>
    <w:rsid w:val="3F465475"/>
    <w:rsid w:val="3F4A4676"/>
    <w:rsid w:val="3F536D21"/>
    <w:rsid w:val="3F5963FB"/>
    <w:rsid w:val="3F7D4FB4"/>
    <w:rsid w:val="3FA702FB"/>
    <w:rsid w:val="3FE25D82"/>
    <w:rsid w:val="404D430C"/>
    <w:rsid w:val="41A05827"/>
    <w:rsid w:val="420E5348"/>
    <w:rsid w:val="421212A7"/>
    <w:rsid w:val="422071B3"/>
    <w:rsid w:val="425F603B"/>
    <w:rsid w:val="4286740D"/>
    <w:rsid w:val="42E020C7"/>
    <w:rsid w:val="4378569A"/>
    <w:rsid w:val="43A67182"/>
    <w:rsid w:val="43B42EA1"/>
    <w:rsid w:val="44100726"/>
    <w:rsid w:val="44347A9B"/>
    <w:rsid w:val="44616219"/>
    <w:rsid w:val="446C6A68"/>
    <w:rsid w:val="447325CB"/>
    <w:rsid w:val="44CE02A0"/>
    <w:rsid w:val="44EF3885"/>
    <w:rsid w:val="456D3D97"/>
    <w:rsid w:val="45E87405"/>
    <w:rsid w:val="463557C3"/>
    <w:rsid w:val="46474D73"/>
    <w:rsid w:val="465C4787"/>
    <w:rsid w:val="47262564"/>
    <w:rsid w:val="473A498E"/>
    <w:rsid w:val="47552183"/>
    <w:rsid w:val="48181C46"/>
    <w:rsid w:val="48211129"/>
    <w:rsid w:val="4847319B"/>
    <w:rsid w:val="48BE5C4B"/>
    <w:rsid w:val="49214E6F"/>
    <w:rsid w:val="49A26661"/>
    <w:rsid w:val="4A09547A"/>
    <w:rsid w:val="4AE6291D"/>
    <w:rsid w:val="4AEA403C"/>
    <w:rsid w:val="4B8C5809"/>
    <w:rsid w:val="4B933E1A"/>
    <w:rsid w:val="4C8438C9"/>
    <w:rsid w:val="4D432356"/>
    <w:rsid w:val="4DA84F31"/>
    <w:rsid w:val="4E3430C7"/>
    <w:rsid w:val="4E772F0B"/>
    <w:rsid w:val="4F58021E"/>
    <w:rsid w:val="4FA7278A"/>
    <w:rsid w:val="4FB3450E"/>
    <w:rsid w:val="50011CA3"/>
    <w:rsid w:val="51051BD9"/>
    <w:rsid w:val="51083E00"/>
    <w:rsid w:val="51442F7B"/>
    <w:rsid w:val="51A96C1E"/>
    <w:rsid w:val="52A97DDB"/>
    <w:rsid w:val="52AA2F9A"/>
    <w:rsid w:val="52B70715"/>
    <w:rsid w:val="55152B55"/>
    <w:rsid w:val="551B54CC"/>
    <w:rsid w:val="56154CA2"/>
    <w:rsid w:val="56A00E5A"/>
    <w:rsid w:val="57676F98"/>
    <w:rsid w:val="579905E2"/>
    <w:rsid w:val="5869241B"/>
    <w:rsid w:val="58F24A5D"/>
    <w:rsid w:val="590A235B"/>
    <w:rsid w:val="5A796AEF"/>
    <w:rsid w:val="5A8F7E68"/>
    <w:rsid w:val="5A931503"/>
    <w:rsid w:val="5A971C98"/>
    <w:rsid w:val="5AC42DA1"/>
    <w:rsid w:val="5AFA5C95"/>
    <w:rsid w:val="5C4F08B8"/>
    <w:rsid w:val="5C5B500F"/>
    <w:rsid w:val="5C995055"/>
    <w:rsid w:val="5CDE078E"/>
    <w:rsid w:val="5D7206DB"/>
    <w:rsid w:val="5DC655CC"/>
    <w:rsid w:val="5E0B450A"/>
    <w:rsid w:val="5E13191E"/>
    <w:rsid w:val="5F776EED"/>
    <w:rsid w:val="605176D9"/>
    <w:rsid w:val="60805AA2"/>
    <w:rsid w:val="60C50CA9"/>
    <w:rsid w:val="610B4983"/>
    <w:rsid w:val="61690122"/>
    <w:rsid w:val="620D60EB"/>
    <w:rsid w:val="63F828E6"/>
    <w:rsid w:val="654D6460"/>
    <w:rsid w:val="65843085"/>
    <w:rsid w:val="670C36E8"/>
    <w:rsid w:val="6760797E"/>
    <w:rsid w:val="688D45E6"/>
    <w:rsid w:val="68D661D6"/>
    <w:rsid w:val="69275608"/>
    <w:rsid w:val="693463DE"/>
    <w:rsid w:val="694F496D"/>
    <w:rsid w:val="69BC4907"/>
    <w:rsid w:val="6AB57C02"/>
    <w:rsid w:val="6AE574EF"/>
    <w:rsid w:val="6AF7022D"/>
    <w:rsid w:val="6B27051F"/>
    <w:rsid w:val="6B6B1AF8"/>
    <w:rsid w:val="6B753BDA"/>
    <w:rsid w:val="6B770841"/>
    <w:rsid w:val="6C4B6F70"/>
    <w:rsid w:val="6C7E1558"/>
    <w:rsid w:val="6C7F4B7F"/>
    <w:rsid w:val="6D1C674A"/>
    <w:rsid w:val="6D281A14"/>
    <w:rsid w:val="6E455D88"/>
    <w:rsid w:val="6E8A0C2B"/>
    <w:rsid w:val="6E9A1846"/>
    <w:rsid w:val="6EF60757"/>
    <w:rsid w:val="6F2275BE"/>
    <w:rsid w:val="70757340"/>
    <w:rsid w:val="70A61265"/>
    <w:rsid w:val="70FA146A"/>
    <w:rsid w:val="710228B1"/>
    <w:rsid w:val="72F922F4"/>
    <w:rsid w:val="73A7009A"/>
    <w:rsid w:val="73B95B2E"/>
    <w:rsid w:val="74130018"/>
    <w:rsid w:val="74CE23CA"/>
    <w:rsid w:val="74D35BFF"/>
    <w:rsid w:val="75716AE8"/>
    <w:rsid w:val="774130D6"/>
    <w:rsid w:val="77893CCB"/>
    <w:rsid w:val="77977C04"/>
    <w:rsid w:val="77CE2BEC"/>
    <w:rsid w:val="78931FA4"/>
    <w:rsid w:val="78CE2872"/>
    <w:rsid w:val="78DB44BD"/>
    <w:rsid w:val="795C2ECE"/>
    <w:rsid w:val="7A473223"/>
    <w:rsid w:val="7AC757F1"/>
    <w:rsid w:val="7B087207"/>
    <w:rsid w:val="7B207CB9"/>
    <w:rsid w:val="7C077F70"/>
    <w:rsid w:val="7CA407A6"/>
    <w:rsid w:val="7CA81753"/>
    <w:rsid w:val="7CB529FB"/>
    <w:rsid w:val="7CE33A32"/>
    <w:rsid w:val="7D461FE5"/>
    <w:rsid w:val="7D700DB4"/>
    <w:rsid w:val="7E262746"/>
    <w:rsid w:val="7F126204"/>
    <w:rsid w:val="7F720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qFormat="1" w:unhideWhenUsed="0" w:uiPriority="0" w:semiHidden="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99" w:semiHidden="0" w:name="Date"/>
    <w:lsdException w:qFormat="1" w:unhideWhenUsed="0" w:uiPriority="0" w:semiHidden="0" w:name="Body Text First Indent"/>
    <w:lsdException w:uiPriority="0" w:name="Body Text First Indent 2"/>
    <w:lsdException w:uiPriority="0" w:name="Note Heading"/>
    <w:lsdException w:qFormat="1" w:unhideWhenUsed="0" w:uiPriority="99"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99" w:semiHidden="0" w:name="Plain Text"/>
    <w:lsdException w:uiPriority="0" w:name="E-mail Signature"/>
    <w:lsdException w:qFormat="1"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5"/>
    <w:qFormat/>
    <w:uiPriority w:val="0"/>
    <w:pPr>
      <w:keepNext/>
      <w:keepLines/>
      <w:spacing w:before="50" w:beforeLines="50" w:after="50" w:afterLines="50"/>
      <w:outlineLvl w:val="0"/>
    </w:pPr>
    <w:rPr>
      <w:rFonts w:eastAsia="黑体"/>
      <w:b/>
      <w:bCs/>
      <w:kern w:val="44"/>
      <w:sz w:val="28"/>
      <w:szCs w:val="44"/>
    </w:rPr>
  </w:style>
  <w:style w:type="paragraph" w:styleId="3">
    <w:name w:val="heading 2"/>
    <w:basedOn w:val="1"/>
    <w:next w:val="1"/>
    <w:link w:val="306"/>
    <w:qFormat/>
    <w:uiPriority w:val="0"/>
    <w:pPr>
      <w:keepNext/>
      <w:keepLines/>
      <w:spacing w:before="50" w:beforeLines="50" w:after="50" w:afterLines="50" w:line="360" w:lineRule="auto"/>
      <w:outlineLvl w:val="1"/>
    </w:pPr>
    <w:rPr>
      <w:rFonts w:ascii="Arial" w:hAnsi="Arial" w:eastAsia="黑体"/>
      <w:b/>
      <w:bCs/>
      <w:sz w:val="24"/>
      <w:szCs w:val="32"/>
    </w:rPr>
  </w:style>
  <w:style w:type="paragraph" w:styleId="4">
    <w:name w:val="heading 3"/>
    <w:basedOn w:val="1"/>
    <w:next w:val="1"/>
    <w:link w:val="307"/>
    <w:qFormat/>
    <w:uiPriority w:val="0"/>
    <w:pPr>
      <w:keepNext/>
      <w:keepLines/>
      <w:spacing w:before="50" w:beforeLines="50" w:after="50" w:afterLines="50"/>
      <w:outlineLvl w:val="2"/>
    </w:pPr>
    <w:rPr>
      <w:rFonts w:eastAsia="黑体"/>
      <w:b/>
      <w:bCs/>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bCs/>
      <w:sz w:val="28"/>
      <w:szCs w:val="28"/>
    </w:rPr>
  </w:style>
  <w:style w:type="paragraph" w:styleId="6">
    <w:name w:val="heading 5"/>
    <w:basedOn w:val="1"/>
    <w:next w:val="1"/>
    <w:qFormat/>
    <w:uiPriority w:val="0"/>
    <w:pPr>
      <w:keepNext/>
      <w:keepLines/>
      <w:spacing w:before="280" w:after="290" w:line="372" w:lineRule="auto"/>
      <w:outlineLvl w:val="4"/>
    </w:pPr>
    <w:rPr>
      <w:b/>
      <w:bCs/>
      <w:sz w:val="28"/>
      <w:szCs w:val="28"/>
    </w:rPr>
  </w:style>
  <w:style w:type="paragraph" w:styleId="7">
    <w:name w:val="heading 6"/>
    <w:basedOn w:val="1"/>
    <w:next w:val="1"/>
    <w:qFormat/>
    <w:uiPriority w:val="0"/>
    <w:pPr>
      <w:keepNext/>
      <w:keepLines/>
      <w:spacing w:before="240" w:after="64" w:line="317" w:lineRule="auto"/>
      <w:outlineLvl w:val="5"/>
    </w:pPr>
    <w:rPr>
      <w:rFonts w:ascii="Arial" w:hAnsi="Arial" w:eastAsia="黑体"/>
      <w:b/>
      <w:bCs/>
      <w:sz w:val="24"/>
    </w:rPr>
  </w:style>
  <w:style w:type="paragraph" w:styleId="8">
    <w:name w:val="heading 7"/>
    <w:basedOn w:val="1"/>
    <w:next w:val="1"/>
    <w:qFormat/>
    <w:uiPriority w:val="0"/>
    <w:pPr>
      <w:keepNext/>
      <w:keepLines/>
      <w:spacing w:before="240" w:after="64" w:line="317" w:lineRule="auto"/>
      <w:outlineLvl w:val="6"/>
    </w:pPr>
    <w:rPr>
      <w:b/>
      <w:bCs/>
      <w:sz w:val="24"/>
    </w:rPr>
  </w:style>
  <w:style w:type="paragraph" w:styleId="9">
    <w:name w:val="heading 8"/>
    <w:basedOn w:val="1"/>
    <w:next w:val="1"/>
    <w:qFormat/>
    <w:uiPriority w:val="0"/>
    <w:pPr>
      <w:keepNext/>
      <w:keepLines/>
      <w:spacing w:before="240" w:after="64" w:line="317" w:lineRule="auto"/>
      <w:outlineLvl w:val="7"/>
    </w:pPr>
    <w:rPr>
      <w:rFonts w:ascii="Arial" w:hAnsi="Arial" w:eastAsia="黑体"/>
      <w:sz w:val="24"/>
    </w:rPr>
  </w:style>
  <w:style w:type="paragraph" w:styleId="10">
    <w:name w:val="heading 9"/>
    <w:basedOn w:val="1"/>
    <w:next w:val="1"/>
    <w:qFormat/>
    <w:uiPriority w:val="0"/>
    <w:pPr>
      <w:keepNext/>
      <w:keepLines/>
      <w:spacing w:before="240" w:after="64" w:line="317" w:lineRule="auto"/>
      <w:outlineLvl w:val="8"/>
    </w:pPr>
    <w:rPr>
      <w:rFonts w:ascii="Arial" w:hAnsi="Arial" w:eastAsia="黑体"/>
      <w:szCs w:val="21"/>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11">
    <w:name w:val="toc 7"/>
    <w:basedOn w:val="12"/>
    <w:next w:val="1"/>
    <w:autoRedefine/>
    <w:qFormat/>
    <w:uiPriority w:val="0"/>
  </w:style>
  <w:style w:type="paragraph" w:styleId="12">
    <w:name w:val="toc 6"/>
    <w:basedOn w:val="13"/>
    <w:next w:val="1"/>
    <w:autoRedefine/>
    <w:qFormat/>
    <w:uiPriority w:val="0"/>
  </w:style>
  <w:style w:type="paragraph" w:styleId="13">
    <w:name w:val="toc 5"/>
    <w:basedOn w:val="14"/>
    <w:next w:val="1"/>
    <w:autoRedefine/>
    <w:qFormat/>
    <w:uiPriority w:val="0"/>
  </w:style>
  <w:style w:type="paragraph" w:styleId="14">
    <w:name w:val="toc 4"/>
    <w:basedOn w:val="15"/>
    <w:next w:val="1"/>
    <w:autoRedefine/>
    <w:qFormat/>
    <w:uiPriority w:val="0"/>
  </w:style>
  <w:style w:type="paragraph" w:styleId="15">
    <w:name w:val="toc 3"/>
    <w:basedOn w:val="16"/>
    <w:next w:val="1"/>
    <w:autoRedefine/>
    <w:qFormat/>
    <w:uiPriority w:val="39"/>
  </w:style>
  <w:style w:type="paragraph" w:styleId="16">
    <w:name w:val="toc 2"/>
    <w:basedOn w:val="17"/>
    <w:next w:val="1"/>
    <w:autoRedefine/>
    <w:qFormat/>
    <w:uiPriority w:val="39"/>
  </w:style>
  <w:style w:type="paragraph" w:styleId="17">
    <w:name w:val="toc 1"/>
    <w:next w:val="1"/>
    <w:autoRedefine/>
    <w:qFormat/>
    <w:uiPriority w:val="39"/>
    <w:pPr>
      <w:jc w:val="both"/>
    </w:pPr>
    <w:rPr>
      <w:rFonts w:ascii="宋体" w:hAnsi="Times New Roman" w:eastAsia="宋体" w:cs="Times New Roman"/>
      <w:sz w:val="21"/>
      <w:lang w:val="en-US" w:eastAsia="zh-CN" w:bidi="ar-SA"/>
    </w:rPr>
  </w:style>
  <w:style w:type="paragraph" w:styleId="18">
    <w:name w:val="Normal Indent"/>
    <w:basedOn w:val="1"/>
    <w:qFormat/>
    <w:uiPriority w:val="0"/>
    <w:pPr>
      <w:ind w:firstLine="420"/>
    </w:pPr>
    <w:rPr>
      <w:szCs w:val="20"/>
    </w:rPr>
  </w:style>
  <w:style w:type="paragraph" w:styleId="19">
    <w:name w:val="caption"/>
    <w:basedOn w:val="1"/>
    <w:next w:val="1"/>
    <w:autoRedefine/>
    <w:qFormat/>
    <w:uiPriority w:val="0"/>
    <w:pPr>
      <w:spacing w:before="152" w:after="160"/>
    </w:pPr>
    <w:rPr>
      <w:rFonts w:ascii="Arial" w:hAnsi="Arial" w:eastAsia="黑体"/>
      <w:szCs w:val="20"/>
    </w:rPr>
  </w:style>
  <w:style w:type="paragraph" w:styleId="20">
    <w:name w:val="annotation text"/>
    <w:basedOn w:val="1"/>
    <w:link w:val="288"/>
    <w:autoRedefine/>
    <w:qFormat/>
    <w:uiPriority w:val="0"/>
    <w:pPr>
      <w:jc w:val="left"/>
    </w:pPr>
  </w:style>
  <w:style w:type="paragraph" w:styleId="21">
    <w:name w:val="Body Text"/>
    <w:basedOn w:val="1"/>
    <w:link w:val="283"/>
    <w:autoRedefine/>
    <w:qFormat/>
    <w:uiPriority w:val="0"/>
    <w:pPr>
      <w:spacing w:after="120"/>
    </w:pPr>
  </w:style>
  <w:style w:type="paragraph" w:styleId="22">
    <w:name w:val="Body Text Indent"/>
    <w:basedOn w:val="1"/>
    <w:link w:val="286"/>
    <w:autoRedefine/>
    <w:qFormat/>
    <w:uiPriority w:val="0"/>
    <w:pPr>
      <w:spacing w:line="360" w:lineRule="exact"/>
      <w:ind w:left="420" w:firstLine="480"/>
    </w:pPr>
    <w:rPr>
      <w:sz w:val="24"/>
      <w:szCs w:val="20"/>
    </w:rPr>
  </w:style>
  <w:style w:type="paragraph" w:styleId="23">
    <w:name w:val="HTML Address"/>
    <w:basedOn w:val="1"/>
    <w:autoRedefine/>
    <w:qFormat/>
    <w:uiPriority w:val="0"/>
    <w:rPr>
      <w:i/>
      <w:iCs/>
    </w:rPr>
  </w:style>
  <w:style w:type="paragraph" w:styleId="24">
    <w:name w:val="Plain Text"/>
    <w:basedOn w:val="1"/>
    <w:link w:val="280"/>
    <w:qFormat/>
    <w:uiPriority w:val="99"/>
    <w:rPr>
      <w:rFonts w:ascii="宋体" w:hAnsi="Courier New"/>
      <w:szCs w:val="21"/>
    </w:rPr>
  </w:style>
  <w:style w:type="paragraph" w:styleId="25">
    <w:name w:val="toc 8"/>
    <w:basedOn w:val="11"/>
    <w:next w:val="1"/>
    <w:autoRedefine/>
    <w:qFormat/>
    <w:uiPriority w:val="0"/>
  </w:style>
  <w:style w:type="paragraph" w:styleId="26">
    <w:name w:val="Date"/>
    <w:basedOn w:val="1"/>
    <w:next w:val="1"/>
    <w:link w:val="292"/>
    <w:autoRedefine/>
    <w:qFormat/>
    <w:uiPriority w:val="99"/>
    <w:pPr>
      <w:ind w:left="100" w:leftChars="2500"/>
    </w:pPr>
    <w:rPr>
      <w:sz w:val="24"/>
      <w:szCs w:val="20"/>
    </w:rPr>
  </w:style>
  <w:style w:type="paragraph" w:styleId="27">
    <w:name w:val="Body Text Indent 2"/>
    <w:basedOn w:val="1"/>
    <w:link w:val="291"/>
    <w:autoRedefine/>
    <w:qFormat/>
    <w:uiPriority w:val="0"/>
    <w:pPr>
      <w:spacing w:after="120" w:line="480" w:lineRule="auto"/>
      <w:ind w:left="420" w:leftChars="200"/>
    </w:pPr>
  </w:style>
  <w:style w:type="paragraph" w:styleId="28">
    <w:name w:val="endnote text"/>
    <w:basedOn w:val="1"/>
    <w:autoRedefine/>
    <w:qFormat/>
    <w:uiPriority w:val="0"/>
    <w:pPr>
      <w:snapToGrid w:val="0"/>
    </w:pPr>
  </w:style>
  <w:style w:type="paragraph" w:styleId="29">
    <w:name w:val="Balloon Text"/>
    <w:basedOn w:val="1"/>
    <w:link w:val="282"/>
    <w:qFormat/>
    <w:uiPriority w:val="0"/>
    <w:rPr>
      <w:sz w:val="18"/>
      <w:szCs w:val="18"/>
    </w:rPr>
  </w:style>
  <w:style w:type="paragraph" w:styleId="30">
    <w:name w:val="footer"/>
    <w:basedOn w:val="1"/>
    <w:link w:val="285"/>
    <w:qFormat/>
    <w:uiPriority w:val="0"/>
    <w:pPr>
      <w:tabs>
        <w:tab w:val="center" w:pos="4153"/>
        <w:tab w:val="right" w:pos="8306"/>
      </w:tabs>
      <w:snapToGrid w:val="0"/>
      <w:ind w:right="210" w:rightChars="100"/>
      <w:jc w:val="right"/>
    </w:pPr>
    <w:rPr>
      <w:sz w:val="18"/>
      <w:szCs w:val="18"/>
    </w:rPr>
  </w:style>
  <w:style w:type="paragraph" w:styleId="31">
    <w:name w:val="header"/>
    <w:basedOn w:val="1"/>
    <w:link w:val="290"/>
    <w:autoRedefine/>
    <w:qFormat/>
    <w:uiPriority w:val="0"/>
    <w:pPr>
      <w:pBdr>
        <w:bottom w:val="single" w:color="auto" w:sz="6" w:space="1"/>
      </w:pBdr>
      <w:tabs>
        <w:tab w:val="center" w:pos="4153"/>
        <w:tab w:val="right" w:pos="8306"/>
      </w:tabs>
      <w:snapToGrid w:val="0"/>
      <w:jc w:val="center"/>
    </w:pPr>
    <w:rPr>
      <w:sz w:val="18"/>
      <w:szCs w:val="18"/>
    </w:rPr>
  </w:style>
  <w:style w:type="paragraph" w:styleId="32">
    <w:name w:val="footnote text"/>
    <w:basedOn w:val="1"/>
    <w:link w:val="309"/>
    <w:autoRedefine/>
    <w:qFormat/>
    <w:uiPriority w:val="0"/>
    <w:pPr>
      <w:snapToGrid w:val="0"/>
      <w:jc w:val="left"/>
    </w:pPr>
    <w:rPr>
      <w:sz w:val="18"/>
      <w:szCs w:val="18"/>
    </w:rPr>
  </w:style>
  <w:style w:type="paragraph" w:styleId="33">
    <w:name w:val="Body Text Indent 3"/>
    <w:basedOn w:val="1"/>
    <w:qFormat/>
    <w:uiPriority w:val="0"/>
    <w:pPr>
      <w:widowControl/>
      <w:spacing w:line="360" w:lineRule="auto"/>
      <w:ind w:firstLine="420"/>
    </w:pPr>
    <w:rPr>
      <w:rFonts w:hAnsi="宋体"/>
      <w:sz w:val="18"/>
    </w:rPr>
  </w:style>
  <w:style w:type="paragraph" w:styleId="34">
    <w:name w:val="toc 9"/>
    <w:basedOn w:val="25"/>
    <w:next w:val="1"/>
    <w:qFormat/>
    <w:uiPriority w:val="0"/>
  </w:style>
  <w:style w:type="paragraph" w:styleId="35">
    <w:name w:val="Body Text 2"/>
    <w:basedOn w:val="1"/>
    <w:link w:val="323"/>
    <w:autoRedefine/>
    <w:qFormat/>
    <w:uiPriority w:val="99"/>
    <w:pPr>
      <w:spacing w:after="120" w:line="480" w:lineRule="auto"/>
    </w:pPr>
  </w:style>
  <w:style w:type="paragraph" w:styleId="36">
    <w:name w:val="HTML Preformatted"/>
    <w:basedOn w:val="1"/>
    <w:qFormat/>
    <w:uiPriority w:val="0"/>
    <w:rPr>
      <w:rFonts w:ascii="Courier New" w:hAnsi="Courier New" w:cs="Courier New"/>
      <w:sz w:val="20"/>
      <w:szCs w:val="20"/>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Title"/>
    <w:basedOn w:val="1"/>
    <w:link w:val="308"/>
    <w:qFormat/>
    <w:uiPriority w:val="0"/>
    <w:pPr>
      <w:spacing w:before="240" w:after="60"/>
      <w:jc w:val="center"/>
      <w:outlineLvl w:val="0"/>
    </w:pPr>
    <w:rPr>
      <w:rFonts w:ascii="Arial" w:hAnsi="Arial" w:cs="Arial"/>
      <w:b/>
      <w:bCs/>
      <w:sz w:val="32"/>
      <w:szCs w:val="32"/>
    </w:rPr>
  </w:style>
  <w:style w:type="paragraph" w:styleId="39">
    <w:name w:val="annotation subject"/>
    <w:basedOn w:val="20"/>
    <w:next w:val="20"/>
    <w:link w:val="289"/>
    <w:qFormat/>
    <w:uiPriority w:val="0"/>
    <w:rPr>
      <w:b/>
      <w:bCs/>
    </w:rPr>
  </w:style>
  <w:style w:type="paragraph" w:styleId="40">
    <w:name w:val="Body Text First Indent"/>
    <w:basedOn w:val="21"/>
    <w:autoRedefine/>
    <w:qFormat/>
    <w:uiPriority w:val="0"/>
    <w:pPr>
      <w:ind w:firstLine="420"/>
    </w:pPr>
    <w:rPr>
      <w:szCs w:val="20"/>
    </w:rPr>
  </w:style>
  <w:style w:type="table" w:styleId="42">
    <w:name w:val="Table Grid"/>
    <w:basedOn w:val="41"/>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44">
    <w:name w:val="Strong"/>
    <w:qFormat/>
    <w:uiPriority w:val="22"/>
    <w:rPr>
      <w:b/>
      <w:bCs/>
    </w:rPr>
  </w:style>
  <w:style w:type="character" w:styleId="45">
    <w:name w:val="page number"/>
    <w:qFormat/>
    <w:uiPriority w:val="0"/>
    <w:rPr>
      <w:rFonts w:ascii="Times New Roman" w:hAnsi="Times New Roman" w:eastAsia="宋体"/>
      <w:sz w:val="18"/>
    </w:rPr>
  </w:style>
  <w:style w:type="character" w:styleId="46">
    <w:name w:val="FollowedHyperlink"/>
    <w:unhideWhenUsed/>
    <w:qFormat/>
    <w:uiPriority w:val="0"/>
    <w:rPr>
      <w:color w:val="800080"/>
      <w:u w:val="single"/>
    </w:rPr>
  </w:style>
  <w:style w:type="character" w:styleId="47">
    <w:name w:val="HTML Definition"/>
    <w:qFormat/>
    <w:uiPriority w:val="0"/>
    <w:rPr>
      <w:i/>
      <w:iCs/>
    </w:rPr>
  </w:style>
  <w:style w:type="character" w:styleId="48">
    <w:name w:val="HTML Typewriter"/>
    <w:qFormat/>
    <w:uiPriority w:val="0"/>
    <w:rPr>
      <w:rFonts w:ascii="Courier New" w:hAnsi="Courier New"/>
      <w:sz w:val="20"/>
      <w:szCs w:val="20"/>
    </w:rPr>
  </w:style>
  <w:style w:type="character" w:styleId="49">
    <w:name w:val="HTML Acronym"/>
    <w:basedOn w:val="43"/>
    <w:qFormat/>
    <w:uiPriority w:val="0"/>
  </w:style>
  <w:style w:type="character" w:styleId="50">
    <w:name w:val="HTML Variable"/>
    <w:qFormat/>
    <w:uiPriority w:val="0"/>
    <w:rPr>
      <w:i/>
      <w:iCs/>
    </w:rPr>
  </w:style>
  <w:style w:type="character" w:styleId="51">
    <w:name w:val="Hyperlink"/>
    <w:basedOn w:val="43"/>
    <w:qFormat/>
    <w:uiPriority w:val="99"/>
    <w:rPr>
      <w:rFonts w:ascii="Times New Roman" w:hAnsi="Times New Roman" w:eastAsia="宋体"/>
      <w:color w:val="auto"/>
      <w:spacing w:val="0"/>
      <w:w w:val="100"/>
      <w:position w:val="0"/>
      <w:sz w:val="21"/>
      <w:u w:val="none"/>
    </w:rPr>
  </w:style>
  <w:style w:type="character" w:styleId="52">
    <w:name w:val="HTML Code"/>
    <w:qFormat/>
    <w:uiPriority w:val="0"/>
    <w:rPr>
      <w:rFonts w:ascii="Courier New" w:hAnsi="Courier New"/>
      <w:sz w:val="20"/>
      <w:szCs w:val="20"/>
    </w:rPr>
  </w:style>
  <w:style w:type="character" w:styleId="53">
    <w:name w:val="annotation reference"/>
    <w:qFormat/>
    <w:uiPriority w:val="0"/>
    <w:rPr>
      <w:sz w:val="21"/>
      <w:szCs w:val="21"/>
    </w:rPr>
  </w:style>
  <w:style w:type="character" w:styleId="54">
    <w:name w:val="HTML Cite"/>
    <w:qFormat/>
    <w:uiPriority w:val="0"/>
    <w:rPr>
      <w:i/>
      <w:iCs/>
    </w:rPr>
  </w:style>
  <w:style w:type="character" w:styleId="55">
    <w:name w:val="footnote reference"/>
    <w:qFormat/>
    <w:uiPriority w:val="0"/>
    <w:rPr>
      <w:vertAlign w:val="superscript"/>
    </w:rPr>
  </w:style>
  <w:style w:type="character" w:styleId="56">
    <w:name w:val="HTML Keyboard"/>
    <w:qFormat/>
    <w:uiPriority w:val="0"/>
    <w:rPr>
      <w:rFonts w:ascii="Courier New" w:hAnsi="Courier New"/>
      <w:sz w:val="20"/>
      <w:szCs w:val="20"/>
    </w:rPr>
  </w:style>
  <w:style w:type="character" w:styleId="57">
    <w:name w:val="HTML Sample"/>
    <w:qFormat/>
    <w:uiPriority w:val="0"/>
    <w:rPr>
      <w:rFonts w:ascii="Courier New" w:hAnsi="Courier New"/>
    </w:rPr>
  </w:style>
  <w:style w:type="paragraph" w:customStyle="1" w:styleId="58">
    <w:name w:val="段"/>
    <w:link w:val="275"/>
    <w:qFormat/>
    <w:uiPriority w:val="0"/>
    <w:pPr>
      <w:autoSpaceDE w:val="0"/>
      <w:autoSpaceDN w:val="0"/>
      <w:adjustRightInd w:val="0"/>
      <w:snapToGrid w:val="0"/>
      <w:ind w:firstLine="400" w:firstLineChars="200"/>
      <w:jc w:val="both"/>
    </w:pPr>
    <w:rPr>
      <w:rFonts w:ascii="宋体" w:hAnsi="宋体" w:eastAsia="宋体" w:cs="Times New Roman"/>
      <w:sz w:val="21"/>
      <w:lang w:val="en-US" w:eastAsia="zh-CN" w:bidi="ar-SA"/>
    </w:rPr>
  </w:style>
  <w:style w:type="paragraph" w:customStyle="1" w:styleId="59">
    <w:name w:val="二级条标题"/>
    <w:basedOn w:val="60"/>
    <w:next w:val="58"/>
    <w:link w:val="277"/>
    <w:qFormat/>
    <w:uiPriority w:val="0"/>
    <w:pPr>
      <w:numPr>
        <w:ilvl w:val="3"/>
      </w:numPr>
      <w:outlineLvl w:val="3"/>
    </w:pPr>
    <w:rPr>
      <w:rFonts w:hAnsi="黑体"/>
      <w:color w:val="000000" w:themeColor="text1"/>
      <w:spacing w:val="-6"/>
      <w14:textFill>
        <w14:solidFill>
          <w14:schemeClr w14:val="tx1"/>
        </w14:solidFill>
      </w14:textFill>
    </w:rPr>
  </w:style>
  <w:style w:type="paragraph" w:customStyle="1" w:styleId="60">
    <w:name w:val="一级条标题"/>
    <w:basedOn w:val="61"/>
    <w:next w:val="58"/>
    <w:link w:val="279"/>
    <w:qFormat/>
    <w:uiPriority w:val="0"/>
    <w:pPr>
      <w:numPr>
        <w:ilvl w:val="2"/>
      </w:numPr>
      <w:spacing w:beforeLines="0" w:afterLines="0" w:line="300" w:lineRule="auto"/>
      <w:outlineLvl w:val="2"/>
    </w:pPr>
    <w:rPr>
      <w:color w:val="FF0000"/>
      <w:spacing w:val="-4"/>
      <w:szCs w:val="24"/>
    </w:rPr>
  </w:style>
  <w:style w:type="paragraph" w:customStyle="1" w:styleId="61">
    <w:name w:val="章标题"/>
    <w:next w:val="58"/>
    <w:link w:val="278"/>
    <w:qFormat/>
    <w:uiPriority w:val="0"/>
    <w:pPr>
      <w:numPr>
        <w:ilvl w:val="1"/>
        <w:numId w:val="1"/>
      </w:numPr>
      <w:spacing w:beforeLines="50" w:afterLines="50"/>
      <w:jc w:val="both"/>
      <w:outlineLvl w:val="1"/>
    </w:pPr>
    <w:rPr>
      <w:rFonts w:ascii="黑体" w:hAnsi="Times New Roman" w:eastAsia="黑体" w:cs="Times New Roman"/>
      <w:sz w:val="21"/>
      <w:lang w:val="en-US" w:eastAsia="zh-CN" w:bidi="ar-SA"/>
    </w:rPr>
  </w:style>
  <w:style w:type="paragraph" w:customStyle="1" w:styleId="62">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63">
    <w:name w:val="封面标准号2"/>
    <w:basedOn w:val="64"/>
    <w:qFormat/>
    <w:uiPriority w:val="0"/>
    <w:pPr>
      <w:adjustRightInd w:val="0"/>
      <w:spacing w:before="357" w:line="280" w:lineRule="exact"/>
    </w:pPr>
  </w:style>
  <w:style w:type="paragraph" w:customStyle="1" w:styleId="64">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65">
    <w:name w:val="附录标识"/>
    <w:basedOn w:val="66"/>
    <w:link w:val="300"/>
    <w:qFormat/>
    <w:uiPriority w:val="0"/>
    <w:pPr>
      <w:numPr>
        <w:ilvl w:val="0"/>
        <w:numId w:val="2"/>
      </w:numPr>
      <w:tabs>
        <w:tab w:val="left" w:pos="6405"/>
      </w:tabs>
      <w:spacing w:after="200"/>
    </w:pPr>
    <w:rPr>
      <w:sz w:val="21"/>
    </w:rPr>
  </w:style>
  <w:style w:type="paragraph" w:customStyle="1" w:styleId="66">
    <w:name w:val="前言、引言标题"/>
    <w:next w:val="1"/>
    <w:qFormat/>
    <w:uiPriority w:val="0"/>
    <w:pPr>
      <w:numPr>
        <w:ilvl w:val="0"/>
        <w:numId w:val="1"/>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67">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68">
    <w:name w:val="发布部门"/>
    <w:next w:val="58"/>
    <w:qFormat/>
    <w:uiPriority w:val="0"/>
    <w:pPr>
      <w:jc w:val="center"/>
    </w:pPr>
    <w:rPr>
      <w:rFonts w:ascii="宋体" w:hAnsi="Times New Roman" w:eastAsia="宋体" w:cs="Times New Roman"/>
      <w:b/>
      <w:spacing w:val="20"/>
      <w:w w:val="135"/>
      <w:sz w:val="36"/>
      <w:lang w:val="en-US" w:eastAsia="zh-CN" w:bidi="ar-SA"/>
    </w:rPr>
  </w:style>
  <w:style w:type="paragraph" w:customStyle="1" w:styleId="69">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70">
    <w:name w:val="四级条标题"/>
    <w:basedOn w:val="71"/>
    <w:next w:val="58"/>
    <w:qFormat/>
    <w:uiPriority w:val="0"/>
    <w:pPr>
      <w:numPr>
        <w:ilvl w:val="5"/>
      </w:numPr>
      <w:outlineLvl w:val="5"/>
    </w:pPr>
  </w:style>
  <w:style w:type="paragraph" w:customStyle="1" w:styleId="71">
    <w:name w:val="三级条标题"/>
    <w:basedOn w:val="59"/>
    <w:next w:val="58"/>
    <w:link w:val="281"/>
    <w:qFormat/>
    <w:uiPriority w:val="0"/>
    <w:pPr>
      <w:numPr>
        <w:ilvl w:val="4"/>
      </w:numPr>
      <w:outlineLvl w:val="4"/>
    </w:pPr>
  </w:style>
  <w:style w:type="paragraph" w:customStyle="1" w:styleId="72">
    <w:name w:val="列项——"/>
    <w:qFormat/>
    <w:uiPriority w:val="0"/>
    <w:pPr>
      <w:widowControl w:val="0"/>
      <w:numPr>
        <w:ilvl w:val="0"/>
        <w:numId w:val="3"/>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73">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74">
    <w:name w:val="参考文献、索引标题"/>
    <w:basedOn w:val="66"/>
    <w:next w:val="1"/>
    <w:qFormat/>
    <w:uiPriority w:val="0"/>
    <w:pPr>
      <w:numPr>
        <w:numId w:val="0"/>
      </w:numPr>
      <w:spacing w:after="200"/>
    </w:pPr>
    <w:rPr>
      <w:sz w:val="21"/>
    </w:rPr>
  </w:style>
  <w:style w:type="paragraph" w:customStyle="1" w:styleId="75">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76">
    <w:name w:val="实施日期"/>
    <w:basedOn w:val="77"/>
    <w:qFormat/>
    <w:uiPriority w:val="0"/>
    <w:pPr>
      <w:jc w:val="right"/>
    </w:pPr>
  </w:style>
  <w:style w:type="paragraph" w:customStyle="1" w:styleId="77">
    <w:name w:val="发布日期"/>
    <w:qFormat/>
    <w:uiPriority w:val="0"/>
    <w:rPr>
      <w:rFonts w:ascii="Times New Roman" w:hAnsi="Times New Roman" w:eastAsia="黑体" w:cs="Times New Roman"/>
      <w:sz w:val="28"/>
      <w:lang w:val="en-US" w:eastAsia="zh-CN" w:bidi="ar-SA"/>
    </w:rPr>
  </w:style>
  <w:style w:type="paragraph" w:customStyle="1" w:styleId="78">
    <w:name w:val="条文脚注"/>
    <w:basedOn w:val="32"/>
    <w:qFormat/>
    <w:uiPriority w:val="0"/>
    <w:pPr>
      <w:ind w:left="780" w:leftChars="200" w:hanging="360" w:hangingChars="200"/>
      <w:jc w:val="both"/>
    </w:pPr>
    <w:rPr>
      <w:rFonts w:ascii="宋体"/>
    </w:rPr>
  </w:style>
  <w:style w:type="paragraph" w:customStyle="1" w:styleId="79">
    <w:name w:val="附录章标题"/>
    <w:next w:val="58"/>
    <w:qFormat/>
    <w:uiPriority w:val="0"/>
    <w:pPr>
      <w:numPr>
        <w:ilvl w:val="1"/>
        <w:numId w:val="2"/>
      </w:num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0">
    <w:name w:val="注×："/>
    <w:qFormat/>
    <w:uiPriority w:val="0"/>
    <w:pPr>
      <w:widowControl w:val="0"/>
      <w:numPr>
        <w:ilvl w:val="0"/>
        <w:numId w:val="4"/>
      </w:numPr>
      <w:tabs>
        <w:tab w:val="left" w:pos="630"/>
        <w:tab w:val="clear" w:pos="900"/>
      </w:tabs>
      <w:autoSpaceDE w:val="0"/>
      <w:autoSpaceDN w:val="0"/>
      <w:jc w:val="both"/>
    </w:pPr>
    <w:rPr>
      <w:rFonts w:ascii="宋体" w:hAnsi="Times New Roman" w:eastAsia="宋体" w:cs="Times New Roman"/>
      <w:sz w:val="18"/>
      <w:lang w:val="en-US" w:eastAsia="zh-CN" w:bidi="ar-SA"/>
    </w:rPr>
  </w:style>
  <w:style w:type="paragraph" w:customStyle="1" w:styleId="81">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82">
    <w:name w:val="图表脚注"/>
    <w:next w:val="58"/>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83">
    <w:name w:val="五级无标题条"/>
    <w:basedOn w:val="1"/>
    <w:qFormat/>
    <w:uiPriority w:val="0"/>
    <w:pPr>
      <w:numPr>
        <w:ilvl w:val="6"/>
        <w:numId w:val="5"/>
      </w:numPr>
    </w:pPr>
  </w:style>
  <w:style w:type="paragraph" w:customStyle="1" w:styleId="84">
    <w:name w:val="标准标志"/>
    <w:next w:val="1"/>
    <w:qFormat/>
    <w:uiPriority w:val="0"/>
    <w:pPr>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85">
    <w:name w:val="Char"/>
    <w:basedOn w:val="1"/>
    <w:qFormat/>
    <w:uiPriority w:val="0"/>
    <w:pPr>
      <w:widowControl/>
      <w:spacing w:after="160" w:line="240" w:lineRule="exact"/>
      <w:jc w:val="left"/>
    </w:pPr>
  </w:style>
  <w:style w:type="paragraph" w:customStyle="1" w:styleId="86">
    <w:name w:val="无标题条"/>
    <w:next w:val="58"/>
    <w:qFormat/>
    <w:uiPriority w:val="0"/>
    <w:pPr>
      <w:jc w:val="both"/>
    </w:pPr>
    <w:rPr>
      <w:rFonts w:ascii="Times New Roman" w:hAnsi="Times New Roman" w:eastAsia="宋体" w:cs="Times New Roman"/>
      <w:sz w:val="21"/>
      <w:lang w:val="en-US" w:eastAsia="zh-CN" w:bidi="ar-SA"/>
    </w:rPr>
  </w:style>
  <w:style w:type="paragraph" w:customStyle="1" w:styleId="87">
    <w:name w:val="五级条标题"/>
    <w:basedOn w:val="70"/>
    <w:next w:val="58"/>
    <w:qFormat/>
    <w:uiPriority w:val="0"/>
    <w:pPr>
      <w:numPr>
        <w:ilvl w:val="6"/>
      </w:numPr>
      <w:outlineLvl w:val="6"/>
    </w:pPr>
  </w:style>
  <w:style w:type="paragraph" w:customStyle="1" w:styleId="88">
    <w:name w:val="Default"/>
    <w:qFormat/>
    <w:uiPriority w:val="0"/>
    <w:pPr>
      <w:widowControl w:val="0"/>
      <w:autoSpaceDE w:val="0"/>
      <w:autoSpaceDN w:val="0"/>
      <w:adjustRightInd w:val="0"/>
    </w:pPr>
    <w:rPr>
      <w:rFonts w:ascii="宋体" w:hAnsi="Times New Roman" w:eastAsia="宋体" w:cs="Times New Roman"/>
      <w:lang w:val="en-US" w:eastAsia="zh-CN" w:bidi="ar-SA"/>
    </w:rPr>
  </w:style>
  <w:style w:type="paragraph" w:customStyle="1" w:styleId="89">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90">
    <w:name w:val="正文图标题"/>
    <w:next w:val="58"/>
    <w:qFormat/>
    <w:uiPriority w:val="0"/>
    <w:pPr>
      <w:numPr>
        <w:ilvl w:val="0"/>
        <w:numId w:val="6"/>
      </w:numPr>
      <w:jc w:val="center"/>
    </w:pPr>
    <w:rPr>
      <w:rFonts w:ascii="黑体" w:hAnsi="Times New Roman" w:eastAsia="黑体" w:cs="Times New Roman"/>
      <w:sz w:val="21"/>
      <w:lang w:val="en-US" w:eastAsia="zh-CN" w:bidi="ar-SA"/>
    </w:rPr>
  </w:style>
  <w:style w:type="paragraph" w:customStyle="1" w:styleId="91">
    <w:name w:val="注："/>
    <w:next w:val="58"/>
    <w:link w:val="284"/>
    <w:qFormat/>
    <w:uiPriority w:val="0"/>
    <w:pPr>
      <w:widowControl w:val="0"/>
      <w:numPr>
        <w:ilvl w:val="0"/>
        <w:numId w:val="7"/>
      </w:numPr>
      <w:autoSpaceDE w:val="0"/>
      <w:autoSpaceDN w:val="0"/>
      <w:jc w:val="both"/>
    </w:pPr>
    <w:rPr>
      <w:rFonts w:ascii="宋体" w:hAnsi="Times New Roman" w:eastAsia="宋体" w:cs="Times New Roman"/>
      <w:sz w:val="18"/>
      <w:lang w:val="en-US" w:eastAsia="zh-CN" w:bidi="ar-SA"/>
    </w:rPr>
  </w:style>
  <w:style w:type="paragraph" w:customStyle="1" w:styleId="92">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93">
    <w:name w:val="标准书眉_偶数页"/>
    <w:basedOn w:val="89"/>
    <w:next w:val="1"/>
    <w:qFormat/>
    <w:uiPriority w:val="0"/>
    <w:pPr>
      <w:jc w:val="left"/>
    </w:pPr>
  </w:style>
  <w:style w:type="paragraph" w:customStyle="1" w:styleId="94">
    <w:name w:val="二级无标题条"/>
    <w:basedOn w:val="1"/>
    <w:qFormat/>
    <w:uiPriority w:val="0"/>
    <w:pPr>
      <w:numPr>
        <w:ilvl w:val="3"/>
        <w:numId w:val="5"/>
      </w:numPr>
    </w:pPr>
  </w:style>
  <w:style w:type="paragraph" w:customStyle="1" w:styleId="95">
    <w:name w:val="附录表标题"/>
    <w:next w:val="58"/>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96">
    <w:name w:val="文献分类号"/>
    <w:qFormat/>
    <w:uiPriority w:val="0"/>
    <w:pPr>
      <w:widowControl w:val="0"/>
      <w:textAlignment w:val="center"/>
    </w:pPr>
    <w:rPr>
      <w:rFonts w:ascii="Times New Roman" w:hAnsi="Times New Roman" w:eastAsia="黑体" w:cs="Times New Roman"/>
      <w:sz w:val="21"/>
      <w:lang w:val="en-US" w:eastAsia="zh-CN" w:bidi="ar-SA"/>
    </w:rPr>
  </w:style>
  <w:style w:type="paragraph" w:customStyle="1" w:styleId="97">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98">
    <w:name w:val="封面正文"/>
    <w:qFormat/>
    <w:uiPriority w:val="0"/>
    <w:pPr>
      <w:jc w:val="both"/>
    </w:pPr>
    <w:rPr>
      <w:rFonts w:ascii="Times New Roman" w:hAnsi="Times New Roman" w:eastAsia="宋体" w:cs="Times New Roman"/>
      <w:lang w:val="en-US" w:eastAsia="zh-CN" w:bidi="ar-SA"/>
    </w:rPr>
  </w:style>
  <w:style w:type="paragraph" w:customStyle="1" w:styleId="99">
    <w:name w:val="附录五级条标题"/>
    <w:basedOn w:val="100"/>
    <w:next w:val="58"/>
    <w:qFormat/>
    <w:uiPriority w:val="0"/>
    <w:pPr>
      <w:numPr>
        <w:ilvl w:val="6"/>
      </w:numPr>
      <w:outlineLvl w:val="6"/>
    </w:pPr>
  </w:style>
  <w:style w:type="paragraph" w:customStyle="1" w:styleId="100">
    <w:name w:val="附录四级条标题"/>
    <w:basedOn w:val="101"/>
    <w:next w:val="58"/>
    <w:qFormat/>
    <w:uiPriority w:val="0"/>
    <w:pPr>
      <w:numPr>
        <w:ilvl w:val="5"/>
      </w:numPr>
      <w:outlineLvl w:val="5"/>
    </w:pPr>
  </w:style>
  <w:style w:type="paragraph" w:customStyle="1" w:styleId="101">
    <w:name w:val="附录三级条标题"/>
    <w:basedOn w:val="102"/>
    <w:next w:val="58"/>
    <w:qFormat/>
    <w:uiPriority w:val="0"/>
    <w:pPr>
      <w:numPr>
        <w:ilvl w:val="4"/>
      </w:numPr>
      <w:outlineLvl w:val="4"/>
    </w:pPr>
  </w:style>
  <w:style w:type="paragraph" w:customStyle="1" w:styleId="102">
    <w:name w:val="附录二级条标题"/>
    <w:basedOn w:val="103"/>
    <w:next w:val="58"/>
    <w:qFormat/>
    <w:uiPriority w:val="0"/>
    <w:pPr>
      <w:numPr>
        <w:ilvl w:val="3"/>
      </w:numPr>
      <w:outlineLvl w:val="3"/>
    </w:pPr>
  </w:style>
  <w:style w:type="paragraph" w:customStyle="1" w:styleId="103">
    <w:name w:val="附录一级条标题"/>
    <w:basedOn w:val="79"/>
    <w:next w:val="58"/>
    <w:qFormat/>
    <w:uiPriority w:val="0"/>
    <w:pPr>
      <w:numPr>
        <w:ilvl w:val="2"/>
      </w:numPr>
      <w:autoSpaceDN w:val="0"/>
      <w:spacing w:beforeLines="0" w:afterLines="0"/>
      <w:outlineLvl w:val="2"/>
    </w:pPr>
  </w:style>
  <w:style w:type="paragraph" w:customStyle="1" w:styleId="104">
    <w:name w:val="数字编号列项（二级）"/>
    <w:qFormat/>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105">
    <w:name w:val="附录图标题"/>
    <w:next w:val="58"/>
    <w:qFormat/>
    <w:uiPriority w:val="0"/>
    <w:pPr>
      <w:jc w:val="center"/>
    </w:pPr>
    <w:rPr>
      <w:rFonts w:ascii="黑体" w:hAnsi="Times New Roman" w:eastAsia="黑体" w:cs="Times New Roman"/>
      <w:sz w:val="21"/>
      <w:lang w:val="en-US" w:eastAsia="zh-CN" w:bidi="ar-SA"/>
    </w:rPr>
  </w:style>
  <w:style w:type="paragraph" w:customStyle="1" w:styleId="106">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107">
    <w:name w:val="正文表标题"/>
    <w:next w:val="58"/>
    <w:qFormat/>
    <w:uiPriority w:val="0"/>
    <w:pPr>
      <w:numPr>
        <w:ilvl w:val="0"/>
        <w:numId w:val="8"/>
      </w:numPr>
      <w:jc w:val="center"/>
    </w:pPr>
    <w:rPr>
      <w:rFonts w:ascii="黑体" w:hAnsi="Times New Roman" w:eastAsia="黑体" w:cs="Times New Roman"/>
      <w:sz w:val="21"/>
      <w:lang w:val="en-US" w:eastAsia="zh-CN" w:bidi="ar-SA"/>
    </w:rPr>
  </w:style>
  <w:style w:type="paragraph" w:customStyle="1" w:styleId="108">
    <w:name w:val="示例"/>
    <w:next w:val="58"/>
    <w:qFormat/>
    <w:uiPriority w:val="0"/>
    <w:pPr>
      <w:numPr>
        <w:ilvl w:val="0"/>
        <w:numId w:val="9"/>
      </w:numPr>
      <w:tabs>
        <w:tab w:val="left" w:pos="816"/>
        <w:tab w:val="clear" w:pos="1120"/>
      </w:tabs>
      <w:ind w:firstLine="419" w:firstLineChars="233"/>
      <w:jc w:val="both"/>
    </w:pPr>
    <w:rPr>
      <w:rFonts w:ascii="宋体" w:hAnsi="Times New Roman" w:eastAsia="宋体" w:cs="Times New Roman"/>
      <w:sz w:val="18"/>
      <w:lang w:val="en-US" w:eastAsia="zh-CN" w:bidi="ar-SA"/>
    </w:rPr>
  </w:style>
  <w:style w:type="paragraph" w:customStyle="1" w:styleId="109">
    <w:name w:val="篇"/>
    <w:basedOn w:val="1"/>
    <w:next w:val="1"/>
    <w:qFormat/>
    <w:uiPriority w:val="0"/>
    <w:pPr>
      <w:adjustRightInd w:val="0"/>
      <w:spacing w:line="360" w:lineRule="atLeast"/>
      <w:jc w:val="center"/>
      <w:textAlignment w:val="baseline"/>
    </w:pPr>
    <w:rPr>
      <w:rFonts w:eastAsia="黑体"/>
      <w:kern w:val="0"/>
      <w:sz w:val="24"/>
      <w:szCs w:val="20"/>
    </w:rPr>
  </w:style>
  <w:style w:type="paragraph" w:customStyle="1" w:styleId="110">
    <w:name w:val="四级无标题条"/>
    <w:basedOn w:val="1"/>
    <w:qFormat/>
    <w:uiPriority w:val="0"/>
    <w:pPr>
      <w:numPr>
        <w:ilvl w:val="5"/>
        <w:numId w:val="5"/>
      </w:numPr>
    </w:pPr>
  </w:style>
  <w:style w:type="paragraph" w:customStyle="1" w:styleId="111">
    <w:name w:val="目次、标准名称标题"/>
    <w:basedOn w:val="66"/>
    <w:next w:val="58"/>
    <w:qFormat/>
    <w:uiPriority w:val="0"/>
    <w:pPr>
      <w:numPr>
        <w:numId w:val="0"/>
      </w:numPr>
      <w:spacing w:line="460" w:lineRule="exact"/>
    </w:pPr>
  </w:style>
  <w:style w:type="paragraph" w:customStyle="1" w:styleId="112">
    <w:name w:val="标准书眉一"/>
    <w:qFormat/>
    <w:uiPriority w:val="0"/>
    <w:pPr>
      <w:jc w:val="both"/>
    </w:pPr>
    <w:rPr>
      <w:rFonts w:ascii="Times New Roman" w:hAnsi="Times New Roman" w:eastAsia="宋体" w:cs="Times New Roman"/>
      <w:lang w:val="en-US" w:eastAsia="zh-CN" w:bidi="ar-SA"/>
    </w:rPr>
  </w:style>
  <w:style w:type="paragraph" w:customStyle="1" w:styleId="113">
    <w:name w:val="标准称谓"/>
    <w:next w:val="1"/>
    <w:qFormat/>
    <w:uiPriority w:val="0"/>
    <w:pPr>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114">
    <w:name w:val="其他发布部门"/>
    <w:basedOn w:val="68"/>
    <w:qFormat/>
    <w:uiPriority w:val="0"/>
    <w:pPr>
      <w:spacing w:line="0" w:lineRule="atLeast"/>
    </w:pPr>
    <w:rPr>
      <w:rFonts w:ascii="黑体" w:eastAsia="黑体"/>
      <w:b w:val="0"/>
    </w:rPr>
  </w:style>
  <w:style w:type="paragraph" w:customStyle="1" w:styleId="115">
    <w:name w:val="列项·"/>
    <w:qFormat/>
    <w:uiPriority w:val="0"/>
    <w:pPr>
      <w:numPr>
        <w:ilvl w:val="0"/>
        <w:numId w:val="10"/>
      </w:numPr>
      <w:tabs>
        <w:tab w:val="left" w:pos="840"/>
        <w:tab w:val="clear" w:pos="1140"/>
      </w:tabs>
      <w:ind w:left="840" w:leftChars="200" w:hanging="420" w:hangingChars="200"/>
      <w:jc w:val="both"/>
    </w:pPr>
    <w:rPr>
      <w:rFonts w:ascii="宋体" w:hAnsi="Times New Roman" w:eastAsia="宋体" w:cs="Times New Roman"/>
      <w:sz w:val="21"/>
      <w:lang w:val="en-US" w:eastAsia="zh-CN" w:bidi="ar-SA"/>
    </w:rPr>
  </w:style>
  <w:style w:type="paragraph" w:customStyle="1" w:styleId="116">
    <w:name w:val="三级无标题条"/>
    <w:basedOn w:val="1"/>
    <w:qFormat/>
    <w:uiPriority w:val="0"/>
    <w:pPr>
      <w:numPr>
        <w:ilvl w:val="4"/>
        <w:numId w:val="5"/>
      </w:numPr>
    </w:pPr>
  </w:style>
  <w:style w:type="paragraph" w:customStyle="1" w:styleId="117">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18">
    <w:name w:val="一级无标题条"/>
    <w:basedOn w:val="1"/>
    <w:qFormat/>
    <w:uiPriority w:val="0"/>
    <w:pPr>
      <w:numPr>
        <w:ilvl w:val="2"/>
        <w:numId w:val="5"/>
      </w:numPr>
    </w:pPr>
  </w:style>
  <w:style w:type="paragraph" w:customStyle="1" w:styleId="119">
    <w:name w:val="封面标准代替信息"/>
    <w:basedOn w:val="63"/>
    <w:qFormat/>
    <w:uiPriority w:val="0"/>
    <w:pPr>
      <w:spacing w:before="57"/>
    </w:pPr>
    <w:rPr>
      <w:rFonts w:ascii="宋体"/>
      <w:sz w:val="21"/>
    </w:rPr>
  </w:style>
  <w:style w:type="paragraph" w:customStyle="1" w:styleId="120">
    <w:name w:val="标准正文"/>
    <w:basedOn w:val="1"/>
    <w:qFormat/>
    <w:uiPriority w:val="0"/>
    <w:pPr>
      <w:adjustRightInd w:val="0"/>
      <w:spacing w:line="360" w:lineRule="atLeast"/>
      <w:ind w:firstLine="425"/>
      <w:jc w:val="left"/>
      <w:textAlignment w:val="baseline"/>
    </w:pPr>
    <w:rPr>
      <w:spacing w:val="-4"/>
      <w:kern w:val="21"/>
      <w:szCs w:val="20"/>
    </w:rPr>
  </w:style>
  <w:style w:type="paragraph" w:customStyle="1" w:styleId="121">
    <w:name w:val="font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2">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font6"/>
    <w:basedOn w:val="1"/>
    <w:qFormat/>
    <w:uiPriority w:val="0"/>
    <w:pPr>
      <w:widowControl/>
      <w:spacing w:before="100" w:beforeAutospacing="1" w:after="100" w:afterAutospacing="1"/>
      <w:jc w:val="left"/>
    </w:pPr>
    <w:rPr>
      <w:b/>
      <w:bCs/>
      <w:kern w:val="0"/>
      <w:sz w:val="20"/>
      <w:szCs w:val="20"/>
    </w:rPr>
  </w:style>
  <w:style w:type="paragraph" w:customStyle="1" w:styleId="124">
    <w:name w:val="font7"/>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125">
    <w:name w:val="font8"/>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126">
    <w:name w:val="font9"/>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127">
    <w:name w:val="font10"/>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128">
    <w:name w:val="font11"/>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129">
    <w:name w:val="xl78"/>
    <w:basedOn w:val="1"/>
    <w:qFormat/>
    <w:uiPriority w:val="0"/>
    <w:pPr>
      <w:widowControl/>
      <w:spacing w:before="100" w:beforeAutospacing="1" w:after="100" w:afterAutospacing="1"/>
      <w:jc w:val="center"/>
      <w:textAlignment w:val="center"/>
    </w:pPr>
    <w:rPr>
      <w:b/>
      <w:bCs/>
      <w:kern w:val="0"/>
      <w:sz w:val="24"/>
    </w:rPr>
  </w:style>
  <w:style w:type="paragraph" w:customStyle="1" w:styleId="130">
    <w:name w:val="xl79"/>
    <w:basedOn w:val="1"/>
    <w:qFormat/>
    <w:uiPriority w:val="0"/>
    <w:pPr>
      <w:widowControl/>
      <w:spacing w:before="100" w:beforeAutospacing="1" w:after="100" w:afterAutospacing="1"/>
      <w:jc w:val="center"/>
      <w:textAlignment w:val="center"/>
    </w:pPr>
    <w:rPr>
      <w:b/>
      <w:bCs/>
      <w:kern w:val="0"/>
      <w:sz w:val="24"/>
    </w:rPr>
  </w:style>
  <w:style w:type="paragraph" w:customStyle="1" w:styleId="131">
    <w:name w:val="xl80"/>
    <w:basedOn w:val="1"/>
    <w:qFormat/>
    <w:uiPriority w:val="0"/>
    <w:pPr>
      <w:widowControl/>
      <w:spacing w:before="100" w:beforeAutospacing="1" w:after="100" w:afterAutospacing="1"/>
      <w:jc w:val="center"/>
      <w:textAlignment w:val="center"/>
    </w:pPr>
    <w:rPr>
      <w:b/>
      <w:bCs/>
      <w:kern w:val="0"/>
      <w:sz w:val="24"/>
    </w:rPr>
  </w:style>
  <w:style w:type="paragraph" w:customStyle="1" w:styleId="132">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3">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4">
    <w:name w:val="xl83"/>
    <w:basedOn w:val="1"/>
    <w:qFormat/>
    <w:uiPriority w:val="0"/>
    <w:pPr>
      <w:widowControl/>
      <w:spacing w:before="100" w:beforeAutospacing="1" w:after="100" w:afterAutospacing="1"/>
      <w:jc w:val="center"/>
      <w:textAlignment w:val="center"/>
    </w:pPr>
    <w:rPr>
      <w:b/>
      <w:bCs/>
      <w:kern w:val="0"/>
      <w:sz w:val="20"/>
      <w:szCs w:val="20"/>
    </w:rPr>
  </w:style>
  <w:style w:type="paragraph" w:customStyle="1" w:styleId="135">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6">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7">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8">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9">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40">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41">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42">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43">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44">
    <w:name w:val="xl93"/>
    <w:basedOn w:val="1"/>
    <w:qFormat/>
    <w:uiPriority w:val="0"/>
    <w:pPr>
      <w:widowControl/>
      <w:spacing w:before="100" w:beforeAutospacing="1" w:after="100" w:afterAutospacing="1"/>
      <w:jc w:val="center"/>
      <w:textAlignment w:val="center"/>
    </w:pPr>
    <w:rPr>
      <w:b/>
      <w:bCs/>
      <w:kern w:val="0"/>
      <w:sz w:val="20"/>
      <w:szCs w:val="20"/>
    </w:rPr>
  </w:style>
  <w:style w:type="paragraph" w:customStyle="1" w:styleId="145">
    <w:name w:val="xl94"/>
    <w:basedOn w:val="1"/>
    <w:qFormat/>
    <w:uiPriority w:val="0"/>
    <w:pPr>
      <w:widowControl/>
      <w:spacing w:before="100" w:beforeAutospacing="1" w:after="100" w:afterAutospacing="1"/>
      <w:jc w:val="center"/>
      <w:textAlignment w:val="center"/>
    </w:pPr>
    <w:rPr>
      <w:b/>
      <w:bCs/>
      <w:kern w:val="0"/>
      <w:sz w:val="20"/>
      <w:szCs w:val="20"/>
    </w:rPr>
  </w:style>
  <w:style w:type="paragraph" w:customStyle="1" w:styleId="146">
    <w:name w:val="c封面标准名称"/>
    <w:basedOn w:val="1"/>
    <w:qFormat/>
    <w:uiPriority w:val="0"/>
    <w:pPr>
      <w:adjustRightInd w:val="0"/>
      <w:jc w:val="center"/>
    </w:pPr>
    <w:rPr>
      <w:rFonts w:eastAsia="黑体"/>
      <w:kern w:val="0"/>
      <w:sz w:val="52"/>
      <w:szCs w:val="20"/>
    </w:rPr>
  </w:style>
  <w:style w:type="paragraph" w:customStyle="1" w:styleId="147">
    <w:name w:val="样式2"/>
    <w:basedOn w:val="71"/>
    <w:qFormat/>
    <w:uiPriority w:val="0"/>
    <w:pPr>
      <w:numPr>
        <w:numId w:val="0"/>
      </w:numPr>
      <w:spacing w:line="240" w:lineRule="auto"/>
      <w:ind w:left="454"/>
    </w:pPr>
    <w:rPr>
      <w:color w:val="auto"/>
      <w:spacing w:val="0"/>
      <w:szCs w:val="20"/>
    </w:rPr>
  </w:style>
  <w:style w:type="paragraph" w:customStyle="1" w:styleId="148">
    <w:name w:val="列出段落1"/>
    <w:basedOn w:val="1"/>
    <w:qFormat/>
    <w:uiPriority w:val="34"/>
    <w:pPr>
      <w:ind w:firstLine="420" w:firstLineChars="200"/>
    </w:pPr>
    <w:rPr>
      <w:rFonts w:ascii="Calibri" w:hAnsi="Calibri"/>
      <w:szCs w:val="22"/>
    </w:rPr>
  </w:style>
  <w:style w:type="paragraph" w:customStyle="1" w:styleId="149">
    <w:name w:val="图表脚注说明"/>
    <w:basedOn w:val="1"/>
    <w:qFormat/>
    <w:uiPriority w:val="0"/>
    <w:rPr>
      <w:rFonts w:ascii="宋体"/>
      <w:sz w:val="18"/>
      <w:szCs w:val="18"/>
    </w:rPr>
  </w:style>
  <w:style w:type="paragraph" w:customStyle="1" w:styleId="150">
    <w:name w:val="Char11"/>
    <w:basedOn w:val="1"/>
    <w:qFormat/>
    <w:uiPriority w:val="0"/>
    <w:pPr>
      <w:widowControl/>
      <w:spacing w:after="160" w:line="240" w:lineRule="exact"/>
      <w:jc w:val="left"/>
    </w:pPr>
  </w:style>
  <w:style w:type="paragraph" w:customStyle="1" w:styleId="151">
    <w:name w:val="ordinary-output"/>
    <w:basedOn w:val="1"/>
    <w:qFormat/>
    <w:uiPriority w:val="99"/>
    <w:pPr>
      <w:widowControl/>
      <w:spacing w:before="100" w:beforeAutospacing="1" w:after="63" w:line="275" w:lineRule="atLeast"/>
      <w:jc w:val="left"/>
    </w:pPr>
    <w:rPr>
      <w:rFonts w:ascii="宋体" w:hAnsi="宋体" w:cs="宋体"/>
      <w:color w:val="333333"/>
      <w:kern w:val="0"/>
      <w:sz w:val="18"/>
      <w:szCs w:val="18"/>
    </w:rPr>
  </w:style>
  <w:style w:type="paragraph" w:customStyle="1" w:styleId="152">
    <w:name w:val="列出段落11"/>
    <w:basedOn w:val="1"/>
    <w:qFormat/>
    <w:uiPriority w:val="34"/>
    <w:pPr>
      <w:ind w:firstLine="420" w:firstLineChars="200"/>
    </w:pPr>
    <w:rPr>
      <w:sz w:val="24"/>
    </w:rPr>
  </w:style>
  <w:style w:type="paragraph" w:customStyle="1" w:styleId="153">
    <w:name w:val="Char1 Char Char Char"/>
    <w:basedOn w:val="1"/>
    <w:qFormat/>
    <w:uiPriority w:val="0"/>
    <w:rPr>
      <w:szCs w:val="20"/>
    </w:rPr>
  </w:style>
  <w:style w:type="paragraph" w:customStyle="1" w:styleId="154">
    <w:name w:val="Char1"/>
    <w:basedOn w:val="1"/>
    <w:qFormat/>
    <w:uiPriority w:val="0"/>
    <w:pPr>
      <w:widowControl/>
      <w:spacing w:after="160" w:line="240" w:lineRule="exact"/>
      <w:jc w:val="left"/>
    </w:pPr>
  </w:style>
  <w:style w:type="paragraph" w:customStyle="1" w:styleId="155">
    <w:name w:val="Decimal Aligned"/>
    <w:basedOn w:val="1"/>
    <w:qFormat/>
    <w:uiPriority w:val="40"/>
    <w:pPr>
      <w:widowControl/>
      <w:tabs>
        <w:tab w:val="decimal" w:pos="360"/>
      </w:tabs>
      <w:spacing w:after="200" w:line="276" w:lineRule="auto"/>
      <w:jc w:val="left"/>
    </w:pPr>
    <w:rPr>
      <w:rFonts w:ascii="Calibri" w:hAnsi="Calibri"/>
      <w:kern w:val="0"/>
      <w:sz w:val="22"/>
      <w:szCs w:val="22"/>
    </w:rPr>
  </w:style>
  <w:style w:type="paragraph" w:customStyle="1" w:styleId="156">
    <w:name w:val="xl65"/>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57">
    <w:name w:val="xl69"/>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58">
    <w:name w:val="xl121"/>
    <w:basedOn w:val="1"/>
    <w:qFormat/>
    <w:uiPriority w:val="0"/>
    <w:pPr>
      <w:widowControl/>
      <w:pBdr>
        <w:top w:val="single" w:color="FF0000" w:sz="8" w:space="0"/>
        <w:bottom w:val="single" w:color="000000" w:sz="4" w:space="0"/>
      </w:pBdr>
      <w:spacing w:before="100" w:beforeAutospacing="1" w:after="100" w:afterAutospacing="1"/>
      <w:jc w:val="center"/>
    </w:pPr>
    <w:rPr>
      <w:rFonts w:ascii="宋体" w:hAnsi="宋体" w:cs="宋体"/>
      <w:kern w:val="0"/>
      <w:szCs w:val="21"/>
    </w:rPr>
  </w:style>
  <w:style w:type="paragraph" w:customStyle="1" w:styleId="159">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60">
    <w:name w:val="xl165"/>
    <w:basedOn w:val="1"/>
    <w:qFormat/>
    <w:uiPriority w:val="0"/>
    <w:pPr>
      <w:widowControl/>
      <w:pBdr>
        <w:top w:val="single" w:color="auto" w:sz="8" w:space="0"/>
        <w:left w:val="single" w:color="auto" w:sz="8" w:space="0"/>
        <w:bottom w:val="single" w:color="auto" w:sz="4" w:space="0"/>
      </w:pBdr>
      <w:spacing w:before="100" w:beforeAutospacing="1" w:after="100" w:afterAutospacing="1"/>
      <w:jc w:val="center"/>
    </w:pPr>
    <w:rPr>
      <w:rFonts w:ascii="宋体" w:hAnsi="宋体" w:cs="宋体"/>
      <w:b/>
      <w:bCs/>
      <w:color w:val="000000"/>
      <w:kern w:val="0"/>
      <w:sz w:val="28"/>
      <w:szCs w:val="28"/>
    </w:rPr>
  </w:style>
  <w:style w:type="paragraph" w:customStyle="1" w:styleId="161">
    <w:name w:val="xl120"/>
    <w:basedOn w:val="1"/>
    <w:qFormat/>
    <w:uiPriority w:val="0"/>
    <w:pPr>
      <w:widowControl/>
      <w:pBdr>
        <w:top w:val="single" w:color="FF0000" w:sz="8" w:space="0"/>
        <w:bottom w:val="single" w:color="000000" w:sz="4" w:space="0"/>
        <w:right w:val="single" w:color="000000" w:sz="4" w:space="0"/>
      </w:pBdr>
      <w:spacing w:before="100" w:beforeAutospacing="1" w:after="100" w:afterAutospacing="1"/>
      <w:jc w:val="center"/>
    </w:pPr>
    <w:rPr>
      <w:rFonts w:ascii="宋体" w:hAnsi="宋体" w:cs="宋体"/>
      <w:kern w:val="0"/>
      <w:szCs w:val="21"/>
    </w:rPr>
  </w:style>
  <w:style w:type="paragraph" w:customStyle="1" w:styleId="162">
    <w:name w:val="xl106"/>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63">
    <w:name w:val="xl116"/>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64">
    <w:name w:val="xl102"/>
    <w:basedOn w:val="1"/>
    <w:qFormat/>
    <w:uiPriority w:val="0"/>
    <w:pPr>
      <w:widowControl/>
      <w:pBdr>
        <w:top w:val="single" w:color="FF0000" w:sz="8" w:space="0"/>
        <w:left w:val="single" w:color="auto" w:sz="8"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65">
    <w:name w:val="xl97"/>
    <w:basedOn w:val="1"/>
    <w:qFormat/>
    <w:uiPriority w:val="0"/>
    <w:pPr>
      <w:widowControl/>
      <w:pBdr>
        <w:top w:val="single" w:color="auto" w:sz="4" w:space="0"/>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66">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67">
    <w:name w:val="xl7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168">
    <w:name w:val="xl73"/>
    <w:basedOn w:val="1"/>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69">
    <w:name w:val="xl183"/>
    <w:basedOn w:val="1"/>
    <w:qFormat/>
    <w:uiPriority w:val="0"/>
    <w:pPr>
      <w:widowControl/>
      <w:pBdr>
        <w:left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170">
    <w:name w:val="xl184"/>
    <w:basedOn w:val="1"/>
    <w:qFormat/>
    <w:uiPriority w:val="0"/>
    <w:pPr>
      <w:widowControl/>
      <w:pBdr>
        <w:top w:val="single" w:color="auto" w:sz="4" w:space="0"/>
        <w:left w:val="single" w:color="auto" w:sz="8"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71">
    <w:name w:val="xl122"/>
    <w:basedOn w:val="1"/>
    <w:qFormat/>
    <w:uiPriority w:val="0"/>
    <w:pPr>
      <w:widowControl/>
      <w:pBdr>
        <w:top w:val="single" w:color="FF0000" w:sz="8" w:space="0"/>
        <w:left w:val="single" w:color="auto" w:sz="4" w:space="0"/>
        <w:bottom w:val="single" w:color="000000"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72">
    <w:name w:val="xl75"/>
    <w:basedOn w:val="1"/>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173">
    <w:name w:val="xl182"/>
    <w:basedOn w:val="1"/>
    <w:qFormat/>
    <w:uiPriority w:val="0"/>
    <w:pPr>
      <w:widowControl/>
      <w:pBdr>
        <w:top w:val="single" w:color="auto" w:sz="8" w:space="0"/>
        <w:left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174">
    <w:name w:val="xl130"/>
    <w:basedOn w:val="1"/>
    <w:qFormat/>
    <w:uiPriority w:val="0"/>
    <w:pPr>
      <w:widowControl/>
      <w:pBdr>
        <w:left w:val="single" w:color="auto" w:sz="4" w:space="0"/>
        <w:bottom w:val="single" w:color="000000"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75">
    <w:name w:val="xl71"/>
    <w:basedOn w:val="1"/>
    <w:qFormat/>
    <w:uiPriority w:val="0"/>
    <w:pPr>
      <w:widowControl/>
      <w:pBdr>
        <w:top w:val="single" w:color="FF0000" w:sz="8"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176">
    <w:name w:val="xl18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77">
    <w:name w:val="xl135"/>
    <w:basedOn w:val="1"/>
    <w:qFormat/>
    <w:uiPriority w:val="0"/>
    <w:pPr>
      <w:widowControl/>
      <w:pBdr>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78">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79">
    <w:name w:val="xl63"/>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80">
    <w:name w:val="xl6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81">
    <w:name w:val="xl6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82">
    <w:name w:val="xl64"/>
    <w:basedOn w:val="1"/>
    <w:qFormat/>
    <w:uiPriority w:val="0"/>
    <w:pPr>
      <w:widowControl/>
      <w:spacing w:before="100" w:beforeAutospacing="1" w:after="100" w:afterAutospacing="1"/>
      <w:jc w:val="left"/>
    </w:pPr>
    <w:rPr>
      <w:rFonts w:ascii="宋体" w:hAnsi="宋体" w:cs="宋体"/>
      <w:kern w:val="0"/>
      <w:sz w:val="24"/>
    </w:rPr>
  </w:style>
  <w:style w:type="paragraph" w:customStyle="1" w:styleId="183">
    <w:name w:val="xl178"/>
    <w:basedOn w:val="1"/>
    <w:qFormat/>
    <w:uiPriority w:val="0"/>
    <w:pPr>
      <w:widowControl/>
      <w:pBdr>
        <w:top w:val="single" w:color="FF0000" w:sz="8" w:space="0"/>
        <w:left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84">
    <w:name w:val="xl170"/>
    <w:basedOn w:val="1"/>
    <w:qFormat/>
    <w:uiPriority w:val="0"/>
    <w:pPr>
      <w:widowControl/>
      <w:pBdr>
        <w:lef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185">
    <w:name w:val="xl175"/>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186">
    <w:name w:val="xl15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187">
    <w:name w:val="xl176"/>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88">
    <w:name w:val="xl168"/>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189">
    <w:name w:val="xl152"/>
    <w:basedOn w:val="1"/>
    <w:qFormat/>
    <w:uiPriority w:val="0"/>
    <w:pPr>
      <w:widowControl/>
      <w:pBdr>
        <w:top w:val="single" w:color="auto" w:sz="4" w:space="0"/>
        <w:left w:val="single" w:color="auto" w:sz="4" w:space="0"/>
        <w:bottom w:val="single" w:color="auto" w:sz="8" w:space="0"/>
      </w:pBdr>
      <w:spacing w:before="100" w:beforeAutospacing="1" w:after="100" w:afterAutospacing="1"/>
      <w:jc w:val="center"/>
    </w:pPr>
    <w:rPr>
      <w:rFonts w:ascii="宋体" w:hAnsi="宋体" w:cs="宋体"/>
      <w:kern w:val="0"/>
      <w:szCs w:val="21"/>
    </w:rPr>
  </w:style>
  <w:style w:type="paragraph" w:customStyle="1" w:styleId="190">
    <w:name w:val="xl74"/>
    <w:basedOn w:val="1"/>
    <w:qFormat/>
    <w:uiPriority w:val="0"/>
    <w:pPr>
      <w:widowControl/>
      <w:pBdr>
        <w:top w:val="single" w:color="FF0000" w:sz="8" w:space="0"/>
        <w:left w:val="single" w:color="auto" w:sz="4" w:space="0"/>
        <w:bottom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91">
    <w:name w:val="xl174"/>
    <w:basedOn w:val="1"/>
    <w:qFormat/>
    <w:uiPriority w:val="0"/>
    <w:pPr>
      <w:widowControl/>
      <w:pBdr>
        <w:bottom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192">
    <w:name w:val="xl15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3">
    <w:name w:val="xl129"/>
    <w:basedOn w:val="1"/>
    <w:qFormat/>
    <w:uiPriority w:val="0"/>
    <w:pPr>
      <w:widowControl/>
      <w:pBdr>
        <w:left w:val="single" w:color="auto" w:sz="4" w:space="0"/>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194">
    <w:name w:val="xl70"/>
    <w:basedOn w:val="1"/>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95">
    <w:name w:val="xl12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6">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97">
    <w:name w:val="xl72"/>
    <w:basedOn w:val="1"/>
    <w:qFormat/>
    <w:uiPriority w:val="0"/>
    <w:pPr>
      <w:widowControl/>
      <w:pBdr>
        <w:top w:val="single" w:color="FF0000" w:sz="8"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98">
    <w:name w:val="xl113"/>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99">
    <w:name w:val="xl10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00">
    <w:name w:val="xl10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201">
    <w:name w:val="xl117"/>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202">
    <w:name w:val="xl103"/>
    <w:basedOn w:val="1"/>
    <w:qFormat/>
    <w:uiPriority w:val="0"/>
    <w:pPr>
      <w:widowControl/>
      <w:pBdr>
        <w:top w:val="single" w:color="FF0000" w:sz="8" w:space="0"/>
        <w:left w:val="single" w:color="auto" w:sz="4" w:space="0"/>
        <w:bottom w:val="single" w:color="FF0000" w:sz="8" w:space="0"/>
        <w:right w:val="single" w:color="auto" w:sz="4" w:space="0"/>
      </w:pBdr>
      <w:spacing w:before="100" w:beforeAutospacing="1" w:after="100" w:afterAutospacing="1"/>
      <w:jc w:val="left"/>
    </w:pPr>
    <w:rPr>
      <w:rFonts w:ascii="宋体" w:hAnsi="宋体" w:cs="宋体"/>
      <w:kern w:val="0"/>
      <w:szCs w:val="21"/>
    </w:rPr>
  </w:style>
  <w:style w:type="paragraph" w:customStyle="1" w:styleId="203">
    <w:name w:val="xl98"/>
    <w:basedOn w:val="1"/>
    <w:qFormat/>
    <w:uiPriority w:val="0"/>
    <w:pPr>
      <w:widowControl/>
      <w:pBdr>
        <w:top w:val="single" w:color="auto" w:sz="4" w:space="0"/>
        <w:left w:val="single" w:color="auto" w:sz="4" w:space="0"/>
        <w:bottom w:val="single" w:color="FF0000" w:sz="8" w:space="0"/>
      </w:pBdr>
      <w:spacing w:before="100" w:beforeAutospacing="1" w:after="100" w:afterAutospacing="1"/>
      <w:jc w:val="center"/>
    </w:pPr>
    <w:rPr>
      <w:rFonts w:ascii="宋体" w:hAnsi="宋体" w:cs="宋体"/>
      <w:kern w:val="0"/>
      <w:szCs w:val="21"/>
    </w:rPr>
  </w:style>
  <w:style w:type="paragraph" w:customStyle="1" w:styleId="204">
    <w:name w:val="xl162"/>
    <w:basedOn w:val="1"/>
    <w:qFormat/>
    <w:uiPriority w:val="0"/>
    <w:pPr>
      <w:widowControl/>
      <w:pBdr>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05">
    <w:name w:val="xl15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color w:val="000000"/>
      <w:kern w:val="0"/>
      <w:szCs w:val="21"/>
    </w:rPr>
  </w:style>
  <w:style w:type="paragraph" w:customStyle="1" w:styleId="206">
    <w:name w:val="xl11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cs="宋体"/>
      <w:kern w:val="0"/>
      <w:szCs w:val="21"/>
    </w:rPr>
  </w:style>
  <w:style w:type="paragraph" w:customStyle="1" w:styleId="207">
    <w:name w:val="xl159"/>
    <w:basedOn w:val="1"/>
    <w:qFormat/>
    <w:uiPriority w:val="0"/>
    <w:pPr>
      <w:widowControl/>
      <w:pBdr>
        <w:left w:val="single" w:color="auto" w:sz="4" w:space="0"/>
        <w:bottom w:val="single" w:color="FF0000" w:sz="8" w:space="0"/>
      </w:pBdr>
      <w:spacing w:before="100" w:beforeAutospacing="1" w:after="100" w:afterAutospacing="1"/>
      <w:jc w:val="center"/>
    </w:pPr>
    <w:rPr>
      <w:rFonts w:ascii="宋体" w:hAnsi="宋体" w:cs="宋体"/>
      <w:kern w:val="0"/>
      <w:szCs w:val="21"/>
    </w:rPr>
  </w:style>
  <w:style w:type="paragraph" w:customStyle="1" w:styleId="208">
    <w:name w:val="xl11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209">
    <w:name w:val="xl160"/>
    <w:basedOn w:val="1"/>
    <w:qFormat/>
    <w:uiPriority w:val="0"/>
    <w:pPr>
      <w:widowControl/>
      <w:pBdr>
        <w:top w:val="single" w:color="000000" w:sz="4" w:space="0"/>
        <w:left w:val="single" w:color="auto" w:sz="4" w:space="0"/>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10">
    <w:name w:val="xl95"/>
    <w:basedOn w:val="1"/>
    <w:qFormat/>
    <w:uiPriority w:val="0"/>
    <w:pPr>
      <w:widowControl/>
      <w:pBdr>
        <w:top w:val="single" w:color="auto" w:sz="4" w:space="0"/>
        <w:left w:val="single" w:color="auto" w:sz="8"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11">
    <w:name w:val="xl108"/>
    <w:basedOn w:val="1"/>
    <w:qFormat/>
    <w:uiPriority w:val="0"/>
    <w:pPr>
      <w:widowControl/>
      <w:pBdr>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212">
    <w:name w:val="xl157"/>
    <w:basedOn w:val="1"/>
    <w:qFormat/>
    <w:uiPriority w:val="0"/>
    <w:pPr>
      <w:widowControl/>
      <w:pBdr>
        <w:left w:val="single" w:color="auto" w:sz="4" w:space="0"/>
        <w:bottom w:val="single" w:color="000000" w:sz="4" w:space="0"/>
      </w:pBdr>
      <w:spacing w:before="100" w:beforeAutospacing="1" w:after="100" w:afterAutospacing="1"/>
      <w:jc w:val="center"/>
    </w:pPr>
    <w:rPr>
      <w:rFonts w:ascii="宋体" w:hAnsi="宋体" w:cs="宋体"/>
      <w:kern w:val="0"/>
      <w:szCs w:val="21"/>
    </w:rPr>
  </w:style>
  <w:style w:type="paragraph" w:customStyle="1" w:styleId="213">
    <w:name w:val="xl118"/>
    <w:basedOn w:val="1"/>
    <w:qFormat/>
    <w:uiPriority w:val="0"/>
    <w:pPr>
      <w:widowControl/>
      <w:pBdr>
        <w:top w:val="single" w:color="FF0000" w:sz="8"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14">
    <w:name w:val="xl104"/>
    <w:basedOn w:val="1"/>
    <w:qFormat/>
    <w:uiPriority w:val="0"/>
    <w:pPr>
      <w:widowControl/>
      <w:pBdr>
        <w:top w:val="single" w:color="FF0000" w:sz="8" w:space="0"/>
        <w:left w:val="single" w:color="auto" w:sz="4" w:space="0"/>
        <w:bottom w:val="single" w:color="FF0000" w:sz="8" w:space="0"/>
        <w:right w:val="single" w:color="auto" w:sz="8" w:space="0"/>
      </w:pBdr>
      <w:spacing w:before="100" w:beforeAutospacing="1" w:after="100" w:afterAutospacing="1"/>
      <w:jc w:val="center"/>
    </w:pPr>
    <w:rPr>
      <w:rFonts w:ascii="宋体" w:hAnsi="宋体" w:cs="宋体"/>
      <w:kern w:val="0"/>
      <w:szCs w:val="21"/>
    </w:rPr>
  </w:style>
  <w:style w:type="paragraph" w:customStyle="1" w:styleId="215">
    <w:name w:val="xl163"/>
    <w:basedOn w:val="1"/>
    <w:qFormat/>
    <w:uiPriority w:val="0"/>
    <w:pPr>
      <w:widowControl/>
      <w:pBdr>
        <w:top w:val="single" w:color="FF0000" w:sz="8" w:space="0"/>
        <w:bottom w:val="single" w:color="FF0000"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16">
    <w:name w:val="xl155"/>
    <w:basedOn w:val="1"/>
    <w:qFormat/>
    <w:uiPriority w:val="0"/>
    <w:pPr>
      <w:widowControl/>
      <w:pBdr>
        <w:top w:val="single" w:color="auto" w:sz="4" w:space="0"/>
        <w:left w:val="single" w:color="auto" w:sz="4" w:space="0"/>
        <w:right w:val="single" w:color="auto" w:sz="8" w:space="0"/>
      </w:pBdr>
      <w:spacing w:before="100" w:beforeAutospacing="1" w:after="100" w:afterAutospacing="1"/>
      <w:jc w:val="center"/>
    </w:pPr>
    <w:rPr>
      <w:rFonts w:ascii="宋体" w:hAnsi="宋体" w:cs="宋体"/>
      <w:color w:val="000000"/>
      <w:kern w:val="0"/>
      <w:szCs w:val="21"/>
    </w:rPr>
  </w:style>
  <w:style w:type="paragraph" w:customStyle="1" w:styleId="217">
    <w:name w:val="xl99"/>
    <w:basedOn w:val="1"/>
    <w:qFormat/>
    <w:uiPriority w:val="0"/>
    <w:pPr>
      <w:widowControl/>
      <w:pBdr>
        <w:top w:val="single" w:color="FF0000"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218">
    <w:name w:val="xl140"/>
    <w:basedOn w:val="1"/>
    <w:qFormat/>
    <w:uiPriority w:val="0"/>
    <w:pPr>
      <w:widowControl/>
      <w:pBdr>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219">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220">
    <w:name w:val="xl14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21">
    <w:name w:val="xl138"/>
    <w:basedOn w:val="1"/>
    <w:qFormat/>
    <w:uiPriority w:val="0"/>
    <w:pPr>
      <w:widowControl/>
      <w:pBdr>
        <w:top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22">
    <w:name w:val="xl119"/>
    <w:basedOn w:val="1"/>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23">
    <w:name w:val="xl105"/>
    <w:basedOn w:val="1"/>
    <w:qFormat/>
    <w:uiPriority w:val="0"/>
    <w:pPr>
      <w:widowControl/>
      <w:pBdr>
        <w:top w:val="single" w:color="FF0000" w:sz="8" w:space="0"/>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24">
    <w:name w:val="xl143"/>
    <w:basedOn w:val="1"/>
    <w:qFormat/>
    <w:uiPriority w:val="0"/>
    <w:pPr>
      <w:widowControl/>
      <w:pBdr>
        <w:top w:val="single" w:color="FF0000" w:sz="8" w:space="0"/>
        <w:bottom w:val="single" w:color="FF0000" w:sz="8" w:space="0"/>
      </w:pBdr>
      <w:spacing w:before="100" w:beforeAutospacing="1" w:after="100" w:afterAutospacing="1"/>
      <w:jc w:val="center"/>
    </w:pPr>
    <w:rPr>
      <w:rFonts w:ascii="宋体" w:hAnsi="宋体" w:cs="宋体"/>
      <w:kern w:val="0"/>
      <w:szCs w:val="21"/>
    </w:rPr>
  </w:style>
  <w:style w:type="paragraph" w:customStyle="1" w:styleId="225">
    <w:name w:val="xl115"/>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center"/>
    </w:pPr>
    <w:rPr>
      <w:rFonts w:ascii="宋体" w:hAnsi="宋体" w:cs="宋体"/>
      <w:kern w:val="0"/>
      <w:szCs w:val="21"/>
    </w:rPr>
  </w:style>
  <w:style w:type="paragraph" w:customStyle="1" w:styleId="226">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227">
    <w:name w:val="xl144"/>
    <w:basedOn w:val="1"/>
    <w:qFormat/>
    <w:uiPriority w:val="0"/>
    <w:pPr>
      <w:widowControl/>
      <w:pBdr>
        <w:top w:val="single" w:color="FF0000" w:sz="8" w:space="0"/>
        <w:left w:val="single" w:color="auto" w:sz="4" w:space="0"/>
        <w:bottom w:val="single" w:color="FF0000"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28">
    <w:name w:val="xl100"/>
    <w:basedOn w:val="1"/>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229">
    <w:name w:val="xl141"/>
    <w:basedOn w:val="1"/>
    <w:qFormat/>
    <w:uiPriority w:val="0"/>
    <w:pPr>
      <w:widowControl/>
      <w:pBdr>
        <w:left w:val="single" w:color="auto"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30">
    <w:name w:val="xl96"/>
    <w:basedOn w:val="1"/>
    <w:qFormat/>
    <w:uiPriority w:val="0"/>
    <w:pPr>
      <w:widowControl/>
      <w:pBdr>
        <w:top w:val="single" w:color="auto" w:sz="4" w:space="0"/>
        <w:left w:val="single" w:color="auto" w:sz="4" w:space="0"/>
        <w:bottom w:val="single" w:color="FF0000" w:sz="8" w:space="0"/>
        <w:right w:val="single" w:color="auto" w:sz="4" w:space="0"/>
      </w:pBdr>
      <w:spacing w:before="100" w:beforeAutospacing="1" w:after="100" w:afterAutospacing="1"/>
      <w:jc w:val="left"/>
    </w:pPr>
    <w:rPr>
      <w:rFonts w:ascii="宋体" w:hAnsi="宋体" w:cs="宋体"/>
      <w:kern w:val="0"/>
      <w:szCs w:val="21"/>
    </w:rPr>
  </w:style>
  <w:style w:type="paragraph" w:customStyle="1" w:styleId="231">
    <w:name w:val="xl171"/>
    <w:basedOn w:val="1"/>
    <w:qFormat/>
    <w:uiPriority w:val="0"/>
    <w:pPr>
      <w:widowControl/>
      <w:spacing w:before="100" w:beforeAutospacing="1" w:after="100" w:afterAutospacing="1"/>
      <w:jc w:val="center"/>
    </w:pPr>
    <w:rPr>
      <w:rFonts w:ascii="宋体" w:hAnsi="宋体" w:cs="宋体"/>
      <w:b/>
      <w:bCs/>
      <w:color w:val="000000"/>
      <w:kern w:val="0"/>
      <w:szCs w:val="21"/>
    </w:rPr>
  </w:style>
  <w:style w:type="paragraph" w:customStyle="1" w:styleId="232">
    <w:name w:val="xl125"/>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cs="宋体"/>
      <w:kern w:val="0"/>
      <w:szCs w:val="21"/>
    </w:rPr>
  </w:style>
  <w:style w:type="paragraph" w:customStyle="1" w:styleId="233">
    <w:name w:val="xl18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234">
    <w:name w:val="xl179"/>
    <w:basedOn w:val="1"/>
    <w:qFormat/>
    <w:uiPriority w:val="0"/>
    <w:pPr>
      <w:widowControl/>
      <w:pBdr>
        <w:left w:val="single" w:color="auto" w:sz="8"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35">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36">
    <w:name w:val="xl126"/>
    <w:basedOn w:val="1"/>
    <w:qFormat/>
    <w:uiPriority w:val="0"/>
    <w:pPr>
      <w:widowControl/>
      <w:pBdr>
        <w:bottom w:val="single" w:color="000000" w:sz="4" w:space="0"/>
      </w:pBdr>
      <w:spacing w:before="100" w:beforeAutospacing="1" w:after="100" w:afterAutospacing="1"/>
      <w:jc w:val="center"/>
    </w:pPr>
    <w:rPr>
      <w:rFonts w:ascii="宋体" w:hAnsi="宋体" w:cs="宋体"/>
      <w:kern w:val="0"/>
      <w:szCs w:val="21"/>
    </w:rPr>
  </w:style>
  <w:style w:type="paragraph" w:customStyle="1" w:styleId="237">
    <w:name w:val="xl127"/>
    <w:basedOn w:val="1"/>
    <w:qFormat/>
    <w:uiPriority w:val="0"/>
    <w:pPr>
      <w:widowControl/>
      <w:pBdr>
        <w:left w:val="single" w:color="auto" w:sz="4" w:space="0"/>
        <w:bottom w:val="single" w:color="000000"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38">
    <w:name w:val="xl12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239">
    <w:name w:val="xl131"/>
    <w:basedOn w:val="1"/>
    <w:qFormat/>
    <w:uiPriority w:val="0"/>
    <w:pPr>
      <w:widowControl/>
      <w:pBdr>
        <w:top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40">
    <w:name w:val="xl132"/>
    <w:basedOn w:val="1"/>
    <w:qFormat/>
    <w:uiPriority w:val="0"/>
    <w:pPr>
      <w:widowControl/>
      <w:pBdr>
        <w:top w:val="single" w:color="auto" w:sz="4" w:space="0"/>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 w:val="24"/>
    </w:rPr>
  </w:style>
  <w:style w:type="paragraph" w:customStyle="1" w:styleId="241">
    <w:name w:val="xl177"/>
    <w:basedOn w:val="1"/>
    <w:qFormat/>
    <w:uiPriority w:val="0"/>
    <w:pPr>
      <w:widowControl/>
      <w:pBdr>
        <w:left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42">
    <w:name w:val="xl1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243">
    <w:name w:val="xl133"/>
    <w:basedOn w:val="1"/>
    <w:qFormat/>
    <w:uiPriority w:val="0"/>
    <w:pPr>
      <w:widowControl/>
      <w:pBdr>
        <w:bottom w:val="single" w:color="FF0000" w:sz="8" w:space="0"/>
        <w:right w:val="single" w:color="000000" w:sz="4" w:space="0"/>
      </w:pBdr>
      <w:spacing w:before="100" w:beforeAutospacing="1" w:after="100" w:afterAutospacing="1"/>
      <w:jc w:val="center"/>
    </w:pPr>
    <w:rPr>
      <w:rFonts w:ascii="宋体" w:hAnsi="宋体" w:cs="宋体"/>
      <w:kern w:val="0"/>
      <w:szCs w:val="21"/>
    </w:rPr>
  </w:style>
  <w:style w:type="paragraph" w:customStyle="1" w:styleId="244">
    <w:name w:val="xl1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245">
    <w:name w:val="xl134"/>
    <w:basedOn w:val="1"/>
    <w:qFormat/>
    <w:uiPriority w:val="0"/>
    <w:pPr>
      <w:widowControl/>
      <w:pBdr>
        <w:bottom w:val="single" w:color="FF0000" w:sz="8" w:space="0"/>
      </w:pBdr>
      <w:spacing w:before="100" w:beforeAutospacing="1" w:after="100" w:afterAutospacing="1"/>
      <w:jc w:val="center"/>
    </w:pPr>
    <w:rPr>
      <w:rFonts w:ascii="宋体" w:hAnsi="宋体" w:cs="宋体"/>
      <w:kern w:val="0"/>
      <w:szCs w:val="21"/>
    </w:rPr>
  </w:style>
  <w:style w:type="paragraph" w:customStyle="1" w:styleId="246">
    <w:name w:val="xl14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47">
    <w:name w:val="xl137"/>
    <w:basedOn w:val="1"/>
    <w:qFormat/>
    <w:uiPriority w:val="0"/>
    <w:pPr>
      <w:widowControl/>
      <w:pBdr>
        <w:top w:val="single" w:color="000000" w:sz="4" w:space="0"/>
        <w:left w:val="single" w:color="auto" w:sz="4" w:space="0"/>
        <w:bottom w:val="single" w:color="000000"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248">
    <w:name w:val="xl147"/>
    <w:basedOn w:val="1"/>
    <w:qFormat/>
    <w:uiPriority w:val="0"/>
    <w:pPr>
      <w:widowControl/>
      <w:pBdr>
        <w:left w:val="single" w:color="auto" w:sz="4" w:space="0"/>
        <w:bottom w:val="single" w:color="auto" w:sz="4" w:space="0"/>
      </w:pBdr>
      <w:spacing w:before="100" w:beforeAutospacing="1" w:after="100" w:afterAutospacing="1"/>
      <w:jc w:val="center"/>
    </w:pPr>
    <w:rPr>
      <w:rFonts w:ascii="宋体" w:hAnsi="宋体" w:cs="宋体"/>
      <w:kern w:val="0"/>
      <w:szCs w:val="21"/>
    </w:rPr>
  </w:style>
  <w:style w:type="paragraph" w:customStyle="1" w:styleId="249">
    <w:name w:val="xl139"/>
    <w:basedOn w:val="1"/>
    <w:qFormat/>
    <w:uiPriority w:val="0"/>
    <w:pPr>
      <w:widowControl/>
      <w:pBdr>
        <w:top w:val="single" w:color="FF0000" w:sz="8"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50">
    <w:name w:val="xl142"/>
    <w:basedOn w:val="1"/>
    <w:qFormat/>
    <w:uiPriority w:val="0"/>
    <w:pPr>
      <w:widowControl/>
      <w:pBdr>
        <w:top w:val="single" w:color="FF0000" w:sz="8" w:space="0"/>
        <w:bottom w:val="single" w:color="FF0000" w:sz="8" w:space="0"/>
        <w:right w:val="single" w:color="000000" w:sz="4" w:space="0"/>
      </w:pBdr>
      <w:spacing w:before="100" w:beforeAutospacing="1" w:after="100" w:afterAutospacing="1"/>
      <w:jc w:val="center"/>
    </w:pPr>
    <w:rPr>
      <w:rFonts w:ascii="宋体" w:hAnsi="宋体" w:cs="宋体"/>
      <w:kern w:val="0"/>
      <w:szCs w:val="21"/>
    </w:rPr>
  </w:style>
  <w:style w:type="paragraph" w:customStyle="1" w:styleId="251">
    <w:name w:val="xl172"/>
    <w:basedOn w:val="1"/>
    <w:qFormat/>
    <w:uiPriority w:val="0"/>
    <w:pPr>
      <w:widowControl/>
      <w:pBdr>
        <w:righ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252">
    <w:name w:val="xl1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53">
    <w:name w:val="xl173"/>
    <w:basedOn w:val="1"/>
    <w:qFormat/>
    <w:uiPriority w:val="0"/>
    <w:pPr>
      <w:widowControl/>
      <w:pBdr>
        <w:left w:val="single" w:color="auto" w:sz="4" w:space="0"/>
        <w:bottom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254">
    <w:name w:val="xl14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Cs w:val="21"/>
    </w:rPr>
  </w:style>
  <w:style w:type="paragraph" w:customStyle="1" w:styleId="255">
    <w:name w:val="xl161"/>
    <w:basedOn w:val="1"/>
    <w:qFormat/>
    <w:uiPriority w:val="0"/>
    <w:pPr>
      <w:widowControl/>
      <w:pBdr>
        <w:left w:val="single" w:color="auto" w:sz="4" w:space="0"/>
        <w:bottom w:val="single" w:color="FF0000"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56">
    <w:name w:val="xl153"/>
    <w:basedOn w:val="1"/>
    <w:qFormat/>
    <w:uiPriority w:val="0"/>
    <w:pPr>
      <w:widowControl/>
      <w:pBdr>
        <w:left w:val="single" w:color="auto" w:sz="4" w:space="0"/>
        <w:bottom w:val="single" w:color="auto"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57">
    <w:name w:val="xl164"/>
    <w:basedOn w:val="1"/>
    <w:qFormat/>
    <w:uiPriority w:val="0"/>
    <w:pPr>
      <w:widowControl/>
      <w:pBdr>
        <w:bottom w:val="single" w:color="auto"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58">
    <w:name w:val="xl156"/>
    <w:basedOn w:val="1"/>
    <w:qFormat/>
    <w:uiPriority w:val="0"/>
    <w:pPr>
      <w:widowControl/>
      <w:pBdr>
        <w:top w:val="single" w:color="FF0000" w:sz="8" w:space="0"/>
        <w:left w:val="single" w:color="auto" w:sz="4" w:space="0"/>
        <w:bottom w:val="single" w:color="000000" w:sz="4" w:space="0"/>
      </w:pBdr>
      <w:spacing w:before="100" w:beforeAutospacing="1" w:after="100" w:afterAutospacing="1"/>
      <w:jc w:val="center"/>
    </w:pPr>
    <w:rPr>
      <w:rFonts w:ascii="宋体" w:hAnsi="宋体" w:cs="宋体"/>
      <w:kern w:val="0"/>
      <w:szCs w:val="21"/>
    </w:rPr>
  </w:style>
  <w:style w:type="paragraph" w:customStyle="1" w:styleId="259">
    <w:name w:val="xl158"/>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60">
    <w:name w:val="xl166"/>
    <w:basedOn w:val="1"/>
    <w:qFormat/>
    <w:uiPriority w:val="0"/>
    <w:pPr>
      <w:widowControl/>
      <w:pBdr>
        <w:top w:val="single" w:color="auto" w:sz="8" w:space="0"/>
        <w:left w:val="single" w:color="auto" w:sz="8" w:space="0"/>
        <w:bottom w:val="single" w:color="auto" w:sz="4" w:space="0"/>
        <w:right w:val="single" w:color="auto" w:sz="8" w:space="0"/>
      </w:pBdr>
      <w:spacing w:before="100" w:beforeAutospacing="1" w:after="100" w:afterAutospacing="1"/>
      <w:jc w:val="center"/>
    </w:pPr>
    <w:rPr>
      <w:rFonts w:ascii="宋体" w:hAnsi="宋体" w:cs="宋体"/>
      <w:b/>
      <w:bCs/>
      <w:color w:val="000000"/>
      <w:kern w:val="0"/>
      <w:sz w:val="28"/>
      <w:szCs w:val="28"/>
    </w:rPr>
  </w:style>
  <w:style w:type="paragraph" w:customStyle="1" w:styleId="261">
    <w:name w:val="xl167"/>
    <w:basedOn w:val="1"/>
    <w:qFormat/>
    <w:uiPriority w:val="0"/>
    <w:pPr>
      <w:widowControl/>
      <w:pBdr>
        <w:top w:val="single" w:color="auto" w:sz="8" w:space="0"/>
        <w:bottom w:val="single" w:color="auto" w:sz="4" w:space="0"/>
      </w:pBdr>
      <w:spacing w:before="100" w:beforeAutospacing="1" w:after="100" w:afterAutospacing="1"/>
      <w:jc w:val="center"/>
    </w:pPr>
    <w:rPr>
      <w:rFonts w:ascii="宋体" w:hAnsi="宋体" w:cs="宋体"/>
      <w:b/>
      <w:bCs/>
      <w:color w:val="000000"/>
      <w:kern w:val="0"/>
      <w:sz w:val="28"/>
      <w:szCs w:val="28"/>
    </w:rPr>
  </w:style>
  <w:style w:type="paragraph" w:customStyle="1" w:styleId="262">
    <w:name w:val="xl188"/>
    <w:basedOn w:val="1"/>
    <w:qFormat/>
    <w:uiPriority w:val="0"/>
    <w:pPr>
      <w:widowControl/>
      <w:pBdr>
        <w:top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263">
    <w:name w:val="xl180"/>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64">
    <w:name w:val="xl181"/>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65">
    <w:name w:val="Char2"/>
    <w:basedOn w:val="1"/>
    <w:qFormat/>
    <w:uiPriority w:val="0"/>
    <w:pPr>
      <w:widowControl/>
      <w:spacing w:after="160" w:line="240" w:lineRule="exact"/>
      <w:jc w:val="left"/>
    </w:pPr>
  </w:style>
  <w:style w:type="paragraph" w:customStyle="1" w:styleId="266">
    <w:name w:val="正文1"/>
    <w:qFormat/>
    <w:uiPriority w:val="0"/>
    <w:pPr>
      <w:jc w:val="both"/>
    </w:pPr>
    <w:rPr>
      <w:rFonts w:ascii="Calibri" w:hAnsi="Calibri" w:eastAsia="宋体" w:cs="Calibri"/>
      <w:kern w:val="2"/>
      <w:sz w:val="21"/>
      <w:szCs w:val="21"/>
      <w:lang w:val="en-US" w:eastAsia="zh-CN" w:bidi="ar-SA"/>
    </w:rPr>
  </w:style>
  <w:style w:type="paragraph" w:customStyle="1" w:styleId="267">
    <w:name w:val="Char3"/>
    <w:basedOn w:val="1"/>
    <w:qFormat/>
    <w:uiPriority w:val="0"/>
    <w:pPr>
      <w:widowControl/>
      <w:spacing w:after="160" w:line="240" w:lineRule="exact"/>
      <w:jc w:val="left"/>
    </w:pPr>
    <w:rPr>
      <w:rFonts w:ascii="Verdana" w:hAnsi="Verdana"/>
      <w:kern w:val="0"/>
      <w:sz w:val="20"/>
      <w:szCs w:val="20"/>
      <w:lang w:eastAsia="en-US"/>
    </w:rPr>
  </w:style>
  <w:style w:type="paragraph" w:customStyle="1" w:styleId="268">
    <w:name w:val="p0"/>
    <w:basedOn w:val="1"/>
    <w:autoRedefine/>
    <w:qFormat/>
    <w:uiPriority w:val="0"/>
    <w:pPr>
      <w:widowControl/>
      <w:jc w:val="left"/>
    </w:pPr>
    <w:rPr>
      <w:kern w:val="0"/>
      <w:szCs w:val="21"/>
    </w:rPr>
  </w:style>
  <w:style w:type="paragraph" w:customStyle="1" w:styleId="269">
    <w:name w:val="正文2"/>
    <w:qFormat/>
    <w:uiPriority w:val="0"/>
    <w:pPr>
      <w:jc w:val="both"/>
    </w:pPr>
    <w:rPr>
      <w:rFonts w:ascii="Times New Roman" w:hAnsi="Times New Roman" w:eastAsia="宋体" w:cs="Times New Roman"/>
      <w:kern w:val="2"/>
      <w:sz w:val="21"/>
      <w:szCs w:val="21"/>
      <w:lang w:val="en-US" w:eastAsia="zh-CN" w:bidi="ar-SA"/>
    </w:rPr>
  </w:style>
  <w:style w:type="paragraph" w:customStyle="1" w:styleId="270">
    <w:name w:val="Char4"/>
    <w:basedOn w:val="1"/>
    <w:qFormat/>
    <w:uiPriority w:val="0"/>
    <w:pPr>
      <w:widowControl/>
      <w:spacing w:after="160" w:line="240" w:lineRule="exact"/>
      <w:jc w:val="left"/>
    </w:pPr>
    <w:rPr>
      <w:rFonts w:ascii="Verdana" w:hAnsi="Verdana"/>
      <w:kern w:val="0"/>
      <w:sz w:val="20"/>
      <w:szCs w:val="20"/>
      <w:lang w:eastAsia="en-US"/>
    </w:rPr>
  </w:style>
  <w:style w:type="paragraph" w:customStyle="1" w:styleId="271">
    <w:name w:val="Char5"/>
    <w:basedOn w:val="1"/>
    <w:qFormat/>
    <w:uiPriority w:val="0"/>
    <w:pPr>
      <w:widowControl/>
      <w:spacing w:after="160" w:line="240" w:lineRule="exact"/>
      <w:jc w:val="left"/>
    </w:pPr>
    <w:rPr>
      <w:rFonts w:ascii="Verdana" w:hAnsi="Verdana"/>
      <w:kern w:val="0"/>
      <w:sz w:val="20"/>
      <w:szCs w:val="20"/>
      <w:lang w:eastAsia="en-US"/>
    </w:rPr>
  </w:style>
  <w:style w:type="paragraph" w:customStyle="1" w:styleId="272">
    <w:name w:val="Char6"/>
    <w:basedOn w:val="1"/>
    <w:qFormat/>
    <w:uiPriority w:val="0"/>
    <w:pPr>
      <w:widowControl/>
      <w:spacing w:after="160" w:line="240" w:lineRule="exact"/>
      <w:jc w:val="left"/>
    </w:pPr>
    <w:rPr>
      <w:rFonts w:ascii="Verdana" w:hAnsi="Verdana"/>
      <w:kern w:val="0"/>
      <w:sz w:val="20"/>
      <w:szCs w:val="20"/>
      <w:lang w:eastAsia="en-US"/>
    </w:rPr>
  </w:style>
  <w:style w:type="character" w:customStyle="1" w:styleId="273">
    <w:name w:val="发布"/>
    <w:qFormat/>
    <w:uiPriority w:val="0"/>
    <w:rPr>
      <w:rFonts w:ascii="黑体" w:eastAsia="黑体"/>
      <w:spacing w:val="22"/>
      <w:w w:val="100"/>
      <w:position w:val="3"/>
      <w:sz w:val="28"/>
    </w:rPr>
  </w:style>
  <w:style w:type="character" w:customStyle="1" w:styleId="274">
    <w:name w:val="个人答复风格"/>
    <w:qFormat/>
    <w:uiPriority w:val="0"/>
    <w:rPr>
      <w:rFonts w:ascii="Arial" w:hAnsi="Arial" w:eastAsia="宋体" w:cs="Arial"/>
      <w:color w:val="auto"/>
      <w:sz w:val="20"/>
    </w:rPr>
  </w:style>
  <w:style w:type="character" w:customStyle="1" w:styleId="275">
    <w:name w:val="段 Char"/>
    <w:link w:val="58"/>
    <w:qFormat/>
    <w:uiPriority w:val="0"/>
    <w:rPr>
      <w:rFonts w:ascii="宋体" w:hAnsi="宋体" w:eastAsia="宋体"/>
      <w:sz w:val="21"/>
      <w:lang w:val="en-US" w:eastAsia="zh-CN" w:bidi="ar-SA"/>
    </w:rPr>
  </w:style>
  <w:style w:type="character" w:customStyle="1" w:styleId="276">
    <w:name w:val="个人撰写风格"/>
    <w:qFormat/>
    <w:uiPriority w:val="0"/>
    <w:rPr>
      <w:rFonts w:ascii="Arial" w:hAnsi="Arial" w:eastAsia="宋体" w:cs="Arial"/>
      <w:color w:val="auto"/>
      <w:sz w:val="20"/>
    </w:rPr>
  </w:style>
  <w:style w:type="character" w:customStyle="1" w:styleId="277">
    <w:name w:val="二级条标题 Char"/>
    <w:link w:val="59"/>
    <w:qFormat/>
    <w:uiPriority w:val="0"/>
    <w:rPr>
      <w:rFonts w:ascii="黑体" w:hAnsi="黑体" w:eastAsia="黑体" w:cs="Times New Roman"/>
      <w:color w:val="000000" w:themeColor="text1"/>
      <w:spacing w:val="-6"/>
      <w:sz w:val="21"/>
      <w:szCs w:val="24"/>
      <w14:textFill>
        <w14:solidFill>
          <w14:schemeClr w14:val="tx1"/>
        </w14:solidFill>
      </w14:textFill>
    </w:rPr>
  </w:style>
  <w:style w:type="character" w:customStyle="1" w:styleId="278">
    <w:name w:val="章标题 Char"/>
    <w:link w:val="61"/>
    <w:qFormat/>
    <w:uiPriority w:val="0"/>
    <w:rPr>
      <w:rFonts w:ascii="黑体" w:hAnsi="Times New Roman" w:eastAsia="黑体" w:cs="Times New Roman"/>
      <w:sz w:val="21"/>
    </w:rPr>
  </w:style>
  <w:style w:type="character" w:customStyle="1" w:styleId="279">
    <w:name w:val="一级条标题 Char"/>
    <w:link w:val="60"/>
    <w:qFormat/>
    <w:uiPriority w:val="0"/>
    <w:rPr>
      <w:rFonts w:ascii="黑体" w:hAnsi="Times New Roman" w:eastAsia="黑体" w:cs="Times New Roman"/>
      <w:color w:val="FF0000"/>
      <w:spacing w:val="-4"/>
      <w:sz w:val="21"/>
      <w:szCs w:val="24"/>
    </w:rPr>
  </w:style>
  <w:style w:type="character" w:customStyle="1" w:styleId="280">
    <w:name w:val="纯文本 字符"/>
    <w:link w:val="24"/>
    <w:qFormat/>
    <w:uiPriority w:val="99"/>
    <w:rPr>
      <w:rFonts w:ascii="宋体" w:hAnsi="Courier New" w:cs="Courier New"/>
      <w:kern w:val="2"/>
      <w:sz w:val="21"/>
      <w:szCs w:val="21"/>
    </w:rPr>
  </w:style>
  <w:style w:type="character" w:customStyle="1" w:styleId="281">
    <w:name w:val="三级条标题 Char"/>
    <w:link w:val="71"/>
    <w:qFormat/>
    <w:uiPriority w:val="0"/>
    <w:rPr>
      <w:rFonts w:ascii="黑体" w:eastAsia="黑体"/>
      <w:color w:val="FF0000"/>
      <w:spacing w:val="-4"/>
      <w:sz w:val="21"/>
      <w:szCs w:val="24"/>
    </w:rPr>
  </w:style>
  <w:style w:type="character" w:customStyle="1" w:styleId="282">
    <w:name w:val="批注框文本 字符"/>
    <w:link w:val="29"/>
    <w:qFormat/>
    <w:uiPriority w:val="0"/>
    <w:rPr>
      <w:kern w:val="2"/>
      <w:sz w:val="18"/>
      <w:szCs w:val="18"/>
    </w:rPr>
  </w:style>
  <w:style w:type="character" w:customStyle="1" w:styleId="283">
    <w:name w:val="正文文本 字符"/>
    <w:link w:val="21"/>
    <w:qFormat/>
    <w:uiPriority w:val="0"/>
    <w:rPr>
      <w:kern w:val="2"/>
      <w:sz w:val="21"/>
      <w:szCs w:val="24"/>
    </w:rPr>
  </w:style>
  <w:style w:type="character" w:customStyle="1" w:styleId="284">
    <w:name w:val="注： Char"/>
    <w:link w:val="91"/>
    <w:qFormat/>
    <w:uiPriority w:val="0"/>
    <w:rPr>
      <w:rFonts w:ascii="宋体"/>
      <w:sz w:val="18"/>
    </w:rPr>
  </w:style>
  <w:style w:type="character" w:customStyle="1" w:styleId="285">
    <w:name w:val="页脚 字符"/>
    <w:link w:val="30"/>
    <w:qFormat/>
    <w:uiPriority w:val="99"/>
    <w:rPr>
      <w:kern w:val="2"/>
      <w:sz w:val="18"/>
      <w:szCs w:val="18"/>
    </w:rPr>
  </w:style>
  <w:style w:type="character" w:customStyle="1" w:styleId="286">
    <w:name w:val="正文文本缩进 字符"/>
    <w:link w:val="22"/>
    <w:qFormat/>
    <w:uiPriority w:val="0"/>
    <w:rPr>
      <w:kern w:val="2"/>
      <w:sz w:val="24"/>
    </w:rPr>
  </w:style>
  <w:style w:type="character" w:customStyle="1" w:styleId="287">
    <w:name w:val="表中文字"/>
    <w:qFormat/>
    <w:uiPriority w:val="0"/>
    <w:rPr>
      <w:rFonts w:ascii="宋体" w:eastAsia="宋体"/>
      <w:sz w:val="18"/>
    </w:rPr>
  </w:style>
  <w:style w:type="character" w:customStyle="1" w:styleId="288">
    <w:name w:val="批注文字 字符"/>
    <w:link w:val="20"/>
    <w:qFormat/>
    <w:uiPriority w:val="0"/>
    <w:rPr>
      <w:kern w:val="2"/>
      <w:sz w:val="21"/>
      <w:szCs w:val="24"/>
    </w:rPr>
  </w:style>
  <w:style w:type="character" w:customStyle="1" w:styleId="289">
    <w:name w:val="批注主题 字符"/>
    <w:link w:val="39"/>
    <w:qFormat/>
    <w:uiPriority w:val="0"/>
    <w:rPr>
      <w:b/>
      <w:bCs/>
      <w:kern w:val="2"/>
      <w:sz w:val="21"/>
      <w:szCs w:val="24"/>
    </w:rPr>
  </w:style>
  <w:style w:type="character" w:customStyle="1" w:styleId="290">
    <w:name w:val="页眉 字符"/>
    <w:link w:val="31"/>
    <w:qFormat/>
    <w:uiPriority w:val="99"/>
    <w:rPr>
      <w:kern w:val="2"/>
      <w:sz w:val="18"/>
      <w:szCs w:val="18"/>
    </w:rPr>
  </w:style>
  <w:style w:type="character" w:customStyle="1" w:styleId="291">
    <w:name w:val="正文文本缩进 2 字符"/>
    <w:link w:val="27"/>
    <w:qFormat/>
    <w:uiPriority w:val="0"/>
    <w:rPr>
      <w:kern w:val="2"/>
      <w:sz w:val="21"/>
      <w:szCs w:val="24"/>
    </w:rPr>
  </w:style>
  <w:style w:type="character" w:customStyle="1" w:styleId="292">
    <w:name w:val="日期 字符"/>
    <w:link w:val="26"/>
    <w:qFormat/>
    <w:uiPriority w:val="99"/>
    <w:rPr>
      <w:kern w:val="2"/>
      <w:sz w:val="24"/>
    </w:rPr>
  </w:style>
  <w:style w:type="character" w:customStyle="1" w:styleId="293">
    <w:name w:val="访问过的超链接1"/>
    <w:qFormat/>
    <w:uiPriority w:val="99"/>
    <w:rPr>
      <w:color w:val="800080"/>
      <w:u w:val="single"/>
    </w:rPr>
  </w:style>
  <w:style w:type="character" w:customStyle="1" w:styleId="294">
    <w:name w:val="段 Char Char Char Char"/>
    <w:qFormat/>
    <w:uiPriority w:val="0"/>
    <w:rPr>
      <w:rFonts w:ascii="宋体"/>
      <w:sz w:val="21"/>
      <w:lang w:val="en-US" w:eastAsia="zh-CN" w:bidi="ar-SA"/>
    </w:rPr>
  </w:style>
  <w:style w:type="character" w:customStyle="1" w:styleId="295">
    <w:name w:val="章标题 Char Char"/>
    <w:qFormat/>
    <w:uiPriority w:val="0"/>
    <w:rPr>
      <w:rFonts w:ascii="黑体" w:eastAsia="黑体"/>
      <w:sz w:val="21"/>
      <w:lang w:val="en-US" w:eastAsia="zh-CN" w:bidi="ar-SA"/>
    </w:rPr>
  </w:style>
  <w:style w:type="character" w:customStyle="1" w:styleId="296">
    <w:name w:val="正文文本缩进 Char1"/>
    <w:qFormat/>
    <w:uiPriority w:val="0"/>
    <w:rPr>
      <w:kern w:val="2"/>
      <w:sz w:val="21"/>
      <w:szCs w:val="24"/>
    </w:rPr>
  </w:style>
  <w:style w:type="character" w:customStyle="1" w:styleId="297">
    <w:name w:val="font21"/>
    <w:qFormat/>
    <w:uiPriority w:val="0"/>
    <w:rPr>
      <w:rFonts w:hint="eastAsia" w:ascii="宋体" w:hAnsi="宋体" w:eastAsia="宋体" w:cs="宋体"/>
      <w:b/>
      <w:color w:val="FF0000"/>
      <w:sz w:val="21"/>
      <w:szCs w:val="21"/>
      <w:u w:val="none"/>
    </w:rPr>
  </w:style>
  <w:style w:type="character" w:customStyle="1" w:styleId="298">
    <w:name w:val="font41"/>
    <w:qFormat/>
    <w:uiPriority w:val="0"/>
    <w:rPr>
      <w:rFonts w:hint="eastAsia" w:ascii="宋体" w:hAnsi="宋体" w:eastAsia="宋体" w:cs="宋体"/>
      <w:b/>
      <w:color w:val="FF0000"/>
      <w:sz w:val="21"/>
      <w:szCs w:val="21"/>
      <w:u w:val="none"/>
    </w:rPr>
  </w:style>
  <w:style w:type="character" w:customStyle="1" w:styleId="299">
    <w:name w:val="font01"/>
    <w:qFormat/>
    <w:uiPriority w:val="0"/>
    <w:rPr>
      <w:rFonts w:hint="eastAsia" w:ascii="宋体" w:hAnsi="宋体" w:eastAsia="宋体"/>
      <w:color w:val="000000"/>
      <w:sz w:val="24"/>
      <w:szCs w:val="24"/>
      <w:u w:val="none"/>
    </w:rPr>
  </w:style>
  <w:style w:type="character" w:customStyle="1" w:styleId="300">
    <w:name w:val="附录标识 Char"/>
    <w:link w:val="65"/>
    <w:qFormat/>
    <w:uiPriority w:val="0"/>
    <w:rPr>
      <w:sz w:val="21"/>
    </w:rPr>
  </w:style>
  <w:style w:type="character" w:customStyle="1" w:styleId="301">
    <w:name w:val="font31"/>
    <w:qFormat/>
    <w:uiPriority w:val="0"/>
    <w:rPr>
      <w:rFonts w:hint="eastAsia" w:ascii="宋体" w:hAnsi="宋体" w:eastAsia="宋体" w:cs="宋体"/>
      <w:color w:val="000000"/>
      <w:sz w:val="22"/>
      <w:szCs w:val="22"/>
      <w:u w:val="none"/>
    </w:rPr>
  </w:style>
  <w:style w:type="paragraph" w:styleId="302">
    <w:name w:val="List Paragraph"/>
    <w:basedOn w:val="1"/>
    <w:qFormat/>
    <w:uiPriority w:val="34"/>
    <w:pPr>
      <w:ind w:firstLine="420" w:firstLineChars="200"/>
    </w:pPr>
  </w:style>
  <w:style w:type="paragraph" w:customStyle="1" w:styleId="303">
    <w:name w:val="Table Paragraph"/>
    <w:basedOn w:val="1"/>
    <w:qFormat/>
    <w:uiPriority w:val="1"/>
    <w:pPr>
      <w:autoSpaceDE w:val="0"/>
      <w:autoSpaceDN w:val="0"/>
      <w:jc w:val="left"/>
    </w:pPr>
    <w:rPr>
      <w:rFonts w:ascii="仿宋" w:hAnsi="仿宋" w:eastAsia="仿宋" w:cs="仿宋"/>
      <w:kern w:val="0"/>
      <w:sz w:val="22"/>
      <w:szCs w:val="22"/>
      <w:lang w:val="zh-CN" w:bidi="zh-CN"/>
    </w:rPr>
  </w:style>
  <w:style w:type="character" w:customStyle="1" w:styleId="304">
    <w:name w:val="fontstyle01"/>
    <w:basedOn w:val="43"/>
    <w:autoRedefine/>
    <w:qFormat/>
    <w:uiPriority w:val="0"/>
    <w:rPr>
      <w:rFonts w:hint="eastAsia" w:ascii="宋体" w:hAnsi="宋体" w:eastAsia="宋体"/>
      <w:color w:val="000000"/>
      <w:sz w:val="24"/>
      <w:szCs w:val="24"/>
    </w:rPr>
  </w:style>
  <w:style w:type="character" w:customStyle="1" w:styleId="305">
    <w:name w:val="标题 1 字符"/>
    <w:basedOn w:val="43"/>
    <w:link w:val="2"/>
    <w:autoRedefine/>
    <w:qFormat/>
    <w:uiPriority w:val="0"/>
    <w:rPr>
      <w:rFonts w:ascii="Times New Roman" w:hAnsi="Times New Roman" w:eastAsia="黑体" w:cs="Times New Roman"/>
      <w:b/>
      <w:bCs/>
      <w:kern w:val="44"/>
      <w:sz w:val="28"/>
      <w:szCs w:val="44"/>
    </w:rPr>
  </w:style>
  <w:style w:type="character" w:customStyle="1" w:styleId="306">
    <w:name w:val="标题 2 字符"/>
    <w:basedOn w:val="43"/>
    <w:link w:val="3"/>
    <w:autoRedefine/>
    <w:qFormat/>
    <w:uiPriority w:val="0"/>
    <w:rPr>
      <w:rFonts w:ascii="Arial" w:hAnsi="Arial" w:eastAsia="黑体" w:cs="Times New Roman"/>
      <w:b/>
      <w:bCs/>
      <w:kern w:val="2"/>
      <w:sz w:val="24"/>
      <w:szCs w:val="32"/>
    </w:rPr>
  </w:style>
  <w:style w:type="character" w:customStyle="1" w:styleId="307">
    <w:name w:val="标题 3 字符"/>
    <w:basedOn w:val="43"/>
    <w:link w:val="4"/>
    <w:autoRedefine/>
    <w:qFormat/>
    <w:uiPriority w:val="0"/>
    <w:rPr>
      <w:rFonts w:ascii="Times New Roman" w:hAnsi="Times New Roman" w:eastAsia="黑体" w:cs="Times New Roman"/>
      <w:b/>
      <w:bCs/>
      <w:kern w:val="2"/>
      <w:sz w:val="21"/>
      <w:szCs w:val="32"/>
    </w:rPr>
  </w:style>
  <w:style w:type="character" w:customStyle="1" w:styleId="308">
    <w:name w:val="标题 字符"/>
    <w:link w:val="38"/>
    <w:autoRedefine/>
    <w:qFormat/>
    <w:uiPriority w:val="0"/>
    <w:rPr>
      <w:rFonts w:ascii="Arial" w:hAnsi="Arial" w:eastAsia="宋体" w:cs="Arial"/>
      <w:b/>
      <w:bCs/>
      <w:kern w:val="2"/>
      <w:sz w:val="32"/>
      <w:szCs w:val="32"/>
    </w:rPr>
  </w:style>
  <w:style w:type="character" w:customStyle="1" w:styleId="309">
    <w:name w:val="脚注文本 字符"/>
    <w:link w:val="32"/>
    <w:autoRedefine/>
    <w:qFormat/>
    <w:uiPriority w:val="0"/>
    <w:rPr>
      <w:rFonts w:ascii="Times New Roman" w:hAnsi="Times New Roman" w:eastAsia="宋体" w:cs="Times New Roman"/>
      <w:kern w:val="2"/>
      <w:sz w:val="18"/>
      <w:szCs w:val="18"/>
    </w:rPr>
  </w:style>
  <w:style w:type="character" w:customStyle="1" w:styleId="310">
    <w:name w:val="未处理的提及1"/>
    <w:autoRedefine/>
    <w:unhideWhenUsed/>
    <w:qFormat/>
    <w:uiPriority w:val="99"/>
    <w:rPr>
      <w:color w:val="605E5C"/>
      <w:shd w:val="clear" w:color="auto" w:fill="E1DFDD"/>
    </w:rPr>
  </w:style>
  <w:style w:type="character" w:customStyle="1" w:styleId="311">
    <w:name w:val="批注框文本 Char1"/>
    <w:basedOn w:val="43"/>
    <w:autoRedefine/>
    <w:semiHidden/>
    <w:qFormat/>
    <w:uiPriority w:val="99"/>
    <w:rPr>
      <w:rFonts w:ascii="Calibri" w:hAnsi="Calibri" w:eastAsia="宋体" w:cs="Times New Roman"/>
      <w:sz w:val="18"/>
      <w:szCs w:val="18"/>
    </w:rPr>
  </w:style>
  <w:style w:type="character" w:customStyle="1" w:styleId="312">
    <w:name w:val="脚注文本 Char1"/>
    <w:basedOn w:val="43"/>
    <w:autoRedefine/>
    <w:semiHidden/>
    <w:qFormat/>
    <w:uiPriority w:val="99"/>
    <w:rPr>
      <w:rFonts w:ascii="Calibri" w:hAnsi="Calibri" w:eastAsia="宋体" w:cs="Times New Roman"/>
      <w:sz w:val="18"/>
      <w:szCs w:val="18"/>
    </w:rPr>
  </w:style>
  <w:style w:type="character" w:customStyle="1" w:styleId="313">
    <w:name w:val="标题 Char1"/>
    <w:basedOn w:val="43"/>
    <w:autoRedefine/>
    <w:qFormat/>
    <w:uiPriority w:val="10"/>
    <w:rPr>
      <w:rFonts w:eastAsia="宋体" w:asciiTheme="majorHAnsi" w:hAnsiTheme="majorHAnsi" w:cstheme="majorBidi"/>
      <w:b/>
      <w:bCs/>
      <w:sz w:val="32"/>
      <w:szCs w:val="32"/>
    </w:rPr>
  </w:style>
  <w:style w:type="paragraph" w:customStyle="1" w:styleId="314">
    <w:name w:val="默认段落字体 Para Char Char Char Char Char Char Char Char Char Char"/>
    <w:basedOn w:val="1"/>
    <w:autoRedefine/>
    <w:qFormat/>
    <w:uiPriority w:val="0"/>
  </w:style>
  <w:style w:type="paragraph" w:customStyle="1" w:styleId="315">
    <w:name w:val="WPSOffice手动目录 1"/>
    <w:autoRedefine/>
    <w:qFormat/>
    <w:uiPriority w:val="0"/>
    <w:rPr>
      <w:rFonts w:ascii="Calibri" w:hAnsi="Calibri" w:eastAsia="宋体" w:cs="Times New Roman"/>
      <w:lang w:val="en-US" w:eastAsia="zh-CN" w:bidi="ar-SA"/>
    </w:rPr>
  </w:style>
  <w:style w:type="paragraph" w:customStyle="1" w:styleId="316">
    <w:name w:val="1"/>
    <w:basedOn w:val="1"/>
    <w:next w:val="22"/>
    <w:autoRedefine/>
    <w:qFormat/>
    <w:uiPriority w:val="0"/>
    <w:pPr>
      <w:adjustRightInd w:val="0"/>
      <w:spacing w:line="360" w:lineRule="auto"/>
      <w:ind w:firstLine="480" w:firstLineChars="200"/>
      <w:textAlignment w:val="baseline"/>
      <w:outlineLvl w:val="0"/>
    </w:pPr>
    <w:rPr>
      <w:kern w:val="0"/>
      <w:sz w:val="24"/>
      <w:szCs w:val="20"/>
    </w:rPr>
  </w:style>
  <w:style w:type="paragraph" w:customStyle="1" w:styleId="317">
    <w:name w:val="Char Char"/>
    <w:basedOn w:val="1"/>
    <w:autoRedefine/>
    <w:qFormat/>
    <w:uiPriority w:val="0"/>
  </w:style>
  <w:style w:type="paragraph" w:customStyle="1" w:styleId="318">
    <w:name w:val="WPSOffice手动目录 2"/>
    <w:qFormat/>
    <w:uiPriority w:val="0"/>
    <w:pPr>
      <w:ind w:left="200" w:leftChars="200"/>
    </w:pPr>
    <w:rPr>
      <w:rFonts w:ascii="Calibri" w:hAnsi="Calibri" w:eastAsia="宋体" w:cs="Times New Roman"/>
      <w:lang w:val="en-US" w:eastAsia="zh-CN" w:bidi="ar-SA"/>
    </w:rPr>
  </w:style>
  <w:style w:type="table" w:customStyle="1" w:styleId="319">
    <w:name w:val="网格型1"/>
    <w:basedOn w:val="41"/>
    <w:autoRedefine/>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0">
    <w:name w:val="Placeholder Text"/>
    <w:basedOn w:val="43"/>
    <w:autoRedefine/>
    <w:semiHidden/>
    <w:qFormat/>
    <w:uiPriority w:val="99"/>
    <w:rPr>
      <w:color w:val="808080"/>
    </w:rPr>
  </w:style>
  <w:style w:type="table" w:customStyle="1" w:styleId="321">
    <w:name w:val="Table Normal"/>
    <w:autoRedefine/>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322">
    <w:name w:val="标题 21"/>
    <w:basedOn w:val="1"/>
    <w:autoRedefine/>
    <w:qFormat/>
    <w:uiPriority w:val="1"/>
    <w:pPr>
      <w:autoSpaceDE w:val="0"/>
      <w:autoSpaceDN w:val="0"/>
      <w:ind w:left="216"/>
      <w:jc w:val="left"/>
      <w:outlineLvl w:val="2"/>
    </w:pPr>
    <w:rPr>
      <w:rFonts w:eastAsia="Times New Roman"/>
      <w:kern w:val="0"/>
      <w:sz w:val="28"/>
      <w:szCs w:val="28"/>
      <w:lang w:eastAsia="en-US" w:bidi="en-US"/>
    </w:rPr>
  </w:style>
  <w:style w:type="character" w:customStyle="1" w:styleId="323">
    <w:name w:val="正文文本 2 字符"/>
    <w:basedOn w:val="43"/>
    <w:link w:val="35"/>
    <w:autoRedefine/>
    <w:qFormat/>
    <w:uiPriority w:val="99"/>
    <w:rPr>
      <w:rFonts w:ascii="Times New Roman" w:hAnsi="Times New Roman" w:eastAsia="宋体" w:cs="Times New Roman"/>
      <w:kern w:val="2"/>
      <w:sz w:val="21"/>
      <w:szCs w:val="24"/>
    </w:rPr>
  </w:style>
  <w:style w:type="character" w:customStyle="1" w:styleId="324">
    <w:name w:val="图题及表格"/>
    <w:basedOn w:val="43"/>
    <w:autoRedefine/>
    <w:qFormat/>
    <w:uiPriority w:val="0"/>
    <w:rPr>
      <w:rFonts w:ascii="Times New Roman" w:hAnsi="Times New Roman" w:eastAsia="宋体"/>
      <w:sz w:val="21"/>
    </w:rPr>
  </w:style>
  <w:style w:type="character" w:customStyle="1" w:styleId="325">
    <w:name w:val="表题"/>
    <w:autoRedefine/>
    <w:qFormat/>
    <w:uiPriority w:val="0"/>
    <w:rPr>
      <w:rFonts w:hint="default" w:ascii="Times New Roman" w:hAnsi="Times New Roman" w:eastAsia="黑体" w:cs="Times New Roman"/>
      <w:color w:val="000000"/>
      <w:sz w:val="21"/>
      <w:szCs w:val="20"/>
      <w:u w:val="none"/>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2" Type="http://schemas.openxmlformats.org/officeDocument/2006/relationships/fontTable" Target="fontTable.xml"/><Relationship Id="rId81" Type="http://schemas.openxmlformats.org/officeDocument/2006/relationships/numbering" Target="numbering.xml"/><Relationship Id="rId80" Type="http://schemas.openxmlformats.org/officeDocument/2006/relationships/customXml" Target="../customXml/item1.xml"/><Relationship Id="rId8" Type="http://schemas.openxmlformats.org/officeDocument/2006/relationships/image" Target="media/image1.wmf"/><Relationship Id="rId79" Type="http://schemas.openxmlformats.org/officeDocument/2006/relationships/image" Target="media/image51.png"/><Relationship Id="rId78" Type="http://schemas.openxmlformats.org/officeDocument/2006/relationships/image" Target="media/image50.png"/><Relationship Id="rId77" Type="http://schemas.openxmlformats.org/officeDocument/2006/relationships/image" Target="media/image49.png"/><Relationship Id="rId76" Type="http://schemas.openxmlformats.org/officeDocument/2006/relationships/image" Target="media/image48.wmf"/><Relationship Id="rId75" Type="http://schemas.openxmlformats.org/officeDocument/2006/relationships/oleObject" Target="embeddings/oleObject22.bin"/><Relationship Id="rId74" Type="http://schemas.openxmlformats.org/officeDocument/2006/relationships/image" Target="media/image47.wmf"/><Relationship Id="rId73" Type="http://schemas.openxmlformats.org/officeDocument/2006/relationships/oleObject" Target="embeddings/oleObject21.bin"/><Relationship Id="rId72" Type="http://schemas.openxmlformats.org/officeDocument/2006/relationships/image" Target="media/image46.wmf"/><Relationship Id="rId71" Type="http://schemas.openxmlformats.org/officeDocument/2006/relationships/oleObject" Target="embeddings/oleObject20.bin"/><Relationship Id="rId70" Type="http://schemas.openxmlformats.org/officeDocument/2006/relationships/image" Target="media/image45.wmf"/><Relationship Id="rId7" Type="http://schemas.openxmlformats.org/officeDocument/2006/relationships/oleObject" Target="embeddings/oleObject1.bin"/><Relationship Id="rId69" Type="http://schemas.openxmlformats.org/officeDocument/2006/relationships/oleObject" Target="embeddings/oleObject19.bin"/><Relationship Id="rId68" Type="http://schemas.openxmlformats.org/officeDocument/2006/relationships/image" Target="media/image44.wmf"/><Relationship Id="rId67" Type="http://schemas.openxmlformats.org/officeDocument/2006/relationships/oleObject" Target="embeddings/oleObject18.bin"/><Relationship Id="rId66" Type="http://schemas.openxmlformats.org/officeDocument/2006/relationships/image" Target="media/image43.wmf"/><Relationship Id="rId65" Type="http://schemas.openxmlformats.org/officeDocument/2006/relationships/oleObject" Target="embeddings/oleObject17.bin"/><Relationship Id="rId64" Type="http://schemas.openxmlformats.org/officeDocument/2006/relationships/image" Target="media/image42.wmf"/><Relationship Id="rId63" Type="http://schemas.openxmlformats.org/officeDocument/2006/relationships/oleObject" Target="embeddings/oleObject16.bin"/><Relationship Id="rId62" Type="http://schemas.openxmlformats.org/officeDocument/2006/relationships/image" Target="media/image41.wmf"/><Relationship Id="rId61" Type="http://schemas.openxmlformats.org/officeDocument/2006/relationships/oleObject" Target="embeddings/oleObject15.bin"/><Relationship Id="rId60" Type="http://schemas.openxmlformats.org/officeDocument/2006/relationships/image" Target="media/image40.wmf"/><Relationship Id="rId6" Type="http://schemas.openxmlformats.org/officeDocument/2006/relationships/theme" Target="theme/theme1.xml"/><Relationship Id="rId59" Type="http://schemas.openxmlformats.org/officeDocument/2006/relationships/oleObject" Target="embeddings/oleObject14.bin"/><Relationship Id="rId58" Type="http://schemas.openxmlformats.org/officeDocument/2006/relationships/image" Target="media/image39.wmf"/><Relationship Id="rId57" Type="http://schemas.openxmlformats.org/officeDocument/2006/relationships/oleObject" Target="embeddings/oleObject13.bin"/><Relationship Id="rId56" Type="http://schemas.openxmlformats.org/officeDocument/2006/relationships/image" Target="media/image38.wmf"/><Relationship Id="rId55" Type="http://schemas.openxmlformats.org/officeDocument/2006/relationships/oleObject" Target="embeddings/oleObject12.bin"/><Relationship Id="rId54" Type="http://schemas.openxmlformats.org/officeDocument/2006/relationships/image" Target="media/image37.png"/><Relationship Id="rId53" Type="http://schemas.openxmlformats.org/officeDocument/2006/relationships/image" Target="media/image36.wmf"/><Relationship Id="rId52" Type="http://schemas.openxmlformats.org/officeDocument/2006/relationships/oleObject" Target="embeddings/oleObject11.bin"/><Relationship Id="rId51" Type="http://schemas.openxmlformats.org/officeDocument/2006/relationships/image" Target="media/image35.wmf"/><Relationship Id="rId50" Type="http://schemas.openxmlformats.org/officeDocument/2006/relationships/oleObject" Target="embeddings/oleObject10.bin"/><Relationship Id="rId5" Type="http://schemas.openxmlformats.org/officeDocument/2006/relationships/footer" Target="footer2.xml"/><Relationship Id="rId49" Type="http://schemas.openxmlformats.org/officeDocument/2006/relationships/image" Target="media/image34.wmf"/><Relationship Id="rId48" Type="http://schemas.openxmlformats.org/officeDocument/2006/relationships/oleObject" Target="embeddings/oleObject9.bin"/><Relationship Id="rId47" Type="http://schemas.openxmlformats.org/officeDocument/2006/relationships/image" Target="media/image33.wmf"/><Relationship Id="rId46" Type="http://schemas.openxmlformats.org/officeDocument/2006/relationships/oleObject" Target="embeddings/oleObject8.bin"/><Relationship Id="rId45" Type="http://schemas.openxmlformats.org/officeDocument/2006/relationships/image" Target="media/image32.wmf"/><Relationship Id="rId44" Type="http://schemas.openxmlformats.org/officeDocument/2006/relationships/oleObject" Target="embeddings/oleObject7.bin"/><Relationship Id="rId43" Type="http://schemas.openxmlformats.org/officeDocument/2006/relationships/image" Target="media/image31.wmf"/><Relationship Id="rId42" Type="http://schemas.openxmlformats.org/officeDocument/2006/relationships/oleObject" Target="embeddings/oleObject6.bin"/><Relationship Id="rId41" Type="http://schemas.openxmlformats.org/officeDocument/2006/relationships/image" Target="media/image30.wmf"/><Relationship Id="rId40" Type="http://schemas.openxmlformats.org/officeDocument/2006/relationships/oleObject" Target="embeddings/oleObject5.bin"/><Relationship Id="rId4" Type="http://schemas.openxmlformats.org/officeDocument/2006/relationships/footer" Target="footer1.xml"/><Relationship Id="rId39" Type="http://schemas.openxmlformats.org/officeDocument/2006/relationships/image" Target="media/image29.wmf"/><Relationship Id="rId38" Type="http://schemas.openxmlformats.org/officeDocument/2006/relationships/oleObject" Target="embeddings/oleObject4.bin"/><Relationship Id="rId37" Type="http://schemas.openxmlformats.org/officeDocument/2006/relationships/image" Target="media/image28.wmf"/><Relationship Id="rId36" Type="http://schemas.openxmlformats.org/officeDocument/2006/relationships/oleObject" Target="embeddings/oleObject3.bin"/><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header" Target="head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26631;&#20934;\5237-201X\2\GB-T5237-201X\&#25253;&#25209;&#26448;&#26009;\GBT%205237.2&#21644;.5&#25253;&#25209;&#26448;&#26009;20160927\GBT%205237.2-201X%20&#25253;&#25209;&#26448;&#26009;\&#22269;&#23478;&#34892;&#19994;&#26631;&#20934;&#32534;&#21046;&#35828;&#26126;&#27169;&#26495;"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国家行业标准编制说明模板</Template>
  <Company>Microsoft</Company>
  <Pages>21</Pages>
  <Words>10835</Words>
  <Characters>12827</Characters>
  <Lines>54</Lines>
  <Paragraphs>15</Paragraphs>
  <TotalTime>6</TotalTime>
  <ScaleCrop>false</ScaleCrop>
  <LinksUpToDate>false</LinksUpToDate>
  <CharactersWithSpaces>13229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2026-05-05T14:47:00Z</dcterms:created>
  <dc:creator>标准李瑞山9585</dc:creator>
  <cp:lastModifiedBy>张国栋</cp:lastModifiedBy>
  <cp:lastPrinted>2016-10-20T04:13:00Z</cp:lastPrinted>
  <dcterms:modified xsi:type="dcterms:W3CDTF">2026-09-06T09:39:20Z</dcterms:modified>
  <dc:title>标准名称</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3B4B8AE40E5E45198C40D9C91E78E283_13</vt:lpwstr>
  </property>
  <property fmtid="{D5CDD505-2E9C-101B-9397-08002B2CF9AE}" pid="4" name="KSOTemplateDocerSaveRecord">
    <vt:lpwstr>eyJoZGlkIjoiMzEwNTM5NzYwMDRjMzkwZTVkZjY2ODkwMGIxNGU0OTUiLCJ1c2VySWQiOiIzMDg2MTU0NTUifQ==</vt:lpwstr>
  </property>
</Properties>
</file>