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76513A">
      <w:pPr>
        <w:pStyle w:val="100"/>
        <w:jc w:val="center"/>
        <w:rPr>
          <w:rFonts w:ascii="黑体" w:hAnsi="黑体" w:eastAsia="黑体"/>
          <w:b w:val="0"/>
          <w:bCs w:val="0"/>
          <w:sz w:val="24"/>
          <w:szCs w:val="24"/>
        </w:rPr>
      </w:pPr>
      <w:bookmarkStart w:id="0" w:name="_Toc464728891"/>
      <w:bookmarkStart w:id="1" w:name="SectionMark4"/>
    </w:p>
    <w:p w14:paraId="261607E6">
      <w:pPr>
        <w:pStyle w:val="100"/>
        <w:jc w:val="center"/>
        <w:rPr>
          <w:rFonts w:ascii="黑体" w:hAnsi="黑体" w:eastAsia="黑体"/>
          <w:b w:val="0"/>
          <w:bCs w:val="0"/>
          <w:sz w:val="24"/>
          <w:szCs w:val="24"/>
        </w:rPr>
      </w:pPr>
    </w:p>
    <w:p w14:paraId="5CCD06B1">
      <w:pPr>
        <w:pStyle w:val="100"/>
        <w:jc w:val="center"/>
        <w:rPr>
          <w:rFonts w:ascii="黑体" w:hAnsi="黑体" w:eastAsia="黑体"/>
          <w:b w:val="0"/>
          <w:bCs w:val="0"/>
          <w:sz w:val="24"/>
          <w:szCs w:val="24"/>
        </w:rPr>
      </w:pPr>
    </w:p>
    <w:p w14:paraId="23A4CA42">
      <w:pPr>
        <w:pStyle w:val="100"/>
        <w:jc w:val="center"/>
        <w:rPr>
          <w:rFonts w:ascii="黑体" w:hAnsi="黑体" w:eastAsia="黑体"/>
          <w:b w:val="0"/>
          <w:bCs w:val="0"/>
          <w:sz w:val="24"/>
          <w:szCs w:val="24"/>
        </w:rPr>
      </w:pPr>
    </w:p>
    <w:p w14:paraId="1CEAA560">
      <w:pPr>
        <w:pStyle w:val="100"/>
        <w:jc w:val="center"/>
        <w:rPr>
          <w:rFonts w:ascii="黑体" w:hAnsi="黑体" w:eastAsia="黑体"/>
          <w:b w:val="0"/>
          <w:bCs w:val="0"/>
          <w:sz w:val="24"/>
          <w:szCs w:val="24"/>
        </w:rPr>
      </w:pPr>
    </w:p>
    <w:p w14:paraId="1E5655C1">
      <w:pPr>
        <w:pStyle w:val="100"/>
        <w:jc w:val="center"/>
        <w:rPr>
          <w:rFonts w:ascii="黑体" w:hAnsi="黑体" w:eastAsia="黑体"/>
          <w:b w:val="0"/>
          <w:bCs w:val="0"/>
          <w:sz w:val="24"/>
          <w:szCs w:val="24"/>
        </w:rPr>
      </w:pPr>
    </w:p>
    <w:p w14:paraId="365DF92E">
      <w:pPr>
        <w:pStyle w:val="100"/>
        <w:jc w:val="center"/>
        <w:rPr>
          <w:rFonts w:ascii="黑体" w:hAnsi="黑体" w:eastAsia="黑体"/>
          <w:b w:val="0"/>
          <w:bCs w:val="0"/>
          <w:sz w:val="24"/>
          <w:szCs w:val="24"/>
        </w:rPr>
      </w:pPr>
      <w:r>
        <w:rPr>
          <w:b w:val="0"/>
          <w:bCs w:val="0"/>
        </w:rPr>
        <mc:AlternateContent>
          <mc:Choice Requires="wps">
            <w:drawing>
              <wp:anchor distT="0" distB="0" distL="114300" distR="114300" simplePos="0" relativeHeight="251659264" behindDoc="0" locked="1" layoutInCell="1" allowOverlap="1">
                <wp:simplePos x="0" y="0"/>
                <wp:positionH relativeFrom="margin">
                  <wp:posOffset>66675</wp:posOffset>
                </wp:positionH>
                <wp:positionV relativeFrom="margin">
                  <wp:posOffset>1544955</wp:posOffset>
                </wp:positionV>
                <wp:extent cx="6120130" cy="2383790"/>
                <wp:effectExtent l="0" t="0" r="0" b="0"/>
                <wp:wrapNone/>
                <wp:docPr id="3" name="文本框 4"/>
                <wp:cNvGraphicFramePr/>
                <a:graphic xmlns:a="http://schemas.openxmlformats.org/drawingml/2006/main">
                  <a:graphicData uri="http://schemas.microsoft.com/office/word/2010/wordprocessingShape">
                    <wps:wsp>
                      <wps:cNvSpPr/>
                      <wps:spPr>
                        <a:xfrm>
                          <a:off x="0" y="0"/>
                          <a:ext cx="6120130" cy="2383790"/>
                        </a:xfrm>
                        <a:prstGeom prst="rect">
                          <a:avLst/>
                        </a:prstGeom>
                        <a:solidFill>
                          <a:srgbClr val="FFFFFF"/>
                        </a:solidFill>
                        <a:ln>
                          <a:noFill/>
                        </a:ln>
                      </wps:spPr>
                      <wps:txbx>
                        <w:txbxContent>
                          <w:p w14:paraId="3BF3227D">
                            <w:pPr>
                              <w:pStyle w:val="77"/>
                              <w:rPr>
                                <w:rFonts w:hAnsi="黑体" w:cs="黑体"/>
                                <w:sz w:val="44"/>
                                <w:szCs w:val="44"/>
                              </w:rPr>
                            </w:pPr>
                            <w:bookmarkStart w:id="68" w:name="_Hlk23687263"/>
                            <w:r>
                              <w:rPr>
                                <w:rFonts w:hint="eastAsia" w:hAnsi="黑体" w:cs="黑体"/>
                                <w:sz w:val="44"/>
                                <w:szCs w:val="44"/>
                              </w:rPr>
                              <w:t>JJF（有色金属）</w:t>
                            </w:r>
                            <w:r>
                              <w:rPr>
                                <w:rFonts w:hAnsi="黑体" w:cs="黑体"/>
                                <w:sz w:val="44"/>
                                <w:szCs w:val="44"/>
                              </w:rPr>
                              <w:t>XXXX</w:t>
                            </w:r>
                            <w:r>
                              <w:rPr>
                                <w:rFonts w:hint="eastAsia" w:hAnsi="黑体" w:cs="黑体"/>
                                <w:sz w:val="44"/>
                                <w:szCs w:val="44"/>
                              </w:rPr>
                              <w:t>—</w:t>
                            </w:r>
                            <w:r>
                              <w:rPr>
                                <w:rFonts w:hAnsi="黑体" w:cs="黑体"/>
                                <w:sz w:val="44"/>
                                <w:szCs w:val="44"/>
                              </w:rPr>
                              <w:t>XXXX</w:t>
                            </w:r>
                          </w:p>
                          <w:bookmarkEnd w:id="68"/>
                          <w:p w14:paraId="011E22CF">
                            <w:pPr>
                              <w:pStyle w:val="77"/>
                              <w:rPr>
                                <w:rFonts w:hAnsi="黑体" w:cs="黑体"/>
                                <w:szCs w:val="52"/>
                              </w:rPr>
                            </w:pPr>
                            <w:r>
                              <w:rPr>
                                <w:rFonts w:hint="eastAsia" w:hAnsi="黑体" w:cs="黑体"/>
                                <w:szCs w:val="52"/>
                              </w:rPr>
                              <w:t>有色金属材料分析用</w:t>
                            </w:r>
                            <w:r>
                              <w:rPr>
                                <w:rFonts w:hint="eastAsia" w:hAnsi="Times New Roman" w:cs="Times New Roman"/>
                                <w:szCs w:val="52"/>
                                <w:lang w:val="en-US" w:eastAsia="zh-CN"/>
                              </w:rPr>
                              <w:t>辉光放电发射光谱仪校准规范</w:t>
                            </w:r>
                          </w:p>
                          <w:p w14:paraId="72F6B995">
                            <w:pPr>
                              <w:jc w:val="center"/>
                              <w:rPr>
                                <w:rFonts w:ascii="黑体" w:hAnsi="黑体" w:eastAsia="黑体" w:cs="黑体"/>
                                <w:sz w:val="44"/>
                                <w:szCs w:val="44"/>
                              </w:rPr>
                            </w:pPr>
                            <w:r>
                              <w:rPr>
                                <w:rFonts w:hint="eastAsia" w:ascii="黑体" w:hAnsi="黑体" w:eastAsia="黑体" w:cs="黑体"/>
                                <w:sz w:val="44"/>
                                <w:szCs w:val="44"/>
                              </w:rPr>
                              <w:t>(编制说明)</w:t>
                            </w:r>
                          </w:p>
                        </w:txbxContent>
                      </wps:txbx>
                      <wps:bodyPr lIns="0" tIns="0" rIns="0" bIns="0" upright="1"/>
                    </wps:wsp>
                  </a:graphicData>
                </a:graphic>
              </wp:anchor>
            </w:drawing>
          </mc:Choice>
          <mc:Fallback>
            <w:pict>
              <v:rect id="文本框 4" o:spid="_x0000_s1026" o:spt="1" style="position:absolute;left:0pt;margin-left:5.25pt;margin-top:121.65pt;height:187.7pt;width:481.9pt;mso-position-horizontal-relative:margin;mso-position-vertical-relative:margin;z-index:251659264;mso-width-relative:page;mso-height-relative:page;" fillcolor="#FFFFFF" filled="t" stroked="f" coordsize="21600,21600" o:gfxdata="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2vt/d1wAAAAoBAAAPAAAAAAAAAAEAIAAAACIAAABkcnMv&#10;ZG93bnJldi54bWxQSwECFAAUAAAACACHTuJAY/5bKMsBAACSAwAADgAAAAAAAAABACAAAAAmAQAA&#10;ZHJzL2Uyb0RvYy54bWxQSwUGAAAAAAYABgBZAQAAYwUAAAAA&#10;">
                <v:fill on="t" focussize="0,0"/>
                <v:stroke on="f"/>
                <v:imagedata o:title=""/>
                <o:lock v:ext="edit" aspectratio="f"/>
                <v:textbox inset="0mm,0mm,0mm,0mm">
                  <w:txbxContent>
                    <w:p w14:paraId="3BF3227D">
                      <w:pPr>
                        <w:pStyle w:val="77"/>
                        <w:rPr>
                          <w:rFonts w:hAnsi="黑体" w:cs="黑体"/>
                          <w:sz w:val="44"/>
                          <w:szCs w:val="44"/>
                        </w:rPr>
                      </w:pPr>
                      <w:bookmarkStart w:id="68" w:name="_Hlk23687263"/>
                      <w:r>
                        <w:rPr>
                          <w:rFonts w:hint="eastAsia" w:hAnsi="黑体" w:cs="黑体"/>
                          <w:sz w:val="44"/>
                          <w:szCs w:val="44"/>
                        </w:rPr>
                        <w:t>JJF（有色金属）</w:t>
                      </w:r>
                      <w:r>
                        <w:rPr>
                          <w:rFonts w:hAnsi="黑体" w:cs="黑体"/>
                          <w:sz w:val="44"/>
                          <w:szCs w:val="44"/>
                        </w:rPr>
                        <w:t>XXXX</w:t>
                      </w:r>
                      <w:r>
                        <w:rPr>
                          <w:rFonts w:hint="eastAsia" w:hAnsi="黑体" w:cs="黑体"/>
                          <w:sz w:val="44"/>
                          <w:szCs w:val="44"/>
                        </w:rPr>
                        <w:t>—</w:t>
                      </w:r>
                      <w:r>
                        <w:rPr>
                          <w:rFonts w:hAnsi="黑体" w:cs="黑体"/>
                          <w:sz w:val="44"/>
                          <w:szCs w:val="44"/>
                        </w:rPr>
                        <w:t>XXXX</w:t>
                      </w:r>
                    </w:p>
                    <w:bookmarkEnd w:id="68"/>
                    <w:p w14:paraId="011E22CF">
                      <w:pPr>
                        <w:pStyle w:val="77"/>
                        <w:rPr>
                          <w:rFonts w:hAnsi="黑体" w:cs="黑体"/>
                          <w:szCs w:val="52"/>
                        </w:rPr>
                      </w:pPr>
                      <w:r>
                        <w:rPr>
                          <w:rFonts w:hint="eastAsia" w:hAnsi="黑体" w:cs="黑体"/>
                          <w:szCs w:val="52"/>
                        </w:rPr>
                        <w:t>有色金属材料分析用</w:t>
                      </w:r>
                      <w:r>
                        <w:rPr>
                          <w:rFonts w:hint="eastAsia" w:hAnsi="Times New Roman" w:cs="Times New Roman"/>
                          <w:szCs w:val="52"/>
                          <w:lang w:val="en-US" w:eastAsia="zh-CN"/>
                        </w:rPr>
                        <w:t>辉光放电发射光谱仪校准规范</w:t>
                      </w:r>
                    </w:p>
                    <w:p w14:paraId="72F6B995">
                      <w:pPr>
                        <w:jc w:val="center"/>
                        <w:rPr>
                          <w:rFonts w:ascii="黑体" w:hAnsi="黑体" w:eastAsia="黑体" w:cs="黑体"/>
                          <w:sz w:val="44"/>
                          <w:szCs w:val="44"/>
                        </w:rPr>
                      </w:pPr>
                      <w:r>
                        <w:rPr>
                          <w:rFonts w:hint="eastAsia" w:ascii="黑体" w:hAnsi="黑体" w:eastAsia="黑体" w:cs="黑体"/>
                          <w:sz w:val="44"/>
                          <w:szCs w:val="44"/>
                        </w:rPr>
                        <w:t>(编制说明)</w:t>
                      </w:r>
                    </w:p>
                  </w:txbxContent>
                </v:textbox>
                <w10:anchorlock/>
              </v:rect>
            </w:pict>
          </mc:Fallback>
        </mc:AlternateContent>
      </w:r>
    </w:p>
    <w:p w14:paraId="657F1709">
      <w:pPr>
        <w:pStyle w:val="100"/>
        <w:jc w:val="center"/>
        <w:rPr>
          <w:rFonts w:ascii="黑体" w:hAnsi="黑体" w:eastAsia="黑体"/>
          <w:b w:val="0"/>
          <w:bCs w:val="0"/>
          <w:sz w:val="24"/>
          <w:szCs w:val="24"/>
        </w:rPr>
      </w:pPr>
    </w:p>
    <w:p w14:paraId="5B12077C">
      <w:pPr>
        <w:pStyle w:val="100"/>
        <w:jc w:val="center"/>
        <w:rPr>
          <w:rFonts w:ascii="黑体" w:hAnsi="黑体" w:eastAsia="黑体"/>
          <w:b w:val="0"/>
          <w:bCs w:val="0"/>
          <w:sz w:val="24"/>
          <w:szCs w:val="24"/>
        </w:rPr>
      </w:pPr>
    </w:p>
    <w:p w14:paraId="4B6D4267">
      <w:pPr>
        <w:pStyle w:val="100"/>
        <w:jc w:val="center"/>
        <w:rPr>
          <w:rFonts w:ascii="黑体" w:hAnsi="黑体" w:eastAsia="黑体"/>
          <w:b w:val="0"/>
          <w:bCs w:val="0"/>
          <w:sz w:val="24"/>
          <w:szCs w:val="24"/>
        </w:rPr>
      </w:pPr>
    </w:p>
    <w:p w14:paraId="5CEE8E5D">
      <w:pPr>
        <w:pStyle w:val="100"/>
        <w:jc w:val="center"/>
        <w:rPr>
          <w:rFonts w:ascii="黑体" w:hAnsi="黑体" w:eastAsia="黑体"/>
          <w:b w:val="0"/>
          <w:bCs w:val="0"/>
          <w:sz w:val="24"/>
          <w:szCs w:val="24"/>
        </w:rPr>
      </w:pPr>
    </w:p>
    <w:p w14:paraId="520DE93F">
      <w:pPr>
        <w:pStyle w:val="100"/>
        <w:jc w:val="center"/>
        <w:rPr>
          <w:rFonts w:ascii="黑体" w:hAnsi="黑体" w:eastAsia="黑体"/>
          <w:b w:val="0"/>
          <w:bCs w:val="0"/>
          <w:sz w:val="24"/>
          <w:szCs w:val="24"/>
        </w:rPr>
      </w:pPr>
    </w:p>
    <w:p w14:paraId="4DC0BF17">
      <w:pPr>
        <w:pStyle w:val="100"/>
        <w:jc w:val="center"/>
        <w:rPr>
          <w:rFonts w:ascii="黑体" w:hAnsi="黑体" w:eastAsia="黑体"/>
          <w:b w:val="0"/>
          <w:bCs w:val="0"/>
          <w:sz w:val="24"/>
          <w:szCs w:val="24"/>
        </w:rPr>
      </w:pPr>
    </w:p>
    <w:p w14:paraId="4A8606C4">
      <w:pPr>
        <w:pStyle w:val="100"/>
        <w:jc w:val="center"/>
        <w:rPr>
          <w:rFonts w:ascii="黑体" w:hAnsi="黑体" w:eastAsia="黑体"/>
          <w:b w:val="0"/>
          <w:bCs w:val="0"/>
          <w:sz w:val="24"/>
          <w:szCs w:val="24"/>
        </w:rPr>
      </w:pPr>
    </w:p>
    <w:p w14:paraId="426E253B">
      <w:pPr>
        <w:pStyle w:val="100"/>
        <w:jc w:val="center"/>
        <w:rPr>
          <w:rFonts w:ascii="黑体" w:hAnsi="黑体" w:eastAsia="黑体"/>
          <w:b w:val="0"/>
          <w:bCs w:val="0"/>
          <w:sz w:val="24"/>
          <w:szCs w:val="24"/>
        </w:rPr>
      </w:pPr>
    </w:p>
    <w:p w14:paraId="7AF395CF">
      <w:pPr>
        <w:pStyle w:val="100"/>
        <w:jc w:val="center"/>
        <w:rPr>
          <w:rFonts w:ascii="黑体" w:hAnsi="黑体" w:eastAsia="黑体"/>
          <w:b w:val="0"/>
          <w:bCs w:val="0"/>
          <w:sz w:val="24"/>
          <w:szCs w:val="24"/>
        </w:rPr>
      </w:pPr>
    </w:p>
    <w:p w14:paraId="7E7C99B0">
      <w:pPr>
        <w:pStyle w:val="100"/>
        <w:jc w:val="center"/>
        <w:rPr>
          <w:rFonts w:ascii="黑体" w:hAnsi="黑体" w:eastAsia="黑体"/>
          <w:b w:val="0"/>
          <w:bCs w:val="0"/>
          <w:sz w:val="24"/>
          <w:szCs w:val="24"/>
        </w:rPr>
      </w:pPr>
    </w:p>
    <w:p w14:paraId="44A9AD4F">
      <w:pPr>
        <w:pStyle w:val="100"/>
        <w:jc w:val="center"/>
        <w:rPr>
          <w:rFonts w:ascii="黑体" w:hAnsi="黑体" w:eastAsia="黑体"/>
          <w:b w:val="0"/>
          <w:bCs w:val="0"/>
          <w:sz w:val="24"/>
          <w:szCs w:val="24"/>
        </w:rPr>
      </w:pPr>
    </w:p>
    <w:p w14:paraId="02AC33B4">
      <w:pPr>
        <w:pStyle w:val="100"/>
        <w:jc w:val="center"/>
        <w:rPr>
          <w:rFonts w:ascii="黑体" w:hAnsi="黑体" w:eastAsia="黑体"/>
          <w:b w:val="0"/>
          <w:bCs w:val="0"/>
          <w:sz w:val="24"/>
          <w:szCs w:val="24"/>
        </w:rPr>
      </w:pPr>
    </w:p>
    <w:p w14:paraId="6C0AC297">
      <w:pPr>
        <w:pStyle w:val="100"/>
        <w:jc w:val="center"/>
        <w:rPr>
          <w:rFonts w:ascii="黑体" w:hAnsi="黑体" w:eastAsia="黑体"/>
          <w:b w:val="0"/>
          <w:bCs w:val="0"/>
          <w:sz w:val="24"/>
          <w:szCs w:val="24"/>
        </w:rPr>
      </w:pPr>
    </w:p>
    <w:p w14:paraId="6ED72D46">
      <w:pPr>
        <w:pStyle w:val="100"/>
        <w:jc w:val="center"/>
        <w:rPr>
          <w:rFonts w:ascii="黑体" w:hAnsi="黑体" w:eastAsia="黑体"/>
          <w:b w:val="0"/>
          <w:bCs w:val="0"/>
          <w:sz w:val="24"/>
          <w:szCs w:val="24"/>
        </w:rPr>
      </w:pPr>
    </w:p>
    <w:p w14:paraId="4D140896">
      <w:pPr>
        <w:pStyle w:val="100"/>
        <w:jc w:val="center"/>
        <w:rPr>
          <w:rFonts w:ascii="黑体" w:hAnsi="黑体" w:eastAsia="黑体"/>
          <w:b w:val="0"/>
          <w:bCs w:val="0"/>
          <w:sz w:val="24"/>
          <w:szCs w:val="24"/>
        </w:rPr>
      </w:pPr>
    </w:p>
    <w:p w14:paraId="276BDB7B">
      <w:pPr>
        <w:pStyle w:val="100"/>
        <w:jc w:val="center"/>
        <w:rPr>
          <w:rFonts w:ascii="黑体" w:hAnsi="黑体" w:eastAsia="黑体"/>
          <w:b w:val="0"/>
          <w:bCs w:val="0"/>
          <w:sz w:val="24"/>
          <w:szCs w:val="24"/>
        </w:rPr>
      </w:pPr>
    </w:p>
    <w:p w14:paraId="55981809">
      <w:pPr>
        <w:pStyle w:val="100"/>
        <w:jc w:val="center"/>
        <w:rPr>
          <w:rFonts w:ascii="黑体" w:hAnsi="黑体" w:eastAsia="黑体"/>
          <w:b w:val="0"/>
          <w:bCs w:val="0"/>
          <w:sz w:val="24"/>
          <w:szCs w:val="24"/>
        </w:rPr>
      </w:pPr>
      <w:r>
        <w:rPr>
          <w:b w:val="0"/>
          <w:bCs w:val="0"/>
        </w:rPr>
        <mc:AlternateContent>
          <mc:Choice Requires="wps">
            <w:drawing>
              <wp:anchor distT="0" distB="0" distL="114300" distR="114300" simplePos="0" relativeHeight="251660288" behindDoc="0" locked="1" layoutInCell="1" allowOverlap="1">
                <wp:simplePos x="0" y="0"/>
                <wp:positionH relativeFrom="margin">
                  <wp:posOffset>153670</wp:posOffset>
                </wp:positionH>
                <wp:positionV relativeFrom="margin">
                  <wp:posOffset>4848860</wp:posOffset>
                </wp:positionV>
                <wp:extent cx="5969000" cy="1779270"/>
                <wp:effectExtent l="0" t="0" r="12700" b="11430"/>
                <wp:wrapNone/>
                <wp:docPr id="2" name="文本框 5"/>
                <wp:cNvGraphicFramePr/>
                <a:graphic xmlns:a="http://schemas.openxmlformats.org/drawingml/2006/main">
                  <a:graphicData uri="http://schemas.microsoft.com/office/word/2010/wordprocessingShape">
                    <wps:wsp>
                      <wps:cNvSpPr/>
                      <wps:spPr>
                        <a:xfrm>
                          <a:off x="0" y="0"/>
                          <a:ext cx="5969000" cy="1779270"/>
                        </a:xfrm>
                        <a:prstGeom prst="rect">
                          <a:avLst/>
                        </a:prstGeom>
                        <a:solidFill>
                          <a:srgbClr val="FFFFFF"/>
                        </a:solidFill>
                        <a:ln>
                          <a:noFill/>
                        </a:ln>
                      </wps:spPr>
                      <wps:txbx>
                        <w:txbxContent>
                          <w:p w14:paraId="6D583F56">
                            <w:pPr>
                              <w:pStyle w:val="69"/>
                              <w:spacing w:before="600"/>
                              <w:rPr>
                                <w:rFonts w:ascii="黑体" w:hAnsi="黑体" w:eastAsia="黑体"/>
                                <w:sz w:val="36"/>
                                <w:szCs w:val="36"/>
                              </w:rPr>
                            </w:pPr>
                            <w:r>
                              <w:rPr>
                                <w:rFonts w:hint="eastAsia" w:ascii="黑体" w:hAnsi="黑体" w:eastAsia="黑体"/>
                                <w:sz w:val="36"/>
                                <w:szCs w:val="36"/>
                                <w:lang w:val="en-US" w:eastAsia="zh-CN"/>
                              </w:rPr>
                              <w:t>预审</w:t>
                            </w:r>
                            <w:r>
                              <w:rPr>
                                <w:rFonts w:hint="eastAsia" w:ascii="黑体" w:hAnsi="黑体" w:eastAsia="黑体"/>
                                <w:sz w:val="36"/>
                                <w:szCs w:val="36"/>
                              </w:rPr>
                              <w:t>稿</w:t>
                            </w:r>
                          </w:p>
                          <w:p w14:paraId="15A726FB">
                            <w:pPr>
                              <w:pStyle w:val="69"/>
                              <w:spacing w:before="600"/>
                              <w:rPr>
                                <w:rFonts w:hint="default" w:ascii="黑体" w:hAnsi="黑体" w:eastAsia="黑体"/>
                                <w:sz w:val="36"/>
                                <w:szCs w:val="36"/>
                                <w:lang w:val="en-US" w:eastAsia="zh-CN"/>
                              </w:rPr>
                            </w:pPr>
                            <w:r>
                              <w:rPr>
                                <w:rFonts w:hint="eastAsia" w:ascii="黑体" w:hAnsi="黑体" w:eastAsia="黑体"/>
                                <w:sz w:val="36"/>
                                <w:szCs w:val="36"/>
                              </w:rPr>
                              <w:t>20</w:t>
                            </w:r>
                            <w:r>
                              <w:rPr>
                                <w:rFonts w:ascii="黑体" w:hAnsi="黑体" w:eastAsia="黑体"/>
                                <w:sz w:val="36"/>
                                <w:szCs w:val="36"/>
                              </w:rPr>
                              <w:t>2</w:t>
                            </w:r>
                            <w:r>
                              <w:rPr>
                                <w:rFonts w:hint="eastAsia" w:ascii="黑体" w:hAnsi="黑体" w:eastAsia="黑体"/>
                                <w:sz w:val="36"/>
                                <w:szCs w:val="36"/>
                                <w:lang w:val="en-US" w:eastAsia="zh-CN"/>
                              </w:rPr>
                              <w:t>6</w:t>
                            </w:r>
                            <w:r>
                              <w:rPr>
                                <w:rFonts w:hint="eastAsia" w:ascii="黑体" w:hAnsi="黑体" w:eastAsia="黑体"/>
                                <w:sz w:val="36"/>
                                <w:szCs w:val="36"/>
                              </w:rPr>
                              <w:t>-</w:t>
                            </w:r>
                            <w:r>
                              <w:rPr>
                                <w:rFonts w:hint="eastAsia" w:ascii="黑体" w:hAnsi="黑体" w:eastAsia="黑体"/>
                                <w:sz w:val="36"/>
                                <w:szCs w:val="36"/>
                                <w:lang w:val="en-US" w:eastAsia="zh-CN"/>
                              </w:rPr>
                              <w:t>09</w:t>
                            </w:r>
                          </w:p>
                        </w:txbxContent>
                      </wps:txbx>
                      <wps:bodyPr lIns="0" tIns="0" rIns="0" bIns="0" upright="1"/>
                    </wps:wsp>
                  </a:graphicData>
                </a:graphic>
              </wp:anchor>
            </w:drawing>
          </mc:Choice>
          <mc:Fallback>
            <w:pict>
              <v:rect id="文本框 5" o:spid="_x0000_s1026" o:spt="1" style="position:absolute;left:0pt;margin-left:12.1pt;margin-top:381.8pt;height:140.1pt;width:470pt;mso-position-horizontal-relative:margin;mso-position-vertical-relative:margin;z-index:251660288;mso-width-relative:page;mso-height-relative:page;" fillcolor="#FFFFFF" filled="t" stroked="f" coordsize="21600,21600" o:gfxdata="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QgCV/1wAAAAsBAAAPAAAAAAAAAAEAIAAAACIAAABkcnMv&#10;ZG93bnJldi54bWxQSwECFAAUAAAACACHTuJAMTvMIMsBAACSAwAADgAAAAAAAAABACAAAAAmAQAA&#10;ZHJzL2Uyb0RvYy54bWxQSwUGAAAAAAYABgBZAQAAYwUAAAAA&#10;">
                <v:fill on="t" focussize="0,0"/>
                <v:stroke on="f"/>
                <v:imagedata o:title=""/>
                <o:lock v:ext="edit" aspectratio="f"/>
                <v:textbox inset="0mm,0mm,0mm,0mm">
                  <w:txbxContent>
                    <w:p w14:paraId="6D583F56">
                      <w:pPr>
                        <w:pStyle w:val="69"/>
                        <w:spacing w:before="600"/>
                        <w:rPr>
                          <w:rFonts w:ascii="黑体" w:hAnsi="黑体" w:eastAsia="黑体"/>
                          <w:sz w:val="36"/>
                          <w:szCs w:val="36"/>
                        </w:rPr>
                      </w:pPr>
                      <w:r>
                        <w:rPr>
                          <w:rFonts w:hint="eastAsia" w:ascii="黑体" w:hAnsi="黑体" w:eastAsia="黑体"/>
                          <w:sz w:val="36"/>
                          <w:szCs w:val="36"/>
                          <w:lang w:val="en-US" w:eastAsia="zh-CN"/>
                        </w:rPr>
                        <w:t>预审</w:t>
                      </w:r>
                      <w:r>
                        <w:rPr>
                          <w:rFonts w:hint="eastAsia" w:ascii="黑体" w:hAnsi="黑体" w:eastAsia="黑体"/>
                          <w:sz w:val="36"/>
                          <w:szCs w:val="36"/>
                        </w:rPr>
                        <w:t>稿</w:t>
                      </w:r>
                    </w:p>
                    <w:p w14:paraId="15A726FB">
                      <w:pPr>
                        <w:pStyle w:val="69"/>
                        <w:spacing w:before="600"/>
                        <w:rPr>
                          <w:rFonts w:hint="default" w:ascii="黑体" w:hAnsi="黑体" w:eastAsia="黑体"/>
                          <w:sz w:val="36"/>
                          <w:szCs w:val="36"/>
                          <w:lang w:val="en-US" w:eastAsia="zh-CN"/>
                        </w:rPr>
                      </w:pPr>
                      <w:r>
                        <w:rPr>
                          <w:rFonts w:hint="eastAsia" w:ascii="黑体" w:hAnsi="黑体" w:eastAsia="黑体"/>
                          <w:sz w:val="36"/>
                          <w:szCs w:val="36"/>
                        </w:rPr>
                        <w:t>20</w:t>
                      </w:r>
                      <w:r>
                        <w:rPr>
                          <w:rFonts w:ascii="黑体" w:hAnsi="黑体" w:eastAsia="黑体"/>
                          <w:sz w:val="36"/>
                          <w:szCs w:val="36"/>
                        </w:rPr>
                        <w:t>2</w:t>
                      </w:r>
                      <w:r>
                        <w:rPr>
                          <w:rFonts w:hint="eastAsia" w:ascii="黑体" w:hAnsi="黑体" w:eastAsia="黑体"/>
                          <w:sz w:val="36"/>
                          <w:szCs w:val="36"/>
                          <w:lang w:val="en-US" w:eastAsia="zh-CN"/>
                        </w:rPr>
                        <w:t>6</w:t>
                      </w:r>
                      <w:r>
                        <w:rPr>
                          <w:rFonts w:hint="eastAsia" w:ascii="黑体" w:hAnsi="黑体" w:eastAsia="黑体"/>
                          <w:sz w:val="36"/>
                          <w:szCs w:val="36"/>
                        </w:rPr>
                        <w:t>-</w:t>
                      </w:r>
                      <w:r>
                        <w:rPr>
                          <w:rFonts w:hint="eastAsia" w:ascii="黑体" w:hAnsi="黑体" w:eastAsia="黑体"/>
                          <w:sz w:val="36"/>
                          <w:szCs w:val="36"/>
                          <w:lang w:val="en-US" w:eastAsia="zh-CN"/>
                        </w:rPr>
                        <w:t>09</w:t>
                      </w:r>
                    </w:p>
                  </w:txbxContent>
                </v:textbox>
                <w10:anchorlock/>
              </v:rect>
            </w:pict>
          </mc:Fallback>
        </mc:AlternateContent>
      </w:r>
    </w:p>
    <w:p w14:paraId="60A4B863">
      <w:pPr>
        <w:pStyle w:val="100"/>
        <w:jc w:val="center"/>
        <w:rPr>
          <w:rFonts w:ascii="黑体" w:hAnsi="黑体" w:eastAsia="黑体"/>
          <w:b w:val="0"/>
          <w:bCs w:val="0"/>
          <w:sz w:val="24"/>
          <w:szCs w:val="24"/>
        </w:rPr>
      </w:pPr>
    </w:p>
    <w:p w14:paraId="5485B151">
      <w:pPr>
        <w:pStyle w:val="100"/>
        <w:jc w:val="center"/>
        <w:rPr>
          <w:rFonts w:ascii="黑体" w:hAnsi="黑体" w:eastAsia="黑体"/>
          <w:b w:val="0"/>
          <w:bCs w:val="0"/>
          <w:sz w:val="24"/>
          <w:szCs w:val="24"/>
        </w:rPr>
      </w:pPr>
    </w:p>
    <w:p w14:paraId="6EAE2478">
      <w:pPr>
        <w:pStyle w:val="100"/>
        <w:jc w:val="center"/>
        <w:rPr>
          <w:rFonts w:ascii="黑体" w:hAnsi="黑体" w:eastAsia="黑体"/>
          <w:b w:val="0"/>
          <w:bCs w:val="0"/>
          <w:sz w:val="24"/>
          <w:szCs w:val="24"/>
        </w:rPr>
      </w:pPr>
    </w:p>
    <w:p w14:paraId="51704646">
      <w:pPr>
        <w:pStyle w:val="100"/>
        <w:jc w:val="center"/>
        <w:rPr>
          <w:rFonts w:ascii="黑体" w:hAnsi="黑体" w:eastAsia="黑体"/>
          <w:b w:val="0"/>
          <w:bCs w:val="0"/>
          <w:sz w:val="24"/>
          <w:szCs w:val="24"/>
        </w:rPr>
      </w:pPr>
    </w:p>
    <w:p w14:paraId="7E453036">
      <w:pPr>
        <w:pStyle w:val="100"/>
        <w:jc w:val="center"/>
        <w:rPr>
          <w:rFonts w:ascii="黑体" w:hAnsi="黑体" w:eastAsia="黑体"/>
          <w:b w:val="0"/>
          <w:bCs w:val="0"/>
          <w:sz w:val="24"/>
          <w:szCs w:val="24"/>
        </w:rPr>
      </w:pPr>
    </w:p>
    <w:p w14:paraId="642EA6C2">
      <w:pPr>
        <w:pStyle w:val="100"/>
        <w:jc w:val="center"/>
        <w:rPr>
          <w:rFonts w:ascii="黑体" w:hAnsi="黑体" w:eastAsia="黑体"/>
          <w:b w:val="0"/>
          <w:bCs w:val="0"/>
          <w:sz w:val="24"/>
          <w:szCs w:val="24"/>
        </w:rPr>
      </w:pPr>
    </w:p>
    <w:p w14:paraId="0082894A">
      <w:pPr>
        <w:pStyle w:val="100"/>
        <w:jc w:val="center"/>
        <w:rPr>
          <w:rFonts w:ascii="黑体" w:hAnsi="黑体" w:eastAsia="黑体"/>
          <w:b w:val="0"/>
          <w:bCs w:val="0"/>
          <w:sz w:val="24"/>
          <w:szCs w:val="24"/>
        </w:rPr>
      </w:pPr>
    </w:p>
    <w:p w14:paraId="0709B332">
      <w:pPr>
        <w:pStyle w:val="100"/>
        <w:jc w:val="center"/>
        <w:rPr>
          <w:rFonts w:ascii="黑体" w:hAnsi="黑体" w:eastAsia="黑体"/>
          <w:b w:val="0"/>
          <w:bCs w:val="0"/>
          <w:sz w:val="24"/>
          <w:szCs w:val="24"/>
        </w:rPr>
      </w:pPr>
    </w:p>
    <w:p w14:paraId="5258344D">
      <w:pPr>
        <w:pStyle w:val="100"/>
        <w:jc w:val="center"/>
        <w:rPr>
          <w:rFonts w:ascii="黑体" w:hAnsi="黑体" w:eastAsia="黑体"/>
          <w:b w:val="0"/>
          <w:bCs w:val="0"/>
          <w:sz w:val="24"/>
          <w:szCs w:val="24"/>
        </w:rPr>
      </w:pPr>
    </w:p>
    <w:p w14:paraId="660B44CE">
      <w:pPr>
        <w:pStyle w:val="100"/>
        <w:jc w:val="center"/>
        <w:rPr>
          <w:rFonts w:ascii="黑体" w:hAnsi="黑体" w:eastAsia="黑体"/>
          <w:b w:val="0"/>
          <w:bCs w:val="0"/>
          <w:sz w:val="24"/>
          <w:szCs w:val="24"/>
        </w:rPr>
      </w:pPr>
    </w:p>
    <w:p w14:paraId="29D1196A">
      <w:pPr>
        <w:pStyle w:val="100"/>
        <w:jc w:val="center"/>
        <w:rPr>
          <w:rFonts w:ascii="黑体" w:hAnsi="黑体" w:eastAsia="黑体"/>
          <w:b w:val="0"/>
          <w:bCs w:val="0"/>
          <w:sz w:val="24"/>
          <w:szCs w:val="24"/>
        </w:rPr>
      </w:pPr>
    </w:p>
    <w:p w14:paraId="60223242">
      <w:pPr>
        <w:pStyle w:val="100"/>
        <w:jc w:val="center"/>
        <w:rPr>
          <w:rFonts w:ascii="黑体" w:hAnsi="黑体" w:eastAsia="黑体"/>
          <w:b w:val="0"/>
          <w:bCs w:val="0"/>
          <w:sz w:val="24"/>
          <w:szCs w:val="24"/>
        </w:rPr>
      </w:pPr>
    </w:p>
    <w:p w14:paraId="7AAF4CC4">
      <w:pPr>
        <w:pStyle w:val="100"/>
        <w:jc w:val="center"/>
        <w:rPr>
          <w:rFonts w:ascii="黑体" w:hAnsi="黑体" w:eastAsia="黑体"/>
          <w:b w:val="0"/>
          <w:bCs w:val="0"/>
          <w:sz w:val="24"/>
          <w:szCs w:val="24"/>
        </w:rPr>
      </w:pPr>
    </w:p>
    <w:p w14:paraId="75E989CA">
      <w:pPr>
        <w:pStyle w:val="100"/>
        <w:jc w:val="center"/>
        <w:rPr>
          <w:rFonts w:ascii="黑体" w:hAnsi="黑体" w:eastAsia="黑体"/>
          <w:b w:val="0"/>
          <w:bCs w:val="0"/>
          <w:sz w:val="24"/>
          <w:szCs w:val="24"/>
        </w:rPr>
      </w:pPr>
      <w:r>
        <w:rPr>
          <w:b w:val="0"/>
          <w:bCs w:val="0"/>
        </w:rPr>
        <mc:AlternateContent>
          <mc:Choice Requires="wps">
            <w:drawing>
              <wp:anchor distT="0" distB="0" distL="114300" distR="114300" simplePos="0" relativeHeight="251661312" behindDoc="0" locked="1" layoutInCell="1" allowOverlap="1">
                <wp:simplePos x="0" y="0"/>
                <wp:positionH relativeFrom="margin">
                  <wp:posOffset>-528955</wp:posOffset>
                </wp:positionH>
                <wp:positionV relativeFrom="margin">
                  <wp:posOffset>7419340</wp:posOffset>
                </wp:positionV>
                <wp:extent cx="6995160" cy="1652270"/>
                <wp:effectExtent l="0" t="0" r="2540" b="11430"/>
                <wp:wrapNone/>
                <wp:docPr id="1" name="fmFrame7"/>
                <wp:cNvGraphicFramePr/>
                <a:graphic xmlns:a="http://schemas.openxmlformats.org/drawingml/2006/main">
                  <a:graphicData uri="http://schemas.microsoft.com/office/word/2010/wordprocessingShape">
                    <wps:wsp>
                      <wps:cNvSpPr/>
                      <wps:spPr>
                        <a:xfrm>
                          <a:off x="0" y="0"/>
                          <a:ext cx="6995160" cy="1652270"/>
                        </a:xfrm>
                        <a:prstGeom prst="rect">
                          <a:avLst/>
                        </a:prstGeom>
                        <a:solidFill>
                          <a:srgbClr val="FFFFFF"/>
                        </a:solidFill>
                        <a:ln>
                          <a:noFill/>
                        </a:ln>
                      </wps:spPr>
                      <wps:txbx>
                        <w:txbxContent>
                          <w:p w14:paraId="6FD6E607">
                            <w:pPr>
                              <w:pStyle w:val="77"/>
                              <w:rPr>
                                <w:rFonts w:ascii="宋体" w:hAnsi="宋体" w:eastAsia="宋体" w:cs="宋体"/>
                                <w:spacing w:val="58"/>
                                <w:w w:val="120"/>
                                <w:kern w:val="2"/>
                                <w:sz w:val="28"/>
                                <w:szCs w:val="28"/>
                              </w:rPr>
                            </w:pPr>
                          </w:p>
                          <w:p w14:paraId="5BF7C346">
                            <w:pPr>
                              <w:jc w:val="center"/>
                              <w:rPr>
                                <w:rFonts w:hint="eastAsia" w:ascii="宋体" w:hAnsi="宋体" w:cs="宋体"/>
                                <w:spacing w:val="58"/>
                                <w:w w:val="120"/>
                                <w:sz w:val="28"/>
                                <w:szCs w:val="28"/>
                              </w:rPr>
                            </w:pPr>
                            <w:r>
                              <w:rPr>
                                <w:rFonts w:hint="eastAsia" w:ascii="宋体" w:hAnsi="宋体" w:cs="宋体"/>
                                <w:spacing w:val="58"/>
                                <w:w w:val="120"/>
                                <w:sz w:val="28"/>
                                <w:szCs w:val="28"/>
                              </w:rPr>
                              <w:t>有色金属材料分析用辉光放电发射光谱仪</w:t>
                            </w:r>
                          </w:p>
                          <w:p w14:paraId="06143CAA">
                            <w:pPr>
                              <w:jc w:val="center"/>
                              <w:rPr>
                                <w:rFonts w:ascii="宋体" w:hAnsi="宋体" w:cs="宋体"/>
                                <w:sz w:val="28"/>
                                <w:szCs w:val="28"/>
                              </w:rPr>
                            </w:pPr>
                            <w:r>
                              <w:rPr>
                                <w:rFonts w:hint="eastAsia" w:ascii="宋体" w:hAnsi="宋体" w:cs="宋体"/>
                                <w:spacing w:val="58"/>
                                <w:w w:val="120"/>
                                <w:sz w:val="28"/>
                                <w:szCs w:val="28"/>
                              </w:rPr>
                              <w:t>校准规范编制组</w:t>
                            </w:r>
                          </w:p>
                          <w:p w14:paraId="703B9137">
                            <w:pPr>
                              <w:pStyle w:val="116"/>
                              <w:rPr>
                                <w:rFonts w:ascii="宋体" w:hAnsi="宋体" w:eastAsia="宋体" w:cs="宋体"/>
                                <w:sz w:val="28"/>
                                <w:szCs w:val="28"/>
                              </w:rPr>
                            </w:pPr>
                            <w:r>
                              <w:rPr>
                                <w:rFonts w:hint="eastAsia" w:ascii="宋体" w:hAnsi="宋体" w:eastAsia="宋体" w:cs="宋体"/>
                                <w:sz w:val="28"/>
                                <w:szCs w:val="28"/>
                              </w:rPr>
                              <w:t>主编单位：</w:t>
                            </w:r>
                            <w:r>
                              <w:rPr>
                                <w:rFonts w:hint="eastAsia" w:ascii="宋体" w:hAnsi="宋体" w:eastAsia="宋体" w:cs="宋体"/>
                                <w:sz w:val="28"/>
                                <w:szCs w:val="28"/>
                                <w:lang w:val="en-US" w:eastAsia="zh-CN"/>
                              </w:rPr>
                              <w:t>中铝洛阳铜加工有限公司</w:t>
                            </w:r>
                          </w:p>
                        </w:txbxContent>
                      </wps:txbx>
                      <wps:bodyPr lIns="0" tIns="0" rIns="0" bIns="0" upright="1"/>
                    </wps:wsp>
                  </a:graphicData>
                </a:graphic>
              </wp:anchor>
            </w:drawing>
          </mc:Choice>
          <mc:Fallback>
            <w:pict>
              <v:rect id="fmFrame7" o:spid="_x0000_s1026" o:spt="1" style="position:absolute;left:0pt;margin-left:-41.65pt;margin-top:584.2pt;height:130.1pt;width:550.8pt;mso-position-horizontal-relative:margin;mso-position-vertical-relative:margin;z-index:251661312;mso-width-relative:page;mso-height-relative:page;" fillcolor="#FFFFFF" filled="t" stroked="f" coordsize="21600,21600" o:gfxdata="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avgk12QAAAA4BAAAPAAAAAAAAAAEAIAAAACIAAABkcnMvZG93bnJldi54bWxQSwEC&#10;FAAUAAAACACHTuJAEBZN3boBAACPAwAADgAAAAAAAAABACAAAAAoAQAAZHJzL2Uyb0RvYy54bWxQ&#10;SwUGAAAAAAYABgBZAQAAVAUAAAAA&#10;">
                <v:fill on="t" focussize="0,0"/>
                <v:stroke on="f"/>
                <v:imagedata o:title=""/>
                <o:lock v:ext="edit" aspectratio="f"/>
                <v:textbox inset="0mm,0mm,0mm,0mm">
                  <w:txbxContent>
                    <w:p w14:paraId="6FD6E607">
                      <w:pPr>
                        <w:pStyle w:val="77"/>
                        <w:rPr>
                          <w:rFonts w:ascii="宋体" w:hAnsi="宋体" w:eastAsia="宋体" w:cs="宋体"/>
                          <w:spacing w:val="58"/>
                          <w:w w:val="120"/>
                          <w:kern w:val="2"/>
                          <w:sz w:val="28"/>
                          <w:szCs w:val="28"/>
                        </w:rPr>
                      </w:pPr>
                    </w:p>
                    <w:p w14:paraId="5BF7C346">
                      <w:pPr>
                        <w:jc w:val="center"/>
                        <w:rPr>
                          <w:rFonts w:hint="eastAsia" w:ascii="宋体" w:hAnsi="宋体" w:cs="宋体"/>
                          <w:spacing w:val="58"/>
                          <w:w w:val="120"/>
                          <w:sz w:val="28"/>
                          <w:szCs w:val="28"/>
                        </w:rPr>
                      </w:pPr>
                      <w:r>
                        <w:rPr>
                          <w:rFonts w:hint="eastAsia" w:ascii="宋体" w:hAnsi="宋体" w:cs="宋体"/>
                          <w:spacing w:val="58"/>
                          <w:w w:val="120"/>
                          <w:sz w:val="28"/>
                          <w:szCs w:val="28"/>
                        </w:rPr>
                        <w:t>有色金属材料分析用辉光放电发射光谱仪</w:t>
                      </w:r>
                    </w:p>
                    <w:p w14:paraId="06143CAA">
                      <w:pPr>
                        <w:jc w:val="center"/>
                        <w:rPr>
                          <w:rFonts w:ascii="宋体" w:hAnsi="宋体" w:cs="宋体"/>
                          <w:sz w:val="28"/>
                          <w:szCs w:val="28"/>
                        </w:rPr>
                      </w:pPr>
                      <w:r>
                        <w:rPr>
                          <w:rFonts w:hint="eastAsia" w:ascii="宋体" w:hAnsi="宋体" w:cs="宋体"/>
                          <w:spacing w:val="58"/>
                          <w:w w:val="120"/>
                          <w:sz w:val="28"/>
                          <w:szCs w:val="28"/>
                        </w:rPr>
                        <w:t>校准规范编制组</w:t>
                      </w:r>
                    </w:p>
                    <w:p w14:paraId="703B9137">
                      <w:pPr>
                        <w:pStyle w:val="116"/>
                        <w:rPr>
                          <w:rFonts w:ascii="宋体" w:hAnsi="宋体" w:eastAsia="宋体" w:cs="宋体"/>
                          <w:sz w:val="28"/>
                          <w:szCs w:val="28"/>
                        </w:rPr>
                      </w:pPr>
                      <w:r>
                        <w:rPr>
                          <w:rFonts w:hint="eastAsia" w:ascii="宋体" w:hAnsi="宋体" w:eastAsia="宋体" w:cs="宋体"/>
                          <w:sz w:val="28"/>
                          <w:szCs w:val="28"/>
                        </w:rPr>
                        <w:t>主编单位：</w:t>
                      </w:r>
                      <w:r>
                        <w:rPr>
                          <w:rFonts w:hint="eastAsia" w:ascii="宋体" w:hAnsi="宋体" w:eastAsia="宋体" w:cs="宋体"/>
                          <w:sz w:val="28"/>
                          <w:szCs w:val="28"/>
                          <w:lang w:val="en-US" w:eastAsia="zh-CN"/>
                        </w:rPr>
                        <w:t>中铝洛阳铜加工有限公司</w:t>
                      </w:r>
                    </w:p>
                  </w:txbxContent>
                </v:textbox>
                <w10:anchorlock/>
              </v:rect>
            </w:pict>
          </mc:Fallback>
        </mc:AlternateContent>
      </w:r>
    </w:p>
    <w:p w14:paraId="08C76235">
      <w:pPr>
        <w:pStyle w:val="100"/>
        <w:jc w:val="center"/>
        <w:rPr>
          <w:rFonts w:ascii="黑体" w:hAnsi="黑体" w:eastAsia="黑体"/>
          <w:b w:val="0"/>
          <w:bCs w:val="0"/>
          <w:sz w:val="24"/>
          <w:szCs w:val="24"/>
        </w:rPr>
      </w:pPr>
    </w:p>
    <w:p w14:paraId="207D3399">
      <w:pPr>
        <w:pStyle w:val="100"/>
        <w:jc w:val="center"/>
        <w:rPr>
          <w:rFonts w:ascii="黑体" w:hAnsi="黑体" w:eastAsia="黑体"/>
          <w:b w:val="0"/>
          <w:bCs w:val="0"/>
          <w:sz w:val="24"/>
          <w:szCs w:val="24"/>
        </w:rPr>
      </w:pPr>
    </w:p>
    <w:p w14:paraId="2A2979CC">
      <w:pPr>
        <w:pStyle w:val="100"/>
        <w:jc w:val="center"/>
        <w:rPr>
          <w:rFonts w:ascii="黑体" w:hAnsi="黑体" w:eastAsia="黑体"/>
          <w:b w:val="0"/>
          <w:bCs w:val="0"/>
          <w:sz w:val="24"/>
          <w:szCs w:val="24"/>
        </w:rPr>
      </w:pPr>
    </w:p>
    <w:p w14:paraId="1C6E7CC3">
      <w:pPr>
        <w:pStyle w:val="100"/>
        <w:jc w:val="center"/>
        <w:rPr>
          <w:rFonts w:ascii="黑体" w:hAnsi="黑体" w:eastAsia="黑体"/>
          <w:b w:val="0"/>
          <w:bCs w:val="0"/>
          <w:sz w:val="24"/>
          <w:szCs w:val="24"/>
        </w:rPr>
      </w:pPr>
    </w:p>
    <w:p w14:paraId="1F92AC1C">
      <w:pPr>
        <w:pStyle w:val="100"/>
        <w:jc w:val="center"/>
        <w:rPr>
          <w:rFonts w:ascii="黑体" w:hAnsi="黑体" w:eastAsia="黑体"/>
          <w:b w:val="0"/>
          <w:bCs w:val="0"/>
          <w:sz w:val="24"/>
          <w:szCs w:val="24"/>
        </w:rPr>
      </w:pPr>
    </w:p>
    <w:p w14:paraId="0C6A8990">
      <w:pPr>
        <w:pStyle w:val="100"/>
        <w:jc w:val="center"/>
        <w:rPr>
          <w:rFonts w:ascii="黑体" w:hAnsi="黑体" w:eastAsia="黑体"/>
          <w:b w:val="0"/>
          <w:bCs w:val="0"/>
          <w:sz w:val="24"/>
          <w:szCs w:val="24"/>
        </w:rPr>
      </w:pPr>
    </w:p>
    <w:p w14:paraId="6F63AF80">
      <w:pPr>
        <w:pStyle w:val="100"/>
        <w:jc w:val="center"/>
        <w:rPr>
          <w:rFonts w:ascii="黑体" w:hAnsi="黑体" w:eastAsia="黑体"/>
          <w:b w:val="0"/>
          <w:bCs w:val="0"/>
          <w:sz w:val="24"/>
          <w:szCs w:val="24"/>
        </w:rPr>
      </w:pPr>
    </w:p>
    <w:p w14:paraId="4518B1F7">
      <w:pPr>
        <w:pStyle w:val="2"/>
        <w:pageBreakBefore w:val="0"/>
        <w:kinsoku/>
        <w:wordWrap/>
        <w:overflowPunct/>
        <w:topLinePunct w:val="0"/>
        <w:bidi w:val="0"/>
        <w:spacing w:before="156" w:after="156" w:line="360" w:lineRule="auto"/>
        <w:textAlignment w:val="auto"/>
        <w:rPr>
          <w:b w:val="0"/>
          <w:bCs w:val="0"/>
          <w:sz w:val="21"/>
          <w:szCs w:val="21"/>
        </w:rPr>
      </w:pPr>
      <w:r>
        <w:rPr>
          <w:rFonts w:hint="eastAsia"/>
          <w:b w:val="0"/>
          <w:bCs w:val="0"/>
          <w:sz w:val="21"/>
          <w:szCs w:val="21"/>
        </w:rPr>
        <w:t>一、工作简况</w:t>
      </w:r>
      <w:bookmarkEnd w:id="0"/>
      <w:bookmarkStart w:id="2" w:name="_Toc464728896"/>
    </w:p>
    <w:p w14:paraId="75FBB674">
      <w:pPr>
        <w:pStyle w:val="3"/>
        <w:pageBreakBefore w:val="0"/>
        <w:kinsoku/>
        <w:wordWrap/>
        <w:overflowPunct/>
        <w:topLinePunct w:val="0"/>
        <w:bidi w:val="0"/>
        <w:spacing w:before="156" w:after="156" w:line="360" w:lineRule="auto"/>
        <w:textAlignment w:val="auto"/>
        <w:rPr>
          <w:b w:val="0"/>
          <w:bCs w:val="0"/>
          <w:sz w:val="21"/>
          <w:szCs w:val="21"/>
        </w:rPr>
      </w:pPr>
      <w:r>
        <w:rPr>
          <w:rFonts w:hint="eastAsia"/>
          <w:b w:val="0"/>
          <w:bCs w:val="0"/>
          <w:sz w:val="21"/>
          <w:szCs w:val="21"/>
        </w:rPr>
        <w:t>1.立项目的</w:t>
      </w:r>
    </w:p>
    <w:p w14:paraId="7159EF66">
      <w:pPr>
        <w:pageBreakBefore w:val="0"/>
        <w:kinsoku/>
        <w:wordWrap/>
        <w:overflowPunct/>
        <w:topLinePunct w:val="0"/>
        <w:bidi w:val="0"/>
        <w:spacing w:line="360" w:lineRule="auto"/>
        <w:ind w:firstLine="420" w:firstLineChars="200"/>
        <w:textAlignment w:val="auto"/>
        <w:rPr>
          <w:rFonts w:hint="eastAsia" w:hAnsi="宋体"/>
          <w:b w:val="0"/>
          <w:bCs w:val="0"/>
          <w:sz w:val="21"/>
          <w:szCs w:val="21"/>
        </w:rPr>
      </w:pPr>
      <w:r>
        <w:rPr>
          <w:rFonts w:hint="eastAsia" w:hAnsi="宋体"/>
          <w:b w:val="0"/>
          <w:bCs w:val="0"/>
          <w:sz w:val="21"/>
          <w:szCs w:val="21"/>
        </w:rPr>
        <w:t>辉光放电发射光谱仪</w:t>
      </w:r>
      <w:r>
        <w:rPr>
          <w:rFonts w:hint="eastAsia" w:hAnsi="宋体"/>
          <w:b w:val="0"/>
          <w:bCs w:val="0"/>
          <w:sz w:val="21"/>
          <w:szCs w:val="21"/>
          <w:lang w:eastAsia="zh-CN"/>
        </w:rPr>
        <w:t>（</w:t>
      </w:r>
      <w:r>
        <w:rPr>
          <w:rFonts w:hint="eastAsia" w:hAnsi="宋体"/>
          <w:b w:val="0"/>
          <w:bCs w:val="0"/>
          <w:sz w:val="21"/>
          <w:szCs w:val="21"/>
        </w:rPr>
        <w:t>GD-OES</w:t>
      </w:r>
      <w:r>
        <w:rPr>
          <w:rFonts w:hint="eastAsia" w:hAnsi="宋体"/>
          <w:b w:val="0"/>
          <w:bCs w:val="0"/>
          <w:sz w:val="21"/>
          <w:szCs w:val="21"/>
          <w:lang w:eastAsia="zh-CN"/>
        </w:rPr>
        <w:t>）</w:t>
      </w:r>
      <w:r>
        <w:rPr>
          <w:rFonts w:hint="eastAsia" w:hAnsi="宋体"/>
          <w:b w:val="0"/>
          <w:bCs w:val="0"/>
          <w:sz w:val="21"/>
          <w:szCs w:val="21"/>
        </w:rPr>
        <w:t>是一种能同时对材料进行成分分析和表面分析的仪器。在常规化学成分分析中，该仪器可以直接对固体样品进行多元素同时快速分析，同时具备检测限低、灵敏度高、线性范围宽和分析成本低的特点。在表面分析中</w:t>
      </w:r>
      <w:r>
        <w:rPr>
          <w:rFonts w:hint="eastAsia" w:hAnsi="宋体"/>
          <w:b w:val="0"/>
          <w:bCs w:val="0"/>
          <w:sz w:val="21"/>
          <w:szCs w:val="21"/>
          <w:lang w:eastAsia="zh-CN"/>
        </w:rPr>
        <w:t>，</w:t>
      </w:r>
      <w:r>
        <w:rPr>
          <w:rFonts w:hint="eastAsia" w:hAnsi="宋体"/>
          <w:b w:val="0"/>
          <w:bCs w:val="0"/>
          <w:sz w:val="21"/>
          <w:szCs w:val="21"/>
        </w:rPr>
        <w:t>根据方法是否经过了校准</w:t>
      </w:r>
      <w:r>
        <w:rPr>
          <w:rFonts w:hint="eastAsia" w:hAnsi="宋体"/>
          <w:b w:val="0"/>
          <w:bCs w:val="0"/>
          <w:sz w:val="21"/>
          <w:szCs w:val="21"/>
          <w:lang w:eastAsia="zh-CN"/>
        </w:rPr>
        <w:t>，</w:t>
      </w:r>
      <w:r>
        <w:rPr>
          <w:rFonts w:hint="eastAsia" w:hAnsi="宋体"/>
          <w:b w:val="0"/>
          <w:bCs w:val="0"/>
          <w:sz w:val="21"/>
          <w:szCs w:val="21"/>
        </w:rPr>
        <w:t>可以进行定量或定性的表面分析。利用射频</w:t>
      </w:r>
      <w:r>
        <w:rPr>
          <w:rFonts w:hint="eastAsia" w:hAnsi="宋体"/>
          <w:b w:val="0"/>
          <w:bCs w:val="0"/>
          <w:sz w:val="21"/>
          <w:szCs w:val="21"/>
          <w:lang w:eastAsia="zh-CN"/>
        </w:rPr>
        <w:t>（</w:t>
      </w:r>
      <w:r>
        <w:rPr>
          <w:rFonts w:hint="eastAsia" w:hAnsi="宋体"/>
          <w:b w:val="0"/>
          <w:bCs w:val="0"/>
          <w:sz w:val="21"/>
          <w:szCs w:val="21"/>
        </w:rPr>
        <w:t>RF</w:t>
      </w:r>
      <w:r>
        <w:rPr>
          <w:rFonts w:hint="eastAsia" w:hAnsi="宋体"/>
          <w:b w:val="0"/>
          <w:bCs w:val="0"/>
          <w:sz w:val="21"/>
          <w:szCs w:val="21"/>
          <w:lang w:eastAsia="zh-CN"/>
        </w:rPr>
        <w:t>）</w:t>
      </w:r>
      <w:r>
        <w:rPr>
          <w:rFonts w:hint="eastAsia" w:hAnsi="宋体"/>
          <w:b w:val="0"/>
          <w:bCs w:val="0"/>
          <w:sz w:val="21"/>
          <w:szCs w:val="21"/>
        </w:rPr>
        <w:t>光源，辉光光谱还能进行非导电样品的成分分析和表面分析。辉光光谱的分析时间较短</w:t>
      </w:r>
      <w:r>
        <w:rPr>
          <w:rFonts w:hint="eastAsia" w:hAnsi="宋体"/>
          <w:b w:val="0"/>
          <w:bCs w:val="0"/>
          <w:sz w:val="21"/>
          <w:szCs w:val="21"/>
          <w:lang w:eastAsia="zh-CN"/>
        </w:rPr>
        <w:t>（</w:t>
      </w:r>
      <w:r>
        <w:rPr>
          <w:rFonts w:hint="eastAsia" w:hAnsi="宋体"/>
          <w:b w:val="0"/>
          <w:bCs w:val="0"/>
          <w:sz w:val="21"/>
          <w:szCs w:val="21"/>
        </w:rPr>
        <w:t>一般为几分钟到十几分钟</w:t>
      </w:r>
      <w:r>
        <w:rPr>
          <w:rFonts w:hint="eastAsia" w:hAnsi="宋体"/>
          <w:b w:val="0"/>
          <w:bCs w:val="0"/>
          <w:sz w:val="21"/>
          <w:szCs w:val="21"/>
          <w:lang w:eastAsia="zh-CN"/>
        </w:rPr>
        <w:t>），</w:t>
      </w:r>
      <w:r>
        <w:rPr>
          <w:rFonts w:hint="eastAsia" w:hAnsi="宋体"/>
          <w:b w:val="0"/>
          <w:bCs w:val="0"/>
          <w:sz w:val="21"/>
          <w:szCs w:val="21"/>
        </w:rPr>
        <w:t>深度分辨率可以达到纳米级</w:t>
      </w:r>
      <w:r>
        <w:rPr>
          <w:rFonts w:hint="eastAsia" w:hAnsi="宋体"/>
          <w:b w:val="0"/>
          <w:bCs w:val="0"/>
          <w:sz w:val="21"/>
          <w:szCs w:val="21"/>
          <w:lang w:eastAsia="zh-CN"/>
        </w:rPr>
        <w:t>，</w:t>
      </w:r>
      <w:r>
        <w:rPr>
          <w:rFonts w:hint="eastAsia" w:hAnsi="宋体"/>
          <w:b w:val="0"/>
          <w:bCs w:val="0"/>
          <w:sz w:val="21"/>
          <w:szCs w:val="21"/>
        </w:rPr>
        <w:t>所以辉光光谱仪在有色金属材料行业中应用非常广泛，目前已形成多项相关国家标准，如：GB/T 19502-2023《表面化学分析 辉光放电发射光谱方法通则》、GB/T 29559-2013《表面化学分析 辉光放电原子发射光谱 锌和/或铝基合金镀层的分析》、GB/T 32996-2016《表面化学分析 辉光放电发射光谱法分析金属氧化物膜》等。</w:t>
      </w:r>
    </w:p>
    <w:p w14:paraId="2278430B">
      <w:pPr>
        <w:pageBreakBefore w:val="0"/>
        <w:kinsoku/>
        <w:wordWrap/>
        <w:overflowPunct/>
        <w:topLinePunct w:val="0"/>
        <w:bidi w:val="0"/>
        <w:spacing w:line="360" w:lineRule="auto"/>
        <w:ind w:firstLine="420" w:firstLineChars="200"/>
        <w:textAlignment w:val="auto"/>
        <w:rPr>
          <w:rFonts w:hint="eastAsia" w:hAnsi="宋体"/>
          <w:b w:val="0"/>
          <w:bCs w:val="0"/>
          <w:sz w:val="21"/>
          <w:szCs w:val="21"/>
        </w:rPr>
      </w:pPr>
      <w:r>
        <w:rPr>
          <w:rFonts w:hint="eastAsia" w:hAnsi="宋体"/>
          <w:b w:val="0"/>
          <w:bCs w:val="0"/>
          <w:sz w:val="21"/>
          <w:szCs w:val="21"/>
        </w:rPr>
        <w:t>辉光放电发射光谱仪</w:t>
      </w:r>
      <w:r>
        <w:rPr>
          <w:rFonts w:hint="eastAsia" w:hAnsi="宋体"/>
          <w:b w:val="0"/>
          <w:bCs w:val="0"/>
          <w:sz w:val="21"/>
          <w:szCs w:val="21"/>
          <w:lang w:eastAsia="zh-CN"/>
        </w:rPr>
        <w:t>（</w:t>
      </w:r>
      <w:r>
        <w:rPr>
          <w:rFonts w:hint="eastAsia" w:hAnsi="宋体"/>
          <w:b w:val="0"/>
          <w:bCs w:val="0"/>
          <w:sz w:val="21"/>
          <w:szCs w:val="21"/>
        </w:rPr>
        <w:t>GD-OES</w:t>
      </w:r>
      <w:r>
        <w:rPr>
          <w:rFonts w:hint="eastAsia" w:hAnsi="宋体"/>
          <w:b w:val="0"/>
          <w:bCs w:val="0"/>
          <w:sz w:val="21"/>
          <w:szCs w:val="21"/>
          <w:lang w:eastAsia="zh-CN"/>
        </w:rPr>
        <w:t>）</w:t>
      </w:r>
      <w:r>
        <w:rPr>
          <w:rFonts w:hint="eastAsia" w:hAnsi="宋体"/>
          <w:b w:val="0"/>
          <w:bCs w:val="0"/>
          <w:sz w:val="21"/>
          <w:szCs w:val="21"/>
        </w:rPr>
        <w:t>工作原理是在辉光放电光谱光源内维持一个低真空氩气环境（一般100～500Pa）。给样品施加负电压（一般500～1500V</w:t>
      </w:r>
      <w:r>
        <w:rPr>
          <w:rFonts w:hint="eastAsia" w:hAnsi="宋体"/>
          <w:b w:val="0"/>
          <w:bCs w:val="0"/>
          <w:sz w:val="21"/>
          <w:szCs w:val="21"/>
          <w:lang w:eastAsia="zh-CN"/>
        </w:rPr>
        <w:t>）</w:t>
      </w:r>
      <w:r>
        <w:rPr>
          <w:rFonts w:hint="eastAsia" w:hAnsi="宋体"/>
          <w:b w:val="0"/>
          <w:bCs w:val="0"/>
          <w:sz w:val="21"/>
          <w:szCs w:val="21"/>
        </w:rPr>
        <w:t>，样品作为阴极。在电场作用下，电离产生的氩离子</w:t>
      </w:r>
      <w:r>
        <w:rPr>
          <w:rFonts w:hint="eastAsia" w:hAnsi="宋体"/>
          <w:b w:val="0"/>
          <w:bCs w:val="0"/>
          <w:sz w:val="21"/>
          <w:szCs w:val="21"/>
          <w:lang w:eastAsia="zh-CN"/>
        </w:rPr>
        <w:t>（</w:t>
      </w:r>
      <w:r>
        <w:rPr>
          <w:rFonts w:hint="eastAsia" w:hAnsi="宋体"/>
          <w:b w:val="0"/>
          <w:bCs w:val="0"/>
          <w:sz w:val="21"/>
          <w:szCs w:val="21"/>
        </w:rPr>
        <w:t>Ar+</w:t>
      </w:r>
      <w:r>
        <w:rPr>
          <w:rFonts w:hint="eastAsia" w:hAnsi="宋体"/>
          <w:b w:val="0"/>
          <w:bCs w:val="0"/>
          <w:sz w:val="21"/>
          <w:szCs w:val="21"/>
          <w:lang w:eastAsia="zh-CN"/>
        </w:rPr>
        <w:t>）</w:t>
      </w:r>
      <w:r>
        <w:rPr>
          <w:rFonts w:hint="eastAsia" w:hAnsi="宋体"/>
          <w:b w:val="0"/>
          <w:bCs w:val="0"/>
          <w:sz w:val="21"/>
          <w:szCs w:val="21"/>
        </w:rPr>
        <w:t>在阴极与阳极间被加速。同时在电离过程中，产生了阳离子和自由电子，最终形成等离子体，该等离子体的形成过程称之为辉光放电。一些高速氩离子</w:t>
      </w:r>
      <w:r>
        <w:rPr>
          <w:rFonts w:hint="eastAsia" w:hAnsi="宋体"/>
          <w:b w:val="0"/>
          <w:bCs w:val="0"/>
          <w:sz w:val="21"/>
          <w:szCs w:val="21"/>
          <w:lang w:eastAsia="zh-CN"/>
        </w:rPr>
        <w:t>（</w:t>
      </w:r>
      <w:r>
        <w:rPr>
          <w:rFonts w:hint="eastAsia" w:hAnsi="宋体"/>
          <w:b w:val="0"/>
          <w:bCs w:val="0"/>
          <w:sz w:val="21"/>
          <w:szCs w:val="21"/>
        </w:rPr>
        <w:t>Ar+</w:t>
      </w:r>
      <w:r>
        <w:rPr>
          <w:rFonts w:hint="eastAsia" w:hAnsi="宋体"/>
          <w:b w:val="0"/>
          <w:bCs w:val="0"/>
          <w:sz w:val="21"/>
          <w:szCs w:val="21"/>
          <w:lang w:eastAsia="zh-CN"/>
        </w:rPr>
        <w:t>）</w:t>
      </w:r>
      <w:r>
        <w:rPr>
          <w:rFonts w:hint="eastAsia" w:hAnsi="宋体"/>
          <w:b w:val="0"/>
          <w:bCs w:val="0"/>
          <w:sz w:val="21"/>
          <w:szCs w:val="21"/>
        </w:rPr>
        <w:t>到达样品表面，撞击得到阴极</w:t>
      </w:r>
      <w:r>
        <w:rPr>
          <w:rFonts w:hint="eastAsia" w:hAnsi="宋体"/>
          <w:b w:val="0"/>
          <w:bCs w:val="0"/>
          <w:sz w:val="21"/>
          <w:szCs w:val="21"/>
          <w:lang w:eastAsia="zh-CN"/>
        </w:rPr>
        <w:t>（</w:t>
      </w:r>
      <w:r>
        <w:rPr>
          <w:rFonts w:hint="eastAsia" w:hAnsi="宋体"/>
          <w:b w:val="0"/>
          <w:bCs w:val="0"/>
          <w:sz w:val="21"/>
          <w:szCs w:val="21"/>
        </w:rPr>
        <w:t>样品）原子和二次电子，将样品表面物质均匀地溅射</w:t>
      </w:r>
      <w:r>
        <w:rPr>
          <w:rFonts w:hint="eastAsia" w:hAnsi="宋体"/>
          <w:b w:val="0"/>
          <w:bCs w:val="0"/>
          <w:sz w:val="21"/>
          <w:szCs w:val="21"/>
          <w:lang w:eastAsia="zh-CN"/>
        </w:rPr>
        <w:t>（</w:t>
      </w:r>
      <w:r>
        <w:rPr>
          <w:rFonts w:hint="eastAsia" w:hAnsi="宋体"/>
          <w:b w:val="0"/>
          <w:bCs w:val="0"/>
          <w:sz w:val="21"/>
          <w:szCs w:val="21"/>
        </w:rPr>
        <w:t>或剥离</w:t>
      </w:r>
      <w:r>
        <w:rPr>
          <w:rFonts w:hint="eastAsia" w:hAnsi="宋体"/>
          <w:b w:val="0"/>
          <w:bCs w:val="0"/>
          <w:sz w:val="21"/>
          <w:szCs w:val="21"/>
          <w:lang w:eastAsia="zh-CN"/>
        </w:rPr>
        <w:t>）</w:t>
      </w:r>
      <w:r>
        <w:rPr>
          <w:rFonts w:hint="eastAsia" w:hAnsi="宋体"/>
          <w:b w:val="0"/>
          <w:bCs w:val="0"/>
          <w:sz w:val="21"/>
          <w:szCs w:val="21"/>
        </w:rPr>
        <w:t>出来，一些溅射出的物质扩散到辉光放电等离子体内，最终被激发。这些被激发的原子由激发态回到基态时所发出的光是组成该样品元素的特征光谱。经光栅分光后，利用这些发射光谱的波长和强度即可进行定性和定量分析。在深度分析时，通过相应的数学模型将实验得到的元素强度与溅射时间的关系转化为元素含量与溅射深度的关系，即可得到样品深度分布的信息。</w:t>
      </w:r>
    </w:p>
    <w:p w14:paraId="4B6E2830">
      <w:pPr>
        <w:pageBreakBefore w:val="0"/>
        <w:kinsoku/>
        <w:wordWrap/>
        <w:overflowPunct/>
        <w:topLinePunct w:val="0"/>
        <w:bidi w:val="0"/>
        <w:spacing w:line="360" w:lineRule="auto"/>
        <w:ind w:firstLine="420" w:firstLineChars="200"/>
        <w:textAlignment w:val="auto"/>
        <w:rPr>
          <w:rFonts w:hint="eastAsia" w:hAnsi="宋体"/>
          <w:b w:val="0"/>
          <w:bCs w:val="0"/>
          <w:sz w:val="21"/>
          <w:szCs w:val="21"/>
        </w:rPr>
      </w:pPr>
      <w:r>
        <w:rPr>
          <w:rFonts w:hint="eastAsia" w:hAnsi="宋体"/>
          <w:b w:val="0"/>
          <w:bCs w:val="0"/>
          <w:sz w:val="21"/>
          <w:szCs w:val="21"/>
        </w:rPr>
        <w:t>有色金属材料的化学成分直接影响其性能，也是判断产品合格与否的关键参数；有色金属材料的表面处理工艺直接关系到材料的耐腐蚀性、抗氧化性、导电性等性能，如在铜基、铝基、镁基等材料表面进行镀镍，在铜基材料表面镀银等。辉光放电发射光谱仪</w:t>
      </w:r>
      <w:r>
        <w:rPr>
          <w:rFonts w:hint="eastAsia" w:hAnsi="宋体"/>
          <w:b w:val="0"/>
          <w:bCs w:val="0"/>
          <w:sz w:val="21"/>
          <w:szCs w:val="21"/>
          <w:lang w:eastAsia="zh-CN"/>
        </w:rPr>
        <w:t>（</w:t>
      </w:r>
      <w:r>
        <w:rPr>
          <w:rFonts w:hint="eastAsia" w:hAnsi="宋体"/>
          <w:b w:val="0"/>
          <w:bCs w:val="0"/>
          <w:sz w:val="21"/>
          <w:szCs w:val="21"/>
        </w:rPr>
        <w:t>GD-OES</w:t>
      </w:r>
      <w:r>
        <w:rPr>
          <w:rFonts w:hint="eastAsia" w:hAnsi="宋体"/>
          <w:b w:val="0"/>
          <w:bCs w:val="0"/>
          <w:sz w:val="21"/>
          <w:szCs w:val="21"/>
          <w:lang w:eastAsia="zh-CN"/>
        </w:rPr>
        <w:t>）</w:t>
      </w:r>
      <w:r>
        <w:rPr>
          <w:rFonts w:hint="eastAsia" w:hAnsi="宋体"/>
          <w:b w:val="0"/>
          <w:bCs w:val="0"/>
          <w:sz w:val="21"/>
          <w:szCs w:val="21"/>
        </w:rPr>
        <w:t>作为精密的光学仪器，其准确度直接影响了被测样品的化学成分及材料性能，因此必须定期对辉光放电发射光谱仪</w:t>
      </w:r>
      <w:r>
        <w:rPr>
          <w:rFonts w:hint="eastAsia" w:hAnsi="宋体"/>
          <w:b w:val="0"/>
          <w:bCs w:val="0"/>
          <w:sz w:val="21"/>
          <w:szCs w:val="21"/>
          <w:lang w:eastAsia="zh-CN"/>
        </w:rPr>
        <w:t>（</w:t>
      </w:r>
      <w:r>
        <w:rPr>
          <w:rFonts w:hint="eastAsia" w:hAnsi="宋体"/>
          <w:b w:val="0"/>
          <w:bCs w:val="0"/>
          <w:sz w:val="21"/>
          <w:szCs w:val="21"/>
        </w:rPr>
        <w:t>GD-OES</w:t>
      </w:r>
      <w:r>
        <w:rPr>
          <w:rFonts w:hint="eastAsia" w:hAnsi="宋体"/>
          <w:b w:val="0"/>
          <w:bCs w:val="0"/>
          <w:sz w:val="21"/>
          <w:szCs w:val="21"/>
          <w:lang w:eastAsia="zh-CN"/>
        </w:rPr>
        <w:t>）</w:t>
      </w:r>
      <w:r>
        <w:rPr>
          <w:rFonts w:hint="eastAsia" w:hAnsi="宋体"/>
          <w:b w:val="0"/>
          <w:bCs w:val="0"/>
          <w:sz w:val="21"/>
          <w:szCs w:val="21"/>
        </w:rPr>
        <w:t>进行校准。</w:t>
      </w:r>
      <w:r>
        <w:rPr>
          <w:rFonts w:hint="eastAsia" w:hAnsi="宋体"/>
          <w:b w:val="0"/>
          <w:bCs w:val="0"/>
          <w:sz w:val="21"/>
          <w:szCs w:val="21"/>
          <w:lang w:val="en-US" w:eastAsia="zh-CN"/>
        </w:rPr>
        <w:t>而</w:t>
      </w:r>
      <w:r>
        <w:rPr>
          <w:rFonts w:hint="eastAsia" w:hAnsi="宋体"/>
          <w:b w:val="0"/>
          <w:bCs w:val="0"/>
          <w:sz w:val="21"/>
          <w:szCs w:val="21"/>
        </w:rPr>
        <w:t>现有的JJG768-2005《发射光谱仪》校准规范不</w:t>
      </w:r>
      <w:r>
        <w:rPr>
          <w:rFonts w:hint="eastAsia" w:hAnsi="宋体"/>
          <w:b w:val="0"/>
          <w:bCs w:val="0"/>
          <w:sz w:val="21"/>
          <w:szCs w:val="21"/>
          <w:lang w:val="en-US" w:eastAsia="zh-CN"/>
        </w:rPr>
        <w:t>再</w:t>
      </w:r>
      <w:r>
        <w:rPr>
          <w:rFonts w:hint="eastAsia" w:hAnsi="宋体"/>
          <w:b w:val="0"/>
          <w:bCs w:val="0"/>
          <w:sz w:val="21"/>
          <w:szCs w:val="21"/>
        </w:rPr>
        <w:t>适用于火花放电原子发射光谱仪的校准。</w:t>
      </w:r>
    </w:p>
    <w:p w14:paraId="0BBCC02C">
      <w:pPr>
        <w:pageBreakBefore w:val="0"/>
        <w:kinsoku/>
        <w:wordWrap/>
        <w:overflowPunct/>
        <w:topLinePunct w:val="0"/>
        <w:bidi w:val="0"/>
        <w:spacing w:line="360" w:lineRule="auto"/>
        <w:ind w:firstLine="420" w:firstLineChars="200"/>
        <w:textAlignment w:val="auto"/>
        <w:rPr>
          <w:rFonts w:hint="eastAsia" w:hAnsi="宋体"/>
          <w:b w:val="0"/>
          <w:bCs w:val="0"/>
          <w:sz w:val="21"/>
          <w:szCs w:val="21"/>
        </w:rPr>
      </w:pPr>
      <w:r>
        <w:rPr>
          <w:rFonts w:hint="eastAsia" w:hAnsi="宋体"/>
          <w:b w:val="0"/>
          <w:bCs w:val="0"/>
          <w:sz w:val="21"/>
          <w:szCs w:val="21"/>
        </w:rPr>
        <w:t>本</w:t>
      </w:r>
      <w:r>
        <w:rPr>
          <w:rFonts w:hint="eastAsia" w:hAnsi="宋体"/>
          <w:b w:val="0"/>
          <w:bCs w:val="0"/>
          <w:sz w:val="21"/>
          <w:szCs w:val="21"/>
          <w:lang w:val="en-US" w:eastAsia="zh-CN"/>
        </w:rPr>
        <w:t>规范</w:t>
      </w:r>
      <w:r>
        <w:rPr>
          <w:rFonts w:hint="eastAsia" w:hAnsi="宋体"/>
          <w:b w:val="0"/>
          <w:bCs w:val="0"/>
          <w:sz w:val="21"/>
          <w:szCs w:val="21"/>
        </w:rPr>
        <w:t>制定后，将实现辉光放电发射光谱仪</w:t>
      </w:r>
      <w:r>
        <w:rPr>
          <w:rFonts w:hint="eastAsia" w:hAnsi="宋体"/>
          <w:b w:val="0"/>
          <w:bCs w:val="0"/>
          <w:sz w:val="21"/>
          <w:szCs w:val="21"/>
          <w:lang w:eastAsia="zh-CN"/>
        </w:rPr>
        <w:t>（</w:t>
      </w:r>
      <w:r>
        <w:rPr>
          <w:rFonts w:hint="eastAsia" w:hAnsi="宋体"/>
          <w:b w:val="0"/>
          <w:bCs w:val="0"/>
          <w:sz w:val="21"/>
          <w:szCs w:val="21"/>
        </w:rPr>
        <w:t>GD-OES</w:t>
      </w:r>
      <w:r>
        <w:rPr>
          <w:rFonts w:hint="eastAsia" w:hAnsi="宋体"/>
          <w:b w:val="0"/>
          <w:bCs w:val="0"/>
          <w:sz w:val="21"/>
          <w:szCs w:val="21"/>
          <w:lang w:eastAsia="zh-CN"/>
        </w:rPr>
        <w:t>）</w:t>
      </w:r>
      <w:r>
        <w:rPr>
          <w:rFonts w:hint="eastAsia" w:hAnsi="宋体"/>
          <w:b w:val="0"/>
          <w:bCs w:val="0"/>
          <w:sz w:val="21"/>
          <w:szCs w:val="21"/>
        </w:rPr>
        <w:t>校准的规范化与一致性，为辉光放电发射光谱仪</w:t>
      </w:r>
      <w:r>
        <w:rPr>
          <w:rFonts w:hint="eastAsia" w:hAnsi="宋体"/>
          <w:b w:val="0"/>
          <w:bCs w:val="0"/>
          <w:sz w:val="21"/>
          <w:szCs w:val="21"/>
          <w:lang w:eastAsia="zh-CN"/>
        </w:rPr>
        <w:t>（</w:t>
      </w:r>
      <w:r>
        <w:rPr>
          <w:rFonts w:hint="eastAsia" w:hAnsi="宋体"/>
          <w:b w:val="0"/>
          <w:bCs w:val="0"/>
          <w:sz w:val="21"/>
          <w:szCs w:val="21"/>
        </w:rPr>
        <w:t>GD-OES</w:t>
      </w:r>
      <w:r>
        <w:rPr>
          <w:rFonts w:hint="eastAsia" w:hAnsi="宋体"/>
          <w:b w:val="0"/>
          <w:bCs w:val="0"/>
          <w:sz w:val="21"/>
          <w:szCs w:val="21"/>
          <w:lang w:eastAsia="zh-CN"/>
        </w:rPr>
        <w:t>）</w:t>
      </w:r>
      <w:r>
        <w:rPr>
          <w:rFonts w:hint="eastAsia" w:hAnsi="宋体"/>
          <w:b w:val="0"/>
          <w:bCs w:val="0"/>
          <w:sz w:val="21"/>
          <w:szCs w:val="21"/>
        </w:rPr>
        <w:t>的检测数据准确可靠提供了必要的计量保障。从行业需求来看、此类设备应用广泛，不仅可以作为有色金属材料化学成分的快速分析常规手段，随着对材料表面质量的要求越来越高，在表面分析方面更体现出了独特的优势。因此，</w:t>
      </w:r>
      <w:r>
        <w:rPr>
          <w:rFonts w:hint="eastAsia" w:hAnsi="宋体"/>
          <w:b w:val="0"/>
          <w:bCs w:val="0"/>
          <w:sz w:val="21"/>
          <w:szCs w:val="21"/>
          <w:lang w:eastAsia="zh-CN"/>
        </w:rPr>
        <w:t>亟须</w:t>
      </w:r>
      <w:r>
        <w:rPr>
          <w:rFonts w:hint="eastAsia" w:hAnsi="宋体"/>
          <w:b w:val="0"/>
          <w:bCs w:val="0"/>
          <w:sz w:val="21"/>
          <w:szCs w:val="21"/>
        </w:rPr>
        <w:t>专门制定针对辉光放电发射光谱仪</w:t>
      </w:r>
      <w:r>
        <w:rPr>
          <w:rFonts w:hint="eastAsia" w:hAnsi="宋体"/>
          <w:b w:val="0"/>
          <w:bCs w:val="0"/>
          <w:sz w:val="21"/>
          <w:szCs w:val="21"/>
          <w:lang w:eastAsia="zh-CN"/>
        </w:rPr>
        <w:t>（</w:t>
      </w:r>
      <w:r>
        <w:rPr>
          <w:rFonts w:hint="eastAsia" w:hAnsi="宋体"/>
          <w:b w:val="0"/>
          <w:bCs w:val="0"/>
          <w:sz w:val="21"/>
          <w:szCs w:val="21"/>
        </w:rPr>
        <w:t>GD-OES</w:t>
      </w:r>
      <w:r>
        <w:rPr>
          <w:rFonts w:hint="eastAsia" w:hAnsi="宋体"/>
          <w:b w:val="0"/>
          <w:bCs w:val="0"/>
          <w:sz w:val="21"/>
          <w:szCs w:val="21"/>
          <w:lang w:eastAsia="zh-CN"/>
        </w:rPr>
        <w:t>）</w:t>
      </w:r>
      <w:r>
        <w:rPr>
          <w:rFonts w:hint="eastAsia" w:hAnsi="宋体"/>
          <w:b w:val="0"/>
          <w:bCs w:val="0"/>
          <w:sz w:val="21"/>
          <w:szCs w:val="21"/>
        </w:rPr>
        <w:t>的计量校准规范，以填补此类仪器设备量值溯源所依据技术文件的空白，满足行业相关计量的迫切需求。</w:t>
      </w:r>
    </w:p>
    <w:p w14:paraId="33748486">
      <w:pPr>
        <w:pStyle w:val="3"/>
        <w:pageBreakBefore w:val="0"/>
        <w:kinsoku/>
        <w:wordWrap/>
        <w:overflowPunct/>
        <w:topLinePunct w:val="0"/>
        <w:bidi w:val="0"/>
        <w:spacing w:before="156" w:after="156" w:line="360" w:lineRule="auto"/>
        <w:textAlignment w:val="auto"/>
        <w:rPr>
          <w:b w:val="0"/>
          <w:bCs w:val="0"/>
          <w:sz w:val="21"/>
          <w:szCs w:val="21"/>
        </w:rPr>
      </w:pPr>
      <w:r>
        <w:rPr>
          <w:rFonts w:hint="eastAsia"/>
          <w:b w:val="0"/>
          <w:bCs w:val="0"/>
          <w:sz w:val="21"/>
          <w:szCs w:val="21"/>
        </w:rPr>
        <w:t>2.任务来源</w:t>
      </w:r>
      <w:bookmarkEnd w:id="2"/>
    </w:p>
    <w:p w14:paraId="47F4B72C">
      <w:pPr>
        <w:pageBreakBefore w:val="0"/>
        <w:kinsoku/>
        <w:wordWrap/>
        <w:overflowPunct/>
        <w:topLinePunct w:val="0"/>
        <w:bidi w:val="0"/>
        <w:spacing w:line="360" w:lineRule="auto"/>
        <w:ind w:firstLine="420" w:firstLineChars="200"/>
        <w:textAlignment w:val="auto"/>
        <w:rPr>
          <w:rFonts w:hint="eastAsia" w:hAnsi="宋体"/>
          <w:b w:val="0"/>
          <w:bCs w:val="0"/>
          <w:sz w:val="21"/>
          <w:szCs w:val="21"/>
        </w:rPr>
      </w:pPr>
      <w:r>
        <w:rPr>
          <w:rFonts w:hint="default" w:hAnsi="宋体"/>
          <w:b w:val="0"/>
          <w:bCs w:val="0"/>
          <w:sz w:val="21"/>
          <w:szCs w:val="21"/>
          <w:lang w:val="en-US" w:eastAsia="zh-CN"/>
        </w:rPr>
        <w:t>根据工信部《工业和信息化部办公厅关于印发2025年行业计量技术规范制修订计划的通知》（工厅科</w:t>
      </w:r>
      <w:r>
        <w:rPr>
          <w:rFonts w:hint="eastAsia" w:hAnsi="宋体"/>
          <w:b w:val="0"/>
          <w:bCs w:val="0"/>
          <w:sz w:val="21"/>
          <w:szCs w:val="21"/>
          <w:lang w:val="en-US" w:eastAsia="zh-CN"/>
        </w:rPr>
        <w:t>〔2025〕299号</w:t>
      </w:r>
      <w:r>
        <w:rPr>
          <w:rFonts w:hint="default" w:hAnsi="宋体"/>
          <w:b w:val="0"/>
          <w:bCs w:val="0"/>
          <w:sz w:val="21"/>
          <w:szCs w:val="21"/>
          <w:lang w:val="en-US" w:eastAsia="zh-CN"/>
        </w:rPr>
        <w:t>）</w:t>
      </w:r>
      <w:r>
        <w:rPr>
          <w:rFonts w:hint="eastAsia" w:hAnsi="宋体"/>
          <w:b w:val="0"/>
          <w:bCs w:val="0"/>
          <w:sz w:val="21"/>
          <w:szCs w:val="21"/>
          <w:lang w:val="en-US" w:eastAsia="zh-CN"/>
        </w:rPr>
        <w:t>，</w:t>
      </w:r>
      <w:r>
        <w:rPr>
          <w:rFonts w:hint="eastAsia" w:hAnsi="宋体"/>
          <w:b w:val="0"/>
          <w:bCs w:val="0"/>
          <w:sz w:val="21"/>
          <w:szCs w:val="21"/>
        </w:rPr>
        <w:t>行业计量技术规范《有色金属材料分析用辉光放电发射光谱仪校准规范》由</w:t>
      </w:r>
      <w:r>
        <w:rPr>
          <w:rFonts w:hint="eastAsia" w:hAnsi="宋体"/>
          <w:b w:val="0"/>
          <w:bCs w:val="0"/>
          <w:sz w:val="21"/>
          <w:szCs w:val="21"/>
          <w:lang w:val="en-US" w:eastAsia="zh-CN"/>
        </w:rPr>
        <w:t>中铝洛阳铜加工有限公司</w:t>
      </w:r>
      <w:r>
        <w:rPr>
          <w:rFonts w:hint="eastAsia" w:hAnsi="宋体"/>
          <w:b w:val="0"/>
          <w:bCs w:val="0"/>
          <w:sz w:val="21"/>
          <w:szCs w:val="21"/>
        </w:rPr>
        <w:t>负责起草。该项目计划编号为</w:t>
      </w:r>
      <w:bookmarkStart w:id="69" w:name="_GoBack"/>
      <w:bookmarkEnd w:id="69"/>
      <w:r>
        <w:rPr>
          <w:rFonts w:hint="default" w:hAnsi="宋体"/>
          <w:b w:val="0"/>
          <w:bCs w:val="0"/>
          <w:sz w:val="21"/>
          <w:szCs w:val="21"/>
          <w:lang w:val="en-US" w:eastAsia="zh-CN"/>
        </w:rPr>
        <w:t>JJFZ（有色金属）004-2025</w:t>
      </w:r>
      <w:r>
        <w:rPr>
          <w:rFonts w:hint="eastAsia" w:hAnsi="宋体"/>
          <w:b w:val="0"/>
          <w:bCs w:val="0"/>
          <w:sz w:val="21"/>
          <w:szCs w:val="21"/>
          <w:lang w:val="en-US" w:eastAsia="zh-CN"/>
        </w:rPr>
        <w:t>，</w:t>
      </w:r>
      <w:r>
        <w:rPr>
          <w:rFonts w:hint="default" w:hAnsi="宋体"/>
          <w:b w:val="0"/>
          <w:bCs w:val="0"/>
          <w:sz w:val="21"/>
          <w:szCs w:val="21"/>
          <w:lang w:val="en-US" w:eastAsia="zh-CN"/>
        </w:rPr>
        <w:t>计划完成年限为202</w:t>
      </w:r>
      <w:r>
        <w:rPr>
          <w:rFonts w:hint="eastAsia" w:hAnsi="宋体"/>
          <w:b w:val="0"/>
          <w:bCs w:val="0"/>
          <w:sz w:val="21"/>
          <w:szCs w:val="21"/>
          <w:lang w:val="en-US" w:eastAsia="zh-CN"/>
        </w:rPr>
        <w:t>7</w:t>
      </w:r>
      <w:r>
        <w:rPr>
          <w:rFonts w:hint="default" w:hAnsi="宋体"/>
          <w:b w:val="0"/>
          <w:bCs w:val="0"/>
          <w:sz w:val="21"/>
          <w:szCs w:val="21"/>
          <w:lang w:val="en-US" w:eastAsia="zh-CN"/>
        </w:rPr>
        <w:t>年。</w:t>
      </w:r>
    </w:p>
    <w:p w14:paraId="7285DE43">
      <w:pPr>
        <w:pStyle w:val="3"/>
        <w:pageBreakBefore w:val="0"/>
        <w:kinsoku/>
        <w:wordWrap/>
        <w:overflowPunct/>
        <w:topLinePunct w:val="0"/>
        <w:bidi w:val="0"/>
        <w:spacing w:before="156" w:after="156" w:line="360" w:lineRule="auto"/>
        <w:textAlignment w:val="auto"/>
        <w:rPr>
          <w:b w:val="0"/>
          <w:bCs w:val="0"/>
          <w:sz w:val="21"/>
          <w:szCs w:val="21"/>
        </w:rPr>
      </w:pPr>
      <w:r>
        <w:rPr>
          <w:rFonts w:hint="eastAsia"/>
          <w:b w:val="0"/>
          <w:bCs w:val="0"/>
          <w:sz w:val="21"/>
          <w:szCs w:val="21"/>
        </w:rPr>
        <w:t>3.项目编制组单位简况</w:t>
      </w:r>
    </w:p>
    <w:p w14:paraId="5C80AFEB">
      <w:pPr>
        <w:pStyle w:val="4"/>
        <w:pageBreakBefore w:val="0"/>
        <w:kinsoku/>
        <w:wordWrap/>
        <w:overflowPunct/>
        <w:topLinePunct w:val="0"/>
        <w:bidi w:val="0"/>
        <w:spacing w:before="156" w:after="156" w:line="360" w:lineRule="auto"/>
        <w:textAlignment w:val="auto"/>
        <w:rPr>
          <w:b w:val="0"/>
          <w:bCs w:val="0"/>
          <w:sz w:val="21"/>
          <w:szCs w:val="21"/>
        </w:rPr>
      </w:pPr>
      <w:r>
        <w:rPr>
          <w:rFonts w:hint="eastAsia"/>
          <w:b w:val="0"/>
          <w:bCs w:val="0"/>
          <w:sz w:val="21"/>
          <w:szCs w:val="21"/>
        </w:rPr>
        <w:t>3.1编制组成员单位</w:t>
      </w:r>
    </w:p>
    <w:p w14:paraId="40014D57">
      <w:pPr>
        <w:pageBreakBefore w:val="0"/>
        <w:kinsoku/>
        <w:wordWrap/>
        <w:overflowPunct/>
        <w:topLinePunct w:val="0"/>
        <w:bidi w:val="0"/>
        <w:spacing w:line="360" w:lineRule="auto"/>
        <w:ind w:firstLine="420" w:firstLineChars="200"/>
        <w:textAlignment w:val="auto"/>
        <w:rPr>
          <w:rFonts w:hint="default" w:hAnsi="宋体"/>
          <w:b w:val="0"/>
          <w:bCs w:val="0"/>
          <w:sz w:val="21"/>
          <w:szCs w:val="21"/>
          <w:lang w:val="en-US" w:eastAsia="zh-CN"/>
        </w:rPr>
      </w:pPr>
      <w:bookmarkStart w:id="3" w:name="_Toc464728900"/>
      <w:bookmarkStart w:id="4" w:name="_Toc462884344"/>
      <w:r>
        <w:rPr>
          <w:rFonts w:hint="eastAsia" w:hAnsi="宋体"/>
          <w:b w:val="0"/>
          <w:bCs w:val="0"/>
          <w:sz w:val="21"/>
          <w:szCs w:val="21"/>
          <w:lang w:val="en-US" w:eastAsia="zh-CN"/>
        </w:rPr>
        <w:t>本规范的编制组单位为：中铝洛阳铜加工有限公司、中铝材料应用研究院有限公司、国标（北京）检验认证有限公司、辽宁盛达计量检测技术有限公司、宝鸡钛业股份有限公司、有色金属技术经济研究院有限责任公司、西安汉唐分析检测有限公司、北京科技大学、国合通用（青岛）测试评价有限公司、中国科学院宁波材料技术与工程研究所、西南铝业（集团）有限责任公司。</w:t>
      </w:r>
    </w:p>
    <w:p w14:paraId="7D4F1A94">
      <w:pPr>
        <w:pStyle w:val="4"/>
        <w:pageBreakBefore w:val="0"/>
        <w:kinsoku/>
        <w:wordWrap/>
        <w:overflowPunct/>
        <w:topLinePunct w:val="0"/>
        <w:bidi w:val="0"/>
        <w:spacing w:before="156" w:after="156" w:line="360" w:lineRule="auto"/>
        <w:textAlignment w:val="auto"/>
        <w:rPr>
          <w:b w:val="0"/>
          <w:bCs w:val="0"/>
          <w:sz w:val="21"/>
          <w:szCs w:val="21"/>
        </w:rPr>
      </w:pPr>
      <w:r>
        <w:rPr>
          <w:rFonts w:hint="eastAsia"/>
          <w:b w:val="0"/>
          <w:bCs w:val="0"/>
          <w:sz w:val="21"/>
          <w:szCs w:val="21"/>
        </w:rPr>
        <w:t>3.2 主编单位简介</w:t>
      </w:r>
    </w:p>
    <w:bookmarkEnd w:id="3"/>
    <w:bookmarkEnd w:id="4"/>
    <w:p w14:paraId="28C5F932">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中铝洛阳铜加工有限公司（以下简称洛阳铜加工）是知名铜加工企业，国内具有影响力的综合性铜加工企业，拥有“国内领先、世界一流”的高精度电子铜带生产（引进美国、德国、意大利、日本等国家具有国际领先水平的先进生产装备）、铜及铜合金板带箔加工生产、铜及铜合金管棒加工生产、铝镁材加工生产等多条生产线，产品涉及铜及铜合金板、带、箔、管、棒、型材、铝镁板带箔材。广泛应用于电子信息通讯、新能源、汽车、海洋工程、轨道交通、电力装备等领域，为神舟系列飞船、大推力火箭、区域电子对抗、JT等国家重大战略工程提供了关键材料保障。拥有国家级企业技术中心、国家实验室认证认可监督管理委员会认可的实验室、中国有色金属工业重金属加工材质检站、河南省铜镁材料和加工技术工程研究中心、中铝集团高性能铜板带箔加工技术重点实验室、有色行业铜及铜合金材料与加工工程技术研究中心。先后从德国、美国、法国、日本、英国、意大利等十二个国家引进了80台（套）先进的设备和检测仪器，为有色金属产品的研制和生产打下了坚实的基础。公司拥有一支高素质的科研技术研发队伍，具备丰富的生产技术经验和技术能力。接插件用铜及铜合金异型带材生产技术成熟，产品质量稳定、性能满足用户使用要求，具有较好的技术基础和能力。</w:t>
      </w:r>
    </w:p>
    <w:p w14:paraId="7C118D26">
      <w:pPr>
        <w:pageBreakBefore w:val="0"/>
        <w:kinsoku/>
        <w:wordWrap/>
        <w:overflowPunct/>
        <w:topLinePunct w:val="0"/>
        <w:bidi w:val="0"/>
        <w:spacing w:line="360" w:lineRule="auto"/>
        <w:ind w:firstLine="420" w:firstLineChars="200"/>
        <w:textAlignment w:val="auto"/>
        <w:rPr>
          <w:rFonts w:hint="eastAsia" w:ascii="Times New Roman" w:hAnsi="Times New Roman" w:eastAsia="宋体" w:cs="Times New Roman"/>
          <w:color w:val="auto"/>
          <w:spacing w:val="0"/>
          <w:kern w:val="2"/>
          <w:sz w:val="21"/>
          <w:szCs w:val="21"/>
          <w:lang w:val="en-US" w:eastAsia="zh-CN" w:bidi="ar-SA"/>
        </w:rPr>
      </w:pPr>
      <w:bookmarkStart w:id="5" w:name="_Toc464728901"/>
      <w:bookmarkStart w:id="6" w:name="_Toc462884345"/>
      <w:r>
        <w:rPr>
          <w:rFonts w:hint="eastAsia" w:hAnsi="宋体"/>
          <w:b w:val="0"/>
          <w:bCs w:val="0"/>
          <w:sz w:val="21"/>
          <w:szCs w:val="21"/>
          <w:lang w:val="en-US" w:eastAsia="zh-CN"/>
        </w:rPr>
        <w:t>该单位主要负责本规范的起草工作，成立编制组并根据委员会的工作安排组织编制组成员单位开展相关校准工作，组织各单位对规范的《讨论稿》进行认真讨论，并就提出的意见和建议进行反馈和修改，在编制组中发挥主要带头作用。</w:t>
      </w:r>
    </w:p>
    <w:p w14:paraId="6220CB61">
      <w:pPr>
        <w:pStyle w:val="62"/>
        <w:pageBreakBefore w:val="0"/>
        <w:numPr>
          <w:ilvl w:val="0"/>
          <w:numId w:val="0"/>
        </w:numPr>
        <w:kinsoku/>
        <w:wordWrap/>
        <w:overflowPunct/>
        <w:topLinePunct w:val="0"/>
        <w:bidi w:val="0"/>
        <w:spacing w:before="156" w:beforeLines="50" w:after="156" w:afterLines="50" w:line="360" w:lineRule="auto"/>
        <w:textAlignment w:val="auto"/>
        <w:rPr>
          <w:b w:val="0"/>
          <w:bCs w:val="0"/>
          <w:color w:val="auto"/>
          <w:sz w:val="21"/>
          <w:szCs w:val="21"/>
        </w:rPr>
      </w:pPr>
      <w:r>
        <w:rPr>
          <w:rFonts w:hint="eastAsia"/>
          <w:b w:val="0"/>
          <w:bCs w:val="0"/>
          <w:color w:val="auto"/>
          <w:sz w:val="21"/>
          <w:szCs w:val="21"/>
        </w:rPr>
        <w:t>3.3成员单位简介</w:t>
      </w:r>
      <w:bookmarkEnd w:id="5"/>
      <w:bookmarkEnd w:id="6"/>
    </w:p>
    <w:p w14:paraId="13CD49DB">
      <w:pPr>
        <w:pStyle w:val="61"/>
        <w:pageBreakBefore w:val="0"/>
        <w:numPr>
          <w:ilvl w:val="0"/>
          <w:numId w:val="0"/>
        </w:numPr>
        <w:kinsoku/>
        <w:wordWrap/>
        <w:overflowPunct/>
        <w:topLinePunct w:val="0"/>
        <w:bidi w:val="0"/>
        <w:spacing w:before="156" w:beforeLines="50" w:after="156" w:afterLines="50" w:line="360" w:lineRule="auto"/>
        <w:contextualSpacing/>
        <w:textAlignment w:val="auto"/>
        <w:rPr>
          <w:rFonts w:hint="eastAsia"/>
          <w:b w:val="0"/>
          <w:bCs w:val="0"/>
          <w:sz w:val="21"/>
          <w:szCs w:val="21"/>
          <w:lang w:val="en-US" w:eastAsia="zh-CN"/>
        </w:rPr>
      </w:pPr>
      <w:r>
        <w:rPr>
          <w:rFonts w:hint="eastAsia" w:ascii="黑体" w:hAnsi="黑体" w:eastAsia="黑体" w:cs="黑体"/>
          <w:b w:val="0"/>
          <w:bCs w:val="0"/>
          <w:sz w:val="21"/>
          <w:szCs w:val="21"/>
          <w:lang w:val="en-US" w:eastAsia="zh-CN"/>
        </w:rPr>
        <w:t>3.3.</w:t>
      </w:r>
      <w:r>
        <w:rPr>
          <w:rFonts w:hint="eastAsia" w:cs="黑体"/>
          <w:b w:val="0"/>
          <w:bCs w:val="0"/>
          <w:sz w:val="21"/>
          <w:szCs w:val="21"/>
          <w:lang w:val="en-US" w:eastAsia="zh-CN"/>
        </w:rPr>
        <w:t>1</w:t>
      </w:r>
      <w:r>
        <w:rPr>
          <w:rFonts w:hint="eastAsia" w:ascii="Times New Roman"/>
          <w:b w:val="0"/>
          <w:bCs w:val="0"/>
          <w:sz w:val="21"/>
          <w:szCs w:val="21"/>
          <w:lang w:val="en-US" w:eastAsia="zh-CN"/>
        </w:rPr>
        <w:t xml:space="preserve"> </w:t>
      </w:r>
      <w:r>
        <w:rPr>
          <w:rFonts w:hint="eastAsia"/>
          <w:sz w:val="21"/>
          <w:szCs w:val="21"/>
          <w:lang w:eastAsia="zh-CN"/>
        </w:rPr>
        <w:t>中铝材料应用研究院有限公司</w:t>
      </w:r>
    </w:p>
    <w:p w14:paraId="381DEED0">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中铝材料应用研究院有限公司（以下简称中铝材料院）是中国铝业公司下属科研企业，前身为成立于2010年5月的中铝科学技术研究院，是中央组织部、国务院国资委在北京市昌平区未来科学城规划的15家中央企业重要科研、创新基地之一。中铝材料院以有色金属材料研发及其应用产品研制为主业，研发方向涉及航空航天用铝合金板材、汽车轻量化用铝合金、锂电池用铝合金电池壳、电子信息用铜合金引线框架，轨道交通用铜合金材料及其应用产品研制等多个方面。目前各类在研项目包括国家“863”项目、国家重点研发计划项目，以及北京市科技创新引导专项、中铝公司科技发展基金等多个项目。为提升科技创新水平，中铝材料院引进国家级专家3人，形成了以专家为核心的科研创新队伍。聘任中国工程院院士，启动运行了院士专家工作站，引进多名高校知名教授及业内有重要影响的科技专家。目前中铝材料院科研人才比例达78%，全日制大学本科及以上学历达100%，硕士研究生占50%，博士研究生占36%。</w:t>
      </w:r>
    </w:p>
    <w:p w14:paraId="65A8ED72">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该单位积极参与编制组的各项工作会议，对规范的技术指标、校准项目提出了有效建议，是该规范的验证单位，在编制组中发挥了主要作用。</w:t>
      </w:r>
    </w:p>
    <w:p w14:paraId="0E19BB5F">
      <w:pPr>
        <w:pStyle w:val="61"/>
        <w:pageBreakBefore w:val="0"/>
        <w:numPr>
          <w:ilvl w:val="0"/>
          <w:numId w:val="0"/>
        </w:numPr>
        <w:kinsoku/>
        <w:wordWrap/>
        <w:overflowPunct/>
        <w:topLinePunct w:val="0"/>
        <w:bidi w:val="0"/>
        <w:spacing w:before="156" w:beforeLines="50" w:after="156" w:afterLines="50" w:line="360" w:lineRule="auto"/>
        <w:contextualSpacing/>
        <w:textAlignment w:val="auto"/>
        <w:rPr>
          <w:rFonts w:hint="eastAsia"/>
          <w:b w:val="0"/>
          <w:bCs w:val="0"/>
          <w:sz w:val="21"/>
          <w:szCs w:val="21"/>
          <w:lang w:eastAsia="zh-CN"/>
        </w:rPr>
      </w:pPr>
      <w:r>
        <w:rPr>
          <w:rFonts w:hint="eastAsia"/>
          <w:b w:val="0"/>
          <w:bCs w:val="0"/>
          <w:sz w:val="21"/>
          <w:szCs w:val="21"/>
        </w:rPr>
        <w:t>3.3.</w:t>
      </w:r>
      <w:r>
        <w:rPr>
          <w:rFonts w:hint="eastAsia"/>
          <w:b w:val="0"/>
          <w:bCs w:val="0"/>
          <w:sz w:val="21"/>
          <w:szCs w:val="21"/>
          <w:lang w:val="en-US" w:eastAsia="zh-CN"/>
        </w:rPr>
        <w:t>2</w:t>
      </w:r>
      <w:r>
        <w:rPr>
          <w:rFonts w:hint="eastAsia" w:ascii="Times New Roman"/>
          <w:b w:val="0"/>
          <w:bCs w:val="0"/>
          <w:sz w:val="21"/>
          <w:szCs w:val="21"/>
        </w:rPr>
        <w:t xml:space="preserve">  </w:t>
      </w:r>
      <w:r>
        <w:rPr>
          <w:rFonts w:hint="eastAsia"/>
          <w:b w:val="0"/>
          <w:bCs w:val="0"/>
          <w:sz w:val="21"/>
          <w:szCs w:val="21"/>
          <w:highlight w:val="none"/>
          <w:lang w:val="en-US" w:eastAsia="zh-CN"/>
        </w:rPr>
        <w:t>国标（北京）检验认证有限公司</w:t>
      </w:r>
    </w:p>
    <w:p w14:paraId="74BFC0B5">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国标（北京）检验认证有限公司是我国有色行业的材料研究、材料检测和仪器校准的权威机构，公司运行着国家新材料测试评价平台有色金属材料行业中心、国家有色金属及电子材料分析测试中心、国家有色金属质量检验检测中心、北京市有色金属新材料产业计量测试中心。中心拥有雄厚的技术力量，先进的仪器，齐全的校准测试方法，在国内外科技期刊上发表论文1200余篇，撰写论著22部。起草国际标准7项、国家/行业标准720余项；主编校准规范8项，参编校准规范13项，共计21项。</w:t>
      </w:r>
    </w:p>
    <w:p w14:paraId="226C92B3">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该单位积极参与编制组的各项工作会议，对规范的技术指标、校准项目提出了有效建议，是该规范的验证单位，在编制组中发挥了主要作用。</w:t>
      </w:r>
    </w:p>
    <w:p w14:paraId="1915EDFA">
      <w:pPr>
        <w:pStyle w:val="61"/>
        <w:pageBreakBefore w:val="0"/>
        <w:numPr>
          <w:ilvl w:val="0"/>
          <w:numId w:val="0"/>
        </w:numPr>
        <w:kinsoku/>
        <w:wordWrap/>
        <w:overflowPunct/>
        <w:topLinePunct w:val="0"/>
        <w:bidi w:val="0"/>
        <w:spacing w:before="156" w:beforeLines="50" w:after="156" w:afterLines="50" w:line="360" w:lineRule="auto"/>
        <w:contextualSpacing/>
        <w:textAlignment w:val="auto"/>
        <w:rPr>
          <w:rFonts w:hint="eastAsia"/>
          <w:b w:val="0"/>
          <w:bCs w:val="0"/>
          <w:sz w:val="21"/>
          <w:szCs w:val="21"/>
          <w:lang w:val="en-US" w:eastAsia="zh-CN"/>
        </w:rPr>
      </w:pPr>
      <w:r>
        <w:rPr>
          <w:rFonts w:hint="eastAsia"/>
          <w:b w:val="0"/>
          <w:bCs w:val="0"/>
          <w:sz w:val="21"/>
          <w:szCs w:val="21"/>
          <w:lang w:val="en-US" w:eastAsia="zh-CN"/>
        </w:rPr>
        <w:t>3.3.3 辽宁盛达计量检测技术有限公司</w:t>
      </w:r>
    </w:p>
    <w:p w14:paraId="2A5C593D">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辽宁盛达计量检测技术有限公司位于大连经济技术开发区双D港，成立于2018年，专注于计量校准、检测服务及计量技术研发。公司拥有一支经验丰富且持证上岗的专业技术团队，秉持“独立公正、科学严谨、准确高效、服务至诚”的质量方针，已发展为集仪器销售、维修、检测于一体的综合型技术企业，服务于众多高端制造业客户。作为行业新锐，公司已通过“国家高新技术企业”认定，拥有板式橡胶支座变形检测装置及扭矩检定仪在内的16项专利技术，体现了较强的技术实力与创新能力。公司实验室配备国内外先进的计量标准装置，建立了完善的质量管理体系，确保服务流程规范、数据可靠。除持有的校准资质外，公司在复杂工况下的现场校准方面积累了丰富经验，曾受邀为国防军工、地质地矿、钢铁企业、化学化工等多家权威机构提供技术指导与校准服务。自成立以来，公司持续为客户提供计量器具检定校准服务，交付及时，被多家企业评定为合格供应商。未来，公司将深度融入“数字辽宁”建设，着力打造“互联网+计量”智能化服务平台，依托大数据分析为客户提供预防性维护建议。通过持续推进技术创新与服务优化，辽宁盛达计量检测技术有限公司致力于成为客户在质量控制与计量管理领域值得信赖的合作伙伴。</w:t>
      </w:r>
    </w:p>
    <w:p w14:paraId="053B8928">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该单位积极参与编制组的各项工作会议，对规范的技术指标、校准项目提出了有效建议，是该规范的验证单位，在编制组中发挥了主要作用。</w:t>
      </w:r>
    </w:p>
    <w:p w14:paraId="1AC3CC21">
      <w:pPr>
        <w:pageBreakBefore w:val="0"/>
        <w:kinsoku/>
        <w:wordWrap/>
        <w:overflowPunct/>
        <w:topLinePunct w:val="0"/>
        <w:bidi w:val="0"/>
        <w:spacing w:line="360" w:lineRule="auto"/>
        <w:contextualSpacing/>
        <w:jc w:val="left"/>
        <w:textAlignment w:val="auto"/>
        <w:rPr>
          <w:rFonts w:hint="eastAsia" w:ascii="黑体" w:hAnsi="黑体" w:eastAsia="黑体" w:cs="Times New Roman"/>
          <w:b w:val="0"/>
          <w:bCs w:val="0"/>
          <w:color w:val="000000" w:themeColor="text1"/>
          <w:spacing w:val="-6"/>
          <w:kern w:val="0"/>
          <w:sz w:val="21"/>
          <w:szCs w:val="21"/>
          <w:lang w:val="en-US" w:eastAsia="zh-CN" w:bidi="ar-SA"/>
          <w14:textFill>
            <w14:solidFill>
              <w14:schemeClr w14:val="tx1"/>
            </w14:solidFill>
          </w14:textFill>
        </w:rPr>
      </w:pPr>
      <w:r>
        <w:rPr>
          <w:rFonts w:hint="eastAsia"/>
          <w:b w:val="0"/>
          <w:bCs w:val="0"/>
          <w:color w:val="000000" w:themeColor="text1"/>
          <w:sz w:val="21"/>
          <w:szCs w:val="21"/>
          <w:highlight w:val="none"/>
          <w:lang w:val="en-US" w:eastAsia="zh-CN"/>
          <w14:textFill>
            <w14:solidFill>
              <w14:schemeClr w14:val="tx1"/>
            </w14:solidFill>
          </w14:textFill>
        </w:rPr>
        <w:t xml:space="preserve">3.3.4 </w:t>
      </w:r>
      <w:r>
        <w:rPr>
          <w:rFonts w:hint="eastAsia" w:ascii="黑体" w:hAnsi="黑体" w:eastAsia="黑体" w:cs="Times New Roman"/>
          <w:b w:val="0"/>
          <w:bCs w:val="0"/>
          <w:color w:val="000000" w:themeColor="text1"/>
          <w:spacing w:val="-6"/>
          <w:kern w:val="0"/>
          <w:sz w:val="21"/>
          <w:szCs w:val="21"/>
          <w:lang w:val="en-US" w:eastAsia="zh-CN" w:bidi="ar-SA"/>
          <w14:textFill>
            <w14:solidFill>
              <w14:schemeClr w14:val="tx1"/>
            </w14:solidFill>
          </w14:textFill>
        </w:rPr>
        <w:t>宝鸡钛业股份有限公司</w:t>
      </w:r>
    </w:p>
    <w:p w14:paraId="21560543">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宝鸡钛业股份有限公司是我国规模最大、体系最完整的钛及钛合金研发制造企业，拥有钛、装备设计制造、新产业等三大板块，控股宝钛股份（600456）、宝色股份（300402）两大上市公司，钛材产量世界第一，综合实力居全球钛行业前三位，荣获我国工业领域最高奖项“中国工业大奖”，属行业唯一。自1965年建企以来，宝钛集团矢志不渝践行兴钛强国的初心使命，不断创造着新的历史。构建了从海绵钛制备，到熔炼、加工、深加工及装备制造的全产业链，使我国成为全球第四个拥有完整钛工业体系的国家，引领宝鸡建成全球规模最大的钛产业集群。主导制定钛标准110多项，占我国该领域标准的90%以上。2022年以来，代表我国主导制定的4项钛国际标准发布实施，填补国际空白，同时实现我国钛领域国际标准制定零的突破。全面支撑了我国航空、航天、海洋和民用等多领域用钛需要，产品远销50多个国家和地区，是波音、空客等国际知名公司的合作伙伴。取得重大科技成果700多项，攻克多项“卡脖子”技术难题，特别是主导制造的深潜器钛合金载人球舱，突破技术难关，实现关键部件国产，达到国际先进水平，受到党和国家领导人充分肯定。当前，宝钛集团正围绕建设世界一流专业领军企业的新“两步走”战略及“1345”发展行动纲领，着力发展新质生产力，加快构建现代化产业体系，助力我国早日建成世界钛业强国</w:t>
      </w:r>
    </w:p>
    <w:p w14:paraId="58CD4841">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该单位积极参与编制组的各项工作会议，对规范的校准方法提出了有效建议，在编制组中发挥了主要作用。</w:t>
      </w:r>
    </w:p>
    <w:p w14:paraId="4528FA1F">
      <w:pPr>
        <w:pStyle w:val="61"/>
        <w:pageBreakBefore w:val="0"/>
        <w:numPr>
          <w:ilvl w:val="0"/>
          <w:numId w:val="0"/>
        </w:numPr>
        <w:kinsoku/>
        <w:wordWrap/>
        <w:overflowPunct/>
        <w:topLinePunct w:val="0"/>
        <w:bidi w:val="0"/>
        <w:spacing w:before="156" w:beforeLines="50" w:after="156" w:afterLines="50" w:line="360" w:lineRule="auto"/>
        <w:contextualSpacing/>
        <w:textAlignment w:val="auto"/>
        <w:rPr>
          <w:rFonts w:hint="eastAsia"/>
          <w:b w:val="0"/>
          <w:bCs w:val="0"/>
          <w:sz w:val="21"/>
          <w:szCs w:val="21"/>
          <w:lang w:val="en-US" w:eastAsia="zh-CN"/>
        </w:rPr>
      </w:pPr>
      <w:r>
        <w:rPr>
          <w:rFonts w:hint="eastAsia" w:ascii="黑体" w:hAnsi="黑体" w:eastAsia="黑体" w:cs="Times New Roman"/>
          <w:b w:val="0"/>
          <w:bCs w:val="0"/>
          <w:color w:val="000000" w:themeColor="text1"/>
          <w:kern w:val="0"/>
          <w:sz w:val="21"/>
          <w:szCs w:val="21"/>
          <w:highlight w:val="none"/>
          <w:lang w:val="en-US" w:eastAsia="zh-CN"/>
          <w14:textFill>
            <w14:solidFill>
              <w14:schemeClr w14:val="tx1"/>
            </w14:solidFill>
          </w14:textFill>
        </w:rPr>
        <w:t>3.3.</w:t>
      </w:r>
      <w:r>
        <w:rPr>
          <w:rFonts w:hint="eastAsia" w:cs="Times New Roman"/>
          <w:b w:val="0"/>
          <w:bCs w:val="0"/>
          <w:color w:val="000000" w:themeColor="text1"/>
          <w:kern w:val="0"/>
          <w:sz w:val="21"/>
          <w:szCs w:val="21"/>
          <w:highlight w:val="none"/>
          <w:lang w:val="en-US" w:eastAsia="zh-CN"/>
          <w14:textFill>
            <w14:solidFill>
              <w14:schemeClr w14:val="tx1"/>
            </w14:solidFill>
          </w14:textFill>
        </w:rPr>
        <w:t>5</w:t>
      </w:r>
      <w:r>
        <w:rPr>
          <w:rFonts w:hint="eastAsia" w:ascii="黑体" w:hAnsi="黑体" w:eastAsia="黑体" w:cs="Times New Roman"/>
          <w:b w:val="0"/>
          <w:bCs w:val="0"/>
          <w:color w:val="000000" w:themeColor="text1"/>
          <w:kern w:val="0"/>
          <w:sz w:val="21"/>
          <w:szCs w:val="21"/>
          <w:highlight w:val="none"/>
          <w:lang w:val="en-US" w:eastAsia="zh-CN"/>
          <w14:textFill>
            <w14:solidFill>
              <w14:schemeClr w14:val="tx1"/>
            </w14:solidFill>
          </w14:textFill>
        </w:rPr>
        <w:t xml:space="preserve"> </w:t>
      </w:r>
      <w:r>
        <w:rPr>
          <w:rFonts w:hint="eastAsia"/>
          <w:b w:val="0"/>
          <w:bCs w:val="0"/>
          <w:sz w:val="21"/>
          <w:szCs w:val="21"/>
          <w:lang w:val="en-US" w:eastAsia="zh-CN"/>
        </w:rPr>
        <w:t>有色金属技术经济研究院有限责任公司</w:t>
      </w:r>
    </w:p>
    <w:p w14:paraId="27C534EE">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有色金属技术经济研究院有限责任公司成立于1983年3月，是中央所属242家转制科研院所之一，于1999年7月由国家全额拨款科研事业单位转制为科技型企业，变更为现名称。隶属于中国有色金属工业协会（以下简称“协会”），获批设立了国家级博士后科研工作站，是国家级高新技术企业和北京市高新技术企业。有五个主要业务板块，分别为信息咨询、标准专利、媒体宣传、分会工作及贸易投资，是我国有色金属行业专职从事产业发展战略研究与规划、市场信息服务与咨询、标准质量研究与专利查新、行业期刊出版发行、行业会议策划与组织的综合性科技服务机构，对外又称“中国有色金属工业信息中心”和“中国有色金属工业标准计量质量研究所”。</w:t>
      </w:r>
    </w:p>
    <w:p w14:paraId="1C1F827C">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有色金属行业计量技术委员会是有色金属技术经济研究院有限责任公司下属机构，负责有色金属行业计量技术规范制修订工作。该机构旨在充分发挥有色金属行业生产、科研、教学、质量检验和计量器具生产诸方面计量专家的作用，更好地开展有色金属行业的量值溯源、规范制修订、能力验证和提高计量标准建设与完善计量技术及其管理体系等工作。</w:t>
      </w:r>
    </w:p>
    <w:p w14:paraId="606954B6">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有色计量委员会是国家市场监督管理总局统一规划，受工业和信息化部的业务管理，由中国有色金属工业协会组建，从事有色金属行业计量技术及其管理工作的技术性组织，负责本行业计量技术规范的计划制定、修订、宣贯及有关政策的咨询工作。目前已发布行业规范20余项，在研40余项。</w:t>
      </w:r>
    </w:p>
    <w:p w14:paraId="384423DD">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该单位负责组织编制组的各项工作会议，对规范的技术指标、校准项目等内容提出了，有效建议，在编制组中发挥了主要作用。</w:t>
      </w:r>
    </w:p>
    <w:p w14:paraId="782C7175">
      <w:pPr>
        <w:pageBreakBefore w:val="0"/>
        <w:numPr>
          <w:ilvl w:val="0"/>
          <w:numId w:val="0"/>
        </w:numPr>
        <w:kinsoku/>
        <w:wordWrap/>
        <w:overflowPunct/>
        <w:topLinePunct w:val="0"/>
        <w:bidi w:val="0"/>
        <w:spacing w:beforeLines="50" w:afterLines="50" w:line="360" w:lineRule="auto"/>
        <w:contextualSpacing/>
        <w:jc w:val="both"/>
        <w:textAlignment w:val="auto"/>
        <w:outlineLvl w:val="3"/>
        <w:rPr>
          <w:rFonts w:hint="eastAsia" w:ascii="黑体" w:hAnsi="黑体" w:eastAsia="黑体" w:cs="Times New Roman"/>
          <w:b w:val="0"/>
          <w:bCs w:val="0"/>
          <w:color w:val="000000" w:themeColor="text1"/>
          <w:spacing w:val="-6"/>
          <w:kern w:val="0"/>
          <w:sz w:val="21"/>
          <w:szCs w:val="21"/>
          <w:highlight w:val="none"/>
          <w:lang w:val="en-US" w:eastAsia="zh-CN" w:bidi="ar-SA"/>
          <w14:textFill>
            <w14:solidFill>
              <w14:schemeClr w14:val="tx1"/>
            </w14:solidFill>
          </w14:textFill>
        </w:rPr>
      </w:pPr>
      <w:r>
        <w:rPr>
          <w:rFonts w:hint="eastAsia" w:ascii="黑体" w:hAnsi="黑体" w:eastAsia="黑体" w:cs="Times New Roman"/>
          <w:b w:val="0"/>
          <w:bCs w:val="0"/>
          <w:color w:val="000000" w:themeColor="text1"/>
          <w:spacing w:val="-6"/>
          <w:kern w:val="0"/>
          <w:sz w:val="21"/>
          <w:szCs w:val="21"/>
          <w:highlight w:val="none"/>
          <w:lang w:val="en-US" w:eastAsia="zh-CN" w:bidi="ar-SA"/>
          <w14:textFill>
            <w14:solidFill>
              <w14:schemeClr w14:val="tx1"/>
            </w14:solidFill>
          </w14:textFill>
        </w:rPr>
        <w:t>3.3.6 西安汉唐分析检测有限公司</w:t>
      </w:r>
    </w:p>
    <w:p w14:paraId="74F729D8">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西安汉唐分析检测有限公司是西北有色金属研究院（集团）控股子公司，属国有企业，主要从事有色产品的检测、可靠性评价、失效分析、质量评估、腐蚀性能及表面测试与表征、规范起草、检测方法的开发、标物的研制、设备的计量校准等。公司于1985年被陕西省质监局授权为陕西省有色金属产品质量监督检验站。1987年被中国有色金属工业总公司授权为西北质量监督检验中心，先后被国家质检总局确定为钛及钛合金、铜及铜合金管材生产许可证检验工作实施单位；公司通过CNAS、CMA、国防DiLAC等认证认可，是陕西省有色金属材料分析检测与评价中心、陕西省稀有金属材料安全评估和失效分析中心、工业（稀有金属）产品质量和技术评价实验室、陕西省核工业用金属材料检测与评价服务平台挂靠单位。公司是国内最早从事有色金属材料及其产品分析检验检测与评价研究的专业机构之一，先后承担了国家、省市多项重大课题，目前已建成国内唯一的核电堆芯材料分析检测平台、多层金属复合材料测试和评价平台、钛及钛合金专业检测平台。近10年起草有色金属国家/行业规范共80余项、发表论文120余篇、授权专利30余项。先后荣获中国有色金属工业一等奖、二等奖20余次。</w:t>
      </w:r>
    </w:p>
    <w:p w14:paraId="625A5D04">
      <w:pPr>
        <w:pageBreakBefore w:val="0"/>
        <w:kinsoku/>
        <w:wordWrap/>
        <w:overflowPunct/>
        <w:topLinePunct w:val="0"/>
        <w:bidi w:val="0"/>
        <w:spacing w:line="360" w:lineRule="auto"/>
        <w:ind w:firstLine="420" w:firstLineChars="20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hAnsi="宋体"/>
          <w:b w:val="0"/>
          <w:bCs w:val="0"/>
          <w:sz w:val="21"/>
          <w:szCs w:val="21"/>
          <w:lang w:val="en-US" w:eastAsia="zh-CN"/>
        </w:rPr>
        <w:t>该单位积极参与编制组的各项工作会议，对规范的技术指标、校准项目内容提出了有效建议，是该规范的验证单位（附验证报告），在编制组中发挥了主要作用。</w:t>
      </w:r>
    </w:p>
    <w:p w14:paraId="6734C9F0">
      <w:pPr>
        <w:pageBreakBefore w:val="0"/>
        <w:numPr>
          <w:ilvl w:val="0"/>
          <w:numId w:val="0"/>
        </w:numPr>
        <w:kinsoku/>
        <w:wordWrap/>
        <w:overflowPunct/>
        <w:topLinePunct w:val="0"/>
        <w:bidi w:val="0"/>
        <w:spacing w:beforeLines="50" w:afterLines="50" w:line="360" w:lineRule="auto"/>
        <w:contextualSpacing/>
        <w:jc w:val="both"/>
        <w:textAlignment w:val="auto"/>
        <w:outlineLvl w:val="3"/>
        <w:rPr>
          <w:rFonts w:hint="eastAsia" w:ascii="黑体" w:hAnsi="黑体" w:eastAsia="黑体" w:cs="Times New Roman"/>
          <w:b w:val="0"/>
          <w:bCs w:val="0"/>
          <w:color w:val="000000" w:themeColor="text1"/>
          <w:spacing w:val="-6"/>
          <w:kern w:val="0"/>
          <w:sz w:val="21"/>
          <w:szCs w:val="21"/>
          <w:highlight w:val="none"/>
          <w:lang w:val="en-US" w:eastAsia="zh-CN" w:bidi="ar-SA"/>
          <w14:textFill>
            <w14:solidFill>
              <w14:schemeClr w14:val="tx1"/>
            </w14:solidFill>
          </w14:textFill>
        </w:rPr>
      </w:pPr>
      <w:r>
        <w:rPr>
          <w:rFonts w:hint="eastAsia" w:ascii="黑体" w:hAnsi="黑体" w:eastAsia="黑体" w:cs="Times New Roman"/>
          <w:b w:val="0"/>
          <w:bCs w:val="0"/>
          <w:color w:val="000000" w:themeColor="text1"/>
          <w:spacing w:val="-6"/>
          <w:kern w:val="0"/>
          <w:sz w:val="21"/>
          <w:szCs w:val="21"/>
          <w:highlight w:val="none"/>
          <w:lang w:val="en-US" w:eastAsia="zh-CN" w:bidi="ar-SA"/>
          <w14:textFill>
            <w14:solidFill>
              <w14:schemeClr w14:val="tx1"/>
            </w14:solidFill>
          </w14:textFill>
        </w:rPr>
        <w:t>3.3.7 北京科技大学</w:t>
      </w:r>
    </w:p>
    <w:p w14:paraId="367049C6">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国内冶金材料领域顶尖高校，在有色金属材料分析、表面表征、计量测试技术方面学术积淀深厚，科研实力强。参与本规范理论论证、技术指标合理性研讨、方法科学性审核。</w:t>
      </w:r>
    </w:p>
    <w:p w14:paraId="7CE4FCE6">
      <w:pPr>
        <w:pageBreakBefore w:val="0"/>
        <w:numPr>
          <w:ilvl w:val="0"/>
          <w:numId w:val="0"/>
        </w:numPr>
        <w:kinsoku/>
        <w:wordWrap/>
        <w:overflowPunct/>
        <w:topLinePunct w:val="0"/>
        <w:bidi w:val="0"/>
        <w:spacing w:beforeLines="50" w:afterLines="50" w:line="360" w:lineRule="auto"/>
        <w:contextualSpacing/>
        <w:jc w:val="both"/>
        <w:textAlignment w:val="auto"/>
        <w:outlineLvl w:val="3"/>
        <w:rPr>
          <w:rFonts w:hint="eastAsia" w:ascii="黑体" w:hAnsi="黑体" w:eastAsia="黑体" w:cs="Times New Roman"/>
          <w:b w:val="0"/>
          <w:bCs w:val="0"/>
          <w:color w:val="000000" w:themeColor="text1"/>
          <w:spacing w:val="-6"/>
          <w:kern w:val="0"/>
          <w:sz w:val="21"/>
          <w:szCs w:val="21"/>
          <w:highlight w:val="none"/>
          <w:lang w:val="en-US" w:eastAsia="zh-CN" w:bidi="ar-SA"/>
          <w14:textFill>
            <w14:solidFill>
              <w14:schemeClr w14:val="tx1"/>
            </w14:solidFill>
          </w14:textFill>
        </w:rPr>
      </w:pPr>
      <w:r>
        <w:rPr>
          <w:rFonts w:hint="eastAsia" w:ascii="黑体" w:hAnsi="黑体" w:eastAsia="黑体" w:cs="Times New Roman"/>
          <w:b w:val="0"/>
          <w:bCs w:val="0"/>
          <w:color w:val="000000" w:themeColor="text1"/>
          <w:spacing w:val="-6"/>
          <w:kern w:val="0"/>
          <w:sz w:val="21"/>
          <w:szCs w:val="21"/>
          <w:highlight w:val="none"/>
          <w:lang w:val="en-US" w:eastAsia="zh-CN" w:bidi="ar-SA"/>
          <w14:textFill>
            <w14:solidFill>
              <w14:schemeClr w14:val="tx1"/>
            </w14:solidFill>
          </w14:textFill>
        </w:rPr>
        <w:t>3.3.8 国合通用（青岛）测试评价有限公司</w:t>
      </w:r>
    </w:p>
    <w:p w14:paraId="51E05A24">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国合通用（青岛）测试评价有限公司隶属于国务院国资委央企有研科技集团有限公司，是承担国家新材料测试评价平台－主中心项目国合通用测试评价认证股份公司的全资子公司，于2018年5月在青岛市注册成立，占地面积约1.5万㎡。 国合通用（青岛）测试评价有限公司设有“材料检测实验室”、“化学分析实验室”“工业油品检测分析室”、“产品样品加工中心”，并建立金属材料腐蚀环境数据共享服务平台，可提供铝及铝合金、钢铁材料、镍及镍合金、钛及钛合金、工业用油、有机挥发物VOC、食品及环境等方面的检测评价服务。</w:t>
      </w:r>
    </w:p>
    <w:p w14:paraId="0CF67894">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该单位积极参与编制组的各项工作会议，对规范的校准方法提出了有效建议，在编制组中发挥了主要作用。</w:t>
      </w:r>
    </w:p>
    <w:p w14:paraId="5EA9C3E8">
      <w:pPr>
        <w:pageBreakBefore w:val="0"/>
        <w:numPr>
          <w:ilvl w:val="0"/>
          <w:numId w:val="0"/>
        </w:numPr>
        <w:kinsoku/>
        <w:wordWrap/>
        <w:overflowPunct/>
        <w:topLinePunct w:val="0"/>
        <w:bidi w:val="0"/>
        <w:spacing w:beforeLines="50" w:afterLines="50" w:line="360" w:lineRule="auto"/>
        <w:contextualSpacing/>
        <w:jc w:val="both"/>
        <w:textAlignment w:val="auto"/>
        <w:outlineLvl w:val="3"/>
        <w:rPr>
          <w:rFonts w:hint="eastAsia" w:ascii="黑体" w:hAnsi="黑体" w:eastAsia="黑体" w:cs="Times New Roman"/>
          <w:b w:val="0"/>
          <w:bCs w:val="0"/>
          <w:color w:val="000000" w:themeColor="text1"/>
          <w:spacing w:val="-6"/>
          <w:kern w:val="0"/>
          <w:sz w:val="21"/>
          <w:szCs w:val="21"/>
          <w:highlight w:val="none"/>
          <w:lang w:val="en-US" w:eastAsia="zh-CN" w:bidi="ar-SA"/>
          <w14:textFill>
            <w14:solidFill>
              <w14:schemeClr w14:val="tx1"/>
            </w14:solidFill>
          </w14:textFill>
        </w:rPr>
      </w:pPr>
      <w:r>
        <w:rPr>
          <w:rFonts w:hint="eastAsia" w:ascii="黑体" w:hAnsi="黑体" w:eastAsia="黑体" w:cs="Times New Roman"/>
          <w:b w:val="0"/>
          <w:bCs w:val="0"/>
          <w:color w:val="000000" w:themeColor="text1"/>
          <w:spacing w:val="-6"/>
          <w:kern w:val="0"/>
          <w:sz w:val="21"/>
          <w:szCs w:val="21"/>
          <w:highlight w:val="none"/>
          <w:lang w:val="en-US" w:eastAsia="zh-CN" w:bidi="ar-SA"/>
          <w14:textFill>
            <w14:solidFill>
              <w14:schemeClr w14:val="tx1"/>
            </w14:solidFill>
          </w14:textFill>
        </w:rPr>
        <w:t>3.3.9 中国科学院宁波材料技术与工程研究所</w:t>
      </w:r>
    </w:p>
    <w:p w14:paraId="650728D4">
      <w:pPr>
        <w:pageBreakBefore w:val="0"/>
        <w:kinsoku/>
        <w:wordWrap/>
        <w:overflowPunct/>
        <w:topLinePunct w:val="0"/>
        <w:bidi w:val="0"/>
        <w:spacing w:line="360" w:lineRule="auto"/>
        <w:ind w:firstLine="420" w:firstLineChars="200"/>
        <w:textAlignment w:val="auto"/>
        <w:rPr>
          <w:rFonts w:hint="eastAsia" w:hAnsi="宋体"/>
          <w:b w:val="0"/>
          <w:bCs w:val="0"/>
          <w:sz w:val="21"/>
          <w:szCs w:val="21"/>
          <w:lang w:val="en-US" w:eastAsia="zh-CN"/>
        </w:rPr>
      </w:pPr>
      <w:r>
        <w:rPr>
          <w:rFonts w:hint="eastAsia" w:hAnsi="宋体"/>
          <w:b w:val="0"/>
          <w:bCs w:val="0"/>
          <w:sz w:val="21"/>
          <w:szCs w:val="21"/>
          <w:lang w:val="en-US" w:eastAsia="zh-CN"/>
        </w:rPr>
        <w:t>中国科学院下属新材料领域重点科研机构，在先进金属材料、表面工程、精密测试技术方面成果突出。参与本规范技术指标研讨、方法审核。</w:t>
      </w:r>
    </w:p>
    <w:p w14:paraId="5B74D4BE">
      <w:pPr>
        <w:pStyle w:val="61"/>
        <w:numPr>
          <w:ilvl w:val="0"/>
          <w:numId w:val="0"/>
        </w:numPr>
        <w:spacing w:before="156" w:beforeLines="50" w:after="156" w:afterLines="50" w:line="360" w:lineRule="auto"/>
        <w:contextualSpacing/>
        <w:jc w:val="left"/>
        <w:rPr>
          <w:rFonts w:hint="eastAsia" w:ascii="黑体" w:hAnsi="黑体" w:eastAsia="黑体" w:cs="Times New Roman"/>
          <w:b w:val="0"/>
          <w:bCs w:val="0"/>
          <w:sz w:val="21"/>
          <w:szCs w:val="21"/>
          <w:highlight w:val="none"/>
          <w:lang w:val="en-US" w:eastAsia="zh-CN"/>
        </w:rPr>
      </w:pPr>
      <w:r>
        <w:rPr>
          <w:rFonts w:hint="eastAsia" w:ascii="黑体" w:hAnsi="黑体" w:eastAsia="黑体" w:cs="Times New Roman"/>
          <w:b w:val="0"/>
          <w:bCs w:val="0"/>
          <w:color w:val="000000" w:themeColor="text1"/>
          <w:spacing w:val="-6"/>
          <w:kern w:val="0"/>
          <w:sz w:val="21"/>
          <w:szCs w:val="21"/>
          <w:highlight w:val="none"/>
          <w:lang w:val="en-US" w:eastAsia="zh-CN" w:bidi="ar-SA"/>
          <w14:textFill>
            <w14:solidFill>
              <w14:schemeClr w14:val="tx1"/>
            </w14:solidFill>
          </w14:textFill>
        </w:rPr>
        <w:t xml:space="preserve">3.3.10 </w:t>
      </w:r>
      <w:bookmarkStart w:id="7" w:name="_Toc462884347"/>
      <w:bookmarkStart w:id="8" w:name="_Toc464728903"/>
      <w:r>
        <w:rPr>
          <w:rFonts w:hint="eastAsia" w:ascii="黑体" w:hAnsi="黑体" w:eastAsia="黑体" w:cs="Times New Roman"/>
          <w:b w:val="0"/>
          <w:bCs w:val="0"/>
          <w:sz w:val="21"/>
          <w:szCs w:val="21"/>
          <w:highlight w:val="none"/>
          <w:lang w:val="en-US" w:eastAsia="zh-CN"/>
        </w:rPr>
        <w:t>西南铝业</w:t>
      </w:r>
      <w:r>
        <w:rPr>
          <w:rFonts w:hint="eastAsia" w:cs="Times New Roman"/>
          <w:b w:val="0"/>
          <w:bCs w:val="0"/>
          <w:sz w:val="21"/>
          <w:szCs w:val="21"/>
          <w:highlight w:val="none"/>
          <w:lang w:val="en-US" w:eastAsia="zh-CN"/>
        </w:rPr>
        <w:t>（</w:t>
      </w:r>
      <w:r>
        <w:rPr>
          <w:rFonts w:hint="eastAsia" w:ascii="黑体" w:hAnsi="黑体" w:eastAsia="黑体" w:cs="Times New Roman"/>
          <w:b w:val="0"/>
          <w:bCs w:val="0"/>
          <w:sz w:val="21"/>
          <w:szCs w:val="21"/>
          <w:highlight w:val="none"/>
          <w:lang w:val="en-US" w:eastAsia="zh-CN"/>
        </w:rPr>
        <w:t>集团</w:t>
      </w:r>
      <w:r>
        <w:rPr>
          <w:rFonts w:hint="eastAsia" w:cs="Times New Roman"/>
          <w:b w:val="0"/>
          <w:bCs w:val="0"/>
          <w:sz w:val="21"/>
          <w:szCs w:val="21"/>
          <w:highlight w:val="none"/>
          <w:lang w:val="en-US" w:eastAsia="zh-CN"/>
        </w:rPr>
        <w:t>）</w:t>
      </w:r>
      <w:r>
        <w:rPr>
          <w:rFonts w:hint="eastAsia" w:ascii="黑体" w:hAnsi="黑体" w:eastAsia="黑体" w:cs="Times New Roman"/>
          <w:b w:val="0"/>
          <w:bCs w:val="0"/>
          <w:sz w:val="21"/>
          <w:szCs w:val="21"/>
          <w:highlight w:val="none"/>
          <w:lang w:val="en-US" w:eastAsia="zh-CN"/>
        </w:rPr>
        <w:t>有限责任公司</w:t>
      </w:r>
    </w:p>
    <w:p w14:paraId="0DC9099A">
      <w:pPr>
        <w:pageBreakBefore w:val="0"/>
        <w:kinsoku/>
        <w:wordWrap/>
        <w:overflowPunct/>
        <w:topLinePunct w:val="0"/>
        <w:bidi w:val="0"/>
        <w:spacing w:line="360" w:lineRule="auto"/>
        <w:ind w:firstLine="420" w:firstLineChars="200"/>
        <w:textAlignment w:val="auto"/>
        <w:rPr>
          <w:rFonts w:hint="default" w:hAnsi="宋体"/>
          <w:b w:val="0"/>
          <w:bCs w:val="0"/>
          <w:sz w:val="21"/>
          <w:szCs w:val="21"/>
          <w:lang w:val="en-US" w:eastAsia="zh-CN"/>
        </w:rPr>
      </w:pPr>
      <w:r>
        <w:rPr>
          <w:rFonts w:hint="default" w:hAnsi="宋体"/>
          <w:b w:val="0"/>
          <w:bCs w:val="0"/>
          <w:sz w:val="21"/>
          <w:szCs w:val="21"/>
          <w:lang w:val="en-US" w:eastAsia="zh-CN"/>
        </w:rPr>
        <w:t>西南铝业（集团）有限责任公司（简称西南铝）位于重庆市九龙坡区西彭镇，前身为冶金部112厂、西南铝加工厂，始建于1965年7月，2000年12月改制成立有限责任公司，是我国为生产重点项目、航空航天所需大规格、新品种、高质量铝及铝合金材料而建设的大型企业。西南铝培养了中国工程院院士1人、两江学者1人、国家级技能大师1人、享受国务院政府津贴专家30余人，建有院士工作站，拥有国家级企业技术中心。西南铝建有校准实验室与检测实验室，均通过CNAS认可，具备对廉金属热电偶、工业贵金属热电偶、开展热电偶的CNAS校准能力。西南铝累计申请专利722件，其中授权发明专利249件、授权实用新型专利473件，主持和参与国家、行业标准277项。</w:t>
      </w:r>
    </w:p>
    <w:p w14:paraId="249FB79A">
      <w:pPr>
        <w:pageBreakBefore w:val="0"/>
        <w:kinsoku/>
        <w:wordWrap/>
        <w:overflowPunct/>
        <w:topLinePunct w:val="0"/>
        <w:bidi w:val="0"/>
        <w:spacing w:line="360" w:lineRule="auto"/>
        <w:ind w:firstLine="420" w:firstLineChars="200"/>
        <w:textAlignment w:val="auto"/>
        <w:rPr>
          <w:rFonts w:hint="default" w:hAnsi="宋体"/>
          <w:b w:val="0"/>
          <w:bCs w:val="0"/>
          <w:sz w:val="21"/>
          <w:szCs w:val="21"/>
          <w:lang w:val="en-US" w:eastAsia="zh-CN"/>
        </w:rPr>
      </w:pPr>
      <w:r>
        <w:rPr>
          <w:rFonts w:hint="default" w:hAnsi="宋体"/>
          <w:b w:val="0"/>
          <w:bCs w:val="0"/>
          <w:sz w:val="21"/>
          <w:szCs w:val="21"/>
          <w:lang w:val="en-US" w:eastAsia="zh-CN"/>
        </w:rPr>
        <w:t>该单位积极参与编制组的各项工作会议，对规范的技术指标、校准项目等内容提出了有效建议，在编制组中发挥了主要作用。</w:t>
      </w:r>
    </w:p>
    <w:p w14:paraId="1CA26D8A">
      <w:pPr>
        <w:pStyle w:val="61"/>
        <w:pageBreakBefore w:val="0"/>
        <w:numPr>
          <w:ilvl w:val="0"/>
          <w:numId w:val="0"/>
        </w:numPr>
        <w:kinsoku/>
        <w:wordWrap/>
        <w:overflowPunct/>
        <w:topLinePunct w:val="0"/>
        <w:bidi w:val="0"/>
        <w:spacing w:before="156" w:beforeLines="50" w:after="156" w:afterLines="50" w:line="360" w:lineRule="auto"/>
        <w:ind w:leftChars="0"/>
        <w:textAlignment w:val="auto"/>
        <w:rPr>
          <w:rFonts w:hint="eastAsia" w:ascii="黑体" w:hAnsi="Times New Roman" w:eastAsia="黑体" w:cs="Times New Roman"/>
          <w:color w:val="auto"/>
          <w:spacing w:val="-4"/>
          <w:sz w:val="21"/>
          <w:szCs w:val="21"/>
        </w:rPr>
      </w:pPr>
      <w:r>
        <w:rPr>
          <w:rFonts w:hint="default" w:hAnsi="Times New Roman" w:eastAsia="黑体"/>
          <w:b w:val="0"/>
          <w:bCs w:val="0"/>
          <w:color w:val="auto"/>
          <w:spacing w:val="-4"/>
          <w:sz w:val="21"/>
          <w:szCs w:val="21"/>
        </w:rPr>
        <w:t>3.</w:t>
      </w:r>
      <w:r>
        <w:rPr>
          <w:rFonts w:hint="default" w:hAnsi="Times New Roman" w:eastAsia="黑体"/>
          <w:b w:val="0"/>
          <w:bCs w:val="0"/>
          <w:color w:val="auto"/>
          <w:spacing w:val="-4"/>
          <w:sz w:val="21"/>
          <w:szCs w:val="21"/>
          <w:lang w:val="en-US" w:eastAsia="zh-CN"/>
        </w:rPr>
        <w:t>4</w:t>
      </w:r>
      <w:r>
        <w:rPr>
          <w:rFonts w:hint="default" w:ascii="黑体" w:hAnsi="Times New Roman" w:eastAsia="黑体" w:cs="Times New Roman"/>
          <w:color w:val="auto"/>
          <w:spacing w:val="-4"/>
          <w:sz w:val="21"/>
          <w:szCs w:val="21"/>
          <w:lang w:eastAsia="zh-CN"/>
        </w:rPr>
        <w:t>各单位分工情况</w:t>
      </w:r>
    </w:p>
    <w:p w14:paraId="35305676">
      <w:pPr>
        <w:pageBreakBefore w:val="0"/>
        <w:kinsoku/>
        <w:wordWrap/>
        <w:overflowPunct/>
        <w:topLinePunct w:val="0"/>
        <w:bidi w:val="0"/>
        <w:spacing w:line="360" w:lineRule="auto"/>
        <w:ind w:firstLine="420" w:firstLineChars="200"/>
        <w:textAlignment w:val="auto"/>
        <w:rPr>
          <w:rFonts w:hint="default" w:hAnsi="宋体"/>
          <w:b w:val="0"/>
          <w:bCs w:val="0"/>
          <w:sz w:val="21"/>
          <w:szCs w:val="21"/>
          <w:lang w:val="en-US" w:eastAsia="zh-CN"/>
        </w:rPr>
      </w:pPr>
      <w:r>
        <w:rPr>
          <w:rFonts w:hint="default" w:hAnsi="宋体"/>
          <w:b w:val="0"/>
          <w:bCs w:val="0"/>
          <w:sz w:val="21"/>
          <w:szCs w:val="21"/>
          <w:lang w:val="en-US" w:eastAsia="zh-CN"/>
        </w:rPr>
        <w:t>编制组依据各单位情况，对整个规范的起草进行了分工。</w:t>
      </w:r>
      <w:r>
        <w:rPr>
          <w:rFonts w:hint="eastAsia" w:hAnsi="宋体"/>
          <w:b w:val="0"/>
          <w:bCs w:val="0"/>
          <w:sz w:val="21"/>
          <w:szCs w:val="21"/>
          <w:lang w:val="en-US" w:eastAsia="zh-CN"/>
        </w:rPr>
        <w:t>中铝洛阳铜加工有限公司</w:t>
      </w:r>
      <w:r>
        <w:rPr>
          <w:rFonts w:hint="default" w:hAnsi="宋体"/>
          <w:b w:val="0"/>
          <w:bCs w:val="0"/>
          <w:sz w:val="21"/>
          <w:szCs w:val="21"/>
          <w:lang w:val="en-US" w:eastAsia="zh-CN"/>
        </w:rPr>
        <w:t>负责资料的调研、收集，完成分析方法研究工作，撰写标准文稿、编制说明和研究报告。</w:t>
      </w:r>
      <w:r>
        <w:rPr>
          <w:rFonts w:hint="eastAsia" w:hAnsi="宋体"/>
          <w:b w:val="0"/>
          <w:bCs w:val="0"/>
          <w:sz w:val="21"/>
          <w:szCs w:val="21"/>
          <w:lang w:val="en-US" w:eastAsia="zh-CN"/>
        </w:rPr>
        <w:t>中铝材料应用研究院有限公司、国标（北京）检验认证有限公司、辽宁盛达计量检测技术有限公司、宝鸡钛业股份有限公司</w:t>
      </w:r>
      <w:r>
        <w:rPr>
          <w:rFonts w:hint="default" w:hAnsi="宋体"/>
          <w:b w:val="0"/>
          <w:bCs w:val="0"/>
          <w:sz w:val="21"/>
          <w:szCs w:val="21"/>
          <w:lang w:val="en-US" w:eastAsia="zh-CN"/>
        </w:rPr>
        <w:t>对规范内容提出具体修改意见</w:t>
      </w:r>
      <w:r>
        <w:rPr>
          <w:rFonts w:hint="eastAsia" w:hAnsi="宋体"/>
          <w:b w:val="0"/>
          <w:bCs w:val="0"/>
          <w:sz w:val="21"/>
          <w:szCs w:val="21"/>
          <w:lang w:val="en-US" w:eastAsia="zh-CN"/>
        </w:rPr>
        <w:t>，并</w:t>
      </w:r>
      <w:r>
        <w:rPr>
          <w:rFonts w:hint="default" w:hAnsi="宋体"/>
          <w:b w:val="0"/>
          <w:bCs w:val="0"/>
          <w:sz w:val="21"/>
          <w:szCs w:val="21"/>
          <w:lang w:val="en-US" w:eastAsia="zh-CN"/>
        </w:rPr>
        <w:t>提供对规范方法的验证工作及完成相应验证报告，并对标准文稿等提出相应修改意见，</w:t>
      </w:r>
      <w:r>
        <w:rPr>
          <w:rFonts w:hint="eastAsia" w:hAnsi="宋体"/>
          <w:b w:val="0"/>
          <w:bCs w:val="0"/>
          <w:sz w:val="21"/>
          <w:szCs w:val="21"/>
          <w:lang w:val="en-US" w:eastAsia="zh-CN"/>
        </w:rPr>
        <w:t>有色金属技术经济研究院有限责任公司、西安汉唐分析检测有限公司、北京科技大学、国合通用（青岛）测试评价有限公司、中国科学院宁波材料技术与工程研究所</w:t>
      </w:r>
      <w:r>
        <w:rPr>
          <w:rFonts w:hint="default" w:hAnsi="宋体"/>
          <w:b w:val="0"/>
          <w:bCs w:val="0"/>
          <w:sz w:val="21"/>
          <w:szCs w:val="21"/>
          <w:lang w:val="en-US" w:eastAsia="zh-CN"/>
        </w:rPr>
        <w:t>对标准文稿等提出相应修改意见，分工见表1。</w:t>
      </w:r>
    </w:p>
    <w:p w14:paraId="2995A8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jc w:val="center"/>
        <w:rPr>
          <w:rFonts w:hint="eastAsia" w:cs="Times New Roman" w:eastAsiaTheme="minorEastAsia"/>
          <w:b w:val="0"/>
          <w:bCs w:val="0"/>
          <w:color w:val="auto"/>
          <w:kern w:val="2"/>
          <w:sz w:val="21"/>
          <w:szCs w:val="21"/>
          <w:highlight w:val="none"/>
          <w:lang w:val="en-US" w:eastAsia="zh-CN"/>
        </w:rPr>
      </w:pPr>
      <w:r>
        <w:rPr>
          <w:rFonts w:hint="eastAsia" w:cs="Times New Roman" w:eastAsiaTheme="minorEastAsia"/>
          <w:b w:val="0"/>
          <w:bCs w:val="0"/>
          <w:color w:val="auto"/>
          <w:kern w:val="2"/>
          <w:sz w:val="21"/>
          <w:szCs w:val="21"/>
          <w:highlight w:val="none"/>
          <w:lang w:val="en-US" w:eastAsia="zh-CN"/>
        </w:rPr>
        <w:t>表1 各单位分工表</w:t>
      </w:r>
    </w:p>
    <w:tbl>
      <w:tblPr>
        <w:tblStyle w:val="42"/>
        <w:tblpPr w:leftFromText="180" w:rightFromText="180" w:vertAnchor="text" w:horzAnchor="page" w:tblpXSpec="center" w:tblpY="269"/>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0"/>
        <w:gridCol w:w="5671"/>
      </w:tblGrid>
      <w:tr w14:paraId="0B86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7" w:type="pct"/>
            <w:vAlign w:val="center"/>
          </w:tcPr>
          <w:p w14:paraId="5089854C">
            <w:pPr>
              <w:pageBreakBefore w:val="0"/>
              <w:kinsoku/>
              <w:wordWrap/>
              <w:overflowPunct/>
              <w:topLinePunct w:val="0"/>
              <w:bidi w:val="0"/>
              <w:spacing w:line="360" w:lineRule="auto"/>
              <w:jc w:val="center"/>
              <w:textAlignment w:val="auto"/>
              <w:rPr>
                <w:sz w:val="21"/>
                <w:szCs w:val="21"/>
              </w:rPr>
            </w:pPr>
            <w:r>
              <w:rPr>
                <w:rFonts w:hint="eastAsia"/>
                <w:sz w:val="21"/>
                <w:szCs w:val="21"/>
              </w:rPr>
              <w:t>单位</w:t>
            </w:r>
          </w:p>
        </w:tc>
        <w:tc>
          <w:tcPr>
            <w:tcW w:w="2962" w:type="pct"/>
            <w:vAlign w:val="center"/>
          </w:tcPr>
          <w:p w14:paraId="46CB97AA">
            <w:pPr>
              <w:pageBreakBefore w:val="0"/>
              <w:kinsoku/>
              <w:wordWrap/>
              <w:overflowPunct/>
              <w:topLinePunct w:val="0"/>
              <w:bidi w:val="0"/>
              <w:spacing w:line="360" w:lineRule="auto"/>
              <w:jc w:val="center"/>
              <w:textAlignment w:val="auto"/>
              <w:rPr>
                <w:sz w:val="21"/>
                <w:szCs w:val="21"/>
              </w:rPr>
            </w:pPr>
            <w:r>
              <w:rPr>
                <w:rFonts w:hint="eastAsia"/>
                <w:sz w:val="21"/>
                <w:szCs w:val="21"/>
              </w:rPr>
              <w:t>工作分工</w:t>
            </w:r>
          </w:p>
        </w:tc>
      </w:tr>
      <w:tr w14:paraId="51FB5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7" w:type="pct"/>
            <w:vAlign w:val="center"/>
          </w:tcPr>
          <w:p w14:paraId="36742CB8">
            <w:pPr>
              <w:pageBreakBefore w:val="0"/>
              <w:kinsoku/>
              <w:wordWrap/>
              <w:overflowPunct/>
              <w:topLinePunct w:val="0"/>
              <w:bidi w:val="0"/>
              <w:spacing w:line="360" w:lineRule="auto"/>
              <w:jc w:val="center"/>
              <w:textAlignment w:val="auto"/>
              <w:rPr>
                <w:sz w:val="21"/>
                <w:szCs w:val="21"/>
              </w:rPr>
            </w:pPr>
            <w:r>
              <w:rPr>
                <w:rFonts w:hint="eastAsia" w:ascii="宋体" w:hAnsi="宋体" w:cs="宋体"/>
                <w:sz w:val="21"/>
                <w:szCs w:val="21"/>
                <w:lang w:val="en-US" w:eastAsia="zh-CN"/>
              </w:rPr>
              <w:t>中铝洛阳铜加工有限公司</w:t>
            </w:r>
          </w:p>
        </w:tc>
        <w:tc>
          <w:tcPr>
            <w:tcW w:w="2962" w:type="pct"/>
            <w:vAlign w:val="center"/>
          </w:tcPr>
          <w:p w14:paraId="21E464CA">
            <w:pPr>
              <w:pageBreakBefore w:val="0"/>
              <w:kinsoku/>
              <w:wordWrap/>
              <w:overflowPunct/>
              <w:topLinePunct w:val="0"/>
              <w:bidi w:val="0"/>
              <w:spacing w:line="360" w:lineRule="auto"/>
              <w:jc w:val="center"/>
              <w:textAlignment w:val="auto"/>
              <w:rPr>
                <w:sz w:val="21"/>
                <w:szCs w:val="21"/>
              </w:rPr>
            </w:pPr>
            <w:r>
              <w:rPr>
                <w:rFonts w:hint="eastAsia"/>
                <w:sz w:val="21"/>
                <w:szCs w:val="21"/>
              </w:rPr>
              <w:t>规范起草编制，试验方案编订，实验数据分析，编制说明的撰写工作，会议纪要整理及规范的完善。</w:t>
            </w:r>
          </w:p>
        </w:tc>
      </w:tr>
      <w:tr w14:paraId="2EA0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7" w:type="pct"/>
            <w:vAlign w:val="center"/>
          </w:tcPr>
          <w:p w14:paraId="32B76EF6">
            <w:pPr>
              <w:pageBreakBefore w:val="0"/>
              <w:kinsoku/>
              <w:wordWrap/>
              <w:overflowPunct/>
              <w:topLinePunct w:val="0"/>
              <w:bidi w:val="0"/>
              <w:spacing w:line="360" w:lineRule="auto"/>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中铝材料应用研究院有限公司</w:t>
            </w:r>
          </w:p>
        </w:tc>
        <w:tc>
          <w:tcPr>
            <w:tcW w:w="2962" w:type="pct"/>
            <w:vAlign w:val="center"/>
          </w:tcPr>
          <w:p w14:paraId="4228B479">
            <w:pPr>
              <w:pageBreakBefore w:val="0"/>
              <w:kinsoku/>
              <w:wordWrap/>
              <w:overflowPunct/>
              <w:topLinePunct w:val="0"/>
              <w:bidi w:val="0"/>
              <w:spacing w:line="360" w:lineRule="auto"/>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开展方法试验验证，出具验证报告</w:t>
            </w:r>
          </w:p>
        </w:tc>
      </w:tr>
      <w:tr w14:paraId="3D4B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037" w:type="pct"/>
            <w:vAlign w:val="center"/>
          </w:tcPr>
          <w:p w14:paraId="5BDDCBE1">
            <w:pPr>
              <w:pageBreakBefore w:val="0"/>
              <w:kinsoku/>
              <w:wordWrap/>
              <w:overflowPunct/>
              <w:topLinePunct w:val="0"/>
              <w:bidi w:val="0"/>
              <w:spacing w:line="360" w:lineRule="auto"/>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国标（北京）检验认证有限公司</w:t>
            </w:r>
          </w:p>
        </w:tc>
        <w:tc>
          <w:tcPr>
            <w:tcW w:w="2962" w:type="pct"/>
            <w:vAlign w:val="center"/>
          </w:tcPr>
          <w:p w14:paraId="66E3694D">
            <w:pPr>
              <w:pageBreakBefore w:val="0"/>
              <w:kinsoku/>
              <w:wordWrap/>
              <w:overflowPunct/>
              <w:topLinePunct w:val="0"/>
              <w:bidi w:val="0"/>
              <w:spacing w:line="360" w:lineRule="auto"/>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开展方法试验验证，出具验证报告</w:t>
            </w:r>
          </w:p>
        </w:tc>
      </w:tr>
      <w:tr w14:paraId="5D2A4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7" w:type="pct"/>
            <w:vAlign w:val="center"/>
          </w:tcPr>
          <w:p w14:paraId="19FC9500">
            <w:pPr>
              <w:pageBreakBefore w:val="0"/>
              <w:kinsoku/>
              <w:wordWrap/>
              <w:overflowPunct/>
              <w:topLinePunct w:val="0"/>
              <w:bidi w:val="0"/>
              <w:spacing w:line="360" w:lineRule="auto"/>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辽宁盛达计量检测技术有限公司</w:t>
            </w:r>
          </w:p>
        </w:tc>
        <w:tc>
          <w:tcPr>
            <w:tcW w:w="2962" w:type="pct"/>
            <w:vAlign w:val="center"/>
          </w:tcPr>
          <w:p w14:paraId="09ECD168">
            <w:pPr>
              <w:pageBreakBefore w:val="0"/>
              <w:kinsoku/>
              <w:wordWrap/>
              <w:overflowPunct/>
              <w:topLinePunct w:val="0"/>
              <w:bidi w:val="0"/>
              <w:spacing w:line="360" w:lineRule="auto"/>
              <w:jc w:val="center"/>
              <w:textAlignment w:val="auto"/>
              <w:rPr>
                <w:sz w:val="21"/>
                <w:szCs w:val="21"/>
              </w:rPr>
            </w:pPr>
            <w:r>
              <w:rPr>
                <w:rFonts w:hint="eastAsia"/>
                <w:sz w:val="21"/>
                <w:szCs w:val="21"/>
              </w:rPr>
              <w:t>内容审阅并提出修改意见</w:t>
            </w:r>
          </w:p>
        </w:tc>
      </w:tr>
      <w:tr w14:paraId="30A85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7" w:type="pct"/>
            <w:vAlign w:val="center"/>
          </w:tcPr>
          <w:p w14:paraId="39647D25">
            <w:pPr>
              <w:pageBreakBefore w:val="0"/>
              <w:kinsoku/>
              <w:wordWrap/>
              <w:overflowPunct/>
              <w:topLinePunct w:val="0"/>
              <w:bidi w:val="0"/>
              <w:spacing w:line="360" w:lineRule="auto"/>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宝鸡钛业股份有限公司</w:t>
            </w:r>
          </w:p>
        </w:tc>
        <w:tc>
          <w:tcPr>
            <w:tcW w:w="2962" w:type="pct"/>
            <w:vAlign w:val="center"/>
          </w:tcPr>
          <w:p w14:paraId="5F21D9AB">
            <w:pPr>
              <w:pageBreakBefore w:val="0"/>
              <w:kinsoku/>
              <w:wordWrap/>
              <w:overflowPunct/>
              <w:topLinePunct w:val="0"/>
              <w:bidi w:val="0"/>
              <w:spacing w:line="360" w:lineRule="auto"/>
              <w:jc w:val="center"/>
              <w:textAlignment w:val="auto"/>
              <w:rPr>
                <w:color w:val="FF0000"/>
                <w:sz w:val="21"/>
                <w:szCs w:val="21"/>
                <w:highlight w:val="yellow"/>
              </w:rPr>
            </w:pPr>
            <w:r>
              <w:rPr>
                <w:rFonts w:hint="eastAsia"/>
                <w:sz w:val="21"/>
                <w:szCs w:val="21"/>
              </w:rPr>
              <w:t>内容审阅并提出修改意见</w:t>
            </w:r>
          </w:p>
        </w:tc>
      </w:tr>
      <w:tr w14:paraId="016C8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7" w:type="pct"/>
            <w:vAlign w:val="center"/>
          </w:tcPr>
          <w:p w14:paraId="46318AC9">
            <w:pPr>
              <w:pageBreakBefore w:val="0"/>
              <w:kinsoku/>
              <w:wordWrap/>
              <w:overflowPunct/>
              <w:topLinePunct w:val="0"/>
              <w:bidi w:val="0"/>
              <w:spacing w:line="360" w:lineRule="auto"/>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有色金属技术经济研究院有限责任公司</w:t>
            </w:r>
          </w:p>
        </w:tc>
        <w:tc>
          <w:tcPr>
            <w:tcW w:w="2962" w:type="pct"/>
            <w:vAlign w:val="center"/>
          </w:tcPr>
          <w:p w14:paraId="75A621D3">
            <w:pPr>
              <w:pageBreakBefore w:val="0"/>
              <w:kinsoku/>
              <w:wordWrap/>
              <w:overflowPunct/>
              <w:topLinePunct w:val="0"/>
              <w:bidi w:val="0"/>
              <w:spacing w:line="360" w:lineRule="auto"/>
              <w:jc w:val="center"/>
              <w:textAlignment w:val="auto"/>
              <w:rPr>
                <w:sz w:val="21"/>
                <w:szCs w:val="21"/>
              </w:rPr>
            </w:pPr>
            <w:r>
              <w:rPr>
                <w:rFonts w:hint="eastAsia"/>
                <w:sz w:val="21"/>
                <w:szCs w:val="21"/>
              </w:rPr>
              <w:t>实验方案讨论，内容审阅并提出修改意见</w:t>
            </w:r>
          </w:p>
        </w:tc>
      </w:tr>
      <w:tr w14:paraId="41F37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7" w:type="pct"/>
            <w:vAlign w:val="center"/>
          </w:tcPr>
          <w:p w14:paraId="3CCC8784">
            <w:pPr>
              <w:pageBreakBefore w:val="0"/>
              <w:kinsoku/>
              <w:wordWrap/>
              <w:overflowPunct/>
              <w:topLinePunct w:val="0"/>
              <w:bidi w:val="0"/>
              <w:spacing w:line="360" w:lineRule="auto"/>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西安汉唐分析检测有限公司</w:t>
            </w:r>
          </w:p>
        </w:tc>
        <w:tc>
          <w:tcPr>
            <w:tcW w:w="2962" w:type="pct"/>
            <w:vAlign w:val="center"/>
          </w:tcPr>
          <w:p w14:paraId="0D77A4A1">
            <w:pPr>
              <w:pageBreakBefore w:val="0"/>
              <w:kinsoku/>
              <w:wordWrap/>
              <w:overflowPunct/>
              <w:topLinePunct w:val="0"/>
              <w:bidi w:val="0"/>
              <w:spacing w:line="360" w:lineRule="auto"/>
              <w:jc w:val="center"/>
              <w:textAlignment w:val="auto"/>
              <w:rPr>
                <w:color w:val="FF0000"/>
                <w:sz w:val="21"/>
                <w:szCs w:val="21"/>
              </w:rPr>
            </w:pPr>
            <w:r>
              <w:rPr>
                <w:rFonts w:hint="eastAsia"/>
                <w:sz w:val="21"/>
                <w:szCs w:val="21"/>
              </w:rPr>
              <w:t>实验方案讨论，内容审阅并提出修改意见</w:t>
            </w:r>
          </w:p>
        </w:tc>
      </w:tr>
      <w:tr w14:paraId="728E4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7" w:type="pct"/>
            <w:vAlign w:val="center"/>
          </w:tcPr>
          <w:p w14:paraId="338ECD64">
            <w:pPr>
              <w:pageBreakBefore w:val="0"/>
              <w:kinsoku/>
              <w:wordWrap/>
              <w:overflowPunct/>
              <w:topLinePunct w:val="0"/>
              <w:bidi w:val="0"/>
              <w:spacing w:line="360" w:lineRule="auto"/>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北京科技大学</w:t>
            </w:r>
          </w:p>
        </w:tc>
        <w:tc>
          <w:tcPr>
            <w:tcW w:w="2962" w:type="pct"/>
            <w:vAlign w:val="center"/>
          </w:tcPr>
          <w:p w14:paraId="086A56BD">
            <w:pPr>
              <w:pageBreakBefore w:val="0"/>
              <w:kinsoku/>
              <w:wordWrap/>
              <w:overflowPunct/>
              <w:topLinePunct w:val="0"/>
              <w:bidi w:val="0"/>
              <w:spacing w:line="360" w:lineRule="auto"/>
              <w:jc w:val="center"/>
              <w:textAlignment w:val="auto"/>
              <w:rPr>
                <w:sz w:val="21"/>
                <w:szCs w:val="21"/>
              </w:rPr>
            </w:pPr>
            <w:r>
              <w:rPr>
                <w:rFonts w:hint="eastAsia"/>
                <w:sz w:val="21"/>
                <w:szCs w:val="21"/>
              </w:rPr>
              <w:t>实验方案讨论，内容审阅并提出修改意见</w:t>
            </w:r>
          </w:p>
        </w:tc>
      </w:tr>
      <w:tr w14:paraId="6553F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7" w:type="pct"/>
            <w:vAlign w:val="center"/>
          </w:tcPr>
          <w:p w14:paraId="579C3B97">
            <w:pPr>
              <w:pageBreakBefore w:val="0"/>
              <w:kinsoku/>
              <w:wordWrap/>
              <w:overflowPunct/>
              <w:topLinePunct w:val="0"/>
              <w:bidi w:val="0"/>
              <w:spacing w:line="360" w:lineRule="auto"/>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国合通用（青岛）测试评价有限公司</w:t>
            </w:r>
          </w:p>
        </w:tc>
        <w:tc>
          <w:tcPr>
            <w:tcW w:w="2962" w:type="pct"/>
            <w:vAlign w:val="center"/>
          </w:tcPr>
          <w:p w14:paraId="1FA70412">
            <w:pPr>
              <w:pageBreakBefore w:val="0"/>
              <w:kinsoku/>
              <w:wordWrap/>
              <w:overflowPunct/>
              <w:topLinePunct w:val="0"/>
              <w:bidi w:val="0"/>
              <w:spacing w:line="360" w:lineRule="auto"/>
              <w:jc w:val="center"/>
              <w:textAlignment w:val="auto"/>
              <w:rPr>
                <w:sz w:val="21"/>
                <w:szCs w:val="21"/>
              </w:rPr>
            </w:pPr>
            <w:r>
              <w:rPr>
                <w:rFonts w:hint="eastAsia"/>
                <w:sz w:val="21"/>
                <w:szCs w:val="21"/>
              </w:rPr>
              <w:t>内容审阅并提出修改意见</w:t>
            </w:r>
          </w:p>
        </w:tc>
      </w:tr>
      <w:tr w14:paraId="5DB8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7" w:type="pct"/>
            <w:vAlign w:val="center"/>
          </w:tcPr>
          <w:p w14:paraId="45ECE95D">
            <w:pPr>
              <w:pageBreakBefore w:val="0"/>
              <w:kinsoku/>
              <w:wordWrap/>
              <w:overflowPunct/>
              <w:topLinePunct w:val="0"/>
              <w:bidi w:val="0"/>
              <w:spacing w:line="360" w:lineRule="auto"/>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中国科学院宁波材料技术与工程研究所</w:t>
            </w:r>
          </w:p>
        </w:tc>
        <w:tc>
          <w:tcPr>
            <w:tcW w:w="2962" w:type="pct"/>
            <w:vAlign w:val="center"/>
          </w:tcPr>
          <w:p w14:paraId="61FAB6BE">
            <w:pPr>
              <w:pageBreakBefore w:val="0"/>
              <w:kinsoku/>
              <w:wordWrap/>
              <w:overflowPunct/>
              <w:topLinePunct w:val="0"/>
              <w:bidi w:val="0"/>
              <w:spacing w:line="360" w:lineRule="auto"/>
              <w:jc w:val="center"/>
              <w:textAlignment w:val="auto"/>
              <w:rPr>
                <w:rFonts w:hint="eastAsia"/>
                <w:sz w:val="21"/>
                <w:szCs w:val="21"/>
              </w:rPr>
            </w:pPr>
            <w:r>
              <w:rPr>
                <w:rFonts w:hint="eastAsia"/>
                <w:sz w:val="21"/>
                <w:szCs w:val="21"/>
              </w:rPr>
              <w:t>内容审阅并提出修改意见</w:t>
            </w:r>
          </w:p>
        </w:tc>
      </w:tr>
      <w:tr w14:paraId="2DC04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37" w:type="pct"/>
            <w:vAlign w:val="center"/>
          </w:tcPr>
          <w:p w14:paraId="303DF853">
            <w:pPr>
              <w:pageBreakBefore w:val="0"/>
              <w:kinsoku/>
              <w:wordWrap/>
              <w:overflowPunct/>
              <w:topLinePunct w:val="0"/>
              <w:bidi w:val="0"/>
              <w:spacing w:line="360" w:lineRule="auto"/>
              <w:jc w:val="center"/>
              <w:textAlignment w:val="auto"/>
              <w:rPr>
                <w:rFonts w:hint="eastAsia" w:ascii="宋体" w:hAnsi="宋体" w:cs="宋体"/>
                <w:sz w:val="21"/>
                <w:szCs w:val="21"/>
                <w:lang w:val="en-US" w:eastAsia="zh-CN"/>
              </w:rPr>
            </w:pPr>
            <w:bookmarkStart w:id="9" w:name="_Toc464728913"/>
            <w:bookmarkStart w:id="10" w:name="_Toc462884357"/>
            <w:r>
              <w:rPr>
                <w:rFonts w:hint="eastAsia" w:ascii="宋体" w:hAnsi="宋体" w:cs="宋体"/>
                <w:sz w:val="21"/>
                <w:szCs w:val="21"/>
                <w:lang w:val="en-US" w:eastAsia="zh-CN"/>
              </w:rPr>
              <w:t>西南铝业（集团）有限责任公司</w:t>
            </w:r>
          </w:p>
        </w:tc>
        <w:tc>
          <w:tcPr>
            <w:tcW w:w="2962" w:type="pct"/>
            <w:vAlign w:val="center"/>
          </w:tcPr>
          <w:p w14:paraId="64D86774">
            <w:pPr>
              <w:pageBreakBefore w:val="0"/>
              <w:kinsoku/>
              <w:wordWrap/>
              <w:overflowPunct/>
              <w:topLinePunct w:val="0"/>
              <w:bidi w:val="0"/>
              <w:spacing w:line="360" w:lineRule="auto"/>
              <w:jc w:val="center"/>
              <w:textAlignment w:val="auto"/>
              <w:rPr>
                <w:rFonts w:hint="eastAsia"/>
                <w:sz w:val="21"/>
                <w:szCs w:val="21"/>
              </w:rPr>
            </w:pPr>
            <w:r>
              <w:rPr>
                <w:rFonts w:hint="eastAsia"/>
                <w:sz w:val="21"/>
                <w:szCs w:val="21"/>
              </w:rPr>
              <w:t>内容审阅并提出修改意见</w:t>
            </w:r>
          </w:p>
        </w:tc>
      </w:tr>
      <w:bookmarkEnd w:id="7"/>
      <w:bookmarkEnd w:id="8"/>
    </w:tbl>
    <w:p w14:paraId="3126F503">
      <w:pPr>
        <w:pStyle w:val="4"/>
        <w:pageBreakBefore w:val="0"/>
        <w:numPr>
          <w:ilvl w:val="0"/>
          <w:numId w:val="11"/>
        </w:numPr>
        <w:kinsoku/>
        <w:wordWrap/>
        <w:overflowPunct/>
        <w:topLinePunct w:val="0"/>
        <w:bidi w:val="0"/>
        <w:spacing w:before="156" w:after="156" w:line="360" w:lineRule="auto"/>
        <w:textAlignment w:val="auto"/>
        <w:rPr>
          <w:rFonts w:hint="eastAsia"/>
          <w:b w:val="0"/>
          <w:bCs w:val="0"/>
          <w:sz w:val="21"/>
          <w:szCs w:val="21"/>
        </w:rPr>
      </w:pPr>
      <w:r>
        <w:rPr>
          <w:rFonts w:hint="eastAsia"/>
          <w:b w:val="0"/>
          <w:bCs w:val="0"/>
          <w:sz w:val="21"/>
          <w:szCs w:val="21"/>
        </w:rPr>
        <w:t>主要工作过程</w:t>
      </w:r>
      <w:bookmarkEnd w:id="9"/>
      <w:bookmarkEnd w:id="10"/>
    </w:p>
    <w:p w14:paraId="13F9A9F6">
      <w:pPr>
        <w:pStyle w:val="60"/>
        <w:pageBreakBefore w:val="0"/>
        <w:kinsoku/>
        <w:wordWrap/>
        <w:overflowPunct/>
        <w:topLinePunct w:val="0"/>
        <w:bidi w:val="0"/>
        <w:spacing w:line="360" w:lineRule="auto"/>
        <w:ind w:left="0" w:leftChars="0" w:firstLine="0" w:firstLineChars="0"/>
        <w:textAlignment w:val="auto"/>
        <w:rPr>
          <w:rFonts w:hint="default"/>
          <w:sz w:val="21"/>
          <w:szCs w:val="21"/>
          <w:lang w:val="en-US" w:eastAsia="zh-CN"/>
        </w:rPr>
      </w:pPr>
      <w:bookmarkStart w:id="11" w:name="_Hlk134448643"/>
      <w:r>
        <w:rPr>
          <w:rFonts w:hint="default" w:ascii="黑体" w:hAnsi="Times New Roman" w:eastAsia="黑体" w:cs="Times New Roman"/>
          <w:color w:val="auto"/>
          <w:spacing w:val="-4"/>
          <w:sz w:val="21"/>
          <w:szCs w:val="21"/>
          <w:lang w:val="en-US" w:eastAsia="zh-CN" w:bidi="ar-SA"/>
        </w:rPr>
        <w:t>4.1 预研阶段</w:t>
      </w:r>
    </w:p>
    <w:p w14:paraId="2D0D8A0B">
      <w:pPr>
        <w:pageBreakBefore w:val="0"/>
        <w:kinsoku/>
        <w:wordWrap/>
        <w:overflowPunct/>
        <w:topLinePunct w:val="0"/>
        <w:bidi w:val="0"/>
        <w:spacing w:line="360" w:lineRule="auto"/>
        <w:ind w:firstLine="555"/>
        <w:textAlignment w:val="auto"/>
        <w:rPr>
          <w:rFonts w:hint="eastAsia" w:hAnsi="宋体"/>
          <w:b w:val="0"/>
          <w:bCs w:val="0"/>
          <w:sz w:val="21"/>
          <w:szCs w:val="21"/>
          <w:lang w:val="en-US" w:eastAsia="zh-CN"/>
        </w:rPr>
      </w:pPr>
      <w:r>
        <w:rPr>
          <w:rFonts w:hint="eastAsia" w:hAnsi="宋体"/>
          <w:b w:val="0"/>
          <w:bCs w:val="0"/>
          <w:sz w:val="21"/>
          <w:szCs w:val="21"/>
          <w:lang w:val="en-US" w:eastAsia="zh-CN"/>
        </w:rPr>
        <w:t>中铝洛阳铜加工有限公司于2025年8月接到有色金属行业计量技术委员会转发的下达的制定任务后，成立了计量规范编制组，对计量技术规范编写工作进行了部署和分工，制定了本规范的制定原则及工作计划。本项目主要工作过程经过了以下几个阶段：</w:t>
      </w:r>
    </w:p>
    <w:p w14:paraId="5F3D34BE">
      <w:pPr>
        <w:pageBreakBefore w:val="0"/>
        <w:kinsoku/>
        <w:wordWrap/>
        <w:overflowPunct/>
        <w:topLinePunct w:val="0"/>
        <w:bidi w:val="0"/>
        <w:spacing w:line="360" w:lineRule="auto"/>
        <w:ind w:firstLine="555"/>
        <w:textAlignment w:val="auto"/>
        <w:rPr>
          <w:rFonts w:hint="eastAsia" w:hAnsi="宋体"/>
          <w:b w:val="0"/>
          <w:bCs w:val="0"/>
          <w:sz w:val="21"/>
          <w:szCs w:val="21"/>
          <w:lang w:val="en-US" w:eastAsia="zh-CN"/>
        </w:rPr>
      </w:pPr>
      <w:r>
        <w:rPr>
          <w:rFonts w:hint="eastAsia" w:hAnsi="宋体"/>
          <w:b w:val="0"/>
          <w:bCs w:val="0"/>
          <w:sz w:val="21"/>
          <w:szCs w:val="21"/>
          <w:lang w:val="en-US" w:eastAsia="zh-CN"/>
        </w:rPr>
        <w:t>1）2025年9月成立了计量规范编制组，明确了编制组成员各自的工作内容和任务。</w:t>
      </w:r>
    </w:p>
    <w:p w14:paraId="045BECD7">
      <w:pPr>
        <w:pageBreakBefore w:val="0"/>
        <w:kinsoku/>
        <w:wordWrap/>
        <w:overflowPunct/>
        <w:topLinePunct w:val="0"/>
        <w:bidi w:val="0"/>
        <w:spacing w:line="360" w:lineRule="auto"/>
        <w:ind w:firstLine="555"/>
        <w:textAlignment w:val="auto"/>
        <w:rPr>
          <w:rFonts w:hint="eastAsia" w:hAnsi="宋体"/>
          <w:b w:val="0"/>
          <w:bCs w:val="0"/>
          <w:sz w:val="21"/>
          <w:szCs w:val="21"/>
          <w:lang w:val="en-US" w:eastAsia="zh-CN"/>
        </w:rPr>
      </w:pPr>
      <w:r>
        <w:rPr>
          <w:rFonts w:hint="eastAsia" w:hAnsi="宋体"/>
          <w:b w:val="0"/>
          <w:bCs w:val="0"/>
          <w:sz w:val="21"/>
          <w:szCs w:val="21"/>
          <w:lang w:val="en-US" w:eastAsia="zh-CN"/>
        </w:rPr>
        <w:t>2）2025年11月～2026年3月，编制组成员对《有色金属材料分析用辉光放电发射光谱仪校准规范》中的计量特性及校准方法进行了讨论，确定了校准项目和方法，在2026年5月形成了计量规范讨论稿。</w:t>
      </w:r>
    </w:p>
    <w:p w14:paraId="4AD2DEA8">
      <w:pPr>
        <w:spacing w:line="360" w:lineRule="auto"/>
        <w:ind w:firstLine="420" w:firstLineChars="200"/>
        <w:rPr>
          <w:rFonts w:hint="eastAsia" w:hAnsi="宋体"/>
          <w:b w:val="0"/>
          <w:bCs w:val="0"/>
          <w:sz w:val="21"/>
          <w:szCs w:val="21"/>
          <w:lang w:val="en-US" w:eastAsia="zh-CN"/>
        </w:rPr>
      </w:pPr>
      <w:r>
        <w:rPr>
          <w:rFonts w:hint="eastAsia" w:hAnsi="宋体"/>
          <w:b w:val="0"/>
          <w:bCs w:val="0"/>
          <w:sz w:val="21"/>
          <w:szCs w:val="21"/>
          <w:lang w:val="en-US" w:eastAsia="zh-CN"/>
        </w:rPr>
        <w:t>3）2026年5月19日～5月22日，在辽宁省大连市召开</w:t>
      </w:r>
      <w:r>
        <w:rPr>
          <w:rFonts w:hint="default" w:hAnsi="宋体"/>
          <w:b w:val="0"/>
          <w:bCs w:val="0"/>
          <w:sz w:val="21"/>
          <w:szCs w:val="21"/>
          <w:lang w:val="en-US" w:eastAsia="zh-CN"/>
        </w:rPr>
        <w:t>有色金属行业2026年第三次计量技术规范工作会议</w:t>
      </w:r>
      <w:r>
        <w:rPr>
          <w:rFonts w:hint="eastAsia" w:hAnsi="宋体"/>
          <w:b w:val="0"/>
          <w:bCs w:val="0"/>
          <w:sz w:val="21"/>
          <w:szCs w:val="21"/>
          <w:lang w:val="en-US" w:eastAsia="zh-CN"/>
        </w:rPr>
        <w:t>上，对《有色金属材料分析用辉光放电发射光谱仪校准规范》进行了讨论，会上有来自不同单位的计量委员会委员、专家、代表就讨论稿中的计量特性、校准项目、校准方法等内容提出了修改建议和意见。同时，会上确定了项目的参编单位及一验、二验单位，明确了各项工作时间进度要求，具体内容见表2。修改后形成了《有色金属材料分析用辉光放电发射光谱仪校准规范》征求意见稿。</w:t>
      </w:r>
    </w:p>
    <w:p w14:paraId="422EB337">
      <w:pPr>
        <w:spacing w:line="360" w:lineRule="auto"/>
        <w:ind w:firstLine="420" w:firstLineChars="200"/>
        <w:jc w:val="center"/>
      </w:pPr>
      <w:r>
        <w:rPr>
          <w:rFonts w:hint="eastAsia"/>
        </w:rPr>
        <w:t>表</w:t>
      </w:r>
      <w:r>
        <w:rPr>
          <w:rFonts w:hint="eastAsia"/>
          <w:lang w:val="en-US" w:eastAsia="zh-CN"/>
        </w:rPr>
        <w:t>2</w:t>
      </w:r>
      <w:r>
        <w:rPr>
          <w:rFonts w:hint="eastAsia"/>
        </w:rPr>
        <w:t>有色金属计量技术规范研讨会会议纪要</w:t>
      </w:r>
    </w:p>
    <w:tbl>
      <w:tblPr>
        <w:tblStyle w:val="42"/>
        <w:tblW w:w="4751" w:type="pct"/>
        <w:tblInd w:w="244" w:type="dxa"/>
        <w:tblLayout w:type="fixed"/>
        <w:tblCellMar>
          <w:top w:w="0" w:type="dxa"/>
          <w:left w:w="108" w:type="dxa"/>
          <w:bottom w:w="0" w:type="dxa"/>
          <w:right w:w="108" w:type="dxa"/>
        </w:tblCellMar>
      </w:tblPr>
      <w:tblGrid>
        <w:gridCol w:w="847"/>
        <w:gridCol w:w="1657"/>
        <w:gridCol w:w="2612"/>
        <w:gridCol w:w="2034"/>
        <w:gridCol w:w="1945"/>
      </w:tblGrid>
      <w:tr w14:paraId="0C375AFD">
        <w:tblPrEx>
          <w:tblCellMar>
            <w:top w:w="0" w:type="dxa"/>
            <w:left w:w="108" w:type="dxa"/>
            <w:bottom w:w="0" w:type="dxa"/>
            <w:right w:w="108" w:type="dxa"/>
          </w:tblCellMar>
        </w:tblPrEx>
        <w:trPr>
          <w:trHeight w:val="129" w:hRule="atLeast"/>
        </w:trPr>
        <w:tc>
          <w:tcPr>
            <w:tcW w:w="465" w:type="pct"/>
            <w:tcBorders>
              <w:top w:val="single" w:color="auto" w:sz="4" w:space="0"/>
              <w:left w:val="single" w:color="auto" w:sz="4" w:space="0"/>
              <w:bottom w:val="single" w:color="auto" w:sz="4" w:space="0"/>
              <w:right w:val="single" w:color="auto" w:sz="4" w:space="0"/>
            </w:tcBorders>
            <w:noWrap/>
            <w:vAlign w:val="center"/>
          </w:tcPr>
          <w:p w14:paraId="149E0EA3">
            <w:pPr>
              <w:spacing w:line="360" w:lineRule="auto"/>
            </w:pPr>
            <w:r>
              <w:t>序号</w:t>
            </w:r>
          </w:p>
        </w:tc>
        <w:tc>
          <w:tcPr>
            <w:tcW w:w="910" w:type="pct"/>
            <w:tcBorders>
              <w:top w:val="single" w:color="auto" w:sz="4" w:space="0"/>
              <w:left w:val="nil"/>
              <w:bottom w:val="single" w:color="auto" w:sz="4" w:space="0"/>
              <w:right w:val="single" w:color="auto" w:sz="4" w:space="0"/>
            </w:tcBorders>
            <w:vAlign w:val="center"/>
          </w:tcPr>
          <w:p w14:paraId="5000715F">
            <w:pPr>
              <w:spacing w:line="360" w:lineRule="auto"/>
            </w:pPr>
            <w:r>
              <w:t>标准章条编号</w:t>
            </w:r>
          </w:p>
        </w:tc>
        <w:tc>
          <w:tcPr>
            <w:tcW w:w="1435" w:type="pct"/>
            <w:tcBorders>
              <w:top w:val="single" w:color="auto" w:sz="4" w:space="0"/>
              <w:left w:val="nil"/>
              <w:bottom w:val="single" w:color="auto" w:sz="4" w:space="0"/>
              <w:right w:val="single" w:color="auto" w:sz="4" w:space="0"/>
            </w:tcBorders>
            <w:noWrap/>
            <w:vAlign w:val="center"/>
          </w:tcPr>
          <w:p w14:paraId="3C0A39E8">
            <w:pPr>
              <w:spacing w:line="360" w:lineRule="auto"/>
            </w:pPr>
            <w:r>
              <w:t>意见内容</w:t>
            </w:r>
          </w:p>
        </w:tc>
        <w:tc>
          <w:tcPr>
            <w:tcW w:w="1118" w:type="pct"/>
            <w:tcBorders>
              <w:top w:val="single" w:color="auto" w:sz="4" w:space="0"/>
              <w:left w:val="nil"/>
              <w:bottom w:val="single" w:color="auto" w:sz="4" w:space="0"/>
              <w:right w:val="single" w:color="auto" w:sz="4" w:space="0"/>
            </w:tcBorders>
            <w:noWrap/>
            <w:vAlign w:val="center"/>
          </w:tcPr>
          <w:p w14:paraId="40D441A1">
            <w:pPr>
              <w:spacing w:line="360" w:lineRule="auto"/>
            </w:pPr>
            <w:r>
              <w:t>提出单位</w:t>
            </w:r>
          </w:p>
        </w:tc>
        <w:tc>
          <w:tcPr>
            <w:tcW w:w="1069" w:type="pct"/>
            <w:tcBorders>
              <w:top w:val="single" w:color="auto" w:sz="4" w:space="0"/>
              <w:left w:val="nil"/>
              <w:bottom w:val="single" w:color="auto" w:sz="4" w:space="0"/>
              <w:right w:val="single" w:color="auto" w:sz="4" w:space="0"/>
            </w:tcBorders>
            <w:noWrap/>
            <w:vAlign w:val="center"/>
          </w:tcPr>
          <w:p w14:paraId="29E6898B">
            <w:pPr>
              <w:spacing w:line="360" w:lineRule="auto"/>
            </w:pPr>
            <w:r>
              <w:t>处理意见</w:t>
            </w:r>
          </w:p>
        </w:tc>
      </w:tr>
      <w:tr w14:paraId="1D493973">
        <w:tblPrEx>
          <w:tblCellMar>
            <w:top w:w="0" w:type="dxa"/>
            <w:left w:w="108" w:type="dxa"/>
            <w:bottom w:w="0" w:type="dxa"/>
            <w:right w:w="108" w:type="dxa"/>
          </w:tblCellMar>
        </w:tblPrEx>
        <w:trPr>
          <w:trHeight w:val="495" w:hRule="atLeast"/>
        </w:trPr>
        <w:tc>
          <w:tcPr>
            <w:tcW w:w="465" w:type="pct"/>
            <w:tcBorders>
              <w:top w:val="nil"/>
              <w:left w:val="single" w:color="auto" w:sz="4" w:space="0"/>
              <w:bottom w:val="single" w:color="auto" w:sz="4" w:space="0"/>
              <w:right w:val="single" w:color="auto" w:sz="4" w:space="0"/>
            </w:tcBorders>
            <w:noWrap/>
            <w:vAlign w:val="center"/>
          </w:tcPr>
          <w:p w14:paraId="42AA45F2">
            <w:pPr>
              <w:spacing w:line="360" w:lineRule="auto"/>
              <w:jc w:val="center"/>
              <w:rPr>
                <w:rFonts w:hint="eastAsia" w:eastAsia="宋体"/>
                <w:lang w:val="en-US" w:eastAsia="zh-CN"/>
              </w:rPr>
            </w:pPr>
            <w:r>
              <w:rPr>
                <w:rFonts w:hint="eastAsia"/>
                <w:lang w:val="en-US" w:eastAsia="zh-CN"/>
              </w:rPr>
              <w:t>1</w:t>
            </w:r>
          </w:p>
        </w:tc>
        <w:tc>
          <w:tcPr>
            <w:tcW w:w="910" w:type="pct"/>
            <w:tcBorders>
              <w:top w:val="nil"/>
              <w:left w:val="nil"/>
              <w:bottom w:val="single" w:color="auto" w:sz="4" w:space="0"/>
              <w:right w:val="single" w:color="auto" w:sz="4" w:space="0"/>
            </w:tcBorders>
            <w:noWrap/>
            <w:vAlign w:val="center"/>
          </w:tcPr>
          <w:p w14:paraId="194A2AEF">
            <w:pPr>
              <w:spacing w:line="240" w:lineRule="auto"/>
              <w:jc w:val="center"/>
              <w:rPr>
                <w:rFonts w:hint="default" w:eastAsia="宋体"/>
                <w:lang w:val="en-US" w:eastAsia="zh-CN"/>
              </w:rPr>
            </w:pPr>
            <w:r>
              <w:rPr>
                <w:rFonts w:hint="eastAsia"/>
                <w:lang w:val="en-US" w:eastAsia="zh-CN"/>
              </w:rPr>
              <w:t>1</w:t>
            </w:r>
          </w:p>
        </w:tc>
        <w:tc>
          <w:tcPr>
            <w:tcW w:w="1435" w:type="pct"/>
            <w:tcBorders>
              <w:top w:val="nil"/>
              <w:left w:val="nil"/>
              <w:bottom w:val="single" w:color="auto" w:sz="4" w:space="0"/>
              <w:right w:val="single" w:color="auto" w:sz="4" w:space="0"/>
            </w:tcBorders>
            <w:noWrap/>
            <w:vAlign w:val="center"/>
          </w:tcPr>
          <w:p w14:paraId="4D5DDA61">
            <w:pPr>
              <w:spacing w:line="240" w:lineRule="auto"/>
              <w:rPr>
                <w:rFonts w:hint="default" w:eastAsia="宋体"/>
                <w:lang w:val="en-US" w:eastAsia="zh-CN"/>
              </w:rPr>
            </w:pPr>
            <w:r>
              <w:rPr>
                <w:rFonts w:hint="eastAsia"/>
                <w:lang w:val="en-US" w:eastAsia="zh-CN"/>
              </w:rPr>
              <w:t>范围中加入“合金”</w:t>
            </w:r>
          </w:p>
        </w:tc>
        <w:tc>
          <w:tcPr>
            <w:tcW w:w="1118" w:type="pct"/>
            <w:tcBorders>
              <w:top w:val="nil"/>
              <w:left w:val="nil"/>
              <w:bottom w:val="single" w:color="auto" w:sz="4" w:space="0"/>
              <w:right w:val="single" w:color="auto" w:sz="4" w:space="0"/>
            </w:tcBorders>
            <w:shd w:val="clear" w:color="auto" w:fill="auto"/>
            <w:noWrap/>
            <w:vAlign w:val="center"/>
          </w:tcPr>
          <w:p w14:paraId="248FA6FD">
            <w:pPr>
              <w:spacing w:line="240" w:lineRule="auto"/>
              <w:jc w:val="center"/>
              <w:rPr>
                <w:rFonts w:hint="eastAsia" w:ascii="Times New Roman" w:hAnsi="Times New Roman" w:eastAsia="宋体" w:cs="Times New Roman"/>
                <w:kern w:val="2"/>
                <w:sz w:val="21"/>
                <w:szCs w:val="24"/>
                <w:lang w:val="en-US" w:eastAsia="zh-CN" w:bidi="ar-SA"/>
              </w:rPr>
            </w:pPr>
            <w:r>
              <w:rPr>
                <w:rFonts w:hint="eastAsia" w:ascii="宋体" w:hAnsi="宋体" w:cs="宋体"/>
                <w:sz w:val="21"/>
                <w:szCs w:val="21"/>
                <w:lang w:val="en-US" w:eastAsia="zh-CN"/>
              </w:rPr>
              <w:t>专家组</w:t>
            </w:r>
          </w:p>
        </w:tc>
        <w:tc>
          <w:tcPr>
            <w:tcW w:w="1069" w:type="pct"/>
            <w:tcBorders>
              <w:top w:val="nil"/>
              <w:left w:val="nil"/>
              <w:bottom w:val="single" w:color="auto" w:sz="4" w:space="0"/>
              <w:right w:val="single" w:color="auto" w:sz="4" w:space="0"/>
            </w:tcBorders>
            <w:noWrap/>
            <w:vAlign w:val="center"/>
          </w:tcPr>
          <w:p w14:paraId="3605F308">
            <w:pPr>
              <w:spacing w:line="240" w:lineRule="auto"/>
              <w:rPr>
                <w:rFonts w:hint="default" w:eastAsia="宋体"/>
                <w:lang w:val="en-US" w:eastAsia="zh-CN"/>
              </w:rPr>
            </w:pPr>
            <w:r>
              <w:rPr>
                <w:rFonts w:hint="eastAsia"/>
                <w:lang w:val="en-US" w:eastAsia="zh-CN"/>
              </w:rPr>
              <w:t>采纳</w:t>
            </w:r>
          </w:p>
        </w:tc>
      </w:tr>
      <w:tr w14:paraId="5877D6A5">
        <w:tblPrEx>
          <w:tblCellMar>
            <w:top w:w="0" w:type="dxa"/>
            <w:left w:w="108" w:type="dxa"/>
            <w:bottom w:w="0" w:type="dxa"/>
            <w:right w:w="108" w:type="dxa"/>
          </w:tblCellMar>
        </w:tblPrEx>
        <w:trPr>
          <w:trHeight w:val="495" w:hRule="atLeast"/>
        </w:trPr>
        <w:tc>
          <w:tcPr>
            <w:tcW w:w="465" w:type="pct"/>
            <w:tcBorders>
              <w:top w:val="nil"/>
              <w:left w:val="single" w:color="auto" w:sz="4" w:space="0"/>
              <w:bottom w:val="single" w:color="auto" w:sz="4" w:space="0"/>
              <w:right w:val="single" w:color="auto" w:sz="4" w:space="0"/>
            </w:tcBorders>
            <w:shd w:val="clear"/>
            <w:noWrap/>
            <w:vAlign w:val="center"/>
          </w:tcPr>
          <w:p w14:paraId="4ADFF5C4">
            <w:pPr>
              <w:spacing w:line="360" w:lineRule="auto"/>
              <w:jc w:val="center"/>
              <w:rPr>
                <w:rFonts w:hint="eastAsia" w:ascii="Times New Roman" w:hAnsi="Times New Roman" w:eastAsia="宋体" w:cs="Times New Roman"/>
                <w:kern w:val="2"/>
                <w:sz w:val="21"/>
                <w:szCs w:val="24"/>
                <w:lang w:val="en-US" w:eastAsia="zh-CN" w:bidi="ar-SA"/>
              </w:rPr>
            </w:pPr>
            <w:r>
              <w:rPr>
                <w:rFonts w:hint="eastAsia"/>
                <w:lang w:val="en-US" w:eastAsia="zh-CN"/>
              </w:rPr>
              <w:t>2</w:t>
            </w:r>
          </w:p>
        </w:tc>
        <w:tc>
          <w:tcPr>
            <w:tcW w:w="910" w:type="pct"/>
            <w:tcBorders>
              <w:top w:val="nil"/>
              <w:left w:val="nil"/>
              <w:bottom w:val="single" w:color="auto" w:sz="4" w:space="0"/>
              <w:right w:val="single" w:color="auto" w:sz="4" w:space="0"/>
            </w:tcBorders>
            <w:shd w:val="clear"/>
            <w:noWrap/>
            <w:vAlign w:val="center"/>
          </w:tcPr>
          <w:p w14:paraId="4D34F492">
            <w:pPr>
              <w:spacing w:line="240" w:lineRule="auto"/>
              <w:jc w:val="center"/>
              <w:rPr>
                <w:rFonts w:hint="eastAsia" w:ascii="Times New Roman" w:hAnsi="Times New Roman" w:eastAsia="宋体" w:cs="Times New Roman"/>
                <w:kern w:val="2"/>
                <w:sz w:val="21"/>
                <w:szCs w:val="24"/>
                <w:lang w:val="en-US" w:eastAsia="zh-CN" w:bidi="ar-SA"/>
              </w:rPr>
            </w:pPr>
            <w:r>
              <w:rPr>
                <w:rFonts w:hint="eastAsia"/>
                <w:lang w:val="en-US" w:eastAsia="zh-CN"/>
              </w:rPr>
              <w:t>1</w:t>
            </w:r>
          </w:p>
        </w:tc>
        <w:tc>
          <w:tcPr>
            <w:tcW w:w="1435" w:type="pct"/>
            <w:tcBorders>
              <w:top w:val="nil"/>
              <w:left w:val="nil"/>
              <w:bottom w:val="single" w:color="auto" w:sz="4" w:space="0"/>
              <w:right w:val="single" w:color="auto" w:sz="4" w:space="0"/>
            </w:tcBorders>
            <w:shd w:val="clear"/>
            <w:noWrap/>
            <w:vAlign w:val="center"/>
          </w:tcPr>
          <w:p w14:paraId="03658CCD">
            <w:pPr>
              <w:spacing w:line="240" w:lineRule="auto"/>
              <w:rPr>
                <w:rFonts w:hint="eastAsia" w:ascii="Times New Roman" w:hAnsi="Times New Roman" w:eastAsia="宋体" w:cs="Times New Roman"/>
                <w:kern w:val="2"/>
                <w:sz w:val="21"/>
                <w:szCs w:val="24"/>
                <w:lang w:val="en-US" w:eastAsia="zh-CN" w:bidi="ar-SA"/>
              </w:rPr>
            </w:pPr>
            <w:r>
              <w:rPr>
                <w:rFonts w:hint="eastAsia"/>
                <w:lang w:val="en-US" w:eastAsia="zh-CN"/>
              </w:rPr>
              <w:t>确认光源</w:t>
            </w:r>
          </w:p>
        </w:tc>
        <w:tc>
          <w:tcPr>
            <w:tcW w:w="1118" w:type="pct"/>
            <w:tcBorders>
              <w:top w:val="nil"/>
              <w:left w:val="nil"/>
              <w:bottom w:val="single" w:color="auto" w:sz="4" w:space="0"/>
              <w:right w:val="single" w:color="auto" w:sz="4" w:space="0"/>
            </w:tcBorders>
            <w:shd w:val="clear"/>
            <w:noWrap/>
            <w:vAlign w:val="center"/>
          </w:tcPr>
          <w:p w14:paraId="3EA9988E">
            <w:pPr>
              <w:spacing w:line="240" w:lineRule="auto"/>
              <w:jc w:val="center"/>
              <w:rPr>
                <w:rFonts w:hint="eastAsia" w:ascii="Times New Roman" w:hAnsi="Times New Roman" w:eastAsia="宋体" w:cs="Times New Roman"/>
                <w:kern w:val="2"/>
                <w:sz w:val="21"/>
                <w:szCs w:val="24"/>
                <w:lang w:val="en-US" w:eastAsia="zh-CN" w:bidi="ar-SA"/>
              </w:rPr>
            </w:pPr>
            <w:r>
              <w:rPr>
                <w:rFonts w:hint="eastAsia" w:ascii="宋体" w:hAnsi="宋体" w:cs="宋体"/>
                <w:sz w:val="21"/>
                <w:szCs w:val="21"/>
                <w:lang w:val="en-US" w:eastAsia="zh-CN"/>
              </w:rPr>
              <w:t>专家组</w:t>
            </w:r>
          </w:p>
        </w:tc>
        <w:tc>
          <w:tcPr>
            <w:tcW w:w="1069" w:type="pct"/>
            <w:tcBorders>
              <w:top w:val="nil"/>
              <w:left w:val="nil"/>
              <w:bottom w:val="single" w:color="auto" w:sz="4" w:space="0"/>
              <w:right w:val="single" w:color="auto" w:sz="4" w:space="0"/>
            </w:tcBorders>
            <w:shd w:val="clear"/>
            <w:noWrap/>
            <w:vAlign w:val="center"/>
          </w:tcPr>
          <w:p w14:paraId="3340FDBE">
            <w:pPr>
              <w:spacing w:line="240" w:lineRule="auto"/>
              <w:rPr>
                <w:rFonts w:hint="eastAsia" w:ascii="Times New Roman" w:hAnsi="Times New Roman" w:eastAsia="宋体" w:cs="Times New Roman"/>
                <w:kern w:val="2"/>
                <w:sz w:val="21"/>
                <w:szCs w:val="24"/>
                <w:lang w:val="en-US" w:eastAsia="zh-CN" w:bidi="ar-SA"/>
              </w:rPr>
            </w:pPr>
            <w:r>
              <w:rPr>
                <w:rFonts w:hint="eastAsia"/>
              </w:rPr>
              <w:t>采纳，</w:t>
            </w:r>
            <w:r>
              <w:rPr>
                <w:rFonts w:hint="eastAsia"/>
                <w:lang w:val="en-US" w:eastAsia="zh-CN"/>
              </w:rPr>
              <w:t>名称上加射频</w:t>
            </w:r>
          </w:p>
        </w:tc>
      </w:tr>
      <w:tr w14:paraId="7F155992">
        <w:tblPrEx>
          <w:tblCellMar>
            <w:top w:w="0" w:type="dxa"/>
            <w:left w:w="108" w:type="dxa"/>
            <w:bottom w:w="0" w:type="dxa"/>
            <w:right w:w="108" w:type="dxa"/>
          </w:tblCellMar>
        </w:tblPrEx>
        <w:trPr>
          <w:trHeight w:val="129" w:hRule="atLeast"/>
        </w:trPr>
        <w:tc>
          <w:tcPr>
            <w:tcW w:w="465" w:type="pct"/>
            <w:tcBorders>
              <w:top w:val="nil"/>
              <w:left w:val="single" w:color="auto" w:sz="4" w:space="0"/>
              <w:bottom w:val="single" w:color="auto" w:sz="4" w:space="0"/>
              <w:right w:val="single" w:color="auto" w:sz="4" w:space="0"/>
            </w:tcBorders>
            <w:noWrap/>
            <w:vAlign w:val="center"/>
          </w:tcPr>
          <w:p w14:paraId="1D2DA574">
            <w:pPr>
              <w:spacing w:line="360" w:lineRule="auto"/>
              <w:jc w:val="center"/>
              <w:rPr>
                <w:rFonts w:hint="eastAsia" w:eastAsia="宋体"/>
                <w:lang w:eastAsia="zh-CN"/>
              </w:rPr>
            </w:pPr>
            <w:r>
              <w:rPr>
                <w:rFonts w:hint="eastAsia"/>
                <w:lang w:val="en-US" w:eastAsia="zh-CN"/>
              </w:rPr>
              <w:t>3</w:t>
            </w:r>
          </w:p>
        </w:tc>
        <w:tc>
          <w:tcPr>
            <w:tcW w:w="910" w:type="pct"/>
            <w:tcBorders>
              <w:top w:val="nil"/>
              <w:left w:val="nil"/>
              <w:bottom w:val="single" w:color="auto" w:sz="4" w:space="0"/>
              <w:right w:val="single" w:color="auto" w:sz="4" w:space="0"/>
            </w:tcBorders>
            <w:noWrap/>
            <w:vAlign w:val="center"/>
          </w:tcPr>
          <w:p w14:paraId="7B312136">
            <w:pPr>
              <w:spacing w:line="240" w:lineRule="auto"/>
              <w:jc w:val="center"/>
              <w:rPr>
                <w:rFonts w:hint="default"/>
                <w:lang w:val="en-US" w:eastAsia="zh-CN"/>
              </w:rPr>
            </w:pPr>
            <w:r>
              <w:rPr>
                <w:rFonts w:hint="eastAsia"/>
                <w:lang w:val="en-US" w:eastAsia="zh-CN"/>
              </w:rPr>
              <w:t>5.1.1</w:t>
            </w:r>
          </w:p>
        </w:tc>
        <w:tc>
          <w:tcPr>
            <w:tcW w:w="1435" w:type="pct"/>
            <w:tcBorders>
              <w:top w:val="nil"/>
              <w:left w:val="nil"/>
              <w:bottom w:val="single" w:color="auto" w:sz="4" w:space="0"/>
              <w:right w:val="single" w:color="auto" w:sz="4" w:space="0"/>
            </w:tcBorders>
            <w:noWrap/>
            <w:vAlign w:val="center"/>
          </w:tcPr>
          <w:p w14:paraId="26D41F29">
            <w:pPr>
              <w:spacing w:line="240" w:lineRule="auto"/>
              <w:rPr>
                <w:rFonts w:hint="default"/>
                <w:lang w:val="en-US" w:eastAsia="zh-CN"/>
              </w:rPr>
            </w:pPr>
            <w:r>
              <w:rPr>
                <w:rFonts w:hint="eastAsia"/>
                <w:lang w:val="en-US" w:eastAsia="zh-CN"/>
              </w:rPr>
              <w:t>环境温度（15</w:t>
            </w:r>
            <w:r>
              <w:rPr>
                <w:rFonts w:hint="default"/>
                <w:lang w:val="en-US" w:eastAsia="zh-CN"/>
              </w:rPr>
              <w:t>～</w:t>
            </w:r>
            <w:r>
              <w:rPr>
                <w:rFonts w:hint="eastAsia"/>
                <w:lang w:val="en-US" w:eastAsia="zh-CN"/>
              </w:rPr>
              <w:t>30）℃范围太大，温度变化率要体现</w:t>
            </w:r>
          </w:p>
        </w:tc>
        <w:tc>
          <w:tcPr>
            <w:tcW w:w="1118" w:type="pct"/>
            <w:tcBorders>
              <w:top w:val="nil"/>
              <w:left w:val="nil"/>
              <w:bottom w:val="single" w:color="auto" w:sz="4" w:space="0"/>
              <w:right w:val="single" w:color="auto" w:sz="4" w:space="0"/>
            </w:tcBorders>
            <w:noWrap/>
            <w:vAlign w:val="center"/>
          </w:tcPr>
          <w:p w14:paraId="32BC3C31">
            <w:pPr>
              <w:spacing w:line="240" w:lineRule="auto"/>
              <w:jc w:val="center"/>
              <w:rPr>
                <w:rFonts w:hint="eastAsia"/>
                <w:lang w:val="en-US" w:eastAsia="zh-CN"/>
              </w:rPr>
            </w:pPr>
            <w:r>
              <w:rPr>
                <w:rFonts w:hint="eastAsia" w:ascii="宋体" w:hAnsi="宋体" w:cs="宋体"/>
                <w:sz w:val="21"/>
                <w:szCs w:val="21"/>
                <w:lang w:val="en-US" w:eastAsia="zh-CN"/>
              </w:rPr>
              <w:t>专家组</w:t>
            </w:r>
          </w:p>
        </w:tc>
        <w:tc>
          <w:tcPr>
            <w:tcW w:w="1069" w:type="pct"/>
            <w:tcBorders>
              <w:top w:val="nil"/>
              <w:left w:val="nil"/>
              <w:bottom w:val="single" w:color="auto" w:sz="4" w:space="0"/>
              <w:right w:val="single" w:color="auto" w:sz="4" w:space="0"/>
            </w:tcBorders>
            <w:noWrap/>
            <w:vAlign w:val="center"/>
          </w:tcPr>
          <w:p w14:paraId="7A5DE489">
            <w:pPr>
              <w:spacing w:line="240" w:lineRule="auto"/>
              <w:rPr>
                <w:rFonts w:hint="eastAsia"/>
                <w:lang w:val="en-US" w:eastAsia="zh-CN"/>
              </w:rPr>
            </w:pPr>
            <w:r>
              <w:rPr>
                <w:rFonts w:hint="eastAsia"/>
                <w:lang w:val="en-US" w:eastAsia="zh-CN"/>
              </w:rPr>
              <w:t>采纳，修改</w:t>
            </w:r>
            <w:r>
              <w:rPr>
                <w:rFonts w:hint="eastAsia"/>
                <w:lang w:val="en-US" w:eastAsia="zh-CN"/>
              </w:rPr>
              <w:t>为（18</w:t>
            </w:r>
            <w:r>
              <w:rPr>
                <w:rFonts w:hint="default"/>
                <w:lang w:val="en-US" w:eastAsia="zh-CN"/>
              </w:rPr>
              <w:t>～</w:t>
            </w:r>
            <w:r>
              <w:rPr>
                <w:rFonts w:hint="eastAsia"/>
                <w:lang w:val="en-US" w:eastAsia="zh-CN"/>
              </w:rPr>
              <w:t>28）℃，温度变化率不超过1℃/h，相对湿度≤70%。</w:t>
            </w:r>
          </w:p>
        </w:tc>
      </w:tr>
      <w:tr w14:paraId="6F95C4EB">
        <w:tblPrEx>
          <w:tblCellMar>
            <w:top w:w="0" w:type="dxa"/>
            <w:left w:w="108" w:type="dxa"/>
            <w:bottom w:w="0" w:type="dxa"/>
            <w:right w:w="108" w:type="dxa"/>
          </w:tblCellMar>
        </w:tblPrEx>
        <w:trPr>
          <w:trHeight w:val="129" w:hRule="atLeast"/>
        </w:trPr>
        <w:tc>
          <w:tcPr>
            <w:tcW w:w="465" w:type="pct"/>
            <w:tcBorders>
              <w:top w:val="nil"/>
              <w:left w:val="single" w:color="auto" w:sz="4" w:space="0"/>
              <w:bottom w:val="single" w:color="auto" w:sz="4" w:space="0"/>
              <w:right w:val="single" w:color="auto" w:sz="4" w:space="0"/>
            </w:tcBorders>
            <w:noWrap/>
            <w:vAlign w:val="center"/>
          </w:tcPr>
          <w:p w14:paraId="75CF4C66">
            <w:pPr>
              <w:spacing w:line="360" w:lineRule="auto"/>
              <w:jc w:val="center"/>
              <w:rPr>
                <w:rFonts w:hint="eastAsia" w:eastAsia="宋体"/>
                <w:lang w:val="en-US" w:eastAsia="zh-CN"/>
              </w:rPr>
            </w:pPr>
            <w:r>
              <w:rPr>
                <w:rFonts w:hint="eastAsia"/>
                <w:lang w:val="en-US" w:eastAsia="zh-CN"/>
              </w:rPr>
              <w:t>4</w:t>
            </w:r>
          </w:p>
        </w:tc>
        <w:tc>
          <w:tcPr>
            <w:tcW w:w="910" w:type="pct"/>
            <w:tcBorders>
              <w:top w:val="nil"/>
              <w:left w:val="nil"/>
              <w:bottom w:val="single" w:color="auto" w:sz="4" w:space="0"/>
              <w:right w:val="single" w:color="auto" w:sz="4" w:space="0"/>
            </w:tcBorders>
            <w:noWrap/>
            <w:vAlign w:val="center"/>
          </w:tcPr>
          <w:p w14:paraId="53FE7870">
            <w:pPr>
              <w:spacing w:line="240" w:lineRule="auto"/>
              <w:jc w:val="center"/>
              <w:rPr>
                <w:rFonts w:hint="default"/>
                <w:lang w:val="en-US" w:eastAsia="zh-CN"/>
              </w:rPr>
            </w:pPr>
            <w:r>
              <w:rPr>
                <w:rFonts w:hint="eastAsia"/>
                <w:lang w:val="en-US" w:eastAsia="zh-CN"/>
              </w:rPr>
              <w:t>4</w:t>
            </w:r>
          </w:p>
        </w:tc>
        <w:tc>
          <w:tcPr>
            <w:tcW w:w="1435" w:type="pct"/>
            <w:tcBorders>
              <w:top w:val="nil"/>
              <w:left w:val="nil"/>
              <w:bottom w:val="single" w:color="auto" w:sz="4" w:space="0"/>
              <w:right w:val="single" w:color="auto" w:sz="4" w:space="0"/>
            </w:tcBorders>
            <w:noWrap/>
            <w:vAlign w:val="center"/>
          </w:tcPr>
          <w:p w14:paraId="7920800C">
            <w:pPr>
              <w:spacing w:line="240" w:lineRule="auto"/>
              <w:rPr>
                <w:rFonts w:hint="default"/>
                <w:lang w:val="en-US" w:eastAsia="zh-CN"/>
              </w:rPr>
            </w:pPr>
            <w:r>
              <w:rPr>
                <w:rFonts w:hint="eastAsia"/>
                <w:lang w:val="en-US" w:eastAsia="zh-CN"/>
              </w:rPr>
              <w:t>增加波长示值误差</w:t>
            </w:r>
          </w:p>
        </w:tc>
        <w:tc>
          <w:tcPr>
            <w:tcW w:w="1118" w:type="pct"/>
            <w:tcBorders>
              <w:top w:val="nil"/>
              <w:left w:val="nil"/>
              <w:bottom w:val="single" w:color="auto" w:sz="4" w:space="0"/>
              <w:right w:val="single" w:color="auto" w:sz="4" w:space="0"/>
            </w:tcBorders>
            <w:noWrap/>
            <w:vAlign w:val="center"/>
          </w:tcPr>
          <w:p w14:paraId="5B6E804D">
            <w:pPr>
              <w:spacing w:line="240" w:lineRule="auto"/>
              <w:jc w:val="center"/>
              <w:rPr>
                <w:rFonts w:hint="eastAsia"/>
                <w:lang w:val="en-US" w:eastAsia="zh-CN"/>
              </w:rPr>
            </w:pPr>
            <w:r>
              <w:rPr>
                <w:rFonts w:hint="eastAsia" w:ascii="宋体" w:hAnsi="宋体" w:cs="宋体"/>
                <w:sz w:val="21"/>
                <w:szCs w:val="21"/>
                <w:lang w:val="en-US" w:eastAsia="zh-CN"/>
              </w:rPr>
              <w:t>专家组</w:t>
            </w:r>
          </w:p>
        </w:tc>
        <w:tc>
          <w:tcPr>
            <w:tcW w:w="1069" w:type="pct"/>
            <w:tcBorders>
              <w:top w:val="nil"/>
              <w:left w:val="nil"/>
              <w:bottom w:val="single" w:color="auto" w:sz="4" w:space="0"/>
              <w:right w:val="single" w:color="auto" w:sz="4" w:space="0"/>
            </w:tcBorders>
            <w:noWrap/>
            <w:vAlign w:val="center"/>
          </w:tcPr>
          <w:p w14:paraId="592467E6">
            <w:pPr>
              <w:spacing w:line="240" w:lineRule="auto"/>
              <w:rPr>
                <w:rFonts w:hint="default"/>
                <w:lang w:val="en-US" w:eastAsia="zh-CN"/>
              </w:rPr>
            </w:pPr>
            <w:r>
              <w:rPr>
                <w:rFonts w:hint="eastAsia"/>
                <w:lang w:val="en-US" w:eastAsia="zh-CN"/>
              </w:rPr>
              <w:t>采纳</w:t>
            </w:r>
          </w:p>
        </w:tc>
      </w:tr>
    </w:tbl>
    <w:p w14:paraId="19150F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firstLine="1050" w:firstLineChars="500"/>
        <w:jc w:val="left"/>
        <w:rPr>
          <w:rFonts w:hint="eastAsia" w:cs="Times New Roman" w:eastAsiaTheme="minorEastAsia"/>
          <w:b w:val="0"/>
          <w:bCs w:val="0"/>
          <w:color w:val="auto"/>
          <w:kern w:val="2"/>
          <w:sz w:val="21"/>
          <w:szCs w:val="21"/>
          <w:highlight w:val="none"/>
          <w:lang w:val="en-US" w:eastAsia="zh-CN"/>
        </w:rPr>
      </w:pPr>
    </w:p>
    <w:p w14:paraId="6F207E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firstLine="1050" w:firstLineChars="500"/>
        <w:jc w:val="left"/>
        <w:rPr>
          <w:rFonts w:hint="eastAsia" w:cs="Times New Roman" w:eastAsiaTheme="minorEastAsia"/>
          <w:b w:val="0"/>
          <w:bCs w:val="0"/>
          <w:color w:val="auto"/>
          <w:kern w:val="2"/>
          <w:sz w:val="21"/>
          <w:szCs w:val="21"/>
          <w:highlight w:val="none"/>
          <w:lang w:val="en-US" w:eastAsia="zh-CN"/>
        </w:rPr>
      </w:pPr>
      <w:r>
        <w:rPr>
          <w:rFonts w:hint="eastAsia" w:cs="Times New Roman" w:eastAsiaTheme="minorEastAsia"/>
          <w:b w:val="0"/>
          <w:bCs w:val="0"/>
          <w:color w:val="auto"/>
          <w:kern w:val="2"/>
          <w:sz w:val="21"/>
          <w:szCs w:val="21"/>
          <w:highlight w:val="none"/>
          <w:lang w:val="en-US" w:eastAsia="zh-CN"/>
        </w:rPr>
        <w:t>表3 《有色金属材料分析用辉光放电发射光谱仪校准规范》工作安排</w:t>
      </w:r>
    </w:p>
    <w:tbl>
      <w:tblPr>
        <w:tblStyle w:val="42"/>
        <w:tblW w:w="4764" w:type="pct"/>
        <w:jc w:val="center"/>
        <w:tblLayout w:type="fixed"/>
        <w:tblCellMar>
          <w:top w:w="0" w:type="dxa"/>
          <w:left w:w="108" w:type="dxa"/>
          <w:bottom w:w="0" w:type="dxa"/>
          <w:right w:w="108" w:type="dxa"/>
        </w:tblCellMar>
      </w:tblPr>
      <w:tblGrid>
        <w:gridCol w:w="1864"/>
        <w:gridCol w:w="7257"/>
      </w:tblGrid>
      <w:tr w14:paraId="492A670E">
        <w:tblPrEx>
          <w:tblCellMar>
            <w:top w:w="0" w:type="dxa"/>
            <w:left w:w="108" w:type="dxa"/>
            <w:bottom w:w="0" w:type="dxa"/>
            <w:right w:w="108" w:type="dxa"/>
          </w:tblCellMar>
        </w:tblPrEx>
        <w:trPr>
          <w:trHeight w:val="567" w:hRule="atLeast"/>
          <w:jc w:val="center"/>
        </w:trPr>
        <w:tc>
          <w:tcPr>
            <w:tcW w:w="1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DC66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cs="Times New Roman" w:eastAsiaTheme="minorEastAsia"/>
                <w:b w:val="0"/>
                <w:bCs w:val="0"/>
                <w:color w:val="auto"/>
                <w:kern w:val="2"/>
                <w:sz w:val="21"/>
                <w:szCs w:val="21"/>
                <w:highlight w:val="none"/>
                <w:lang w:val="en-US" w:eastAsia="zh-CN"/>
              </w:rPr>
            </w:pPr>
            <w:r>
              <w:rPr>
                <w:rFonts w:hint="eastAsia" w:cs="Times New Roman" w:eastAsiaTheme="minorEastAsia"/>
                <w:b w:val="0"/>
                <w:bCs w:val="0"/>
                <w:color w:val="auto"/>
                <w:kern w:val="2"/>
                <w:sz w:val="21"/>
                <w:szCs w:val="21"/>
                <w:highlight w:val="none"/>
                <w:lang w:val="en-US" w:eastAsia="zh-CN"/>
              </w:rPr>
              <w:t>拟参与编制单位</w:t>
            </w:r>
          </w:p>
        </w:tc>
        <w:tc>
          <w:tcPr>
            <w:tcW w:w="7257" w:type="dxa"/>
            <w:tcBorders>
              <w:top w:val="single" w:color="auto" w:sz="4" w:space="0"/>
              <w:left w:val="nil"/>
              <w:bottom w:val="single" w:color="auto" w:sz="4" w:space="0"/>
              <w:right w:val="single" w:color="auto" w:sz="4" w:space="0"/>
            </w:tcBorders>
            <w:shd w:val="clear" w:color="auto" w:fill="auto"/>
            <w:noWrap/>
            <w:vAlign w:val="center"/>
          </w:tcPr>
          <w:p w14:paraId="5E6C5B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cs="Times New Roman" w:eastAsiaTheme="minorEastAsia"/>
                <w:b w:val="0"/>
                <w:bCs w:val="0"/>
                <w:color w:val="auto"/>
                <w:kern w:val="2"/>
                <w:sz w:val="21"/>
                <w:szCs w:val="21"/>
                <w:highlight w:val="none"/>
                <w:lang w:val="en-US" w:eastAsia="zh-CN"/>
              </w:rPr>
            </w:pPr>
            <w:r>
              <w:rPr>
                <w:rFonts w:hint="eastAsia" w:cs="Times New Roman" w:eastAsiaTheme="minorEastAsia"/>
                <w:b w:val="0"/>
                <w:bCs w:val="0"/>
                <w:color w:val="auto"/>
                <w:kern w:val="2"/>
                <w:sz w:val="21"/>
                <w:szCs w:val="21"/>
                <w:highlight w:val="none"/>
                <w:lang w:val="en-US" w:eastAsia="zh-CN"/>
              </w:rPr>
              <w:t>中铝材料应用研究院有限公司、国标（北京）检验认证有限公司、辽宁盛达计量检测技术有限公司、宝鸡钛业股份有限公司、有色金属技术经济研究院有限责任公司、西安汉唐分析检测有限公司、北京科技大学、国合通用（青岛）测试评价有限公司、中国科学院宁波材料技术与工程研究所、西南铝业（集团）有限责任公司</w:t>
            </w:r>
          </w:p>
        </w:tc>
      </w:tr>
      <w:tr w14:paraId="31BDFA28">
        <w:tblPrEx>
          <w:tblCellMar>
            <w:top w:w="0" w:type="dxa"/>
            <w:left w:w="108" w:type="dxa"/>
            <w:bottom w:w="0" w:type="dxa"/>
            <w:right w:w="108" w:type="dxa"/>
          </w:tblCellMar>
        </w:tblPrEx>
        <w:trPr>
          <w:trHeight w:val="567" w:hRule="atLeast"/>
          <w:jc w:val="center"/>
        </w:trPr>
        <w:tc>
          <w:tcPr>
            <w:tcW w:w="1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464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cs="Times New Roman" w:eastAsiaTheme="minorEastAsia"/>
                <w:b w:val="0"/>
                <w:bCs w:val="0"/>
                <w:color w:val="auto"/>
                <w:kern w:val="2"/>
                <w:sz w:val="21"/>
                <w:szCs w:val="21"/>
                <w:highlight w:val="none"/>
                <w:lang w:val="en-US" w:eastAsia="zh-CN"/>
              </w:rPr>
            </w:pPr>
            <w:r>
              <w:rPr>
                <w:rFonts w:hint="eastAsia" w:cs="Times New Roman" w:eastAsiaTheme="minorEastAsia"/>
                <w:b w:val="0"/>
                <w:bCs w:val="0"/>
                <w:color w:val="auto"/>
                <w:kern w:val="2"/>
                <w:sz w:val="21"/>
                <w:szCs w:val="21"/>
                <w:highlight w:val="none"/>
                <w:lang w:val="en-US" w:eastAsia="zh-CN"/>
              </w:rPr>
              <w:t>一验单位</w:t>
            </w:r>
          </w:p>
        </w:tc>
        <w:tc>
          <w:tcPr>
            <w:tcW w:w="7257" w:type="dxa"/>
            <w:tcBorders>
              <w:top w:val="single" w:color="auto" w:sz="4" w:space="0"/>
              <w:left w:val="nil"/>
              <w:bottom w:val="single" w:color="auto" w:sz="4" w:space="0"/>
              <w:right w:val="single" w:color="auto" w:sz="4" w:space="0"/>
            </w:tcBorders>
            <w:shd w:val="clear" w:color="auto" w:fill="auto"/>
            <w:noWrap/>
            <w:vAlign w:val="center"/>
          </w:tcPr>
          <w:p w14:paraId="4AFD7A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cs="Times New Roman" w:eastAsiaTheme="minorEastAsia"/>
                <w:b w:val="0"/>
                <w:bCs w:val="0"/>
                <w:color w:val="auto"/>
                <w:kern w:val="2"/>
                <w:sz w:val="21"/>
                <w:szCs w:val="21"/>
                <w:highlight w:val="none"/>
                <w:lang w:val="en-US" w:eastAsia="zh-CN"/>
              </w:rPr>
            </w:pPr>
            <w:r>
              <w:rPr>
                <w:rFonts w:hint="eastAsia" w:cs="Times New Roman" w:eastAsiaTheme="minorEastAsia"/>
                <w:b w:val="0"/>
                <w:bCs w:val="0"/>
                <w:color w:val="auto"/>
                <w:kern w:val="2"/>
                <w:sz w:val="21"/>
                <w:szCs w:val="21"/>
                <w:highlight w:val="none"/>
                <w:lang w:val="en-US" w:eastAsia="zh-CN"/>
              </w:rPr>
              <w:t>中铝材料应用研究院有限公司、国标（北京）检验认证有限公司、</w:t>
            </w:r>
          </w:p>
        </w:tc>
      </w:tr>
      <w:tr w14:paraId="1E078E15">
        <w:tblPrEx>
          <w:tblCellMar>
            <w:top w:w="0" w:type="dxa"/>
            <w:left w:w="108" w:type="dxa"/>
            <w:bottom w:w="0" w:type="dxa"/>
            <w:right w:w="108" w:type="dxa"/>
          </w:tblCellMar>
        </w:tblPrEx>
        <w:trPr>
          <w:trHeight w:val="567" w:hRule="atLeast"/>
          <w:jc w:val="center"/>
        </w:trPr>
        <w:tc>
          <w:tcPr>
            <w:tcW w:w="1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11B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cs="Times New Roman" w:eastAsiaTheme="minorEastAsia"/>
                <w:b w:val="0"/>
                <w:bCs w:val="0"/>
                <w:color w:val="auto"/>
                <w:kern w:val="2"/>
                <w:sz w:val="21"/>
                <w:szCs w:val="21"/>
                <w:highlight w:val="none"/>
                <w:lang w:val="en-US" w:eastAsia="zh-CN"/>
              </w:rPr>
            </w:pPr>
            <w:r>
              <w:rPr>
                <w:rFonts w:hint="eastAsia" w:cs="Times New Roman" w:eastAsiaTheme="minorEastAsia"/>
                <w:b w:val="0"/>
                <w:bCs w:val="0"/>
                <w:color w:val="auto"/>
                <w:kern w:val="2"/>
                <w:sz w:val="21"/>
                <w:szCs w:val="21"/>
                <w:highlight w:val="none"/>
                <w:lang w:val="en-US" w:eastAsia="zh-CN"/>
              </w:rPr>
              <w:t>二验单位</w:t>
            </w:r>
          </w:p>
        </w:tc>
        <w:tc>
          <w:tcPr>
            <w:tcW w:w="7257" w:type="dxa"/>
            <w:tcBorders>
              <w:top w:val="single" w:color="auto" w:sz="4" w:space="0"/>
              <w:left w:val="nil"/>
              <w:bottom w:val="single" w:color="auto" w:sz="4" w:space="0"/>
              <w:right w:val="single" w:color="auto" w:sz="4" w:space="0"/>
            </w:tcBorders>
            <w:shd w:val="clear" w:color="auto" w:fill="auto"/>
            <w:noWrap/>
            <w:vAlign w:val="center"/>
          </w:tcPr>
          <w:p w14:paraId="125E25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cs="Times New Roman" w:eastAsiaTheme="minorEastAsia"/>
                <w:b w:val="0"/>
                <w:bCs w:val="0"/>
                <w:color w:val="auto"/>
                <w:kern w:val="2"/>
                <w:sz w:val="21"/>
                <w:szCs w:val="21"/>
                <w:highlight w:val="none"/>
                <w:lang w:val="en-US" w:eastAsia="zh-CN"/>
              </w:rPr>
            </w:pPr>
            <w:r>
              <w:rPr>
                <w:rFonts w:hint="eastAsia" w:cs="Times New Roman" w:eastAsiaTheme="minorEastAsia"/>
                <w:b w:val="0"/>
                <w:bCs w:val="0"/>
                <w:color w:val="auto"/>
                <w:kern w:val="2"/>
                <w:sz w:val="21"/>
                <w:szCs w:val="21"/>
                <w:highlight w:val="none"/>
                <w:lang w:val="en-US" w:eastAsia="zh-CN"/>
              </w:rPr>
              <w:t>辽宁盛达计量检测技术有限公司、宝鸡钛业股份有限公司</w:t>
            </w:r>
          </w:p>
        </w:tc>
      </w:tr>
      <w:tr w14:paraId="2F5747AE">
        <w:tblPrEx>
          <w:tblCellMar>
            <w:top w:w="0" w:type="dxa"/>
            <w:left w:w="108" w:type="dxa"/>
            <w:bottom w:w="0" w:type="dxa"/>
            <w:right w:w="108" w:type="dxa"/>
          </w:tblCellMar>
        </w:tblPrEx>
        <w:trPr>
          <w:trHeight w:val="567" w:hRule="atLeast"/>
          <w:jc w:val="center"/>
        </w:trPr>
        <w:tc>
          <w:tcPr>
            <w:tcW w:w="1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899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cs="Times New Roman" w:eastAsiaTheme="minorEastAsia"/>
                <w:b w:val="0"/>
                <w:bCs w:val="0"/>
                <w:color w:val="auto"/>
                <w:kern w:val="2"/>
                <w:sz w:val="21"/>
                <w:szCs w:val="21"/>
                <w:highlight w:val="none"/>
                <w:lang w:val="en-US" w:eastAsia="zh-CN"/>
              </w:rPr>
            </w:pPr>
            <w:r>
              <w:rPr>
                <w:rFonts w:hint="eastAsia" w:cs="Times New Roman" w:eastAsiaTheme="minorEastAsia"/>
                <w:b w:val="0"/>
                <w:bCs w:val="0"/>
                <w:color w:val="auto"/>
                <w:kern w:val="2"/>
                <w:sz w:val="21"/>
                <w:szCs w:val="21"/>
                <w:highlight w:val="none"/>
                <w:lang w:val="en-US" w:eastAsia="zh-CN"/>
              </w:rPr>
              <w:t>时间节点安排</w:t>
            </w:r>
          </w:p>
        </w:tc>
        <w:tc>
          <w:tcPr>
            <w:tcW w:w="7257" w:type="dxa"/>
            <w:tcBorders>
              <w:top w:val="single" w:color="auto" w:sz="4" w:space="0"/>
              <w:left w:val="nil"/>
              <w:bottom w:val="single" w:color="auto" w:sz="4" w:space="0"/>
              <w:right w:val="single" w:color="auto" w:sz="4" w:space="0"/>
            </w:tcBorders>
            <w:shd w:val="clear" w:color="auto" w:fill="auto"/>
            <w:noWrap/>
            <w:vAlign w:val="center"/>
          </w:tcPr>
          <w:p w14:paraId="58BD0A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cs="Times New Roman" w:eastAsiaTheme="minorEastAsia"/>
                <w:b w:val="0"/>
                <w:bCs w:val="0"/>
                <w:color w:val="auto"/>
                <w:kern w:val="2"/>
                <w:sz w:val="21"/>
                <w:szCs w:val="21"/>
                <w:highlight w:val="none"/>
                <w:lang w:val="en-US" w:eastAsia="zh-CN"/>
              </w:rPr>
            </w:pPr>
            <w:r>
              <w:rPr>
                <w:rFonts w:hint="eastAsia" w:cs="Times New Roman" w:eastAsiaTheme="minorEastAsia"/>
                <w:b w:val="0"/>
                <w:bCs w:val="0"/>
                <w:color w:val="auto"/>
                <w:kern w:val="2"/>
                <w:sz w:val="21"/>
                <w:szCs w:val="21"/>
                <w:highlight w:val="none"/>
                <w:lang w:val="en-US" w:eastAsia="zh-CN"/>
              </w:rPr>
              <w:t>2026年8月完成试验验证，2026年9月完成预审稿。</w:t>
            </w:r>
          </w:p>
        </w:tc>
      </w:tr>
    </w:tbl>
    <w:p w14:paraId="577A66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20" w:firstLineChars="200"/>
        <w:jc w:val="left"/>
        <w:rPr>
          <w:rFonts w:hint="eastAsia" w:hAnsi="宋体"/>
          <w:b w:val="0"/>
          <w:bCs w:val="0"/>
          <w:sz w:val="21"/>
          <w:szCs w:val="21"/>
          <w:lang w:val="en-US" w:eastAsia="zh-CN"/>
        </w:rPr>
      </w:pPr>
      <w:r>
        <w:rPr>
          <w:rFonts w:hint="eastAsia" w:cs="Times New Roman" w:eastAsiaTheme="minorEastAsia"/>
          <w:b w:val="0"/>
          <w:bCs w:val="0"/>
          <w:color w:val="auto"/>
          <w:kern w:val="2"/>
          <w:sz w:val="21"/>
          <w:szCs w:val="21"/>
          <w:highlight w:val="none"/>
          <w:lang w:val="en-US" w:eastAsia="zh-CN"/>
        </w:rPr>
        <w:t>4）</w:t>
      </w:r>
      <w:r>
        <w:rPr>
          <w:rFonts w:hint="eastAsia" w:hAnsi="宋体"/>
          <w:b w:val="0"/>
          <w:bCs w:val="0"/>
          <w:sz w:val="21"/>
          <w:szCs w:val="21"/>
          <w:lang w:val="en-US" w:eastAsia="zh-CN"/>
        </w:rPr>
        <w:t>2026年6月，中国有色金属工业协会发文《关于对</w:t>
      </w:r>
      <w:r>
        <w:rPr>
          <w:rFonts w:hint="default" w:hAnsi="宋体"/>
          <w:b w:val="0"/>
          <w:bCs w:val="0"/>
          <w:sz w:val="21"/>
          <w:szCs w:val="21"/>
          <w:lang w:val="en-US" w:eastAsia="zh-CN"/>
        </w:rPr>
        <w:t>《辉光放电发射光谱仪校准规范》等7项计量技术规范征求意见的函</w:t>
      </w:r>
      <w:r>
        <w:rPr>
          <w:rFonts w:hint="eastAsia" w:hAnsi="宋体"/>
          <w:b w:val="0"/>
          <w:bCs w:val="0"/>
          <w:sz w:val="21"/>
          <w:szCs w:val="21"/>
          <w:lang w:val="en-US" w:eastAsia="zh-CN"/>
        </w:rPr>
        <w:t>》（有色计量委字〔2026〕7号），向社会广泛征求意见。</w:t>
      </w:r>
    </w:p>
    <w:p w14:paraId="22CF4DBF">
      <w:pPr>
        <w:pStyle w:val="60"/>
        <w:pageBreakBefore w:val="0"/>
        <w:kinsoku/>
        <w:wordWrap/>
        <w:overflowPunct/>
        <w:topLinePunct w:val="0"/>
        <w:bidi w:val="0"/>
        <w:spacing w:line="360" w:lineRule="auto"/>
        <w:ind w:left="0" w:leftChars="0" w:firstLine="0" w:firstLineChars="0"/>
        <w:textAlignment w:val="auto"/>
        <w:rPr>
          <w:rFonts w:hint="default" w:ascii="黑体" w:hAnsi="Times New Roman" w:eastAsia="黑体" w:cs="Times New Roman"/>
          <w:color w:val="auto"/>
          <w:spacing w:val="-4"/>
          <w:sz w:val="21"/>
          <w:szCs w:val="21"/>
          <w:lang w:val="en-US" w:eastAsia="zh-CN" w:bidi="ar-SA"/>
        </w:rPr>
      </w:pPr>
      <w:r>
        <w:rPr>
          <w:rFonts w:hint="eastAsia" w:ascii="黑体" w:hAnsi="Times New Roman" w:eastAsia="黑体" w:cs="Times New Roman"/>
          <w:color w:val="auto"/>
          <w:spacing w:val="-4"/>
          <w:sz w:val="21"/>
          <w:szCs w:val="21"/>
          <w:lang w:val="en-US" w:eastAsia="zh-CN" w:bidi="ar-SA"/>
        </w:rPr>
        <w:t>4.1.1 规范内容的确认</w:t>
      </w:r>
    </w:p>
    <w:p w14:paraId="099B7F01">
      <w:pPr>
        <w:pStyle w:val="60"/>
        <w:pageBreakBefore w:val="0"/>
        <w:kinsoku/>
        <w:wordWrap/>
        <w:overflowPunct/>
        <w:topLinePunct w:val="0"/>
        <w:bidi w:val="0"/>
        <w:spacing w:line="360" w:lineRule="auto"/>
        <w:ind w:firstLine="420"/>
        <w:textAlignment w:val="auto"/>
        <w:rPr>
          <w:rFonts w:hint="eastAsia"/>
          <w:sz w:val="21"/>
          <w:szCs w:val="21"/>
          <w:lang w:val="en-US" w:eastAsia="zh-CN"/>
        </w:rPr>
      </w:pPr>
      <w:r>
        <w:rPr>
          <w:rFonts w:hint="eastAsia"/>
          <w:sz w:val="21"/>
          <w:szCs w:val="21"/>
          <w:lang w:val="en-US" w:eastAsia="zh-CN"/>
        </w:rPr>
        <w:t>通过调研，国内市场设备主要有日本HORIBA的GD Profiler 2型</w:t>
      </w:r>
      <w:r>
        <w:rPr>
          <w:rFonts w:ascii="宋体" w:hAnsi="宋体" w:eastAsia="宋体" w:cs="宋体"/>
          <w:sz w:val="21"/>
          <w:szCs w:val="21"/>
        </w:rPr>
        <w:t>射频辉光放电发射光谱仪</w:t>
      </w:r>
      <w:r>
        <w:rPr>
          <w:rFonts w:hint="eastAsia"/>
          <w:sz w:val="21"/>
          <w:szCs w:val="21"/>
          <w:lang w:val="en-US" w:eastAsia="zh-CN"/>
        </w:rPr>
        <w:t>、</w:t>
      </w:r>
      <w:r>
        <w:rPr>
          <w:rFonts w:ascii="宋体" w:hAnsi="宋体" w:eastAsia="宋体" w:cs="宋体"/>
          <w:sz w:val="21"/>
          <w:szCs w:val="21"/>
        </w:rPr>
        <w:t>美国LECO</w:t>
      </w:r>
      <w:r>
        <w:rPr>
          <w:rFonts w:hint="eastAsia" w:ascii="宋体" w:hAnsi="宋体" w:eastAsia="宋体" w:cs="宋体"/>
          <w:sz w:val="21"/>
          <w:szCs w:val="21"/>
          <w:lang w:val="en-US" w:eastAsia="zh-CN"/>
        </w:rPr>
        <w:t xml:space="preserve"> </w:t>
      </w:r>
      <w:r>
        <w:rPr>
          <w:rFonts w:ascii="宋体" w:hAnsi="宋体" w:eastAsia="宋体" w:cs="宋体"/>
          <w:sz w:val="21"/>
          <w:szCs w:val="21"/>
        </w:rPr>
        <w:t>GDS950</w:t>
      </w:r>
      <w:r>
        <w:rPr>
          <w:rFonts w:hint="eastAsia"/>
          <w:sz w:val="21"/>
          <w:szCs w:val="21"/>
          <w:lang w:val="en-US" w:eastAsia="zh-CN"/>
        </w:rPr>
        <w:t>型</w:t>
      </w:r>
      <w:r>
        <w:rPr>
          <w:rFonts w:ascii="宋体" w:hAnsi="宋体" w:eastAsia="宋体" w:cs="宋体"/>
          <w:sz w:val="21"/>
          <w:szCs w:val="21"/>
        </w:rPr>
        <w:t>辉光放电发射光谱仪</w:t>
      </w:r>
      <w:r>
        <w:rPr>
          <w:rFonts w:hint="eastAsia"/>
          <w:sz w:val="21"/>
          <w:szCs w:val="21"/>
          <w:lang w:val="en-US" w:eastAsia="zh-CN"/>
        </w:rPr>
        <w:t>、上海精谱JP-GD500</w:t>
      </w:r>
      <w:r>
        <w:rPr>
          <w:rFonts w:ascii="宋体" w:hAnsi="宋体" w:eastAsia="宋体" w:cs="宋体"/>
          <w:sz w:val="21"/>
          <w:szCs w:val="21"/>
        </w:rPr>
        <w:t>辉光放电发射光谱仪</w:t>
      </w:r>
      <w:r>
        <w:rPr>
          <w:rFonts w:hint="eastAsia" w:cs="宋体"/>
          <w:sz w:val="21"/>
          <w:szCs w:val="21"/>
          <w:lang w:eastAsia="zh-CN"/>
        </w:rPr>
        <w:t>，</w:t>
      </w:r>
      <w:r>
        <w:rPr>
          <w:rFonts w:ascii="宋体" w:hAnsi="宋体" w:eastAsia="宋体" w:cs="宋体"/>
          <w:sz w:val="21"/>
          <w:szCs w:val="21"/>
        </w:rPr>
        <w:t>北京钢研纳克GD-OES 1000（金属材料</w:t>
      </w:r>
      <w:r>
        <w:rPr>
          <w:rFonts w:hint="eastAsia" w:ascii="宋体" w:hAnsi="宋体" w:eastAsia="宋体" w:cs="宋体"/>
          <w:sz w:val="21"/>
          <w:szCs w:val="21"/>
          <w:lang w:val="en-US" w:eastAsia="zh-CN"/>
        </w:rPr>
        <w:t>/</w:t>
      </w:r>
      <w:r>
        <w:rPr>
          <w:rFonts w:ascii="宋体" w:hAnsi="宋体" w:eastAsia="宋体" w:cs="宋体"/>
          <w:sz w:val="21"/>
          <w:szCs w:val="21"/>
        </w:rPr>
        <w:t>镀层检测）辉光放电发射光谱仪</w:t>
      </w:r>
      <w:r>
        <w:rPr>
          <w:rFonts w:hint="eastAsia"/>
          <w:sz w:val="21"/>
          <w:szCs w:val="21"/>
          <w:lang w:val="en-US" w:eastAsia="zh-CN"/>
        </w:rPr>
        <w:t>等，对规范的校准项目及参数进行了调研。经调研发现，目前有色金属材料分析用</w:t>
      </w:r>
      <w:r>
        <w:rPr>
          <w:rFonts w:ascii="宋体" w:hAnsi="宋体" w:eastAsia="宋体" w:cs="宋体"/>
          <w:sz w:val="21"/>
          <w:szCs w:val="21"/>
        </w:rPr>
        <w:t>辉光放电发射光谱仪</w:t>
      </w:r>
      <w:r>
        <w:rPr>
          <w:rFonts w:hint="eastAsia"/>
          <w:sz w:val="21"/>
          <w:szCs w:val="21"/>
          <w:lang w:val="en-US" w:eastAsia="zh-CN"/>
        </w:rPr>
        <w:t>校准参数多为检出限、重复性、稳定性及深度测量重复性等，所以确认以上几项参数为主要校准项目。</w:t>
      </w:r>
    </w:p>
    <w:p w14:paraId="70F20D6B">
      <w:pPr>
        <w:pStyle w:val="60"/>
        <w:pageBreakBefore w:val="0"/>
        <w:kinsoku/>
        <w:wordWrap/>
        <w:overflowPunct/>
        <w:topLinePunct w:val="0"/>
        <w:bidi w:val="0"/>
        <w:spacing w:line="360" w:lineRule="auto"/>
        <w:ind w:left="0" w:leftChars="0" w:firstLine="0" w:firstLineChars="0"/>
        <w:textAlignment w:val="auto"/>
        <w:rPr>
          <w:rFonts w:hint="default" w:ascii="黑体" w:hAnsi="Times New Roman" w:eastAsia="黑体" w:cs="Times New Roman"/>
          <w:color w:val="auto"/>
          <w:spacing w:val="-4"/>
          <w:sz w:val="21"/>
          <w:szCs w:val="21"/>
          <w:lang w:val="en-US" w:eastAsia="zh-CN" w:bidi="ar-SA"/>
        </w:rPr>
      </w:pPr>
      <w:r>
        <w:rPr>
          <w:rFonts w:hint="eastAsia" w:ascii="黑体" w:hAnsi="Times New Roman" w:eastAsia="黑体" w:cs="Times New Roman"/>
          <w:color w:val="auto"/>
          <w:spacing w:val="-4"/>
          <w:sz w:val="21"/>
          <w:szCs w:val="21"/>
          <w:lang w:val="en-US" w:eastAsia="zh-CN" w:bidi="ar-SA"/>
        </w:rPr>
        <w:t>4.1.2 技术指标的确认</w:t>
      </w:r>
    </w:p>
    <w:p w14:paraId="29F5D2DD">
      <w:pPr>
        <w:pStyle w:val="60"/>
        <w:pageBreakBefore w:val="0"/>
        <w:kinsoku/>
        <w:wordWrap/>
        <w:overflowPunct/>
        <w:topLinePunct w:val="0"/>
        <w:bidi w:val="0"/>
        <w:spacing w:line="360" w:lineRule="auto"/>
        <w:ind w:firstLine="420"/>
        <w:textAlignment w:val="auto"/>
        <w:rPr>
          <w:rFonts w:hint="eastAsia"/>
          <w:sz w:val="21"/>
          <w:szCs w:val="21"/>
          <w:lang w:val="en-US" w:eastAsia="zh-CN"/>
        </w:rPr>
      </w:pPr>
      <w:r>
        <w:rPr>
          <w:rFonts w:hint="eastAsia"/>
          <w:sz w:val="21"/>
          <w:szCs w:val="21"/>
          <w:lang w:val="en-US" w:eastAsia="zh-CN"/>
        </w:rPr>
        <w:t>通过参考JJG 768对</w:t>
      </w:r>
      <w:r>
        <w:rPr>
          <w:rFonts w:hint="default"/>
          <w:sz w:val="21"/>
          <w:szCs w:val="21"/>
          <w:lang w:val="en-US" w:eastAsia="zh-CN"/>
        </w:rPr>
        <w:t>主要技术指标</w:t>
      </w:r>
      <w:r>
        <w:rPr>
          <w:rFonts w:hint="eastAsia"/>
          <w:sz w:val="21"/>
          <w:szCs w:val="21"/>
          <w:lang w:val="en-US" w:eastAsia="zh-CN"/>
        </w:rPr>
        <w:t>进行查询，并与设备使用实验室进行技术讨论，初步确认了校准项目的测量范围和误差范围。</w:t>
      </w:r>
    </w:p>
    <w:p w14:paraId="55DA51DA">
      <w:pPr>
        <w:pStyle w:val="60"/>
        <w:pageBreakBefore w:val="0"/>
        <w:kinsoku/>
        <w:wordWrap/>
        <w:overflowPunct/>
        <w:topLinePunct w:val="0"/>
        <w:bidi w:val="0"/>
        <w:spacing w:line="360" w:lineRule="auto"/>
        <w:ind w:firstLine="0" w:firstLineChars="0"/>
        <w:textAlignment w:val="auto"/>
        <w:rPr>
          <w:rFonts w:hint="eastAsia" w:ascii="黑体" w:hAnsi="黑体" w:eastAsia="黑体" w:cs="黑体"/>
          <w:sz w:val="21"/>
          <w:szCs w:val="21"/>
        </w:rPr>
      </w:pPr>
      <w:r>
        <w:rPr>
          <w:rFonts w:hint="eastAsia" w:ascii="黑体" w:hAnsi="黑体" w:eastAsia="黑体" w:cs="黑体"/>
          <w:sz w:val="21"/>
          <w:szCs w:val="21"/>
        </w:rPr>
        <w:t>4.2 立项阶段</w:t>
      </w:r>
    </w:p>
    <w:p w14:paraId="6ADA551A">
      <w:pPr>
        <w:pStyle w:val="60"/>
        <w:pageBreakBefore w:val="0"/>
        <w:kinsoku/>
        <w:wordWrap/>
        <w:overflowPunct/>
        <w:topLinePunct w:val="0"/>
        <w:bidi w:val="0"/>
        <w:spacing w:line="360" w:lineRule="auto"/>
        <w:ind w:firstLine="420"/>
        <w:textAlignment w:val="auto"/>
        <w:rPr>
          <w:rFonts w:hint="default"/>
          <w:sz w:val="21"/>
          <w:szCs w:val="21"/>
          <w:highlight w:val="none"/>
          <w:lang w:val="en-US" w:eastAsia="zh-CN"/>
        </w:rPr>
      </w:pPr>
      <w:r>
        <w:rPr>
          <w:rFonts w:hint="default"/>
          <w:sz w:val="21"/>
          <w:szCs w:val="21"/>
          <w:highlight w:val="none"/>
          <w:lang w:val="en-US" w:eastAsia="zh-CN"/>
        </w:rPr>
        <w:t>预研工作完成后，由中铝洛阳铜加工有限公司提交项目申请书等材料，根据工信部《工业和信息化部办公厅关于印发2025年行业计量技术规范制修订计划的通知》（工厅科</w:t>
      </w:r>
      <w:r>
        <w:rPr>
          <w:rFonts w:hint="eastAsia"/>
          <w:sz w:val="21"/>
          <w:szCs w:val="21"/>
          <w:highlight w:val="none"/>
          <w:lang w:val="en-US" w:eastAsia="zh-CN"/>
        </w:rPr>
        <w:t>〔2025〕299号</w:t>
      </w:r>
      <w:r>
        <w:rPr>
          <w:rFonts w:hint="default"/>
          <w:sz w:val="21"/>
          <w:szCs w:val="21"/>
          <w:highlight w:val="none"/>
          <w:lang w:val="en-US" w:eastAsia="zh-CN"/>
        </w:rPr>
        <w:t>）</w:t>
      </w:r>
      <w:r>
        <w:rPr>
          <w:rFonts w:hint="eastAsia"/>
          <w:sz w:val="21"/>
          <w:szCs w:val="21"/>
          <w:highlight w:val="none"/>
          <w:lang w:val="en-US" w:eastAsia="zh-CN"/>
        </w:rPr>
        <w:t>，</w:t>
      </w:r>
      <w:r>
        <w:rPr>
          <w:rFonts w:hint="default"/>
          <w:sz w:val="21"/>
          <w:szCs w:val="21"/>
          <w:highlight w:val="none"/>
          <w:lang w:val="en-US" w:eastAsia="zh-CN"/>
        </w:rPr>
        <w:t>其申报号为：JJFZ（有色金属）004-2025</w:t>
      </w:r>
      <w:r>
        <w:rPr>
          <w:rFonts w:hint="eastAsia"/>
          <w:sz w:val="21"/>
          <w:szCs w:val="21"/>
          <w:highlight w:val="none"/>
          <w:lang w:val="en-US" w:eastAsia="zh-CN"/>
        </w:rPr>
        <w:t>，</w:t>
      </w:r>
      <w:r>
        <w:rPr>
          <w:rFonts w:hint="default"/>
          <w:sz w:val="21"/>
          <w:szCs w:val="21"/>
          <w:highlight w:val="none"/>
          <w:lang w:val="en-US" w:eastAsia="zh-CN"/>
        </w:rPr>
        <w:t>计划完成年限为202</w:t>
      </w:r>
      <w:r>
        <w:rPr>
          <w:rFonts w:hint="eastAsia"/>
          <w:sz w:val="21"/>
          <w:szCs w:val="21"/>
          <w:highlight w:val="none"/>
          <w:lang w:val="en-US" w:eastAsia="zh-CN"/>
        </w:rPr>
        <w:t>7</w:t>
      </w:r>
      <w:r>
        <w:rPr>
          <w:rFonts w:hint="default"/>
          <w:sz w:val="21"/>
          <w:szCs w:val="21"/>
          <w:highlight w:val="none"/>
          <w:lang w:val="en-US" w:eastAsia="zh-CN"/>
        </w:rPr>
        <w:t>年。</w:t>
      </w:r>
    </w:p>
    <w:bookmarkEnd w:id="11"/>
    <w:p w14:paraId="35C3C864">
      <w:pPr>
        <w:pStyle w:val="2"/>
        <w:pageBreakBefore w:val="0"/>
        <w:kinsoku/>
        <w:wordWrap/>
        <w:overflowPunct/>
        <w:topLinePunct w:val="0"/>
        <w:bidi w:val="0"/>
        <w:spacing w:before="156" w:after="156" w:line="360" w:lineRule="auto"/>
        <w:textAlignment w:val="auto"/>
        <w:rPr>
          <w:b w:val="0"/>
          <w:bCs w:val="0"/>
          <w:sz w:val="21"/>
          <w:szCs w:val="21"/>
        </w:rPr>
      </w:pPr>
      <w:r>
        <w:rPr>
          <w:rFonts w:hint="eastAsia"/>
          <w:b w:val="0"/>
          <w:bCs w:val="0"/>
          <w:sz w:val="21"/>
          <w:szCs w:val="21"/>
        </w:rPr>
        <w:t>二、编制原则和依据</w:t>
      </w:r>
    </w:p>
    <w:p w14:paraId="3F1A852F">
      <w:pPr>
        <w:pStyle w:val="3"/>
        <w:pageBreakBefore w:val="0"/>
        <w:kinsoku/>
        <w:wordWrap/>
        <w:overflowPunct/>
        <w:topLinePunct w:val="0"/>
        <w:bidi w:val="0"/>
        <w:spacing w:before="156" w:after="156" w:line="360" w:lineRule="auto"/>
        <w:textAlignment w:val="auto"/>
        <w:rPr>
          <w:b w:val="0"/>
          <w:bCs w:val="0"/>
          <w:sz w:val="21"/>
          <w:szCs w:val="21"/>
        </w:rPr>
      </w:pPr>
      <w:bookmarkStart w:id="12" w:name="_Toc464728925"/>
      <w:r>
        <w:rPr>
          <w:rFonts w:hint="eastAsia"/>
          <w:b w:val="0"/>
          <w:bCs w:val="0"/>
          <w:sz w:val="21"/>
          <w:szCs w:val="21"/>
        </w:rPr>
        <w:t>（一）编制原则</w:t>
      </w:r>
      <w:bookmarkEnd w:id="12"/>
    </w:p>
    <w:p w14:paraId="01663872">
      <w:pPr>
        <w:pageBreakBefore w:val="0"/>
        <w:kinsoku/>
        <w:wordWrap/>
        <w:overflowPunct/>
        <w:topLinePunct w:val="0"/>
        <w:bidi w:val="0"/>
        <w:spacing w:line="360" w:lineRule="auto"/>
        <w:ind w:firstLine="420" w:firstLineChars="200"/>
        <w:textAlignment w:val="auto"/>
        <w:rPr>
          <w:rFonts w:hint="eastAsia" w:ascii="Times New Roman" w:hAnsi="Times New Roman" w:eastAsia="宋体" w:cs="Times New Roman"/>
          <w:sz w:val="21"/>
          <w:szCs w:val="21"/>
          <w:lang w:eastAsia="zh-CN"/>
        </w:rPr>
      </w:pPr>
      <w:bookmarkStart w:id="13" w:name="_Toc464728926"/>
      <w:r>
        <w:rPr>
          <w:rFonts w:hint="eastAsia" w:ascii="Times New Roman" w:hAnsi="Times New Roman" w:cs="Times New Roman"/>
          <w:sz w:val="21"/>
          <w:szCs w:val="21"/>
        </w:rPr>
        <w:t>JJF</w:t>
      </w:r>
      <w:r>
        <w:rPr>
          <w:rFonts w:hint="eastAsia" w:ascii="Times New Roman" w:hAnsi="Times New Roman" w:cs="Times New Roman"/>
          <w:sz w:val="21"/>
          <w:szCs w:val="21"/>
          <w:lang w:val="en-US" w:eastAsia="zh-CN"/>
        </w:rPr>
        <w:t xml:space="preserve"> </w:t>
      </w:r>
      <w:r>
        <w:rPr>
          <w:rFonts w:hint="eastAsia" w:ascii="Times New Roman" w:hAnsi="Times New Roman" w:cs="Times New Roman"/>
          <w:sz w:val="21"/>
          <w:szCs w:val="21"/>
        </w:rPr>
        <w:t>1071</w:t>
      </w:r>
      <w:r>
        <w:rPr>
          <w:rFonts w:hint="eastAsia" w:ascii="Times New Roman" w:hAnsi="Times New Roman" w:cs="Times New Roman"/>
          <w:sz w:val="21"/>
          <w:szCs w:val="21"/>
          <w:lang w:val="en-US" w:eastAsia="zh-CN"/>
        </w:rPr>
        <w:t xml:space="preserve"> </w:t>
      </w:r>
      <w:r>
        <w:rPr>
          <w:rFonts w:hint="eastAsia" w:ascii="Times New Roman" w:hAnsi="Times New Roman" w:cs="Times New Roman"/>
          <w:sz w:val="21"/>
          <w:szCs w:val="21"/>
        </w:rPr>
        <w:t>《国家计量校准规范编写规则》</w:t>
      </w:r>
      <w:r>
        <w:rPr>
          <w:rFonts w:hint="eastAsia" w:ascii="Times New Roman" w:hAnsi="Times New Roman" w:cs="Times New Roman"/>
          <w:sz w:val="21"/>
          <w:szCs w:val="21"/>
          <w:lang w:eastAsia="zh-CN"/>
        </w:rPr>
        <w:t>、</w:t>
      </w:r>
      <w:r>
        <w:rPr>
          <w:rFonts w:hint="eastAsia" w:ascii="Times New Roman" w:hAnsi="Times New Roman" w:cs="Times New Roman"/>
          <w:sz w:val="21"/>
          <w:szCs w:val="21"/>
        </w:rPr>
        <w:t>JJF</w:t>
      </w:r>
      <w:r>
        <w:rPr>
          <w:rFonts w:hint="eastAsia" w:ascii="Times New Roman" w:hAnsi="Times New Roman" w:cs="Times New Roman"/>
          <w:sz w:val="21"/>
          <w:szCs w:val="21"/>
          <w:lang w:val="en-US" w:eastAsia="zh-CN"/>
        </w:rPr>
        <w:t xml:space="preserve"> </w:t>
      </w:r>
      <w:r>
        <w:rPr>
          <w:rFonts w:hint="eastAsia" w:ascii="Times New Roman" w:hAnsi="Times New Roman" w:cs="Times New Roman"/>
          <w:sz w:val="21"/>
          <w:szCs w:val="21"/>
        </w:rPr>
        <w:t>1</w:t>
      </w:r>
      <w:r>
        <w:rPr>
          <w:rFonts w:hint="eastAsia" w:ascii="Times New Roman" w:hAnsi="Times New Roman" w:cs="Times New Roman"/>
          <w:sz w:val="21"/>
          <w:szCs w:val="21"/>
          <w:lang w:val="en-US" w:eastAsia="zh-CN"/>
        </w:rPr>
        <w:t>0</w:t>
      </w:r>
      <w:r>
        <w:rPr>
          <w:rFonts w:hint="eastAsia" w:ascii="Times New Roman" w:hAnsi="Times New Roman" w:cs="Times New Roman"/>
          <w:sz w:val="21"/>
          <w:szCs w:val="21"/>
        </w:rPr>
        <w:t>01《通用计量术语及定义》和JJF</w:t>
      </w:r>
      <w:r>
        <w:rPr>
          <w:rFonts w:hint="eastAsia" w:ascii="Times New Roman" w:hAnsi="Times New Roman" w:cs="Times New Roman"/>
          <w:sz w:val="21"/>
          <w:szCs w:val="21"/>
          <w:lang w:val="en-US" w:eastAsia="zh-CN"/>
        </w:rPr>
        <w:t xml:space="preserve"> </w:t>
      </w:r>
      <w:r>
        <w:rPr>
          <w:rFonts w:hint="eastAsia" w:ascii="Times New Roman" w:hAnsi="Times New Roman" w:cs="Times New Roman"/>
          <w:sz w:val="21"/>
          <w:szCs w:val="21"/>
        </w:rPr>
        <w:t>1059.1《测量不确定度评定与表示》</w:t>
      </w:r>
      <w:r>
        <w:rPr>
          <w:rFonts w:hint="eastAsia" w:ascii="Times New Roman" w:hAnsi="Times New Roman" w:cs="Times New Roman"/>
          <w:sz w:val="21"/>
          <w:szCs w:val="21"/>
          <w:lang w:val="en-US" w:eastAsia="zh-CN"/>
        </w:rPr>
        <w:t>共同构成支撑校准规范制修订工作的基础性系列规范</w:t>
      </w:r>
      <w:r>
        <w:rPr>
          <w:rFonts w:hint="eastAsia" w:ascii="Times New Roman" w:hAnsi="Times New Roman" w:cs="Times New Roman"/>
          <w:sz w:val="21"/>
          <w:szCs w:val="21"/>
          <w:lang w:eastAsia="zh-CN"/>
        </w:rPr>
        <w:t>。</w:t>
      </w:r>
    </w:p>
    <w:p w14:paraId="10B86985">
      <w:pPr>
        <w:pageBreakBefore w:val="0"/>
        <w:kinsoku/>
        <w:wordWrap/>
        <w:overflowPunct/>
        <w:topLinePunct w:val="0"/>
        <w:bidi w:val="0"/>
        <w:spacing w:line="360" w:lineRule="auto"/>
        <w:ind w:firstLine="420" w:firstLineChars="200"/>
        <w:textAlignment w:val="auto"/>
        <w:rPr>
          <w:rFonts w:hint="eastAsia"/>
          <w:b w:val="0"/>
          <w:bCs w:val="0"/>
          <w:sz w:val="21"/>
          <w:szCs w:val="21"/>
        </w:rPr>
      </w:pPr>
      <w:r>
        <w:rPr>
          <w:rFonts w:hint="eastAsia"/>
          <w:b w:val="0"/>
          <w:bCs w:val="0"/>
          <w:sz w:val="21"/>
          <w:szCs w:val="21"/>
        </w:rPr>
        <w:t>本规范参考了GB/T</w:t>
      </w:r>
      <w:r>
        <w:rPr>
          <w:rFonts w:hint="eastAsia"/>
          <w:b w:val="0"/>
          <w:bCs w:val="0"/>
          <w:sz w:val="21"/>
          <w:szCs w:val="21"/>
          <w:lang w:val="en-US" w:eastAsia="zh-CN"/>
        </w:rPr>
        <w:t xml:space="preserve"> </w:t>
      </w:r>
      <w:r>
        <w:rPr>
          <w:rFonts w:hint="eastAsia"/>
          <w:b w:val="0"/>
          <w:bCs w:val="0"/>
          <w:sz w:val="21"/>
          <w:szCs w:val="21"/>
        </w:rPr>
        <w:t>19502</w:t>
      </w:r>
      <w:r>
        <w:rPr>
          <w:rFonts w:hint="eastAsia"/>
          <w:b w:val="0"/>
          <w:bCs w:val="0"/>
          <w:sz w:val="21"/>
          <w:szCs w:val="21"/>
          <w:lang w:val="en-US" w:eastAsia="zh-CN"/>
        </w:rPr>
        <w:t>-2023</w:t>
      </w:r>
      <w:r>
        <w:rPr>
          <w:rFonts w:hint="eastAsia"/>
          <w:b w:val="0"/>
          <w:bCs w:val="0"/>
          <w:sz w:val="21"/>
          <w:szCs w:val="21"/>
        </w:rPr>
        <w:t xml:space="preserve"> </w:t>
      </w:r>
      <w:r>
        <w:rPr>
          <w:rFonts w:hint="eastAsia"/>
          <w:b w:val="0"/>
          <w:bCs w:val="0"/>
          <w:sz w:val="21"/>
          <w:szCs w:val="21"/>
          <w:lang w:eastAsia="zh-CN"/>
        </w:rPr>
        <w:t>《</w:t>
      </w:r>
      <w:r>
        <w:rPr>
          <w:rFonts w:hint="eastAsia"/>
          <w:b w:val="0"/>
          <w:bCs w:val="0"/>
          <w:sz w:val="21"/>
          <w:szCs w:val="21"/>
        </w:rPr>
        <w:t>表面化学分析辉光放电发射光谱方法通则</w:t>
      </w:r>
      <w:r>
        <w:rPr>
          <w:rFonts w:hint="eastAsia"/>
          <w:b w:val="0"/>
          <w:bCs w:val="0"/>
          <w:sz w:val="21"/>
          <w:szCs w:val="21"/>
          <w:lang w:eastAsia="zh-CN"/>
        </w:rPr>
        <w:t>》、</w:t>
      </w:r>
      <w:r>
        <w:rPr>
          <w:rFonts w:hint="eastAsia"/>
          <w:b w:val="0"/>
          <w:bCs w:val="0"/>
          <w:sz w:val="21"/>
          <w:szCs w:val="21"/>
        </w:rPr>
        <w:t xml:space="preserve">JJG 768 </w:t>
      </w:r>
      <w:r>
        <w:rPr>
          <w:rFonts w:hint="eastAsia"/>
          <w:b w:val="0"/>
          <w:bCs w:val="0"/>
          <w:sz w:val="21"/>
          <w:szCs w:val="21"/>
          <w:lang w:eastAsia="zh-CN"/>
        </w:rPr>
        <w:t>《</w:t>
      </w:r>
      <w:r>
        <w:rPr>
          <w:rFonts w:hint="eastAsia"/>
          <w:b w:val="0"/>
          <w:bCs w:val="0"/>
          <w:sz w:val="21"/>
          <w:szCs w:val="21"/>
        </w:rPr>
        <w:t>发射光谱仪检定规程</w:t>
      </w:r>
      <w:r>
        <w:rPr>
          <w:rFonts w:hint="eastAsia"/>
          <w:b w:val="0"/>
          <w:bCs w:val="0"/>
          <w:sz w:val="21"/>
          <w:szCs w:val="21"/>
          <w:lang w:eastAsia="zh-CN"/>
        </w:rPr>
        <w:t>》、</w:t>
      </w:r>
      <w:r>
        <w:rPr>
          <w:rFonts w:hint="eastAsia"/>
          <w:b w:val="0"/>
          <w:bCs w:val="0"/>
          <w:sz w:val="21"/>
          <w:szCs w:val="21"/>
        </w:rPr>
        <w:t xml:space="preserve">JJF(京)157-2024 </w:t>
      </w:r>
      <w:r>
        <w:rPr>
          <w:rFonts w:hint="eastAsia"/>
          <w:b w:val="0"/>
          <w:bCs w:val="0"/>
          <w:sz w:val="21"/>
          <w:szCs w:val="21"/>
          <w:lang w:eastAsia="zh-CN"/>
        </w:rPr>
        <w:t>《</w:t>
      </w:r>
      <w:r>
        <w:rPr>
          <w:rFonts w:hint="eastAsia"/>
          <w:b w:val="0"/>
          <w:bCs w:val="0"/>
          <w:sz w:val="21"/>
          <w:szCs w:val="21"/>
        </w:rPr>
        <w:t>辉光放电光谱仪校准规范</w:t>
      </w:r>
      <w:r>
        <w:rPr>
          <w:rFonts w:hint="eastAsia"/>
          <w:b w:val="0"/>
          <w:bCs w:val="0"/>
          <w:sz w:val="21"/>
          <w:szCs w:val="21"/>
          <w:lang w:eastAsia="zh-CN"/>
        </w:rPr>
        <w:t>》</w:t>
      </w:r>
      <w:r>
        <w:rPr>
          <w:rFonts w:hint="eastAsia"/>
          <w:b w:val="0"/>
          <w:bCs w:val="0"/>
          <w:sz w:val="21"/>
          <w:szCs w:val="21"/>
          <w:lang w:val="en-US" w:eastAsia="zh-CN"/>
        </w:rPr>
        <w:t>等</w:t>
      </w:r>
      <w:r>
        <w:rPr>
          <w:rFonts w:hint="eastAsia"/>
          <w:b w:val="0"/>
          <w:bCs w:val="0"/>
          <w:sz w:val="21"/>
          <w:szCs w:val="21"/>
        </w:rPr>
        <w:t>相关内容。提出了对</w:t>
      </w:r>
      <w:r>
        <w:rPr>
          <w:rFonts w:hint="eastAsia" w:hAnsi="宋体"/>
          <w:b w:val="0"/>
          <w:bCs w:val="0"/>
          <w:sz w:val="21"/>
          <w:szCs w:val="21"/>
        </w:rPr>
        <w:t>有色金属材料分析用辉光放电发射光谱仪</w:t>
      </w:r>
      <w:r>
        <w:rPr>
          <w:rFonts w:hint="eastAsia"/>
          <w:b w:val="0"/>
          <w:bCs w:val="0"/>
          <w:sz w:val="21"/>
          <w:szCs w:val="21"/>
        </w:rPr>
        <w:t>计量特性的要求，制定了基本原则和编制依据，可对</w:t>
      </w:r>
      <w:r>
        <w:rPr>
          <w:rFonts w:hint="eastAsia" w:hAnsi="宋体"/>
          <w:b w:val="0"/>
          <w:bCs w:val="0"/>
          <w:sz w:val="21"/>
          <w:szCs w:val="21"/>
        </w:rPr>
        <w:t>有色金属材料分析用辉光放电发射光谱仪</w:t>
      </w:r>
      <w:r>
        <w:rPr>
          <w:rFonts w:hint="eastAsia"/>
          <w:b w:val="0"/>
          <w:bCs w:val="0"/>
          <w:sz w:val="21"/>
          <w:szCs w:val="21"/>
        </w:rPr>
        <w:t>进行校准，解决了目前没有</w:t>
      </w:r>
      <w:r>
        <w:rPr>
          <w:rFonts w:hint="eastAsia" w:hAnsi="宋体"/>
          <w:b w:val="0"/>
          <w:bCs w:val="0"/>
          <w:sz w:val="21"/>
          <w:szCs w:val="21"/>
        </w:rPr>
        <w:t>有色金属材料分析用辉光放电发射光谱仪</w:t>
      </w:r>
      <w:r>
        <w:rPr>
          <w:rFonts w:hint="eastAsia"/>
          <w:b w:val="0"/>
          <w:bCs w:val="0"/>
          <w:sz w:val="21"/>
          <w:szCs w:val="21"/>
        </w:rPr>
        <w:t>校准方法的难题。</w:t>
      </w:r>
    </w:p>
    <w:p w14:paraId="77D1E9FD">
      <w:pPr>
        <w:pageBreakBefore w:val="0"/>
        <w:kinsoku/>
        <w:wordWrap/>
        <w:overflowPunct/>
        <w:topLinePunct w:val="0"/>
        <w:bidi w:val="0"/>
        <w:spacing w:line="360" w:lineRule="auto"/>
        <w:ind w:firstLine="420" w:firstLineChars="200"/>
        <w:textAlignment w:val="auto"/>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t>基本的编制原则为：</w:t>
      </w:r>
    </w:p>
    <w:p w14:paraId="6A1C3032">
      <w:pPr>
        <w:pageBreakBefore w:val="0"/>
        <w:kinsoku/>
        <w:wordWrap/>
        <w:overflowPunct/>
        <w:topLinePunct w:val="0"/>
        <w:bidi w:val="0"/>
        <w:spacing w:line="360" w:lineRule="auto"/>
        <w:ind w:firstLine="480"/>
        <w:textAlignment w:val="auto"/>
        <w:rPr>
          <w:rFonts w:hint="eastAsia" w:ascii="Times New Roman" w:hAnsi="Times New Roman" w:eastAsia="宋体" w:cs="Times New Roman"/>
          <w:b w:val="0"/>
          <w:bCs w:val="0"/>
          <w:kern w:val="2"/>
          <w:sz w:val="21"/>
          <w:szCs w:val="21"/>
          <w:lang w:val="en-US" w:eastAsia="zh-CN" w:bidi="ar-SA"/>
        </w:rPr>
      </w:pPr>
      <w:r>
        <w:rPr>
          <w:rFonts w:hint="eastAsia" w:cs="Times New Roman"/>
          <w:b w:val="0"/>
          <w:bCs w:val="0"/>
          <w:kern w:val="2"/>
          <w:sz w:val="21"/>
          <w:szCs w:val="21"/>
          <w:lang w:val="en-US" w:eastAsia="zh-CN" w:bidi="ar-SA"/>
        </w:rPr>
        <w:t>1.</w:t>
      </w:r>
      <w:r>
        <w:rPr>
          <w:rFonts w:hint="eastAsia" w:ascii="Times New Roman" w:hAnsi="Times New Roman" w:eastAsia="宋体" w:cs="Times New Roman"/>
          <w:b w:val="0"/>
          <w:bCs w:val="0"/>
          <w:kern w:val="2"/>
          <w:sz w:val="21"/>
          <w:szCs w:val="21"/>
          <w:lang w:val="en-US" w:eastAsia="zh-CN" w:bidi="ar-SA"/>
        </w:rPr>
        <w:t>保证有色行业的特殊性和适用性。</w:t>
      </w:r>
    </w:p>
    <w:p w14:paraId="580B2D0C">
      <w:pPr>
        <w:pageBreakBefore w:val="0"/>
        <w:kinsoku/>
        <w:wordWrap/>
        <w:overflowPunct/>
        <w:topLinePunct w:val="0"/>
        <w:bidi w:val="0"/>
        <w:spacing w:line="360" w:lineRule="auto"/>
        <w:ind w:firstLine="480"/>
        <w:textAlignment w:val="auto"/>
        <w:rPr>
          <w:rFonts w:hint="eastAsia" w:ascii="Times New Roman" w:hAnsi="Times New Roman" w:eastAsia="宋体" w:cs="Times New Roman"/>
          <w:b w:val="0"/>
          <w:bCs w:val="0"/>
          <w:kern w:val="2"/>
          <w:sz w:val="21"/>
          <w:szCs w:val="21"/>
          <w:lang w:val="en-US" w:eastAsia="zh-CN" w:bidi="ar-SA"/>
        </w:rPr>
      </w:pPr>
      <w:r>
        <w:rPr>
          <w:rFonts w:hint="eastAsia" w:cs="Times New Roman"/>
          <w:b w:val="0"/>
          <w:bCs w:val="0"/>
          <w:kern w:val="2"/>
          <w:sz w:val="21"/>
          <w:szCs w:val="21"/>
          <w:lang w:val="en-US" w:eastAsia="zh-CN" w:bidi="ar-SA"/>
        </w:rPr>
        <w:t>2.</w:t>
      </w:r>
      <w:r>
        <w:rPr>
          <w:rFonts w:hint="eastAsia" w:ascii="Times New Roman" w:hAnsi="Times New Roman" w:eastAsia="宋体" w:cs="Times New Roman"/>
          <w:b w:val="0"/>
          <w:bCs w:val="0"/>
          <w:kern w:val="2"/>
          <w:sz w:val="21"/>
          <w:szCs w:val="21"/>
          <w:lang w:val="en-US" w:eastAsia="zh-CN" w:bidi="ar-SA"/>
        </w:rPr>
        <w:t>保证校准规范的规范性。</w:t>
      </w:r>
    </w:p>
    <w:p w14:paraId="03528464">
      <w:pPr>
        <w:pageBreakBefore w:val="0"/>
        <w:kinsoku/>
        <w:wordWrap/>
        <w:overflowPunct/>
        <w:topLinePunct w:val="0"/>
        <w:bidi w:val="0"/>
        <w:spacing w:line="360" w:lineRule="auto"/>
        <w:ind w:firstLine="480"/>
        <w:textAlignment w:val="auto"/>
        <w:rPr>
          <w:rFonts w:hint="eastAsia" w:ascii="Times New Roman" w:hAnsi="Times New Roman" w:eastAsia="宋体" w:cs="Times New Roman"/>
          <w:b w:val="0"/>
          <w:bCs w:val="0"/>
          <w:kern w:val="2"/>
          <w:sz w:val="21"/>
          <w:szCs w:val="21"/>
          <w:lang w:val="en-US" w:eastAsia="zh-CN" w:bidi="ar-SA"/>
        </w:rPr>
      </w:pPr>
      <w:r>
        <w:rPr>
          <w:rFonts w:hint="eastAsia" w:cs="Times New Roman"/>
          <w:b w:val="0"/>
          <w:bCs w:val="0"/>
          <w:kern w:val="2"/>
          <w:sz w:val="21"/>
          <w:szCs w:val="21"/>
          <w:lang w:val="en-US" w:eastAsia="zh-CN" w:bidi="ar-SA"/>
        </w:rPr>
        <w:t>3.</w:t>
      </w:r>
      <w:r>
        <w:rPr>
          <w:rFonts w:hint="eastAsia" w:ascii="Times New Roman" w:hAnsi="Times New Roman" w:eastAsia="宋体" w:cs="Times New Roman"/>
          <w:b w:val="0"/>
          <w:bCs w:val="0"/>
          <w:kern w:val="2"/>
          <w:sz w:val="21"/>
          <w:szCs w:val="21"/>
          <w:lang w:val="en-US" w:eastAsia="zh-CN" w:bidi="ar-SA"/>
        </w:rPr>
        <w:t>保证校准规范的可操作性。</w:t>
      </w:r>
    </w:p>
    <w:p w14:paraId="30DE95D9">
      <w:pPr>
        <w:pStyle w:val="3"/>
        <w:pageBreakBefore w:val="0"/>
        <w:kinsoku/>
        <w:wordWrap/>
        <w:overflowPunct/>
        <w:topLinePunct w:val="0"/>
        <w:bidi w:val="0"/>
        <w:spacing w:before="156" w:after="156" w:line="360" w:lineRule="auto"/>
        <w:textAlignment w:val="auto"/>
        <w:rPr>
          <w:rFonts w:ascii="宋体" w:hAnsi="宋体"/>
          <w:b w:val="0"/>
          <w:bCs w:val="0"/>
          <w:sz w:val="21"/>
          <w:szCs w:val="21"/>
        </w:rPr>
      </w:pPr>
      <w:r>
        <w:rPr>
          <w:rFonts w:hint="eastAsia"/>
          <w:b w:val="0"/>
          <w:bCs w:val="0"/>
          <w:sz w:val="21"/>
          <w:szCs w:val="21"/>
        </w:rPr>
        <w:t>（二）确定主要内</w:t>
      </w:r>
      <w:bookmarkEnd w:id="13"/>
      <w:r>
        <w:rPr>
          <w:rFonts w:hint="eastAsia"/>
          <w:b w:val="0"/>
          <w:bCs w:val="0"/>
          <w:sz w:val="21"/>
          <w:szCs w:val="21"/>
        </w:rPr>
        <w:t>容</w:t>
      </w:r>
    </w:p>
    <w:p w14:paraId="4FE81A4E">
      <w:pPr>
        <w:pStyle w:val="30"/>
        <w:keepNext w:val="0"/>
        <w:keepLines w:val="0"/>
        <w:pageBreakBefore w:val="0"/>
        <w:tabs>
          <w:tab w:val="right" w:leader="dot" w:pos="9345"/>
        </w:tabs>
        <w:kinsoku/>
        <w:wordWrap/>
        <w:overflowPunct/>
        <w:topLinePunct w:val="0"/>
        <w:bidi w:val="0"/>
        <w:spacing w:line="360" w:lineRule="auto"/>
        <w:textAlignment w:val="auto"/>
        <w:outlineLvl w:val="0"/>
        <w:rPr>
          <w:rFonts w:hint="eastAsia" w:ascii="黑体" w:hAnsi="黑体" w:eastAsia="黑体" w:cs="黑体"/>
          <w:sz w:val="21"/>
          <w:szCs w:val="21"/>
        </w:rPr>
      </w:pPr>
      <w:bookmarkStart w:id="14" w:name="_Toc22755"/>
      <w:bookmarkStart w:id="15" w:name="_Toc22613"/>
      <w:bookmarkStart w:id="16" w:name="_Toc32693"/>
      <w:bookmarkStart w:id="17" w:name="_Toc12156"/>
      <w:bookmarkStart w:id="18" w:name="_Toc464728964"/>
      <w:r>
        <w:rPr>
          <w:rFonts w:hint="eastAsia" w:ascii="黑体" w:hAnsi="黑体" w:eastAsia="黑体" w:cs="黑体"/>
          <w:b w:val="0"/>
          <w:bCs/>
          <w:sz w:val="21"/>
          <w:szCs w:val="21"/>
        </w:rPr>
        <w:t>1 范围</w:t>
      </w:r>
      <w:bookmarkEnd w:id="14"/>
      <w:bookmarkEnd w:id="15"/>
      <w:bookmarkEnd w:id="16"/>
      <w:bookmarkEnd w:id="17"/>
    </w:p>
    <w:p w14:paraId="123E8682">
      <w:pPr>
        <w:pStyle w:val="60"/>
        <w:keepNext w:val="0"/>
        <w:keepLines w:val="0"/>
        <w:pageBreakBefore w:val="0"/>
        <w:kinsoku/>
        <w:wordWrap/>
        <w:overflowPunct/>
        <w:topLinePunct w:val="0"/>
        <w:bidi w:val="0"/>
        <w:spacing w:line="360" w:lineRule="auto"/>
        <w:ind w:firstLine="480"/>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rPr>
        <w:t>本</w:t>
      </w:r>
      <w:r>
        <w:rPr>
          <w:rFonts w:hint="eastAsia" w:ascii="Times New Roman" w:hAnsi="Times New Roman" w:eastAsia="宋体" w:cs="Times New Roman"/>
          <w:sz w:val="21"/>
          <w:szCs w:val="21"/>
          <w:lang w:val="en-US" w:eastAsia="zh-CN"/>
        </w:rPr>
        <w:t>规范</w:t>
      </w:r>
      <w:r>
        <w:rPr>
          <w:rFonts w:hint="default" w:ascii="Times New Roman" w:hAnsi="Times New Roman" w:eastAsia="宋体" w:cs="Times New Roman"/>
          <w:sz w:val="21"/>
          <w:szCs w:val="21"/>
        </w:rPr>
        <w:t>适用于</w:t>
      </w:r>
      <w:r>
        <w:rPr>
          <w:rFonts w:hint="eastAsia" w:ascii="Times New Roman" w:cs="Times New Roman"/>
          <w:sz w:val="21"/>
          <w:szCs w:val="21"/>
          <w:lang w:val="en-US" w:eastAsia="zh-CN"/>
        </w:rPr>
        <w:t>铜、铝、铅、锌、镍、钴、</w:t>
      </w:r>
      <w:r>
        <w:rPr>
          <w:rFonts w:hint="eastAsia" w:ascii="Times New Roman" w:cs="Times New Roman"/>
          <w:sz w:val="21"/>
          <w:szCs w:val="21"/>
          <w:highlight w:val="none"/>
          <w:lang w:val="en-US" w:eastAsia="zh-CN"/>
        </w:rPr>
        <w:t>钛等</w:t>
      </w:r>
      <w:r>
        <w:rPr>
          <w:rFonts w:hint="eastAsia" w:ascii="Times New Roman" w:hAnsi="Times New Roman" w:eastAsia="宋体" w:cs="Times New Roman"/>
          <w:sz w:val="21"/>
          <w:szCs w:val="21"/>
          <w:highlight w:val="none"/>
          <w:lang w:val="en-US" w:eastAsia="zh-CN"/>
        </w:rPr>
        <w:t>有色金属</w:t>
      </w:r>
      <w:r>
        <w:rPr>
          <w:rFonts w:hint="eastAsia" w:ascii="Times New Roman" w:cs="Times New Roman"/>
          <w:sz w:val="21"/>
          <w:szCs w:val="21"/>
          <w:highlight w:val="none"/>
          <w:lang w:val="en-US" w:eastAsia="zh-CN"/>
        </w:rPr>
        <w:t>合金</w:t>
      </w:r>
      <w:r>
        <w:rPr>
          <w:rFonts w:hint="eastAsia" w:ascii="Times New Roman" w:hAnsi="Times New Roman" w:eastAsia="宋体" w:cs="Times New Roman"/>
          <w:sz w:val="21"/>
          <w:szCs w:val="21"/>
          <w:highlight w:val="none"/>
          <w:lang w:val="en-US" w:eastAsia="zh-CN"/>
        </w:rPr>
        <w:t>材料分析用射频辉光放电光谱仪</w:t>
      </w:r>
      <w:r>
        <w:rPr>
          <w:rFonts w:hint="default" w:ascii="Times New Roman" w:hAnsi="Times New Roman" w:eastAsia="宋体" w:cs="Times New Roman"/>
          <w:sz w:val="21"/>
          <w:szCs w:val="21"/>
          <w:highlight w:val="none"/>
        </w:rPr>
        <w:t>的</w:t>
      </w:r>
      <w:r>
        <w:rPr>
          <w:rFonts w:hint="default" w:ascii="Times New Roman" w:hAnsi="Times New Roman" w:eastAsia="宋体" w:cs="Times New Roman"/>
          <w:sz w:val="21"/>
          <w:szCs w:val="21"/>
          <w:highlight w:val="none"/>
          <w:lang w:val="en-US" w:eastAsia="zh-CN"/>
        </w:rPr>
        <w:t>校准。</w:t>
      </w:r>
      <w:bookmarkStart w:id="19" w:name="_Toc193860178"/>
      <w:bookmarkStart w:id="20" w:name="_Toc193860209"/>
      <w:bookmarkStart w:id="21" w:name="_Toc193860028"/>
      <w:bookmarkStart w:id="22" w:name="_Toc10155"/>
      <w:bookmarkStart w:id="23" w:name="_Toc19639"/>
      <w:bookmarkStart w:id="24" w:name="_Toc21794"/>
      <w:bookmarkStart w:id="25" w:name="_Toc23784635"/>
      <w:bookmarkStart w:id="26" w:name="_Toc19304"/>
      <w:bookmarkStart w:id="27" w:name="_Toc6820_WPSOffice_Level1"/>
      <w:bookmarkStart w:id="28" w:name="_Toc23785529"/>
      <w:bookmarkStart w:id="29" w:name="_Toc30934"/>
      <w:bookmarkStart w:id="30" w:name="_Toc31539"/>
      <w:bookmarkStart w:id="31" w:name="_Toc23784537"/>
      <w:bookmarkStart w:id="32" w:name="_Toc20348"/>
    </w:p>
    <w:p w14:paraId="591D6CFC">
      <w:pPr>
        <w:pStyle w:val="21"/>
        <w:keepNext w:val="0"/>
        <w:keepLines w:val="0"/>
        <w:pageBreakBefore w:val="0"/>
        <w:tabs>
          <w:tab w:val="right" w:leader="dot" w:pos="9345"/>
        </w:tabs>
        <w:kinsoku/>
        <w:wordWrap/>
        <w:overflowPunct/>
        <w:topLinePunct w:val="0"/>
        <w:bidi w:val="0"/>
        <w:spacing w:line="360" w:lineRule="auto"/>
        <w:ind w:left="0" w:leftChars="0"/>
        <w:textAlignment w:val="auto"/>
        <w:outlineLvl w:val="0"/>
        <w:rPr>
          <w:rFonts w:hint="eastAsia" w:ascii="黑体" w:hAnsi="黑体" w:eastAsia="黑体" w:cs="黑体"/>
          <w:b w:val="0"/>
          <w:bCs/>
          <w:caps/>
          <w:color w:val="auto"/>
          <w:sz w:val="21"/>
          <w:szCs w:val="21"/>
        </w:rPr>
      </w:pPr>
      <w:bookmarkStart w:id="33" w:name="_Toc2974"/>
      <w:r>
        <w:rPr>
          <w:rFonts w:hint="eastAsia" w:ascii="黑体" w:hAnsi="黑体" w:eastAsia="黑体" w:cs="黑体"/>
          <w:b w:val="0"/>
          <w:bCs/>
          <w:caps/>
          <w:color w:val="auto"/>
          <w:sz w:val="21"/>
          <w:szCs w:val="21"/>
          <w:lang w:val="en-US" w:eastAsia="zh-CN"/>
        </w:rPr>
        <w:t xml:space="preserve">2 </w:t>
      </w:r>
      <w:r>
        <w:rPr>
          <w:rFonts w:hint="eastAsia" w:ascii="黑体" w:hAnsi="黑体" w:eastAsia="黑体" w:cs="黑体"/>
          <w:b w:val="0"/>
          <w:bCs w:val="0"/>
          <w:color w:val="auto"/>
          <w:sz w:val="21"/>
          <w:szCs w:val="21"/>
          <w:lang w:val="en-US" w:eastAsia="zh-CN"/>
        </w:rPr>
        <w:t>引用</w:t>
      </w:r>
      <w:r>
        <w:rPr>
          <w:rFonts w:hint="eastAsia" w:ascii="黑体" w:hAnsi="黑体" w:eastAsia="黑体" w:cs="黑体"/>
          <w:b w:val="0"/>
          <w:bCs/>
          <w:caps/>
          <w:color w:val="auto"/>
          <w:sz w:val="21"/>
          <w:szCs w:val="21"/>
        </w:rPr>
        <w:t>文</w:t>
      </w:r>
      <w:bookmarkEnd w:id="19"/>
      <w:bookmarkEnd w:id="20"/>
      <w:bookmarkEnd w:id="21"/>
      <w:r>
        <w:rPr>
          <w:rFonts w:hint="eastAsia" w:ascii="黑体" w:hAnsi="黑体" w:eastAsia="黑体" w:cs="黑体"/>
          <w:b w:val="0"/>
          <w:bCs/>
          <w:caps/>
          <w:color w:val="auto"/>
          <w:sz w:val="21"/>
          <w:szCs w:val="21"/>
        </w:rPr>
        <w:t>件</w:t>
      </w:r>
      <w:bookmarkEnd w:id="22"/>
      <w:bookmarkEnd w:id="23"/>
      <w:bookmarkEnd w:id="24"/>
      <w:bookmarkEnd w:id="25"/>
      <w:bookmarkEnd w:id="26"/>
      <w:bookmarkEnd w:id="27"/>
      <w:bookmarkEnd w:id="28"/>
      <w:bookmarkEnd w:id="29"/>
      <w:bookmarkEnd w:id="30"/>
      <w:bookmarkEnd w:id="31"/>
      <w:bookmarkEnd w:id="32"/>
      <w:bookmarkEnd w:id="33"/>
    </w:p>
    <w:p w14:paraId="37B81794">
      <w:pPr>
        <w:pStyle w:val="38"/>
        <w:keepNext w:val="0"/>
        <w:keepLines w:val="0"/>
        <w:widowControl/>
        <w:suppressLineNumbers w:val="0"/>
        <w:autoSpaceDE w:val="0"/>
        <w:autoSpaceDN w:val="0"/>
        <w:spacing w:before="0" w:beforeAutospacing="0" w:after="0" w:afterAutospacing="0" w:line="360" w:lineRule="auto"/>
        <w:ind w:left="0" w:right="0" w:firstLine="420" w:firstLineChars="200"/>
        <w:jc w:val="both"/>
        <w:rPr>
          <w:rFonts w:hint="eastAsia" w:asciiTheme="minorEastAsia" w:hAnsiTheme="minorEastAsia" w:eastAsiaTheme="minorEastAsia"/>
          <w:kern w:val="0"/>
          <w:sz w:val="21"/>
          <w:szCs w:val="21"/>
        </w:rPr>
      </w:pPr>
      <w:bookmarkStart w:id="34" w:name="_Toc17417"/>
      <w:bookmarkStart w:id="35" w:name="_Toc15607"/>
      <w:bookmarkStart w:id="36" w:name="_Toc13932"/>
      <w:bookmarkStart w:id="37" w:name="_Toc5945"/>
      <w:bookmarkStart w:id="38" w:name="_Toc8941"/>
      <w:bookmarkStart w:id="39" w:name="_Toc7590"/>
      <w:bookmarkStart w:id="40" w:name="_Toc29732"/>
      <w:r>
        <w:rPr>
          <w:rFonts w:hint="eastAsia" w:asciiTheme="minorEastAsia" w:hAnsiTheme="minorEastAsia" w:eastAsiaTheme="minorEastAsia"/>
          <w:kern w:val="0"/>
          <w:sz w:val="21"/>
          <w:szCs w:val="21"/>
        </w:rPr>
        <w:t>本规范引用了下列文件</w:t>
      </w:r>
      <w:r>
        <w:rPr>
          <w:rFonts w:hint="eastAsia" w:asciiTheme="minorEastAsia" w:hAnsiTheme="minorEastAsia" w:eastAsiaTheme="minorEastAsia"/>
          <w:kern w:val="0"/>
          <w:sz w:val="21"/>
          <w:szCs w:val="21"/>
          <w:lang w:eastAsia="zh-CN"/>
        </w:rPr>
        <w:t>：</w:t>
      </w:r>
    </w:p>
    <w:p w14:paraId="4E670C46">
      <w:pPr>
        <w:pStyle w:val="38"/>
        <w:keepNext w:val="0"/>
        <w:keepLines w:val="0"/>
        <w:widowControl/>
        <w:suppressLineNumbers w:val="0"/>
        <w:autoSpaceDE w:val="0"/>
        <w:autoSpaceDN w:val="0"/>
        <w:spacing w:before="0" w:beforeAutospacing="0" w:after="0" w:afterAutospacing="0" w:line="360" w:lineRule="auto"/>
        <w:ind w:left="0" w:right="0" w:firstLine="420" w:firstLineChars="200"/>
        <w:jc w:val="both"/>
        <w:rPr>
          <w:rFonts w:hint="eastAsia" w:asciiTheme="minorEastAsia" w:hAnsiTheme="minorEastAsia" w:eastAsiaTheme="minorEastAsia"/>
          <w:kern w:val="0"/>
          <w:sz w:val="21"/>
          <w:szCs w:val="21"/>
        </w:rPr>
      </w:pPr>
      <w:r>
        <w:rPr>
          <w:rFonts w:hint="eastAsia" w:asciiTheme="minorEastAsia" w:hAnsiTheme="minorEastAsia" w:eastAsiaTheme="minorEastAsia"/>
          <w:kern w:val="0"/>
          <w:sz w:val="21"/>
          <w:szCs w:val="21"/>
        </w:rPr>
        <w:t>GB/T19502</w:t>
      </w:r>
      <w:r>
        <w:rPr>
          <w:rFonts w:hint="eastAsia" w:asciiTheme="minorEastAsia" w:hAnsiTheme="minorEastAsia" w:eastAsiaTheme="minorEastAsia"/>
          <w:kern w:val="0"/>
          <w:sz w:val="21"/>
          <w:szCs w:val="21"/>
          <w:lang w:val="en-US" w:eastAsia="zh-CN"/>
        </w:rPr>
        <w:t xml:space="preserve"> </w:t>
      </w:r>
      <w:r>
        <w:rPr>
          <w:rFonts w:hint="eastAsia" w:asciiTheme="minorEastAsia" w:hAnsiTheme="minorEastAsia" w:eastAsiaTheme="minorEastAsia"/>
          <w:kern w:val="0"/>
          <w:sz w:val="21"/>
          <w:szCs w:val="21"/>
        </w:rPr>
        <w:t>表面化学分析辉光放电发射光谱方法通则</w:t>
      </w:r>
    </w:p>
    <w:p w14:paraId="7101C16A">
      <w:pPr>
        <w:pStyle w:val="38"/>
        <w:keepNext w:val="0"/>
        <w:keepLines w:val="0"/>
        <w:widowControl/>
        <w:suppressLineNumbers w:val="0"/>
        <w:autoSpaceDE w:val="0"/>
        <w:autoSpaceDN w:val="0"/>
        <w:spacing w:before="0" w:beforeAutospacing="0" w:after="0" w:afterAutospacing="0" w:line="360" w:lineRule="auto"/>
        <w:ind w:left="0" w:right="0" w:firstLine="420" w:firstLineChars="200"/>
        <w:jc w:val="both"/>
        <w:rPr>
          <w:rFonts w:hint="eastAsia" w:asciiTheme="minorEastAsia" w:hAnsiTheme="minorEastAsia" w:eastAsiaTheme="minorEastAsia"/>
          <w:kern w:val="0"/>
          <w:sz w:val="21"/>
          <w:szCs w:val="21"/>
        </w:rPr>
      </w:pPr>
      <w:r>
        <w:rPr>
          <w:rFonts w:hint="eastAsia" w:asciiTheme="minorEastAsia" w:hAnsiTheme="minorEastAsia" w:eastAsiaTheme="minorEastAsia"/>
          <w:kern w:val="0"/>
          <w:sz w:val="21"/>
          <w:szCs w:val="21"/>
        </w:rPr>
        <w:t>JJG 768 发射光谱仪检定规程</w:t>
      </w:r>
    </w:p>
    <w:p w14:paraId="7924398E">
      <w:pPr>
        <w:pStyle w:val="38"/>
        <w:keepNext w:val="0"/>
        <w:keepLines w:val="0"/>
        <w:widowControl/>
        <w:suppressLineNumbers w:val="0"/>
        <w:autoSpaceDE w:val="0"/>
        <w:autoSpaceDN w:val="0"/>
        <w:spacing w:before="0" w:beforeAutospacing="0" w:after="0" w:afterAutospacing="0" w:line="360" w:lineRule="auto"/>
        <w:ind w:left="0" w:right="0" w:firstLine="420" w:firstLineChars="200"/>
        <w:jc w:val="both"/>
        <w:rPr>
          <w:rFonts w:hint="eastAsia" w:asciiTheme="minorEastAsia" w:hAnsiTheme="minorEastAsia" w:eastAsiaTheme="minorEastAsia"/>
          <w:kern w:val="0"/>
          <w:sz w:val="21"/>
          <w:szCs w:val="21"/>
          <w:lang w:val="en-US" w:eastAsia="zh-CN"/>
        </w:rPr>
      </w:pPr>
      <w:r>
        <w:rPr>
          <w:rFonts w:hint="eastAsia" w:asciiTheme="minorEastAsia" w:hAnsiTheme="minorEastAsia" w:eastAsiaTheme="minorEastAsia"/>
          <w:kern w:val="0"/>
          <w:sz w:val="21"/>
          <w:szCs w:val="21"/>
        </w:rPr>
        <w:t>JJF</w:t>
      </w:r>
      <w:r>
        <w:rPr>
          <w:rFonts w:hint="eastAsia" w:asciiTheme="minorEastAsia" w:hAnsiTheme="minorEastAsia" w:eastAsiaTheme="minorEastAsia"/>
          <w:kern w:val="0"/>
          <w:sz w:val="21"/>
          <w:szCs w:val="21"/>
          <w:lang w:eastAsia="zh-CN"/>
        </w:rPr>
        <w:t>（</w:t>
      </w:r>
      <w:r>
        <w:rPr>
          <w:rFonts w:hint="eastAsia" w:asciiTheme="minorEastAsia" w:hAnsiTheme="minorEastAsia" w:eastAsiaTheme="minorEastAsia"/>
          <w:kern w:val="0"/>
          <w:sz w:val="21"/>
          <w:szCs w:val="21"/>
        </w:rPr>
        <w:t>京</w:t>
      </w:r>
      <w:r>
        <w:rPr>
          <w:rFonts w:hint="eastAsia" w:asciiTheme="minorEastAsia" w:hAnsiTheme="minorEastAsia" w:eastAsiaTheme="minorEastAsia"/>
          <w:kern w:val="0"/>
          <w:sz w:val="21"/>
          <w:szCs w:val="21"/>
          <w:lang w:eastAsia="zh-CN"/>
        </w:rPr>
        <w:t>）</w:t>
      </w:r>
      <w:r>
        <w:rPr>
          <w:rFonts w:hint="eastAsia" w:asciiTheme="minorEastAsia" w:hAnsiTheme="minorEastAsia" w:eastAsiaTheme="minorEastAsia"/>
          <w:kern w:val="0"/>
          <w:sz w:val="21"/>
          <w:szCs w:val="21"/>
        </w:rPr>
        <w:t>157-2024</w:t>
      </w:r>
      <w:r>
        <w:rPr>
          <w:rFonts w:hint="eastAsia" w:asciiTheme="minorEastAsia" w:hAnsiTheme="minorEastAsia" w:eastAsiaTheme="minorEastAsia"/>
          <w:kern w:val="0"/>
          <w:sz w:val="21"/>
          <w:szCs w:val="21"/>
          <w:lang w:val="en-US" w:eastAsia="zh-CN"/>
        </w:rPr>
        <w:t xml:space="preserve"> 辉光放电光谱仪校准规范</w:t>
      </w:r>
    </w:p>
    <w:p w14:paraId="0B7C1C6A">
      <w:pPr>
        <w:pStyle w:val="38"/>
        <w:keepNext w:val="0"/>
        <w:keepLines w:val="0"/>
        <w:widowControl/>
        <w:suppressLineNumbers w:val="0"/>
        <w:autoSpaceDE w:val="0"/>
        <w:autoSpaceDN w:val="0"/>
        <w:spacing w:before="0" w:beforeAutospacing="0" w:after="0" w:afterAutospacing="0" w:line="360" w:lineRule="auto"/>
        <w:ind w:left="0" w:right="0" w:firstLine="420" w:firstLineChars="200"/>
        <w:jc w:val="both"/>
        <w:rPr>
          <w:rFonts w:hint="eastAsia" w:ascii="黑体" w:hAnsi="黑体" w:eastAsia="黑体" w:cs="黑体"/>
          <w:b w:val="0"/>
          <w:bCs w:val="0"/>
          <w:color w:val="auto"/>
          <w:sz w:val="21"/>
          <w:szCs w:val="21"/>
          <w:lang w:val="en-US" w:eastAsia="zh-CN"/>
        </w:rPr>
      </w:pPr>
      <w:r>
        <w:rPr>
          <w:rFonts w:hint="eastAsia" w:asciiTheme="minorEastAsia" w:hAnsiTheme="minorEastAsia" w:eastAsiaTheme="minorEastAsia"/>
          <w:kern w:val="0"/>
          <w:sz w:val="21"/>
          <w:szCs w:val="21"/>
        </w:rPr>
        <w:t>凡是注日期的引用文件，仅注日期的版本适用于本规范。</w:t>
      </w:r>
    </w:p>
    <w:p w14:paraId="57CD343D">
      <w:pPr>
        <w:pStyle w:val="38"/>
        <w:keepNext w:val="0"/>
        <w:keepLines w:val="0"/>
        <w:widowControl/>
        <w:suppressLineNumbers w:val="0"/>
        <w:autoSpaceDE w:val="0"/>
        <w:autoSpaceDN w:val="0"/>
        <w:spacing w:before="0" w:beforeAutospacing="0" w:after="0" w:afterAutospacing="0" w:line="360" w:lineRule="auto"/>
        <w:ind w:right="0"/>
        <w:jc w:val="both"/>
        <w:rPr>
          <w:rFonts w:hint="eastAsia" w:ascii="黑体" w:hAnsi="黑体" w:eastAsia="黑体" w:cs="黑体"/>
          <w:b/>
          <w:sz w:val="21"/>
          <w:szCs w:val="21"/>
        </w:rPr>
      </w:pPr>
      <w:r>
        <w:rPr>
          <w:rFonts w:hint="eastAsia" w:ascii="黑体" w:hAnsi="黑体" w:eastAsia="黑体" w:cs="黑体"/>
          <w:b w:val="0"/>
          <w:bCs w:val="0"/>
          <w:color w:val="auto"/>
          <w:sz w:val="21"/>
          <w:szCs w:val="21"/>
          <w:lang w:val="en-US" w:eastAsia="zh-CN"/>
        </w:rPr>
        <w:t xml:space="preserve">3 </w:t>
      </w:r>
      <w:bookmarkEnd w:id="34"/>
      <w:bookmarkEnd w:id="35"/>
      <w:bookmarkEnd w:id="36"/>
      <w:r>
        <w:rPr>
          <w:rFonts w:hint="eastAsia" w:ascii="黑体" w:hAnsi="黑体" w:eastAsia="黑体" w:cs="黑体"/>
          <w:b w:val="0"/>
          <w:bCs w:val="0"/>
          <w:color w:val="auto"/>
          <w:sz w:val="21"/>
          <w:szCs w:val="21"/>
          <w:lang w:val="en-US" w:eastAsia="zh-CN"/>
        </w:rPr>
        <w:t>概述</w:t>
      </w:r>
      <w:bookmarkEnd w:id="37"/>
      <w:bookmarkEnd w:id="38"/>
      <w:bookmarkEnd w:id="39"/>
      <w:bookmarkEnd w:id="40"/>
    </w:p>
    <w:p w14:paraId="3BF8DD8F">
      <w:pPr>
        <w:pStyle w:val="60"/>
        <w:keepNext w:val="0"/>
        <w:keepLines w:val="0"/>
        <w:pageBreakBefore w:val="0"/>
        <w:widowControl/>
        <w:kinsoku/>
        <w:wordWrap/>
        <w:overflowPunct/>
        <w:topLinePunct w:val="0"/>
        <w:autoSpaceDE w:val="0"/>
        <w:autoSpaceDN w:val="0"/>
        <w:bidi w:val="0"/>
        <w:adjustRightInd/>
        <w:snapToGrid/>
        <w:spacing w:line="360" w:lineRule="auto"/>
        <w:ind w:left="0" w:leftChars="0" w:firstLine="420" w:firstLineChars="200"/>
        <w:textAlignment w:val="auto"/>
        <w:rPr>
          <w:rFonts w:hint="eastAsia" w:ascii="Times New Roman"/>
          <w:color w:val="auto"/>
          <w:sz w:val="21"/>
          <w:szCs w:val="21"/>
          <w:highlight w:val="none"/>
        </w:rPr>
      </w:pPr>
      <w:bookmarkStart w:id="41" w:name="_Toc23785539"/>
      <w:bookmarkStart w:id="42" w:name="_Toc23784547"/>
      <w:bookmarkStart w:id="43" w:name="_Toc24809"/>
      <w:bookmarkStart w:id="44" w:name="_Toc3994"/>
      <w:bookmarkStart w:id="45" w:name="_Toc23784645"/>
      <w:bookmarkStart w:id="46" w:name="_Toc15119"/>
      <w:bookmarkStart w:id="47" w:name="_Toc10575"/>
      <w:bookmarkStart w:id="48" w:name="_Toc2124_WPSOffice_Level1"/>
      <w:r>
        <w:rPr>
          <w:rFonts w:hint="eastAsia" w:ascii="Times New Roman" w:hAnsi="Times New Roman" w:eastAsia="宋体" w:cs="Times New Roman"/>
          <w:sz w:val="21"/>
          <w:szCs w:val="21"/>
          <w:highlight w:val="none"/>
          <w:lang w:val="en-US" w:eastAsia="zh-CN"/>
        </w:rPr>
        <w:t>射频</w:t>
      </w:r>
      <w:r>
        <w:rPr>
          <w:rFonts w:hint="eastAsia" w:ascii="Times New Roman"/>
          <w:color w:val="auto"/>
          <w:sz w:val="21"/>
          <w:szCs w:val="21"/>
          <w:highlight w:val="none"/>
        </w:rPr>
        <w:t>辉光放电光谱仪即辉光放电原子发射光谱仪（GD-OES）</w:t>
      </w:r>
      <w:r>
        <w:rPr>
          <w:rFonts w:hint="eastAsia" w:ascii="Times New Roman"/>
          <w:color w:val="auto"/>
          <w:sz w:val="21"/>
          <w:szCs w:val="21"/>
          <w:highlight w:val="none"/>
          <w:lang w:eastAsia="zh-CN"/>
        </w:rPr>
        <w:t>（</w:t>
      </w:r>
      <w:r>
        <w:rPr>
          <w:rFonts w:hint="eastAsia" w:ascii="Times New Roman"/>
          <w:color w:val="auto"/>
          <w:sz w:val="21"/>
          <w:szCs w:val="21"/>
          <w:highlight w:val="none"/>
        </w:rPr>
        <w:t>以下简称光谱仪</w:t>
      </w:r>
      <w:r>
        <w:rPr>
          <w:rFonts w:hint="eastAsia" w:ascii="Times New Roman"/>
          <w:color w:val="auto"/>
          <w:sz w:val="21"/>
          <w:szCs w:val="21"/>
          <w:highlight w:val="none"/>
          <w:lang w:eastAsia="zh-CN"/>
        </w:rPr>
        <w:t>）</w:t>
      </w:r>
      <w:r>
        <w:rPr>
          <w:rFonts w:hint="eastAsia" w:ascii="Times New Roman"/>
          <w:color w:val="auto"/>
          <w:sz w:val="21"/>
          <w:szCs w:val="21"/>
          <w:highlight w:val="none"/>
        </w:rPr>
        <w:t>。其通过在低压氩气环境中产生受控的辉光放电等离子体，对样品表面进行逐层溅射，并实时分析被溅射原子发出的特征光谱，从而实现对材料体相成分的定量分析及元素深度分布的精准剖析</w:t>
      </w:r>
    </w:p>
    <w:p w14:paraId="2108626D">
      <w:pPr>
        <w:pStyle w:val="60"/>
        <w:keepNext w:val="0"/>
        <w:keepLines w:val="0"/>
        <w:pageBreakBefore w:val="0"/>
        <w:widowControl/>
        <w:kinsoku/>
        <w:wordWrap/>
        <w:overflowPunct/>
        <w:topLinePunct w:val="0"/>
        <w:autoSpaceDE w:val="0"/>
        <w:autoSpaceDN w:val="0"/>
        <w:bidi w:val="0"/>
        <w:adjustRightInd/>
        <w:snapToGrid/>
        <w:spacing w:line="360" w:lineRule="auto"/>
        <w:ind w:left="0" w:leftChars="0" w:firstLine="420" w:firstLineChars="200"/>
        <w:textAlignment w:val="auto"/>
        <w:rPr>
          <w:rFonts w:hint="eastAsia" w:ascii="Times New Roman"/>
          <w:color w:val="auto"/>
          <w:sz w:val="21"/>
          <w:szCs w:val="21"/>
          <w:highlight w:val="none"/>
        </w:rPr>
      </w:pPr>
      <w:r>
        <w:rPr>
          <w:rFonts w:hint="eastAsia" w:ascii="Times New Roman"/>
          <w:color w:val="auto"/>
          <w:sz w:val="21"/>
          <w:szCs w:val="21"/>
          <w:highlight w:val="none"/>
        </w:rPr>
        <w:t>进行元素</w:t>
      </w:r>
      <w:r>
        <w:rPr>
          <w:rFonts w:hint="eastAsia" w:ascii="Times New Roman"/>
          <w:color w:val="auto"/>
          <w:sz w:val="21"/>
          <w:szCs w:val="21"/>
          <w:highlight w:val="none"/>
          <w:lang w:val="en-US" w:eastAsia="zh-CN"/>
        </w:rPr>
        <w:t>成分</w:t>
      </w:r>
      <w:r>
        <w:rPr>
          <w:rFonts w:hint="eastAsia" w:ascii="Times New Roman"/>
          <w:color w:val="auto"/>
          <w:sz w:val="21"/>
          <w:szCs w:val="21"/>
          <w:highlight w:val="none"/>
        </w:rPr>
        <w:t>分析时，利用已知含量的标准样品建立谱线强度</w:t>
      </w:r>
      <w:r>
        <w:rPr>
          <w:rFonts w:hint="eastAsia" w:ascii="Times New Roman"/>
          <w:color w:val="auto"/>
          <w:sz w:val="21"/>
          <w:szCs w:val="21"/>
          <w:highlight w:val="none"/>
          <w:lang w:val="en-US" w:eastAsia="zh-CN"/>
        </w:rPr>
        <w:t>-</w:t>
      </w:r>
      <w:r>
        <w:rPr>
          <w:rFonts w:hint="eastAsia" w:ascii="Times New Roman"/>
          <w:color w:val="auto"/>
          <w:sz w:val="21"/>
          <w:szCs w:val="21"/>
          <w:highlight w:val="none"/>
        </w:rPr>
        <w:t>元素浓度校准曲线，依据曲线即可换算得出待测样品中各元素含量；开展表面深度成分分析时，借助已知溅射速率与成分含量的标准物质标定，建立溅射深度</w:t>
      </w:r>
      <w:r>
        <w:rPr>
          <w:rFonts w:hint="eastAsia" w:ascii="Times New Roman"/>
          <w:color w:val="auto"/>
          <w:sz w:val="21"/>
          <w:szCs w:val="21"/>
          <w:highlight w:val="none"/>
          <w:lang w:eastAsia="zh-CN"/>
        </w:rPr>
        <w:t>－</w:t>
      </w:r>
      <w:r>
        <w:rPr>
          <w:rFonts w:hint="eastAsia" w:ascii="Times New Roman"/>
          <w:color w:val="auto"/>
          <w:sz w:val="21"/>
          <w:szCs w:val="21"/>
          <w:highlight w:val="none"/>
        </w:rPr>
        <w:t>溅射时间关系曲线，以此实现样品表层元素纵向分布及深度精准检测。</w:t>
      </w:r>
    </w:p>
    <w:p w14:paraId="61B81936">
      <w:pPr>
        <w:pStyle w:val="60"/>
        <w:keepNext w:val="0"/>
        <w:keepLines w:val="0"/>
        <w:pageBreakBefore w:val="0"/>
        <w:widowControl/>
        <w:kinsoku/>
        <w:wordWrap/>
        <w:overflowPunct/>
        <w:topLinePunct w:val="0"/>
        <w:autoSpaceDE w:val="0"/>
        <w:autoSpaceDN w:val="0"/>
        <w:bidi w:val="0"/>
        <w:adjustRightInd/>
        <w:snapToGrid/>
        <w:spacing w:line="360" w:lineRule="auto"/>
        <w:ind w:left="0" w:leftChars="0" w:firstLine="420" w:firstLineChars="200"/>
        <w:textAlignment w:val="auto"/>
        <w:rPr>
          <w:rFonts w:ascii="Times New Roman"/>
          <w:color w:val="auto"/>
          <w:sz w:val="21"/>
          <w:szCs w:val="21"/>
          <w:highlight w:val="none"/>
        </w:rPr>
      </w:pPr>
      <w:r>
        <w:rPr>
          <w:rFonts w:hint="eastAsia" w:ascii="Times New Roman"/>
          <w:color w:val="auto"/>
          <w:sz w:val="21"/>
          <w:szCs w:val="21"/>
          <w:highlight w:val="none"/>
          <w:lang w:val="en-US" w:eastAsia="zh-CN"/>
        </w:rPr>
        <w:t>仪器</w:t>
      </w:r>
      <w:r>
        <w:rPr>
          <w:rFonts w:hint="eastAsia" w:ascii="Times New Roman"/>
          <w:color w:val="auto"/>
          <w:sz w:val="21"/>
          <w:szCs w:val="21"/>
          <w:highlight w:val="none"/>
        </w:rPr>
        <w:t>结构包括激发系统、光学系统、测光系统和控制系统组成</w:t>
      </w:r>
      <w:r>
        <w:rPr>
          <w:rFonts w:hint="eastAsia" w:ascii="Times New Roman"/>
          <w:color w:val="auto"/>
          <w:sz w:val="21"/>
          <w:szCs w:val="21"/>
          <w:highlight w:val="none"/>
          <w:lang w:eastAsia="zh-CN"/>
        </w:rPr>
        <w:t>，</w:t>
      </w:r>
      <w:r>
        <w:rPr>
          <w:rFonts w:hint="eastAsia" w:ascii="Times New Roman"/>
          <w:color w:val="auto"/>
          <w:sz w:val="21"/>
          <w:szCs w:val="21"/>
          <w:highlight w:val="none"/>
          <w:lang w:val="en-US" w:eastAsia="zh-CN"/>
        </w:rPr>
        <w:t>其结构</w:t>
      </w:r>
      <w:r>
        <w:rPr>
          <w:rFonts w:ascii="Times New Roman"/>
          <w:color w:val="auto"/>
          <w:sz w:val="21"/>
          <w:szCs w:val="21"/>
          <w:highlight w:val="none"/>
        </w:rPr>
        <w:t>示意</w:t>
      </w:r>
      <w:r>
        <w:rPr>
          <w:rFonts w:hint="eastAsia" w:ascii="Times New Roman"/>
          <w:color w:val="auto"/>
          <w:sz w:val="21"/>
          <w:szCs w:val="21"/>
          <w:highlight w:val="none"/>
          <w:lang w:val="en-US" w:eastAsia="zh-CN"/>
        </w:rPr>
        <w:t>见</w:t>
      </w:r>
      <w:r>
        <w:rPr>
          <w:rFonts w:ascii="Times New Roman"/>
          <w:color w:val="auto"/>
          <w:sz w:val="21"/>
          <w:szCs w:val="21"/>
          <w:highlight w:val="none"/>
        </w:rPr>
        <w:t>图</w:t>
      </w:r>
      <w:r>
        <w:rPr>
          <w:rFonts w:hint="eastAsia" w:ascii="Times New Roman"/>
          <w:color w:val="auto"/>
          <w:sz w:val="21"/>
          <w:szCs w:val="21"/>
          <w:highlight w:val="none"/>
          <w:lang w:val="en-US" w:eastAsia="zh-CN"/>
        </w:rPr>
        <w:t>1</w:t>
      </w:r>
      <w:r>
        <w:rPr>
          <w:rFonts w:ascii="Times New Roman"/>
          <w:color w:val="auto"/>
          <w:sz w:val="21"/>
          <w:szCs w:val="21"/>
          <w:highlight w:val="none"/>
        </w:rPr>
        <w:t>。</w:t>
      </w:r>
    </w:p>
    <w:p w14:paraId="6BE30067">
      <w:pPr>
        <w:spacing w:line="360" w:lineRule="auto"/>
        <w:ind w:left="0" w:leftChars="0" w:firstLine="480" w:firstLineChars="0"/>
        <w:jc w:val="center"/>
        <w:outlineLvl w:val="9"/>
        <w:rPr>
          <w:rFonts w:hint="eastAsia" w:ascii="Times New Roman" w:eastAsia="宋体"/>
          <w:color w:val="auto"/>
          <w:sz w:val="21"/>
          <w:szCs w:val="21"/>
          <w:lang w:eastAsia="zh-CN"/>
        </w:rPr>
      </w:pPr>
    </w:p>
    <w:p w14:paraId="15DA57A3">
      <w:pPr>
        <w:spacing w:line="360" w:lineRule="auto"/>
        <w:ind w:left="0" w:leftChars="0" w:firstLine="480" w:firstLineChars="0"/>
        <w:jc w:val="center"/>
        <w:outlineLvl w:val="9"/>
        <w:rPr>
          <w:rFonts w:hint="eastAsia" w:ascii="Times New Roman" w:eastAsia="宋体"/>
          <w:color w:val="auto"/>
          <w:sz w:val="21"/>
          <w:szCs w:val="21"/>
          <w:lang w:eastAsia="zh-CN"/>
        </w:rPr>
      </w:pPr>
      <w:r>
        <w:rPr>
          <w:rFonts w:hint="eastAsia" w:ascii="Times New Roman" w:eastAsia="宋体"/>
          <w:color w:val="auto"/>
          <w:sz w:val="21"/>
          <w:szCs w:val="21"/>
          <w:lang w:eastAsia="zh-CN"/>
        </w:rPr>
        <w:drawing>
          <wp:inline distT="0" distB="0" distL="114300" distR="114300">
            <wp:extent cx="4239260" cy="732790"/>
            <wp:effectExtent l="0" t="0" r="8890" b="10160"/>
            <wp:docPr id="15" name="图片 1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1"/>
                    <pic:cNvPicPr>
                      <a:picLocks noChangeAspect="1"/>
                    </pic:cNvPicPr>
                  </pic:nvPicPr>
                  <pic:blipFill>
                    <a:blip r:embed="rId7"/>
                    <a:stretch>
                      <a:fillRect/>
                    </a:stretch>
                  </pic:blipFill>
                  <pic:spPr>
                    <a:xfrm>
                      <a:off x="0" y="0"/>
                      <a:ext cx="4239260" cy="732790"/>
                    </a:xfrm>
                    <a:prstGeom prst="rect">
                      <a:avLst/>
                    </a:prstGeom>
                  </pic:spPr>
                </pic:pic>
              </a:graphicData>
            </a:graphic>
          </wp:inline>
        </w:drawing>
      </w:r>
    </w:p>
    <w:p w14:paraId="7C0AF47F">
      <w:pPr>
        <w:autoSpaceDE w:val="0"/>
        <w:autoSpaceDN w:val="0"/>
        <w:spacing w:before="156" w:beforeLines="50" w:after="156" w:afterLines="50"/>
        <w:jc w:val="center"/>
        <w:rPr>
          <w:rFonts w:hint="eastAsia" w:ascii="宋体" w:hAnsi="宋体" w:eastAsia="宋体" w:cs="宋体"/>
          <w:bCs/>
          <w:kern w:val="0"/>
          <w:sz w:val="21"/>
          <w:szCs w:val="21"/>
          <w:lang w:val="en-US" w:eastAsia="zh-CN"/>
        </w:rPr>
      </w:pPr>
      <w:r>
        <w:rPr>
          <w:rFonts w:hint="eastAsia" w:ascii="宋体" w:hAnsi="宋体" w:eastAsia="宋体" w:cs="宋体"/>
          <w:bCs/>
          <w:kern w:val="0"/>
          <w:sz w:val="21"/>
          <w:szCs w:val="21"/>
          <w:lang w:val="en-US" w:eastAsia="zh-CN"/>
        </w:rPr>
        <w:t xml:space="preserve">图1 </w:t>
      </w:r>
      <w:r>
        <w:rPr>
          <w:rFonts w:hint="eastAsia" w:ascii="宋体" w:hAnsi="宋体" w:cs="宋体"/>
          <w:bCs/>
          <w:kern w:val="0"/>
          <w:sz w:val="21"/>
          <w:szCs w:val="21"/>
          <w:lang w:val="en-US" w:eastAsia="zh-CN"/>
        </w:rPr>
        <w:t>辉光放电发射光谱仪结构</w:t>
      </w:r>
      <w:r>
        <w:rPr>
          <w:rFonts w:hint="eastAsia" w:ascii="宋体" w:hAnsi="宋体" w:eastAsia="宋体" w:cs="宋体"/>
          <w:bCs/>
          <w:kern w:val="0"/>
          <w:sz w:val="21"/>
          <w:szCs w:val="21"/>
          <w:lang w:val="en-US" w:eastAsia="zh-CN"/>
        </w:rPr>
        <w:t>示意图</w:t>
      </w:r>
    </w:p>
    <w:p w14:paraId="17E49AE2">
      <w:pPr>
        <w:pStyle w:val="31"/>
        <w:keepNext w:val="0"/>
        <w:keepLines w:val="0"/>
        <w:pageBreakBefore w:val="0"/>
        <w:tabs>
          <w:tab w:val="right" w:leader="dot" w:pos="9345"/>
        </w:tabs>
        <w:kinsoku/>
        <w:wordWrap/>
        <w:overflowPunct/>
        <w:topLinePunct w:val="0"/>
        <w:bidi w:val="0"/>
        <w:adjustRightInd/>
        <w:snapToGrid/>
        <w:spacing w:line="360" w:lineRule="auto"/>
        <w:ind w:left="0" w:leftChars="0"/>
        <w:textAlignment w:val="auto"/>
        <w:outlineLvl w:val="0"/>
        <w:rPr>
          <w:rFonts w:hint="eastAsia" w:ascii="黑体" w:hAnsi="黑体" w:eastAsia="黑体" w:cs="黑体"/>
          <w:b/>
          <w:sz w:val="21"/>
          <w:szCs w:val="21"/>
        </w:rPr>
      </w:pPr>
      <w:bookmarkStart w:id="49" w:name="_Toc14021"/>
      <w:bookmarkStart w:id="50" w:name="_Toc23071"/>
      <w:bookmarkStart w:id="51" w:name="_Toc1642"/>
      <w:bookmarkStart w:id="52" w:name="_Toc9462"/>
      <w:r>
        <w:rPr>
          <w:rFonts w:hint="eastAsia" w:ascii="黑体" w:hAnsi="黑体" w:eastAsia="黑体" w:cs="黑体"/>
          <w:b w:val="0"/>
          <w:bCs w:val="0"/>
          <w:color w:val="auto"/>
          <w:sz w:val="21"/>
          <w:szCs w:val="21"/>
          <w:lang w:val="en-US" w:eastAsia="zh-CN"/>
        </w:rPr>
        <w:t xml:space="preserve">4 </w:t>
      </w:r>
      <w:r>
        <w:rPr>
          <w:rFonts w:hint="eastAsia" w:ascii="黑体" w:hAnsi="黑体" w:eastAsia="黑体" w:cs="黑体"/>
          <w:b w:val="0"/>
          <w:bCs w:val="0"/>
          <w:color w:val="auto"/>
          <w:sz w:val="21"/>
          <w:szCs w:val="21"/>
        </w:rPr>
        <w:t>计量特性</w:t>
      </w:r>
      <w:bookmarkEnd w:id="41"/>
      <w:bookmarkEnd w:id="42"/>
      <w:bookmarkEnd w:id="43"/>
      <w:bookmarkEnd w:id="44"/>
      <w:bookmarkEnd w:id="45"/>
      <w:bookmarkEnd w:id="46"/>
      <w:bookmarkEnd w:id="47"/>
      <w:bookmarkEnd w:id="48"/>
      <w:bookmarkEnd w:id="49"/>
      <w:bookmarkEnd w:id="50"/>
      <w:bookmarkEnd w:id="51"/>
      <w:bookmarkEnd w:id="52"/>
    </w:p>
    <w:p w14:paraId="71A5601A">
      <w:pPr>
        <w:pStyle w:val="63"/>
        <w:keepNext w:val="0"/>
        <w:keepLines w:val="0"/>
        <w:pageBreakBefore w:val="0"/>
        <w:numPr>
          <w:ilvl w:val="0"/>
          <w:numId w:val="0"/>
        </w:numPr>
        <w:kinsoku/>
        <w:wordWrap/>
        <w:overflowPunct/>
        <w:topLinePunct w:val="0"/>
        <w:bidi w:val="0"/>
        <w:adjustRightInd/>
        <w:snapToGrid/>
        <w:spacing w:before="156" w:after="0" w:afterLines="0" w:line="360" w:lineRule="auto"/>
        <w:ind w:firstLine="420" w:firstLineChars="200"/>
        <w:textAlignment w:val="auto"/>
        <w:rPr>
          <w:rFonts w:hint="eastAsia" w:ascii="Times New Roman" w:eastAsia="宋体" w:cs="Times New Roman"/>
          <w:sz w:val="21"/>
          <w:szCs w:val="21"/>
          <w:lang w:val="en-US" w:eastAsia="zh-CN"/>
        </w:rPr>
      </w:pPr>
      <w:r>
        <w:rPr>
          <w:rFonts w:hint="eastAsia" w:ascii="Times New Roman" w:eastAsia="宋体" w:cs="Times New Roman"/>
          <w:sz w:val="21"/>
          <w:szCs w:val="21"/>
          <w:lang w:val="en-US" w:eastAsia="zh-CN"/>
        </w:rPr>
        <w:t>光谱仪的计量性能见表4。</w:t>
      </w:r>
    </w:p>
    <w:p w14:paraId="56DF992B">
      <w:pPr>
        <w:pStyle w:val="60"/>
        <w:ind w:left="0" w:leftChars="0" w:firstLine="0" w:firstLineChars="0"/>
        <w:jc w:val="center"/>
        <w:rPr>
          <w:rFonts w:hint="eastAsia" w:ascii="黑体" w:hAnsi="黑体" w:eastAsia="黑体" w:cs="黑体"/>
          <w:sz w:val="21"/>
          <w:szCs w:val="21"/>
          <w:lang w:val="en-US" w:eastAsia="zh-CN"/>
        </w:rPr>
      </w:pPr>
    </w:p>
    <w:p w14:paraId="2ABF45F6">
      <w:pPr>
        <w:pStyle w:val="60"/>
        <w:ind w:left="0" w:leftChars="0" w:firstLine="0" w:firstLineChars="0"/>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表4 计量特性</w:t>
      </w:r>
    </w:p>
    <w:tbl>
      <w:tblPr>
        <w:tblStyle w:val="43"/>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6"/>
        <w:gridCol w:w="2366"/>
        <w:gridCol w:w="2366"/>
        <w:gridCol w:w="2366"/>
      </w:tblGrid>
      <w:tr w14:paraId="402D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66" w:type="dxa"/>
            <w:vAlign w:val="center"/>
          </w:tcPr>
          <w:p w14:paraId="7AC7900F">
            <w:pPr>
              <w:pStyle w:val="60"/>
              <w:widowControl w:val="0"/>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校准项目</w:t>
            </w:r>
          </w:p>
        </w:tc>
        <w:tc>
          <w:tcPr>
            <w:tcW w:w="2366" w:type="dxa"/>
            <w:vAlign w:val="center"/>
          </w:tcPr>
          <w:p w14:paraId="72CA9C4A">
            <w:pPr>
              <w:pStyle w:val="60"/>
              <w:widowControl w:val="0"/>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元素</w:t>
            </w:r>
          </w:p>
        </w:tc>
        <w:tc>
          <w:tcPr>
            <w:tcW w:w="2366" w:type="dxa"/>
            <w:vAlign w:val="center"/>
          </w:tcPr>
          <w:p w14:paraId="08BE6C43">
            <w:pPr>
              <w:pStyle w:val="60"/>
              <w:widowControl w:val="0"/>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测量范围</w:t>
            </w:r>
          </w:p>
        </w:tc>
        <w:tc>
          <w:tcPr>
            <w:tcW w:w="2366" w:type="dxa"/>
            <w:vAlign w:val="center"/>
          </w:tcPr>
          <w:p w14:paraId="60CAAED3">
            <w:pPr>
              <w:pStyle w:val="60"/>
              <w:widowControl w:val="0"/>
              <w:ind w:left="0" w:leftChars="0" w:firstLine="0" w:firstLineChars="0"/>
              <w:jc w:val="center"/>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21"/>
                <w:szCs w:val="21"/>
                <w:vertAlign w:val="baseline"/>
                <w:lang w:val="en-US" w:eastAsia="zh-CN"/>
              </w:rPr>
              <w:t>计量特性</w:t>
            </w:r>
          </w:p>
        </w:tc>
      </w:tr>
      <w:tr w14:paraId="3148A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66" w:type="dxa"/>
            <w:vMerge w:val="restart"/>
            <w:vAlign w:val="center"/>
          </w:tcPr>
          <w:p w14:paraId="11E4EB48">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检出限/%</w:t>
            </w:r>
          </w:p>
        </w:tc>
        <w:tc>
          <w:tcPr>
            <w:tcW w:w="2366" w:type="dxa"/>
            <w:shd w:val="clear" w:color="auto" w:fill="auto"/>
            <w:vAlign w:val="center"/>
          </w:tcPr>
          <w:p w14:paraId="14405C88">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bidi="ar-SA"/>
              </w:rPr>
              <w:t>Ni、Fe、Zn、Al、Pb 等金属元素</w:t>
            </w:r>
          </w:p>
        </w:tc>
        <w:tc>
          <w:tcPr>
            <w:tcW w:w="2366" w:type="dxa"/>
            <w:shd w:val="clear" w:color="auto" w:fill="auto"/>
            <w:vAlign w:val="center"/>
          </w:tcPr>
          <w:p w14:paraId="1B7D177B">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bidi="ar-SA"/>
              </w:rPr>
              <w:t>≤0.01%</w:t>
            </w:r>
          </w:p>
        </w:tc>
        <w:tc>
          <w:tcPr>
            <w:tcW w:w="2366" w:type="dxa"/>
            <w:shd w:val="clear" w:color="auto" w:fill="auto"/>
            <w:vAlign w:val="center"/>
          </w:tcPr>
          <w:p w14:paraId="153716A3">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bidi="ar-SA"/>
              </w:rPr>
              <w:t>≤0.003%</w:t>
            </w:r>
          </w:p>
        </w:tc>
      </w:tr>
      <w:tr w14:paraId="59CB1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66" w:type="dxa"/>
            <w:vMerge w:val="continue"/>
            <w:vAlign w:val="center"/>
          </w:tcPr>
          <w:p w14:paraId="1952671B">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rPr>
            </w:pPr>
          </w:p>
        </w:tc>
        <w:tc>
          <w:tcPr>
            <w:tcW w:w="2366" w:type="dxa"/>
            <w:shd w:val="clear" w:color="auto" w:fill="auto"/>
            <w:vAlign w:val="center"/>
          </w:tcPr>
          <w:p w14:paraId="7B4A18F0">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bidi="ar-SA"/>
              </w:rPr>
              <w:t>P、S</w:t>
            </w:r>
          </w:p>
        </w:tc>
        <w:tc>
          <w:tcPr>
            <w:tcW w:w="2366" w:type="dxa"/>
            <w:shd w:val="clear" w:color="auto" w:fill="auto"/>
            <w:vAlign w:val="center"/>
          </w:tcPr>
          <w:p w14:paraId="17EF13AC">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bidi="ar-SA"/>
              </w:rPr>
              <w:t>≤0.01%</w:t>
            </w:r>
          </w:p>
        </w:tc>
        <w:tc>
          <w:tcPr>
            <w:tcW w:w="2366" w:type="dxa"/>
            <w:shd w:val="clear" w:color="auto" w:fill="auto"/>
            <w:vAlign w:val="center"/>
          </w:tcPr>
          <w:p w14:paraId="047AD9CB">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bidi="ar-SA"/>
              </w:rPr>
              <w:t>≤0.002%</w:t>
            </w:r>
          </w:p>
        </w:tc>
      </w:tr>
      <w:tr w14:paraId="69E5D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66" w:type="dxa"/>
            <w:vMerge w:val="continue"/>
            <w:vAlign w:val="center"/>
          </w:tcPr>
          <w:p w14:paraId="6DFA15AE">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rPr>
            </w:pPr>
          </w:p>
        </w:tc>
        <w:tc>
          <w:tcPr>
            <w:tcW w:w="2366" w:type="dxa"/>
            <w:shd w:val="clear" w:color="auto" w:fill="auto"/>
            <w:vAlign w:val="center"/>
          </w:tcPr>
          <w:p w14:paraId="173C0DD0">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bidi="ar-SA"/>
              </w:rPr>
              <w:t>O（可选）</w:t>
            </w:r>
          </w:p>
        </w:tc>
        <w:tc>
          <w:tcPr>
            <w:tcW w:w="2366" w:type="dxa"/>
            <w:shd w:val="clear" w:color="auto" w:fill="auto"/>
            <w:vAlign w:val="center"/>
          </w:tcPr>
          <w:p w14:paraId="346D50CF">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bidi="ar-SA"/>
              </w:rPr>
              <w:t>≤0.01%</w:t>
            </w:r>
          </w:p>
        </w:tc>
        <w:tc>
          <w:tcPr>
            <w:tcW w:w="2366" w:type="dxa"/>
            <w:shd w:val="clear" w:color="auto" w:fill="auto"/>
            <w:vAlign w:val="center"/>
          </w:tcPr>
          <w:p w14:paraId="34703B42">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bidi="ar-SA"/>
              </w:rPr>
              <w:t>≤0.005%</w:t>
            </w:r>
          </w:p>
        </w:tc>
      </w:tr>
      <w:tr w14:paraId="52949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66" w:type="dxa"/>
            <w:vAlign w:val="center"/>
          </w:tcPr>
          <w:p w14:paraId="17C7296B">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rPr>
              <w:t>波长示值误差</w:t>
            </w:r>
          </w:p>
        </w:tc>
        <w:tc>
          <w:tcPr>
            <w:tcW w:w="2366" w:type="dxa"/>
            <w:shd w:val="clear" w:color="auto" w:fill="auto"/>
            <w:vAlign w:val="center"/>
          </w:tcPr>
          <w:p w14:paraId="16CD2492">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rPr>
              <w:t>代表性分析谱线</w:t>
            </w:r>
          </w:p>
        </w:tc>
        <w:tc>
          <w:tcPr>
            <w:tcW w:w="2366" w:type="dxa"/>
            <w:shd w:val="clear" w:color="auto" w:fill="auto"/>
            <w:vAlign w:val="center"/>
          </w:tcPr>
          <w:p w14:paraId="755183A9">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bidi="ar-SA"/>
              </w:rPr>
              <w:t>-</w:t>
            </w:r>
          </w:p>
        </w:tc>
        <w:tc>
          <w:tcPr>
            <w:tcW w:w="2366" w:type="dxa"/>
            <w:shd w:val="clear" w:color="auto" w:fill="auto"/>
            <w:vAlign w:val="center"/>
          </w:tcPr>
          <w:p w14:paraId="5F6F5103">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bidi="ar-SA"/>
              </w:rPr>
              <w:t>±0.05</w:t>
            </w:r>
            <w:r>
              <w:rPr>
                <w:rFonts w:hint="default" w:ascii="Times New Roman" w:hAnsi="Times New Roman" w:eastAsia="宋体" w:cs="Times New Roman"/>
                <w:sz w:val="21"/>
                <w:szCs w:val="21"/>
              </w:rPr>
              <w:t>nm</w:t>
            </w:r>
          </w:p>
        </w:tc>
      </w:tr>
      <w:tr w14:paraId="3D646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66" w:type="dxa"/>
            <w:vMerge w:val="restart"/>
            <w:vAlign w:val="center"/>
          </w:tcPr>
          <w:p w14:paraId="3BE598E5">
            <w:pPr>
              <w:pStyle w:val="60"/>
              <w:widowControl w:val="0"/>
              <w:ind w:left="0" w:leftChars="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highlight w:val="none"/>
                <w:vertAlign w:val="baseline"/>
                <w:lang w:val="en-US" w:eastAsia="zh-CN"/>
              </w:rPr>
              <w:t>重复性</w:t>
            </w:r>
          </w:p>
        </w:tc>
        <w:tc>
          <w:tcPr>
            <w:tcW w:w="2366" w:type="dxa"/>
            <w:shd w:val="clear" w:color="auto" w:fill="auto"/>
            <w:vAlign w:val="center"/>
          </w:tcPr>
          <w:p w14:paraId="78145066">
            <w:pPr>
              <w:pStyle w:val="60"/>
              <w:widowControl w:val="0"/>
              <w:ind w:left="0" w:leftChars="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highlight w:val="none"/>
                <w:vertAlign w:val="baseline"/>
                <w:lang w:val="en-US" w:eastAsia="zh-CN"/>
              </w:rPr>
              <w:t>主量元素</w:t>
            </w:r>
          </w:p>
        </w:tc>
        <w:tc>
          <w:tcPr>
            <w:tcW w:w="2366" w:type="dxa"/>
            <w:shd w:val="clear" w:color="auto" w:fill="auto"/>
            <w:vAlign w:val="center"/>
          </w:tcPr>
          <w:p w14:paraId="1B406B93">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&gt;1.0%</w:t>
            </w:r>
          </w:p>
        </w:tc>
        <w:tc>
          <w:tcPr>
            <w:tcW w:w="2366" w:type="dxa"/>
            <w:shd w:val="clear" w:color="auto" w:fill="auto"/>
            <w:vAlign w:val="center"/>
          </w:tcPr>
          <w:p w14:paraId="20A2CDC0">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≤2%</w:t>
            </w:r>
          </w:p>
        </w:tc>
      </w:tr>
      <w:tr w14:paraId="09790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66" w:type="dxa"/>
            <w:vMerge w:val="continue"/>
            <w:vAlign w:val="center"/>
          </w:tcPr>
          <w:p w14:paraId="224E0E4D">
            <w:pPr>
              <w:pStyle w:val="60"/>
              <w:widowControl w:val="0"/>
              <w:ind w:left="0" w:leftChars="0" w:firstLine="0" w:firstLineChars="0"/>
              <w:jc w:val="center"/>
              <w:rPr>
                <w:rFonts w:hint="default" w:ascii="Times New Roman" w:hAnsi="Times New Roman" w:eastAsia="宋体" w:cs="Times New Roman"/>
                <w:sz w:val="21"/>
                <w:szCs w:val="21"/>
              </w:rPr>
            </w:pPr>
          </w:p>
        </w:tc>
        <w:tc>
          <w:tcPr>
            <w:tcW w:w="2366" w:type="dxa"/>
            <w:shd w:val="clear" w:color="auto" w:fill="auto"/>
            <w:vAlign w:val="center"/>
          </w:tcPr>
          <w:p w14:paraId="24D986B0">
            <w:pPr>
              <w:pStyle w:val="60"/>
              <w:keepNext w:val="0"/>
              <w:keepLines w:val="0"/>
              <w:pageBreakBefore w:val="0"/>
              <w:widowControl w:val="0"/>
              <w:kinsoku/>
              <w:wordWrap/>
              <w:overflowPunct/>
              <w:topLinePunct w:val="0"/>
              <w:autoSpaceDE w:val="0"/>
              <w:autoSpaceDN w:val="0"/>
              <w:bidi w:val="0"/>
              <w:adjustRightInd/>
              <w:snapToGrid w:val="0"/>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highlight w:val="none"/>
                <w:u w:val="none"/>
                <w:lang w:val="en-US" w:eastAsia="zh-CN"/>
              </w:rPr>
              <w:t>中量元素</w:t>
            </w:r>
          </w:p>
        </w:tc>
        <w:tc>
          <w:tcPr>
            <w:tcW w:w="2366" w:type="dxa"/>
            <w:shd w:val="clear" w:color="auto" w:fill="auto"/>
            <w:vAlign w:val="center"/>
          </w:tcPr>
          <w:p w14:paraId="68AF7DBD">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(0.1%～1.0)%</w:t>
            </w:r>
          </w:p>
        </w:tc>
        <w:tc>
          <w:tcPr>
            <w:tcW w:w="2366" w:type="dxa"/>
            <w:shd w:val="clear" w:color="auto" w:fill="auto"/>
            <w:vAlign w:val="center"/>
          </w:tcPr>
          <w:p w14:paraId="14898764">
            <w:pPr>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u w:val="none"/>
                <w:lang w:val="en-US" w:eastAsia="zh-CN"/>
              </w:rPr>
              <w:t>≤3%</w:t>
            </w:r>
          </w:p>
        </w:tc>
      </w:tr>
      <w:tr w14:paraId="1DB60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66" w:type="dxa"/>
            <w:vMerge w:val="continue"/>
            <w:vAlign w:val="center"/>
          </w:tcPr>
          <w:p w14:paraId="2D1ED21A">
            <w:pPr>
              <w:pStyle w:val="60"/>
              <w:widowControl w:val="0"/>
              <w:ind w:left="0" w:leftChars="0" w:firstLine="0" w:firstLineChars="0"/>
              <w:jc w:val="center"/>
              <w:rPr>
                <w:rFonts w:hint="default" w:ascii="Times New Roman" w:hAnsi="Times New Roman" w:eastAsia="宋体" w:cs="Times New Roman"/>
                <w:sz w:val="21"/>
                <w:szCs w:val="21"/>
              </w:rPr>
            </w:pPr>
          </w:p>
        </w:tc>
        <w:tc>
          <w:tcPr>
            <w:tcW w:w="2366" w:type="dxa"/>
            <w:shd w:val="clear" w:color="auto" w:fill="auto"/>
            <w:vAlign w:val="center"/>
          </w:tcPr>
          <w:p w14:paraId="267D089F">
            <w:pPr>
              <w:pStyle w:val="60"/>
              <w:keepNext w:val="0"/>
              <w:keepLines w:val="0"/>
              <w:pageBreakBefore w:val="0"/>
              <w:widowControl w:val="0"/>
              <w:kinsoku/>
              <w:wordWrap/>
              <w:overflowPunct/>
              <w:topLinePunct w:val="0"/>
              <w:autoSpaceDE w:val="0"/>
              <w:autoSpaceDN w:val="0"/>
              <w:bidi w:val="0"/>
              <w:adjustRightInd/>
              <w:snapToGrid w:val="0"/>
              <w:ind w:left="0" w:leftChars="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highlight w:val="none"/>
                <w:u w:val="none"/>
                <w:lang w:val="en-US" w:eastAsia="zh-CN"/>
              </w:rPr>
              <w:t>微量</w:t>
            </w:r>
          </w:p>
        </w:tc>
        <w:tc>
          <w:tcPr>
            <w:tcW w:w="2366" w:type="dxa"/>
            <w:shd w:val="clear" w:color="auto" w:fill="auto"/>
            <w:vAlign w:val="center"/>
          </w:tcPr>
          <w:p w14:paraId="706C51F1">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（0.01</w:t>
            </w:r>
            <w:r>
              <w:rPr>
                <w:rFonts w:hint="default" w:ascii="Times New Roman" w:hAnsi="Times New Roman" w:eastAsia="宋体" w:cs="Times New Roman"/>
                <w:sz w:val="21"/>
                <w:szCs w:val="21"/>
                <w:highlight w:val="none"/>
                <w:u w:val="none"/>
                <w:lang w:val="en-US" w:eastAsia="zh-CN"/>
              </w:rPr>
              <w:t>～</w:t>
            </w:r>
            <w:r>
              <w:rPr>
                <w:rFonts w:hint="default" w:ascii="Times New Roman" w:hAnsi="Times New Roman" w:eastAsia="宋体" w:cs="Times New Roman"/>
                <w:sz w:val="21"/>
                <w:szCs w:val="21"/>
                <w:highlight w:val="none"/>
                <w:vertAlign w:val="baseline"/>
                <w:lang w:val="en-US" w:eastAsia="zh-CN"/>
              </w:rPr>
              <w:t>0.1）%</w:t>
            </w:r>
          </w:p>
        </w:tc>
        <w:tc>
          <w:tcPr>
            <w:tcW w:w="2366" w:type="dxa"/>
            <w:shd w:val="clear" w:color="auto" w:fill="auto"/>
            <w:vAlign w:val="center"/>
          </w:tcPr>
          <w:p w14:paraId="33FDA512">
            <w:pPr>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u w:val="none"/>
                <w:lang w:val="en-US" w:eastAsia="zh-CN"/>
              </w:rPr>
              <w:t>≤5%</w:t>
            </w:r>
          </w:p>
        </w:tc>
      </w:tr>
      <w:tr w14:paraId="1590F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66" w:type="dxa"/>
            <w:vMerge w:val="continue"/>
            <w:vAlign w:val="center"/>
          </w:tcPr>
          <w:p w14:paraId="003C4C13">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rPr>
            </w:pPr>
          </w:p>
        </w:tc>
        <w:tc>
          <w:tcPr>
            <w:tcW w:w="2366" w:type="dxa"/>
            <w:vAlign w:val="center"/>
          </w:tcPr>
          <w:p w14:paraId="00525CB9">
            <w:pPr>
              <w:pStyle w:val="60"/>
              <w:keepNext w:val="0"/>
              <w:keepLines w:val="0"/>
              <w:pageBreakBefore w:val="0"/>
              <w:widowControl w:val="0"/>
              <w:kinsoku/>
              <w:wordWrap/>
              <w:overflowPunct/>
              <w:topLinePunct w:val="0"/>
              <w:autoSpaceDE w:val="0"/>
              <w:autoSpaceDN w:val="0"/>
              <w:bidi w:val="0"/>
              <w:adjustRightInd/>
              <w:snapToGrid w:val="0"/>
              <w:ind w:left="0" w:leftChars="0" w:firstLine="0" w:firstLineChars="0"/>
              <w:jc w:val="center"/>
              <w:textAlignment w:val="auto"/>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u w:val="none"/>
                <w:lang w:val="en-US" w:eastAsia="zh-CN"/>
              </w:rPr>
              <w:t>痕量</w:t>
            </w:r>
          </w:p>
        </w:tc>
        <w:tc>
          <w:tcPr>
            <w:tcW w:w="2366" w:type="dxa"/>
            <w:vAlign w:val="center"/>
          </w:tcPr>
          <w:p w14:paraId="3ED6ED37">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u w:val="none"/>
                <w:lang w:val="en-US" w:eastAsia="zh-CN"/>
              </w:rPr>
              <w:t>≤</w:t>
            </w:r>
            <w:r>
              <w:rPr>
                <w:rFonts w:hint="default" w:ascii="Times New Roman" w:hAnsi="Times New Roman" w:eastAsia="宋体" w:cs="Times New Roman"/>
                <w:sz w:val="21"/>
                <w:szCs w:val="21"/>
                <w:highlight w:val="none"/>
                <w:vertAlign w:val="baseline"/>
                <w:lang w:val="en-US" w:eastAsia="zh-CN"/>
              </w:rPr>
              <w:t>0.01%</w:t>
            </w:r>
          </w:p>
        </w:tc>
        <w:tc>
          <w:tcPr>
            <w:tcW w:w="2366" w:type="dxa"/>
            <w:vAlign w:val="center"/>
          </w:tcPr>
          <w:p w14:paraId="4CE783DD">
            <w:pPr>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u w:val="none"/>
                <w:lang w:val="en-US" w:eastAsia="zh-CN"/>
              </w:rPr>
              <w:t>≤10%</w:t>
            </w:r>
          </w:p>
        </w:tc>
      </w:tr>
      <w:tr w14:paraId="1284E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66" w:type="dxa"/>
            <w:vMerge w:val="restart"/>
            <w:vAlign w:val="center"/>
          </w:tcPr>
          <w:p w14:paraId="0A45F509">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rPr>
            </w:pPr>
            <w:r>
              <w:rPr>
                <w:rFonts w:hint="eastAsia" w:ascii="Times New Roman" w:hAnsi="Times New Roman" w:eastAsia="宋体" w:cs="Times New Roman"/>
                <w:sz w:val="21"/>
                <w:szCs w:val="21"/>
                <w:highlight w:val="none"/>
                <w:vertAlign w:val="baseline"/>
                <w:lang w:val="en-US" w:eastAsia="zh-CN"/>
              </w:rPr>
              <w:t>稳定性</w:t>
            </w:r>
          </w:p>
        </w:tc>
        <w:tc>
          <w:tcPr>
            <w:tcW w:w="2366" w:type="dxa"/>
            <w:vAlign w:val="center"/>
          </w:tcPr>
          <w:p w14:paraId="42C28046">
            <w:pPr>
              <w:pStyle w:val="60"/>
              <w:keepNext w:val="0"/>
              <w:keepLines w:val="0"/>
              <w:pageBreakBefore w:val="0"/>
              <w:widowControl w:val="0"/>
              <w:kinsoku/>
              <w:wordWrap/>
              <w:overflowPunct/>
              <w:topLinePunct w:val="0"/>
              <w:autoSpaceDE w:val="0"/>
              <w:autoSpaceDN w:val="0"/>
              <w:bidi w:val="0"/>
              <w:adjustRightInd/>
              <w:snapToGrid w:val="0"/>
              <w:ind w:left="0" w:leftChars="0" w:firstLine="0" w:firstLineChars="0"/>
              <w:jc w:val="center"/>
              <w:textAlignment w:val="auto"/>
              <w:rPr>
                <w:rFonts w:hint="default" w:ascii="Times New Roman" w:hAnsi="Times New Roman" w:eastAsia="宋体" w:cs="Times New Roman"/>
                <w:sz w:val="21"/>
                <w:szCs w:val="21"/>
                <w:highlight w:val="none"/>
                <w:u w:val="none"/>
                <w:lang w:val="en-US" w:eastAsia="zh-CN"/>
              </w:rPr>
            </w:pPr>
            <w:r>
              <w:rPr>
                <w:rFonts w:hint="default" w:ascii="Times New Roman" w:hAnsi="Times New Roman" w:eastAsia="宋体" w:cs="Times New Roman"/>
                <w:sz w:val="21"/>
                <w:szCs w:val="21"/>
                <w:highlight w:val="none"/>
                <w:u w:val="none"/>
                <w:lang w:val="en-US" w:eastAsia="zh-CN"/>
              </w:rPr>
              <w:t>主/中量</w:t>
            </w:r>
          </w:p>
        </w:tc>
        <w:tc>
          <w:tcPr>
            <w:tcW w:w="2366" w:type="dxa"/>
            <w:vAlign w:val="center"/>
          </w:tcPr>
          <w:p w14:paraId="1AC4B4CE">
            <w:pPr>
              <w:pStyle w:val="60"/>
              <w:widowControl w:val="0"/>
              <w:ind w:left="0" w:leftChars="0" w:firstLine="0" w:firstLineChars="0"/>
              <w:jc w:val="center"/>
              <w:rPr>
                <w:rFonts w:hint="default" w:ascii="Times New Roman" w:hAnsi="Times New Roman" w:eastAsia="宋体" w:cs="Times New Roman"/>
                <w:sz w:val="21"/>
                <w:szCs w:val="21"/>
                <w:highlight w:val="none"/>
                <w:u w:val="none"/>
                <w:lang w:val="en-US" w:eastAsia="zh-CN"/>
              </w:rPr>
            </w:pPr>
            <w:r>
              <w:rPr>
                <w:rFonts w:hint="default" w:ascii="Times New Roman" w:hAnsi="Times New Roman" w:eastAsia="宋体" w:cs="Times New Roman"/>
                <w:sz w:val="21"/>
                <w:szCs w:val="21"/>
                <w:highlight w:val="none"/>
                <w:u w:val="none"/>
                <w:lang w:val="en-US" w:eastAsia="zh-CN"/>
              </w:rPr>
              <w:t>&gt;</w:t>
            </w:r>
            <w:r>
              <w:rPr>
                <w:rFonts w:hint="eastAsia" w:ascii="Times New Roman" w:cs="Times New Roman"/>
                <w:sz w:val="21"/>
                <w:szCs w:val="21"/>
                <w:highlight w:val="none"/>
                <w:u w:val="none"/>
                <w:lang w:val="en-US" w:eastAsia="zh-CN"/>
              </w:rPr>
              <w:t>0.1%</w:t>
            </w:r>
          </w:p>
        </w:tc>
        <w:tc>
          <w:tcPr>
            <w:tcW w:w="2366" w:type="dxa"/>
            <w:vAlign w:val="center"/>
          </w:tcPr>
          <w:p w14:paraId="782546E1">
            <w:pPr>
              <w:pStyle w:val="60"/>
              <w:widowControl w:val="0"/>
              <w:ind w:left="0" w:leftChars="0" w:firstLine="0" w:firstLineChars="0"/>
              <w:jc w:val="center"/>
              <w:rPr>
                <w:rFonts w:hint="default" w:ascii="Times New Roman" w:hAnsi="Times New Roman" w:eastAsia="宋体" w:cs="Times New Roman"/>
                <w:sz w:val="21"/>
                <w:szCs w:val="21"/>
                <w:highlight w:val="none"/>
                <w:u w:val="none"/>
                <w:lang w:val="en-US" w:eastAsia="zh-CN"/>
              </w:rPr>
            </w:pPr>
            <w:r>
              <w:rPr>
                <w:rFonts w:hint="default" w:ascii="宋体" w:hAnsi="宋体" w:eastAsia="宋体" w:cs="宋体"/>
                <w:sz w:val="21"/>
                <w:szCs w:val="21"/>
                <w:highlight w:val="none"/>
                <w:u w:val="none"/>
                <w:lang w:val="en-US" w:eastAsia="zh-CN"/>
              </w:rPr>
              <w:t>≤</w:t>
            </w:r>
            <w:r>
              <w:rPr>
                <w:rFonts w:hint="default" w:ascii="Times New Roman" w:hAnsi="Times New Roman" w:eastAsia="宋体" w:cs="Times New Roman"/>
                <w:sz w:val="21"/>
                <w:szCs w:val="21"/>
                <w:highlight w:val="none"/>
                <w:u w:val="none"/>
                <w:lang w:val="en-US" w:eastAsia="zh-CN"/>
              </w:rPr>
              <w:t>3%</w:t>
            </w:r>
          </w:p>
        </w:tc>
      </w:tr>
      <w:tr w14:paraId="4A50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66" w:type="dxa"/>
            <w:vMerge w:val="continue"/>
            <w:vAlign w:val="center"/>
          </w:tcPr>
          <w:p w14:paraId="2B813255">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rPr>
            </w:pPr>
          </w:p>
        </w:tc>
        <w:tc>
          <w:tcPr>
            <w:tcW w:w="2366" w:type="dxa"/>
            <w:vAlign w:val="center"/>
          </w:tcPr>
          <w:p w14:paraId="28A21132">
            <w:pPr>
              <w:pStyle w:val="60"/>
              <w:keepNext w:val="0"/>
              <w:keepLines w:val="0"/>
              <w:pageBreakBefore w:val="0"/>
              <w:widowControl w:val="0"/>
              <w:kinsoku/>
              <w:wordWrap/>
              <w:overflowPunct/>
              <w:topLinePunct w:val="0"/>
              <w:autoSpaceDE w:val="0"/>
              <w:autoSpaceDN w:val="0"/>
              <w:bidi w:val="0"/>
              <w:adjustRightInd/>
              <w:snapToGrid w:val="0"/>
              <w:ind w:left="0" w:leftChars="0" w:firstLine="0" w:firstLineChars="0"/>
              <w:jc w:val="center"/>
              <w:textAlignment w:val="auto"/>
              <w:rPr>
                <w:rFonts w:hint="default" w:ascii="Times New Roman" w:hAnsi="Times New Roman" w:eastAsia="宋体" w:cs="Times New Roman"/>
                <w:sz w:val="21"/>
                <w:szCs w:val="21"/>
                <w:highlight w:val="none"/>
                <w:u w:val="none"/>
                <w:lang w:val="en-US" w:eastAsia="zh-CN"/>
              </w:rPr>
            </w:pPr>
            <w:r>
              <w:rPr>
                <w:rFonts w:hint="eastAsia" w:ascii="Times New Roman" w:hAnsi="Times New Roman" w:eastAsia="宋体" w:cs="Times New Roman"/>
                <w:sz w:val="21"/>
                <w:szCs w:val="21"/>
                <w:highlight w:val="none"/>
                <w:u w:val="none"/>
                <w:lang w:val="en-US" w:eastAsia="zh-CN"/>
              </w:rPr>
              <w:t>微量</w:t>
            </w:r>
          </w:p>
        </w:tc>
        <w:tc>
          <w:tcPr>
            <w:tcW w:w="2366" w:type="dxa"/>
            <w:vAlign w:val="center"/>
          </w:tcPr>
          <w:p w14:paraId="7AED7F9F">
            <w:pPr>
              <w:pStyle w:val="60"/>
              <w:widowControl w:val="0"/>
              <w:ind w:left="0" w:leftChars="0" w:firstLine="0" w:firstLineChars="0"/>
              <w:jc w:val="center"/>
              <w:rPr>
                <w:rFonts w:hint="default" w:ascii="Times New Roman" w:hAnsi="Times New Roman" w:eastAsia="宋体" w:cs="Times New Roman"/>
                <w:sz w:val="21"/>
                <w:szCs w:val="21"/>
                <w:highlight w:val="none"/>
                <w:u w:val="none"/>
                <w:lang w:val="en-US" w:eastAsia="zh-CN"/>
              </w:rPr>
            </w:pPr>
            <w:r>
              <w:rPr>
                <w:rFonts w:hint="eastAsia" w:ascii="Times New Roman" w:hAnsi="Times New Roman" w:eastAsia="宋体" w:cs="Times New Roman"/>
                <w:sz w:val="21"/>
                <w:szCs w:val="21"/>
                <w:highlight w:val="none"/>
                <w:vertAlign w:val="baseline"/>
                <w:lang w:val="en-US" w:eastAsia="zh-CN"/>
              </w:rPr>
              <w:t>（</w:t>
            </w:r>
            <w:r>
              <w:rPr>
                <w:rFonts w:hint="default" w:ascii="Times New Roman" w:hAnsi="Times New Roman" w:eastAsia="宋体" w:cs="Times New Roman"/>
                <w:sz w:val="21"/>
                <w:szCs w:val="21"/>
                <w:highlight w:val="none"/>
                <w:vertAlign w:val="baseline"/>
                <w:lang w:val="en-US" w:eastAsia="zh-CN"/>
              </w:rPr>
              <w:t>0.01</w:t>
            </w:r>
            <w:r>
              <w:rPr>
                <w:rFonts w:hint="default" w:ascii="Times New Roman" w:hAnsi="Times New Roman" w:eastAsia="宋体" w:cs="Times New Roman"/>
                <w:sz w:val="21"/>
                <w:szCs w:val="21"/>
                <w:highlight w:val="none"/>
                <w:u w:val="none"/>
                <w:lang w:val="en-US" w:eastAsia="zh-CN"/>
              </w:rPr>
              <w:t>～</w:t>
            </w:r>
            <w:r>
              <w:rPr>
                <w:rFonts w:hint="default" w:ascii="Times New Roman" w:hAnsi="Times New Roman" w:eastAsia="宋体" w:cs="Times New Roman"/>
                <w:sz w:val="21"/>
                <w:szCs w:val="21"/>
                <w:highlight w:val="none"/>
                <w:vertAlign w:val="baseline"/>
                <w:lang w:val="en-US" w:eastAsia="zh-CN"/>
              </w:rPr>
              <w:t>0.1</w:t>
            </w:r>
            <w:r>
              <w:rPr>
                <w:rFonts w:hint="eastAsia" w:ascii="Times New Roman" w:hAnsi="Times New Roman" w:eastAsia="宋体" w:cs="Times New Roman"/>
                <w:sz w:val="21"/>
                <w:szCs w:val="21"/>
                <w:highlight w:val="none"/>
                <w:vertAlign w:val="baseline"/>
                <w:lang w:val="en-US" w:eastAsia="zh-CN"/>
              </w:rPr>
              <w:t>）%</w:t>
            </w:r>
          </w:p>
        </w:tc>
        <w:tc>
          <w:tcPr>
            <w:tcW w:w="2366" w:type="dxa"/>
            <w:vAlign w:val="center"/>
          </w:tcPr>
          <w:p w14:paraId="2CB31DDE">
            <w:pPr>
              <w:pStyle w:val="60"/>
              <w:widowControl w:val="0"/>
              <w:ind w:left="0" w:leftChars="0" w:firstLine="0" w:firstLineChars="0"/>
              <w:jc w:val="center"/>
              <w:rPr>
                <w:rFonts w:hint="default" w:ascii="Times New Roman" w:hAnsi="Times New Roman" w:eastAsia="宋体" w:cs="Times New Roman"/>
                <w:sz w:val="21"/>
                <w:szCs w:val="21"/>
                <w:highlight w:val="none"/>
                <w:u w:val="none"/>
                <w:lang w:val="en-US" w:eastAsia="zh-CN"/>
              </w:rPr>
            </w:pPr>
            <w:r>
              <w:rPr>
                <w:rFonts w:hint="default" w:ascii="宋体" w:hAnsi="宋体" w:eastAsia="宋体" w:cs="宋体"/>
                <w:sz w:val="21"/>
                <w:szCs w:val="21"/>
                <w:highlight w:val="none"/>
                <w:u w:val="none"/>
                <w:lang w:val="en-US" w:eastAsia="zh-CN"/>
              </w:rPr>
              <w:t>≤</w:t>
            </w:r>
            <w:r>
              <w:rPr>
                <w:rFonts w:hint="eastAsia" w:hAnsi="宋体" w:cs="宋体"/>
                <w:sz w:val="21"/>
                <w:szCs w:val="21"/>
                <w:highlight w:val="none"/>
                <w:u w:val="none"/>
                <w:lang w:val="en-US" w:eastAsia="zh-CN"/>
              </w:rPr>
              <w:t>5</w:t>
            </w:r>
            <w:r>
              <w:rPr>
                <w:rFonts w:hint="default" w:ascii="Times New Roman" w:hAnsi="Times New Roman" w:eastAsia="宋体" w:cs="Times New Roman"/>
                <w:sz w:val="21"/>
                <w:szCs w:val="21"/>
                <w:highlight w:val="none"/>
                <w:vertAlign w:val="baseline"/>
                <w:lang w:val="en-US" w:eastAsia="zh-CN"/>
              </w:rPr>
              <w:t>%</w:t>
            </w:r>
          </w:p>
        </w:tc>
      </w:tr>
      <w:tr w14:paraId="3D632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66" w:type="dxa"/>
            <w:vMerge w:val="continue"/>
            <w:vAlign w:val="center"/>
          </w:tcPr>
          <w:p w14:paraId="3F83A33D">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rPr>
            </w:pPr>
          </w:p>
        </w:tc>
        <w:tc>
          <w:tcPr>
            <w:tcW w:w="2366" w:type="dxa"/>
            <w:vAlign w:val="center"/>
          </w:tcPr>
          <w:p w14:paraId="06A0532C">
            <w:pPr>
              <w:pStyle w:val="60"/>
              <w:keepNext w:val="0"/>
              <w:keepLines w:val="0"/>
              <w:pageBreakBefore w:val="0"/>
              <w:widowControl w:val="0"/>
              <w:kinsoku/>
              <w:wordWrap/>
              <w:overflowPunct/>
              <w:topLinePunct w:val="0"/>
              <w:autoSpaceDE w:val="0"/>
              <w:autoSpaceDN w:val="0"/>
              <w:bidi w:val="0"/>
              <w:adjustRightInd/>
              <w:snapToGrid w:val="0"/>
              <w:ind w:left="0" w:leftChars="0" w:firstLine="0" w:firstLineChars="0"/>
              <w:jc w:val="center"/>
              <w:textAlignment w:val="auto"/>
              <w:rPr>
                <w:rFonts w:hint="default" w:ascii="Times New Roman" w:hAnsi="Times New Roman" w:eastAsia="宋体" w:cs="Times New Roman"/>
                <w:sz w:val="21"/>
                <w:szCs w:val="21"/>
                <w:highlight w:val="none"/>
                <w:u w:val="none"/>
                <w:lang w:val="en-US" w:eastAsia="zh-CN"/>
              </w:rPr>
            </w:pPr>
            <w:r>
              <w:rPr>
                <w:rFonts w:hint="default" w:ascii="Times New Roman" w:hAnsi="Times New Roman" w:eastAsia="宋体" w:cs="Times New Roman"/>
                <w:sz w:val="21"/>
                <w:szCs w:val="21"/>
                <w:highlight w:val="none"/>
                <w:u w:val="none"/>
                <w:lang w:val="en-US" w:eastAsia="zh-CN"/>
              </w:rPr>
              <w:t>痕量</w:t>
            </w:r>
          </w:p>
        </w:tc>
        <w:tc>
          <w:tcPr>
            <w:tcW w:w="2366" w:type="dxa"/>
            <w:vAlign w:val="center"/>
          </w:tcPr>
          <w:p w14:paraId="5E46E410">
            <w:pPr>
              <w:pStyle w:val="60"/>
              <w:widowControl w:val="0"/>
              <w:ind w:left="0" w:leftChars="0" w:firstLine="0" w:firstLineChars="0"/>
              <w:jc w:val="center"/>
              <w:rPr>
                <w:rFonts w:hint="default" w:ascii="Times New Roman" w:hAnsi="Times New Roman" w:eastAsia="宋体" w:cs="Times New Roman"/>
                <w:sz w:val="21"/>
                <w:szCs w:val="21"/>
                <w:highlight w:val="none"/>
                <w:u w:val="none"/>
                <w:lang w:val="en-US" w:eastAsia="zh-CN"/>
              </w:rPr>
            </w:pPr>
            <w:r>
              <w:rPr>
                <w:rFonts w:hint="default" w:ascii="宋体" w:hAnsi="宋体" w:eastAsia="宋体" w:cs="宋体"/>
                <w:sz w:val="21"/>
                <w:szCs w:val="21"/>
                <w:highlight w:val="none"/>
                <w:u w:val="none"/>
                <w:lang w:val="en-US" w:eastAsia="zh-CN"/>
              </w:rPr>
              <w:t>≤</w:t>
            </w:r>
            <w:r>
              <w:rPr>
                <w:rFonts w:hint="default" w:ascii="Times New Roman" w:hAnsi="Times New Roman" w:eastAsia="宋体" w:cs="Times New Roman"/>
                <w:sz w:val="21"/>
                <w:szCs w:val="21"/>
                <w:highlight w:val="none"/>
                <w:vertAlign w:val="baseline"/>
                <w:lang w:val="en-US" w:eastAsia="zh-CN"/>
              </w:rPr>
              <w:t>0.01</w:t>
            </w:r>
            <w:r>
              <w:rPr>
                <w:rFonts w:hint="eastAsia" w:ascii="Times New Roman" w:hAnsi="Times New Roman" w:eastAsia="宋体" w:cs="Times New Roman"/>
                <w:sz w:val="21"/>
                <w:szCs w:val="21"/>
                <w:highlight w:val="none"/>
                <w:vertAlign w:val="baseline"/>
                <w:lang w:val="en-US" w:eastAsia="zh-CN"/>
              </w:rPr>
              <w:t>%</w:t>
            </w:r>
          </w:p>
        </w:tc>
        <w:tc>
          <w:tcPr>
            <w:tcW w:w="2366" w:type="dxa"/>
            <w:vAlign w:val="center"/>
          </w:tcPr>
          <w:p w14:paraId="2C594E8C">
            <w:pPr>
              <w:widowControl w:val="0"/>
              <w:ind w:left="0" w:leftChars="0" w:firstLine="0" w:firstLineChars="0"/>
              <w:jc w:val="center"/>
              <w:rPr>
                <w:rFonts w:hint="default" w:ascii="Times New Roman" w:hAnsi="Times New Roman" w:eastAsia="宋体" w:cs="Times New Roman"/>
                <w:sz w:val="21"/>
                <w:szCs w:val="21"/>
                <w:highlight w:val="none"/>
                <w:u w:val="none"/>
                <w:lang w:val="en-US" w:eastAsia="zh-CN"/>
              </w:rPr>
            </w:pPr>
            <w:r>
              <w:rPr>
                <w:rFonts w:hint="default" w:ascii="宋体" w:hAnsi="宋体" w:eastAsia="宋体" w:cs="宋体"/>
                <w:sz w:val="21"/>
                <w:szCs w:val="21"/>
                <w:highlight w:val="none"/>
                <w:u w:val="none"/>
                <w:lang w:val="en-US" w:eastAsia="zh-CN"/>
              </w:rPr>
              <w:t>≤</w:t>
            </w:r>
            <w:r>
              <w:rPr>
                <w:rFonts w:hint="eastAsia" w:cs="Times New Roman"/>
                <w:sz w:val="21"/>
                <w:szCs w:val="21"/>
                <w:highlight w:val="none"/>
                <w:u w:val="none"/>
                <w:lang w:val="en-US" w:eastAsia="zh-CN"/>
              </w:rPr>
              <w:t>8</w:t>
            </w:r>
            <w:r>
              <w:rPr>
                <w:rFonts w:hint="default" w:ascii="Times New Roman" w:hAnsi="Times New Roman" w:eastAsia="宋体" w:cs="Times New Roman"/>
                <w:sz w:val="21"/>
                <w:szCs w:val="21"/>
                <w:highlight w:val="none"/>
                <w:u w:val="none"/>
                <w:lang w:val="en-US" w:eastAsia="zh-CN"/>
              </w:rPr>
              <w:t>%</w:t>
            </w:r>
          </w:p>
        </w:tc>
      </w:tr>
      <w:tr w14:paraId="639C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66" w:type="dxa"/>
            <w:vMerge w:val="restart"/>
            <w:vAlign w:val="center"/>
          </w:tcPr>
          <w:p w14:paraId="1E656C08">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rPr>
            </w:pPr>
            <w:r>
              <w:rPr>
                <w:rFonts w:hint="default" w:ascii="Times New Roman" w:hAnsi="Times New Roman" w:eastAsia="宋体" w:cs="Times New Roman"/>
                <w:sz w:val="21"/>
                <w:szCs w:val="21"/>
                <w:highlight w:val="none"/>
                <w:vertAlign w:val="baseline"/>
                <w:lang w:val="en-US" w:eastAsia="zh-CN"/>
              </w:rPr>
              <w:t>深度测量重复性</w:t>
            </w:r>
          </w:p>
        </w:tc>
        <w:tc>
          <w:tcPr>
            <w:tcW w:w="2366" w:type="dxa"/>
            <w:vAlign w:val="center"/>
          </w:tcPr>
          <w:p w14:paraId="5ACE48D4">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rPr>
              <w:t>镀层参考厚度</w:t>
            </w:r>
          </w:p>
        </w:tc>
        <w:tc>
          <w:tcPr>
            <w:tcW w:w="2366" w:type="dxa"/>
            <w:vAlign w:val="center"/>
          </w:tcPr>
          <w:p w14:paraId="6E5652C1">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w:t>
            </w:r>
            <w:r>
              <w:rPr>
                <w:rFonts w:hint="eastAsia" w:ascii="Times New Roman" w:cs="Times New Roman"/>
                <w:sz w:val="21"/>
                <w:szCs w:val="21"/>
                <w:highlight w:val="none"/>
                <w:vertAlign w:val="baseline"/>
                <w:lang w:val="en-US" w:eastAsia="zh-CN"/>
              </w:rPr>
              <w:t>10</w:t>
            </w:r>
            <w:r>
              <w:rPr>
                <w:rFonts w:hint="default" w:ascii="Times New Roman" w:hAnsi="Times New Roman" w:eastAsia="宋体" w:cs="Times New Roman"/>
                <w:sz w:val="21"/>
                <w:szCs w:val="21"/>
                <w:highlight w:val="none"/>
                <w:vertAlign w:val="baseline"/>
                <w:lang w:val="en-US" w:eastAsia="zh-CN"/>
              </w:rPr>
              <w:t>～</w:t>
            </w:r>
            <w:r>
              <w:rPr>
                <w:rFonts w:hint="eastAsia" w:ascii="Times New Roman" w:cs="Times New Roman"/>
                <w:sz w:val="21"/>
                <w:szCs w:val="21"/>
                <w:highlight w:val="none"/>
                <w:vertAlign w:val="baseline"/>
                <w:lang w:val="en-US" w:eastAsia="zh-CN"/>
              </w:rPr>
              <w:t>20</w:t>
            </w:r>
            <w:r>
              <w:rPr>
                <w:rFonts w:hint="default" w:ascii="Times New Roman" w:hAnsi="Times New Roman" w:eastAsia="宋体" w:cs="Times New Roman"/>
                <w:sz w:val="21"/>
                <w:szCs w:val="21"/>
                <w:highlight w:val="none"/>
                <w:vertAlign w:val="baseline"/>
                <w:lang w:val="en-US" w:eastAsia="zh-CN"/>
              </w:rPr>
              <w:t>)</w:t>
            </w:r>
            <w:r>
              <w:rPr>
                <w:rFonts w:hint="default" w:ascii="Times New Roman" w:hAnsi="Times New Roman" w:eastAsia="宋体" w:cs="Times New Roman"/>
                <w:sz w:val="21"/>
                <w:szCs w:val="21"/>
                <w:highlight w:val="none"/>
                <w:vertAlign w:val="baseline"/>
                <w:lang w:val="en-US" w:eastAsia="zh-CN" w:bidi="ar-SA"/>
              </w:rPr>
              <w:t>μm</w:t>
            </w:r>
          </w:p>
        </w:tc>
        <w:tc>
          <w:tcPr>
            <w:tcW w:w="2366" w:type="dxa"/>
            <w:vAlign w:val="center"/>
          </w:tcPr>
          <w:p w14:paraId="32081AD3">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bidi="ar-SA"/>
              </w:rPr>
              <w:t>≤5%</w:t>
            </w:r>
          </w:p>
        </w:tc>
      </w:tr>
      <w:tr w14:paraId="0CFF5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366" w:type="dxa"/>
            <w:vMerge w:val="continue"/>
            <w:vAlign w:val="center"/>
          </w:tcPr>
          <w:p w14:paraId="38678AD0">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rPr>
            </w:pPr>
          </w:p>
        </w:tc>
        <w:tc>
          <w:tcPr>
            <w:tcW w:w="2366" w:type="dxa"/>
            <w:vAlign w:val="center"/>
          </w:tcPr>
          <w:p w14:paraId="2C011004">
            <w:pPr>
              <w:pStyle w:val="60"/>
              <w:widowControl w:val="0"/>
              <w:ind w:left="0" w:leftChars="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镀层参考厚度</w:t>
            </w:r>
          </w:p>
        </w:tc>
        <w:tc>
          <w:tcPr>
            <w:tcW w:w="2366" w:type="dxa"/>
            <w:vAlign w:val="center"/>
          </w:tcPr>
          <w:p w14:paraId="12655166">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rPr>
              <w:t>(</w:t>
            </w:r>
            <w:r>
              <w:rPr>
                <w:rFonts w:hint="eastAsia" w:ascii="Times New Roman" w:cs="Times New Roman"/>
                <w:sz w:val="21"/>
                <w:szCs w:val="21"/>
                <w:highlight w:val="none"/>
                <w:vertAlign w:val="baseline"/>
                <w:lang w:val="en-US" w:eastAsia="zh-CN"/>
              </w:rPr>
              <w:t>1</w:t>
            </w:r>
            <w:r>
              <w:rPr>
                <w:rFonts w:hint="default" w:ascii="Times New Roman" w:hAnsi="Times New Roman" w:eastAsia="宋体" w:cs="Times New Roman"/>
                <w:sz w:val="21"/>
                <w:szCs w:val="21"/>
                <w:highlight w:val="none"/>
                <w:vertAlign w:val="baseline"/>
                <w:lang w:val="en-US" w:eastAsia="zh-CN"/>
              </w:rPr>
              <w:t>～</w:t>
            </w:r>
            <w:r>
              <w:rPr>
                <w:rFonts w:hint="eastAsia" w:ascii="Times New Roman" w:cs="Times New Roman"/>
                <w:sz w:val="21"/>
                <w:szCs w:val="21"/>
                <w:highlight w:val="none"/>
                <w:vertAlign w:val="baseline"/>
                <w:lang w:val="en-US" w:eastAsia="zh-CN"/>
              </w:rPr>
              <w:t>10</w:t>
            </w:r>
            <w:r>
              <w:rPr>
                <w:rFonts w:hint="default" w:ascii="Times New Roman" w:hAnsi="Times New Roman" w:eastAsia="宋体" w:cs="Times New Roman"/>
                <w:sz w:val="21"/>
                <w:szCs w:val="21"/>
                <w:highlight w:val="none"/>
                <w:vertAlign w:val="baseline"/>
                <w:lang w:val="en-US" w:eastAsia="zh-CN"/>
              </w:rPr>
              <w:t>)</w:t>
            </w:r>
            <w:r>
              <w:rPr>
                <w:rFonts w:hint="default" w:ascii="Times New Roman" w:hAnsi="Times New Roman" w:eastAsia="宋体" w:cs="Times New Roman"/>
                <w:sz w:val="21"/>
                <w:szCs w:val="21"/>
                <w:highlight w:val="none"/>
                <w:vertAlign w:val="baseline"/>
                <w:lang w:val="en-US" w:eastAsia="zh-CN" w:bidi="ar-SA"/>
              </w:rPr>
              <w:t>μm</w:t>
            </w:r>
          </w:p>
        </w:tc>
        <w:tc>
          <w:tcPr>
            <w:tcW w:w="2366" w:type="dxa"/>
            <w:vAlign w:val="center"/>
          </w:tcPr>
          <w:p w14:paraId="05B7F7EE">
            <w:pPr>
              <w:pStyle w:val="60"/>
              <w:widowControl w:val="0"/>
              <w:ind w:left="0" w:leftChars="0" w:firstLine="0" w:firstLineChars="0"/>
              <w:jc w:val="center"/>
              <w:rPr>
                <w:rFonts w:hint="default" w:ascii="Times New Roman" w:hAnsi="Times New Roman" w:eastAsia="宋体" w:cs="Times New Roman"/>
                <w:sz w:val="21"/>
                <w:szCs w:val="21"/>
                <w:highlight w:val="none"/>
                <w:vertAlign w:val="baseline"/>
                <w:lang w:val="en-US" w:eastAsia="zh-CN" w:bidi="ar-SA"/>
              </w:rPr>
            </w:pPr>
            <w:r>
              <w:rPr>
                <w:rFonts w:hint="default" w:ascii="Times New Roman" w:hAnsi="Times New Roman" w:eastAsia="宋体" w:cs="Times New Roman"/>
                <w:sz w:val="21"/>
                <w:szCs w:val="21"/>
                <w:highlight w:val="none"/>
                <w:vertAlign w:val="baseline"/>
                <w:lang w:val="en-US" w:eastAsia="zh-CN" w:bidi="ar-SA"/>
              </w:rPr>
              <w:t>≤</w:t>
            </w:r>
            <w:r>
              <w:rPr>
                <w:rFonts w:hint="eastAsia" w:ascii="Times New Roman" w:cs="Times New Roman"/>
                <w:sz w:val="21"/>
                <w:szCs w:val="21"/>
                <w:highlight w:val="none"/>
                <w:vertAlign w:val="baseline"/>
                <w:lang w:val="en-US" w:eastAsia="zh-CN" w:bidi="ar-SA"/>
              </w:rPr>
              <w:t>10</w:t>
            </w:r>
            <w:r>
              <w:rPr>
                <w:rFonts w:hint="default" w:ascii="Times New Roman" w:hAnsi="Times New Roman" w:eastAsia="宋体" w:cs="Times New Roman"/>
                <w:sz w:val="21"/>
                <w:szCs w:val="21"/>
                <w:highlight w:val="none"/>
                <w:vertAlign w:val="baseline"/>
                <w:lang w:val="en-US" w:eastAsia="zh-CN" w:bidi="ar-SA"/>
              </w:rPr>
              <w:t>%</w:t>
            </w:r>
          </w:p>
        </w:tc>
      </w:tr>
      <w:tr w14:paraId="2903C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464" w:type="dxa"/>
            <w:gridSpan w:val="4"/>
            <w:vAlign w:val="center"/>
          </w:tcPr>
          <w:p w14:paraId="42254685">
            <w:pPr>
              <w:pStyle w:val="60"/>
              <w:widowControl w:val="0"/>
              <w:ind w:left="0" w:leftChars="0" w:firstLine="0" w:firstLineChars="0"/>
              <w:jc w:val="left"/>
              <w:rPr>
                <w:rFonts w:hint="default" w:ascii="Times New Roman" w:hAnsi="Times New Roman" w:eastAsia="宋体" w:cs="Times New Roman"/>
                <w:sz w:val="21"/>
                <w:szCs w:val="21"/>
                <w:highlight w:val="none"/>
                <w:u w:val="none"/>
                <w:lang w:val="en-US" w:eastAsia="zh-CN"/>
              </w:rPr>
            </w:pPr>
            <w:r>
              <w:rPr>
                <w:rFonts w:hint="default" w:ascii="Times New Roman" w:hAnsi="Times New Roman" w:eastAsia="宋体" w:cs="Times New Roman"/>
                <w:sz w:val="21"/>
                <w:szCs w:val="21"/>
                <w:highlight w:val="none"/>
                <w:u w:val="none"/>
                <w:lang w:val="en-US" w:eastAsia="zh-CN"/>
              </w:rPr>
              <w:t>注：基体包括铜、铝、铅、锌、镍、钴、钛等有色金属。</w:t>
            </w:r>
          </w:p>
        </w:tc>
      </w:tr>
    </w:tbl>
    <w:p w14:paraId="03CA5638">
      <w:pPr>
        <w:pStyle w:val="20"/>
        <w:keepNext w:val="0"/>
        <w:keepLines w:val="0"/>
        <w:pageBreakBefore w:val="0"/>
        <w:kinsoku/>
        <w:wordWrap/>
        <w:overflowPunct/>
        <w:topLinePunct w:val="0"/>
        <w:bidi w:val="0"/>
        <w:adjustRightInd/>
        <w:snapToGrid/>
        <w:spacing w:line="360" w:lineRule="auto"/>
        <w:ind w:left="0"/>
        <w:textAlignment w:val="auto"/>
        <w:outlineLvl w:val="0"/>
        <w:rPr>
          <w:rFonts w:hint="eastAsia" w:ascii="黑体" w:hAnsi="黑体" w:eastAsia="黑体" w:cs="黑体"/>
          <w:b/>
          <w:sz w:val="21"/>
          <w:szCs w:val="21"/>
          <w:lang w:val="en-US" w:eastAsia="zh-CN"/>
        </w:rPr>
      </w:pPr>
      <w:r>
        <w:rPr>
          <w:rFonts w:hint="eastAsia" w:ascii="黑体" w:hAnsi="黑体" w:eastAsia="黑体" w:cs="黑体"/>
          <w:b w:val="0"/>
          <w:bCs w:val="0"/>
          <w:sz w:val="21"/>
          <w:szCs w:val="21"/>
          <w:highlight w:val="none"/>
        </w:rPr>
        <w:t>5 校准条件</w:t>
      </w:r>
    </w:p>
    <w:p w14:paraId="0883DF0A">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cs="Times New Roman"/>
          <w:sz w:val="21"/>
          <w:szCs w:val="21"/>
          <w:lang w:val="en-US" w:eastAsia="zh-CN"/>
        </w:rPr>
      </w:pPr>
      <w:r>
        <w:rPr>
          <w:rFonts w:hint="eastAsia"/>
          <w:sz w:val="21"/>
          <w:szCs w:val="21"/>
        </w:rPr>
        <w:t>5</w:t>
      </w:r>
      <w:r>
        <w:rPr>
          <w:sz w:val="21"/>
          <w:szCs w:val="21"/>
        </w:rPr>
        <w:t>.1 环境条件</w:t>
      </w:r>
    </w:p>
    <w:p w14:paraId="31304A0C">
      <w:pPr>
        <w:spacing w:line="360" w:lineRule="auto"/>
        <w:rPr>
          <w:rFonts w:ascii="Times New Roman" w:hAnsi="Times New Roman" w:eastAsiaTheme="minorEastAsia"/>
          <w:sz w:val="21"/>
          <w:szCs w:val="21"/>
        </w:rPr>
      </w:pPr>
      <w:r>
        <w:rPr>
          <w:rFonts w:ascii="Times New Roman" w:hAnsi="Times New Roman" w:eastAsiaTheme="minorEastAsia"/>
          <w:sz w:val="21"/>
          <w:szCs w:val="21"/>
        </w:rPr>
        <w:t>5.1.1环境温度</w:t>
      </w:r>
      <w:r>
        <w:rPr>
          <w:rFonts w:ascii="Times New Roman" w:hAnsi="Times New Roman" w:eastAsiaTheme="minorEastAsia"/>
          <w:sz w:val="21"/>
          <w:szCs w:val="21"/>
          <w:highlight w:val="none"/>
        </w:rPr>
        <w:t>（</w:t>
      </w:r>
      <w:r>
        <w:rPr>
          <w:rFonts w:hint="eastAsia" w:eastAsiaTheme="minorEastAsia"/>
          <w:sz w:val="21"/>
          <w:szCs w:val="21"/>
          <w:highlight w:val="none"/>
          <w:lang w:val="en-US" w:eastAsia="zh-CN"/>
        </w:rPr>
        <w:t>18</w:t>
      </w:r>
      <w:r>
        <w:rPr>
          <w:rFonts w:hint="default" w:ascii="Times New Roman" w:hAnsi="Times New Roman" w:eastAsia="宋体" w:cs="Times New Roman"/>
          <w:sz w:val="21"/>
          <w:szCs w:val="21"/>
          <w:highlight w:val="none"/>
          <w:u w:val="none"/>
          <w:lang w:val="en-US" w:eastAsia="zh-CN"/>
        </w:rPr>
        <w:t>～</w:t>
      </w:r>
      <w:r>
        <w:rPr>
          <w:rFonts w:hint="eastAsia" w:eastAsiaTheme="minorEastAsia"/>
          <w:sz w:val="21"/>
          <w:szCs w:val="21"/>
          <w:highlight w:val="none"/>
          <w:lang w:val="en-US" w:eastAsia="zh-CN"/>
        </w:rPr>
        <w:t>28</w:t>
      </w:r>
      <w:r>
        <w:rPr>
          <w:rFonts w:ascii="Times New Roman" w:hAnsi="Times New Roman" w:eastAsiaTheme="minorEastAsia"/>
          <w:sz w:val="21"/>
          <w:szCs w:val="21"/>
          <w:highlight w:val="none"/>
        </w:rPr>
        <w:t>）</w:t>
      </w:r>
      <w:r>
        <w:rPr>
          <w:rFonts w:ascii="Times New Roman" w:hAnsi="Times New Roman" w:eastAsiaTheme="minorEastAsia"/>
          <w:sz w:val="21"/>
          <w:szCs w:val="21"/>
        </w:rPr>
        <w:t>℃，</w:t>
      </w:r>
      <w:r>
        <w:rPr>
          <w:rFonts w:hint="eastAsia" w:eastAsiaTheme="minorEastAsia"/>
          <w:sz w:val="21"/>
          <w:szCs w:val="21"/>
          <w:highlight w:val="none"/>
          <w:lang w:val="en-US" w:eastAsia="zh-CN"/>
        </w:rPr>
        <w:t>温度变化率不超过1</w:t>
      </w:r>
      <w:r>
        <w:rPr>
          <w:rFonts w:ascii="Times New Roman" w:hAnsi="Times New Roman" w:eastAsiaTheme="minorEastAsia"/>
          <w:sz w:val="21"/>
          <w:szCs w:val="21"/>
          <w:highlight w:val="none"/>
        </w:rPr>
        <w:t>℃</w:t>
      </w:r>
      <w:r>
        <w:rPr>
          <w:rFonts w:hint="eastAsia" w:eastAsiaTheme="minorEastAsia"/>
          <w:sz w:val="21"/>
          <w:szCs w:val="21"/>
          <w:highlight w:val="none"/>
          <w:lang w:val="en-US" w:eastAsia="zh-CN"/>
        </w:rPr>
        <w:t>/h，</w:t>
      </w:r>
      <w:r>
        <w:rPr>
          <w:rFonts w:ascii="Times New Roman" w:hAnsi="Times New Roman" w:eastAsiaTheme="minorEastAsia"/>
          <w:sz w:val="21"/>
          <w:szCs w:val="21"/>
          <w:highlight w:val="none"/>
        </w:rPr>
        <w:t>相</w:t>
      </w:r>
      <w:r>
        <w:rPr>
          <w:rFonts w:ascii="Times New Roman" w:hAnsi="Times New Roman" w:eastAsiaTheme="minorEastAsia"/>
          <w:sz w:val="21"/>
          <w:szCs w:val="21"/>
        </w:rPr>
        <w:t>对湿度</w:t>
      </w:r>
      <w:r>
        <w:rPr>
          <w:rFonts w:asciiTheme="majorEastAsia" w:hAnsiTheme="majorEastAsia" w:eastAsiaTheme="majorEastAsia"/>
          <w:sz w:val="21"/>
          <w:szCs w:val="21"/>
          <w:highlight w:val="none"/>
        </w:rPr>
        <w:t>≤</w:t>
      </w:r>
      <w:r>
        <w:rPr>
          <w:rFonts w:hint="eastAsia" w:eastAsiaTheme="minorEastAsia"/>
          <w:sz w:val="21"/>
          <w:szCs w:val="21"/>
          <w:highlight w:val="none"/>
          <w:lang w:val="en-US" w:eastAsia="zh-CN"/>
        </w:rPr>
        <w:t>7</w:t>
      </w:r>
      <w:r>
        <w:rPr>
          <w:rFonts w:ascii="Times New Roman" w:hAnsi="Times New Roman" w:eastAsiaTheme="minorEastAsia"/>
          <w:sz w:val="21"/>
          <w:szCs w:val="21"/>
          <w:highlight w:val="none"/>
        </w:rPr>
        <w:t>0%</w:t>
      </w:r>
      <w:r>
        <w:rPr>
          <w:rFonts w:ascii="Times New Roman" w:hAnsi="Times New Roman" w:eastAsiaTheme="minorEastAsia"/>
          <w:sz w:val="21"/>
          <w:szCs w:val="21"/>
        </w:rPr>
        <w:t>。</w:t>
      </w:r>
    </w:p>
    <w:p w14:paraId="456E8658">
      <w:pPr>
        <w:spacing w:line="360" w:lineRule="auto"/>
        <w:rPr>
          <w:rFonts w:ascii="Times New Roman" w:hAnsi="Times New Roman" w:eastAsiaTheme="minorEastAsia"/>
          <w:sz w:val="21"/>
          <w:szCs w:val="21"/>
        </w:rPr>
      </w:pPr>
      <w:r>
        <w:rPr>
          <w:rFonts w:ascii="Times New Roman" w:hAnsi="Times New Roman" w:eastAsiaTheme="minorEastAsia"/>
          <w:sz w:val="21"/>
          <w:szCs w:val="21"/>
        </w:rPr>
        <w:t>5.1.2</w:t>
      </w:r>
      <w:r>
        <w:rPr>
          <w:rFonts w:hint="eastAsia" w:hAnsi="Times New Roman" w:eastAsia="宋体" w:cs="Times New Roman"/>
          <w:sz w:val="21"/>
          <w:szCs w:val="21"/>
          <w:lang w:eastAsia="zh-CN"/>
        </w:rPr>
        <w:t>校准环境</w:t>
      </w:r>
      <w:r>
        <w:rPr>
          <w:rFonts w:hint="eastAsia" w:hAnsi="Times New Roman" w:eastAsia="宋体" w:cs="Times New Roman"/>
          <w:sz w:val="21"/>
          <w:szCs w:val="21"/>
          <w:lang w:val="en-US" w:eastAsia="zh-CN"/>
        </w:rPr>
        <w:t>周围</w:t>
      </w:r>
      <w:r>
        <w:rPr>
          <w:rFonts w:ascii="Times New Roman" w:hAnsi="Times New Roman" w:eastAsiaTheme="minorEastAsia"/>
          <w:sz w:val="21"/>
          <w:szCs w:val="21"/>
        </w:rPr>
        <w:t>不</w:t>
      </w:r>
      <w:r>
        <w:rPr>
          <w:rFonts w:hint="eastAsia" w:ascii="Times New Roman" w:hAnsi="Times New Roman" w:eastAsiaTheme="minorEastAsia"/>
          <w:sz w:val="21"/>
          <w:szCs w:val="21"/>
          <w:lang w:val="en-US" w:eastAsia="zh-CN"/>
        </w:rPr>
        <w:t>应</w:t>
      </w:r>
      <w:r>
        <w:rPr>
          <w:rFonts w:ascii="Times New Roman" w:hAnsi="Times New Roman" w:eastAsiaTheme="minorEastAsia"/>
          <w:sz w:val="21"/>
          <w:szCs w:val="21"/>
        </w:rPr>
        <w:t>有</w:t>
      </w:r>
      <w:r>
        <w:rPr>
          <w:rFonts w:hint="eastAsia" w:hAnsi="Times New Roman" w:eastAsia="宋体" w:cs="Times New Roman"/>
          <w:sz w:val="21"/>
          <w:szCs w:val="21"/>
          <w:lang w:val="en-US" w:eastAsia="zh-CN"/>
        </w:rPr>
        <w:t>腐蚀性介质</w:t>
      </w:r>
      <w:r>
        <w:rPr>
          <w:rFonts w:hint="eastAsia" w:cs="Times New Roman"/>
          <w:sz w:val="21"/>
          <w:szCs w:val="21"/>
          <w:lang w:val="en-US" w:eastAsia="zh-CN"/>
        </w:rPr>
        <w:t>、</w:t>
      </w:r>
      <w:r>
        <w:rPr>
          <w:rFonts w:ascii="宋体" w:hAnsi="宋体" w:eastAsia="宋体" w:cs="宋体"/>
          <w:sz w:val="21"/>
          <w:szCs w:val="21"/>
        </w:rPr>
        <w:t>强电磁干扰</w:t>
      </w:r>
      <w:r>
        <w:rPr>
          <w:rFonts w:hint="eastAsia" w:cs="Times New Roman"/>
          <w:sz w:val="21"/>
          <w:szCs w:val="21"/>
          <w:lang w:val="en-US" w:eastAsia="zh-CN"/>
        </w:rPr>
        <w:t>及</w:t>
      </w:r>
      <w:r>
        <w:rPr>
          <w:rFonts w:ascii="Times New Roman" w:hAnsi="Times New Roman" w:eastAsiaTheme="minorEastAsia"/>
          <w:sz w:val="21"/>
          <w:szCs w:val="21"/>
        </w:rPr>
        <w:t>强烈机械振动。</w:t>
      </w:r>
    </w:p>
    <w:p w14:paraId="66509E36">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eastAsia"/>
          <w:sz w:val="21"/>
          <w:szCs w:val="21"/>
          <w:lang w:val="en-US" w:eastAsia="zh-CN"/>
        </w:rPr>
      </w:pPr>
      <w:bookmarkStart w:id="53" w:name="_Toc27110"/>
      <w:r>
        <w:rPr>
          <w:rFonts w:hint="eastAsia"/>
          <w:sz w:val="21"/>
          <w:szCs w:val="21"/>
        </w:rPr>
        <w:t>5</w:t>
      </w:r>
      <w:r>
        <w:rPr>
          <w:sz w:val="21"/>
          <w:szCs w:val="21"/>
        </w:rPr>
        <w:t>.2</w:t>
      </w:r>
      <w:r>
        <w:rPr>
          <w:rFonts w:hint="eastAsia"/>
          <w:sz w:val="21"/>
          <w:szCs w:val="21"/>
        </w:rPr>
        <w:t xml:space="preserve"> </w:t>
      </w:r>
      <w:bookmarkEnd w:id="53"/>
      <w:r>
        <w:rPr>
          <w:rFonts w:hint="eastAsia"/>
          <w:sz w:val="21"/>
          <w:szCs w:val="21"/>
          <w:lang w:val="en-US" w:eastAsia="zh-CN"/>
        </w:rPr>
        <w:t>测量标准</w:t>
      </w:r>
    </w:p>
    <w:p w14:paraId="5AA5B1F2">
      <w:pPr>
        <w:keepNext w:val="0"/>
        <w:keepLines w:val="0"/>
        <w:pageBreakBefore w:val="0"/>
        <w:widowControl w:val="0"/>
        <w:kinsoku/>
        <w:wordWrap/>
        <w:overflowPunct/>
        <w:topLinePunct w:val="0"/>
        <w:autoSpaceDE/>
        <w:autoSpaceDN/>
        <w:bidi w:val="0"/>
        <w:adjustRightInd/>
        <w:snapToGrid/>
        <w:spacing w:line="360" w:lineRule="auto"/>
        <w:textAlignment w:val="auto"/>
        <w:outlineLvl w:val="1"/>
        <w:rPr>
          <w:rFonts w:hint="default"/>
          <w:color w:val="FF0000"/>
          <w:sz w:val="21"/>
          <w:szCs w:val="21"/>
          <w:highlight w:val="none"/>
          <w:lang w:val="en-US" w:eastAsia="zh-CN"/>
        </w:rPr>
      </w:pPr>
      <w:r>
        <w:rPr>
          <w:rFonts w:hint="eastAsia"/>
          <w:sz w:val="21"/>
          <w:szCs w:val="21"/>
          <w:lang w:val="en-US" w:eastAsia="zh-CN"/>
        </w:rPr>
        <w:t>5.2.1 测量标准及</w:t>
      </w:r>
      <w:r>
        <w:rPr>
          <w:rFonts w:hint="eastAsia"/>
          <w:sz w:val="21"/>
          <w:szCs w:val="21"/>
          <w:highlight w:val="none"/>
          <w:lang w:val="en-US" w:eastAsia="zh-CN"/>
        </w:rPr>
        <w:t>技术依据见表5。</w:t>
      </w:r>
    </w:p>
    <w:p w14:paraId="20C4A8EF">
      <w:pPr>
        <w:pStyle w:val="60"/>
        <w:ind w:left="0" w:leftChars="0" w:firstLine="0" w:firstLineChars="0"/>
        <w:jc w:val="center"/>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表5 测量标准及技术依据</w:t>
      </w:r>
    </w:p>
    <w:tbl>
      <w:tblPr>
        <w:tblStyle w:val="43"/>
        <w:tblW w:w="9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2001"/>
        <w:gridCol w:w="4950"/>
        <w:gridCol w:w="1889"/>
      </w:tblGrid>
      <w:tr w14:paraId="4F7B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884" w:type="dxa"/>
            <w:vAlign w:val="center"/>
          </w:tcPr>
          <w:p w14:paraId="7ECDAAEA">
            <w:pPr>
              <w:pStyle w:val="39"/>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t>序号</w:t>
            </w:r>
          </w:p>
        </w:tc>
        <w:tc>
          <w:tcPr>
            <w:tcW w:w="2001" w:type="dxa"/>
            <w:vAlign w:val="center"/>
          </w:tcPr>
          <w:p w14:paraId="46BF85E1">
            <w:pPr>
              <w:pStyle w:val="39"/>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测量标准</w:t>
            </w:r>
          </w:p>
        </w:tc>
        <w:tc>
          <w:tcPr>
            <w:tcW w:w="4950" w:type="dxa"/>
            <w:vAlign w:val="center"/>
          </w:tcPr>
          <w:p w14:paraId="517CB43C">
            <w:pPr>
              <w:pStyle w:val="39"/>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技术依据</w:t>
            </w:r>
          </w:p>
        </w:tc>
        <w:tc>
          <w:tcPr>
            <w:tcW w:w="1889" w:type="dxa"/>
            <w:vAlign w:val="center"/>
          </w:tcPr>
          <w:p w14:paraId="47E30F8F">
            <w:pPr>
              <w:pStyle w:val="39"/>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用途</w:t>
            </w:r>
          </w:p>
        </w:tc>
      </w:tr>
      <w:tr w14:paraId="0F57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884" w:type="dxa"/>
            <w:vAlign w:val="center"/>
          </w:tcPr>
          <w:p w14:paraId="6E345BFD">
            <w:pPr>
              <w:pStyle w:val="60"/>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outlineLvl w:val="0"/>
              <w:rPr>
                <w:rFonts w:hint="default" w:ascii="Times New Roman" w:hAnsi="Times New Roman" w:eastAsia="宋体" w:cs="Times New Roman"/>
                <w:b w:val="0"/>
                <w:bCs w:val="0"/>
                <w:kern w:val="2"/>
                <w:sz w:val="21"/>
                <w:szCs w:val="21"/>
                <w:lang w:val="en-US" w:eastAsia="zh-CN" w:bidi="ar-SA"/>
              </w:rPr>
            </w:pPr>
            <w:r>
              <w:rPr>
                <w:rFonts w:hint="eastAsia" w:ascii="Times New Roman" w:cs="Times New Roman"/>
                <w:b w:val="0"/>
                <w:bCs w:val="0"/>
                <w:kern w:val="2"/>
                <w:sz w:val="21"/>
                <w:szCs w:val="21"/>
                <w:lang w:val="en-US" w:eastAsia="zh-CN" w:bidi="ar-SA"/>
              </w:rPr>
              <w:t>1</w:t>
            </w:r>
          </w:p>
        </w:tc>
        <w:tc>
          <w:tcPr>
            <w:tcW w:w="2001" w:type="dxa"/>
            <w:vAlign w:val="center"/>
          </w:tcPr>
          <w:p w14:paraId="015DF27B">
            <w:pPr>
              <w:pStyle w:val="60"/>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outlineLvl w:val="0"/>
              <w:rPr>
                <w:rFonts w:hint="eastAsia" w:ascii="Times New Roman" w:cs="Times New Roman"/>
                <w:b w:val="0"/>
                <w:bCs w:val="0"/>
                <w:kern w:val="2"/>
                <w:sz w:val="21"/>
                <w:szCs w:val="21"/>
                <w:lang w:val="en-US" w:eastAsia="zh-CN" w:bidi="ar-SA"/>
              </w:rPr>
            </w:pPr>
            <w:r>
              <w:rPr>
                <w:rFonts w:hint="eastAsia" w:ascii="Times New Roman" w:hAnsi="Times New Roman" w:eastAsia="宋体" w:cs="Times New Roman"/>
                <w:b w:val="0"/>
                <w:bCs w:val="0"/>
                <w:kern w:val="2"/>
                <w:sz w:val="21"/>
                <w:szCs w:val="21"/>
                <w:lang w:val="en-US" w:eastAsia="zh-CN" w:bidi="ar-SA"/>
              </w:rPr>
              <w:t>纯</w:t>
            </w:r>
            <w:r>
              <w:rPr>
                <w:rFonts w:hint="eastAsia" w:ascii="Times New Roman" w:cs="Times New Roman"/>
                <w:b w:val="0"/>
                <w:bCs w:val="0"/>
                <w:kern w:val="2"/>
                <w:sz w:val="21"/>
                <w:szCs w:val="21"/>
                <w:lang w:val="en-US" w:eastAsia="zh-CN" w:bidi="ar-SA"/>
              </w:rPr>
              <w:t>XXX标准物质</w:t>
            </w:r>
          </w:p>
          <w:p w14:paraId="73BE8251">
            <w:pPr>
              <w:pStyle w:val="60"/>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outlineLvl w:val="0"/>
              <w:rPr>
                <w:rStyle w:val="325"/>
                <w:rFonts w:hint="default" w:ascii="Times New Roman" w:hAnsi="Times New Roman" w:eastAsia="黑体" w:cs="Times New Roman"/>
                <w:b w:val="0"/>
                <w:bCs w:val="0"/>
                <w:kern w:val="2"/>
                <w:sz w:val="21"/>
                <w:szCs w:val="21"/>
                <w:vertAlign w:val="baseline"/>
                <w:lang w:val="en-US" w:eastAsia="zh-CN"/>
              </w:rPr>
            </w:pPr>
            <w:r>
              <w:rPr>
                <w:rFonts w:hint="eastAsia" w:ascii="Times New Roman" w:cs="Times New Roman"/>
                <w:b w:val="0"/>
                <w:bCs w:val="0"/>
                <w:kern w:val="2"/>
                <w:sz w:val="21"/>
                <w:szCs w:val="21"/>
                <w:lang w:val="en-US" w:eastAsia="zh-CN" w:bidi="ar-SA"/>
              </w:rPr>
              <w:t>或标准样品</w:t>
            </w:r>
          </w:p>
        </w:tc>
        <w:tc>
          <w:tcPr>
            <w:tcW w:w="4950" w:type="dxa"/>
            <w:vAlign w:val="center"/>
          </w:tcPr>
          <w:p w14:paraId="23C643C4">
            <w:pPr>
              <w:pStyle w:val="39"/>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outlineLvl w:val="9"/>
              <w:rPr>
                <w:rStyle w:val="325"/>
                <w:rFonts w:hint="default" w:ascii="Times New Roman" w:hAnsi="Times New Roman" w:eastAsia="黑体" w:cs="Times New Roman"/>
                <w:b w:val="0"/>
                <w:bCs w:val="0"/>
                <w:kern w:val="2"/>
                <w:sz w:val="21"/>
                <w:szCs w:val="21"/>
                <w:highlight w:val="none"/>
                <w:vertAlign w:val="baseline"/>
                <w:lang w:val="en-US" w:eastAsia="zh-CN"/>
              </w:rPr>
            </w:pPr>
            <w:r>
              <w:rPr>
                <w:rFonts w:hint="default" w:ascii="Times New Roman" w:hAnsi="Times New Roman" w:eastAsia="宋体" w:cs="Times New Roman"/>
                <w:b w:val="0"/>
                <w:bCs w:val="0"/>
                <w:sz w:val="21"/>
                <w:szCs w:val="21"/>
                <w:highlight w:val="none"/>
                <w:lang w:val="en-US" w:eastAsia="zh-CN"/>
              </w:rPr>
              <w:t>有色金属光谱分析用有证标准物质或标准样品，其中元素扩展不确定度</w:t>
            </w:r>
            <w:r>
              <w:rPr>
                <w:rFonts w:hint="eastAsia" w:ascii="Times New Roman" w:hAnsi="Times New Roman" w:cs="Times New Roman"/>
                <w:b w:val="0"/>
                <w:bCs w:val="0"/>
                <w:i/>
                <w:iCs/>
                <w:sz w:val="21"/>
                <w:szCs w:val="21"/>
                <w:highlight w:val="none"/>
                <w:lang w:val="en-US" w:eastAsia="zh-CN"/>
              </w:rPr>
              <w:t>U</w:t>
            </w:r>
            <w:r>
              <w:rPr>
                <w:rFonts w:hint="default" w:ascii="Times New Roman" w:hAnsi="Times New Roman" w:eastAsia="宋体" w:cs="Times New Roman"/>
                <w:b w:val="0"/>
                <w:bCs w:val="0"/>
                <w:sz w:val="21"/>
                <w:szCs w:val="21"/>
                <w:highlight w:val="none"/>
                <w:lang w:val="en-US" w:eastAsia="zh-CN"/>
              </w:rPr>
              <w:t>不大于0.00</w:t>
            </w:r>
            <w:r>
              <w:rPr>
                <w:rFonts w:hint="eastAsia" w:ascii="Times New Roman" w:hAnsi="Times New Roman" w:cs="Times New Roman"/>
                <w:b w:val="0"/>
                <w:bCs w:val="0"/>
                <w:sz w:val="21"/>
                <w:szCs w:val="21"/>
                <w:highlight w:val="none"/>
                <w:lang w:val="en-US" w:eastAsia="zh-CN"/>
              </w:rPr>
              <w:t>1</w:t>
            </w:r>
            <w:r>
              <w:rPr>
                <w:rFonts w:hint="default" w:ascii="Times New Roman" w:hAnsi="Times New Roman" w:eastAsia="宋体" w:cs="Times New Roman"/>
                <w:b w:val="0"/>
                <w:bCs w:val="0"/>
                <w:sz w:val="21"/>
                <w:szCs w:val="21"/>
                <w:highlight w:val="none"/>
                <w:lang w:val="en-US" w:eastAsia="zh-CN"/>
              </w:rPr>
              <w:t>%(</w:t>
            </w:r>
            <w:r>
              <w:rPr>
                <w:rFonts w:hint="default" w:ascii="Times New Roman" w:hAnsi="Times New Roman" w:eastAsia="宋体" w:cs="Times New Roman"/>
                <w:b w:val="0"/>
                <w:bCs w:val="0"/>
                <w:i/>
                <w:iCs/>
                <w:sz w:val="21"/>
                <w:szCs w:val="21"/>
                <w:highlight w:val="none"/>
                <w:lang w:val="en-US" w:eastAsia="zh-CN"/>
              </w:rPr>
              <w:t>k</w:t>
            </w:r>
            <w:r>
              <w:rPr>
                <w:rFonts w:hint="default" w:ascii="Times New Roman" w:hAnsi="Times New Roman" w:eastAsia="宋体" w:cs="Times New Roman"/>
                <w:b w:val="0"/>
                <w:bCs w:val="0"/>
                <w:sz w:val="21"/>
                <w:szCs w:val="21"/>
                <w:highlight w:val="none"/>
                <w:lang w:val="en-US" w:eastAsia="zh-CN"/>
              </w:rPr>
              <w:t>=2)</w:t>
            </w:r>
          </w:p>
        </w:tc>
        <w:tc>
          <w:tcPr>
            <w:tcW w:w="1889" w:type="dxa"/>
            <w:shd w:val="clear" w:color="auto" w:fill="auto"/>
            <w:vAlign w:val="center"/>
          </w:tcPr>
          <w:p w14:paraId="13A5B767">
            <w:pPr>
              <w:pStyle w:val="39"/>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检出限</w:t>
            </w:r>
          </w:p>
        </w:tc>
      </w:tr>
      <w:tr w14:paraId="16670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exact"/>
          <w:jc w:val="center"/>
        </w:trPr>
        <w:tc>
          <w:tcPr>
            <w:tcW w:w="884" w:type="dxa"/>
            <w:vAlign w:val="center"/>
          </w:tcPr>
          <w:p w14:paraId="6BEF01F3">
            <w:pPr>
              <w:pStyle w:val="39"/>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default" w:ascii="Times New Roman" w:hAnsi="Times New Roman" w:eastAsia="宋体" w:cs="Times New Roman"/>
                <w:b w:val="0"/>
                <w:bCs w:val="0"/>
                <w:kern w:val="2"/>
                <w:sz w:val="21"/>
                <w:szCs w:val="21"/>
                <w:lang w:val="en-US" w:eastAsia="zh-CN" w:bidi="ar-SA"/>
              </w:rPr>
            </w:pPr>
            <w:r>
              <w:rPr>
                <w:rFonts w:hint="eastAsia" w:ascii="Times New Roman" w:hAnsi="Times New Roman" w:cs="Times New Roman"/>
                <w:b w:val="0"/>
                <w:bCs w:val="0"/>
                <w:kern w:val="2"/>
                <w:sz w:val="21"/>
                <w:szCs w:val="21"/>
                <w:lang w:val="en-US" w:eastAsia="zh-CN" w:bidi="ar-SA"/>
              </w:rPr>
              <w:t>2</w:t>
            </w:r>
          </w:p>
        </w:tc>
        <w:tc>
          <w:tcPr>
            <w:tcW w:w="2001" w:type="dxa"/>
            <w:vAlign w:val="center"/>
          </w:tcPr>
          <w:p w14:paraId="720951F4">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2"/>
              <w:rPr>
                <w:rFonts w:hint="eastAsia" w:ascii="Times New Roman" w:hAnsi="Times New Roman" w:eastAsia="宋体" w:cs="Times New Roman"/>
                <w:b w:val="0"/>
                <w:bCs w:val="0"/>
                <w:kern w:val="2"/>
                <w:sz w:val="21"/>
                <w:szCs w:val="21"/>
                <w:lang w:val="en-US" w:eastAsia="zh-CN" w:bidi="ar-SA"/>
              </w:rPr>
            </w:pPr>
            <w:r>
              <w:rPr>
                <w:rFonts w:hint="eastAsia" w:cs="Times New Roman"/>
                <w:b w:val="0"/>
                <w:bCs w:val="0"/>
                <w:kern w:val="2"/>
                <w:sz w:val="21"/>
                <w:szCs w:val="21"/>
                <w:lang w:val="en-US" w:eastAsia="zh-CN" w:bidi="ar-SA"/>
              </w:rPr>
              <w:t>XXX合金</w:t>
            </w:r>
            <w:r>
              <w:rPr>
                <w:rFonts w:hint="eastAsia" w:ascii="Times New Roman" w:hAnsi="Times New Roman" w:eastAsia="宋体" w:cs="Times New Roman"/>
                <w:b w:val="0"/>
                <w:bCs w:val="0"/>
                <w:kern w:val="2"/>
                <w:sz w:val="21"/>
                <w:szCs w:val="21"/>
                <w:lang w:val="en-US" w:eastAsia="zh-CN" w:bidi="ar-SA"/>
              </w:rPr>
              <w:t>标准物质</w:t>
            </w:r>
          </w:p>
          <w:p w14:paraId="53E3DFBC">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2"/>
              <w:rPr>
                <w:rFonts w:hint="default" w:ascii="Times New Roman" w:hAnsi="Times New Roman" w:eastAsia="宋体" w:cs="Times New Roman"/>
                <w:b w:val="0"/>
                <w:bCs w:val="0"/>
                <w:kern w:val="2"/>
                <w:sz w:val="21"/>
                <w:szCs w:val="21"/>
                <w:lang w:val="en-US" w:eastAsia="zh-CN" w:bidi="ar-SA"/>
              </w:rPr>
            </w:pPr>
            <w:r>
              <w:rPr>
                <w:rFonts w:hint="eastAsia" w:ascii="Times New Roman" w:hAnsi="Times New Roman" w:eastAsia="宋体" w:cs="Times New Roman"/>
                <w:b w:val="0"/>
                <w:bCs w:val="0"/>
                <w:kern w:val="2"/>
                <w:sz w:val="21"/>
                <w:szCs w:val="21"/>
                <w:lang w:val="en-US" w:eastAsia="zh-CN" w:bidi="ar-SA"/>
              </w:rPr>
              <w:t>或标准样品</w:t>
            </w:r>
          </w:p>
        </w:tc>
        <w:tc>
          <w:tcPr>
            <w:tcW w:w="4950" w:type="dxa"/>
            <w:vAlign w:val="center"/>
          </w:tcPr>
          <w:p w14:paraId="114AB3B1">
            <w:pPr>
              <w:keepNext w:val="0"/>
              <w:keepLines w:val="0"/>
              <w:pageBreakBefore w:val="0"/>
              <w:widowControl w:val="0"/>
              <w:kinsoku/>
              <w:wordWrap/>
              <w:overflowPunct/>
              <w:topLinePunct w:val="0"/>
              <w:autoSpaceDE/>
              <w:autoSpaceDN/>
              <w:bidi w:val="0"/>
              <w:adjustRightInd/>
              <w:snapToGrid/>
              <w:spacing w:line="240" w:lineRule="auto"/>
              <w:jc w:val="left"/>
              <w:textAlignment w:val="auto"/>
              <w:outlineLvl w:val="2"/>
              <w:rPr>
                <w:rFonts w:hint="default"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kern w:val="2"/>
                <w:sz w:val="21"/>
                <w:szCs w:val="21"/>
                <w:highlight w:val="none"/>
                <w:lang w:val="en-US" w:eastAsia="zh-CN" w:bidi="ar-SA"/>
              </w:rPr>
              <w:t>有色金属光谱分析用有证标准物质或标准样品，其中元素扩展不确定度</w:t>
            </w:r>
            <w:r>
              <w:rPr>
                <w:rFonts w:hint="eastAsia" w:ascii="Times New Roman" w:hAnsi="Times New Roman" w:cs="Times New Roman"/>
                <w:b w:val="0"/>
                <w:bCs w:val="0"/>
                <w:i/>
                <w:iCs/>
                <w:sz w:val="21"/>
                <w:szCs w:val="21"/>
                <w:highlight w:val="none"/>
                <w:lang w:val="en-US" w:eastAsia="zh-CN"/>
              </w:rPr>
              <w:t>U</w:t>
            </w:r>
            <w:r>
              <w:rPr>
                <w:rFonts w:hint="eastAsia" w:ascii="Times New Roman" w:hAnsi="Times New Roman" w:eastAsia="宋体" w:cs="Times New Roman"/>
                <w:b w:val="0"/>
                <w:bCs w:val="0"/>
                <w:kern w:val="2"/>
                <w:sz w:val="21"/>
                <w:szCs w:val="21"/>
                <w:highlight w:val="none"/>
                <w:lang w:val="en-US" w:eastAsia="zh-CN" w:bidi="ar-SA"/>
              </w:rPr>
              <w:t>不大于0.0</w:t>
            </w:r>
            <w:r>
              <w:rPr>
                <w:rFonts w:hint="eastAsia" w:cs="Times New Roman"/>
                <w:b w:val="0"/>
                <w:bCs w:val="0"/>
                <w:kern w:val="2"/>
                <w:sz w:val="21"/>
                <w:szCs w:val="21"/>
                <w:highlight w:val="none"/>
                <w:lang w:val="en-US" w:eastAsia="zh-CN" w:bidi="ar-SA"/>
              </w:rPr>
              <w:t>5</w:t>
            </w:r>
            <w:r>
              <w:rPr>
                <w:rFonts w:hint="eastAsia" w:ascii="Times New Roman" w:hAnsi="Times New Roman" w:eastAsia="宋体" w:cs="Times New Roman"/>
                <w:b w:val="0"/>
                <w:bCs w:val="0"/>
                <w:kern w:val="2"/>
                <w:sz w:val="21"/>
                <w:szCs w:val="21"/>
                <w:highlight w:val="none"/>
                <w:lang w:val="en-US" w:eastAsia="zh-CN" w:bidi="ar-SA"/>
              </w:rPr>
              <w:t>%(</w:t>
            </w:r>
            <w:r>
              <w:rPr>
                <w:rFonts w:hint="eastAsia" w:ascii="Times New Roman" w:hAnsi="Times New Roman" w:eastAsia="宋体" w:cs="Times New Roman"/>
                <w:b w:val="0"/>
                <w:bCs w:val="0"/>
                <w:i/>
                <w:iCs/>
                <w:kern w:val="2"/>
                <w:sz w:val="21"/>
                <w:szCs w:val="21"/>
                <w:highlight w:val="none"/>
                <w:lang w:val="en-US" w:eastAsia="zh-CN" w:bidi="ar-SA"/>
              </w:rPr>
              <w:t>k</w:t>
            </w:r>
            <w:r>
              <w:rPr>
                <w:rFonts w:hint="eastAsia" w:ascii="Times New Roman" w:hAnsi="Times New Roman" w:eastAsia="宋体" w:cs="Times New Roman"/>
                <w:b w:val="0"/>
                <w:bCs w:val="0"/>
                <w:kern w:val="2"/>
                <w:sz w:val="21"/>
                <w:szCs w:val="21"/>
                <w:highlight w:val="none"/>
                <w:lang w:val="en-US" w:eastAsia="zh-CN" w:bidi="ar-SA"/>
              </w:rPr>
              <w:t>=2)</w:t>
            </w:r>
          </w:p>
        </w:tc>
        <w:tc>
          <w:tcPr>
            <w:tcW w:w="1889" w:type="dxa"/>
            <w:vAlign w:val="center"/>
          </w:tcPr>
          <w:p w14:paraId="566F40B9">
            <w:pPr>
              <w:pStyle w:val="39"/>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eastAsia"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t>波长示值误差</w:t>
            </w:r>
          </w:p>
          <w:p w14:paraId="74BE3311">
            <w:pPr>
              <w:pStyle w:val="39"/>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重复性</w:t>
            </w:r>
          </w:p>
          <w:p w14:paraId="600DB56B">
            <w:pPr>
              <w:pStyle w:val="39"/>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稳定性</w:t>
            </w:r>
          </w:p>
        </w:tc>
      </w:tr>
      <w:tr w14:paraId="537D4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exact"/>
          <w:jc w:val="center"/>
        </w:trPr>
        <w:tc>
          <w:tcPr>
            <w:tcW w:w="884" w:type="dxa"/>
            <w:vAlign w:val="center"/>
          </w:tcPr>
          <w:p w14:paraId="3B555311">
            <w:pPr>
              <w:pStyle w:val="39"/>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default" w:ascii="Times New Roman" w:hAnsi="Times New Roman" w:cs="Times New Roman"/>
                <w:b w:val="0"/>
                <w:bCs w:val="0"/>
                <w:sz w:val="21"/>
                <w:szCs w:val="21"/>
                <w:lang w:val="en-US" w:eastAsia="zh-CN"/>
              </w:rPr>
            </w:pPr>
            <w:r>
              <w:rPr>
                <w:rFonts w:hint="eastAsia" w:ascii="Times New Roman" w:hAnsi="Times New Roman" w:cs="Times New Roman"/>
                <w:b w:val="0"/>
                <w:bCs w:val="0"/>
                <w:sz w:val="21"/>
                <w:szCs w:val="21"/>
                <w:lang w:val="en-US" w:eastAsia="zh-CN"/>
              </w:rPr>
              <w:t>3</w:t>
            </w:r>
          </w:p>
        </w:tc>
        <w:tc>
          <w:tcPr>
            <w:tcW w:w="2001" w:type="dxa"/>
            <w:vAlign w:val="center"/>
          </w:tcPr>
          <w:p w14:paraId="6ED897E6">
            <w:pPr>
              <w:pStyle w:val="39"/>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default" w:ascii="Times New Roman" w:hAnsi="Times New Roman" w:eastAsia="宋体" w:cs="Times New Roman"/>
                <w:b w:val="0"/>
                <w:bCs w:val="0"/>
                <w:sz w:val="21"/>
                <w:szCs w:val="21"/>
                <w:lang w:val="en-US" w:eastAsia="zh-CN"/>
              </w:rPr>
            </w:pPr>
            <w:r>
              <w:rPr>
                <w:rFonts w:hint="eastAsia" w:ascii="Times New Roman" w:hAnsi="Times New Roman" w:cs="Times New Roman"/>
                <w:b w:val="0"/>
                <w:bCs w:val="0"/>
                <w:sz w:val="21"/>
                <w:szCs w:val="21"/>
                <w:lang w:val="en-US" w:eastAsia="zh-CN"/>
              </w:rPr>
              <w:t>厚度片</w:t>
            </w:r>
          </w:p>
        </w:tc>
        <w:tc>
          <w:tcPr>
            <w:tcW w:w="4950" w:type="dxa"/>
            <w:vAlign w:val="center"/>
          </w:tcPr>
          <w:p w14:paraId="04FAAD9E">
            <w:pPr>
              <w:pStyle w:val="39"/>
              <w:keepNext w:val="0"/>
              <w:keepLines w:val="0"/>
              <w:pageBreakBefore w:val="0"/>
              <w:widowControl w:val="0"/>
              <w:kinsoku/>
              <w:wordWrap/>
              <w:overflowPunct/>
              <w:topLinePunct w:val="0"/>
              <w:autoSpaceDE/>
              <w:autoSpaceDN/>
              <w:bidi w:val="0"/>
              <w:adjustRightInd/>
              <w:snapToGrid/>
              <w:spacing w:before="0" w:after="0" w:line="240" w:lineRule="auto"/>
              <w:jc w:val="left"/>
              <w:textAlignment w:val="auto"/>
              <w:outlineLvl w:val="9"/>
              <w:rPr>
                <w:rFonts w:hint="default" w:ascii="Times New Roman" w:hAnsi="Times New Roman" w:cs="Times New Roman"/>
                <w:b w:val="0"/>
                <w:bCs w:val="0"/>
                <w:sz w:val="21"/>
                <w:szCs w:val="21"/>
                <w:highlight w:val="none"/>
                <w:lang w:val="en-US" w:eastAsia="zh-CN"/>
              </w:rPr>
            </w:pPr>
            <w:r>
              <w:rPr>
                <w:rFonts w:hint="eastAsia" w:ascii="Times New Roman" w:hAnsi="Times New Roman" w:cs="Times New Roman"/>
                <w:b w:val="0"/>
                <w:bCs w:val="0"/>
                <w:sz w:val="21"/>
                <w:szCs w:val="21"/>
                <w:highlight w:val="none"/>
                <w:lang w:val="en-US" w:eastAsia="zh-CN"/>
              </w:rPr>
              <w:t>铜基镀锡厚度片（或其他基体厚度片），</w:t>
            </w:r>
            <w:r>
              <w:rPr>
                <w:rFonts w:hint="eastAsia" w:ascii="Times New Roman" w:hAnsi="Times New Roman" w:eastAsia="宋体" w:cs="Times New Roman"/>
                <w:b w:val="0"/>
                <w:bCs w:val="0"/>
                <w:kern w:val="2"/>
                <w:sz w:val="21"/>
                <w:szCs w:val="21"/>
                <w:highlight w:val="none"/>
                <w:lang w:val="en-US" w:eastAsia="zh-CN" w:bidi="ar-SA"/>
              </w:rPr>
              <w:t>厚度</w:t>
            </w:r>
            <w:r>
              <w:rPr>
                <w:rFonts w:hint="default" w:ascii="宋体" w:hAnsi="宋体" w:eastAsia="宋体" w:cs="宋体"/>
                <w:sz w:val="21"/>
                <w:szCs w:val="21"/>
                <w:highlight w:val="none"/>
                <w:u w:val="none"/>
                <w:lang w:val="en-US" w:eastAsia="zh-CN"/>
              </w:rPr>
              <w:t>≤</w:t>
            </w:r>
            <w:r>
              <w:rPr>
                <w:rFonts w:hint="default" w:ascii="Times New Roman" w:hAnsi="Times New Roman" w:eastAsia="宋体" w:cs="Times New Roman"/>
                <w:b w:val="0"/>
                <w:bCs w:val="0"/>
                <w:kern w:val="2"/>
                <w:sz w:val="21"/>
                <w:szCs w:val="21"/>
                <w:highlight w:val="none"/>
                <w:lang w:val="en-US" w:eastAsia="zh-CN" w:bidi="ar-SA"/>
              </w:rPr>
              <w:t>20μm</w:t>
            </w:r>
            <w:r>
              <w:rPr>
                <w:rFonts w:hint="eastAsia" w:ascii="Times New Roman" w:hAnsi="Times New Roman" w:cs="Times New Roman"/>
                <w:b w:val="0"/>
                <w:bCs w:val="0"/>
                <w:kern w:val="2"/>
                <w:sz w:val="21"/>
                <w:szCs w:val="21"/>
                <w:highlight w:val="none"/>
                <w:lang w:val="en-US" w:eastAsia="zh-CN" w:bidi="ar-SA"/>
              </w:rPr>
              <w:t>；或镀层厚度均匀的</w:t>
            </w:r>
            <w:r>
              <w:rPr>
                <w:rFonts w:hint="eastAsia" w:ascii="Times New Roman" w:hAnsi="Times New Roman" w:cs="Times New Roman"/>
                <w:b w:val="0"/>
                <w:bCs w:val="0"/>
                <w:sz w:val="21"/>
                <w:szCs w:val="21"/>
                <w:highlight w:val="none"/>
                <w:lang w:val="en-US" w:eastAsia="zh-CN"/>
              </w:rPr>
              <w:t>铜基镀锡样品（或其他基体含镀层样品）</w:t>
            </w:r>
          </w:p>
        </w:tc>
        <w:tc>
          <w:tcPr>
            <w:tcW w:w="1889" w:type="dxa"/>
            <w:vAlign w:val="center"/>
          </w:tcPr>
          <w:p w14:paraId="413E2327">
            <w:pPr>
              <w:pStyle w:val="39"/>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深度测量</w:t>
            </w:r>
          </w:p>
          <w:p w14:paraId="087228AE">
            <w:pPr>
              <w:pStyle w:val="39"/>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default"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重复性</w:t>
            </w:r>
          </w:p>
        </w:tc>
      </w:tr>
    </w:tbl>
    <w:p w14:paraId="46EDCC1C">
      <w:pPr>
        <w:keepNext w:val="0"/>
        <w:keepLines w:val="0"/>
        <w:pageBreakBefore w:val="0"/>
        <w:widowControl w:val="0"/>
        <w:kinsoku/>
        <w:wordWrap/>
        <w:overflowPunct/>
        <w:topLinePunct w:val="0"/>
        <w:autoSpaceDE/>
        <w:autoSpaceDN/>
        <w:bidi w:val="0"/>
        <w:adjustRightInd/>
        <w:snapToGrid/>
        <w:spacing w:line="360" w:lineRule="auto"/>
        <w:textAlignment w:val="auto"/>
        <w:outlineLvl w:val="2"/>
        <w:rPr>
          <w:rFonts w:hint="eastAsia" w:ascii="宋体" w:hAnsi="宋体" w:eastAsia="宋体" w:cs="宋体"/>
          <w:b w:val="0"/>
          <w:bCs w:val="0"/>
          <w:color w:val="auto"/>
          <w:sz w:val="21"/>
          <w:szCs w:val="21"/>
          <w:lang w:val="en-US" w:eastAsia="zh-CN"/>
        </w:rPr>
      </w:pPr>
      <w:r>
        <w:rPr>
          <w:rFonts w:hint="eastAsia"/>
          <w:color w:val="auto"/>
          <w:sz w:val="21"/>
          <w:szCs w:val="21"/>
          <w:highlight w:val="none"/>
          <w:lang w:val="en-US" w:eastAsia="zh-CN"/>
        </w:rPr>
        <w:t xml:space="preserve">5.2.2 </w:t>
      </w:r>
      <w:r>
        <w:rPr>
          <w:rFonts w:hint="eastAsia" w:cs="Times New Roman"/>
          <w:sz w:val="21"/>
          <w:szCs w:val="21"/>
          <w:highlight w:val="none"/>
          <w:lang w:val="en-US" w:eastAsia="zh-CN"/>
        </w:rPr>
        <w:t>校准辉光放电发射光谱仪时，针对Cu、Al、Zn等有色金属基体材料，优先选用本规程附录A所列推荐的标准物质或标准样品开展校准工作。若无适配样品，亦可选取基体组成相近的标准物质或标准样品，严格依照本规程规定的各项技术指标与校准要求实施校准，校准所用标样不受附录A所列范围限制。</w:t>
      </w:r>
    </w:p>
    <w:p w14:paraId="39DB2058">
      <w:pPr>
        <w:keepNext w:val="0"/>
        <w:keepLines w:val="0"/>
        <w:pageBreakBefore w:val="0"/>
        <w:kinsoku/>
        <w:wordWrap/>
        <w:overflowPunct/>
        <w:topLinePunct w:val="0"/>
        <w:bidi w:val="0"/>
        <w:adjustRightInd/>
        <w:snapToGrid/>
        <w:spacing w:line="360" w:lineRule="auto"/>
        <w:textAlignment w:val="auto"/>
        <w:outlineLvl w:val="0"/>
        <w:rPr>
          <w:rFonts w:hint="eastAsia" w:ascii="黑体" w:hAnsi="黑体" w:eastAsia="黑体" w:cs="黑体"/>
          <w:sz w:val="21"/>
          <w:szCs w:val="21"/>
        </w:rPr>
      </w:pPr>
      <w:r>
        <w:rPr>
          <w:rFonts w:hint="eastAsia" w:ascii="黑体" w:hAnsi="黑体" w:eastAsia="黑体" w:cs="黑体"/>
          <w:b w:val="0"/>
          <w:bCs/>
          <w:kern w:val="0"/>
          <w:sz w:val="21"/>
          <w:szCs w:val="21"/>
        </w:rPr>
        <w:t xml:space="preserve">6 </w:t>
      </w:r>
      <w:r>
        <w:rPr>
          <w:rStyle w:val="325"/>
          <w:rFonts w:hint="eastAsia" w:ascii="黑体" w:hAnsi="黑体" w:eastAsia="黑体" w:cs="黑体"/>
          <w:b w:val="0"/>
          <w:bCs/>
          <w:sz w:val="21"/>
          <w:szCs w:val="21"/>
        </w:rPr>
        <w:t>校准项目和校准方法</w:t>
      </w:r>
    </w:p>
    <w:p w14:paraId="7C8069B1">
      <w:pPr>
        <w:pStyle w:val="60"/>
        <w:keepNext w:val="0"/>
        <w:keepLines w:val="0"/>
        <w:pageBreakBefore w:val="0"/>
        <w:kinsoku/>
        <w:wordWrap/>
        <w:overflowPunct/>
        <w:topLinePunct w:val="0"/>
        <w:bidi w:val="0"/>
        <w:adjustRightInd/>
        <w:snapToGrid/>
        <w:spacing w:line="360" w:lineRule="auto"/>
        <w:ind w:firstLine="0" w:firstLineChars="0"/>
        <w:textAlignment w:val="auto"/>
        <w:outlineLvl w:val="1"/>
        <w:rPr>
          <w:rFonts w:hint="eastAsia" w:ascii="Times New Roman"/>
          <w:sz w:val="21"/>
          <w:szCs w:val="21"/>
        </w:rPr>
      </w:pPr>
      <w:r>
        <w:rPr>
          <w:rFonts w:hint="eastAsia" w:ascii="Times New Roman"/>
          <w:sz w:val="21"/>
          <w:szCs w:val="21"/>
        </w:rPr>
        <w:t>6.1 校准项目</w:t>
      </w:r>
    </w:p>
    <w:p w14:paraId="4E0BE2D5">
      <w:pPr>
        <w:pStyle w:val="60"/>
        <w:keepNext w:val="0"/>
        <w:keepLines w:val="0"/>
        <w:pageBreakBefore w:val="0"/>
        <w:widowControl/>
        <w:kinsoku/>
        <w:wordWrap/>
        <w:overflowPunct/>
        <w:topLinePunct w:val="0"/>
        <w:autoSpaceDE w:val="0"/>
        <w:autoSpaceDN w:val="0"/>
        <w:bidi w:val="0"/>
        <w:adjustRightInd/>
        <w:snapToGrid/>
        <w:spacing w:line="360" w:lineRule="auto"/>
        <w:ind w:firstLine="420" w:firstLineChars="200"/>
        <w:textAlignment w:val="auto"/>
        <w:outlineLvl w:val="9"/>
        <w:rPr>
          <w:rFonts w:hint="eastAsia" w:ascii="Times New Roman"/>
          <w:sz w:val="21"/>
          <w:szCs w:val="21"/>
          <w:lang w:val="en-US" w:eastAsia="zh-CN"/>
        </w:rPr>
      </w:pPr>
      <w:r>
        <w:rPr>
          <w:rFonts w:hint="eastAsia" w:ascii="Times New Roman"/>
          <w:sz w:val="21"/>
          <w:szCs w:val="21"/>
          <w:highlight w:val="none"/>
          <w:lang w:val="en-US" w:eastAsia="zh-CN"/>
        </w:rPr>
        <w:t>检出限、波长</w:t>
      </w:r>
      <w:r>
        <w:rPr>
          <w:rFonts w:hint="eastAsia" w:ascii="Times New Roman"/>
          <w:strike w:val="0"/>
          <w:dstrike w:val="0"/>
          <w:sz w:val="21"/>
          <w:szCs w:val="21"/>
          <w:highlight w:val="none"/>
          <w:lang w:val="en-US" w:eastAsia="zh-CN"/>
        </w:rPr>
        <w:t>示值误差</w:t>
      </w:r>
      <w:r>
        <w:rPr>
          <w:rFonts w:hint="eastAsia" w:ascii="Times New Roman"/>
          <w:sz w:val="21"/>
          <w:szCs w:val="21"/>
          <w:highlight w:val="none"/>
          <w:lang w:val="en-US" w:eastAsia="zh-CN"/>
        </w:rPr>
        <w:t>、重复性、深</w:t>
      </w:r>
      <w:r>
        <w:rPr>
          <w:rFonts w:hint="eastAsia" w:ascii="Times New Roman"/>
          <w:sz w:val="21"/>
          <w:szCs w:val="21"/>
          <w:lang w:val="en-US" w:eastAsia="zh-CN"/>
        </w:rPr>
        <w:t>度测量重复性。</w:t>
      </w:r>
    </w:p>
    <w:p w14:paraId="43D06765">
      <w:pPr>
        <w:pStyle w:val="60"/>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textAlignment w:val="auto"/>
        <w:outlineLvl w:val="1"/>
        <w:rPr>
          <w:rFonts w:ascii="Times New Roman"/>
          <w:sz w:val="21"/>
          <w:szCs w:val="21"/>
        </w:rPr>
      </w:pPr>
      <w:r>
        <w:rPr>
          <w:rFonts w:hint="eastAsia" w:ascii="Times New Roman"/>
          <w:sz w:val="21"/>
          <w:szCs w:val="21"/>
        </w:rPr>
        <w:t>6</w:t>
      </w:r>
      <w:r>
        <w:rPr>
          <w:rFonts w:ascii="Times New Roman"/>
          <w:sz w:val="21"/>
          <w:szCs w:val="21"/>
        </w:rPr>
        <w:t>.</w:t>
      </w:r>
      <w:r>
        <w:rPr>
          <w:rFonts w:hint="eastAsia" w:ascii="Times New Roman"/>
          <w:sz w:val="21"/>
          <w:szCs w:val="21"/>
        </w:rPr>
        <w:t>2</w:t>
      </w:r>
      <w:r>
        <w:rPr>
          <w:rFonts w:ascii="Times New Roman"/>
          <w:sz w:val="21"/>
          <w:szCs w:val="21"/>
        </w:rPr>
        <w:t xml:space="preserve"> 校准方法</w:t>
      </w:r>
    </w:p>
    <w:p w14:paraId="4A108B13">
      <w:pPr>
        <w:pStyle w:val="60"/>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textAlignment w:val="auto"/>
        <w:outlineLvl w:val="2"/>
        <w:rPr>
          <w:rFonts w:hint="default" w:ascii="Times New Roman"/>
          <w:sz w:val="21"/>
          <w:szCs w:val="21"/>
          <w:lang w:val="en-US" w:eastAsia="zh-CN"/>
        </w:rPr>
      </w:pPr>
      <w:r>
        <w:rPr>
          <w:rFonts w:hint="eastAsia" w:ascii="Times New Roman"/>
          <w:sz w:val="21"/>
          <w:szCs w:val="21"/>
          <w:lang w:val="en-US" w:eastAsia="zh-CN"/>
        </w:rPr>
        <w:t>6.2.1 校准前准备</w:t>
      </w:r>
    </w:p>
    <w:p w14:paraId="1C967C87">
      <w:pPr>
        <w:pStyle w:val="60"/>
        <w:keepNext w:val="0"/>
        <w:keepLines w:val="0"/>
        <w:pageBreakBefore w:val="0"/>
        <w:kinsoku/>
        <w:wordWrap/>
        <w:overflowPunct/>
        <w:topLinePunct w:val="0"/>
        <w:bidi w:val="0"/>
        <w:adjustRightInd/>
        <w:snapToGrid/>
        <w:spacing w:line="360" w:lineRule="auto"/>
        <w:ind w:left="0" w:leftChars="0" w:firstLine="420" w:firstLineChars="200"/>
        <w:textAlignment w:val="auto"/>
        <w:outlineLvl w:val="1"/>
        <w:rPr>
          <w:rFonts w:hint="eastAsia" w:ascii="Times New Roman"/>
          <w:sz w:val="21"/>
          <w:szCs w:val="21"/>
          <w:highlight w:val="none"/>
        </w:rPr>
      </w:pPr>
      <w:r>
        <w:rPr>
          <w:rFonts w:hint="eastAsia" w:asciiTheme="minorEastAsia" w:hAnsiTheme="minorEastAsia" w:eastAsiaTheme="minorEastAsia"/>
          <w:sz w:val="21"/>
          <w:szCs w:val="21"/>
          <w:highlight w:val="none"/>
        </w:rPr>
        <w:t>目视检查仪器外观</w:t>
      </w:r>
      <w:r>
        <w:rPr>
          <w:rFonts w:hint="default" w:ascii="Times New Roman"/>
          <w:sz w:val="21"/>
          <w:szCs w:val="21"/>
          <w:highlight w:val="none"/>
          <w:lang w:val="en-US" w:eastAsia="zh-CN"/>
        </w:rPr>
        <w:t>和铭牌</w:t>
      </w:r>
      <w:r>
        <w:rPr>
          <w:rFonts w:hint="eastAsia" w:asciiTheme="minorEastAsia" w:hAnsiTheme="minorEastAsia" w:eastAsiaTheme="minorEastAsia"/>
          <w:sz w:val="21"/>
          <w:szCs w:val="21"/>
          <w:highlight w:val="none"/>
          <w:lang w:eastAsia="zh-CN"/>
        </w:rPr>
        <w:t>，</w:t>
      </w:r>
      <w:r>
        <w:rPr>
          <w:rFonts w:hint="eastAsia" w:ascii="Times New Roman"/>
          <w:sz w:val="21"/>
          <w:szCs w:val="21"/>
          <w:highlight w:val="none"/>
          <w:lang w:val="en-US" w:eastAsia="zh-CN"/>
        </w:rPr>
        <w:t>应有仪器名称、型号、制造厂商、出厂编号与出厂日期；</w:t>
      </w:r>
      <w:r>
        <w:rPr>
          <w:rFonts w:hint="default" w:ascii="Times New Roman"/>
          <w:sz w:val="21"/>
          <w:szCs w:val="21"/>
          <w:highlight w:val="none"/>
          <w:lang w:val="en-US" w:eastAsia="zh-CN"/>
        </w:rPr>
        <w:t>接通电源检查设备</w:t>
      </w:r>
      <w:r>
        <w:rPr>
          <w:rFonts w:hint="eastAsia" w:ascii="Times New Roman"/>
          <w:sz w:val="21"/>
          <w:szCs w:val="21"/>
          <w:highlight w:val="none"/>
          <w:lang w:val="en-US" w:eastAsia="zh-CN"/>
        </w:rPr>
        <w:t>（</w:t>
      </w:r>
      <w:r>
        <w:rPr>
          <w:rFonts w:hint="default" w:ascii="Times New Roman"/>
          <w:sz w:val="21"/>
          <w:szCs w:val="21"/>
          <w:highlight w:val="none"/>
          <w:lang w:val="en-US" w:eastAsia="zh-CN"/>
        </w:rPr>
        <w:t>含附件</w:t>
      </w:r>
      <w:r>
        <w:rPr>
          <w:rFonts w:hint="eastAsia" w:ascii="Times New Roman"/>
          <w:sz w:val="21"/>
          <w:szCs w:val="21"/>
          <w:highlight w:val="none"/>
          <w:lang w:val="en-US" w:eastAsia="zh-CN"/>
        </w:rPr>
        <w:t>）、</w:t>
      </w:r>
      <w:r>
        <w:rPr>
          <w:rFonts w:hint="default" w:ascii="Times New Roman"/>
          <w:sz w:val="21"/>
          <w:szCs w:val="21"/>
          <w:highlight w:val="none"/>
          <w:lang w:val="en-US" w:eastAsia="zh-CN"/>
        </w:rPr>
        <w:t>测试软件</w:t>
      </w:r>
      <w:r>
        <w:rPr>
          <w:rFonts w:hint="eastAsia" w:ascii="Times New Roman"/>
          <w:sz w:val="21"/>
          <w:szCs w:val="21"/>
          <w:highlight w:val="none"/>
          <w:lang w:val="en-US" w:eastAsia="zh-CN"/>
        </w:rPr>
        <w:t>、</w:t>
      </w:r>
      <w:r>
        <w:rPr>
          <w:rFonts w:hint="default" w:ascii="Times New Roman"/>
          <w:sz w:val="21"/>
          <w:szCs w:val="21"/>
          <w:highlight w:val="none"/>
          <w:lang w:val="en-US" w:eastAsia="zh-CN"/>
        </w:rPr>
        <w:t>压力表、气路密闭性等运行正常</w:t>
      </w:r>
      <w:r>
        <w:rPr>
          <w:rFonts w:hint="eastAsia" w:ascii="Times New Roman"/>
          <w:sz w:val="21"/>
          <w:szCs w:val="21"/>
          <w:highlight w:val="none"/>
          <w:lang w:val="en-US" w:eastAsia="zh-CN"/>
        </w:rPr>
        <w:t>后，</w:t>
      </w:r>
      <w:r>
        <w:rPr>
          <w:rFonts w:hint="eastAsia" w:ascii="Times New Roman"/>
          <w:sz w:val="21"/>
          <w:szCs w:val="21"/>
          <w:highlight w:val="none"/>
        </w:rPr>
        <w:t>按仪器说明书要求</w:t>
      </w:r>
      <w:r>
        <w:rPr>
          <w:rFonts w:hint="eastAsia" w:ascii="Times New Roman" w:cs="Times New Roman"/>
          <w:sz w:val="21"/>
          <w:szCs w:val="21"/>
          <w:highlight w:val="none"/>
          <w:lang w:val="en-US" w:eastAsia="zh-CN"/>
        </w:rPr>
        <w:t>开机，仪器要求通电2h以上，紫外通道光室高纯氮气吹扫；长期停机需要24h高纯氮气吹扫，否则波长、强度漂移，使测光系统工作稳定</w:t>
      </w:r>
      <w:r>
        <w:rPr>
          <w:rFonts w:hint="eastAsia" w:ascii="Times New Roman"/>
          <w:sz w:val="21"/>
          <w:szCs w:val="21"/>
          <w:highlight w:val="none"/>
        </w:rPr>
        <w:t>，仪器参数设置见</w:t>
      </w:r>
      <w:r>
        <w:rPr>
          <w:rFonts w:hint="eastAsia" w:ascii="Times New Roman"/>
          <w:sz w:val="21"/>
          <w:szCs w:val="21"/>
          <w:highlight w:val="none"/>
          <w:lang w:val="en-US" w:eastAsia="zh-CN"/>
        </w:rPr>
        <w:t>附录B</w:t>
      </w:r>
      <w:r>
        <w:rPr>
          <w:rFonts w:hint="eastAsia" w:ascii="Times New Roman"/>
          <w:sz w:val="21"/>
          <w:szCs w:val="21"/>
          <w:highlight w:val="none"/>
        </w:rPr>
        <w:t>。</w:t>
      </w:r>
    </w:p>
    <w:p w14:paraId="3E6E0B3D">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outlineLvl w:val="2"/>
        <w:rPr>
          <w:rFonts w:hint="eastAsia" w:ascii="Times New Roman" w:cs="Times New Roman"/>
          <w:sz w:val="21"/>
          <w:szCs w:val="21"/>
          <w:highlight w:val="none"/>
          <w:lang w:val="en-US" w:eastAsia="zh-CN"/>
        </w:rPr>
      </w:pPr>
      <w:r>
        <w:rPr>
          <w:rFonts w:hint="eastAsia" w:ascii="Times New Roman" w:cs="Times New Roman"/>
          <w:sz w:val="21"/>
          <w:szCs w:val="21"/>
          <w:highlight w:val="none"/>
          <w:lang w:val="en-US" w:eastAsia="zh-CN"/>
        </w:rPr>
        <w:t>6.2.2 检出限</w:t>
      </w:r>
    </w:p>
    <w:p w14:paraId="70E5BD69">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outlineLvl w:val="2"/>
        <w:rPr>
          <w:rFonts w:hint="default" w:ascii="Times New Roman" w:cs="Times New Roman"/>
          <w:sz w:val="21"/>
          <w:szCs w:val="21"/>
          <w:highlight w:val="none"/>
          <w:lang w:val="en-US" w:eastAsia="zh-CN"/>
        </w:rPr>
      </w:pPr>
      <w:r>
        <w:rPr>
          <w:rFonts w:hint="eastAsia" w:ascii="Times New Roman" w:cs="Times New Roman"/>
          <w:sz w:val="21"/>
          <w:szCs w:val="21"/>
          <w:highlight w:val="none"/>
          <w:lang w:val="en-US" w:eastAsia="zh-CN"/>
        </w:rPr>
        <w:t>在仪器正常工作条件下，调取相应基体工作程序，按表1范围选择附录A中高纯</w:t>
      </w:r>
      <w:r>
        <w:rPr>
          <w:rFonts w:hint="default" w:ascii="Times New Roman" w:cs="Times New Roman"/>
          <w:sz w:val="21"/>
          <w:szCs w:val="21"/>
          <w:highlight w:val="none"/>
          <w:lang w:val="en-US" w:eastAsia="zh-CN"/>
        </w:rPr>
        <w:t>光谱分析标准物质</w:t>
      </w:r>
      <w:r>
        <w:rPr>
          <w:rFonts w:hint="eastAsia" w:ascii="Times New Roman" w:cs="Times New Roman"/>
          <w:sz w:val="21"/>
          <w:szCs w:val="21"/>
          <w:highlight w:val="none"/>
          <w:lang w:val="en-US" w:eastAsia="zh-CN"/>
        </w:rPr>
        <w:t>或标准样品，</w:t>
      </w:r>
      <w:r>
        <w:rPr>
          <w:rFonts w:hint="default" w:ascii="Times New Roman" w:cs="Times New Roman"/>
          <w:sz w:val="21"/>
          <w:szCs w:val="21"/>
          <w:highlight w:val="none"/>
          <w:lang w:val="en-US" w:eastAsia="zh-CN"/>
        </w:rPr>
        <w:t>连续</w:t>
      </w:r>
      <w:r>
        <w:rPr>
          <w:rFonts w:hint="eastAsia" w:ascii="Times New Roman" w:cs="Times New Roman"/>
          <w:sz w:val="21"/>
          <w:szCs w:val="21"/>
          <w:highlight w:val="none"/>
          <w:lang w:val="en-US" w:eastAsia="zh-CN"/>
        </w:rPr>
        <w:t>溅射</w:t>
      </w:r>
      <w:r>
        <w:rPr>
          <w:rFonts w:hint="default" w:ascii="Times New Roman" w:cs="Times New Roman"/>
          <w:sz w:val="21"/>
          <w:szCs w:val="21"/>
          <w:highlight w:val="none"/>
          <w:lang w:val="en-US" w:eastAsia="zh-CN"/>
        </w:rPr>
        <w:t>10次，</w:t>
      </w:r>
      <w:r>
        <w:rPr>
          <w:rFonts w:hint="eastAsia" w:ascii="Times New Roman" w:hAnsi="Times New Roman" w:cs="宋体"/>
          <w:color w:val="auto"/>
          <w:kern w:val="0"/>
          <w:sz w:val="21"/>
          <w:szCs w:val="21"/>
          <w:lang w:val="en-US" w:eastAsia="zh-CN"/>
        </w:rPr>
        <w:t>根据</w:t>
      </w:r>
      <w:r>
        <w:rPr>
          <w:rFonts w:hint="eastAsia" w:ascii="Times New Roman" w:cs="宋体"/>
          <w:color w:val="auto"/>
          <w:kern w:val="0"/>
          <w:sz w:val="21"/>
          <w:szCs w:val="21"/>
          <w:lang w:val="en-US" w:eastAsia="zh-CN"/>
        </w:rPr>
        <w:t>校准需要选择代表性元素</w:t>
      </w:r>
      <w:r>
        <w:rPr>
          <w:rFonts w:hint="eastAsia" w:ascii="Times New Roman" w:hAnsi="Times New Roman" w:cs="宋体"/>
          <w:color w:val="auto"/>
          <w:kern w:val="0"/>
          <w:sz w:val="21"/>
          <w:szCs w:val="21"/>
          <w:lang w:val="en-US" w:eastAsia="zh-CN"/>
        </w:rPr>
        <w:t>，</w:t>
      </w:r>
      <w:r>
        <w:rPr>
          <w:rFonts w:hint="eastAsia" w:ascii="Times New Roman" w:cs="Times New Roman"/>
          <w:sz w:val="21"/>
          <w:szCs w:val="21"/>
          <w:highlight w:val="none"/>
          <w:lang w:val="en-US" w:eastAsia="zh-CN"/>
        </w:rPr>
        <w:t>按式（1）和式（2），分别计算</w:t>
      </w:r>
      <w:r>
        <w:rPr>
          <w:rFonts w:hint="default" w:ascii="Times New Roman" w:cs="Times New Roman"/>
          <w:sz w:val="21"/>
          <w:szCs w:val="21"/>
          <w:highlight w:val="none"/>
          <w:lang w:val="en-US" w:eastAsia="zh-CN"/>
        </w:rPr>
        <w:t>标准偏差</w:t>
      </w:r>
      <w:r>
        <w:rPr>
          <w:rFonts w:hint="eastAsia" w:ascii="Times New Roman" w:cs="Times New Roman"/>
          <w:sz w:val="21"/>
          <w:szCs w:val="21"/>
          <w:highlight w:val="none"/>
          <w:lang w:val="en-US" w:eastAsia="zh-CN"/>
        </w:rPr>
        <w:t>及</w:t>
      </w:r>
      <w:r>
        <w:rPr>
          <w:rFonts w:hint="default" w:ascii="Times New Roman" w:cs="Times New Roman"/>
          <w:sz w:val="21"/>
          <w:szCs w:val="21"/>
          <w:highlight w:val="none"/>
          <w:lang w:val="en-US" w:eastAsia="zh-CN"/>
        </w:rPr>
        <w:t>检出限。</w:t>
      </w:r>
    </w:p>
    <w:p w14:paraId="130A4FB4">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center"/>
        <w:textAlignment w:val="auto"/>
        <w:rPr>
          <w:rFonts w:hint="eastAsia" w:ascii="Times New Roman" w:hAnsi="Times New Roman" w:cs="Times New Roman"/>
          <w:i w:val="0"/>
          <w:iCs/>
          <w:sz w:val="21"/>
          <w:szCs w:val="21"/>
          <w:highlight w:val="none"/>
          <w:lang w:val="en-US" w:eastAsia="zh-CN" w:bidi="ar-SA"/>
        </w:rPr>
      </w:pPr>
      <w:r>
        <w:rPr>
          <w:rFonts w:hint="eastAsia" w:hAnsi="Cambria Math" w:cs="Times New Roman"/>
          <w:i w:val="0"/>
          <w:sz w:val="21"/>
          <w:szCs w:val="21"/>
          <w:highlight w:val="none"/>
          <w:lang w:val="en-US" w:eastAsia="zh-CN" w:bidi="ar-SA"/>
        </w:rPr>
        <w:t xml:space="preserve">                                   </w:t>
      </w:r>
      <w:r>
        <w:rPr>
          <w:rFonts w:hint="eastAsia" w:hAnsi="Cambria Math" w:cs="Times New Roman"/>
          <w:i w:val="0"/>
          <w:iCs/>
          <w:sz w:val="21"/>
          <w:szCs w:val="21"/>
          <w:highlight w:val="none"/>
          <w:lang w:val="en-US" w:eastAsia="zh-CN" w:bidi="ar-SA"/>
        </w:rPr>
        <w:t xml:space="preserve"> </w:t>
      </w:r>
      <w:r>
        <w:rPr>
          <w:rFonts w:hint="eastAsia" w:hAnsi="Cambria Math" w:cs="Times New Roman"/>
          <w:i w:val="0"/>
          <w:iCs/>
          <w:position w:val="-26"/>
          <w:sz w:val="21"/>
          <w:szCs w:val="21"/>
          <w:highlight w:val="none"/>
          <w:lang w:val="en-US" w:eastAsia="zh-CN" w:bidi="ar-SA"/>
        </w:rPr>
        <w:object>
          <v:shape id="_x0000_i1033" o:spt="75" type="#_x0000_t75" style="height:40pt;width:95pt;" o:ole="t" filled="f" o:preferrelative="t" stroked="f" coordsize="21600,21600">
            <v:path/>
            <v:fill on="f" focussize="0,0"/>
            <v:stroke on="f"/>
            <v:imagedata r:id="rId9" o:title=""/>
            <o:lock v:ext="edit" aspectratio="t"/>
            <w10:wrap type="none"/>
            <w10:anchorlock/>
          </v:shape>
          <o:OLEObject Type="Embed" ProgID="Equation.KSEE3" ShapeID="_x0000_i1033" DrawAspect="Content" ObjectID="_1468075725" r:id="rId8">
            <o:LockedField>false</o:LockedField>
          </o:OLEObject>
        </w:object>
      </w:r>
      <w:r>
        <w:rPr>
          <w:rFonts w:hint="eastAsia" w:hAnsi="Cambria Math" w:cs="Times New Roman"/>
          <w:i w:val="0"/>
          <w:iCs/>
          <w:sz w:val="21"/>
          <w:szCs w:val="21"/>
          <w:highlight w:val="none"/>
          <w:lang w:val="en-US" w:eastAsia="zh-CN" w:bidi="ar-SA"/>
        </w:rPr>
        <w:t xml:space="preserve">                      </w:t>
      </w:r>
      <w:r>
        <w:rPr>
          <w:rFonts w:hint="eastAsia" w:ascii="Times New Roman" w:cs="Times New Roman"/>
          <w:sz w:val="21"/>
          <w:szCs w:val="21"/>
          <w:highlight w:val="none"/>
          <w:lang w:val="en-US" w:eastAsia="zh-CN"/>
        </w:rPr>
        <w:t>(1)</w:t>
      </w:r>
    </w:p>
    <w:p w14:paraId="2BD4AA87">
      <w:pPr>
        <w:pStyle w:val="60"/>
        <w:keepNext w:val="0"/>
        <w:keepLines w:val="0"/>
        <w:pageBreakBefore w:val="0"/>
        <w:widowControl/>
        <w:kinsoku/>
        <w:wordWrap/>
        <w:overflowPunct/>
        <w:topLinePunct w:val="0"/>
        <w:autoSpaceDE w:val="0"/>
        <w:autoSpaceDN w:val="0"/>
        <w:bidi w:val="0"/>
        <w:adjustRightInd/>
        <w:snapToGrid/>
        <w:spacing w:line="360" w:lineRule="auto"/>
        <w:ind w:left="0" w:leftChars="0" w:firstLine="420" w:firstLineChars="200"/>
        <w:jc w:val="left"/>
        <w:textAlignment w:val="auto"/>
        <w:rPr>
          <w:rFonts w:hint="eastAsia" w:hAnsi="宋体" w:eastAsia="宋体" w:cs="宋体"/>
          <w:sz w:val="21"/>
          <w:szCs w:val="21"/>
          <w:highlight w:val="none"/>
          <w:lang w:val="en-US" w:eastAsia="zh-CN"/>
        </w:rPr>
      </w:pPr>
      <w:r>
        <w:rPr>
          <w:rFonts w:hint="eastAsia" w:hAnsi="宋体" w:eastAsia="宋体" w:cs="宋体"/>
          <w:sz w:val="21"/>
          <w:szCs w:val="21"/>
          <w:highlight w:val="none"/>
          <w:lang w:val="en-US" w:eastAsia="zh-CN"/>
        </w:rPr>
        <w:t>式中：</w:t>
      </w:r>
    </w:p>
    <w:p w14:paraId="5F2869E4">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eastAsia" w:ascii="Times New Roman" w:hAnsi="Times New Roman" w:eastAsia="宋体" w:cs="Times New Roman"/>
          <w:i w:val="0"/>
          <w:iCs w:val="0"/>
          <w:sz w:val="21"/>
          <w:szCs w:val="21"/>
          <w:highlight w:val="none"/>
          <w:lang w:val="en-US" w:eastAsia="zh-CN"/>
        </w:rPr>
      </w:pPr>
      <w:r>
        <w:rPr>
          <w:rFonts w:hint="eastAsia" w:ascii="Times New Roman" w:cs="Times New Roman"/>
          <w:i/>
          <w:iCs/>
          <w:sz w:val="21"/>
          <w:szCs w:val="21"/>
          <w:lang w:val="en-US" w:eastAsia="zh-CN"/>
        </w:rPr>
        <w:t>s</w:t>
      </w:r>
      <w:r>
        <w:rPr>
          <w:sz w:val="21"/>
          <w:szCs w:val="21"/>
        </w:rPr>
        <w:t>——</w:t>
      </w:r>
      <w:r>
        <w:rPr>
          <w:rFonts w:hint="eastAsia" w:ascii="Times New Roman" w:cs="Times New Roman"/>
          <w:sz w:val="21"/>
          <w:szCs w:val="21"/>
          <w:highlight w:val="none"/>
          <w:lang w:val="en-US" w:eastAsia="zh-CN"/>
        </w:rPr>
        <w:t>标准偏差</w:t>
      </w:r>
      <w:r>
        <w:rPr>
          <w:rFonts w:hint="eastAsia" w:ascii="Times New Roman" w:hAnsi="Times New Roman" w:eastAsia="宋体" w:cs="Times New Roman"/>
          <w:i w:val="0"/>
          <w:iCs w:val="0"/>
          <w:sz w:val="21"/>
          <w:szCs w:val="21"/>
          <w:highlight w:val="none"/>
          <w:lang w:val="en-US" w:eastAsia="zh-CN"/>
        </w:rPr>
        <w:t>；</w:t>
      </w:r>
    </w:p>
    <w:p w14:paraId="6398384D">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eastAsia" w:ascii="Times New Roman" w:hAnsi="Times New Roman" w:eastAsia="宋体" w:cs="Times New Roman"/>
          <w:i w:val="0"/>
          <w:iCs w:val="0"/>
          <w:sz w:val="21"/>
          <w:szCs w:val="21"/>
          <w:highlight w:val="none"/>
          <w:lang w:val="en-US" w:eastAsia="zh-CN"/>
        </w:rPr>
      </w:pPr>
      <w:r>
        <w:rPr>
          <w:rFonts w:hint="eastAsia" w:ascii="Times New Roman" w:cs="Times New Roman"/>
          <w:i/>
          <w:iCs/>
          <w:sz w:val="21"/>
          <w:szCs w:val="21"/>
          <w:vertAlign w:val="baseline"/>
          <w:lang w:val="en-US" w:eastAsia="zh-CN"/>
        </w:rPr>
        <w:t>x</w:t>
      </w:r>
      <w:r>
        <w:rPr>
          <w:rFonts w:hint="eastAsia" w:ascii="Times New Roman" w:cs="Times New Roman"/>
          <w:i/>
          <w:iCs/>
          <w:sz w:val="21"/>
          <w:szCs w:val="21"/>
          <w:vertAlign w:val="subscript"/>
          <w:lang w:val="en-US" w:eastAsia="zh-CN"/>
        </w:rPr>
        <w:t>i</w:t>
      </w:r>
      <w:r>
        <w:rPr>
          <w:sz w:val="21"/>
          <w:szCs w:val="21"/>
        </w:rPr>
        <w:t>——</w:t>
      </w:r>
      <w:r>
        <w:rPr>
          <w:rFonts w:hint="eastAsia"/>
          <w:sz w:val="21"/>
          <w:szCs w:val="21"/>
          <w:lang w:val="en-US" w:eastAsia="zh-CN"/>
        </w:rPr>
        <w:t>单次测量值</w:t>
      </w:r>
      <w:r>
        <w:rPr>
          <w:rFonts w:hint="eastAsia" w:ascii="Times New Roman" w:hAnsi="Times New Roman" w:eastAsia="宋体" w:cs="Times New Roman"/>
          <w:i w:val="0"/>
          <w:iCs w:val="0"/>
          <w:sz w:val="21"/>
          <w:szCs w:val="21"/>
          <w:highlight w:val="none"/>
          <w:lang w:val="en-US" w:eastAsia="zh-CN"/>
        </w:rPr>
        <w:t>；</w:t>
      </w:r>
    </w:p>
    <w:p w14:paraId="6D5B8033">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eastAsia" w:ascii="Times New Roman" w:cs="Times New Roman"/>
          <w:sz w:val="21"/>
          <w:szCs w:val="21"/>
          <w:highlight w:val="none"/>
          <w:lang w:val="en-US" w:eastAsia="zh-CN"/>
        </w:rPr>
      </w:pPr>
      <w:r>
        <w:rPr>
          <w:rFonts w:hint="eastAsia"/>
          <w:i/>
          <w:iCs/>
          <w:sz w:val="21"/>
          <w:szCs w:val="21"/>
          <w:lang w:val="en-US" w:eastAsia="zh-CN"/>
        </w:rPr>
        <w:sym w:font="Symbol" w:char="0060"/>
      </w:r>
      <w:r>
        <w:rPr>
          <w:rFonts w:hint="default" w:ascii="Times New Roman" w:hAnsi="Times New Roman" w:cs="Times New Roman"/>
          <w:i/>
          <w:iCs/>
          <w:sz w:val="21"/>
          <w:szCs w:val="21"/>
          <w:lang w:val="en-US" w:eastAsia="zh-CN"/>
        </w:rPr>
        <w:t>x</w:t>
      </w:r>
      <w:r>
        <w:rPr>
          <w:sz w:val="21"/>
          <w:szCs w:val="21"/>
        </w:rPr>
        <w:t>——</w:t>
      </w:r>
      <w:r>
        <w:rPr>
          <w:rFonts w:hint="eastAsia" w:ascii="Times New Roman" w:cs="Times New Roman"/>
          <w:sz w:val="21"/>
          <w:szCs w:val="21"/>
          <w:highlight w:val="none"/>
          <w:lang w:val="en-US" w:eastAsia="zh-CN"/>
        </w:rPr>
        <w:t>10次测量平均值；</w:t>
      </w:r>
    </w:p>
    <w:p w14:paraId="71DB831E">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eastAsia" w:ascii="Times New Roman" w:cs="Times New Roman"/>
          <w:sz w:val="21"/>
          <w:szCs w:val="21"/>
          <w:highlight w:val="none"/>
          <w:lang w:val="en-US" w:eastAsia="zh-CN"/>
        </w:rPr>
      </w:pPr>
      <w:r>
        <w:rPr>
          <w:rFonts w:hint="eastAsia" w:ascii="Times New Roman" w:cs="Times New Roman"/>
          <w:i/>
          <w:iCs/>
          <w:sz w:val="21"/>
          <w:szCs w:val="21"/>
          <w:highlight w:val="none"/>
          <w:lang w:val="en-US" w:eastAsia="zh-CN"/>
        </w:rPr>
        <w:t>n</w:t>
      </w:r>
      <w:r>
        <w:rPr>
          <w:sz w:val="21"/>
          <w:szCs w:val="21"/>
        </w:rPr>
        <w:t>——</w:t>
      </w:r>
      <w:r>
        <w:rPr>
          <w:rFonts w:hint="eastAsia"/>
          <w:sz w:val="21"/>
          <w:szCs w:val="21"/>
          <w:lang w:val="en-US" w:eastAsia="zh-CN"/>
        </w:rPr>
        <w:t>测量次数，</w:t>
      </w:r>
      <w:r>
        <w:rPr>
          <w:rFonts w:hint="default" w:ascii="Times New Roman" w:hAnsi="Times New Roman" w:cs="Times New Roman"/>
          <w:i/>
          <w:iCs/>
          <w:sz w:val="21"/>
          <w:szCs w:val="21"/>
          <w:lang w:val="en-US" w:eastAsia="zh-CN"/>
        </w:rPr>
        <w:t>n</w:t>
      </w:r>
      <w:r>
        <w:rPr>
          <w:rFonts w:hint="default" w:ascii="Times New Roman" w:hAnsi="Times New Roman" w:cs="Times New Roman"/>
          <w:sz w:val="21"/>
          <w:szCs w:val="21"/>
          <w:lang w:val="en-US" w:eastAsia="zh-CN"/>
        </w:rPr>
        <w:t>=10</w:t>
      </w:r>
      <w:r>
        <w:rPr>
          <w:rFonts w:hint="eastAsia" w:ascii="Times New Roman" w:cs="Times New Roman"/>
          <w:sz w:val="21"/>
          <w:szCs w:val="21"/>
          <w:highlight w:val="none"/>
          <w:lang w:val="en-US" w:eastAsia="zh-CN"/>
        </w:rPr>
        <w:t>。</w:t>
      </w:r>
    </w:p>
    <w:p w14:paraId="450DFB4A">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center"/>
        <w:textAlignment w:val="auto"/>
        <w:rPr>
          <w:rFonts w:hint="eastAsia" w:ascii="Times New Roman" w:cs="Times New Roman"/>
          <w:sz w:val="21"/>
          <w:szCs w:val="21"/>
          <w:highlight w:val="none"/>
          <w:lang w:val="en-US" w:eastAsia="zh-CN"/>
        </w:rPr>
      </w:pPr>
      <w:r>
        <w:rPr>
          <w:rFonts w:hint="eastAsia" w:ascii="Times New Roman" w:cs="Times New Roman"/>
          <w:sz w:val="21"/>
          <w:szCs w:val="21"/>
          <w:highlight w:val="none"/>
          <w:lang w:val="en-US" w:eastAsia="zh-CN"/>
        </w:rPr>
        <w:t xml:space="preserve">                                    </w:t>
      </w:r>
    </w:p>
    <w:p w14:paraId="4E12428A">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center"/>
        <w:textAlignment w:val="auto"/>
        <w:rPr>
          <w:rFonts w:hint="default" w:ascii="Times New Roman" w:cs="Times New Roman"/>
          <w:sz w:val="21"/>
          <w:szCs w:val="21"/>
          <w:highlight w:val="none"/>
          <w:lang w:val="en-US" w:eastAsia="zh-CN"/>
        </w:rPr>
      </w:pPr>
      <w:r>
        <w:rPr>
          <w:rFonts w:hint="eastAsia" w:ascii="Times New Roman" w:cs="Times New Roman"/>
          <w:i/>
          <w:iCs/>
          <w:sz w:val="21"/>
          <w:szCs w:val="21"/>
          <w:highlight w:val="none"/>
          <w:lang w:val="en-US" w:eastAsia="zh-CN"/>
        </w:rPr>
        <w:t xml:space="preserve"> </w:t>
      </w:r>
      <w:r>
        <w:rPr>
          <w:rFonts w:hint="eastAsia" w:ascii="Times New Roman" w:cs="Times New Roman"/>
          <w:i/>
          <w:iCs/>
          <w:position w:val="-10"/>
          <w:sz w:val="21"/>
          <w:szCs w:val="21"/>
          <w:highlight w:val="none"/>
          <w:lang w:val="en-US" w:eastAsia="zh-CN"/>
        </w:rPr>
        <w:object>
          <v:shape id="_x0000_i1034" o:spt="75" type="#_x0000_t75" style="height:17pt;width:41pt;" o:ole="t" filled="f" o:preferrelative="t" stroked="f" coordsize="21600,21600">
            <v:path/>
            <v:fill on="f" focussize="0,0"/>
            <v:stroke on="f"/>
            <v:imagedata r:id="rId11" o:title=""/>
            <o:lock v:ext="edit" aspectratio="t"/>
            <w10:wrap type="none"/>
            <w10:anchorlock/>
          </v:shape>
          <o:OLEObject Type="Embed" ProgID="Equation.KSEE3" ShapeID="_x0000_i1034" DrawAspect="Content" ObjectID="_1468075726" r:id="rId10">
            <o:LockedField>false</o:LockedField>
          </o:OLEObject>
        </w:object>
      </w:r>
      <w:r>
        <w:rPr>
          <w:rFonts w:hint="eastAsia" w:ascii="Times New Roman" w:cs="Times New Roman"/>
          <w:i/>
          <w:iCs/>
          <w:sz w:val="21"/>
          <w:szCs w:val="21"/>
          <w:highlight w:val="none"/>
          <w:lang w:val="en-US" w:eastAsia="zh-CN"/>
        </w:rPr>
        <w:t xml:space="preserve">                              </w:t>
      </w:r>
      <w:r>
        <w:rPr>
          <w:rFonts w:hint="eastAsia" w:ascii="Times New Roman" w:cs="Times New Roman"/>
          <w:sz w:val="21"/>
          <w:szCs w:val="21"/>
          <w:highlight w:val="none"/>
          <w:lang w:val="en-US" w:eastAsia="zh-CN"/>
        </w:rPr>
        <w:t>(2)</w:t>
      </w:r>
    </w:p>
    <w:p w14:paraId="05A3A6AE">
      <w:pPr>
        <w:pStyle w:val="60"/>
        <w:keepNext w:val="0"/>
        <w:keepLines w:val="0"/>
        <w:pageBreakBefore w:val="0"/>
        <w:widowControl/>
        <w:kinsoku/>
        <w:wordWrap/>
        <w:overflowPunct/>
        <w:topLinePunct w:val="0"/>
        <w:autoSpaceDE w:val="0"/>
        <w:autoSpaceDN w:val="0"/>
        <w:bidi w:val="0"/>
        <w:adjustRightInd/>
        <w:snapToGrid/>
        <w:spacing w:line="360" w:lineRule="auto"/>
        <w:ind w:left="0" w:leftChars="0" w:firstLine="420" w:firstLineChars="200"/>
        <w:jc w:val="left"/>
        <w:textAlignment w:val="auto"/>
        <w:rPr>
          <w:rFonts w:hint="eastAsia" w:hAnsi="宋体" w:eastAsia="宋体" w:cs="宋体"/>
          <w:sz w:val="21"/>
          <w:szCs w:val="21"/>
          <w:highlight w:val="none"/>
          <w:lang w:val="en-US" w:eastAsia="zh-CN"/>
        </w:rPr>
      </w:pPr>
      <w:r>
        <w:rPr>
          <w:rFonts w:hint="eastAsia" w:hAnsi="宋体" w:eastAsia="宋体" w:cs="宋体"/>
          <w:sz w:val="21"/>
          <w:szCs w:val="21"/>
          <w:highlight w:val="none"/>
          <w:lang w:val="en-US" w:eastAsia="zh-CN"/>
        </w:rPr>
        <w:t>式中：</w:t>
      </w:r>
    </w:p>
    <w:p w14:paraId="2766FD68">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eastAsia" w:ascii="Times New Roman" w:cs="Times New Roman"/>
          <w:i w:val="0"/>
          <w:iCs w:val="0"/>
          <w:sz w:val="21"/>
          <w:szCs w:val="21"/>
          <w:highlight w:val="none"/>
          <w:lang w:val="en-US" w:eastAsia="zh-CN"/>
        </w:rPr>
      </w:pPr>
      <w:r>
        <w:rPr>
          <w:rFonts w:hint="eastAsia" w:ascii="Times New Roman" w:cs="Times New Roman"/>
          <w:i/>
          <w:iCs/>
          <w:sz w:val="21"/>
          <w:szCs w:val="21"/>
          <w:lang w:val="en-US" w:eastAsia="zh-CN"/>
        </w:rPr>
        <w:t>D</w:t>
      </w:r>
      <w:r>
        <w:rPr>
          <w:rFonts w:hint="eastAsia" w:ascii="Times New Roman" w:cs="Times New Roman"/>
          <w:i/>
          <w:iCs/>
          <w:sz w:val="21"/>
          <w:szCs w:val="21"/>
          <w:vertAlign w:val="subscript"/>
          <w:lang w:val="en-US" w:eastAsia="zh-CN"/>
        </w:rPr>
        <w:t>L</w:t>
      </w:r>
      <w:r>
        <w:rPr>
          <w:sz w:val="21"/>
          <w:szCs w:val="21"/>
        </w:rPr>
        <w:t>——</w:t>
      </w:r>
      <w:r>
        <w:rPr>
          <w:rFonts w:hint="eastAsia"/>
          <w:sz w:val="21"/>
          <w:szCs w:val="21"/>
          <w:lang w:val="en-US" w:eastAsia="zh-CN"/>
        </w:rPr>
        <w:t>检出限</w:t>
      </w:r>
      <w:r>
        <w:rPr>
          <w:rFonts w:hint="eastAsia" w:ascii="Times New Roman" w:cs="Times New Roman"/>
          <w:i w:val="0"/>
          <w:iCs w:val="0"/>
          <w:sz w:val="21"/>
          <w:szCs w:val="21"/>
          <w:highlight w:val="none"/>
          <w:lang w:val="en-US" w:eastAsia="zh-CN"/>
        </w:rPr>
        <w:t>。</w:t>
      </w:r>
    </w:p>
    <w:p w14:paraId="3CBE7A0F">
      <w:pPr>
        <w:pStyle w:val="60"/>
        <w:keepNext w:val="0"/>
        <w:keepLines w:val="0"/>
        <w:pageBreakBefore w:val="0"/>
        <w:widowControl/>
        <w:kinsoku/>
        <w:wordWrap/>
        <w:overflowPunct/>
        <w:topLinePunct w:val="0"/>
        <w:autoSpaceDE w:val="0"/>
        <w:autoSpaceDN w:val="0"/>
        <w:bidi w:val="0"/>
        <w:adjustRightInd/>
        <w:snapToGrid/>
        <w:spacing w:line="360" w:lineRule="auto"/>
        <w:ind w:firstLine="0" w:firstLineChars="0"/>
        <w:textAlignment w:val="auto"/>
        <w:outlineLvl w:val="2"/>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trike w:val="0"/>
          <w:dstrike w:val="0"/>
          <w:sz w:val="21"/>
          <w:szCs w:val="21"/>
          <w:lang w:val="en-US" w:eastAsia="zh-CN"/>
        </w:rPr>
        <w:t>6</w:t>
      </w:r>
      <w:r>
        <w:rPr>
          <w:rFonts w:hint="default" w:ascii="Times New Roman" w:hAnsi="Times New Roman" w:eastAsia="宋体" w:cs="Times New Roman"/>
          <w:strike w:val="0"/>
          <w:dstrike w:val="0"/>
          <w:sz w:val="21"/>
          <w:szCs w:val="21"/>
          <w:lang w:val="en-US" w:eastAsia="zh-CN"/>
        </w:rPr>
        <w:t>.2.</w:t>
      </w:r>
      <w:r>
        <w:rPr>
          <w:rFonts w:hint="eastAsia" w:ascii="Times New Roman" w:cs="Times New Roman"/>
          <w:strike w:val="0"/>
          <w:dstrike w:val="0"/>
          <w:sz w:val="21"/>
          <w:szCs w:val="21"/>
          <w:lang w:val="en-US" w:eastAsia="zh-CN"/>
        </w:rPr>
        <w:t>3</w:t>
      </w:r>
      <w:r>
        <w:rPr>
          <w:rFonts w:hint="default" w:ascii="Times New Roman" w:hAnsi="Times New Roman" w:eastAsia="宋体" w:cs="Times New Roman"/>
          <w:strike w:val="0"/>
          <w:dstrike w:val="0"/>
          <w:sz w:val="21"/>
          <w:szCs w:val="21"/>
          <w:lang w:val="en-US" w:eastAsia="zh-CN"/>
        </w:rPr>
        <w:t xml:space="preserve"> </w:t>
      </w:r>
      <w:r>
        <w:rPr>
          <w:rFonts w:hint="eastAsia" w:ascii="Times New Roman" w:cs="Times New Roman"/>
          <w:strike w:val="0"/>
          <w:dstrike w:val="0"/>
          <w:sz w:val="21"/>
          <w:szCs w:val="21"/>
          <w:lang w:val="en-US" w:eastAsia="zh-CN"/>
        </w:rPr>
        <w:t>波长示值误差</w:t>
      </w:r>
    </w:p>
    <w:p w14:paraId="02BFA6E9">
      <w:pPr>
        <w:pStyle w:val="60"/>
        <w:keepNext w:val="0"/>
        <w:keepLines w:val="0"/>
        <w:pageBreakBefore w:val="0"/>
        <w:widowControl/>
        <w:kinsoku/>
        <w:wordWrap/>
        <w:overflowPunct/>
        <w:topLinePunct w:val="0"/>
        <w:autoSpaceDE w:val="0"/>
        <w:autoSpaceDN w:val="0"/>
        <w:bidi w:val="0"/>
        <w:adjustRightInd/>
        <w:snapToGrid/>
        <w:spacing w:line="360" w:lineRule="auto"/>
        <w:ind w:left="0" w:leftChars="0" w:firstLine="420" w:firstLineChars="200"/>
        <w:textAlignment w:val="auto"/>
        <w:outlineLvl w:val="9"/>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仪器完成恒温、光室氮气吹扫，完成仪器自带中心定位操作后，再开展波长扫描测试</w:t>
      </w:r>
      <w:r>
        <w:rPr>
          <w:rFonts w:hint="eastAsia" w:ascii="Times New Roman" w:cs="Times New Roman"/>
          <w:sz w:val="21"/>
          <w:szCs w:val="21"/>
          <w:highlight w:val="none"/>
          <w:lang w:val="en-US" w:eastAsia="zh-CN"/>
        </w:rPr>
        <w:t>。</w:t>
      </w:r>
      <w:r>
        <w:rPr>
          <w:rFonts w:hint="eastAsia" w:ascii="Times New Roman" w:hAnsi="Times New Roman" w:eastAsia="宋体" w:cs="Times New Roman"/>
          <w:sz w:val="21"/>
          <w:szCs w:val="21"/>
          <w:highlight w:val="none"/>
          <w:lang w:val="en-US" w:eastAsia="zh-CN"/>
        </w:rPr>
        <w:t>选用</w:t>
      </w:r>
      <w:r>
        <w:rPr>
          <w:rFonts w:hint="eastAsia" w:ascii="Times New Roman" w:cs="Times New Roman"/>
          <w:sz w:val="21"/>
          <w:szCs w:val="21"/>
          <w:highlight w:val="none"/>
          <w:lang w:val="en-US" w:eastAsia="zh-CN"/>
        </w:rPr>
        <w:t>附录A</w:t>
      </w:r>
      <w:r>
        <w:rPr>
          <w:rFonts w:hint="eastAsia" w:ascii="Times New Roman" w:hAnsi="Times New Roman" w:eastAsia="宋体" w:cs="Times New Roman"/>
          <w:sz w:val="21"/>
          <w:szCs w:val="21"/>
          <w:highlight w:val="none"/>
          <w:lang w:val="en-US" w:eastAsia="zh-CN"/>
        </w:rPr>
        <w:t>中</w:t>
      </w:r>
      <w:r>
        <w:rPr>
          <w:rFonts w:hint="eastAsia" w:ascii="Times New Roman" w:cs="Times New Roman"/>
          <w:sz w:val="21"/>
          <w:szCs w:val="21"/>
          <w:highlight w:val="none"/>
          <w:lang w:val="en-US" w:eastAsia="zh-CN"/>
        </w:rPr>
        <w:t>高含量</w:t>
      </w:r>
      <w:r>
        <w:rPr>
          <w:rFonts w:hint="eastAsia" w:ascii="Times New Roman" w:hAnsi="Times New Roman" w:eastAsia="宋体" w:cs="Times New Roman"/>
          <w:sz w:val="21"/>
          <w:szCs w:val="21"/>
          <w:highlight w:val="none"/>
          <w:lang w:val="en-US" w:eastAsia="zh-CN"/>
        </w:rPr>
        <w:t>标准物质</w:t>
      </w:r>
      <w:r>
        <w:rPr>
          <w:rFonts w:hint="eastAsia" w:ascii="Times New Roman" w:cs="Times New Roman"/>
          <w:sz w:val="21"/>
          <w:szCs w:val="21"/>
          <w:highlight w:val="none"/>
          <w:lang w:val="en-US" w:eastAsia="zh-CN"/>
        </w:rPr>
        <w:t>或标准样品（纯铜或纯铝）</w:t>
      </w:r>
      <w:r>
        <w:rPr>
          <w:rFonts w:hint="eastAsia" w:ascii="Times New Roman" w:hAnsi="Times New Roman" w:eastAsia="宋体" w:cs="Times New Roman"/>
          <w:sz w:val="21"/>
          <w:szCs w:val="21"/>
          <w:highlight w:val="none"/>
          <w:lang w:val="en-US" w:eastAsia="zh-CN"/>
        </w:rPr>
        <w:t>，扫描元素特征谱线，看实测峰中心与理论波长偏差；如果偏差过大，需要执行中心定位校正。</w:t>
      </w:r>
      <w:r>
        <w:rPr>
          <w:rFonts w:hint="eastAsia" w:ascii="E-BZ" w:hAnsi="E-BZ" w:cs="宋体"/>
          <w:color w:val="auto"/>
          <w:kern w:val="0"/>
          <w:sz w:val="21"/>
          <w:szCs w:val="21"/>
          <w:lang w:val="en-US" w:eastAsia="zh-CN"/>
        </w:rPr>
        <w:t>根据其所含元素情况，选择</w:t>
      </w:r>
      <w:r>
        <w:rPr>
          <w:rFonts w:hint="eastAsia" w:ascii="E-BZ" w:hAnsi="E-BZ" w:cs="宋体"/>
          <w:color w:val="auto"/>
          <w:kern w:val="0"/>
          <w:sz w:val="21"/>
          <w:szCs w:val="21"/>
          <w:highlight w:val="none"/>
          <w:lang w:val="en-US" w:eastAsia="zh-CN"/>
        </w:rPr>
        <w:t>有代表性的</w:t>
      </w:r>
      <w:r>
        <w:rPr>
          <w:rFonts w:hint="eastAsia" w:ascii="E-BZ" w:hAnsi="E-BZ" w:cs="宋体"/>
          <w:color w:val="auto"/>
          <w:kern w:val="0"/>
          <w:sz w:val="21"/>
          <w:szCs w:val="21"/>
          <w:lang w:val="en-US" w:eastAsia="zh-CN"/>
        </w:rPr>
        <w:t>元素，</w:t>
      </w:r>
      <w:r>
        <w:rPr>
          <w:rFonts w:hint="eastAsia" w:ascii="Times New Roman" w:hAnsi="Times New Roman" w:eastAsia="宋体" w:cs="Times New Roman"/>
          <w:sz w:val="21"/>
          <w:szCs w:val="21"/>
          <w:highlight w:val="none"/>
          <w:lang w:val="en-US" w:eastAsia="zh-CN"/>
        </w:rPr>
        <w:t>重复</w:t>
      </w:r>
      <w:r>
        <w:rPr>
          <w:rFonts w:hint="eastAsia" w:ascii="Times New Roman" w:cs="Times New Roman"/>
          <w:sz w:val="21"/>
          <w:szCs w:val="21"/>
          <w:highlight w:val="none"/>
          <w:lang w:val="en-US" w:eastAsia="zh-CN"/>
        </w:rPr>
        <w:t>测量</w:t>
      </w:r>
      <w:r>
        <w:rPr>
          <w:rFonts w:hint="eastAsia" w:ascii="Times New Roman" w:hAnsi="Times New Roman" w:eastAsia="宋体" w:cs="Times New Roman"/>
          <w:sz w:val="21"/>
          <w:szCs w:val="21"/>
          <w:highlight w:val="none"/>
          <w:lang w:val="en-US" w:eastAsia="zh-CN"/>
        </w:rPr>
        <w:t>3次，光谱仪读出</w:t>
      </w:r>
      <w:r>
        <w:rPr>
          <w:rFonts w:hint="eastAsia" w:ascii="Times New Roman" w:cs="Times New Roman"/>
          <w:sz w:val="21"/>
          <w:szCs w:val="21"/>
          <w:highlight w:val="none"/>
          <w:lang w:val="en-US" w:eastAsia="zh-CN"/>
        </w:rPr>
        <w:t>/</w:t>
      </w:r>
      <w:r>
        <w:rPr>
          <w:rFonts w:hint="eastAsia" w:ascii="Times New Roman" w:hAnsi="Times New Roman" w:eastAsia="宋体" w:cs="Times New Roman"/>
          <w:sz w:val="21"/>
          <w:szCs w:val="21"/>
          <w:highlight w:val="none"/>
          <w:lang w:val="en-US" w:eastAsia="zh-CN"/>
        </w:rPr>
        <w:t>定位的谱线波长测量平均值</w:t>
      </w:r>
      <w:r>
        <w:rPr>
          <w:rFonts w:hint="eastAsia" w:ascii="Times New Roman" w:hAnsi="Times New Roman" w:eastAsia="宋体" w:cs="Times New Roman"/>
          <w:i/>
          <w:iCs/>
          <w:position w:val="-6"/>
          <w:sz w:val="21"/>
          <w:szCs w:val="21"/>
          <w:highlight w:val="none"/>
          <w:lang w:val="en-US" w:eastAsia="zh-CN"/>
        </w:rPr>
        <w:object>
          <v:shape id="_x0000_i1035" o:spt="75" type="#_x0000_t75" style="height:17pt;width:11pt;" o:ole="t" filled="f" o:preferrelative="t" stroked="f" coordsize="21600,21600">
            <v:path/>
            <v:fill on="f" focussize="0,0"/>
            <v:stroke on="f"/>
            <v:imagedata r:id="rId13" o:title=""/>
            <o:lock v:ext="edit" aspectratio="t"/>
            <w10:wrap type="none"/>
            <w10:anchorlock/>
          </v:shape>
          <o:OLEObject Type="Embed" ProgID="Equation.KSEE3" ShapeID="_x0000_i1035" DrawAspect="Content" ObjectID="_1468075727" r:id="rId12">
            <o:LockedField>false</o:LockedField>
          </o:OLEObject>
        </w:object>
      </w:r>
      <w:r>
        <w:rPr>
          <w:rFonts w:hint="eastAsia" w:ascii="Times New Roman" w:hAnsi="Times New Roman" w:eastAsia="宋体" w:cs="Times New Roman"/>
          <w:sz w:val="21"/>
          <w:szCs w:val="21"/>
          <w:highlight w:val="none"/>
          <w:lang w:val="en-US" w:eastAsia="zh-CN"/>
        </w:rPr>
        <w:t>，与该谱线理论标准波长</w:t>
      </w:r>
      <w:r>
        <w:rPr>
          <w:position w:val="-10"/>
          <w:sz w:val="21"/>
          <w:szCs w:val="21"/>
        </w:rPr>
        <w:object>
          <v:shape id="_x0000_i1036" o:spt="75" type="#_x0000_t75" style="height:17pt;width:13.95pt;" o:ole="t" filled="f" o:preferrelative="t" stroked="f" coordsize="21600,21600">
            <v:path/>
            <v:fill on="f" focussize="0,0"/>
            <v:stroke on="f"/>
            <v:imagedata r:id="rId15" o:title=""/>
            <o:lock v:ext="edit" aspectratio="t"/>
            <w10:wrap type="none"/>
            <w10:anchorlock/>
          </v:shape>
          <o:OLEObject Type="Embed" ProgID="Equation.KSEE3" ShapeID="_x0000_i1036" DrawAspect="Content" ObjectID="_1468075728" r:id="rId14">
            <o:LockedField>false</o:LockedField>
          </o:OLEObject>
        </w:object>
      </w:r>
      <w:r>
        <w:rPr>
          <w:rFonts w:hint="eastAsia" w:ascii="Times New Roman" w:hAnsi="Times New Roman" w:eastAsia="宋体" w:cs="Times New Roman"/>
          <w:sz w:val="21"/>
          <w:szCs w:val="21"/>
          <w:highlight w:val="none"/>
          <w:lang w:val="en-US" w:eastAsia="zh-CN"/>
        </w:rPr>
        <w:t>的差值。按</w:t>
      </w:r>
      <w:r>
        <w:rPr>
          <w:rFonts w:hint="eastAsia" w:ascii="Times New Roman" w:cs="Times New Roman"/>
          <w:sz w:val="21"/>
          <w:szCs w:val="21"/>
          <w:highlight w:val="none"/>
          <w:lang w:val="en-US" w:eastAsia="zh-CN"/>
        </w:rPr>
        <w:t>公</w:t>
      </w:r>
      <w:r>
        <w:rPr>
          <w:rFonts w:hint="eastAsia" w:ascii="Times New Roman" w:hAnsi="Times New Roman" w:eastAsia="宋体" w:cs="Times New Roman"/>
          <w:sz w:val="21"/>
          <w:szCs w:val="21"/>
          <w:highlight w:val="none"/>
          <w:lang w:val="en-US" w:eastAsia="zh-CN"/>
        </w:rPr>
        <w:t>式（</w:t>
      </w:r>
      <w:r>
        <w:rPr>
          <w:rFonts w:hint="eastAsia" w:ascii="Times New Roman" w:cs="Times New Roman"/>
          <w:sz w:val="21"/>
          <w:szCs w:val="21"/>
          <w:highlight w:val="none"/>
          <w:lang w:val="en-US" w:eastAsia="zh-CN"/>
        </w:rPr>
        <w:t>3）</w:t>
      </w:r>
      <w:r>
        <w:rPr>
          <w:rFonts w:hint="eastAsia" w:ascii="Times New Roman" w:hAnsi="Times New Roman" w:eastAsia="宋体" w:cs="Times New Roman"/>
          <w:sz w:val="21"/>
          <w:szCs w:val="21"/>
          <w:highlight w:val="none"/>
          <w:lang w:val="en-US" w:eastAsia="zh-CN"/>
        </w:rPr>
        <w:t>计算各</w:t>
      </w:r>
      <w:r>
        <w:rPr>
          <w:rFonts w:hint="eastAsia" w:ascii="Times New Roman" w:cs="Times New Roman"/>
          <w:sz w:val="21"/>
          <w:szCs w:val="21"/>
          <w:highlight w:val="none"/>
          <w:lang w:val="en-US" w:eastAsia="zh-CN"/>
        </w:rPr>
        <w:t>元素的波长</w:t>
      </w:r>
      <w:r>
        <w:rPr>
          <w:rFonts w:hint="eastAsia" w:ascii="Times New Roman" w:hAnsi="Times New Roman" w:eastAsia="宋体" w:cs="Times New Roman"/>
          <w:sz w:val="21"/>
          <w:szCs w:val="21"/>
          <w:highlight w:val="none"/>
          <w:lang w:val="en-US" w:eastAsia="zh-CN"/>
        </w:rPr>
        <w:t xml:space="preserve">示值误差。                            </w:t>
      </w:r>
    </w:p>
    <w:p w14:paraId="061BB5BF">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center"/>
        <w:textAlignment w:val="auto"/>
        <w:outlineLvl w:val="9"/>
        <w:rPr>
          <w:rFonts w:hint="eastAsia" w:hAnsi="宋体" w:eastAsia="宋体" w:cs="宋体"/>
          <w:sz w:val="21"/>
          <w:szCs w:val="21"/>
          <w:highlight w:val="none"/>
          <w:lang w:val="en-US" w:eastAsia="zh-CN"/>
        </w:rPr>
      </w:pPr>
      <w:r>
        <w:rPr>
          <w:rFonts w:hint="eastAsia" w:ascii="Times New Roman" w:cs="Times New Roman"/>
          <w:sz w:val="21"/>
          <w:szCs w:val="21"/>
          <w:highlight w:val="none"/>
          <w:lang w:val="en-US" w:eastAsia="zh-CN"/>
        </w:rPr>
        <w:t xml:space="preserve">                                  </w:t>
      </w:r>
      <w:r>
        <w:rPr>
          <w:rFonts w:hint="eastAsia" w:ascii="Times New Roman" w:hAnsi="Times New Roman" w:eastAsia="宋体" w:cs="Times New Roman"/>
          <w:position w:val="-10"/>
          <w:sz w:val="21"/>
          <w:szCs w:val="21"/>
          <w:highlight w:val="none"/>
          <w:lang w:val="en-US" w:eastAsia="zh-CN"/>
        </w:rPr>
        <w:object>
          <v:shape id="_x0000_i1037" o:spt="75" type="#_x0000_t75" style="height:19pt;width:58pt;" o:ole="t" filled="f" o:preferrelative="t" stroked="f" coordsize="21600,21600">
            <v:path/>
            <v:fill on="f" focussize="0,0"/>
            <v:stroke on="f"/>
            <v:imagedata r:id="rId17" o:title=""/>
            <o:lock v:ext="edit" aspectratio="t"/>
            <w10:wrap type="none"/>
            <w10:anchorlock/>
          </v:shape>
          <o:OLEObject Type="Embed" ProgID="Equation.KSEE3" ShapeID="_x0000_i1037" DrawAspect="Content" ObjectID="_1468075729" r:id="rId16">
            <o:LockedField>false</o:LockedField>
          </o:OLEObject>
        </w:object>
      </w:r>
      <w:r>
        <w:rPr>
          <w:rFonts w:hint="eastAsia" w:ascii="Times New Roman" w:hAnsi="Times New Roman" w:eastAsia="宋体" w:cs="Times New Roman"/>
          <w:sz w:val="21"/>
          <w:szCs w:val="21"/>
          <w:highlight w:val="none"/>
          <w:lang w:val="en-US" w:eastAsia="zh-CN"/>
        </w:rPr>
        <w:t xml:space="preserve">       </w:t>
      </w:r>
      <w:r>
        <w:rPr>
          <w:rFonts w:hint="eastAsia" w:ascii="Times New Roman" w:cs="Times New Roman"/>
          <w:sz w:val="21"/>
          <w:szCs w:val="21"/>
          <w:highlight w:val="none"/>
          <w:lang w:val="en-US" w:eastAsia="zh-CN"/>
        </w:rPr>
        <w:t xml:space="preserve">                       (3)</w:t>
      </w:r>
      <w:r>
        <w:rPr>
          <w:rFonts w:hint="eastAsia" w:ascii="Times New Roman" w:hAnsi="Times New Roman" w:eastAsia="宋体" w:cs="Times New Roman"/>
          <w:sz w:val="21"/>
          <w:szCs w:val="21"/>
          <w:highlight w:val="none"/>
          <w:lang w:val="en-US" w:eastAsia="zh-CN"/>
        </w:rPr>
        <w:t xml:space="preserve"> </w:t>
      </w:r>
      <w:r>
        <w:rPr>
          <w:rFonts w:hint="eastAsia" w:hAnsi="宋体" w:eastAsia="宋体" w:cs="宋体"/>
          <w:sz w:val="21"/>
          <w:szCs w:val="21"/>
          <w:highlight w:val="none"/>
          <w:lang w:val="en-US" w:eastAsia="zh-CN"/>
        </w:rPr>
        <w:t xml:space="preserve">                           </w:t>
      </w:r>
    </w:p>
    <w:p w14:paraId="5C9EBBA1">
      <w:pPr>
        <w:pStyle w:val="60"/>
        <w:keepNext w:val="0"/>
        <w:keepLines w:val="0"/>
        <w:pageBreakBefore w:val="0"/>
        <w:widowControl/>
        <w:kinsoku/>
        <w:wordWrap/>
        <w:overflowPunct/>
        <w:topLinePunct w:val="0"/>
        <w:autoSpaceDE w:val="0"/>
        <w:autoSpaceDN w:val="0"/>
        <w:bidi w:val="0"/>
        <w:adjustRightInd/>
        <w:snapToGrid/>
        <w:spacing w:line="360" w:lineRule="auto"/>
        <w:ind w:left="0" w:leftChars="0" w:firstLine="420" w:firstLineChars="200"/>
        <w:jc w:val="left"/>
        <w:textAlignment w:val="auto"/>
        <w:outlineLvl w:val="9"/>
        <w:rPr>
          <w:rFonts w:hint="eastAsia" w:hAnsi="宋体" w:eastAsia="宋体" w:cs="宋体"/>
          <w:sz w:val="21"/>
          <w:szCs w:val="21"/>
          <w:highlight w:val="none"/>
          <w:lang w:val="en-US" w:eastAsia="zh-CN"/>
        </w:rPr>
      </w:pPr>
      <w:r>
        <w:rPr>
          <w:rFonts w:hint="eastAsia" w:hAnsi="宋体" w:eastAsia="宋体" w:cs="宋体"/>
          <w:sz w:val="21"/>
          <w:szCs w:val="21"/>
          <w:highlight w:val="none"/>
          <w:lang w:val="en-US" w:eastAsia="zh-CN"/>
        </w:rPr>
        <w:t>式中：</w:t>
      </w:r>
    </w:p>
    <w:p w14:paraId="4063D622">
      <w:pPr>
        <w:pStyle w:val="60"/>
        <w:keepNext w:val="0"/>
        <w:keepLines w:val="0"/>
        <w:pageBreakBefore w:val="0"/>
        <w:widowControl/>
        <w:kinsoku/>
        <w:wordWrap/>
        <w:overflowPunct/>
        <w:topLinePunct w:val="0"/>
        <w:autoSpaceDE w:val="0"/>
        <w:autoSpaceDN w:val="0"/>
        <w:bidi w:val="0"/>
        <w:adjustRightInd/>
        <w:snapToGrid/>
        <w:spacing w:line="360" w:lineRule="auto"/>
        <w:ind w:left="0" w:leftChars="0" w:firstLine="420" w:firstLineChars="200"/>
        <w:jc w:val="left"/>
        <w:textAlignment w:val="auto"/>
        <w:outlineLvl w:val="9"/>
        <w:rPr>
          <w:rFonts w:hint="default" w:hAnsi="宋体" w:eastAsia="宋体" w:cs="宋体"/>
          <w:sz w:val="21"/>
          <w:szCs w:val="21"/>
          <w:highlight w:val="none"/>
          <w:lang w:val="en-US" w:eastAsia="zh-CN"/>
        </w:rPr>
      </w:pPr>
      <w:r>
        <w:rPr>
          <w:position w:val="-6"/>
          <w:sz w:val="21"/>
          <w:szCs w:val="21"/>
        </w:rPr>
        <w:object>
          <v:shape id="_x0000_i1038" o:spt="75" type="#_x0000_t75" style="height:13.95pt;width:19pt;" o:ole="t" filled="f" o:preferrelative="t" stroked="f" coordsize="21600,21600">
            <v:path/>
            <v:fill on="f" focussize="0,0"/>
            <v:stroke on="f"/>
            <v:imagedata r:id="rId19" o:title=""/>
            <o:lock v:ext="edit" aspectratio="t"/>
            <w10:wrap type="none"/>
            <w10:anchorlock/>
          </v:shape>
          <o:OLEObject Type="Embed" ProgID="Equation.KSEE3" ShapeID="_x0000_i1038" DrawAspect="Content" ObjectID="_1468075730" r:id="rId18">
            <o:LockedField>false</o:LockedField>
          </o:OLEObject>
        </w:object>
      </w:r>
      <w:r>
        <w:rPr>
          <w:sz w:val="21"/>
          <w:szCs w:val="21"/>
        </w:rPr>
        <w:t>——</w:t>
      </w:r>
      <w:r>
        <w:rPr>
          <w:rFonts w:hint="eastAsia" w:ascii="Times New Roman"/>
          <w:sz w:val="21"/>
          <w:szCs w:val="21"/>
          <w:highlight w:val="none"/>
          <w:lang w:val="en-US" w:eastAsia="zh-CN"/>
        </w:rPr>
        <w:t>元素的波长</w:t>
      </w:r>
      <w:r>
        <w:rPr>
          <w:rFonts w:hint="eastAsia" w:ascii="Times New Roman" w:hAnsi="Times New Roman" w:eastAsia="宋体" w:cs="Times New Roman"/>
          <w:sz w:val="21"/>
          <w:szCs w:val="21"/>
          <w:highlight w:val="none"/>
          <w:lang w:val="en-US" w:eastAsia="zh-CN"/>
        </w:rPr>
        <w:t>示值误差</w:t>
      </w:r>
      <w:r>
        <w:rPr>
          <w:rFonts w:hint="eastAsia" w:ascii="Times New Roman" w:cs="Times New Roman"/>
          <w:sz w:val="21"/>
          <w:szCs w:val="21"/>
          <w:highlight w:val="none"/>
          <w:lang w:val="en-US" w:eastAsia="zh-CN"/>
        </w:rPr>
        <w:t>，nm</w:t>
      </w:r>
      <w:r>
        <w:rPr>
          <w:rFonts w:hint="eastAsia" w:ascii="Times New Roman" w:hAnsi="Times New Roman" w:eastAsia="宋体" w:cs="Times New Roman"/>
          <w:i w:val="0"/>
          <w:iCs w:val="0"/>
          <w:sz w:val="21"/>
          <w:szCs w:val="21"/>
          <w:highlight w:val="none"/>
          <w:lang w:val="en-US" w:eastAsia="zh-CN"/>
        </w:rPr>
        <w:t>；</w:t>
      </w:r>
    </w:p>
    <w:p w14:paraId="30195486">
      <w:pPr>
        <w:pStyle w:val="60"/>
        <w:keepNext w:val="0"/>
        <w:keepLines w:val="0"/>
        <w:pageBreakBefore w:val="0"/>
        <w:widowControl/>
        <w:kinsoku/>
        <w:wordWrap/>
        <w:overflowPunct/>
        <w:topLinePunct w:val="0"/>
        <w:autoSpaceDE w:val="0"/>
        <w:autoSpaceDN w:val="0"/>
        <w:bidi w:val="0"/>
        <w:adjustRightInd/>
        <w:snapToGrid/>
        <w:spacing w:line="360" w:lineRule="auto"/>
        <w:jc w:val="left"/>
        <w:textAlignment w:val="auto"/>
        <w:outlineLvl w:val="9"/>
        <w:rPr>
          <w:rFonts w:hint="eastAsia" w:ascii="Times New Roman" w:hAnsi="Times New Roman" w:eastAsia="宋体" w:cs="Times New Roman"/>
          <w:i w:val="0"/>
          <w:iCs w:val="0"/>
          <w:sz w:val="21"/>
          <w:szCs w:val="21"/>
          <w:highlight w:val="none"/>
          <w:lang w:val="en-US" w:eastAsia="zh-CN"/>
        </w:rPr>
      </w:pPr>
      <w:r>
        <w:rPr>
          <w:rFonts w:hint="eastAsia" w:ascii="Times New Roman" w:hAnsi="Times New Roman" w:eastAsia="宋体" w:cs="Times New Roman"/>
          <w:i/>
          <w:iCs/>
          <w:position w:val="-6"/>
          <w:sz w:val="21"/>
          <w:szCs w:val="21"/>
          <w:highlight w:val="none"/>
          <w:lang w:val="en-US" w:eastAsia="zh-CN"/>
        </w:rPr>
        <w:object>
          <v:shape id="_x0000_i1039" o:spt="75" type="#_x0000_t75" style="height:17pt;width:11pt;" o:ole="t" filled="f" o:preferrelative="t" stroked="f" coordsize="21600,21600">
            <v:path/>
            <v:fill on="f" focussize="0,0"/>
            <v:stroke on="f"/>
            <v:imagedata r:id="rId13" o:title=""/>
            <o:lock v:ext="edit" aspectratio="t"/>
            <w10:wrap type="none"/>
            <w10:anchorlock/>
          </v:shape>
          <o:OLEObject Type="Embed" ProgID="Equation.KSEE3" ShapeID="_x0000_i1039" DrawAspect="Content" ObjectID="_1468075731" r:id="rId20">
            <o:LockedField>false</o:LockedField>
          </o:OLEObject>
        </w:object>
      </w:r>
      <w:r>
        <w:rPr>
          <w:rFonts w:hint="eastAsia" w:ascii="Times New Roman" w:hAnsi="Times New Roman" w:eastAsia="宋体" w:cs="Times New Roman"/>
          <w:i/>
          <w:iCs/>
          <w:sz w:val="21"/>
          <w:szCs w:val="21"/>
          <w:highlight w:val="none"/>
          <w:lang w:val="en-US" w:eastAsia="zh-CN"/>
        </w:rPr>
        <w:t xml:space="preserve"> </w:t>
      </w:r>
      <w:r>
        <w:rPr>
          <w:sz w:val="21"/>
          <w:szCs w:val="21"/>
        </w:rPr>
        <w:t>——</w:t>
      </w:r>
      <w:r>
        <w:rPr>
          <w:rFonts w:hint="eastAsia" w:ascii="Times New Roman" w:cs="Times New Roman"/>
          <w:sz w:val="21"/>
          <w:szCs w:val="21"/>
          <w:highlight w:val="none"/>
          <w:lang w:val="en-US" w:eastAsia="zh-CN"/>
        </w:rPr>
        <w:t>3次谱线波长测量平均值，nm</w:t>
      </w:r>
      <w:r>
        <w:rPr>
          <w:rFonts w:hint="eastAsia" w:ascii="Times New Roman" w:hAnsi="Times New Roman" w:eastAsia="宋体" w:cs="Times New Roman"/>
          <w:i w:val="0"/>
          <w:iCs w:val="0"/>
          <w:sz w:val="21"/>
          <w:szCs w:val="21"/>
          <w:highlight w:val="none"/>
          <w:lang w:val="en-US" w:eastAsia="zh-CN"/>
        </w:rPr>
        <w:t>；</w:t>
      </w:r>
    </w:p>
    <w:p w14:paraId="7EC37153">
      <w:pPr>
        <w:pStyle w:val="60"/>
        <w:keepNext w:val="0"/>
        <w:keepLines w:val="0"/>
        <w:pageBreakBefore w:val="0"/>
        <w:widowControl/>
        <w:kinsoku/>
        <w:wordWrap/>
        <w:overflowPunct/>
        <w:topLinePunct w:val="0"/>
        <w:autoSpaceDE w:val="0"/>
        <w:autoSpaceDN w:val="0"/>
        <w:bidi w:val="0"/>
        <w:adjustRightInd/>
        <w:snapToGrid/>
        <w:spacing w:line="360" w:lineRule="auto"/>
        <w:jc w:val="left"/>
        <w:textAlignment w:val="auto"/>
        <w:outlineLvl w:val="9"/>
        <w:rPr>
          <w:rFonts w:hint="eastAsia" w:ascii="Times New Roman" w:cs="Times New Roman"/>
          <w:i w:val="0"/>
          <w:iCs w:val="0"/>
          <w:sz w:val="21"/>
          <w:szCs w:val="21"/>
          <w:highlight w:val="none"/>
          <w:lang w:val="en-US" w:eastAsia="zh-CN"/>
        </w:rPr>
      </w:pPr>
      <w:r>
        <w:rPr>
          <w:position w:val="-10"/>
          <w:sz w:val="21"/>
          <w:szCs w:val="21"/>
        </w:rPr>
        <w:object>
          <v:shape id="_x0000_i1040" o:spt="75" type="#_x0000_t75" style="height:17pt;width:13.95pt;" o:ole="t" filled="f" o:preferrelative="t" stroked="f" coordsize="21600,21600">
            <v:path/>
            <v:fill on="f" focussize="0,0"/>
            <v:stroke on="f"/>
            <v:imagedata r:id="rId15" o:title=""/>
            <o:lock v:ext="edit" aspectratio="t"/>
            <w10:wrap type="none"/>
            <w10:anchorlock/>
          </v:shape>
          <o:OLEObject Type="Embed" ProgID="Equation.KSEE3" ShapeID="_x0000_i1040" DrawAspect="Content" ObjectID="_1468075732" r:id="rId21">
            <o:LockedField>false</o:LockedField>
          </o:OLEObject>
        </w:object>
      </w:r>
      <w:r>
        <w:rPr>
          <w:sz w:val="21"/>
          <w:szCs w:val="21"/>
        </w:rPr>
        <w:t>——</w:t>
      </w:r>
      <w:r>
        <w:rPr>
          <w:rFonts w:hint="eastAsia"/>
          <w:sz w:val="21"/>
          <w:szCs w:val="21"/>
          <w:lang w:val="en-US" w:eastAsia="zh-CN"/>
        </w:rPr>
        <w:t>元素谱线标准波长</w:t>
      </w:r>
      <w:r>
        <w:rPr>
          <w:rFonts w:hint="eastAsia" w:ascii="Times New Roman" w:cs="Times New Roman"/>
          <w:sz w:val="21"/>
          <w:szCs w:val="21"/>
          <w:highlight w:val="none"/>
          <w:lang w:val="en-US" w:eastAsia="zh-CN"/>
        </w:rPr>
        <w:t>，nm。</w:t>
      </w:r>
      <w:r>
        <w:rPr>
          <w:rFonts w:hint="eastAsia" w:hAnsi="宋体" w:eastAsia="宋体" w:cs="宋体"/>
          <w:sz w:val="21"/>
          <w:szCs w:val="21"/>
          <w:highlight w:val="none"/>
          <w:lang w:val="en-US" w:eastAsia="zh-CN"/>
        </w:rPr>
        <w:t xml:space="preserve">   </w:t>
      </w:r>
    </w:p>
    <w:p w14:paraId="20FC9D03">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outlineLvl w:val="2"/>
        <w:rPr>
          <w:rFonts w:hint="eastAsia" w:ascii="Times New Roman" w:cs="Times New Roman"/>
          <w:i w:val="0"/>
          <w:iCs w:val="0"/>
          <w:sz w:val="21"/>
          <w:szCs w:val="21"/>
          <w:highlight w:val="none"/>
          <w:lang w:val="en-US" w:eastAsia="zh-CN"/>
        </w:rPr>
      </w:pPr>
      <w:r>
        <w:rPr>
          <w:rFonts w:hint="eastAsia" w:ascii="Times New Roman" w:cs="Times New Roman"/>
          <w:i w:val="0"/>
          <w:iCs w:val="0"/>
          <w:sz w:val="21"/>
          <w:szCs w:val="21"/>
          <w:highlight w:val="none"/>
          <w:lang w:val="en-US" w:eastAsia="zh-CN"/>
        </w:rPr>
        <w:t>6.2.4 重复性</w:t>
      </w:r>
    </w:p>
    <w:p w14:paraId="1CCFED75">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default" w:ascii="Times New Roman" w:cs="Times New Roman"/>
          <w:i w:val="0"/>
          <w:iCs w:val="0"/>
          <w:sz w:val="21"/>
          <w:szCs w:val="21"/>
          <w:highlight w:val="none"/>
          <w:lang w:val="en-US" w:eastAsia="zh-CN"/>
        </w:rPr>
      </w:pPr>
      <w:r>
        <w:rPr>
          <w:rFonts w:hint="eastAsia" w:ascii="Times New Roman" w:hAnsi="Times New Roman" w:eastAsia="宋体" w:cs="Times New Roman"/>
          <w:sz w:val="21"/>
          <w:szCs w:val="21"/>
          <w:highlight w:val="none"/>
          <w:lang w:val="en-US" w:eastAsia="zh-CN"/>
        </w:rPr>
        <w:t>按照光谱仪常用使用范围，</w:t>
      </w:r>
      <w:r>
        <w:rPr>
          <w:rFonts w:hint="eastAsia" w:ascii="Times New Roman" w:cs="Times New Roman"/>
          <w:sz w:val="21"/>
          <w:szCs w:val="21"/>
          <w:highlight w:val="none"/>
          <w:lang w:val="en-US" w:eastAsia="zh-CN"/>
        </w:rPr>
        <w:t>调取相应基体工作程序，</w:t>
      </w:r>
      <w:r>
        <w:rPr>
          <w:rFonts w:hint="eastAsia" w:ascii="Times New Roman" w:hAnsi="Times New Roman" w:eastAsia="宋体" w:cs="Times New Roman"/>
          <w:sz w:val="21"/>
          <w:szCs w:val="21"/>
          <w:highlight w:val="none"/>
          <w:lang w:val="en-US" w:eastAsia="zh-CN"/>
        </w:rPr>
        <w:t>选用</w:t>
      </w:r>
      <w:r>
        <w:rPr>
          <w:rFonts w:hint="eastAsia" w:ascii="Times New Roman" w:cs="Times New Roman"/>
          <w:sz w:val="21"/>
          <w:szCs w:val="21"/>
          <w:highlight w:val="none"/>
          <w:lang w:val="en-US" w:eastAsia="zh-CN"/>
        </w:rPr>
        <w:t>表1</w:t>
      </w:r>
      <w:r>
        <w:rPr>
          <w:rFonts w:hint="eastAsia" w:ascii="Times New Roman" w:hAnsi="Times New Roman" w:eastAsia="宋体" w:cs="Times New Roman"/>
          <w:sz w:val="21"/>
          <w:szCs w:val="21"/>
          <w:highlight w:val="none"/>
          <w:lang w:val="en-US" w:eastAsia="zh-CN"/>
        </w:rPr>
        <w:t>中</w:t>
      </w:r>
      <w:r>
        <w:rPr>
          <w:rFonts w:hint="eastAsia" w:ascii="Times New Roman" w:cs="Times New Roman"/>
          <w:sz w:val="21"/>
          <w:szCs w:val="21"/>
          <w:highlight w:val="none"/>
          <w:lang w:val="en-US" w:eastAsia="zh-CN"/>
        </w:rPr>
        <w:t>具有代表性</w:t>
      </w:r>
      <w:r>
        <w:rPr>
          <w:rFonts w:hint="eastAsia" w:ascii="Times New Roman" w:hAnsi="Times New Roman" w:eastAsia="宋体" w:cs="Times New Roman"/>
          <w:sz w:val="21"/>
          <w:szCs w:val="21"/>
          <w:highlight w:val="none"/>
          <w:lang w:val="en-US" w:eastAsia="zh-CN"/>
        </w:rPr>
        <w:t>的标准物质</w:t>
      </w:r>
      <w:r>
        <w:rPr>
          <w:rFonts w:hint="eastAsia" w:ascii="Times New Roman" w:cs="Times New Roman"/>
          <w:sz w:val="21"/>
          <w:szCs w:val="21"/>
          <w:highlight w:val="none"/>
          <w:lang w:val="en-US" w:eastAsia="zh-CN"/>
        </w:rPr>
        <w:t>或标准样品</w:t>
      </w:r>
      <w:r>
        <w:rPr>
          <w:rFonts w:hint="eastAsia" w:ascii="Times New Roman" w:hAnsi="Times New Roman" w:eastAsia="宋体" w:cs="Times New Roman"/>
          <w:sz w:val="21"/>
          <w:szCs w:val="21"/>
          <w:highlight w:val="none"/>
          <w:lang w:val="en-US" w:eastAsia="zh-CN"/>
        </w:rPr>
        <w:t>，</w:t>
      </w:r>
      <w:r>
        <w:rPr>
          <w:rFonts w:hint="eastAsia" w:ascii="E-BZ" w:hAnsi="E-BZ" w:cs="宋体"/>
          <w:color w:val="auto"/>
          <w:kern w:val="0"/>
          <w:sz w:val="21"/>
          <w:szCs w:val="21"/>
          <w:lang w:val="en-US" w:eastAsia="zh-CN"/>
        </w:rPr>
        <w:t>根据其所含元素情况，选择</w:t>
      </w:r>
      <w:r>
        <w:rPr>
          <w:rFonts w:hint="eastAsia" w:ascii="E-BZ" w:hAnsi="E-BZ" w:cs="宋体"/>
          <w:color w:val="auto"/>
          <w:kern w:val="0"/>
          <w:sz w:val="21"/>
          <w:szCs w:val="21"/>
          <w:highlight w:val="none"/>
          <w:lang w:val="en-US" w:eastAsia="zh-CN"/>
        </w:rPr>
        <w:t>不少于</w:t>
      </w:r>
      <w:r>
        <w:rPr>
          <w:rFonts w:hint="eastAsia" w:ascii="E-BZ" w:hAnsi="E-BZ" w:cs="宋体"/>
          <w:color w:val="auto"/>
          <w:kern w:val="0"/>
          <w:sz w:val="21"/>
          <w:szCs w:val="21"/>
          <w:lang w:val="en-US" w:eastAsia="zh-CN"/>
        </w:rPr>
        <w:t>3个元素，</w:t>
      </w:r>
      <w:r>
        <w:rPr>
          <w:rFonts w:hint="default" w:ascii="Times New Roman" w:cs="Times New Roman"/>
          <w:sz w:val="21"/>
          <w:szCs w:val="21"/>
          <w:highlight w:val="none"/>
          <w:lang w:val="en-US" w:eastAsia="zh-CN"/>
        </w:rPr>
        <w:t>连续</w:t>
      </w:r>
      <w:r>
        <w:rPr>
          <w:rFonts w:hint="eastAsia" w:ascii="Times New Roman" w:cs="Times New Roman"/>
          <w:sz w:val="21"/>
          <w:szCs w:val="21"/>
          <w:highlight w:val="none"/>
          <w:lang w:val="en-US" w:eastAsia="zh-CN"/>
        </w:rPr>
        <w:t>溅射</w:t>
      </w:r>
      <w:r>
        <w:rPr>
          <w:rFonts w:hint="default" w:ascii="Times New Roman" w:cs="Times New Roman"/>
          <w:sz w:val="21"/>
          <w:szCs w:val="21"/>
          <w:highlight w:val="none"/>
          <w:lang w:val="en-US" w:eastAsia="zh-CN"/>
        </w:rPr>
        <w:t>10次</w:t>
      </w:r>
      <w:r>
        <w:rPr>
          <w:rFonts w:hint="eastAsia" w:ascii="Times New Roman" w:cs="Times New Roman"/>
          <w:sz w:val="21"/>
          <w:szCs w:val="21"/>
          <w:highlight w:val="none"/>
          <w:lang w:val="en-US" w:eastAsia="zh-CN"/>
        </w:rPr>
        <w:t>，</w:t>
      </w:r>
      <w:r>
        <w:rPr>
          <w:rFonts w:hint="eastAsia" w:ascii="Times New Roman" w:cs="Times New Roman"/>
          <w:i w:val="0"/>
          <w:iCs w:val="0"/>
          <w:sz w:val="21"/>
          <w:szCs w:val="21"/>
          <w:highlight w:val="none"/>
          <w:lang w:val="en-US" w:eastAsia="zh-CN"/>
        </w:rPr>
        <w:t>记录各代表性元素测量值或辉光信号值</w:t>
      </w:r>
      <w:r>
        <w:rPr>
          <w:rFonts w:hint="default" w:ascii="Times New Roman" w:cs="Times New Roman"/>
          <w:i w:val="0"/>
          <w:iCs w:val="0"/>
          <w:sz w:val="21"/>
          <w:szCs w:val="21"/>
          <w:highlight w:val="none"/>
          <w:lang w:val="en-US" w:eastAsia="zh-CN"/>
        </w:rPr>
        <w:t>，</w:t>
      </w:r>
      <w:r>
        <w:rPr>
          <w:rFonts w:hint="eastAsia" w:ascii="Times New Roman" w:cs="Times New Roman"/>
          <w:i w:val="0"/>
          <w:iCs w:val="0"/>
          <w:sz w:val="21"/>
          <w:szCs w:val="21"/>
          <w:highlight w:val="none"/>
          <w:lang w:val="en-US" w:eastAsia="zh-CN"/>
        </w:rPr>
        <w:t>按式</w:t>
      </w:r>
      <w:r>
        <w:rPr>
          <w:rFonts w:hint="default" w:ascii="Times New Roman" w:hAnsi="Times New Roman" w:cs="Times New Roman"/>
          <w:i w:val="0"/>
          <w:iCs w:val="0"/>
          <w:sz w:val="21"/>
          <w:szCs w:val="21"/>
          <w:highlight w:val="none"/>
          <w:lang w:val="en-US" w:eastAsia="zh-CN"/>
        </w:rPr>
        <w:t>（</w:t>
      </w:r>
      <w:r>
        <w:rPr>
          <w:rFonts w:hint="eastAsia" w:ascii="Times New Roman" w:cs="Times New Roman"/>
          <w:i w:val="0"/>
          <w:iCs w:val="0"/>
          <w:sz w:val="21"/>
          <w:szCs w:val="21"/>
          <w:highlight w:val="none"/>
          <w:lang w:val="en-US" w:eastAsia="zh-CN"/>
        </w:rPr>
        <w:t>4</w:t>
      </w:r>
      <w:r>
        <w:rPr>
          <w:rFonts w:hint="default" w:ascii="Times New Roman" w:hAnsi="Times New Roman" w:cs="Times New Roman"/>
          <w:i w:val="0"/>
          <w:iCs w:val="0"/>
          <w:sz w:val="21"/>
          <w:szCs w:val="21"/>
          <w:highlight w:val="none"/>
          <w:lang w:val="en-US" w:eastAsia="zh-CN"/>
        </w:rPr>
        <w:t>）</w:t>
      </w:r>
      <w:r>
        <w:rPr>
          <w:rFonts w:hint="default" w:ascii="Times New Roman" w:cs="Times New Roman"/>
          <w:i w:val="0"/>
          <w:iCs w:val="0"/>
          <w:sz w:val="21"/>
          <w:szCs w:val="21"/>
          <w:highlight w:val="none"/>
          <w:lang w:val="en-US" w:eastAsia="zh-CN"/>
        </w:rPr>
        <w:t>计算相对标准偏差为重复性。</w:t>
      </w:r>
    </w:p>
    <w:p w14:paraId="4B5CCF55">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center"/>
        <w:textAlignment w:val="auto"/>
        <w:rPr>
          <w:rFonts w:hint="default" w:ascii="Times New Roman" w:hAnsi="Times New Roman" w:cs="Times New Roman"/>
          <w:i w:val="0"/>
          <w:iCs/>
          <w:sz w:val="21"/>
          <w:szCs w:val="21"/>
          <w:highlight w:val="none"/>
          <w:lang w:val="en-US" w:eastAsia="zh-CN" w:bidi="ar-SA"/>
        </w:rPr>
      </w:pPr>
      <w:r>
        <w:rPr>
          <w:rFonts w:hint="eastAsia" w:ascii="Times New Roman" w:cs="Times New Roman"/>
          <w:i w:val="0"/>
          <w:sz w:val="21"/>
          <w:szCs w:val="21"/>
          <w:highlight w:val="none"/>
          <w:lang w:val="en-US" w:eastAsia="zh-CN" w:bidi="ar-SA"/>
        </w:rPr>
        <w:t xml:space="preserve">                             </w:t>
      </w:r>
      <w:r>
        <w:rPr>
          <w:rFonts w:hint="eastAsia" w:ascii="Times New Roman" w:cs="Times New Roman"/>
          <w:i w:val="0"/>
          <w:position w:val="-26"/>
          <w:sz w:val="21"/>
          <w:szCs w:val="21"/>
          <w:highlight w:val="none"/>
          <w:lang w:val="en-US" w:eastAsia="zh-CN" w:bidi="ar-SA"/>
        </w:rPr>
        <w:object>
          <v:shape id="_x0000_i1041" o:spt="75" type="#_x0000_t75" style="height:40pt;width:159pt;" o:ole="t" filled="f" o:preferrelative="t" stroked="f" coordsize="21600,21600">
            <v:path/>
            <v:fill on="f" focussize="0,0"/>
            <v:stroke on="f"/>
            <v:imagedata r:id="rId23" o:title=""/>
            <o:lock v:ext="edit" aspectratio="t"/>
            <w10:wrap type="none"/>
            <w10:anchorlock/>
          </v:shape>
          <o:OLEObject Type="Embed" ProgID="Equation.KSEE3" ShapeID="_x0000_i1041" DrawAspect="Content" ObjectID="_1468075733" r:id="rId22">
            <o:LockedField>false</o:LockedField>
          </o:OLEObject>
        </w:object>
      </w:r>
      <w:r>
        <w:rPr>
          <w:rFonts w:hint="eastAsia" w:ascii="Times New Roman" w:cs="Times New Roman"/>
          <w:i w:val="0"/>
          <w:sz w:val="21"/>
          <w:szCs w:val="21"/>
          <w:highlight w:val="none"/>
          <w:lang w:val="en-US" w:eastAsia="zh-CN" w:bidi="ar-SA"/>
        </w:rPr>
        <w:t xml:space="preserve"> </w:t>
      </w:r>
      <w:r>
        <w:rPr>
          <w:rFonts w:hint="eastAsia" w:hAnsi="Cambria Math" w:cs="Times New Roman"/>
          <w:i w:val="0"/>
          <w:iCs/>
          <w:sz w:val="21"/>
          <w:szCs w:val="21"/>
          <w:highlight w:val="none"/>
          <w:lang w:val="en-US" w:eastAsia="zh-CN" w:bidi="ar-SA"/>
        </w:rPr>
        <w:t xml:space="preserve">                </w:t>
      </w:r>
      <w:r>
        <w:rPr>
          <w:rFonts w:hint="default" w:ascii="Times New Roman" w:hAnsi="Times New Roman" w:cs="Times New Roman"/>
          <w:i w:val="0"/>
          <w:iCs/>
          <w:sz w:val="21"/>
          <w:szCs w:val="21"/>
          <w:highlight w:val="none"/>
          <w:lang w:val="en-US" w:eastAsia="zh-CN" w:bidi="ar-SA"/>
        </w:rPr>
        <w:t>(</w:t>
      </w:r>
      <w:r>
        <w:rPr>
          <w:rFonts w:hint="eastAsia" w:ascii="Times New Roman" w:cs="Times New Roman"/>
          <w:i w:val="0"/>
          <w:iCs/>
          <w:sz w:val="21"/>
          <w:szCs w:val="21"/>
          <w:highlight w:val="none"/>
          <w:lang w:val="en-US" w:eastAsia="zh-CN" w:bidi="ar-SA"/>
        </w:rPr>
        <w:t>4</w:t>
      </w:r>
      <w:r>
        <w:rPr>
          <w:rFonts w:hint="default" w:ascii="Times New Roman" w:hAnsi="Times New Roman" w:cs="Times New Roman"/>
          <w:i w:val="0"/>
          <w:iCs/>
          <w:sz w:val="21"/>
          <w:szCs w:val="21"/>
          <w:highlight w:val="none"/>
          <w:lang w:val="en-US" w:eastAsia="zh-CN" w:bidi="ar-SA"/>
        </w:rPr>
        <w:t>)</w:t>
      </w:r>
    </w:p>
    <w:p w14:paraId="103C8F45">
      <w:pPr>
        <w:pStyle w:val="60"/>
        <w:keepNext w:val="0"/>
        <w:keepLines w:val="0"/>
        <w:pageBreakBefore w:val="0"/>
        <w:widowControl/>
        <w:kinsoku/>
        <w:wordWrap/>
        <w:overflowPunct/>
        <w:topLinePunct w:val="0"/>
        <w:autoSpaceDE w:val="0"/>
        <w:autoSpaceDN w:val="0"/>
        <w:bidi w:val="0"/>
        <w:adjustRightInd/>
        <w:snapToGrid/>
        <w:spacing w:line="360" w:lineRule="auto"/>
        <w:ind w:left="0" w:leftChars="0" w:firstLine="420" w:firstLineChars="200"/>
        <w:jc w:val="left"/>
        <w:textAlignment w:val="auto"/>
        <w:rPr>
          <w:rFonts w:hint="eastAsia" w:hAnsi="宋体" w:eastAsia="宋体" w:cs="宋体"/>
          <w:sz w:val="21"/>
          <w:szCs w:val="21"/>
          <w:highlight w:val="none"/>
          <w:lang w:val="en-US" w:eastAsia="zh-CN"/>
        </w:rPr>
      </w:pPr>
      <w:r>
        <w:rPr>
          <w:rFonts w:hint="eastAsia" w:hAnsi="宋体" w:eastAsia="宋体" w:cs="宋体"/>
          <w:sz w:val="21"/>
          <w:szCs w:val="21"/>
          <w:highlight w:val="none"/>
          <w:lang w:val="en-US" w:eastAsia="zh-CN"/>
        </w:rPr>
        <w:t>式中：</w:t>
      </w:r>
    </w:p>
    <w:p w14:paraId="58725F2E">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eastAsia" w:ascii="Times New Roman" w:hAnsi="Times New Roman" w:eastAsia="宋体" w:cs="Times New Roman"/>
          <w:i w:val="0"/>
          <w:iCs w:val="0"/>
          <w:sz w:val="21"/>
          <w:szCs w:val="21"/>
          <w:highlight w:val="none"/>
          <w:lang w:val="en-US" w:eastAsia="zh-CN"/>
        </w:rPr>
      </w:pPr>
      <w:r>
        <w:rPr>
          <w:rFonts w:hint="default" w:ascii="Times New Roman" w:hAnsi="Times New Roman" w:cs="Times New Roman"/>
          <w:sz w:val="21"/>
          <w:szCs w:val="21"/>
          <w:lang w:val="en-US" w:eastAsia="zh-CN"/>
        </w:rPr>
        <w:t>RSD</w:t>
      </w:r>
      <w:r>
        <w:rPr>
          <w:sz w:val="21"/>
          <w:szCs w:val="21"/>
        </w:rPr>
        <w:t>——</w:t>
      </w:r>
      <w:r>
        <w:rPr>
          <w:rFonts w:hint="eastAsia"/>
          <w:sz w:val="21"/>
          <w:szCs w:val="21"/>
          <w:lang w:val="en-US" w:eastAsia="zh-CN"/>
        </w:rPr>
        <w:t>测量重复性</w:t>
      </w:r>
      <w:r>
        <w:rPr>
          <w:rFonts w:hint="eastAsia" w:ascii="Times New Roman" w:hAnsi="Times New Roman" w:eastAsia="宋体" w:cs="Times New Roman"/>
          <w:i w:val="0"/>
          <w:iCs w:val="0"/>
          <w:sz w:val="21"/>
          <w:szCs w:val="21"/>
          <w:highlight w:val="none"/>
          <w:lang w:val="en-US" w:eastAsia="zh-CN"/>
        </w:rPr>
        <w:t>；</w:t>
      </w:r>
    </w:p>
    <w:p w14:paraId="17821063">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default" w:ascii="Times New Roman" w:hAnsi="Times New Roman" w:cs="Times New Roman"/>
          <w:sz w:val="21"/>
          <w:szCs w:val="21"/>
          <w:highlight w:val="none"/>
          <w:lang w:val="en-US" w:eastAsia="zh-CN"/>
        </w:rPr>
      </w:pPr>
      <w:r>
        <w:rPr>
          <w:rFonts w:hint="eastAsia" w:ascii="Times New Roman" w:cs="Times New Roman"/>
          <w:i/>
          <w:iCs/>
          <w:sz w:val="21"/>
          <w:szCs w:val="21"/>
          <w:highlight w:val="none"/>
          <w:vertAlign w:val="baseline"/>
          <w:lang w:val="en-US" w:eastAsia="zh-CN"/>
        </w:rPr>
        <w:t>x</w:t>
      </w:r>
      <w:r>
        <w:rPr>
          <w:rFonts w:hint="eastAsia" w:ascii="Times New Roman" w:cs="Times New Roman"/>
          <w:i/>
          <w:iCs/>
          <w:sz w:val="21"/>
          <w:szCs w:val="21"/>
          <w:highlight w:val="none"/>
          <w:vertAlign w:val="subscript"/>
          <w:lang w:val="en-US" w:eastAsia="zh-CN"/>
        </w:rPr>
        <w:t>i</w:t>
      </w:r>
      <w:r>
        <w:rPr>
          <w:sz w:val="21"/>
          <w:szCs w:val="21"/>
          <w:highlight w:val="none"/>
        </w:rPr>
        <w:t>——</w:t>
      </w:r>
      <w:r>
        <w:rPr>
          <w:rFonts w:hint="eastAsia"/>
          <w:sz w:val="21"/>
          <w:szCs w:val="21"/>
          <w:highlight w:val="none"/>
          <w:lang w:val="en-US" w:eastAsia="zh-CN"/>
        </w:rPr>
        <w:t>单次测量值，</w:t>
      </w:r>
      <w:r>
        <w:rPr>
          <w:rFonts w:hint="default" w:ascii="Times New Roman" w:hAnsi="Times New Roman" w:cs="Times New Roman"/>
          <w:sz w:val="21"/>
          <w:szCs w:val="21"/>
          <w:highlight w:val="none"/>
          <w:lang w:val="en-US" w:eastAsia="zh-CN"/>
        </w:rPr>
        <w:t>%，或辉光信号强度</w:t>
      </w:r>
      <w:r>
        <w:rPr>
          <w:rFonts w:hint="eastAsia" w:ascii="Times New Roman" w:cs="Times New Roman"/>
          <w:sz w:val="21"/>
          <w:szCs w:val="21"/>
          <w:highlight w:val="none"/>
          <w:lang w:val="en-US" w:eastAsia="zh-CN"/>
        </w:rPr>
        <w:t>，</w:t>
      </w:r>
      <w:r>
        <w:rPr>
          <w:rFonts w:hint="default" w:ascii="Times New Roman" w:hAnsi="Times New Roman" w:cs="Times New Roman"/>
          <w:sz w:val="21"/>
          <w:szCs w:val="21"/>
          <w:highlight w:val="none"/>
          <w:lang w:val="en-US" w:eastAsia="zh-CN"/>
        </w:rPr>
        <w:t>cps；</w:t>
      </w:r>
    </w:p>
    <w:p w14:paraId="4FFA728F">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eastAsia" w:ascii="Times New Roman" w:cs="Times New Roman"/>
          <w:sz w:val="21"/>
          <w:szCs w:val="21"/>
          <w:highlight w:val="none"/>
          <w:lang w:val="en-US" w:eastAsia="zh-CN"/>
        </w:rPr>
      </w:pPr>
      <w:r>
        <w:rPr>
          <w:rFonts w:hint="default" w:ascii="Times New Roman" w:hAnsi="Times New Roman" w:cs="Times New Roman"/>
          <w:i/>
          <w:iCs/>
          <w:sz w:val="21"/>
          <w:szCs w:val="21"/>
          <w:highlight w:val="none"/>
          <w:lang w:val="en-US" w:eastAsia="zh-CN"/>
        </w:rPr>
        <w:sym w:font="Symbol" w:char="0060"/>
      </w:r>
      <w:r>
        <w:rPr>
          <w:rFonts w:hint="default" w:ascii="Times New Roman" w:hAnsi="Times New Roman" w:cs="Times New Roman"/>
          <w:i/>
          <w:iCs/>
          <w:sz w:val="21"/>
          <w:szCs w:val="21"/>
          <w:highlight w:val="none"/>
          <w:lang w:val="en-US" w:eastAsia="zh-CN"/>
        </w:rPr>
        <w:t>x</w:t>
      </w:r>
      <w:r>
        <w:rPr>
          <w:rFonts w:hint="default" w:ascii="Times New Roman" w:hAnsi="Times New Roman" w:cs="Times New Roman"/>
          <w:sz w:val="21"/>
          <w:szCs w:val="21"/>
          <w:highlight w:val="none"/>
        </w:rPr>
        <w:t>——</w:t>
      </w:r>
      <w:r>
        <w:rPr>
          <w:rFonts w:hint="default" w:ascii="Times New Roman" w:hAnsi="Times New Roman" w:cs="Times New Roman"/>
          <w:sz w:val="21"/>
          <w:szCs w:val="21"/>
          <w:highlight w:val="none"/>
          <w:lang w:val="en-US" w:eastAsia="zh-CN"/>
        </w:rPr>
        <w:t>测量平均值，%，</w:t>
      </w:r>
      <w:r>
        <w:rPr>
          <w:rFonts w:hint="eastAsia"/>
          <w:sz w:val="21"/>
          <w:szCs w:val="21"/>
          <w:highlight w:val="none"/>
          <w:lang w:val="en-US" w:eastAsia="zh-CN"/>
        </w:rPr>
        <w:t>或辉光信号强度，</w:t>
      </w:r>
      <w:r>
        <w:rPr>
          <w:rFonts w:hint="default" w:ascii="Times New Roman" w:hAnsi="Times New Roman" w:cs="Times New Roman"/>
          <w:sz w:val="21"/>
          <w:szCs w:val="21"/>
          <w:highlight w:val="none"/>
          <w:lang w:val="en-US" w:eastAsia="zh-CN"/>
        </w:rPr>
        <w:t>cps；</w:t>
      </w:r>
    </w:p>
    <w:p w14:paraId="19A845A3">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eastAsia" w:ascii="Times New Roman" w:cs="Times New Roman"/>
          <w:sz w:val="21"/>
          <w:szCs w:val="21"/>
          <w:highlight w:val="none"/>
          <w:lang w:val="en-US" w:eastAsia="zh-CN"/>
        </w:rPr>
      </w:pPr>
      <w:r>
        <w:rPr>
          <w:rFonts w:hint="eastAsia" w:ascii="Times New Roman" w:cs="Times New Roman"/>
          <w:i/>
          <w:iCs/>
          <w:sz w:val="21"/>
          <w:szCs w:val="21"/>
          <w:highlight w:val="none"/>
          <w:lang w:val="en-US" w:eastAsia="zh-CN"/>
        </w:rPr>
        <w:t>n</w:t>
      </w:r>
      <w:r>
        <w:rPr>
          <w:sz w:val="21"/>
          <w:szCs w:val="21"/>
        </w:rPr>
        <w:t>——</w:t>
      </w:r>
      <w:r>
        <w:rPr>
          <w:rFonts w:hint="eastAsia"/>
          <w:sz w:val="21"/>
          <w:szCs w:val="21"/>
          <w:lang w:val="en-US" w:eastAsia="zh-CN"/>
        </w:rPr>
        <w:t>测量次数，</w:t>
      </w:r>
      <w:r>
        <w:rPr>
          <w:rFonts w:hint="default" w:ascii="Times New Roman" w:hAnsi="Times New Roman" w:cs="Times New Roman"/>
          <w:i/>
          <w:iCs/>
          <w:sz w:val="21"/>
          <w:szCs w:val="21"/>
          <w:lang w:val="en-US" w:eastAsia="zh-CN"/>
        </w:rPr>
        <w:t>n</w:t>
      </w:r>
      <w:r>
        <w:rPr>
          <w:rFonts w:hint="default" w:ascii="Times New Roman" w:hAnsi="Times New Roman" w:cs="Times New Roman"/>
          <w:sz w:val="21"/>
          <w:szCs w:val="21"/>
          <w:lang w:val="en-US" w:eastAsia="zh-CN"/>
        </w:rPr>
        <w:t>=10</w:t>
      </w:r>
      <w:r>
        <w:rPr>
          <w:rFonts w:hint="eastAsia" w:ascii="Times New Roman" w:cs="Times New Roman"/>
          <w:sz w:val="21"/>
          <w:szCs w:val="21"/>
          <w:highlight w:val="none"/>
          <w:lang w:val="en-US" w:eastAsia="zh-CN"/>
        </w:rPr>
        <w:t>。</w:t>
      </w:r>
    </w:p>
    <w:p w14:paraId="363BAA5C">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outlineLvl w:val="2"/>
        <w:rPr>
          <w:rFonts w:hint="eastAsia" w:ascii="Times New Roman" w:hAnsi="宋体" w:eastAsia="宋体" w:cs="Times New Roman"/>
          <w:i w:val="0"/>
          <w:iCs w:val="0"/>
          <w:sz w:val="21"/>
          <w:szCs w:val="21"/>
          <w:highlight w:val="none"/>
          <w:lang w:val="en-US" w:eastAsia="zh-CN"/>
        </w:rPr>
      </w:pPr>
      <w:r>
        <w:rPr>
          <w:rFonts w:hint="eastAsia" w:ascii="Times New Roman" w:hAnsi="宋体" w:eastAsia="宋体" w:cs="Times New Roman"/>
          <w:i w:val="0"/>
          <w:iCs w:val="0"/>
          <w:sz w:val="21"/>
          <w:szCs w:val="21"/>
          <w:highlight w:val="none"/>
          <w:lang w:val="en-US" w:eastAsia="zh-CN"/>
        </w:rPr>
        <w:t>6.2.5 稳定性</w:t>
      </w:r>
    </w:p>
    <w:p w14:paraId="1E83E13A">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outlineLvl w:val="2"/>
        <w:rPr>
          <w:rFonts w:hint="default" w:ascii="Times New Roman" w:hAnsi="宋体" w:eastAsia="宋体" w:cs="Times New Roman"/>
          <w:i w:val="0"/>
          <w:iCs w:val="0"/>
          <w:sz w:val="21"/>
          <w:szCs w:val="21"/>
          <w:highlight w:val="none"/>
          <w:lang w:val="en-US" w:eastAsia="zh-CN"/>
        </w:rPr>
      </w:pPr>
      <w:r>
        <w:rPr>
          <w:rFonts w:hint="eastAsia" w:ascii="Times New Roman" w:hAnsi="宋体" w:eastAsia="宋体" w:cs="Times New Roman"/>
          <w:i w:val="0"/>
          <w:iCs w:val="0"/>
          <w:sz w:val="21"/>
          <w:szCs w:val="21"/>
          <w:highlight w:val="none"/>
          <w:lang w:val="en-US" w:eastAsia="zh-CN"/>
        </w:rPr>
        <w:t>在仪器正常工作条件下，调取相应基体工作程序，按表1范围选择有代表性元素及含量范围的</w:t>
      </w:r>
      <w:r>
        <w:rPr>
          <w:rFonts w:hint="default" w:ascii="Times New Roman" w:hAnsi="宋体" w:eastAsia="宋体" w:cs="Times New Roman"/>
          <w:i w:val="0"/>
          <w:iCs w:val="0"/>
          <w:sz w:val="21"/>
          <w:szCs w:val="21"/>
          <w:highlight w:val="none"/>
          <w:lang w:val="en-US" w:eastAsia="zh-CN"/>
        </w:rPr>
        <w:t>光谱分析标准物质</w:t>
      </w:r>
      <w:r>
        <w:rPr>
          <w:rFonts w:hint="eastAsia" w:ascii="Times New Roman" w:hAnsi="宋体" w:eastAsia="宋体" w:cs="Times New Roman"/>
          <w:i w:val="0"/>
          <w:iCs w:val="0"/>
          <w:sz w:val="21"/>
          <w:szCs w:val="21"/>
          <w:highlight w:val="none"/>
          <w:lang w:val="en-US" w:eastAsia="zh-CN"/>
        </w:rPr>
        <w:t>或标准样品，在不少于2h内，间隔15min以上，在样品同一分析面的不同位置重复6次溅射测量。记录各元素测量值或辉光信号值</w:t>
      </w:r>
      <w:r>
        <w:rPr>
          <w:rFonts w:hint="default" w:ascii="Times New Roman" w:hAnsi="宋体" w:eastAsia="宋体" w:cs="Times New Roman"/>
          <w:i w:val="0"/>
          <w:iCs w:val="0"/>
          <w:sz w:val="21"/>
          <w:szCs w:val="21"/>
          <w:highlight w:val="none"/>
          <w:lang w:val="en-US" w:eastAsia="zh-CN"/>
        </w:rPr>
        <w:t>，</w:t>
      </w:r>
      <w:r>
        <w:rPr>
          <w:rFonts w:hint="eastAsia" w:ascii="Times New Roman" w:hAnsi="宋体" w:eastAsia="宋体" w:cs="Times New Roman"/>
          <w:i w:val="0"/>
          <w:iCs w:val="0"/>
          <w:sz w:val="21"/>
          <w:szCs w:val="21"/>
          <w:highlight w:val="none"/>
          <w:lang w:val="en-US" w:eastAsia="zh-CN"/>
        </w:rPr>
        <w:t>按</w:t>
      </w:r>
      <w:r>
        <w:rPr>
          <w:rFonts w:hint="default" w:ascii="Times New Roman" w:hAnsi="宋体" w:eastAsia="宋体" w:cs="Times New Roman"/>
          <w:i w:val="0"/>
          <w:iCs w:val="0"/>
          <w:sz w:val="21"/>
          <w:szCs w:val="21"/>
          <w:highlight w:val="none"/>
          <w:lang w:val="en-US" w:eastAsia="zh-CN"/>
        </w:rPr>
        <w:t>式（</w:t>
      </w:r>
      <w:r>
        <w:rPr>
          <w:rFonts w:hint="eastAsia" w:ascii="Times New Roman" w:hAnsi="宋体" w:eastAsia="宋体" w:cs="Times New Roman"/>
          <w:i w:val="0"/>
          <w:iCs w:val="0"/>
          <w:sz w:val="21"/>
          <w:szCs w:val="21"/>
          <w:highlight w:val="none"/>
          <w:lang w:val="en-US" w:eastAsia="zh-CN"/>
        </w:rPr>
        <w:t>4</w:t>
      </w:r>
      <w:r>
        <w:rPr>
          <w:rFonts w:hint="default" w:ascii="Times New Roman" w:hAnsi="宋体" w:eastAsia="宋体" w:cs="Times New Roman"/>
          <w:i w:val="0"/>
          <w:iCs w:val="0"/>
          <w:sz w:val="21"/>
          <w:szCs w:val="21"/>
          <w:highlight w:val="none"/>
          <w:lang w:val="en-US" w:eastAsia="zh-CN"/>
        </w:rPr>
        <w:t>）计算测量值的相对标准偏差</w:t>
      </w:r>
      <w:r>
        <w:rPr>
          <w:rFonts w:hint="eastAsia" w:ascii="Times New Roman" w:hAnsi="宋体" w:eastAsia="宋体" w:cs="Times New Roman"/>
          <w:i w:val="0"/>
          <w:iCs w:val="0"/>
          <w:sz w:val="21"/>
          <w:szCs w:val="21"/>
          <w:highlight w:val="none"/>
          <w:lang w:val="en-US" w:eastAsia="zh-CN"/>
        </w:rPr>
        <w:t>即</w:t>
      </w:r>
      <w:r>
        <w:rPr>
          <w:rFonts w:hint="default" w:ascii="Times New Roman" w:hAnsi="宋体" w:eastAsia="宋体" w:cs="Times New Roman"/>
          <w:i w:val="0"/>
          <w:iCs w:val="0"/>
          <w:sz w:val="21"/>
          <w:szCs w:val="21"/>
          <w:highlight w:val="none"/>
          <w:lang w:val="en-US" w:eastAsia="zh-CN"/>
        </w:rPr>
        <w:t>为稳定性。</w:t>
      </w:r>
    </w:p>
    <w:p w14:paraId="563E5BB8">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both"/>
        <w:textAlignment w:val="auto"/>
        <w:outlineLvl w:val="2"/>
        <w:rPr>
          <w:rFonts w:hint="default" w:ascii="Times New Roman" w:hAnsi="宋体" w:eastAsia="宋体" w:cs="Times New Roman"/>
          <w:i w:val="0"/>
          <w:iCs w:val="0"/>
          <w:sz w:val="21"/>
          <w:szCs w:val="21"/>
          <w:highlight w:val="none"/>
          <w:lang w:val="en-US" w:eastAsia="zh-CN"/>
        </w:rPr>
      </w:pPr>
      <w:r>
        <w:rPr>
          <w:rFonts w:hint="eastAsia" w:ascii="Times New Roman" w:hAnsi="宋体" w:eastAsia="宋体" w:cs="Times New Roman"/>
          <w:i w:val="0"/>
          <w:iCs w:val="0"/>
          <w:sz w:val="21"/>
          <w:szCs w:val="21"/>
          <w:highlight w:val="none"/>
          <w:lang w:val="en-US" w:eastAsia="zh-CN"/>
        </w:rPr>
        <w:t xml:space="preserve">6.2.6 </w:t>
      </w:r>
      <w:r>
        <w:rPr>
          <w:rFonts w:hint="default" w:ascii="Times New Roman" w:hAnsi="宋体" w:eastAsia="宋体" w:cs="Times New Roman"/>
          <w:i w:val="0"/>
          <w:iCs w:val="0"/>
          <w:sz w:val="21"/>
          <w:szCs w:val="21"/>
          <w:highlight w:val="none"/>
          <w:lang w:val="en-US" w:eastAsia="zh-CN"/>
        </w:rPr>
        <w:t>深度测量重复性</w:t>
      </w:r>
      <w:r>
        <w:rPr>
          <w:rFonts w:hint="eastAsia" w:ascii="Times New Roman" w:hAnsi="宋体" w:eastAsia="宋体" w:cs="Times New Roman"/>
          <w:i w:val="0"/>
          <w:iCs w:val="0"/>
          <w:sz w:val="21"/>
          <w:szCs w:val="21"/>
          <w:highlight w:val="none"/>
          <w:lang w:val="en-US" w:eastAsia="zh-CN"/>
        </w:rPr>
        <w:t xml:space="preserve"> </w:t>
      </w:r>
    </w:p>
    <w:p w14:paraId="1A595E5F">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outlineLvl w:val="2"/>
        <w:rPr>
          <w:rFonts w:hint="default" w:ascii="Times New Roman" w:cs="Times New Roman"/>
          <w:i w:val="0"/>
          <w:iCs w:val="0"/>
          <w:sz w:val="21"/>
          <w:szCs w:val="21"/>
          <w:highlight w:val="none"/>
          <w:lang w:val="en-US" w:eastAsia="zh-CN"/>
        </w:rPr>
      </w:pPr>
      <w:r>
        <w:rPr>
          <w:rFonts w:hint="eastAsia" w:ascii="Times New Roman" w:cs="Times New Roman"/>
          <w:i w:val="0"/>
          <w:iCs w:val="0"/>
          <w:sz w:val="21"/>
          <w:szCs w:val="21"/>
          <w:highlight w:val="none"/>
          <w:lang w:val="en-US" w:eastAsia="zh-CN"/>
        </w:rPr>
        <w:t>将镀层厚度有证标准物质安装到位，切换至深度剖析模式，设置深度剖析参数，在样品同一分析面不同未溅射区域，重复7次深度剖析测量，记录每次镀层厚度测量值，标准物质证书给出参考厚度</w:t>
      </w:r>
      <w:r>
        <w:rPr>
          <w:rFonts w:hint="eastAsia" w:ascii="Times New Roman" w:cs="Times New Roman"/>
          <w:i w:val="0"/>
          <w:iCs w:val="0"/>
          <w:position w:val="-12"/>
          <w:sz w:val="21"/>
          <w:szCs w:val="21"/>
          <w:highlight w:val="none"/>
          <w:lang w:val="en-US" w:eastAsia="zh-CN"/>
        </w:rPr>
        <w:object>
          <v:shape id="_x0000_i1042" o:spt="75" type="#_x0000_t75" style="height:18pt;width:13.95pt;" o:ole="t" filled="f" o:preferrelative="t" stroked="f" coordsize="21600,21600">
            <v:path/>
            <v:fill on="f" focussize="0,0"/>
            <v:stroke on="f"/>
            <v:imagedata r:id="rId25" o:title=""/>
            <o:lock v:ext="edit" aspectratio="t"/>
            <w10:wrap type="none"/>
            <w10:anchorlock/>
          </v:shape>
          <o:OLEObject Type="Embed" ProgID="Equation.KSEE3" ShapeID="_x0000_i1042" DrawAspect="Content" ObjectID="_1468075734" r:id="rId24">
            <o:LockedField>false</o:LockedField>
          </o:OLEObject>
        </w:object>
      </w:r>
      <w:r>
        <w:rPr>
          <w:rFonts w:hint="eastAsia" w:ascii="Times New Roman" w:cs="Times New Roman"/>
          <w:i w:val="0"/>
          <w:iCs w:val="0"/>
          <w:sz w:val="21"/>
          <w:szCs w:val="21"/>
          <w:highlight w:val="none"/>
          <w:lang w:val="en-US" w:eastAsia="zh-CN"/>
        </w:rPr>
        <w:t>。</w:t>
      </w:r>
      <w:r>
        <w:rPr>
          <w:rFonts w:hint="eastAsia" w:ascii="Times New Roman"/>
          <w:sz w:val="21"/>
          <w:szCs w:val="21"/>
          <w:highlight w:val="none"/>
          <w:lang w:val="en-US" w:eastAsia="zh-CN"/>
        </w:rPr>
        <w:t>按式</w:t>
      </w:r>
      <w:r>
        <w:rPr>
          <w:rFonts w:hint="default" w:ascii="Times New Roman" w:hAnsi="Times New Roman" w:cs="Times New Roman"/>
          <w:i w:val="0"/>
          <w:iCs w:val="0"/>
          <w:sz w:val="21"/>
          <w:szCs w:val="21"/>
          <w:highlight w:val="none"/>
          <w:lang w:val="en-US" w:eastAsia="zh-CN"/>
        </w:rPr>
        <w:t>（</w:t>
      </w:r>
      <w:r>
        <w:rPr>
          <w:rFonts w:hint="eastAsia" w:ascii="Times New Roman" w:cs="Times New Roman"/>
          <w:i w:val="0"/>
          <w:iCs w:val="0"/>
          <w:sz w:val="21"/>
          <w:szCs w:val="21"/>
          <w:highlight w:val="none"/>
          <w:lang w:val="en-US" w:eastAsia="zh-CN"/>
        </w:rPr>
        <w:t>5</w:t>
      </w:r>
      <w:r>
        <w:rPr>
          <w:rFonts w:hint="default" w:ascii="Times New Roman" w:hAnsi="Times New Roman" w:cs="Times New Roman"/>
          <w:i w:val="0"/>
          <w:iCs w:val="0"/>
          <w:sz w:val="21"/>
          <w:szCs w:val="21"/>
          <w:highlight w:val="none"/>
          <w:lang w:val="en-US" w:eastAsia="zh-CN"/>
        </w:rPr>
        <w:t>）</w:t>
      </w:r>
      <w:r>
        <w:rPr>
          <w:rFonts w:hint="eastAsia" w:ascii="Times New Roman"/>
          <w:sz w:val="21"/>
          <w:szCs w:val="21"/>
          <w:highlight w:val="none"/>
          <w:lang w:val="en-US" w:eastAsia="zh-CN"/>
        </w:rPr>
        <w:t>计算相对标准偏差即为厚度测量重复性。</w:t>
      </w:r>
    </w:p>
    <w:p w14:paraId="0F241E4E">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0" w:firstLineChars="0"/>
        <w:jc w:val="center"/>
        <w:textAlignment w:val="auto"/>
        <w:rPr>
          <w:rFonts w:hint="default" w:ascii="Times New Roman" w:hAnsi="Times New Roman" w:cs="Times New Roman"/>
          <w:i w:val="0"/>
          <w:iCs/>
          <w:sz w:val="21"/>
          <w:szCs w:val="21"/>
          <w:highlight w:val="none"/>
          <w:lang w:val="en-US" w:eastAsia="zh-CN" w:bidi="ar-SA"/>
        </w:rPr>
      </w:pPr>
      <w:r>
        <w:rPr>
          <w:rFonts w:hint="eastAsia" w:ascii="Times New Roman" w:cs="Times New Roman"/>
          <w:i w:val="0"/>
          <w:sz w:val="21"/>
          <w:szCs w:val="21"/>
          <w:highlight w:val="none"/>
          <w:lang w:val="en-US" w:eastAsia="zh-CN" w:bidi="ar-SA"/>
        </w:rPr>
        <w:t xml:space="preserve">                             </w:t>
      </w:r>
      <w:r>
        <w:rPr>
          <w:rFonts w:hint="eastAsia" w:ascii="Times New Roman" w:cs="Times New Roman"/>
          <w:i/>
          <w:iCs/>
          <w:position w:val="-26"/>
          <w:sz w:val="21"/>
          <w:szCs w:val="21"/>
          <w:highlight w:val="none"/>
          <w:lang w:val="en-US" w:eastAsia="zh-CN" w:bidi="ar-SA"/>
        </w:rPr>
        <w:object>
          <v:shape id="_x0000_i1043" o:spt="75" type="#_x0000_t75" style="height:40pt;width:168pt;" o:ole="t" filled="f" o:preferrelative="t" stroked="f" coordsize="21600,21600">
            <v:path/>
            <v:fill on="f" focussize="0,0"/>
            <v:stroke on="f"/>
            <v:imagedata r:id="rId27" o:title=""/>
            <o:lock v:ext="edit" aspectratio="t"/>
            <w10:wrap type="none"/>
            <w10:anchorlock/>
          </v:shape>
          <o:OLEObject Type="Embed" ProgID="Equation.KSEE3" ShapeID="_x0000_i1043" DrawAspect="Content" ObjectID="_1468075735" r:id="rId26">
            <o:LockedField>false</o:LockedField>
          </o:OLEObject>
        </w:object>
      </w:r>
      <w:r>
        <w:rPr>
          <w:rFonts w:hint="eastAsia" w:ascii="Times New Roman" w:cs="Times New Roman"/>
          <w:i w:val="0"/>
          <w:sz w:val="21"/>
          <w:szCs w:val="21"/>
          <w:highlight w:val="none"/>
          <w:lang w:val="en-US" w:eastAsia="zh-CN" w:bidi="ar-SA"/>
        </w:rPr>
        <w:t xml:space="preserve"> </w:t>
      </w:r>
      <w:r>
        <w:rPr>
          <w:rFonts w:hint="eastAsia" w:hAnsi="Cambria Math" w:cs="Times New Roman"/>
          <w:i w:val="0"/>
          <w:iCs/>
          <w:sz w:val="21"/>
          <w:szCs w:val="21"/>
          <w:highlight w:val="none"/>
          <w:lang w:val="en-US" w:eastAsia="zh-CN" w:bidi="ar-SA"/>
        </w:rPr>
        <w:t xml:space="preserve">                </w:t>
      </w:r>
      <w:r>
        <w:rPr>
          <w:rFonts w:hint="default" w:ascii="Times New Roman" w:hAnsi="Times New Roman" w:cs="Times New Roman"/>
          <w:i w:val="0"/>
          <w:iCs/>
          <w:sz w:val="21"/>
          <w:szCs w:val="21"/>
          <w:highlight w:val="none"/>
          <w:lang w:val="en-US" w:eastAsia="zh-CN" w:bidi="ar-SA"/>
        </w:rPr>
        <w:t>(</w:t>
      </w:r>
      <w:r>
        <w:rPr>
          <w:rFonts w:hint="eastAsia" w:ascii="Times New Roman" w:cs="Times New Roman"/>
          <w:i w:val="0"/>
          <w:iCs/>
          <w:sz w:val="21"/>
          <w:szCs w:val="21"/>
          <w:highlight w:val="none"/>
          <w:lang w:val="en-US" w:eastAsia="zh-CN" w:bidi="ar-SA"/>
        </w:rPr>
        <w:t>5</w:t>
      </w:r>
      <w:r>
        <w:rPr>
          <w:rFonts w:hint="default" w:ascii="Times New Roman" w:hAnsi="Times New Roman" w:cs="Times New Roman"/>
          <w:i w:val="0"/>
          <w:iCs/>
          <w:sz w:val="21"/>
          <w:szCs w:val="21"/>
          <w:highlight w:val="none"/>
          <w:lang w:val="en-US" w:eastAsia="zh-CN" w:bidi="ar-SA"/>
        </w:rPr>
        <w:t>)</w:t>
      </w:r>
    </w:p>
    <w:p w14:paraId="474A353B">
      <w:pPr>
        <w:pStyle w:val="60"/>
        <w:keepNext w:val="0"/>
        <w:keepLines w:val="0"/>
        <w:pageBreakBefore w:val="0"/>
        <w:widowControl/>
        <w:kinsoku/>
        <w:wordWrap/>
        <w:overflowPunct/>
        <w:topLinePunct w:val="0"/>
        <w:autoSpaceDE w:val="0"/>
        <w:autoSpaceDN w:val="0"/>
        <w:bidi w:val="0"/>
        <w:adjustRightInd/>
        <w:snapToGrid/>
        <w:spacing w:line="360" w:lineRule="auto"/>
        <w:ind w:left="0" w:leftChars="0" w:firstLine="420" w:firstLineChars="200"/>
        <w:jc w:val="left"/>
        <w:textAlignment w:val="auto"/>
        <w:rPr>
          <w:rFonts w:hint="eastAsia" w:hAnsi="宋体" w:eastAsia="宋体" w:cs="宋体"/>
          <w:sz w:val="21"/>
          <w:szCs w:val="21"/>
          <w:highlight w:val="none"/>
          <w:lang w:val="en-US" w:eastAsia="zh-CN"/>
        </w:rPr>
      </w:pPr>
      <w:r>
        <w:rPr>
          <w:rFonts w:hint="eastAsia" w:hAnsi="宋体" w:eastAsia="宋体" w:cs="宋体"/>
          <w:sz w:val="21"/>
          <w:szCs w:val="21"/>
          <w:highlight w:val="none"/>
          <w:lang w:val="en-US" w:eastAsia="zh-CN"/>
        </w:rPr>
        <w:t>式中：</w:t>
      </w:r>
    </w:p>
    <w:p w14:paraId="0BD345EC">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eastAsia" w:ascii="Times New Roman" w:hAnsi="Times New Roman" w:eastAsia="宋体" w:cs="Times New Roman"/>
          <w:i w:val="0"/>
          <w:iCs w:val="0"/>
          <w:sz w:val="21"/>
          <w:szCs w:val="21"/>
          <w:highlight w:val="none"/>
          <w:lang w:val="en-US" w:eastAsia="zh-CN"/>
        </w:rPr>
      </w:pPr>
      <w:r>
        <w:rPr>
          <w:rFonts w:hint="eastAsia" w:ascii="Times New Roman" w:cs="Times New Roman"/>
          <w:position w:val="-12"/>
          <w:sz w:val="21"/>
          <w:szCs w:val="21"/>
          <w:vertAlign w:val="subscript"/>
          <w:lang w:val="en-US" w:eastAsia="zh-CN"/>
        </w:rPr>
        <w:object>
          <v:shape id="_x0000_i1044" o:spt="75" type="#_x0000_t75" style="height:18pt;width:30pt;" o:ole="t" filled="f" o:preferrelative="t" stroked="f" coordsize="21600,21600">
            <v:path/>
            <v:fill on="f" focussize="0,0"/>
            <v:stroke on="f"/>
            <v:imagedata r:id="rId29" o:title=""/>
            <o:lock v:ext="edit" aspectratio="t"/>
            <w10:wrap type="none"/>
            <w10:anchorlock/>
          </v:shape>
          <o:OLEObject Type="Embed" ProgID="Equation.KSEE3" ShapeID="_x0000_i1044" DrawAspect="Content" ObjectID="_1468075736" r:id="rId28">
            <o:LockedField>false</o:LockedField>
          </o:OLEObject>
        </w:object>
      </w:r>
      <w:r>
        <w:rPr>
          <w:sz w:val="21"/>
          <w:szCs w:val="21"/>
        </w:rPr>
        <w:t>——</w:t>
      </w:r>
      <w:r>
        <w:rPr>
          <w:rFonts w:hint="eastAsia"/>
          <w:sz w:val="21"/>
          <w:szCs w:val="21"/>
          <w:lang w:val="en-US" w:eastAsia="zh-CN"/>
        </w:rPr>
        <w:t>厚度测量重复性</w:t>
      </w:r>
      <w:r>
        <w:rPr>
          <w:rFonts w:hint="eastAsia" w:ascii="Times New Roman" w:cs="Times New Roman"/>
          <w:sz w:val="21"/>
          <w:szCs w:val="21"/>
          <w:highlight w:val="none"/>
          <w:lang w:val="en-US" w:eastAsia="zh-CN"/>
        </w:rPr>
        <w:t>，%</w:t>
      </w:r>
      <w:r>
        <w:rPr>
          <w:rFonts w:hint="eastAsia" w:ascii="Times New Roman" w:hAnsi="Times New Roman" w:eastAsia="宋体" w:cs="Times New Roman"/>
          <w:i w:val="0"/>
          <w:iCs w:val="0"/>
          <w:sz w:val="21"/>
          <w:szCs w:val="21"/>
          <w:highlight w:val="none"/>
          <w:lang w:val="en-US" w:eastAsia="zh-CN"/>
        </w:rPr>
        <w:t>；</w:t>
      </w:r>
    </w:p>
    <w:p w14:paraId="5DEC08A7">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eastAsia" w:ascii="Times New Roman" w:hAnsi="Times New Roman" w:eastAsia="宋体" w:cs="Times New Roman"/>
          <w:i w:val="0"/>
          <w:iCs w:val="0"/>
          <w:sz w:val="21"/>
          <w:szCs w:val="21"/>
          <w:highlight w:val="none"/>
          <w:lang w:val="en-US" w:eastAsia="zh-CN"/>
        </w:rPr>
      </w:pPr>
      <w:r>
        <w:rPr>
          <w:position w:val="-12"/>
          <w:sz w:val="21"/>
          <w:szCs w:val="21"/>
        </w:rPr>
        <w:object>
          <v:shape id="_x0000_i1045" o:spt="75" type="#_x0000_t75" style="height:18pt;width:11.3pt;" o:ole="t" filled="f" o:preferrelative="t" stroked="f" coordsize="21600,21600">
            <v:path/>
            <v:fill on="f" focussize="0,0"/>
            <v:stroke on="f"/>
            <v:imagedata r:id="rId31" o:title=""/>
            <o:lock v:ext="edit" aspectratio="t"/>
            <w10:wrap type="none"/>
            <w10:anchorlock/>
          </v:shape>
          <o:OLEObject Type="Embed" ProgID="Equation.KSEE3" ShapeID="_x0000_i1045" DrawAspect="Content" ObjectID="_1468075737" r:id="rId30">
            <o:LockedField>false</o:LockedField>
          </o:OLEObject>
        </w:object>
      </w:r>
      <w:r>
        <w:rPr>
          <w:sz w:val="21"/>
          <w:szCs w:val="21"/>
        </w:rPr>
        <w:t>——</w:t>
      </w:r>
      <w:r>
        <w:rPr>
          <w:rFonts w:hint="eastAsia"/>
          <w:sz w:val="21"/>
          <w:szCs w:val="21"/>
          <w:lang w:val="en-US" w:eastAsia="zh-CN"/>
        </w:rPr>
        <w:t>厚度单次测量值，</w:t>
      </w:r>
      <w:r>
        <w:rPr>
          <w:rFonts w:hint="default" w:ascii="Times New Roman" w:hAnsi="Times New Roman" w:cs="Times New Roman"/>
          <w:sz w:val="21"/>
          <w:szCs w:val="21"/>
          <w:lang w:val="en-US" w:eastAsia="zh-CN"/>
        </w:rPr>
        <w:t>μm</w:t>
      </w:r>
      <w:r>
        <w:rPr>
          <w:rFonts w:hint="eastAsia" w:ascii="Times New Roman" w:hAnsi="Times New Roman" w:eastAsia="宋体" w:cs="Times New Roman"/>
          <w:i w:val="0"/>
          <w:iCs w:val="0"/>
          <w:sz w:val="21"/>
          <w:szCs w:val="21"/>
          <w:highlight w:val="none"/>
          <w:lang w:val="en-US" w:eastAsia="zh-CN"/>
        </w:rPr>
        <w:t>；</w:t>
      </w:r>
    </w:p>
    <w:p w14:paraId="1DC91D87">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default" w:ascii="Times New Roman" w:hAnsi="Times New Roman" w:cs="Times New Roman"/>
          <w:sz w:val="21"/>
          <w:szCs w:val="21"/>
          <w:highlight w:val="none"/>
          <w:lang w:val="en-US" w:eastAsia="zh-CN"/>
        </w:rPr>
      </w:pPr>
      <w:r>
        <w:rPr>
          <w:rFonts w:hint="eastAsia" w:ascii="Times New Roman" w:hAnsi="Times New Roman" w:eastAsia="宋体" w:cs="Times New Roman"/>
          <w:i w:val="0"/>
          <w:iCs w:val="0"/>
          <w:position w:val="-6"/>
          <w:sz w:val="21"/>
          <w:szCs w:val="21"/>
          <w:highlight w:val="none"/>
          <w:lang w:val="en-US" w:eastAsia="zh-CN"/>
        </w:rPr>
        <w:object>
          <v:shape id="_x0000_i1046" o:spt="75" type="#_x0000_t75" style="height:17pt;width:11pt;" o:ole="t" filled="f" o:preferrelative="t" stroked="f" coordsize="21600,21600">
            <v:path/>
            <v:fill on="f" focussize="0,0"/>
            <v:stroke on="f"/>
            <v:imagedata r:id="rId33" o:title=""/>
            <o:lock v:ext="edit" aspectratio="t"/>
            <w10:wrap type="none"/>
            <w10:anchorlock/>
          </v:shape>
          <o:OLEObject Type="Embed" ProgID="Equation.KSEE3" ShapeID="_x0000_i1046" DrawAspect="Content" ObjectID="_1468075738" r:id="rId32">
            <o:LockedField>false</o:LockedField>
          </o:OLEObject>
        </w:object>
      </w:r>
      <w:r>
        <w:rPr>
          <w:sz w:val="21"/>
          <w:szCs w:val="21"/>
        </w:rPr>
        <w:t>——</w:t>
      </w:r>
      <w:r>
        <w:rPr>
          <w:rFonts w:hint="eastAsia"/>
          <w:sz w:val="21"/>
          <w:szCs w:val="21"/>
          <w:lang w:val="en-US" w:eastAsia="zh-CN"/>
        </w:rPr>
        <w:t>厚度</w:t>
      </w:r>
      <w:r>
        <w:rPr>
          <w:rFonts w:hint="default" w:ascii="Times New Roman" w:hAnsi="Times New Roman" w:cs="Times New Roman"/>
          <w:sz w:val="21"/>
          <w:szCs w:val="21"/>
          <w:lang w:val="en-US" w:eastAsia="zh-CN"/>
        </w:rPr>
        <w:t>7次测量的平均</w:t>
      </w:r>
      <w:r>
        <w:rPr>
          <w:rFonts w:hint="eastAsia" w:ascii="Times New Roman" w:cs="Times New Roman"/>
          <w:sz w:val="21"/>
          <w:szCs w:val="21"/>
          <w:lang w:val="en-US" w:eastAsia="zh-CN"/>
        </w:rPr>
        <w:t>值</w:t>
      </w:r>
      <w:r>
        <w:rPr>
          <w:rFonts w:hint="default" w:ascii="Times New Roman" w:hAnsi="Times New Roman" w:cs="Times New Roman"/>
          <w:sz w:val="21"/>
          <w:szCs w:val="21"/>
          <w:lang w:val="en-US" w:eastAsia="zh-CN"/>
        </w:rPr>
        <w:t>，μm</w:t>
      </w:r>
      <w:r>
        <w:rPr>
          <w:rFonts w:hint="default" w:ascii="Times New Roman" w:hAnsi="Times New Roman" w:eastAsia="宋体" w:cs="Times New Roman"/>
          <w:i w:val="0"/>
          <w:iCs w:val="0"/>
          <w:sz w:val="21"/>
          <w:szCs w:val="21"/>
          <w:highlight w:val="none"/>
          <w:lang w:val="en-US" w:eastAsia="zh-CN"/>
        </w:rPr>
        <w:t>；</w:t>
      </w:r>
    </w:p>
    <w:p w14:paraId="0FD9387E">
      <w:pPr>
        <w:pStyle w:val="60"/>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20" w:firstLineChars="200"/>
        <w:jc w:val="both"/>
        <w:textAlignment w:val="auto"/>
        <w:rPr>
          <w:rFonts w:hint="default" w:ascii="Times New Roman" w:cs="Times New Roman"/>
          <w:i w:val="0"/>
          <w:iCs w:val="0"/>
          <w:sz w:val="21"/>
          <w:szCs w:val="21"/>
          <w:highlight w:val="none"/>
          <w:lang w:val="en-US" w:eastAsia="zh-CN"/>
        </w:rPr>
      </w:pPr>
      <w:r>
        <w:rPr>
          <w:rFonts w:hint="default" w:ascii="Times New Roman" w:hAnsi="Times New Roman" w:cs="Times New Roman"/>
          <w:i/>
          <w:iCs/>
          <w:sz w:val="21"/>
          <w:szCs w:val="21"/>
          <w:highlight w:val="none"/>
          <w:lang w:val="en-US" w:eastAsia="zh-CN"/>
        </w:rPr>
        <w:t>n</w:t>
      </w:r>
      <w:r>
        <w:rPr>
          <w:rFonts w:hint="default" w:ascii="Times New Roman" w:hAnsi="Times New Roman" w:cs="Times New Roman"/>
          <w:sz w:val="21"/>
          <w:szCs w:val="21"/>
        </w:rPr>
        <w:t>——</w:t>
      </w:r>
      <w:r>
        <w:rPr>
          <w:rFonts w:hint="default" w:ascii="Times New Roman" w:hAnsi="Times New Roman" w:cs="Times New Roman"/>
          <w:sz w:val="21"/>
          <w:szCs w:val="21"/>
          <w:lang w:val="en-US" w:eastAsia="zh-CN"/>
        </w:rPr>
        <w:t>厚度测量次数，</w:t>
      </w:r>
      <w:r>
        <w:rPr>
          <w:rFonts w:hint="default" w:ascii="Times New Roman" w:hAnsi="Times New Roman" w:cs="Times New Roman"/>
          <w:i/>
          <w:iCs/>
          <w:sz w:val="21"/>
          <w:szCs w:val="21"/>
          <w:lang w:val="en-US" w:eastAsia="zh-CN"/>
        </w:rPr>
        <w:t>n</w:t>
      </w:r>
      <w:r>
        <w:rPr>
          <w:rFonts w:hint="default" w:ascii="Times New Roman" w:hAnsi="Times New Roman" w:cs="Times New Roman"/>
          <w:sz w:val="21"/>
          <w:szCs w:val="21"/>
          <w:lang w:val="en-US" w:eastAsia="zh-CN"/>
        </w:rPr>
        <w:t xml:space="preserve"> =7</w:t>
      </w:r>
      <w:r>
        <w:rPr>
          <w:rFonts w:hint="eastAsia"/>
          <w:sz w:val="21"/>
          <w:szCs w:val="21"/>
          <w:lang w:val="en-US" w:eastAsia="zh-CN"/>
        </w:rPr>
        <w:t>。</w:t>
      </w:r>
    </w:p>
    <w:p w14:paraId="69A4AA5E">
      <w:pPr>
        <w:pStyle w:val="60"/>
        <w:keepNext w:val="0"/>
        <w:keepLines w:val="0"/>
        <w:pageBreakBefore w:val="0"/>
        <w:kinsoku/>
        <w:wordWrap/>
        <w:overflowPunct/>
        <w:topLinePunct w:val="0"/>
        <w:bidi w:val="0"/>
        <w:adjustRightInd/>
        <w:snapToGrid/>
        <w:spacing w:line="360" w:lineRule="auto"/>
        <w:ind w:firstLine="0" w:firstLineChars="0"/>
        <w:textAlignment w:val="auto"/>
        <w:outlineLvl w:val="0"/>
        <w:rPr>
          <w:rStyle w:val="325"/>
          <w:rFonts w:hint="eastAsia" w:ascii="黑体" w:hAnsi="黑体" w:eastAsia="黑体" w:cs="黑体"/>
          <w:b w:val="0"/>
          <w:bCs w:val="0"/>
          <w:kern w:val="2"/>
          <w:sz w:val="21"/>
          <w:szCs w:val="21"/>
        </w:rPr>
      </w:pPr>
      <w:bookmarkStart w:id="54" w:name="_Toc25583"/>
      <w:bookmarkStart w:id="55" w:name="_Toc8332"/>
      <w:bookmarkStart w:id="56" w:name="_Toc26159"/>
      <w:bookmarkStart w:id="57" w:name="_Toc9263"/>
      <w:bookmarkStart w:id="58" w:name="_Toc13965"/>
      <w:bookmarkStart w:id="59" w:name="_Toc28571"/>
      <w:bookmarkStart w:id="60" w:name="_Toc7966"/>
      <w:bookmarkStart w:id="61" w:name="_Toc11130"/>
      <w:bookmarkStart w:id="62" w:name="_Toc15252"/>
      <w:bookmarkStart w:id="63" w:name="_Toc18447"/>
      <w:bookmarkStart w:id="64" w:name="_Toc1835"/>
      <w:bookmarkStart w:id="65" w:name="_Toc18838"/>
      <w:bookmarkStart w:id="66" w:name="_Toc14162"/>
      <w:r>
        <w:rPr>
          <w:rStyle w:val="325"/>
          <w:rFonts w:hint="eastAsia" w:ascii="黑体" w:hAnsi="黑体" w:eastAsia="黑体" w:cs="黑体"/>
          <w:b w:val="0"/>
          <w:bCs w:val="0"/>
          <w:kern w:val="2"/>
          <w:sz w:val="21"/>
          <w:szCs w:val="21"/>
        </w:rPr>
        <w:t>7 校准结果表达</w:t>
      </w:r>
      <w:bookmarkEnd w:id="54"/>
      <w:bookmarkEnd w:id="55"/>
      <w:bookmarkEnd w:id="56"/>
      <w:bookmarkEnd w:id="57"/>
      <w:bookmarkEnd w:id="58"/>
      <w:bookmarkEnd w:id="59"/>
    </w:p>
    <w:p w14:paraId="4A20C95C">
      <w:pPr>
        <w:pStyle w:val="60"/>
        <w:keepNext w:val="0"/>
        <w:keepLines w:val="0"/>
        <w:pageBreakBefore w:val="0"/>
        <w:widowControl/>
        <w:kinsoku/>
        <w:wordWrap/>
        <w:overflowPunct/>
        <w:topLinePunct w:val="0"/>
        <w:autoSpaceDE w:val="0"/>
        <w:autoSpaceDN w:val="0"/>
        <w:bidi w:val="0"/>
        <w:adjustRightInd/>
        <w:snapToGrid/>
        <w:spacing w:line="360" w:lineRule="auto"/>
        <w:ind w:firstLine="420" w:firstLineChars="200"/>
        <w:textAlignment w:val="auto"/>
        <w:outlineLvl w:val="9"/>
        <w:rPr>
          <w:rFonts w:ascii="Times New Roman"/>
          <w:sz w:val="21"/>
          <w:szCs w:val="21"/>
        </w:rPr>
      </w:pPr>
      <w:r>
        <w:rPr>
          <w:rFonts w:hint="eastAsia" w:ascii="Times New Roman"/>
          <w:sz w:val="21"/>
          <w:szCs w:val="21"/>
        </w:rPr>
        <w:t>校准结果应在校准证书上反映</w:t>
      </w:r>
      <w:r>
        <w:rPr>
          <w:rFonts w:hint="eastAsia" w:ascii="Times New Roman"/>
          <w:sz w:val="21"/>
          <w:szCs w:val="21"/>
          <w:lang w:eastAsia="zh-CN"/>
        </w:rPr>
        <w:t>。</w:t>
      </w:r>
      <w:r>
        <w:rPr>
          <w:rFonts w:hint="eastAsia" w:ascii="Times New Roman"/>
          <w:sz w:val="21"/>
          <w:szCs w:val="21"/>
        </w:rPr>
        <w:t>校准证书</w:t>
      </w:r>
      <w:r>
        <w:rPr>
          <w:rFonts w:hint="eastAsia" w:ascii="Times New Roman"/>
          <w:sz w:val="21"/>
          <w:szCs w:val="21"/>
          <w:lang w:val="en-US" w:eastAsia="zh-CN"/>
        </w:rPr>
        <w:t>应</w:t>
      </w:r>
      <w:r>
        <w:rPr>
          <w:rFonts w:hint="eastAsia" w:ascii="Times New Roman"/>
          <w:sz w:val="21"/>
          <w:szCs w:val="21"/>
        </w:rPr>
        <w:t>至少包括以下信息：</w:t>
      </w:r>
    </w:p>
    <w:p w14:paraId="29086376">
      <w:pPr>
        <w:pStyle w:val="60"/>
        <w:keepNext w:val="0"/>
        <w:keepLines w:val="0"/>
        <w:pageBreakBefore w:val="0"/>
        <w:widowControl/>
        <w:kinsoku/>
        <w:wordWrap/>
        <w:overflowPunct/>
        <w:topLinePunct w:val="0"/>
        <w:autoSpaceDE w:val="0"/>
        <w:autoSpaceDN w:val="0"/>
        <w:bidi w:val="0"/>
        <w:adjustRightInd/>
        <w:snapToGrid/>
        <w:spacing w:line="360" w:lineRule="auto"/>
        <w:ind w:firstLine="480"/>
        <w:textAlignment w:val="auto"/>
        <w:outlineLvl w:val="9"/>
        <w:rPr>
          <w:rFonts w:ascii="Times New Roman"/>
          <w:sz w:val="21"/>
          <w:szCs w:val="21"/>
        </w:rPr>
      </w:pPr>
      <w:r>
        <w:rPr>
          <w:rFonts w:hint="eastAsia" w:ascii="Times New Roman"/>
          <w:sz w:val="21"/>
          <w:szCs w:val="21"/>
        </w:rPr>
        <w:t>a）</w:t>
      </w:r>
      <w:r>
        <w:rPr>
          <w:rFonts w:ascii="Times New Roman"/>
          <w:sz w:val="21"/>
          <w:szCs w:val="21"/>
        </w:rPr>
        <w:t>标题</w:t>
      </w:r>
      <w:r>
        <w:rPr>
          <w:rFonts w:hint="eastAsia" w:ascii="Times New Roman"/>
          <w:sz w:val="21"/>
          <w:szCs w:val="21"/>
          <w:lang w:eastAsia="zh-CN"/>
        </w:rPr>
        <w:t>：“</w:t>
      </w:r>
      <w:r>
        <w:rPr>
          <w:rFonts w:ascii="Times New Roman"/>
          <w:sz w:val="21"/>
          <w:szCs w:val="21"/>
        </w:rPr>
        <w:t>校准证书</w:t>
      </w:r>
      <w:r>
        <w:rPr>
          <w:rFonts w:hint="eastAsia" w:ascii="Times New Roman"/>
          <w:sz w:val="21"/>
          <w:szCs w:val="21"/>
          <w:lang w:eastAsia="zh-CN"/>
        </w:rPr>
        <w:t>”</w:t>
      </w:r>
      <w:r>
        <w:rPr>
          <w:rFonts w:hint="eastAsia" w:ascii="Times New Roman"/>
          <w:sz w:val="21"/>
          <w:szCs w:val="21"/>
        </w:rPr>
        <w:t>；</w:t>
      </w:r>
    </w:p>
    <w:p w14:paraId="179FC187">
      <w:pPr>
        <w:pStyle w:val="60"/>
        <w:keepNext w:val="0"/>
        <w:keepLines w:val="0"/>
        <w:pageBreakBefore w:val="0"/>
        <w:widowControl/>
        <w:kinsoku/>
        <w:wordWrap/>
        <w:overflowPunct/>
        <w:topLinePunct w:val="0"/>
        <w:autoSpaceDE w:val="0"/>
        <w:autoSpaceDN w:val="0"/>
        <w:bidi w:val="0"/>
        <w:adjustRightInd/>
        <w:snapToGrid/>
        <w:spacing w:line="360" w:lineRule="auto"/>
        <w:ind w:firstLine="480"/>
        <w:textAlignment w:val="auto"/>
        <w:outlineLvl w:val="9"/>
        <w:rPr>
          <w:rFonts w:ascii="Times New Roman"/>
          <w:sz w:val="21"/>
          <w:szCs w:val="21"/>
        </w:rPr>
      </w:pPr>
      <w:r>
        <w:rPr>
          <w:rFonts w:hint="eastAsia" w:ascii="Times New Roman"/>
          <w:sz w:val="21"/>
          <w:szCs w:val="21"/>
        </w:rPr>
        <w:t>b）</w:t>
      </w:r>
      <w:r>
        <w:rPr>
          <w:rFonts w:ascii="Times New Roman"/>
          <w:sz w:val="21"/>
          <w:szCs w:val="21"/>
        </w:rPr>
        <w:t>实验室的名称和地址</w:t>
      </w:r>
      <w:r>
        <w:rPr>
          <w:rFonts w:hint="eastAsia" w:ascii="Times New Roman"/>
          <w:sz w:val="21"/>
          <w:szCs w:val="21"/>
        </w:rPr>
        <w:t>；</w:t>
      </w:r>
    </w:p>
    <w:p w14:paraId="6CA2195E">
      <w:pPr>
        <w:pStyle w:val="60"/>
        <w:keepNext w:val="0"/>
        <w:keepLines w:val="0"/>
        <w:pageBreakBefore w:val="0"/>
        <w:widowControl/>
        <w:kinsoku/>
        <w:wordWrap/>
        <w:overflowPunct/>
        <w:topLinePunct w:val="0"/>
        <w:autoSpaceDE w:val="0"/>
        <w:autoSpaceDN w:val="0"/>
        <w:bidi w:val="0"/>
        <w:adjustRightInd/>
        <w:snapToGrid/>
        <w:spacing w:line="360" w:lineRule="auto"/>
        <w:ind w:firstLine="480"/>
        <w:textAlignment w:val="auto"/>
        <w:outlineLvl w:val="9"/>
        <w:rPr>
          <w:rFonts w:ascii="Times New Roman"/>
          <w:sz w:val="21"/>
          <w:szCs w:val="21"/>
        </w:rPr>
      </w:pPr>
      <w:r>
        <w:rPr>
          <w:rFonts w:hint="eastAsia" w:ascii="Times New Roman"/>
          <w:sz w:val="21"/>
          <w:szCs w:val="21"/>
        </w:rPr>
        <w:t>c）实施校准活动的地点，包括客户设施、实验室固定设施以外的地点；</w:t>
      </w:r>
    </w:p>
    <w:p w14:paraId="04AA6F01">
      <w:pPr>
        <w:pStyle w:val="60"/>
        <w:keepNext w:val="0"/>
        <w:keepLines w:val="0"/>
        <w:pageBreakBefore w:val="0"/>
        <w:widowControl/>
        <w:kinsoku/>
        <w:wordWrap/>
        <w:overflowPunct/>
        <w:topLinePunct w:val="0"/>
        <w:autoSpaceDE w:val="0"/>
        <w:autoSpaceDN w:val="0"/>
        <w:bidi w:val="0"/>
        <w:adjustRightInd/>
        <w:snapToGrid/>
        <w:spacing w:line="360" w:lineRule="auto"/>
        <w:ind w:firstLine="480"/>
        <w:textAlignment w:val="auto"/>
        <w:outlineLvl w:val="9"/>
        <w:rPr>
          <w:rFonts w:ascii="Times New Roman"/>
          <w:sz w:val="21"/>
          <w:szCs w:val="21"/>
        </w:rPr>
      </w:pPr>
      <w:r>
        <w:rPr>
          <w:rFonts w:hint="eastAsia" w:ascii="Times New Roman"/>
          <w:sz w:val="21"/>
          <w:szCs w:val="21"/>
        </w:rPr>
        <w:t>d）</w:t>
      </w:r>
      <w:r>
        <w:rPr>
          <w:rFonts w:ascii="Times New Roman"/>
          <w:sz w:val="21"/>
          <w:szCs w:val="21"/>
        </w:rPr>
        <w:t>证书的唯一性标识（如编号），每页及总页数的标识</w:t>
      </w:r>
      <w:r>
        <w:rPr>
          <w:rFonts w:hint="eastAsia" w:ascii="Times New Roman"/>
          <w:sz w:val="21"/>
          <w:szCs w:val="21"/>
        </w:rPr>
        <w:t>；</w:t>
      </w:r>
    </w:p>
    <w:p w14:paraId="70D2BFDE">
      <w:pPr>
        <w:pStyle w:val="60"/>
        <w:keepNext w:val="0"/>
        <w:keepLines w:val="0"/>
        <w:pageBreakBefore w:val="0"/>
        <w:widowControl/>
        <w:kinsoku/>
        <w:wordWrap/>
        <w:overflowPunct/>
        <w:topLinePunct w:val="0"/>
        <w:autoSpaceDE w:val="0"/>
        <w:autoSpaceDN w:val="0"/>
        <w:bidi w:val="0"/>
        <w:adjustRightInd/>
        <w:snapToGrid/>
        <w:spacing w:line="360" w:lineRule="auto"/>
        <w:ind w:firstLine="480"/>
        <w:textAlignment w:val="auto"/>
        <w:outlineLvl w:val="9"/>
        <w:rPr>
          <w:rFonts w:ascii="Times New Roman"/>
          <w:sz w:val="21"/>
          <w:szCs w:val="21"/>
        </w:rPr>
      </w:pPr>
      <w:r>
        <w:rPr>
          <w:rFonts w:hint="eastAsia" w:ascii="Times New Roman"/>
          <w:sz w:val="21"/>
          <w:szCs w:val="21"/>
        </w:rPr>
        <w:t>e）客户的</w:t>
      </w:r>
      <w:r>
        <w:rPr>
          <w:rFonts w:ascii="Times New Roman"/>
          <w:sz w:val="21"/>
          <w:szCs w:val="21"/>
        </w:rPr>
        <w:t>名称和</w:t>
      </w:r>
      <w:r>
        <w:rPr>
          <w:rFonts w:hint="eastAsia" w:ascii="Times New Roman"/>
          <w:sz w:val="21"/>
          <w:szCs w:val="21"/>
        </w:rPr>
        <w:t>联络信息；</w:t>
      </w:r>
    </w:p>
    <w:p w14:paraId="43268087">
      <w:pPr>
        <w:pStyle w:val="60"/>
        <w:keepNext w:val="0"/>
        <w:keepLines w:val="0"/>
        <w:pageBreakBefore w:val="0"/>
        <w:widowControl/>
        <w:kinsoku/>
        <w:wordWrap/>
        <w:overflowPunct/>
        <w:topLinePunct w:val="0"/>
        <w:autoSpaceDE w:val="0"/>
        <w:autoSpaceDN w:val="0"/>
        <w:bidi w:val="0"/>
        <w:adjustRightInd/>
        <w:snapToGrid/>
        <w:spacing w:line="360" w:lineRule="auto"/>
        <w:ind w:firstLine="480"/>
        <w:textAlignment w:val="auto"/>
        <w:outlineLvl w:val="9"/>
        <w:rPr>
          <w:rFonts w:ascii="Times New Roman"/>
          <w:sz w:val="21"/>
          <w:szCs w:val="21"/>
        </w:rPr>
      </w:pPr>
      <w:r>
        <w:rPr>
          <w:rFonts w:hint="eastAsia" w:ascii="Times New Roman"/>
          <w:sz w:val="21"/>
          <w:szCs w:val="21"/>
        </w:rPr>
        <w:t>f）</w:t>
      </w:r>
      <w:r>
        <w:rPr>
          <w:rFonts w:ascii="Times New Roman"/>
          <w:sz w:val="21"/>
          <w:szCs w:val="21"/>
        </w:rPr>
        <w:t>被校</w:t>
      </w:r>
      <w:r>
        <w:rPr>
          <w:rFonts w:hint="eastAsia" w:ascii="Times New Roman"/>
          <w:sz w:val="21"/>
          <w:szCs w:val="21"/>
          <w:lang w:val="en-US" w:eastAsia="zh-CN"/>
        </w:rPr>
        <w:t>仪器</w:t>
      </w:r>
      <w:r>
        <w:rPr>
          <w:rFonts w:ascii="Times New Roman"/>
          <w:sz w:val="21"/>
          <w:szCs w:val="21"/>
        </w:rPr>
        <w:t>的</w:t>
      </w:r>
      <w:r>
        <w:rPr>
          <w:rFonts w:hint="eastAsia" w:ascii="Times New Roman"/>
          <w:sz w:val="21"/>
          <w:szCs w:val="21"/>
          <w:lang w:val="en-US" w:eastAsia="zh-CN"/>
        </w:rPr>
        <w:t>制造单位、名称、型号及编号或其他</w:t>
      </w:r>
      <w:r>
        <w:rPr>
          <w:rFonts w:ascii="Times New Roman"/>
          <w:sz w:val="21"/>
          <w:szCs w:val="21"/>
        </w:rPr>
        <w:t>标识</w:t>
      </w:r>
      <w:r>
        <w:rPr>
          <w:rFonts w:hint="eastAsia" w:ascii="Times New Roman"/>
          <w:sz w:val="21"/>
          <w:szCs w:val="21"/>
        </w:rPr>
        <w:t>；</w:t>
      </w:r>
    </w:p>
    <w:p w14:paraId="1B1DEC5D">
      <w:pPr>
        <w:pStyle w:val="60"/>
        <w:keepNext w:val="0"/>
        <w:keepLines w:val="0"/>
        <w:pageBreakBefore w:val="0"/>
        <w:widowControl/>
        <w:kinsoku/>
        <w:wordWrap/>
        <w:overflowPunct/>
        <w:topLinePunct w:val="0"/>
        <w:autoSpaceDE w:val="0"/>
        <w:autoSpaceDN w:val="0"/>
        <w:bidi w:val="0"/>
        <w:adjustRightInd/>
        <w:snapToGrid/>
        <w:spacing w:line="360" w:lineRule="auto"/>
        <w:ind w:firstLine="480"/>
        <w:textAlignment w:val="auto"/>
        <w:outlineLvl w:val="9"/>
        <w:rPr>
          <w:rFonts w:ascii="Times New Roman"/>
          <w:sz w:val="21"/>
          <w:szCs w:val="21"/>
        </w:rPr>
      </w:pPr>
      <w:r>
        <w:rPr>
          <w:rFonts w:hint="eastAsia" w:ascii="Times New Roman"/>
          <w:sz w:val="21"/>
          <w:szCs w:val="21"/>
        </w:rPr>
        <w:t>g）</w:t>
      </w:r>
      <w:r>
        <w:rPr>
          <w:rFonts w:ascii="Times New Roman"/>
          <w:sz w:val="21"/>
          <w:szCs w:val="21"/>
        </w:rPr>
        <w:t>进行校准</w:t>
      </w:r>
      <w:r>
        <w:rPr>
          <w:rFonts w:hint="eastAsia" w:ascii="Times New Roman"/>
          <w:sz w:val="21"/>
          <w:szCs w:val="21"/>
        </w:rPr>
        <w:t>活动</w:t>
      </w:r>
      <w:r>
        <w:rPr>
          <w:rFonts w:ascii="Times New Roman"/>
          <w:sz w:val="21"/>
          <w:szCs w:val="21"/>
        </w:rPr>
        <w:t>的日期，如果与校准结果的有效性和应用有关时，应说明被</w:t>
      </w:r>
      <w:r>
        <w:rPr>
          <w:rFonts w:hint="eastAsia" w:ascii="Times New Roman"/>
          <w:sz w:val="21"/>
          <w:szCs w:val="21"/>
          <w:lang w:eastAsia="zh-CN"/>
        </w:rPr>
        <w:t>校准</w:t>
      </w:r>
      <w:r>
        <w:rPr>
          <w:rFonts w:ascii="Times New Roman"/>
          <w:sz w:val="21"/>
          <w:szCs w:val="21"/>
        </w:rPr>
        <w:t>对象的接</w:t>
      </w:r>
      <w:r>
        <w:rPr>
          <w:rFonts w:hint="eastAsia" w:ascii="Times New Roman"/>
          <w:sz w:val="21"/>
          <w:szCs w:val="21"/>
        </w:rPr>
        <w:t>收</w:t>
      </w:r>
      <w:r>
        <w:rPr>
          <w:rFonts w:ascii="Times New Roman"/>
          <w:sz w:val="21"/>
          <w:szCs w:val="21"/>
        </w:rPr>
        <w:t>日期</w:t>
      </w:r>
      <w:r>
        <w:rPr>
          <w:rFonts w:hint="eastAsia" w:ascii="Times New Roman"/>
          <w:sz w:val="21"/>
          <w:szCs w:val="21"/>
        </w:rPr>
        <w:t>和证书发布日期；</w:t>
      </w:r>
    </w:p>
    <w:p w14:paraId="1C916F9B">
      <w:pPr>
        <w:pStyle w:val="60"/>
        <w:keepNext w:val="0"/>
        <w:keepLines w:val="0"/>
        <w:pageBreakBefore w:val="0"/>
        <w:widowControl/>
        <w:kinsoku/>
        <w:wordWrap/>
        <w:overflowPunct/>
        <w:topLinePunct w:val="0"/>
        <w:autoSpaceDE w:val="0"/>
        <w:autoSpaceDN w:val="0"/>
        <w:bidi w:val="0"/>
        <w:adjustRightInd/>
        <w:snapToGrid/>
        <w:spacing w:line="360" w:lineRule="auto"/>
        <w:ind w:firstLine="480"/>
        <w:textAlignment w:val="auto"/>
        <w:outlineLvl w:val="9"/>
        <w:rPr>
          <w:rFonts w:ascii="Times New Roman"/>
          <w:sz w:val="21"/>
          <w:szCs w:val="21"/>
        </w:rPr>
      </w:pPr>
      <w:r>
        <w:rPr>
          <w:rFonts w:hint="eastAsia" w:ascii="Times New Roman"/>
          <w:sz w:val="21"/>
          <w:szCs w:val="21"/>
        </w:rPr>
        <w:t>h）</w:t>
      </w:r>
      <w:r>
        <w:rPr>
          <w:rFonts w:ascii="Times New Roman"/>
          <w:sz w:val="21"/>
          <w:szCs w:val="21"/>
        </w:rPr>
        <w:t>校准所依据的技术规范的标识，包括名称及代号</w:t>
      </w:r>
      <w:r>
        <w:rPr>
          <w:rFonts w:hint="eastAsia" w:ascii="Times New Roman"/>
          <w:sz w:val="21"/>
          <w:szCs w:val="21"/>
        </w:rPr>
        <w:t>；</w:t>
      </w:r>
    </w:p>
    <w:p w14:paraId="4F393D8D">
      <w:pPr>
        <w:pStyle w:val="60"/>
        <w:keepNext w:val="0"/>
        <w:keepLines w:val="0"/>
        <w:pageBreakBefore w:val="0"/>
        <w:widowControl/>
        <w:kinsoku/>
        <w:wordWrap/>
        <w:overflowPunct/>
        <w:topLinePunct w:val="0"/>
        <w:autoSpaceDE w:val="0"/>
        <w:autoSpaceDN w:val="0"/>
        <w:bidi w:val="0"/>
        <w:adjustRightInd/>
        <w:snapToGrid/>
        <w:spacing w:line="360" w:lineRule="auto"/>
        <w:ind w:firstLine="480"/>
        <w:textAlignment w:val="auto"/>
        <w:outlineLvl w:val="9"/>
        <w:rPr>
          <w:rFonts w:ascii="Times New Roman"/>
          <w:sz w:val="21"/>
          <w:szCs w:val="21"/>
        </w:rPr>
      </w:pPr>
      <w:r>
        <w:rPr>
          <w:rFonts w:hint="eastAsia" w:ascii="Times New Roman"/>
          <w:sz w:val="21"/>
          <w:szCs w:val="21"/>
        </w:rPr>
        <w:t>i）</w:t>
      </w:r>
      <w:r>
        <w:rPr>
          <w:rFonts w:ascii="Times New Roman"/>
          <w:sz w:val="21"/>
          <w:szCs w:val="21"/>
        </w:rPr>
        <w:t>本次校准所用的测量标准和溯源性及有效性说明</w:t>
      </w:r>
      <w:r>
        <w:rPr>
          <w:rFonts w:hint="eastAsia" w:ascii="Times New Roman"/>
          <w:sz w:val="21"/>
          <w:szCs w:val="21"/>
        </w:rPr>
        <w:t>；</w:t>
      </w:r>
    </w:p>
    <w:p w14:paraId="33564DEB">
      <w:pPr>
        <w:pStyle w:val="60"/>
        <w:keepNext w:val="0"/>
        <w:keepLines w:val="0"/>
        <w:pageBreakBefore w:val="0"/>
        <w:widowControl/>
        <w:kinsoku/>
        <w:wordWrap/>
        <w:overflowPunct/>
        <w:topLinePunct w:val="0"/>
        <w:autoSpaceDE w:val="0"/>
        <w:autoSpaceDN w:val="0"/>
        <w:bidi w:val="0"/>
        <w:adjustRightInd/>
        <w:snapToGrid/>
        <w:spacing w:line="360" w:lineRule="auto"/>
        <w:ind w:firstLine="480"/>
        <w:textAlignment w:val="auto"/>
        <w:outlineLvl w:val="9"/>
        <w:rPr>
          <w:rFonts w:ascii="Times New Roman"/>
          <w:sz w:val="21"/>
          <w:szCs w:val="21"/>
        </w:rPr>
      </w:pPr>
      <w:r>
        <w:rPr>
          <w:rFonts w:hint="eastAsia" w:ascii="Times New Roman"/>
          <w:sz w:val="21"/>
          <w:szCs w:val="21"/>
        </w:rPr>
        <w:t>j）</w:t>
      </w:r>
      <w:r>
        <w:rPr>
          <w:rFonts w:ascii="Times New Roman"/>
          <w:sz w:val="21"/>
          <w:szCs w:val="21"/>
        </w:rPr>
        <w:t>校准环境的描述</w:t>
      </w:r>
      <w:r>
        <w:rPr>
          <w:rFonts w:hint="eastAsia" w:ascii="Times New Roman"/>
          <w:sz w:val="21"/>
          <w:szCs w:val="21"/>
        </w:rPr>
        <w:t>；</w:t>
      </w:r>
    </w:p>
    <w:p w14:paraId="227F2C2D">
      <w:pPr>
        <w:pStyle w:val="60"/>
        <w:keepNext w:val="0"/>
        <w:keepLines w:val="0"/>
        <w:pageBreakBefore w:val="0"/>
        <w:widowControl/>
        <w:kinsoku/>
        <w:wordWrap/>
        <w:overflowPunct/>
        <w:topLinePunct w:val="0"/>
        <w:autoSpaceDE w:val="0"/>
        <w:autoSpaceDN w:val="0"/>
        <w:bidi w:val="0"/>
        <w:adjustRightInd/>
        <w:snapToGrid/>
        <w:spacing w:line="360" w:lineRule="auto"/>
        <w:ind w:firstLine="480"/>
        <w:textAlignment w:val="auto"/>
        <w:outlineLvl w:val="9"/>
        <w:rPr>
          <w:rFonts w:ascii="Times New Roman"/>
          <w:sz w:val="21"/>
          <w:szCs w:val="21"/>
        </w:rPr>
      </w:pPr>
      <w:r>
        <w:rPr>
          <w:rFonts w:hint="eastAsia" w:ascii="Times New Roman"/>
          <w:sz w:val="21"/>
          <w:szCs w:val="21"/>
        </w:rPr>
        <w:t>k）</w:t>
      </w:r>
      <w:r>
        <w:rPr>
          <w:rFonts w:ascii="Times New Roman"/>
          <w:sz w:val="21"/>
          <w:szCs w:val="21"/>
        </w:rPr>
        <w:t>校准结果及其测量不确定度的说明（给出整个测量范围校准结果测量不确定度的最大值）</w:t>
      </w:r>
      <w:r>
        <w:rPr>
          <w:rFonts w:hint="eastAsia" w:ascii="Times New Roman"/>
          <w:sz w:val="21"/>
          <w:szCs w:val="21"/>
        </w:rPr>
        <w:t>；</w:t>
      </w:r>
    </w:p>
    <w:p w14:paraId="7DA32D5B">
      <w:pPr>
        <w:pStyle w:val="60"/>
        <w:keepNext w:val="0"/>
        <w:keepLines w:val="0"/>
        <w:pageBreakBefore w:val="0"/>
        <w:widowControl/>
        <w:kinsoku/>
        <w:wordWrap/>
        <w:overflowPunct/>
        <w:topLinePunct w:val="0"/>
        <w:autoSpaceDE w:val="0"/>
        <w:autoSpaceDN w:val="0"/>
        <w:bidi w:val="0"/>
        <w:adjustRightInd/>
        <w:snapToGrid/>
        <w:spacing w:line="360" w:lineRule="auto"/>
        <w:ind w:firstLine="480"/>
        <w:textAlignment w:val="auto"/>
        <w:outlineLvl w:val="9"/>
        <w:rPr>
          <w:rFonts w:hint="eastAsia" w:ascii="Times New Roman"/>
          <w:sz w:val="21"/>
          <w:szCs w:val="21"/>
          <w:lang w:val="en-US" w:eastAsia="zh-CN"/>
        </w:rPr>
      </w:pPr>
      <w:r>
        <w:rPr>
          <w:rFonts w:hint="eastAsia" w:ascii="Times New Roman"/>
          <w:sz w:val="21"/>
          <w:szCs w:val="21"/>
        </w:rPr>
        <w:t>l）</w:t>
      </w:r>
      <w:r>
        <w:rPr>
          <w:rFonts w:hint="eastAsia" w:ascii="Times New Roman"/>
          <w:sz w:val="21"/>
          <w:szCs w:val="21"/>
          <w:lang w:val="en-US" w:eastAsia="zh-CN"/>
        </w:rPr>
        <w:t>对校准规范偏离的说明；</w:t>
      </w:r>
    </w:p>
    <w:p w14:paraId="303B8360">
      <w:pPr>
        <w:pStyle w:val="60"/>
        <w:keepNext w:val="0"/>
        <w:keepLines w:val="0"/>
        <w:pageBreakBefore w:val="0"/>
        <w:kinsoku/>
        <w:wordWrap/>
        <w:overflowPunct/>
        <w:topLinePunct w:val="0"/>
        <w:bidi w:val="0"/>
        <w:adjustRightInd/>
        <w:snapToGrid/>
        <w:spacing w:line="360" w:lineRule="auto"/>
        <w:ind w:firstLine="480"/>
        <w:textAlignment w:val="auto"/>
        <w:rPr>
          <w:rFonts w:hint="eastAsia" w:ascii="Times New Roman"/>
          <w:sz w:val="21"/>
          <w:szCs w:val="21"/>
        </w:rPr>
      </w:pPr>
      <w:r>
        <w:rPr>
          <w:rFonts w:hint="eastAsia" w:ascii="Times New Roman"/>
          <w:sz w:val="21"/>
          <w:szCs w:val="21"/>
        </w:rPr>
        <w:t>m）</w:t>
      </w:r>
      <w:r>
        <w:rPr>
          <w:rFonts w:ascii="Times New Roman"/>
          <w:sz w:val="21"/>
          <w:szCs w:val="21"/>
        </w:rPr>
        <w:t>校准证书校准人</w:t>
      </w:r>
      <w:r>
        <w:rPr>
          <w:rFonts w:hint="eastAsia" w:ascii="Times New Roman"/>
          <w:sz w:val="21"/>
          <w:szCs w:val="21"/>
          <w:lang w:eastAsia="zh-CN"/>
        </w:rPr>
        <w:t>、</w:t>
      </w:r>
      <w:r>
        <w:rPr>
          <w:rFonts w:hint="eastAsia" w:ascii="Times New Roman"/>
          <w:sz w:val="21"/>
          <w:szCs w:val="21"/>
        </w:rPr>
        <w:t>核验人</w:t>
      </w:r>
      <w:r>
        <w:rPr>
          <w:rFonts w:hint="eastAsia" w:ascii="Times New Roman"/>
          <w:sz w:val="21"/>
          <w:szCs w:val="21"/>
          <w:lang w:val="en-US" w:eastAsia="zh-CN"/>
        </w:rPr>
        <w:t>及</w:t>
      </w:r>
      <w:r>
        <w:rPr>
          <w:rFonts w:ascii="Times New Roman"/>
          <w:sz w:val="21"/>
          <w:szCs w:val="21"/>
        </w:rPr>
        <w:t>签发人的签名、职务或等效标识，以及签发日期</w:t>
      </w:r>
      <w:r>
        <w:rPr>
          <w:rFonts w:hint="eastAsia" w:ascii="Times New Roman"/>
          <w:sz w:val="21"/>
          <w:szCs w:val="21"/>
        </w:rPr>
        <w:t>；</w:t>
      </w:r>
    </w:p>
    <w:p w14:paraId="42273353">
      <w:pPr>
        <w:pStyle w:val="60"/>
        <w:keepNext w:val="0"/>
        <w:keepLines w:val="0"/>
        <w:pageBreakBefore w:val="0"/>
        <w:kinsoku/>
        <w:wordWrap/>
        <w:overflowPunct/>
        <w:topLinePunct w:val="0"/>
        <w:bidi w:val="0"/>
        <w:adjustRightInd/>
        <w:snapToGrid/>
        <w:spacing w:line="360" w:lineRule="auto"/>
        <w:ind w:firstLine="480"/>
        <w:textAlignment w:val="auto"/>
        <w:rPr>
          <w:rFonts w:ascii="Times New Roman"/>
          <w:sz w:val="21"/>
          <w:szCs w:val="21"/>
        </w:rPr>
      </w:pPr>
      <w:r>
        <w:rPr>
          <w:rFonts w:hint="eastAsia" w:ascii="Times New Roman"/>
          <w:sz w:val="21"/>
          <w:szCs w:val="21"/>
          <w:lang w:val="en-US" w:eastAsia="zh-CN"/>
        </w:rPr>
        <w:t>n</w:t>
      </w:r>
      <w:r>
        <w:rPr>
          <w:rFonts w:hint="eastAsia" w:ascii="Times New Roman"/>
          <w:sz w:val="21"/>
          <w:szCs w:val="21"/>
        </w:rPr>
        <w:t>）</w:t>
      </w:r>
      <w:r>
        <w:rPr>
          <w:rFonts w:ascii="Times New Roman"/>
          <w:sz w:val="21"/>
          <w:szCs w:val="21"/>
        </w:rPr>
        <w:t>校准</w:t>
      </w:r>
      <w:r>
        <w:rPr>
          <w:rFonts w:hint="eastAsia" w:ascii="Times New Roman"/>
          <w:sz w:val="21"/>
          <w:szCs w:val="21"/>
          <w:lang w:val="en-US" w:eastAsia="zh-CN"/>
        </w:rPr>
        <w:t>结果</w:t>
      </w:r>
      <w:r>
        <w:rPr>
          <w:rFonts w:ascii="Times New Roman"/>
          <w:sz w:val="21"/>
          <w:szCs w:val="21"/>
        </w:rPr>
        <w:t>仅对被校对象有效</w:t>
      </w:r>
      <w:r>
        <w:rPr>
          <w:rFonts w:hint="eastAsia" w:ascii="Times New Roman"/>
          <w:sz w:val="21"/>
          <w:szCs w:val="21"/>
          <w:lang w:val="en-US" w:eastAsia="zh-CN"/>
        </w:rPr>
        <w:t>的</w:t>
      </w:r>
      <w:r>
        <w:rPr>
          <w:rFonts w:ascii="Times New Roman"/>
          <w:sz w:val="21"/>
          <w:szCs w:val="21"/>
        </w:rPr>
        <w:t>声明</w:t>
      </w:r>
      <w:r>
        <w:rPr>
          <w:rFonts w:hint="eastAsia" w:ascii="Times New Roman"/>
          <w:sz w:val="21"/>
          <w:szCs w:val="21"/>
          <w:lang w:eastAsia="zh-CN"/>
        </w:rPr>
        <w:t>；</w:t>
      </w:r>
    </w:p>
    <w:p w14:paraId="07BD09C2">
      <w:pPr>
        <w:pStyle w:val="60"/>
        <w:keepNext w:val="0"/>
        <w:keepLines w:val="0"/>
        <w:pageBreakBefore w:val="0"/>
        <w:kinsoku/>
        <w:wordWrap/>
        <w:overflowPunct/>
        <w:topLinePunct w:val="0"/>
        <w:bidi w:val="0"/>
        <w:adjustRightInd/>
        <w:snapToGrid/>
        <w:spacing w:line="360" w:lineRule="auto"/>
        <w:ind w:firstLine="480"/>
        <w:textAlignment w:val="auto"/>
        <w:rPr>
          <w:rFonts w:hint="eastAsia" w:ascii="Times New Roman" w:eastAsia="宋体"/>
          <w:sz w:val="21"/>
          <w:szCs w:val="21"/>
          <w:lang w:eastAsia="zh-CN"/>
        </w:rPr>
      </w:pPr>
      <w:r>
        <w:rPr>
          <w:rFonts w:hint="eastAsia" w:ascii="Times New Roman"/>
          <w:sz w:val="21"/>
          <w:szCs w:val="21"/>
          <w:lang w:val="en-US" w:eastAsia="zh-CN"/>
        </w:rPr>
        <w:t>o</w:t>
      </w:r>
      <w:r>
        <w:rPr>
          <w:rFonts w:hint="eastAsia" w:ascii="Times New Roman"/>
          <w:sz w:val="21"/>
          <w:szCs w:val="21"/>
        </w:rPr>
        <w:t>）</w:t>
      </w:r>
      <w:r>
        <w:rPr>
          <w:rFonts w:ascii="Times New Roman"/>
          <w:sz w:val="21"/>
          <w:szCs w:val="21"/>
        </w:rPr>
        <w:t>未经</w:t>
      </w:r>
      <w:r>
        <w:rPr>
          <w:rFonts w:hint="eastAsia" w:ascii="Times New Roman"/>
          <w:sz w:val="21"/>
          <w:szCs w:val="21"/>
        </w:rPr>
        <w:t>校准</w:t>
      </w:r>
      <w:r>
        <w:rPr>
          <w:rFonts w:ascii="Times New Roman"/>
          <w:sz w:val="21"/>
          <w:szCs w:val="21"/>
        </w:rPr>
        <w:t>实验室书面批准，不得部分复制</w:t>
      </w:r>
      <w:r>
        <w:rPr>
          <w:rFonts w:hint="eastAsia" w:ascii="Times New Roman"/>
          <w:sz w:val="21"/>
          <w:szCs w:val="21"/>
        </w:rPr>
        <w:t>校准</w:t>
      </w:r>
      <w:r>
        <w:rPr>
          <w:rFonts w:ascii="Times New Roman"/>
          <w:sz w:val="21"/>
          <w:szCs w:val="21"/>
        </w:rPr>
        <w:t>证书</w:t>
      </w:r>
      <w:r>
        <w:rPr>
          <w:rFonts w:hint="eastAsia" w:ascii="Times New Roman"/>
          <w:sz w:val="21"/>
          <w:szCs w:val="21"/>
        </w:rPr>
        <w:t>的声明</w:t>
      </w:r>
      <w:r>
        <w:rPr>
          <w:rFonts w:hint="eastAsia" w:ascii="Times New Roman"/>
          <w:sz w:val="21"/>
          <w:szCs w:val="21"/>
          <w:lang w:eastAsia="zh-CN"/>
        </w:rPr>
        <w:t>。</w:t>
      </w:r>
    </w:p>
    <w:p w14:paraId="2317662B">
      <w:pPr>
        <w:pStyle w:val="60"/>
        <w:keepNext w:val="0"/>
        <w:keepLines w:val="0"/>
        <w:pageBreakBefore w:val="0"/>
        <w:kinsoku/>
        <w:wordWrap/>
        <w:overflowPunct/>
        <w:topLinePunct w:val="0"/>
        <w:bidi w:val="0"/>
        <w:adjustRightInd/>
        <w:snapToGrid/>
        <w:spacing w:line="360" w:lineRule="auto"/>
        <w:ind w:firstLine="480"/>
        <w:textAlignment w:val="auto"/>
        <w:rPr>
          <w:rFonts w:hint="eastAsia" w:ascii="Times New Roman"/>
          <w:sz w:val="21"/>
          <w:szCs w:val="21"/>
        </w:rPr>
      </w:pPr>
      <w:r>
        <w:rPr>
          <w:rFonts w:hint="eastAsia" w:ascii="Times New Roman"/>
          <w:sz w:val="21"/>
          <w:szCs w:val="21"/>
        </w:rPr>
        <w:t>校准原始记录参考格式见附录</w:t>
      </w:r>
      <w:r>
        <w:rPr>
          <w:rFonts w:hint="eastAsia" w:ascii="Times New Roman"/>
          <w:sz w:val="21"/>
          <w:szCs w:val="21"/>
          <w:lang w:val="en-US" w:eastAsia="zh-CN"/>
        </w:rPr>
        <w:t>C</w:t>
      </w:r>
      <w:r>
        <w:rPr>
          <w:rFonts w:hint="eastAsia" w:ascii="Times New Roman"/>
          <w:sz w:val="21"/>
          <w:szCs w:val="21"/>
        </w:rPr>
        <w:t>，校准证书</w:t>
      </w:r>
      <w:r>
        <w:rPr>
          <w:rFonts w:hint="eastAsia" w:ascii="Times New Roman"/>
          <w:sz w:val="21"/>
          <w:szCs w:val="21"/>
          <w:lang w:val="en-US" w:eastAsia="zh-CN"/>
        </w:rPr>
        <w:t>内页</w:t>
      </w:r>
      <w:r>
        <w:rPr>
          <w:rFonts w:hint="eastAsia" w:ascii="Times New Roman"/>
          <w:sz w:val="21"/>
          <w:szCs w:val="21"/>
        </w:rPr>
        <w:t>参考格式见附录</w:t>
      </w:r>
      <w:r>
        <w:rPr>
          <w:rFonts w:hint="eastAsia" w:ascii="Times New Roman"/>
          <w:sz w:val="21"/>
          <w:szCs w:val="21"/>
          <w:lang w:val="en-US" w:eastAsia="zh-CN"/>
        </w:rPr>
        <w:t>D</w:t>
      </w:r>
      <w:r>
        <w:rPr>
          <w:rFonts w:hint="eastAsia" w:ascii="Times New Roman"/>
          <w:sz w:val="21"/>
          <w:szCs w:val="21"/>
        </w:rPr>
        <w:t>。</w:t>
      </w:r>
    </w:p>
    <w:p w14:paraId="3A3DA73A">
      <w:pPr>
        <w:pStyle w:val="60"/>
        <w:keepNext w:val="0"/>
        <w:keepLines w:val="0"/>
        <w:pageBreakBefore w:val="0"/>
        <w:kinsoku/>
        <w:wordWrap/>
        <w:overflowPunct/>
        <w:topLinePunct w:val="0"/>
        <w:bidi w:val="0"/>
        <w:adjustRightInd/>
        <w:snapToGrid/>
        <w:spacing w:line="360" w:lineRule="auto"/>
        <w:ind w:firstLine="0" w:firstLineChars="0"/>
        <w:textAlignment w:val="auto"/>
        <w:outlineLvl w:val="0"/>
        <w:rPr>
          <w:rFonts w:hint="eastAsia" w:ascii="黑体" w:hAnsi="黑体" w:eastAsia="黑体" w:cs="黑体"/>
          <w:sz w:val="21"/>
          <w:szCs w:val="21"/>
        </w:rPr>
      </w:pPr>
      <w:r>
        <w:rPr>
          <w:rFonts w:hint="eastAsia" w:ascii="黑体" w:hAnsi="黑体" w:eastAsia="黑体" w:cs="黑体"/>
          <w:b w:val="0"/>
          <w:bCs w:val="0"/>
          <w:sz w:val="21"/>
          <w:szCs w:val="21"/>
        </w:rPr>
        <w:t xml:space="preserve">8 </w:t>
      </w:r>
      <w:r>
        <w:rPr>
          <w:rStyle w:val="326"/>
          <w:rFonts w:hint="eastAsia" w:ascii="黑体" w:hAnsi="黑体" w:eastAsia="黑体" w:cs="黑体"/>
          <w:b w:val="0"/>
          <w:bCs w:val="0"/>
          <w:sz w:val="21"/>
          <w:szCs w:val="21"/>
        </w:rPr>
        <w:t>复校时间间隔</w:t>
      </w:r>
    </w:p>
    <w:p w14:paraId="4F86EDD0">
      <w:pPr>
        <w:pStyle w:val="60"/>
        <w:keepNext w:val="0"/>
        <w:keepLines w:val="0"/>
        <w:pageBreakBefore w:val="0"/>
        <w:widowControl/>
        <w:kinsoku/>
        <w:wordWrap/>
        <w:overflowPunct/>
        <w:topLinePunct w:val="0"/>
        <w:autoSpaceDE w:val="0"/>
        <w:autoSpaceDN w:val="0"/>
        <w:bidi w:val="0"/>
        <w:adjustRightInd/>
        <w:snapToGrid/>
        <w:spacing w:line="360" w:lineRule="auto"/>
        <w:ind w:left="0" w:leftChars="0" w:firstLine="420" w:firstLineChars="200"/>
        <w:textAlignment w:val="auto"/>
        <w:outlineLvl w:val="9"/>
      </w:pPr>
      <w:r>
        <w:rPr>
          <w:rFonts w:hint="eastAsia" w:ascii="宋体" w:hAnsi="宋体" w:cs="宋体"/>
          <w:b w:val="0"/>
          <w:bCs w:val="0"/>
          <w:sz w:val="21"/>
          <w:szCs w:val="21"/>
          <w:lang w:val="en-US" w:eastAsia="zh-CN"/>
        </w:rPr>
        <w:t>仪器</w:t>
      </w:r>
      <w:r>
        <w:rPr>
          <w:rFonts w:hint="eastAsia" w:ascii="宋体" w:hAnsi="宋体" w:eastAsia="宋体" w:cs="宋体"/>
          <w:b w:val="0"/>
          <w:bCs w:val="0"/>
          <w:sz w:val="21"/>
          <w:szCs w:val="21"/>
        </w:rPr>
        <w:t>复校时间间隔</w:t>
      </w:r>
      <w:r>
        <w:rPr>
          <w:rFonts w:hint="eastAsia" w:ascii="宋体" w:hAnsi="宋体" w:cs="宋体"/>
          <w:b w:val="0"/>
          <w:bCs w:val="0"/>
          <w:sz w:val="21"/>
          <w:szCs w:val="21"/>
          <w:lang w:val="en-US" w:eastAsia="zh-CN"/>
        </w:rPr>
        <w:t>建议为</w:t>
      </w:r>
      <w:r>
        <w:rPr>
          <w:rFonts w:hint="eastAsia" w:ascii="Times New Roman" w:hAnsi="Times New Roman" w:cs="Times New Roman"/>
          <w:b w:val="0"/>
          <w:bCs w:val="0"/>
          <w:sz w:val="21"/>
          <w:szCs w:val="21"/>
          <w:lang w:val="en-US" w:eastAsia="zh-CN"/>
        </w:rPr>
        <w:t>12个月</w:t>
      </w:r>
      <w:r>
        <w:rPr>
          <w:rFonts w:hint="default" w:ascii="Times New Roman" w:hAnsi="Times New Roman" w:eastAsia="宋体" w:cs="Times New Roman"/>
          <w:b w:val="0"/>
          <w:bCs w:val="0"/>
          <w:sz w:val="21"/>
          <w:szCs w:val="21"/>
        </w:rPr>
        <w:t>，使用</w:t>
      </w:r>
      <w:r>
        <w:rPr>
          <w:rFonts w:hint="eastAsia" w:ascii="宋体" w:hAnsi="宋体" w:eastAsia="宋体" w:cs="宋体"/>
          <w:b w:val="0"/>
          <w:bCs w:val="0"/>
          <w:sz w:val="21"/>
          <w:szCs w:val="21"/>
        </w:rPr>
        <w:t>单位也可根据实际使用情况选择复校的时间间隔。</w:t>
      </w:r>
    </w:p>
    <w:bookmarkEnd w:id="60"/>
    <w:bookmarkEnd w:id="61"/>
    <w:bookmarkEnd w:id="62"/>
    <w:bookmarkEnd w:id="63"/>
    <w:bookmarkEnd w:id="64"/>
    <w:bookmarkEnd w:id="65"/>
    <w:bookmarkEnd w:id="66"/>
    <w:p w14:paraId="07668B45">
      <w:pPr>
        <w:pStyle w:val="4"/>
        <w:pageBreakBefore w:val="0"/>
        <w:kinsoku/>
        <w:wordWrap/>
        <w:overflowPunct/>
        <w:topLinePunct w:val="0"/>
        <w:bidi w:val="0"/>
        <w:spacing w:before="156" w:after="156" w:line="360" w:lineRule="auto"/>
        <w:textAlignment w:val="auto"/>
        <w:rPr>
          <w:b w:val="0"/>
          <w:bCs w:val="0"/>
          <w:sz w:val="21"/>
          <w:szCs w:val="21"/>
        </w:rPr>
      </w:pPr>
      <w:r>
        <w:rPr>
          <w:rFonts w:hint="eastAsia"/>
          <w:b w:val="0"/>
          <w:bCs w:val="0"/>
          <w:sz w:val="21"/>
          <w:szCs w:val="21"/>
        </w:rPr>
        <w:t>9附录</w:t>
      </w:r>
    </w:p>
    <w:p w14:paraId="2E83D7CB">
      <w:pPr>
        <w:pStyle w:val="60"/>
        <w:pageBreakBefore w:val="0"/>
        <w:kinsoku/>
        <w:wordWrap/>
        <w:overflowPunct/>
        <w:topLinePunct w:val="0"/>
        <w:bidi w:val="0"/>
        <w:spacing w:line="360" w:lineRule="auto"/>
        <w:ind w:firstLine="420"/>
        <w:textAlignment w:val="auto"/>
        <w:rPr>
          <w:rFonts w:ascii="Times New Roman" w:hAnsi="Times New Roman" w:eastAsiaTheme="minorEastAsia"/>
          <w:b w:val="0"/>
          <w:bCs w:val="0"/>
          <w:kern w:val="2"/>
          <w:sz w:val="21"/>
          <w:szCs w:val="21"/>
        </w:rPr>
      </w:pPr>
      <w:r>
        <w:rPr>
          <w:rFonts w:hint="eastAsia" w:ascii="Times New Roman" w:hAnsi="Times New Roman" w:eastAsiaTheme="minorEastAsia"/>
          <w:b w:val="0"/>
          <w:bCs w:val="0"/>
          <w:kern w:val="2"/>
          <w:sz w:val="21"/>
          <w:szCs w:val="21"/>
        </w:rPr>
        <w:t>附录主要包含校准原始记录参考格式、校准证书内页参考格式、示值误差测量不确定度评定示例。</w:t>
      </w:r>
    </w:p>
    <w:p w14:paraId="23184B3A">
      <w:pPr>
        <w:pageBreakBefore w:val="0"/>
        <w:kinsoku/>
        <w:wordWrap/>
        <w:overflowPunct/>
        <w:topLinePunct w:val="0"/>
        <w:bidi w:val="0"/>
        <w:adjustRightInd w:val="0"/>
        <w:snapToGrid w:val="0"/>
        <w:spacing w:line="360" w:lineRule="auto"/>
        <w:ind w:firstLine="420" w:firstLineChars="200"/>
        <w:textAlignment w:val="auto"/>
        <w:rPr>
          <w:b w:val="0"/>
          <w:bCs w:val="0"/>
          <w:sz w:val="21"/>
          <w:szCs w:val="21"/>
        </w:rPr>
      </w:pPr>
      <w:r>
        <w:rPr>
          <w:rFonts w:hint="eastAsia"/>
          <w:b w:val="0"/>
          <w:bCs w:val="0"/>
          <w:sz w:val="21"/>
          <w:szCs w:val="21"/>
          <w:lang w:val="en-US" w:eastAsia="zh-CN"/>
        </w:rPr>
        <w:t>本规范</w:t>
      </w:r>
      <w:r>
        <w:rPr>
          <w:rFonts w:hint="eastAsia"/>
          <w:b w:val="0"/>
          <w:bCs w:val="0"/>
          <w:sz w:val="21"/>
          <w:szCs w:val="21"/>
        </w:rPr>
        <w:t>设置了</w:t>
      </w:r>
      <w:r>
        <w:rPr>
          <w:rFonts w:hint="eastAsia"/>
          <w:b w:val="0"/>
          <w:bCs w:val="0"/>
          <w:sz w:val="21"/>
          <w:szCs w:val="21"/>
          <w:lang w:val="en-US" w:eastAsia="zh-CN"/>
        </w:rPr>
        <w:t>5</w:t>
      </w:r>
      <w:r>
        <w:rPr>
          <w:rFonts w:hint="eastAsia"/>
          <w:b w:val="0"/>
          <w:bCs w:val="0"/>
          <w:sz w:val="21"/>
          <w:szCs w:val="21"/>
        </w:rPr>
        <w:t>个附录，便于校准时参考和规范化。</w:t>
      </w:r>
    </w:p>
    <w:p w14:paraId="40772815">
      <w:pPr>
        <w:pageBreakBefore w:val="0"/>
        <w:kinsoku/>
        <w:wordWrap/>
        <w:overflowPunct/>
        <w:topLinePunct w:val="0"/>
        <w:bidi w:val="0"/>
        <w:adjustRightInd w:val="0"/>
        <w:snapToGrid w:val="0"/>
        <w:spacing w:line="360" w:lineRule="auto"/>
        <w:ind w:firstLine="420" w:firstLineChars="200"/>
        <w:textAlignment w:val="auto"/>
        <w:rPr>
          <w:rFonts w:hint="eastAsia"/>
          <w:b w:val="0"/>
          <w:bCs w:val="0"/>
          <w:sz w:val="21"/>
          <w:szCs w:val="21"/>
        </w:rPr>
      </w:pPr>
      <w:r>
        <w:rPr>
          <w:rFonts w:hint="eastAsia"/>
          <w:b w:val="0"/>
          <w:bCs w:val="0"/>
          <w:sz w:val="21"/>
          <w:szCs w:val="21"/>
        </w:rPr>
        <w:t>附录A 有色金属材料分析用辉光放电光谱仪校准推荐用校准用标准物质（或标准样品）</w:t>
      </w:r>
    </w:p>
    <w:p w14:paraId="4A83E3E7">
      <w:pPr>
        <w:pageBreakBefore w:val="0"/>
        <w:kinsoku/>
        <w:wordWrap/>
        <w:overflowPunct/>
        <w:topLinePunct w:val="0"/>
        <w:bidi w:val="0"/>
        <w:adjustRightInd w:val="0"/>
        <w:snapToGrid w:val="0"/>
        <w:spacing w:line="360" w:lineRule="auto"/>
        <w:ind w:firstLine="420" w:firstLineChars="200"/>
        <w:textAlignment w:val="auto"/>
        <w:rPr>
          <w:b w:val="0"/>
          <w:bCs w:val="0"/>
          <w:sz w:val="21"/>
          <w:szCs w:val="21"/>
        </w:rPr>
      </w:pPr>
      <w:r>
        <w:rPr>
          <w:rFonts w:hint="eastAsia" w:ascii="Times New Roman" w:hAnsi="Times New Roman" w:eastAsia="宋体" w:cs="Times New Roman"/>
          <w:b w:val="0"/>
          <w:bCs w:val="0"/>
          <w:kern w:val="2"/>
          <w:sz w:val="21"/>
          <w:szCs w:val="21"/>
          <w:lang w:val="en-US" w:eastAsia="zh-CN" w:bidi="ar-SA"/>
        </w:rPr>
        <w:t>附录B</w:t>
      </w:r>
      <w:r>
        <w:rPr>
          <w:rFonts w:hint="eastAsia"/>
          <w:b w:val="0"/>
          <w:bCs w:val="0"/>
          <w:sz w:val="21"/>
          <w:szCs w:val="21"/>
        </w:rPr>
        <w:t>有色金属材料分析用辉光放电光谱仪推荐测量条件</w:t>
      </w:r>
    </w:p>
    <w:p w14:paraId="0A8963F5">
      <w:pPr>
        <w:pStyle w:val="30"/>
        <w:keepNext w:val="0"/>
        <w:keepLines w:val="0"/>
        <w:pageBreakBefore w:val="0"/>
        <w:widowControl w:val="0"/>
        <w:tabs>
          <w:tab w:val="right" w:leader="dot" w:pos="9355"/>
        </w:tabs>
        <w:kinsoku/>
        <w:wordWrap/>
        <w:overflowPunct/>
        <w:topLinePunct w:val="0"/>
        <w:autoSpaceDE/>
        <w:autoSpaceDN/>
        <w:bidi w:val="0"/>
        <w:snapToGrid w:val="0"/>
        <w:spacing w:before="0" w:line="360" w:lineRule="auto"/>
        <w:ind w:firstLine="420" w:firstLineChars="200"/>
        <w:textAlignment w:val="auto"/>
        <w:rPr>
          <w:b w:val="0"/>
          <w:bCs w:val="0"/>
          <w:sz w:val="21"/>
          <w:szCs w:val="21"/>
        </w:rPr>
      </w:pPr>
      <w:r>
        <w:rPr>
          <w:rFonts w:hint="eastAsia"/>
          <w:b w:val="0"/>
          <w:bCs w:val="0"/>
          <w:sz w:val="21"/>
          <w:szCs w:val="21"/>
        </w:rPr>
        <w:t>附录C 有色金属材料分析用辉光放电光谱仪</w:t>
      </w:r>
      <w:r>
        <w:rPr>
          <w:rFonts w:hint="eastAsia" w:ascii="宋体" w:hAnsi="宋体" w:eastAsia="宋体" w:cs="宋体"/>
          <w:b w:val="0"/>
          <w:bCs/>
          <w:sz w:val="21"/>
          <w:szCs w:val="21"/>
        </w:rPr>
        <w:fldChar w:fldCharType="begin"/>
      </w:r>
      <w:r>
        <w:rPr>
          <w:rFonts w:hint="eastAsia" w:ascii="宋体" w:hAnsi="宋体" w:eastAsia="宋体" w:cs="宋体"/>
          <w:b w:val="0"/>
          <w:bCs/>
          <w:sz w:val="21"/>
          <w:szCs w:val="21"/>
        </w:rPr>
        <w:instrText xml:space="preserve"> HYPERLINK \l _Toc2361 </w:instrText>
      </w:r>
      <w:r>
        <w:rPr>
          <w:rFonts w:hint="eastAsia" w:ascii="宋体" w:hAnsi="宋体" w:eastAsia="宋体" w:cs="宋体"/>
          <w:b w:val="0"/>
          <w:bCs/>
          <w:sz w:val="21"/>
          <w:szCs w:val="21"/>
        </w:rPr>
        <w:fldChar w:fldCharType="separate"/>
      </w:r>
      <w:r>
        <w:rPr>
          <w:rFonts w:hint="eastAsia" w:ascii="宋体" w:hAnsi="宋体" w:eastAsia="宋体" w:cs="宋体"/>
          <w:b w:val="0"/>
          <w:bCs/>
          <w:sz w:val="21"/>
          <w:szCs w:val="21"/>
          <w:lang w:val="en-US" w:eastAsia="zh-CN"/>
        </w:rPr>
        <w:t>校准</w:t>
      </w:r>
      <w:r>
        <w:rPr>
          <w:rFonts w:hint="eastAsia" w:ascii="宋体" w:hAnsi="宋体" w:cs="宋体"/>
          <w:b w:val="0"/>
          <w:bCs/>
          <w:sz w:val="21"/>
          <w:szCs w:val="21"/>
          <w:lang w:val="en-US" w:eastAsia="zh-CN"/>
        </w:rPr>
        <w:t>原始记录</w:t>
      </w:r>
      <w:r>
        <w:rPr>
          <w:rFonts w:hint="eastAsia" w:ascii="宋体" w:hAnsi="宋体" w:eastAsia="宋体" w:cs="宋体"/>
          <w:b w:val="0"/>
          <w:bCs/>
          <w:sz w:val="21"/>
          <w:szCs w:val="21"/>
          <w:lang w:val="en-US" w:eastAsia="zh-CN"/>
        </w:rPr>
        <w:t>格式</w:t>
      </w:r>
      <w:r>
        <w:rPr>
          <w:rFonts w:hint="eastAsia" w:ascii="宋体" w:hAnsi="宋体" w:eastAsia="宋体" w:cs="宋体"/>
          <w:b w:val="0"/>
          <w:bCs/>
          <w:sz w:val="21"/>
          <w:szCs w:val="21"/>
        </w:rPr>
        <w:fldChar w:fldCharType="end"/>
      </w:r>
    </w:p>
    <w:p w14:paraId="3C5E1556">
      <w:pPr>
        <w:pageBreakBefore w:val="0"/>
        <w:kinsoku/>
        <w:wordWrap/>
        <w:overflowPunct/>
        <w:topLinePunct w:val="0"/>
        <w:bidi w:val="0"/>
        <w:adjustRightInd w:val="0"/>
        <w:snapToGrid w:val="0"/>
        <w:spacing w:line="360" w:lineRule="auto"/>
        <w:ind w:firstLine="420" w:firstLineChars="200"/>
        <w:textAlignment w:val="auto"/>
        <w:rPr>
          <w:rFonts w:hint="eastAsia"/>
          <w:b w:val="0"/>
          <w:bCs w:val="0"/>
          <w:sz w:val="21"/>
          <w:szCs w:val="21"/>
        </w:rPr>
      </w:pPr>
      <w:r>
        <w:rPr>
          <w:rFonts w:hint="eastAsia"/>
          <w:b w:val="0"/>
          <w:bCs w:val="0"/>
          <w:sz w:val="21"/>
          <w:szCs w:val="21"/>
        </w:rPr>
        <w:t>附录</w:t>
      </w:r>
      <w:r>
        <w:rPr>
          <w:rFonts w:hint="eastAsia"/>
          <w:b w:val="0"/>
          <w:bCs w:val="0"/>
          <w:sz w:val="21"/>
          <w:szCs w:val="21"/>
          <w:lang w:val="en-US" w:eastAsia="zh-CN"/>
        </w:rPr>
        <w:t>D</w:t>
      </w:r>
      <w:r>
        <w:rPr>
          <w:rFonts w:hint="eastAsia"/>
          <w:b w:val="0"/>
          <w:bCs w:val="0"/>
          <w:sz w:val="21"/>
          <w:szCs w:val="21"/>
        </w:rPr>
        <w:t>有色金属材料分析用辉光放电光谱仪校准证书内页参考格式</w:t>
      </w:r>
    </w:p>
    <w:p w14:paraId="5A6357B8">
      <w:pPr>
        <w:pageBreakBefore w:val="0"/>
        <w:kinsoku/>
        <w:wordWrap/>
        <w:overflowPunct/>
        <w:topLinePunct w:val="0"/>
        <w:bidi w:val="0"/>
        <w:adjustRightInd w:val="0"/>
        <w:snapToGrid w:val="0"/>
        <w:spacing w:line="360" w:lineRule="auto"/>
        <w:ind w:firstLine="420" w:firstLineChars="200"/>
        <w:textAlignment w:val="auto"/>
        <w:rPr>
          <w:rFonts w:hint="eastAsia"/>
          <w:b w:val="0"/>
          <w:bCs w:val="0"/>
          <w:sz w:val="21"/>
          <w:szCs w:val="21"/>
        </w:rPr>
      </w:pPr>
      <w:r>
        <w:rPr>
          <w:rFonts w:hint="eastAsia"/>
          <w:b w:val="0"/>
          <w:bCs w:val="0"/>
          <w:sz w:val="21"/>
          <w:szCs w:val="21"/>
        </w:rPr>
        <w:t>附录</w:t>
      </w:r>
      <w:r>
        <w:rPr>
          <w:rFonts w:hint="eastAsia"/>
          <w:b w:val="0"/>
          <w:bCs w:val="0"/>
          <w:sz w:val="21"/>
          <w:szCs w:val="21"/>
          <w:lang w:val="en-US" w:eastAsia="zh-CN"/>
        </w:rPr>
        <w:t>E</w:t>
      </w:r>
      <w:r>
        <w:rPr>
          <w:rFonts w:hint="eastAsia"/>
          <w:b w:val="0"/>
          <w:bCs w:val="0"/>
          <w:sz w:val="21"/>
          <w:szCs w:val="21"/>
        </w:rPr>
        <w:t>有色金属材料分析用辉光放电光谱仪</w:t>
      </w:r>
      <w:r>
        <w:rPr>
          <w:rFonts w:hint="eastAsia" w:ascii="宋体" w:hAnsi="宋体" w:eastAsia="宋体" w:cs="宋体"/>
          <w:b w:val="0"/>
          <w:bCs/>
          <w:sz w:val="21"/>
          <w:szCs w:val="21"/>
        </w:rPr>
        <w:fldChar w:fldCharType="begin"/>
      </w:r>
      <w:r>
        <w:rPr>
          <w:rFonts w:hint="eastAsia" w:ascii="宋体" w:hAnsi="宋体" w:eastAsia="宋体" w:cs="宋体"/>
          <w:b w:val="0"/>
          <w:bCs/>
          <w:sz w:val="21"/>
          <w:szCs w:val="21"/>
        </w:rPr>
        <w:instrText xml:space="preserve"> HYPERLINK \l _Toc7520 </w:instrText>
      </w:r>
      <w:r>
        <w:rPr>
          <w:rFonts w:hint="eastAsia" w:ascii="宋体" w:hAnsi="宋体" w:eastAsia="宋体" w:cs="宋体"/>
          <w:b w:val="0"/>
          <w:bCs/>
          <w:sz w:val="21"/>
          <w:szCs w:val="21"/>
        </w:rPr>
        <w:fldChar w:fldCharType="separate"/>
      </w:r>
      <w:r>
        <w:rPr>
          <w:rFonts w:hint="eastAsia" w:ascii="宋体" w:hAnsi="宋体" w:eastAsia="宋体" w:cs="宋体"/>
          <w:b w:val="0"/>
          <w:bCs/>
          <w:sz w:val="21"/>
          <w:szCs w:val="21"/>
          <w:lang w:val="en-US" w:eastAsia="zh-CN"/>
        </w:rPr>
        <w:t>检出限校准结果不确定度评定示例</w:t>
      </w:r>
      <w:r>
        <w:rPr>
          <w:rFonts w:hint="eastAsia" w:ascii="宋体" w:hAnsi="宋体" w:eastAsia="宋体" w:cs="宋体"/>
          <w:b w:val="0"/>
          <w:bCs/>
          <w:sz w:val="21"/>
          <w:szCs w:val="21"/>
        </w:rPr>
        <w:tab/>
      </w:r>
      <w:r>
        <w:rPr>
          <w:rFonts w:hint="eastAsia" w:ascii="宋体" w:hAnsi="宋体" w:eastAsia="宋体" w:cs="宋体"/>
          <w:b w:val="0"/>
          <w:bCs/>
          <w:sz w:val="21"/>
          <w:szCs w:val="21"/>
        </w:rPr>
        <w:fldChar w:fldCharType="end"/>
      </w:r>
    </w:p>
    <w:bookmarkEnd w:id="1"/>
    <w:bookmarkEnd w:id="18"/>
    <w:p w14:paraId="40719D3B">
      <w:pPr>
        <w:pStyle w:val="2"/>
        <w:pageBreakBefore w:val="0"/>
        <w:numPr>
          <w:ilvl w:val="0"/>
          <w:numId w:val="12"/>
        </w:numPr>
        <w:kinsoku/>
        <w:wordWrap/>
        <w:overflowPunct/>
        <w:topLinePunct w:val="0"/>
        <w:bidi w:val="0"/>
        <w:spacing w:before="156" w:after="156" w:line="360" w:lineRule="auto"/>
        <w:textAlignment w:val="auto"/>
        <w:rPr>
          <w:rFonts w:hint="eastAsia" w:ascii="黑体" w:hAnsi="黑体" w:cs="黑体"/>
          <w:b w:val="0"/>
          <w:bCs w:val="0"/>
          <w:sz w:val="28"/>
          <w:szCs w:val="28"/>
        </w:rPr>
      </w:pPr>
      <w:bookmarkStart w:id="67" w:name="_Toc464728965"/>
      <w:r>
        <w:rPr>
          <w:rFonts w:hint="eastAsia" w:ascii="黑体" w:hAnsi="黑体" w:cs="黑体"/>
          <w:b w:val="0"/>
          <w:bCs w:val="0"/>
          <w:sz w:val="28"/>
          <w:szCs w:val="28"/>
        </w:rPr>
        <w:t>实践检测情况</w:t>
      </w:r>
    </w:p>
    <w:p w14:paraId="61A9C19D">
      <w:pPr>
        <w:pageBreakBefore w:val="0"/>
        <w:kinsoku/>
        <w:wordWrap/>
        <w:overflowPunct/>
        <w:topLinePunct w:val="0"/>
        <w:bidi w:val="0"/>
        <w:adjustRightInd w:val="0"/>
        <w:spacing w:line="360" w:lineRule="auto"/>
        <w:ind w:firstLine="420" w:firstLineChars="200"/>
        <w:textAlignment w:val="auto"/>
        <w:rPr>
          <w:rFonts w:hint="eastAsia" w:ascii="Times New Roman" w:hAnsi="Times New Roman" w:cs="Times New Roman" w:eastAsiaTheme="minorEastAsia"/>
          <w:b w:val="0"/>
          <w:bCs w:val="0"/>
          <w:kern w:val="2"/>
          <w:sz w:val="21"/>
          <w:szCs w:val="21"/>
          <w:lang w:val="en-US" w:eastAsia="zh-CN" w:bidi="ar-SA"/>
        </w:rPr>
      </w:pPr>
      <w:r>
        <w:rPr>
          <w:rFonts w:hint="eastAsia" w:ascii="Times New Roman" w:hAnsi="Times New Roman" w:cs="Times New Roman" w:eastAsiaTheme="minorEastAsia"/>
          <w:b w:val="0"/>
          <w:bCs w:val="0"/>
          <w:kern w:val="2"/>
          <w:sz w:val="21"/>
          <w:szCs w:val="21"/>
          <w:lang w:val="en-US" w:eastAsia="zh-CN" w:bidi="ar-SA"/>
        </w:rPr>
        <w:t>本规范开展多家实验室验证：一验单位中铝材料应用研究院有限公司、国标（北京）检验认证有限公司；二验单位辽宁盛达计量检测技术有限公司、宝鸡钛业股份有限公司，分别对本规范全部校准项目开展试验验证，覆盖铜、铝、钛等基体，完成检出限、波长示值误差、重复性、稳定性、深度测量重复性试验</w:t>
      </w:r>
      <w:r>
        <w:rPr>
          <w:rFonts w:hint="eastAsia" w:cs="Times New Roman" w:eastAsiaTheme="minorEastAsia"/>
          <w:b w:val="0"/>
          <w:bCs w:val="0"/>
          <w:kern w:val="2"/>
          <w:sz w:val="21"/>
          <w:szCs w:val="21"/>
          <w:lang w:val="en-US" w:eastAsia="zh-CN" w:bidi="ar-SA"/>
        </w:rPr>
        <w:t>部分指标</w:t>
      </w:r>
      <w:r>
        <w:rPr>
          <w:rFonts w:hint="eastAsia" w:ascii="Times New Roman" w:hAnsi="Times New Roman" w:cs="Times New Roman" w:eastAsiaTheme="minorEastAsia"/>
          <w:b w:val="0"/>
          <w:bCs w:val="0"/>
          <w:kern w:val="2"/>
          <w:sz w:val="21"/>
          <w:szCs w:val="21"/>
          <w:lang w:val="en-US" w:eastAsia="zh-CN" w:bidi="ar-SA"/>
        </w:rPr>
        <w:t>，验证结果表明本规范技术指标合理、方法具备可操作性，验证报告见附件。</w:t>
      </w:r>
    </w:p>
    <w:p w14:paraId="4875946D">
      <w:pPr>
        <w:pStyle w:val="2"/>
        <w:pageBreakBefore w:val="0"/>
        <w:kinsoku/>
        <w:wordWrap/>
        <w:overflowPunct/>
        <w:topLinePunct w:val="0"/>
        <w:bidi w:val="0"/>
        <w:spacing w:before="156" w:after="156" w:line="360" w:lineRule="auto"/>
        <w:textAlignment w:val="auto"/>
        <w:rPr>
          <w:rFonts w:hint="eastAsia" w:ascii="黑体" w:hAnsi="黑体" w:cs="黑体"/>
          <w:b w:val="0"/>
          <w:bCs w:val="0"/>
          <w:sz w:val="28"/>
          <w:szCs w:val="28"/>
        </w:rPr>
      </w:pPr>
      <w:r>
        <w:rPr>
          <w:rFonts w:hint="eastAsia" w:ascii="黑体" w:hAnsi="黑体" w:cs="黑体"/>
          <w:b w:val="0"/>
          <w:bCs w:val="0"/>
          <w:sz w:val="28"/>
          <w:szCs w:val="28"/>
        </w:rPr>
        <w:t>四、规范水平分析</w:t>
      </w:r>
    </w:p>
    <w:p w14:paraId="61CC051E">
      <w:pPr>
        <w:pageBreakBefore w:val="0"/>
        <w:kinsoku/>
        <w:wordWrap/>
        <w:overflowPunct/>
        <w:topLinePunct w:val="0"/>
        <w:bidi w:val="0"/>
        <w:adjustRightInd w:val="0"/>
        <w:spacing w:line="360" w:lineRule="auto"/>
        <w:ind w:firstLine="420" w:firstLineChars="200"/>
        <w:textAlignment w:val="auto"/>
        <w:rPr>
          <w:rFonts w:hint="eastAsia" w:ascii="Times New Roman" w:hAnsi="Times New Roman" w:cs="Times New Roman" w:eastAsiaTheme="minorEastAsia"/>
          <w:b w:val="0"/>
          <w:bCs w:val="0"/>
          <w:kern w:val="2"/>
          <w:sz w:val="21"/>
          <w:szCs w:val="21"/>
          <w:lang w:val="en-US" w:eastAsia="zh-CN" w:bidi="ar-SA"/>
        </w:rPr>
      </w:pPr>
      <w:r>
        <w:rPr>
          <w:rFonts w:hint="eastAsia" w:ascii="Times New Roman" w:hAnsi="Times New Roman" w:cs="Times New Roman" w:eastAsiaTheme="minorEastAsia"/>
          <w:b w:val="0"/>
          <w:bCs w:val="0"/>
          <w:kern w:val="2"/>
          <w:sz w:val="21"/>
          <w:szCs w:val="21"/>
          <w:lang w:val="en-US" w:eastAsia="zh-CN" w:bidi="ar-SA"/>
        </w:rPr>
        <w:t>本规范的制定填补了有色金属行业辉光放电光谱仪计量技术规范的空白，属于国内首创，水平达到国内领先。</w:t>
      </w:r>
    </w:p>
    <w:p w14:paraId="6AED42D6">
      <w:pPr>
        <w:pStyle w:val="2"/>
        <w:pageBreakBefore w:val="0"/>
        <w:kinsoku/>
        <w:wordWrap/>
        <w:overflowPunct/>
        <w:topLinePunct w:val="0"/>
        <w:bidi w:val="0"/>
        <w:spacing w:before="156" w:after="156" w:line="360" w:lineRule="auto"/>
        <w:textAlignment w:val="auto"/>
        <w:rPr>
          <w:rFonts w:hint="eastAsia" w:ascii="黑体" w:hAnsi="黑体" w:cs="黑体"/>
          <w:b w:val="0"/>
          <w:bCs w:val="0"/>
          <w:sz w:val="28"/>
          <w:szCs w:val="28"/>
        </w:rPr>
      </w:pPr>
      <w:r>
        <w:rPr>
          <w:rFonts w:hint="eastAsia" w:ascii="黑体" w:hAnsi="黑体" w:cs="黑体"/>
          <w:b w:val="0"/>
          <w:bCs w:val="0"/>
          <w:sz w:val="28"/>
          <w:szCs w:val="28"/>
        </w:rPr>
        <w:t>五、与有关的现行法律、法规和强制性国家标准的关系</w:t>
      </w:r>
    </w:p>
    <w:p w14:paraId="2B29FE02">
      <w:pPr>
        <w:pageBreakBefore w:val="0"/>
        <w:kinsoku/>
        <w:wordWrap/>
        <w:overflowPunct/>
        <w:topLinePunct w:val="0"/>
        <w:bidi w:val="0"/>
        <w:adjustRightInd w:val="0"/>
        <w:spacing w:line="360" w:lineRule="auto"/>
        <w:ind w:firstLine="420" w:firstLineChars="200"/>
        <w:textAlignment w:val="auto"/>
        <w:rPr>
          <w:rFonts w:hint="eastAsia" w:ascii="Times New Roman" w:hAnsi="Times New Roman" w:cs="Times New Roman" w:eastAsiaTheme="minorEastAsia"/>
          <w:b w:val="0"/>
          <w:bCs w:val="0"/>
          <w:kern w:val="2"/>
          <w:sz w:val="21"/>
          <w:szCs w:val="21"/>
          <w:lang w:val="en-US" w:eastAsia="zh-CN" w:bidi="ar-SA"/>
        </w:rPr>
      </w:pPr>
      <w:r>
        <w:rPr>
          <w:rFonts w:hint="eastAsia" w:ascii="Times New Roman" w:hAnsi="Times New Roman" w:cs="Times New Roman" w:eastAsiaTheme="minorEastAsia"/>
          <w:b w:val="0"/>
          <w:bCs w:val="0"/>
          <w:kern w:val="2"/>
          <w:sz w:val="21"/>
          <w:szCs w:val="21"/>
          <w:lang w:val="en-US" w:eastAsia="zh-CN" w:bidi="ar-SA"/>
        </w:rPr>
        <w:t>本规范所引用的规程、规范及标准均为我国现行有效的计量规程及规范，是本规范的一部分，引用这些文件后，使本规范的要求与现行的相关法律、法规、规章及相关规程规范的关系不矛盾、不冲突，相互关系协调。</w:t>
      </w:r>
    </w:p>
    <w:p w14:paraId="05026CB8">
      <w:pPr>
        <w:pStyle w:val="2"/>
        <w:pageBreakBefore w:val="0"/>
        <w:kinsoku/>
        <w:wordWrap/>
        <w:overflowPunct/>
        <w:topLinePunct w:val="0"/>
        <w:bidi w:val="0"/>
        <w:spacing w:before="156" w:after="156" w:line="360" w:lineRule="auto"/>
        <w:textAlignment w:val="auto"/>
        <w:rPr>
          <w:rFonts w:hint="eastAsia" w:ascii="黑体" w:hAnsi="黑体" w:cs="黑体"/>
          <w:b w:val="0"/>
          <w:bCs w:val="0"/>
          <w:sz w:val="28"/>
          <w:szCs w:val="28"/>
        </w:rPr>
      </w:pPr>
      <w:r>
        <w:rPr>
          <w:rFonts w:hint="eastAsia" w:ascii="黑体" w:hAnsi="黑体" w:cs="黑体"/>
          <w:b w:val="0"/>
          <w:bCs w:val="0"/>
          <w:sz w:val="28"/>
          <w:szCs w:val="28"/>
        </w:rPr>
        <w:t>六、规范中涉及的专利或知识产权说明</w:t>
      </w:r>
    </w:p>
    <w:p w14:paraId="49118817">
      <w:pPr>
        <w:pStyle w:val="60"/>
        <w:pageBreakBefore w:val="0"/>
        <w:kinsoku/>
        <w:wordWrap/>
        <w:overflowPunct/>
        <w:topLinePunct w:val="0"/>
        <w:bidi w:val="0"/>
        <w:spacing w:line="360" w:lineRule="auto"/>
        <w:ind w:firstLineChars="0"/>
        <w:contextualSpacing/>
        <w:textAlignment w:val="auto"/>
        <w:rPr>
          <w:rFonts w:hint="eastAsia" w:cs="宋体"/>
          <w:sz w:val="21"/>
          <w:szCs w:val="21"/>
        </w:rPr>
      </w:pPr>
      <w:r>
        <w:rPr>
          <w:rFonts w:hint="eastAsia" w:cs="宋体"/>
          <w:sz w:val="21"/>
          <w:szCs w:val="21"/>
        </w:rPr>
        <w:t>无。</w:t>
      </w:r>
    </w:p>
    <w:p w14:paraId="409EAB81">
      <w:pPr>
        <w:pStyle w:val="2"/>
        <w:pageBreakBefore w:val="0"/>
        <w:kinsoku/>
        <w:wordWrap/>
        <w:overflowPunct/>
        <w:topLinePunct w:val="0"/>
        <w:bidi w:val="0"/>
        <w:spacing w:before="156" w:after="156" w:line="360" w:lineRule="auto"/>
        <w:textAlignment w:val="auto"/>
        <w:rPr>
          <w:rFonts w:hint="eastAsia" w:ascii="黑体" w:hAnsi="黑体" w:cs="黑体"/>
          <w:b w:val="0"/>
          <w:bCs w:val="0"/>
          <w:sz w:val="28"/>
          <w:szCs w:val="28"/>
        </w:rPr>
      </w:pPr>
      <w:r>
        <w:rPr>
          <w:rFonts w:hint="eastAsia" w:ascii="黑体" w:hAnsi="黑体" w:cs="黑体"/>
          <w:b w:val="0"/>
          <w:bCs w:val="0"/>
          <w:sz w:val="28"/>
          <w:szCs w:val="28"/>
        </w:rPr>
        <w:t>七、重大分歧意见的处理经过和依据</w:t>
      </w:r>
    </w:p>
    <w:p w14:paraId="222642D7">
      <w:pPr>
        <w:pStyle w:val="60"/>
        <w:pageBreakBefore w:val="0"/>
        <w:kinsoku/>
        <w:wordWrap/>
        <w:overflowPunct/>
        <w:topLinePunct w:val="0"/>
        <w:bidi w:val="0"/>
        <w:spacing w:line="360" w:lineRule="auto"/>
        <w:ind w:firstLine="420"/>
        <w:contextualSpacing/>
        <w:textAlignment w:val="auto"/>
        <w:rPr>
          <w:rFonts w:hint="eastAsia" w:cs="宋体"/>
          <w:sz w:val="21"/>
          <w:szCs w:val="21"/>
        </w:rPr>
      </w:pPr>
      <w:r>
        <w:rPr>
          <w:rFonts w:hint="eastAsia" w:cs="宋体"/>
          <w:sz w:val="21"/>
          <w:szCs w:val="21"/>
        </w:rPr>
        <w:t>无。</w:t>
      </w:r>
    </w:p>
    <w:p w14:paraId="30DEF6D1">
      <w:pPr>
        <w:pStyle w:val="2"/>
        <w:pageBreakBefore w:val="0"/>
        <w:kinsoku/>
        <w:wordWrap/>
        <w:overflowPunct/>
        <w:topLinePunct w:val="0"/>
        <w:bidi w:val="0"/>
        <w:spacing w:before="156" w:after="156" w:line="360" w:lineRule="auto"/>
        <w:textAlignment w:val="auto"/>
        <w:rPr>
          <w:rFonts w:hint="eastAsia" w:ascii="黑体" w:hAnsi="黑体" w:cs="黑体"/>
          <w:b w:val="0"/>
          <w:bCs w:val="0"/>
          <w:sz w:val="28"/>
          <w:szCs w:val="28"/>
        </w:rPr>
      </w:pPr>
      <w:r>
        <w:rPr>
          <w:rFonts w:hint="eastAsia" w:ascii="黑体" w:hAnsi="黑体" w:cs="黑体"/>
          <w:b w:val="0"/>
          <w:bCs w:val="0"/>
          <w:sz w:val="28"/>
          <w:szCs w:val="28"/>
        </w:rPr>
        <w:t>八、规范作为国家（或行业）计量技术规范的建议</w:t>
      </w:r>
    </w:p>
    <w:p w14:paraId="74AF790E">
      <w:pPr>
        <w:pageBreakBefore w:val="0"/>
        <w:kinsoku/>
        <w:wordWrap/>
        <w:overflowPunct/>
        <w:topLinePunct w:val="0"/>
        <w:bidi w:val="0"/>
        <w:adjustRightInd w:val="0"/>
        <w:spacing w:line="360" w:lineRule="auto"/>
        <w:ind w:firstLine="420" w:firstLineChars="200"/>
        <w:textAlignment w:val="auto"/>
        <w:rPr>
          <w:rFonts w:hint="eastAsia" w:ascii="Times New Roman" w:hAnsi="Times New Roman" w:cs="Times New Roman" w:eastAsiaTheme="minorEastAsia"/>
          <w:b w:val="0"/>
          <w:bCs w:val="0"/>
          <w:kern w:val="2"/>
          <w:sz w:val="21"/>
          <w:szCs w:val="21"/>
          <w:lang w:val="en-US" w:eastAsia="zh-CN" w:bidi="ar-SA"/>
        </w:rPr>
      </w:pPr>
      <w:r>
        <w:rPr>
          <w:rFonts w:hint="eastAsia" w:ascii="Times New Roman" w:hAnsi="Times New Roman" w:cs="Times New Roman" w:eastAsiaTheme="minorEastAsia"/>
          <w:b w:val="0"/>
          <w:bCs w:val="0"/>
          <w:kern w:val="2"/>
          <w:sz w:val="21"/>
          <w:szCs w:val="21"/>
          <w:lang w:val="en-US" w:eastAsia="zh-CN" w:bidi="ar-SA"/>
        </w:rPr>
        <w:t>建议本规范作为行业计量技术规范，供行业企业参考使用。必要时可根据实际需要，结合其他行业使用要求，申报国家计量技术规范，以满足校准需要。</w:t>
      </w:r>
    </w:p>
    <w:p w14:paraId="0AC3F2B8">
      <w:pPr>
        <w:pStyle w:val="2"/>
        <w:pageBreakBefore w:val="0"/>
        <w:kinsoku/>
        <w:wordWrap/>
        <w:overflowPunct/>
        <w:topLinePunct w:val="0"/>
        <w:bidi w:val="0"/>
        <w:spacing w:before="156" w:after="156" w:line="360" w:lineRule="auto"/>
        <w:textAlignment w:val="auto"/>
        <w:rPr>
          <w:rFonts w:hint="eastAsia" w:ascii="黑体" w:hAnsi="黑体" w:cs="黑体"/>
          <w:b w:val="0"/>
          <w:bCs w:val="0"/>
          <w:sz w:val="28"/>
          <w:szCs w:val="28"/>
        </w:rPr>
      </w:pPr>
      <w:r>
        <w:rPr>
          <w:rFonts w:hint="eastAsia" w:ascii="黑体" w:hAnsi="黑体" w:cs="黑体"/>
          <w:b w:val="0"/>
          <w:bCs w:val="0"/>
          <w:sz w:val="28"/>
          <w:szCs w:val="28"/>
        </w:rPr>
        <w:t>九、贯彻规范的要求和措施建议</w:t>
      </w:r>
    </w:p>
    <w:p w14:paraId="1A432E39">
      <w:pPr>
        <w:pStyle w:val="60"/>
        <w:keepNext w:val="0"/>
        <w:keepLines w:val="0"/>
        <w:pageBreakBefore w:val="0"/>
        <w:widowControl/>
        <w:kinsoku/>
        <w:wordWrap/>
        <w:overflowPunct/>
        <w:topLinePunct w:val="0"/>
        <w:autoSpaceDE w:val="0"/>
        <w:autoSpaceDN w:val="0"/>
        <w:bidi w:val="0"/>
        <w:adjustRightInd w:val="0"/>
        <w:snapToGrid w:val="0"/>
        <w:spacing w:line="360" w:lineRule="auto"/>
        <w:ind w:firstLine="420"/>
        <w:contextualSpacing/>
        <w:textAlignment w:val="auto"/>
        <w:rPr>
          <w:rFonts w:hint="eastAsia" w:ascii="Times New Roman" w:hAnsi="Times New Roman" w:cs="Times New Roman" w:eastAsiaTheme="minorEastAsia"/>
          <w:b w:val="0"/>
          <w:bCs w:val="0"/>
          <w:kern w:val="2"/>
          <w:sz w:val="21"/>
          <w:szCs w:val="21"/>
          <w:lang w:val="en-US" w:eastAsia="zh-CN" w:bidi="ar-SA"/>
        </w:rPr>
      </w:pPr>
      <w:r>
        <w:rPr>
          <w:rFonts w:hint="eastAsia" w:ascii="Times New Roman" w:hAnsi="Times New Roman" w:cs="Times New Roman" w:eastAsiaTheme="minorEastAsia"/>
          <w:b w:val="0"/>
          <w:bCs w:val="0"/>
          <w:kern w:val="2"/>
          <w:sz w:val="21"/>
          <w:szCs w:val="21"/>
          <w:lang w:val="en-US" w:eastAsia="zh-CN" w:bidi="ar-SA"/>
        </w:rPr>
        <w:t>本规范发布后，中国有色金属行业协会和有色金属行业计量技术委员会应加强本规范的宣传力度，以促进我国企业的技术进步和产品质量上档次，提高我国产品在国际国内市场的竞争能力。</w:t>
      </w:r>
    </w:p>
    <w:p w14:paraId="1E510F16">
      <w:pPr>
        <w:pStyle w:val="2"/>
        <w:pageBreakBefore w:val="0"/>
        <w:kinsoku/>
        <w:wordWrap/>
        <w:overflowPunct/>
        <w:topLinePunct w:val="0"/>
        <w:bidi w:val="0"/>
        <w:spacing w:before="156" w:after="156" w:line="360" w:lineRule="auto"/>
        <w:textAlignment w:val="auto"/>
        <w:rPr>
          <w:rFonts w:hint="eastAsia" w:ascii="黑体" w:hAnsi="黑体" w:cs="黑体"/>
          <w:b w:val="0"/>
          <w:bCs w:val="0"/>
          <w:sz w:val="28"/>
          <w:szCs w:val="28"/>
        </w:rPr>
      </w:pPr>
      <w:r>
        <w:rPr>
          <w:rFonts w:hint="eastAsia" w:ascii="黑体" w:hAnsi="黑体" w:cs="黑体"/>
          <w:b w:val="0"/>
          <w:bCs w:val="0"/>
          <w:sz w:val="28"/>
          <w:szCs w:val="28"/>
        </w:rPr>
        <w:t>十、废止现行有关规范的建议</w:t>
      </w:r>
    </w:p>
    <w:p w14:paraId="26BC7252">
      <w:pPr>
        <w:pStyle w:val="60"/>
        <w:pageBreakBefore w:val="0"/>
        <w:kinsoku/>
        <w:wordWrap/>
        <w:overflowPunct/>
        <w:topLinePunct w:val="0"/>
        <w:bidi w:val="0"/>
        <w:spacing w:line="360" w:lineRule="auto"/>
        <w:ind w:firstLine="420"/>
        <w:contextualSpacing/>
        <w:textAlignment w:val="auto"/>
        <w:rPr>
          <w:rFonts w:hint="eastAsia"/>
          <w:sz w:val="21"/>
          <w:szCs w:val="21"/>
        </w:rPr>
      </w:pPr>
      <w:r>
        <w:rPr>
          <w:rFonts w:hint="eastAsia"/>
          <w:sz w:val="21"/>
          <w:szCs w:val="21"/>
        </w:rPr>
        <w:t>无。</w:t>
      </w:r>
    </w:p>
    <w:p w14:paraId="267A7787">
      <w:pPr>
        <w:pStyle w:val="2"/>
        <w:pageBreakBefore w:val="0"/>
        <w:kinsoku/>
        <w:wordWrap/>
        <w:overflowPunct/>
        <w:topLinePunct w:val="0"/>
        <w:bidi w:val="0"/>
        <w:spacing w:before="156" w:after="156" w:line="360" w:lineRule="auto"/>
        <w:textAlignment w:val="auto"/>
        <w:rPr>
          <w:rFonts w:hint="eastAsia" w:ascii="黑体" w:hAnsi="黑体" w:cs="黑体"/>
          <w:b w:val="0"/>
          <w:bCs w:val="0"/>
          <w:sz w:val="28"/>
          <w:szCs w:val="28"/>
        </w:rPr>
      </w:pPr>
      <w:r>
        <w:rPr>
          <w:rFonts w:hint="eastAsia" w:ascii="黑体" w:hAnsi="黑体" w:cs="黑体"/>
          <w:b w:val="0"/>
          <w:bCs w:val="0"/>
          <w:sz w:val="28"/>
          <w:szCs w:val="28"/>
        </w:rPr>
        <w:t>十一、预期效果</w:t>
      </w:r>
    </w:p>
    <w:p w14:paraId="5736A8AE">
      <w:pPr>
        <w:pStyle w:val="60"/>
        <w:pageBreakBefore w:val="0"/>
        <w:kinsoku/>
        <w:wordWrap/>
        <w:overflowPunct/>
        <w:topLinePunct w:val="0"/>
        <w:bidi w:val="0"/>
        <w:spacing w:line="360" w:lineRule="auto"/>
        <w:ind w:firstLine="420"/>
        <w:contextualSpacing/>
        <w:textAlignment w:val="auto"/>
        <w:rPr>
          <w:rFonts w:hint="eastAsia" w:ascii="Times New Roman" w:hAnsi="Times New Roman" w:cs="Times New Roman"/>
          <w:b w:val="0"/>
          <w:bCs w:val="0"/>
          <w:sz w:val="21"/>
          <w:szCs w:val="21"/>
        </w:rPr>
      </w:pPr>
      <w:r>
        <w:rPr>
          <w:rFonts w:hint="eastAsia" w:cs="Times New Roman"/>
          <w:b w:val="0"/>
          <w:bCs w:val="0"/>
          <w:sz w:val="21"/>
          <w:szCs w:val="21"/>
          <w:lang w:val="en-US" w:eastAsia="zh-CN"/>
        </w:rPr>
        <w:t>本</w:t>
      </w:r>
      <w:r>
        <w:rPr>
          <w:rFonts w:hint="eastAsia" w:cs="Times New Roman"/>
          <w:b w:val="0"/>
          <w:bCs w:val="0"/>
          <w:sz w:val="21"/>
          <w:szCs w:val="21"/>
        </w:rPr>
        <w:t>规范</w:t>
      </w:r>
      <w:r>
        <w:rPr>
          <w:rFonts w:hint="eastAsia" w:cs="Times New Roman"/>
          <w:b w:val="0"/>
          <w:bCs w:val="0"/>
          <w:sz w:val="21"/>
          <w:szCs w:val="21"/>
          <w:lang w:val="en-US" w:eastAsia="zh-CN"/>
        </w:rPr>
        <w:t>发布后，能</w:t>
      </w:r>
      <w:r>
        <w:rPr>
          <w:rFonts w:hint="eastAsia" w:cs="Times New Roman"/>
          <w:b w:val="0"/>
          <w:bCs w:val="0"/>
          <w:sz w:val="21"/>
          <w:szCs w:val="21"/>
        </w:rPr>
        <w:t>解决有色金属材料分析用</w:t>
      </w:r>
      <w:r>
        <w:rPr>
          <w:rFonts w:hint="eastAsia" w:ascii="Times New Roman" w:hAnsi="Times New Roman" w:cs="Times New Roman" w:eastAsiaTheme="minorEastAsia"/>
          <w:b w:val="0"/>
          <w:bCs w:val="0"/>
          <w:kern w:val="2"/>
          <w:sz w:val="21"/>
          <w:szCs w:val="21"/>
          <w:lang w:val="en-US" w:eastAsia="zh-CN" w:bidi="ar-SA"/>
        </w:rPr>
        <w:t>辉光放电光谱仪</w:t>
      </w:r>
      <w:r>
        <w:rPr>
          <w:rFonts w:hint="eastAsia" w:cs="Times New Roman"/>
          <w:b w:val="0"/>
          <w:bCs w:val="0"/>
          <w:sz w:val="21"/>
          <w:szCs w:val="21"/>
        </w:rPr>
        <w:t>校准方法不统一、校准方法差异化、计量标准技术指标不明确、校准点的选择不统一、有色金属材料分析用</w:t>
      </w:r>
      <w:r>
        <w:rPr>
          <w:rFonts w:hint="eastAsia" w:ascii="Times New Roman" w:hAnsi="Times New Roman" w:cs="Times New Roman" w:eastAsiaTheme="minorEastAsia"/>
          <w:b w:val="0"/>
          <w:bCs w:val="0"/>
          <w:kern w:val="2"/>
          <w:sz w:val="21"/>
          <w:szCs w:val="21"/>
          <w:lang w:val="en-US" w:eastAsia="zh-CN" w:bidi="ar-SA"/>
        </w:rPr>
        <w:t>辉光放电光谱仪</w:t>
      </w:r>
      <w:r>
        <w:rPr>
          <w:rFonts w:hint="eastAsia" w:cs="Times New Roman"/>
          <w:b w:val="0"/>
          <w:bCs w:val="0"/>
          <w:sz w:val="21"/>
          <w:szCs w:val="21"/>
        </w:rPr>
        <w:t>的校准方法未规定等问题，弥补有色金属材料分析用</w:t>
      </w:r>
      <w:r>
        <w:rPr>
          <w:rFonts w:hint="eastAsia" w:ascii="Times New Roman" w:hAnsi="Times New Roman" w:cs="Times New Roman" w:eastAsiaTheme="minorEastAsia"/>
          <w:b w:val="0"/>
          <w:bCs w:val="0"/>
          <w:kern w:val="2"/>
          <w:sz w:val="21"/>
          <w:szCs w:val="21"/>
          <w:lang w:val="en-US" w:eastAsia="zh-CN" w:bidi="ar-SA"/>
        </w:rPr>
        <w:t>辉光放电光谱仪</w:t>
      </w:r>
      <w:r>
        <w:rPr>
          <w:rFonts w:hint="eastAsia" w:cs="Times New Roman"/>
          <w:b w:val="0"/>
          <w:bCs w:val="0"/>
          <w:sz w:val="21"/>
          <w:szCs w:val="21"/>
        </w:rPr>
        <w:t>校准的空白，为保证有色金属材料分析用</w:t>
      </w:r>
      <w:r>
        <w:rPr>
          <w:rFonts w:hint="eastAsia" w:ascii="Times New Roman" w:hAnsi="Times New Roman" w:cs="Times New Roman" w:eastAsiaTheme="minorEastAsia"/>
          <w:b w:val="0"/>
          <w:bCs w:val="0"/>
          <w:kern w:val="2"/>
          <w:sz w:val="21"/>
          <w:szCs w:val="21"/>
          <w:lang w:val="en-US" w:eastAsia="zh-CN" w:bidi="ar-SA"/>
        </w:rPr>
        <w:t>辉光放电光谱仪</w:t>
      </w:r>
      <w:r>
        <w:rPr>
          <w:rFonts w:hint="eastAsia" w:cs="Times New Roman"/>
          <w:b w:val="0"/>
          <w:bCs w:val="0"/>
          <w:sz w:val="21"/>
          <w:szCs w:val="21"/>
        </w:rPr>
        <w:t>测试结果的准确可靠提供保证，有利于</w:t>
      </w:r>
      <w:r>
        <w:rPr>
          <w:rFonts w:hint="eastAsia" w:cs="Times New Roman"/>
          <w:b w:val="0"/>
          <w:bCs w:val="0"/>
          <w:sz w:val="21"/>
          <w:szCs w:val="21"/>
          <w:lang w:val="en-US" w:eastAsia="zh-CN"/>
        </w:rPr>
        <w:t>有色金属</w:t>
      </w:r>
      <w:r>
        <w:rPr>
          <w:rFonts w:hint="eastAsia" w:cs="Times New Roman"/>
          <w:b w:val="0"/>
          <w:bCs w:val="0"/>
          <w:sz w:val="21"/>
          <w:szCs w:val="21"/>
        </w:rPr>
        <w:t>加工企业产品质量提升和设备运行使用稳定性的提高，为我国高端装备制造</w:t>
      </w:r>
      <w:r>
        <w:rPr>
          <w:rFonts w:hint="eastAsia" w:cs="Times New Roman"/>
          <w:b w:val="0"/>
          <w:bCs w:val="0"/>
          <w:sz w:val="21"/>
          <w:szCs w:val="21"/>
          <w:lang w:eastAsia="zh-CN"/>
        </w:rPr>
        <w:t>、</w:t>
      </w:r>
      <w:r>
        <w:rPr>
          <w:rFonts w:hint="eastAsia" w:cs="Times New Roman"/>
          <w:b w:val="0"/>
          <w:bCs w:val="0"/>
          <w:sz w:val="21"/>
          <w:szCs w:val="21"/>
        </w:rPr>
        <w:t>原材料及航空工业制造能力和水平起着重要的助推作用。</w:t>
      </w:r>
    </w:p>
    <w:p w14:paraId="4398978A">
      <w:pPr>
        <w:pStyle w:val="2"/>
        <w:pageBreakBefore w:val="0"/>
        <w:kinsoku/>
        <w:wordWrap/>
        <w:overflowPunct/>
        <w:topLinePunct w:val="0"/>
        <w:bidi w:val="0"/>
        <w:spacing w:before="156" w:after="156" w:line="360" w:lineRule="auto"/>
        <w:textAlignment w:val="auto"/>
        <w:rPr>
          <w:rFonts w:hint="eastAsia" w:ascii="黑体" w:hAnsi="黑体" w:cs="黑体"/>
          <w:b w:val="0"/>
          <w:bCs w:val="0"/>
          <w:sz w:val="21"/>
          <w:szCs w:val="21"/>
        </w:rPr>
      </w:pPr>
      <w:r>
        <w:rPr>
          <w:rFonts w:hint="eastAsia" w:ascii="黑体" w:hAnsi="黑体" w:cs="黑体"/>
          <w:b w:val="0"/>
          <w:bCs w:val="0"/>
          <w:sz w:val="28"/>
          <w:szCs w:val="28"/>
        </w:rPr>
        <w:t>十</w:t>
      </w:r>
      <w:r>
        <w:rPr>
          <w:rFonts w:hint="eastAsia" w:ascii="黑体" w:hAnsi="黑体" w:cs="黑体"/>
          <w:b w:val="0"/>
          <w:bCs w:val="0"/>
          <w:sz w:val="28"/>
          <w:szCs w:val="28"/>
          <w:lang w:val="en-US" w:eastAsia="zh-CN"/>
        </w:rPr>
        <w:t>二</w:t>
      </w:r>
      <w:r>
        <w:rPr>
          <w:rFonts w:hint="eastAsia" w:ascii="黑体" w:hAnsi="黑体" w:cs="黑体"/>
          <w:b w:val="0"/>
          <w:bCs w:val="0"/>
          <w:sz w:val="28"/>
          <w:szCs w:val="28"/>
        </w:rPr>
        <w:t>、其他应予说明的事项</w:t>
      </w:r>
    </w:p>
    <w:p w14:paraId="4FFA5BEE">
      <w:pPr>
        <w:pStyle w:val="60"/>
        <w:pageBreakBefore w:val="0"/>
        <w:kinsoku/>
        <w:wordWrap/>
        <w:overflowPunct/>
        <w:topLinePunct w:val="0"/>
        <w:bidi w:val="0"/>
        <w:spacing w:line="360" w:lineRule="auto"/>
        <w:ind w:firstLineChars="0"/>
        <w:contextualSpacing/>
        <w:textAlignment w:val="auto"/>
        <w:rPr>
          <w:rFonts w:ascii="Times New Roman" w:hAnsi="Times New Roman" w:eastAsia="黑体"/>
          <w:sz w:val="21"/>
          <w:szCs w:val="21"/>
        </w:rPr>
      </w:pPr>
      <w:r>
        <w:rPr>
          <w:rFonts w:hint="eastAsia"/>
          <w:sz w:val="21"/>
          <w:szCs w:val="21"/>
        </w:rPr>
        <w:t>无。</w:t>
      </w:r>
      <w:r>
        <w:rPr>
          <w:rFonts w:ascii="Times New Roman" w:hAnsi="Times New Roman" w:eastAsia="黑体"/>
          <w:sz w:val="21"/>
          <w:szCs w:val="21"/>
        </w:rPr>
        <w:t xml:space="preserve"> </w:t>
      </w:r>
    </w:p>
    <w:p w14:paraId="2FDF4C14">
      <w:pPr>
        <w:pStyle w:val="60"/>
        <w:pageBreakBefore w:val="0"/>
        <w:kinsoku/>
        <w:wordWrap/>
        <w:overflowPunct/>
        <w:topLinePunct w:val="0"/>
        <w:bidi w:val="0"/>
        <w:spacing w:line="360" w:lineRule="auto"/>
        <w:ind w:firstLineChars="0"/>
        <w:contextualSpacing/>
        <w:textAlignment w:val="auto"/>
        <w:rPr>
          <w:rFonts w:ascii="Times New Roman" w:hAnsi="Times New Roman" w:eastAsia="黑体"/>
          <w:sz w:val="21"/>
          <w:szCs w:val="21"/>
        </w:rPr>
      </w:pPr>
    </w:p>
    <w:p w14:paraId="50D3B6D8">
      <w:pPr>
        <w:pStyle w:val="60"/>
        <w:pageBreakBefore w:val="0"/>
        <w:kinsoku/>
        <w:wordWrap/>
        <w:overflowPunct/>
        <w:topLinePunct w:val="0"/>
        <w:bidi w:val="0"/>
        <w:spacing w:line="360" w:lineRule="auto"/>
        <w:ind w:firstLineChars="0"/>
        <w:contextualSpacing/>
        <w:textAlignment w:val="auto"/>
        <w:rPr>
          <w:rFonts w:ascii="Times New Roman" w:hAnsi="Times New Roman" w:eastAsia="黑体"/>
          <w:sz w:val="21"/>
          <w:szCs w:val="21"/>
        </w:rPr>
      </w:pPr>
    </w:p>
    <w:p w14:paraId="52A58849">
      <w:pPr>
        <w:pStyle w:val="60"/>
        <w:pageBreakBefore w:val="0"/>
        <w:kinsoku/>
        <w:wordWrap/>
        <w:overflowPunct/>
        <w:topLinePunct w:val="0"/>
        <w:bidi w:val="0"/>
        <w:spacing w:line="360" w:lineRule="auto"/>
        <w:ind w:firstLineChars="0"/>
        <w:contextualSpacing/>
        <w:jc w:val="center"/>
        <w:textAlignment w:val="auto"/>
        <w:rPr>
          <w:rFonts w:hint="default" w:ascii="Times New Roman" w:hAnsi="Times New Roman" w:cs="Times New Roman" w:eastAsiaTheme="minorEastAsia"/>
          <w:color w:val="FF0000"/>
          <w:sz w:val="21"/>
          <w:szCs w:val="21"/>
          <w:lang w:val="en-US" w:eastAsia="zh-CN"/>
        </w:rPr>
      </w:pPr>
      <w:r>
        <w:rPr>
          <w:rFonts w:hint="eastAsia" w:asciiTheme="minorEastAsia" w:hAnsiTheme="minorEastAsia" w:eastAsiaTheme="minorEastAsia" w:cstheme="minorEastAsia"/>
          <w:sz w:val="21"/>
          <w:szCs w:val="21"/>
          <w:lang w:val="en-US" w:eastAsia="zh-CN"/>
        </w:rPr>
        <w:t xml:space="preserve">                               </w:t>
      </w:r>
      <w:r>
        <w:rPr>
          <w:rFonts w:hint="default" w:ascii="Times New Roman" w:hAnsi="Times New Roman" w:cs="Times New Roman" w:eastAsiaTheme="minorEastAsia"/>
          <w:sz w:val="21"/>
          <w:szCs w:val="21"/>
          <w:lang w:val="en-US" w:eastAsia="zh-CN"/>
        </w:rPr>
        <w:t xml:space="preserve"> </w:t>
      </w:r>
      <w:r>
        <w:rPr>
          <w:rFonts w:hint="default" w:ascii="Times New Roman" w:hAnsi="Times New Roman" w:cs="Times New Roman" w:eastAsiaTheme="minorEastAsia"/>
          <w:sz w:val="21"/>
          <w:szCs w:val="21"/>
        </w:rPr>
        <w:t>《</w:t>
      </w:r>
      <w:r>
        <w:rPr>
          <w:rFonts w:hint="default" w:ascii="Times New Roman" w:hAnsi="Times New Roman" w:cs="Times New Roman" w:eastAsiaTheme="minorEastAsia"/>
          <w:b w:val="0"/>
          <w:bCs w:val="0"/>
          <w:kern w:val="2"/>
          <w:sz w:val="21"/>
          <w:szCs w:val="21"/>
          <w:lang w:val="en-US" w:eastAsia="zh-CN" w:bidi="ar-SA"/>
        </w:rPr>
        <w:t>有色金属材料分析用辉光放电发射光谱仪校准规范</w:t>
      </w:r>
      <w:r>
        <w:rPr>
          <w:rFonts w:hint="default" w:ascii="Times New Roman" w:hAnsi="Times New Roman" w:cs="Times New Roman" w:eastAsiaTheme="minorEastAsia"/>
          <w:sz w:val="21"/>
          <w:szCs w:val="21"/>
        </w:rPr>
        <w:t>》编制组</w:t>
      </w:r>
      <w:r>
        <w:rPr>
          <w:rFonts w:hint="default" w:ascii="Times New Roman" w:hAnsi="Times New Roman" w:cs="Times New Roman" w:eastAsiaTheme="minorEastAsia"/>
          <w:color w:val="FF0000"/>
          <w:sz w:val="21"/>
          <w:szCs w:val="21"/>
        </w:rPr>
        <w:t xml:space="preserve"> </w:t>
      </w:r>
      <w:r>
        <w:rPr>
          <w:rFonts w:hint="default" w:ascii="Times New Roman" w:hAnsi="Times New Roman" w:cs="Times New Roman" w:eastAsiaTheme="minorEastAsia"/>
          <w:color w:val="FF0000"/>
          <w:sz w:val="21"/>
          <w:szCs w:val="21"/>
          <w:lang w:val="en-US" w:eastAsia="zh-CN"/>
        </w:rPr>
        <w:t xml:space="preserve"> </w:t>
      </w:r>
    </w:p>
    <w:p w14:paraId="62FF3414">
      <w:pPr>
        <w:pStyle w:val="60"/>
        <w:pageBreakBefore w:val="0"/>
        <w:kinsoku/>
        <w:wordWrap/>
        <w:overflowPunct/>
        <w:topLinePunct w:val="0"/>
        <w:bidi w:val="0"/>
        <w:spacing w:line="360" w:lineRule="auto"/>
        <w:ind w:firstLineChars="0"/>
        <w:contextualSpacing/>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FF0000"/>
          <w:sz w:val="21"/>
          <w:szCs w:val="21"/>
        </w:rPr>
        <w:t xml:space="preserve">                                           </w:t>
      </w:r>
      <w:r>
        <w:rPr>
          <w:rFonts w:hint="default" w:ascii="Times New Roman" w:hAnsi="Times New Roman" w:cs="Times New Roman" w:eastAsiaTheme="minorEastAsia"/>
          <w:color w:val="FF0000"/>
          <w:sz w:val="21"/>
          <w:szCs w:val="21"/>
          <w:lang w:val="en-US" w:eastAsia="zh-CN"/>
        </w:rPr>
        <w:t xml:space="preserve">            </w:t>
      </w:r>
      <w:r>
        <w:rPr>
          <w:rFonts w:hint="default" w:ascii="Times New Roman" w:hAnsi="Times New Roman" w:cs="Times New Roman" w:eastAsiaTheme="minorEastAsia"/>
          <w:sz w:val="21"/>
          <w:szCs w:val="21"/>
        </w:rPr>
        <w:t xml:space="preserve"> 2026年</w:t>
      </w:r>
      <w:r>
        <w:rPr>
          <w:rFonts w:hint="default" w:ascii="Times New Roman" w:hAnsi="Times New Roman" w:cs="Times New Roman" w:eastAsiaTheme="minorEastAsia"/>
          <w:sz w:val="21"/>
          <w:szCs w:val="21"/>
          <w:lang w:val="en-US" w:eastAsia="zh-CN"/>
        </w:rPr>
        <w:t>9</w:t>
      </w:r>
      <w:r>
        <w:rPr>
          <w:rFonts w:hint="default" w:ascii="Times New Roman" w:hAnsi="Times New Roman" w:cs="Times New Roman" w:eastAsiaTheme="minorEastAsia"/>
          <w:sz w:val="21"/>
          <w:szCs w:val="21"/>
        </w:rPr>
        <w:t>月</w:t>
      </w:r>
      <w:r>
        <w:rPr>
          <w:rFonts w:hint="default" w:ascii="Times New Roman" w:hAnsi="Times New Roman" w:cs="Times New Roman" w:eastAsiaTheme="minorEastAsia"/>
          <w:sz w:val="21"/>
          <w:szCs w:val="21"/>
          <w:lang w:val="en-US" w:eastAsia="zh-CN"/>
        </w:rPr>
        <w:t>8</w:t>
      </w:r>
      <w:r>
        <w:rPr>
          <w:rFonts w:hint="default" w:ascii="Times New Roman" w:hAnsi="Times New Roman" w:cs="Times New Roman" w:eastAsiaTheme="minorEastAsia"/>
          <w:sz w:val="21"/>
          <w:szCs w:val="21"/>
        </w:rPr>
        <w:t xml:space="preserve">日 </w:t>
      </w:r>
      <w:bookmarkEnd w:id="67"/>
    </w:p>
    <w:p w14:paraId="783DD184">
      <w:pPr>
        <w:pStyle w:val="60"/>
        <w:pageBreakBefore w:val="0"/>
        <w:kinsoku/>
        <w:wordWrap/>
        <w:overflowPunct/>
        <w:topLinePunct w:val="0"/>
        <w:bidi w:val="0"/>
        <w:spacing w:line="360" w:lineRule="auto"/>
        <w:ind w:firstLineChars="0"/>
        <w:contextualSpacing/>
        <w:jc w:val="center"/>
        <w:textAlignment w:val="auto"/>
        <w:rPr>
          <w:rFonts w:hint="eastAsia" w:asciiTheme="minorEastAsia" w:hAnsiTheme="minorEastAsia" w:eastAsiaTheme="minorEastAsia" w:cstheme="minorEastAsia"/>
          <w:sz w:val="21"/>
          <w:szCs w:val="21"/>
        </w:rPr>
      </w:pPr>
    </w:p>
    <w:p w14:paraId="5D900ABC">
      <w:pPr>
        <w:pStyle w:val="60"/>
        <w:pageBreakBefore w:val="0"/>
        <w:kinsoku/>
        <w:wordWrap/>
        <w:overflowPunct/>
        <w:topLinePunct w:val="0"/>
        <w:bidi w:val="0"/>
        <w:spacing w:line="360" w:lineRule="auto"/>
        <w:ind w:firstLineChars="0"/>
        <w:contextualSpacing/>
        <w:jc w:val="center"/>
        <w:textAlignment w:val="auto"/>
        <w:rPr>
          <w:rFonts w:hint="eastAsia" w:asciiTheme="minorEastAsia" w:hAnsiTheme="minorEastAsia" w:eastAsiaTheme="minorEastAsia" w:cstheme="minorEastAsia"/>
          <w:sz w:val="21"/>
          <w:szCs w:val="21"/>
        </w:rPr>
      </w:pPr>
    </w:p>
    <w:p w14:paraId="59AD6F3C">
      <w:pPr>
        <w:pStyle w:val="60"/>
        <w:pageBreakBefore w:val="0"/>
        <w:kinsoku/>
        <w:wordWrap/>
        <w:overflowPunct/>
        <w:topLinePunct w:val="0"/>
        <w:bidi w:val="0"/>
        <w:spacing w:line="360" w:lineRule="auto"/>
        <w:ind w:firstLineChars="0"/>
        <w:contextualSpacing/>
        <w:jc w:val="center"/>
        <w:textAlignment w:val="auto"/>
        <w:rPr>
          <w:rFonts w:hint="eastAsia" w:asciiTheme="minorEastAsia" w:hAnsiTheme="minorEastAsia" w:eastAsiaTheme="minorEastAsia" w:cstheme="minorEastAsia"/>
          <w:sz w:val="21"/>
          <w:szCs w:val="21"/>
        </w:rPr>
      </w:pPr>
    </w:p>
    <w:sectPr>
      <w:footerReference r:id="rId5" w:type="first"/>
      <w:headerReference r:id="rId3" w:type="default"/>
      <w:footerReference r:id="rId4" w:type="default"/>
      <w:pgSz w:w="11907" w:h="16839"/>
      <w:pgMar w:top="1418" w:right="1134" w:bottom="1134" w:left="1418" w:header="1418" w:footer="851"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Cambria Math">
    <w:panose1 w:val="02040503050406030204"/>
    <w:charset w:val="00"/>
    <w:family w:val="auto"/>
    <w:pitch w:val="default"/>
    <w:sig w:usb0="E00006FF" w:usb1="420024FF" w:usb2="02000000" w:usb3="00000000" w:csb0="2000019F" w:csb1="00000000"/>
  </w:font>
  <w:font w:name="E-BZ">
    <w:altName w:val="Times New Roman"/>
    <w:panose1 w:val="00000000000000000000"/>
    <w:charset w:val="00"/>
    <w:family w:val="roman"/>
    <w:pitch w:val="default"/>
    <w:sig w:usb0="00000000" w:usb1="00000000" w:usb2="00000000" w:usb3="00000000" w:csb0="00000000" w:csb1="00000000"/>
  </w:font>
  <w:font w:name="Courier New">
    <w:panose1 w:val="02070309020205020404"/>
    <w:charset w:val="00"/>
    <w:family w:val="auto"/>
    <w:pitch w:val="default"/>
    <w:sig w:usb0="E0002EFF" w:usb1="C0007843" w:usb2="00000009" w:usb3="00000000" w:csb0="400001FF" w:csb1="FFFF0000"/>
  </w:font>
  <w:font w:name="Tahoma">
    <w:panose1 w:val="020B0604030504040204"/>
    <w:charset w:val="00"/>
    <w:family w:val="auto"/>
    <w:pitch w:val="default"/>
    <w:sig w:usb0="E1002EFF" w:usb1="C000605B" w:usb2="00000029" w:usb3="00000000" w:csb0="200101FF" w:csb1="20280000"/>
  </w:font>
  <w:font w:name="方正小标宋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B03B6">
    <w:pPr>
      <w:pStyle w:val="75"/>
      <w:jc w:val="center"/>
      <w:rPr>
        <w:rStyle w:val="46"/>
      </w:rPr>
    </w:pPr>
    <w:r>
      <w:fldChar w:fldCharType="begin"/>
    </w:r>
    <w:r>
      <w:rPr>
        <w:rStyle w:val="46"/>
      </w:rPr>
      <w:instrText xml:space="preserve">PAGE  </w:instrText>
    </w:r>
    <w:r>
      <w:fldChar w:fldCharType="separate"/>
    </w:r>
    <w:r>
      <w:rPr>
        <w:rStyle w:val="46"/>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3C842">
    <w:pPr>
      <w:pStyle w:val="28"/>
      <w:jc w:val="both"/>
    </w:pPr>
  </w:p>
  <w:p w14:paraId="4A90730C">
    <w:pPr>
      <w:pStyle w:val="28"/>
      <w:jc w:val="center"/>
      <w:rPr>
        <w:rFonts w:ascii="宋体" w:hAnsi="宋体"/>
        <w:sz w:val="21"/>
      </w:rPr>
    </w:pPr>
    <w:r>
      <w:rPr>
        <w:rFonts w:hint="eastAsia" w:ascii="宋体" w:hAnsi="宋体"/>
        <w:sz w:val="21"/>
      </w:rPr>
      <w:t>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1B392">
    <w:pPr>
      <w:pStyle w:val="63"/>
      <w:widowControl w:val="0"/>
      <w:numPr>
        <w:ilvl w:val="1"/>
        <w:numId w:val="0"/>
      </w:numPr>
      <w:adjustRightInd w:val="0"/>
      <w:snapToGrid w:val="0"/>
      <w:spacing w:beforeLines="0" w:after="120"/>
      <w:outlineLvl w:val="9"/>
      <w:rPr>
        <w:rFonts w:ascii="Times New Roman" w:eastAsia="宋体"/>
        <w:kern w:val="2"/>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39EA53"/>
    <w:multiLevelType w:val="singleLevel"/>
    <w:tmpl w:val="9E39EA53"/>
    <w:lvl w:ilvl="0" w:tentative="0">
      <w:start w:val="4"/>
      <w:numFmt w:val="decimal"/>
      <w:lvlText w:val="%1."/>
      <w:lvlJc w:val="left"/>
      <w:pPr>
        <w:tabs>
          <w:tab w:val="left" w:pos="312"/>
        </w:tabs>
      </w:pPr>
    </w:lvl>
  </w:abstractNum>
  <w:abstractNum w:abstractNumId="1">
    <w:nsid w:val="B0F722A4"/>
    <w:multiLevelType w:val="singleLevel"/>
    <w:tmpl w:val="B0F722A4"/>
    <w:lvl w:ilvl="0" w:tentative="0">
      <w:start w:val="3"/>
      <w:numFmt w:val="chineseCounting"/>
      <w:suff w:val="nothing"/>
      <w:lvlText w:val="%1、"/>
      <w:lvlJc w:val="left"/>
      <w:rPr>
        <w:rFonts w:hint="eastAsia"/>
        <w:b w:val="0"/>
        <w:bCs w:val="0"/>
        <w:sz w:val="28"/>
        <w:szCs w:val="28"/>
      </w:rPr>
    </w:lvl>
  </w:abstractNum>
  <w:abstractNum w:abstractNumId="2">
    <w:nsid w:val="00000007"/>
    <w:multiLevelType w:val="multilevel"/>
    <w:tmpl w:val="00000007"/>
    <w:lvl w:ilvl="0" w:tentative="0">
      <w:start w:val="1"/>
      <w:numFmt w:val="none"/>
      <w:pStyle w:val="82"/>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C"/>
    <w:multiLevelType w:val="multilevel"/>
    <w:tmpl w:val="0000000C"/>
    <w:lvl w:ilvl="0" w:tentative="0">
      <w:start w:val="1"/>
      <w:numFmt w:val="none"/>
      <w:pStyle w:val="110"/>
      <w:lvlText w:val="%1示例"/>
      <w:lvlJc w:val="left"/>
      <w:pPr>
        <w:tabs>
          <w:tab w:val="left" w:pos="1120"/>
        </w:tabs>
        <w:ind w:left="0" w:firstLine="400"/>
      </w:pPr>
      <w:rPr>
        <w:rFonts w:hint="eastAsia" w:ascii="宋体"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10"/>
    <w:multiLevelType w:val="multilevel"/>
    <w:tmpl w:val="00000010"/>
    <w:lvl w:ilvl="0" w:tentative="0">
      <w:start w:val="1"/>
      <w:numFmt w:val="none"/>
      <w:pStyle w:val="93"/>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13"/>
    <w:multiLevelType w:val="multilevel"/>
    <w:tmpl w:val="00000013"/>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pacing w:val="0"/>
        <w:w w:val="100"/>
        <w:kern w:val="21"/>
        <w:sz w:val="21"/>
      </w:rPr>
    </w:lvl>
    <w:lvl w:ilvl="2" w:tentative="0">
      <w:start w:val="1"/>
      <w:numFmt w:val="decimal"/>
      <w:pStyle w:val="120"/>
      <w:suff w:val="nothing"/>
      <w:lvlText w:val="%1%2.%3　"/>
      <w:lvlJc w:val="left"/>
      <w:pPr>
        <w:ind w:left="0" w:firstLine="0"/>
      </w:pPr>
      <w:rPr>
        <w:rFonts w:hint="eastAsia" w:ascii="黑体" w:hAnsi="Times New Roman" w:eastAsia="黑体"/>
        <w:b w:val="0"/>
        <w:i w:val="0"/>
        <w:sz w:val="21"/>
      </w:rPr>
    </w:lvl>
    <w:lvl w:ilvl="3" w:tentative="0">
      <w:start w:val="1"/>
      <w:numFmt w:val="decimal"/>
      <w:pStyle w:val="96"/>
      <w:suff w:val="nothing"/>
      <w:lvlText w:val="%1%2.%3.%4　"/>
      <w:lvlJc w:val="left"/>
      <w:pPr>
        <w:ind w:left="0" w:firstLine="0"/>
      </w:pPr>
      <w:rPr>
        <w:rFonts w:hint="eastAsia" w:ascii="黑体" w:hAnsi="Times New Roman" w:eastAsia="黑体"/>
        <w:b w:val="0"/>
        <w:i w:val="0"/>
        <w:sz w:val="21"/>
      </w:rPr>
    </w:lvl>
    <w:lvl w:ilvl="4" w:tentative="0">
      <w:start w:val="1"/>
      <w:numFmt w:val="decimal"/>
      <w:pStyle w:val="118"/>
      <w:suff w:val="nothing"/>
      <w:lvlText w:val="%1%2.%3.%4.%5　"/>
      <w:lvlJc w:val="left"/>
      <w:pPr>
        <w:ind w:left="0" w:firstLine="0"/>
      </w:pPr>
      <w:rPr>
        <w:rFonts w:hint="eastAsia" w:ascii="黑体" w:hAnsi="Times New Roman" w:eastAsia="黑体"/>
        <w:b w:val="0"/>
        <w:i w:val="0"/>
        <w:sz w:val="21"/>
      </w:rPr>
    </w:lvl>
    <w:lvl w:ilvl="5" w:tentative="0">
      <w:start w:val="1"/>
      <w:numFmt w:val="decimal"/>
      <w:pStyle w:val="112"/>
      <w:suff w:val="nothing"/>
      <w:lvlText w:val="%1%2.%3.%4.%5.%6　"/>
      <w:lvlJc w:val="left"/>
      <w:pPr>
        <w:ind w:left="0" w:firstLine="0"/>
      </w:pPr>
      <w:rPr>
        <w:rFonts w:hint="eastAsia" w:ascii="黑体" w:hAnsi="Times New Roman" w:eastAsia="黑体"/>
        <w:b w:val="0"/>
        <w:i w:val="0"/>
        <w:sz w:val="21"/>
      </w:rPr>
    </w:lvl>
    <w:lvl w:ilvl="6" w:tentative="0">
      <w:start w:val="1"/>
      <w:numFmt w:val="decimal"/>
      <w:pStyle w:val="85"/>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00000014"/>
    <w:multiLevelType w:val="multilevel"/>
    <w:tmpl w:val="00000014"/>
    <w:lvl w:ilvl="0" w:tentative="0">
      <w:start w:val="1"/>
      <w:numFmt w:val="none"/>
      <w:pStyle w:val="117"/>
      <w:lvlText w:val="%1·　"/>
      <w:lvlJc w:val="left"/>
      <w:pPr>
        <w:tabs>
          <w:tab w:val="left" w:pos="1140"/>
        </w:tabs>
        <w:ind w:left="737" w:hanging="317"/>
      </w:pPr>
      <w:rPr>
        <w:rFonts w:hint="eastAsia" w:ascii="宋体" w:hAnsi="Times New Roman" w:eastAsia="宋体"/>
        <w:b w:val="0"/>
        <w:i w:val="0"/>
        <w:sz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7">
    <w:nsid w:val="00000015"/>
    <w:multiLevelType w:val="multilevel"/>
    <w:tmpl w:val="00000015"/>
    <w:lvl w:ilvl="0" w:tentative="0">
      <w:start w:val="1"/>
      <w:numFmt w:val="upperLetter"/>
      <w:pStyle w:val="67"/>
      <w:suff w:val="nothing"/>
      <w:lvlText w:val="附　录　%1"/>
      <w:lvlJc w:val="left"/>
      <w:pPr>
        <w:ind w:left="0" w:firstLine="0"/>
      </w:pPr>
      <w:rPr>
        <w:rFonts w:hint="eastAsia" w:ascii="黑体" w:hAnsi="Times New Roman" w:eastAsia="黑体"/>
        <w:b w:val="0"/>
        <w:i w:val="0"/>
        <w:sz w:val="21"/>
      </w:rPr>
    </w:lvl>
    <w:lvl w:ilvl="1" w:tentative="0">
      <w:start w:val="1"/>
      <w:numFmt w:val="japaneseCounting"/>
      <w:pStyle w:val="81"/>
      <w:lvlText w:val="（%2）"/>
      <w:lvlJc w:val="left"/>
      <w:pPr>
        <w:ind w:left="0" w:firstLine="0"/>
      </w:pPr>
      <w:rPr>
        <w:rFonts w:hint="default"/>
        <w:b w:val="0"/>
        <w:i w:val="0"/>
        <w:spacing w:val="0"/>
        <w:w w:val="100"/>
        <w:kern w:val="21"/>
        <w:sz w:val="21"/>
      </w:rPr>
    </w:lvl>
    <w:lvl w:ilvl="2" w:tentative="0">
      <w:start w:val="1"/>
      <w:numFmt w:val="decimal"/>
      <w:pStyle w:val="105"/>
      <w:suff w:val="nothing"/>
      <w:lvlText w:val="%1.%2.%3　"/>
      <w:lvlJc w:val="left"/>
      <w:pPr>
        <w:ind w:left="0" w:firstLine="0"/>
      </w:pPr>
      <w:rPr>
        <w:rFonts w:hint="eastAsia" w:ascii="黑体" w:hAnsi="Times New Roman" w:eastAsia="黑体"/>
        <w:b w:val="0"/>
        <w:i w:val="0"/>
        <w:sz w:val="21"/>
      </w:rPr>
    </w:lvl>
    <w:lvl w:ilvl="3" w:tentative="0">
      <w:start w:val="1"/>
      <w:numFmt w:val="decimal"/>
      <w:pStyle w:val="104"/>
      <w:suff w:val="nothing"/>
      <w:lvlText w:val="%1.%2.%3.%4　"/>
      <w:lvlJc w:val="left"/>
      <w:pPr>
        <w:ind w:left="0" w:firstLine="0"/>
      </w:pPr>
      <w:rPr>
        <w:rFonts w:hint="eastAsia" w:ascii="黑体" w:hAnsi="Times New Roman" w:eastAsia="黑体"/>
        <w:b w:val="0"/>
        <w:i w:val="0"/>
        <w:sz w:val="21"/>
      </w:rPr>
    </w:lvl>
    <w:lvl w:ilvl="4" w:tentative="0">
      <w:start w:val="1"/>
      <w:numFmt w:val="decimal"/>
      <w:pStyle w:val="103"/>
      <w:suff w:val="nothing"/>
      <w:lvlText w:val="%1.%2.%3.%4.%5　"/>
      <w:lvlJc w:val="left"/>
      <w:pPr>
        <w:ind w:left="0" w:firstLine="0"/>
      </w:pPr>
      <w:rPr>
        <w:rFonts w:hint="eastAsia" w:ascii="黑体" w:hAnsi="Times New Roman" w:eastAsia="黑体"/>
        <w:b w:val="0"/>
        <w:i w:val="0"/>
        <w:sz w:val="21"/>
      </w:rPr>
    </w:lvl>
    <w:lvl w:ilvl="5" w:tentative="0">
      <w:start w:val="1"/>
      <w:numFmt w:val="decimal"/>
      <w:pStyle w:val="102"/>
      <w:suff w:val="nothing"/>
      <w:lvlText w:val="%1.%2.%3.%4.%5.%6　"/>
      <w:lvlJc w:val="left"/>
      <w:pPr>
        <w:ind w:left="0" w:firstLine="0"/>
      </w:pPr>
      <w:rPr>
        <w:rFonts w:hint="eastAsia" w:ascii="黑体" w:hAnsi="Times New Roman" w:eastAsia="黑体"/>
        <w:b w:val="0"/>
        <w:i w:val="0"/>
        <w:sz w:val="21"/>
      </w:rPr>
    </w:lvl>
    <w:lvl w:ilvl="6" w:tentative="0">
      <w:start w:val="1"/>
      <w:numFmt w:val="decimal"/>
      <w:pStyle w:val="101"/>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00000019"/>
    <w:multiLevelType w:val="multilevel"/>
    <w:tmpl w:val="00000019"/>
    <w:lvl w:ilvl="0" w:tentative="0">
      <w:start w:val="1"/>
      <w:numFmt w:val="decimal"/>
      <w:pStyle w:val="109"/>
      <w:suff w:val="nothing"/>
      <w:lvlText w:val="表%1　"/>
      <w:lvlJc w:val="left"/>
      <w:pPr>
        <w:ind w:left="3403" w:firstLine="0"/>
      </w:pPr>
      <w:rPr>
        <w:rFonts w:hint="eastAsia" w:ascii="黑体" w:hAnsi="Times New Roman" w:eastAsia="黑体"/>
        <w:b w:val="0"/>
        <w:i w:val="0"/>
        <w:sz w:val="21"/>
      </w:rPr>
    </w:lvl>
    <w:lvl w:ilvl="1" w:tentative="0">
      <w:start w:val="1"/>
      <w:numFmt w:val="decimal"/>
      <w:lvlText w:val="%1.%2"/>
      <w:lvlJc w:val="left"/>
      <w:pPr>
        <w:tabs>
          <w:tab w:val="left" w:pos="1202"/>
        </w:tabs>
        <w:ind w:left="1202" w:hanging="567"/>
      </w:pPr>
      <w:rPr>
        <w:rFonts w:hint="eastAsia"/>
      </w:rPr>
    </w:lvl>
    <w:lvl w:ilvl="2" w:tentative="0">
      <w:start w:val="1"/>
      <w:numFmt w:val="decimal"/>
      <w:lvlText w:val="%1.%2.%3"/>
      <w:lvlJc w:val="left"/>
      <w:pPr>
        <w:tabs>
          <w:tab w:val="left" w:pos="1628"/>
        </w:tabs>
        <w:ind w:left="1628" w:hanging="567"/>
      </w:pPr>
      <w:rPr>
        <w:rFonts w:hint="eastAsia"/>
      </w:rPr>
    </w:lvl>
    <w:lvl w:ilvl="3" w:tentative="0">
      <w:start w:val="1"/>
      <w:numFmt w:val="decimal"/>
      <w:lvlText w:val="%1.%2.%3.%4"/>
      <w:lvlJc w:val="left"/>
      <w:pPr>
        <w:tabs>
          <w:tab w:val="left" w:pos="2194"/>
        </w:tabs>
        <w:ind w:left="2194" w:hanging="708"/>
      </w:pPr>
      <w:rPr>
        <w:rFonts w:hint="eastAsia"/>
      </w:rPr>
    </w:lvl>
    <w:lvl w:ilvl="4" w:tentative="0">
      <w:start w:val="1"/>
      <w:numFmt w:val="decimal"/>
      <w:lvlText w:val="%1.%2.%3.%4.%5"/>
      <w:lvlJc w:val="left"/>
      <w:pPr>
        <w:tabs>
          <w:tab w:val="left" w:pos="2761"/>
        </w:tabs>
        <w:ind w:left="2761" w:hanging="850"/>
      </w:pPr>
      <w:rPr>
        <w:rFonts w:hint="eastAsia"/>
      </w:rPr>
    </w:lvl>
    <w:lvl w:ilvl="5" w:tentative="0">
      <w:start w:val="1"/>
      <w:numFmt w:val="decimal"/>
      <w:lvlText w:val="%1.%2.%3.%4.%5.%6"/>
      <w:lvlJc w:val="left"/>
      <w:pPr>
        <w:tabs>
          <w:tab w:val="left" w:pos="3470"/>
        </w:tabs>
        <w:ind w:left="3470" w:hanging="1134"/>
      </w:pPr>
      <w:rPr>
        <w:rFonts w:hint="eastAsia"/>
      </w:rPr>
    </w:lvl>
    <w:lvl w:ilvl="6" w:tentative="0">
      <w:start w:val="1"/>
      <w:numFmt w:val="decimal"/>
      <w:lvlText w:val="%1.%2.%3.%4.%5.%6.%7"/>
      <w:lvlJc w:val="left"/>
      <w:pPr>
        <w:tabs>
          <w:tab w:val="left" w:pos="4037"/>
        </w:tabs>
        <w:ind w:left="4037" w:hanging="1276"/>
      </w:pPr>
      <w:rPr>
        <w:rFonts w:hint="eastAsia"/>
      </w:rPr>
    </w:lvl>
    <w:lvl w:ilvl="7" w:tentative="0">
      <w:start w:val="1"/>
      <w:numFmt w:val="decimal"/>
      <w:lvlText w:val="%1.%2.%3.%4.%5.%6.%7.%8"/>
      <w:lvlJc w:val="left"/>
      <w:pPr>
        <w:tabs>
          <w:tab w:val="left" w:pos="4604"/>
        </w:tabs>
        <w:ind w:left="4604" w:hanging="1418"/>
      </w:pPr>
      <w:rPr>
        <w:rFonts w:hint="eastAsia"/>
      </w:rPr>
    </w:lvl>
    <w:lvl w:ilvl="8" w:tentative="0">
      <w:start w:val="1"/>
      <w:numFmt w:val="decimal"/>
      <w:lvlText w:val="%1.%2.%3.%4.%5.%6.%7.%8.%9"/>
      <w:lvlJc w:val="left"/>
      <w:pPr>
        <w:tabs>
          <w:tab w:val="left" w:pos="5312"/>
        </w:tabs>
        <w:ind w:left="5312" w:hanging="1700"/>
      </w:pPr>
      <w:rPr>
        <w:rFonts w:hint="eastAsia"/>
      </w:rPr>
    </w:lvl>
  </w:abstractNum>
  <w:abstractNum w:abstractNumId="9">
    <w:nsid w:val="00000022"/>
    <w:multiLevelType w:val="multilevel"/>
    <w:tmpl w:val="00000022"/>
    <w:lvl w:ilvl="0" w:tentative="0">
      <w:start w:val="1"/>
      <w:numFmt w:val="decimal"/>
      <w:pStyle w:val="92"/>
      <w:suff w:val="nothing"/>
      <w:lvlText w:val="图%1　"/>
      <w:lvlJc w:val="left"/>
      <w:pPr>
        <w:ind w:left="0" w:firstLine="0"/>
      </w:pPr>
      <w:rPr>
        <w:rFonts w:hint="eastAsia" w:ascii="黑体" w:hAnsi="Times New Roman" w:eastAsia="黑体"/>
        <w:b w:val="0"/>
        <w:i w:val="0"/>
        <w:color w:val="auto"/>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0">
    <w:nsid w:val="00000025"/>
    <w:multiLevelType w:val="multilevel"/>
    <w:tmpl w:val="00000025"/>
    <w:lvl w:ilvl="0" w:tentative="0">
      <w:start w:val="1"/>
      <w:numFmt w:val="none"/>
      <w:pStyle w:val="68"/>
      <w:suff w:val="nothing"/>
      <w:lvlText w:val="%1"/>
      <w:lvlJc w:val="left"/>
      <w:pPr>
        <w:ind w:left="0" w:firstLine="0"/>
      </w:pPr>
      <w:rPr>
        <w:rFonts w:hint="default" w:ascii="Times New Roman" w:hAnsi="Times New Roman"/>
        <w:b/>
        <w:i w:val="0"/>
        <w:sz w:val="21"/>
      </w:rPr>
    </w:lvl>
    <w:lvl w:ilvl="1" w:tentative="0">
      <w:start w:val="1"/>
      <w:numFmt w:val="decimal"/>
      <w:pStyle w:val="63"/>
      <w:suff w:val="nothing"/>
      <w:lvlText w:val="%1%2　"/>
      <w:lvlJc w:val="left"/>
      <w:pPr>
        <w:ind w:left="0" w:firstLine="0"/>
      </w:pPr>
      <w:rPr>
        <w:rFonts w:hint="default" w:ascii="Times New Roman" w:hAnsi="Times New Roman" w:eastAsia="黑体" w:cs="Times New Roman"/>
        <w:b w:val="0"/>
        <w:i w:val="0"/>
        <w:sz w:val="21"/>
      </w:rPr>
    </w:lvl>
    <w:lvl w:ilvl="2" w:tentative="0">
      <w:start w:val="1"/>
      <w:numFmt w:val="decimal"/>
      <w:pStyle w:val="62"/>
      <w:suff w:val="nothing"/>
      <w:lvlText w:val="%1%2.%3　"/>
      <w:lvlJc w:val="left"/>
      <w:pPr>
        <w:ind w:left="0" w:firstLine="0"/>
      </w:pPr>
      <w:rPr>
        <w:rFonts w:hint="eastAsia" w:ascii="黑体" w:hAnsi="Times New Roman" w:eastAsia="黑体"/>
        <w:b w:val="0"/>
        <w:i w:val="0"/>
        <w:sz w:val="21"/>
      </w:rPr>
    </w:lvl>
    <w:lvl w:ilvl="3" w:tentative="0">
      <w:start w:val="1"/>
      <w:numFmt w:val="decimal"/>
      <w:pStyle w:val="61"/>
      <w:suff w:val="nothing"/>
      <w:lvlText w:val="%1%2.%3.%4　"/>
      <w:lvlJc w:val="left"/>
      <w:pPr>
        <w:ind w:left="284" w:firstLine="0"/>
      </w:pPr>
      <w:rPr>
        <w:rFonts w:hint="eastAsia" w:ascii="黑体" w:hAnsi="Times New Roman" w:eastAsia="黑体"/>
        <w:b w:val="0"/>
        <w:i w:val="0"/>
        <w:sz w:val="21"/>
      </w:rPr>
    </w:lvl>
    <w:lvl w:ilvl="4" w:tentative="0">
      <w:start w:val="1"/>
      <w:numFmt w:val="decimal"/>
      <w:pStyle w:val="73"/>
      <w:suff w:val="nothing"/>
      <w:lvlText w:val="%1%2.%3.%4.%5　"/>
      <w:lvlJc w:val="left"/>
      <w:pPr>
        <w:ind w:left="0" w:firstLine="0"/>
      </w:pPr>
      <w:rPr>
        <w:rFonts w:hint="eastAsia" w:ascii="黑体" w:hAnsi="Times New Roman" w:eastAsia="黑体"/>
        <w:b w:val="0"/>
        <w:i w:val="0"/>
        <w:color w:val="auto"/>
        <w:sz w:val="21"/>
        <w:lang w:val="en-US"/>
      </w:rPr>
    </w:lvl>
    <w:lvl w:ilvl="5" w:tentative="0">
      <w:start w:val="1"/>
      <w:numFmt w:val="decimal"/>
      <w:pStyle w:val="72"/>
      <w:suff w:val="nothing"/>
      <w:lvlText w:val="%1%2.%3.%4.%5.%6　"/>
      <w:lvlJc w:val="left"/>
      <w:pPr>
        <w:ind w:left="0" w:firstLine="0"/>
      </w:pPr>
      <w:rPr>
        <w:rFonts w:hint="eastAsia" w:ascii="黑体" w:hAnsi="Times New Roman" w:eastAsia="黑体"/>
        <w:b w:val="0"/>
        <w:i w:val="0"/>
        <w:sz w:val="21"/>
      </w:rPr>
    </w:lvl>
    <w:lvl w:ilvl="6" w:tentative="0">
      <w:start w:val="1"/>
      <w:numFmt w:val="decimal"/>
      <w:pStyle w:val="8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00000027"/>
    <w:multiLevelType w:val="multilevel"/>
    <w:tmpl w:val="00000027"/>
    <w:lvl w:ilvl="0" w:tentative="0">
      <w:start w:val="1"/>
      <w:numFmt w:val="none"/>
      <w:pStyle w:val="74"/>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0"/>
  </w:num>
  <w:num w:numId="2">
    <w:abstractNumId w:val="7"/>
  </w:num>
  <w:num w:numId="3">
    <w:abstractNumId w:val="11"/>
  </w:num>
  <w:num w:numId="4">
    <w:abstractNumId w:val="2"/>
  </w:num>
  <w:num w:numId="5">
    <w:abstractNumId w:val="5"/>
  </w:num>
  <w:num w:numId="6">
    <w:abstractNumId w:val="9"/>
  </w:num>
  <w:num w:numId="7">
    <w:abstractNumId w:val="4"/>
  </w:num>
  <w:num w:numId="8">
    <w:abstractNumId w:val="8"/>
  </w:num>
  <w:num w:numId="9">
    <w:abstractNumId w:val="3"/>
  </w:num>
  <w:num w:numId="10">
    <w:abstractNumId w:val="6"/>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hideSpellingErrors/>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4ODQwNThiYTg4YTBlNDhkZDRmNGNiNWM5NWE1YzAifQ=="/>
  </w:docVars>
  <w:rsids>
    <w:rsidRoot w:val="00693668"/>
    <w:rsid w:val="000038F0"/>
    <w:rsid w:val="00004648"/>
    <w:rsid w:val="00014C66"/>
    <w:rsid w:val="000211BF"/>
    <w:rsid w:val="000237D4"/>
    <w:rsid w:val="000309D7"/>
    <w:rsid w:val="00032F98"/>
    <w:rsid w:val="00034584"/>
    <w:rsid w:val="00036A21"/>
    <w:rsid w:val="00036F02"/>
    <w:rsid w:val="0004299E"/>
    <w:rsid w:val="00043D6D"/>
    <w:rsid w:val="0005764E"/>
    <w:rsid w:val="000657B2"/>
    <w:rsid w:val="0006679C"/>
    <w:rsid w:val="0007070D"/>
    <w:rsid w:val="00073A74"/>
    <w:rsid w:val="00084878"/>
    <w:rsid w:val="000971D5"/>
    <w:rsid w:val="000C1F88"/>
    <w:rsid w:val="000C772A"/>
    <w:rsid w:val="000F15FB"/>
    <w:rsid w:val="000F714B"/>
    <w:rsid w:val="00100912"/>
    <w:rsid w:val="00104CBC"/>
    <w:rsid w:val="001164A0"/>
    <w:rsid w:val="0012155C"/>
    <w:rsid w:val="00122AD8"/>
    <w:rsid w:val="00136813"/>
    <w:rsid w:val="0014120B"/>
    <w:rsid w:val="00150062"/>
    <w:rsid w:val="00151323"/>
    <w:rsid w:val="001527ED"/>
    <w:rsid w:val="001859F4"/>
    <w:rsid w:val="0019431C"/>
    <w:rsid w:val="001A4F75"/>
    <w:rsid w:val="001C13CE"/>
    <w:rsid w:val="001C7BB8"/>
    <w:rsid w:val="001D0501"/>
    <w:rsid w:val="001E0288"/>
    <w:rsid w:val="001E09C6"/>
    <w:rsid w:val="00235374"/>
    <w:rsid w:val="00244291"/>
    <w:rsid w:val="00247A7D"/>
    <w:rsid w:val="00255EB1"/>
    <w:rsid w:val="002732FF"/>
    <w:rsid w:val="00275F7A"/>
    <w:rsid w:val="00280BE9"/>
    <w:rsid w:val="002849BB"/>
    <w:rsid w:val="00291548"/>
    <w:rsid w:val="00293085"/>
    <w:rsid w:val="002977EC"/>
    <w:rsid w:val="002A1305"/>
    <w:rsid w:val="002D0634"/>
    <w:rsid w:val="002D2103"/>
    <w:rsid w:val="002E6C19"/>
    <w:rsid w:val="002F4E61"/>
    <w:rsid w:val="003012C4"/>
    <w:rsid w:val="00305CB9"/>
    <w:rsid w:val="00307A90"/>
    <w:rsid w:val="00314BA2"/>
    <w:rsid w:val="00322078"/>
    <w:rsid w:val="0032338B"/>
    <w:rsid w:val="0033057E"/>
    <w:rsid w:val="003318C1"/>
    <w:rsid w:val="00335FEC"/>
    <w:rsid w:val="0034125E"/>
    <w:rsid w:val="00352269"/>
    <w:rsid w:val="00366AF1"/>
    <w:rsid w:val="00373555"/>
    <w:rsid w:val="00397407"/>
    <w:rsid w:val="003B0148"/>
    <w:rsid w:val="003C2376"/>
    <w:rsid w:val="003C685D"/>
    <w:rsid w:val="003E10E7"/>
    <w:rsid w:val="003E237F"/>
    <w:rsid w:val="003F2C11"/>
    <w:rsid w:val="00400BF2"/>
    <w:rsid w:val="0040777C"/>
    <w:rsid w:val="00411DC2"/>
    <w:rsid w:val="00415481"/>
    <w:rsid w:val="004257BB"/>
    <w:rsid w:val="00425D1F"/>
    <w:rsid w:val="004265F2"/>
    <w:rsid w:val="004508BB"/>
    <w:rsid w:val="00455FE9"/>
    <w:rsid w:val="0046211B"/>
    <w:rsid w:val="00464019"/>
    <w:rsid w:val="00472194"/>
    <w:rsid w:val="00482AD2"/>
    <w:rsid w:val="0048362B"/>
    <w:rsid w:val="00497039"/>
    <w:rsid w:val="004A27E5"/>
    <w:rsid w:val="004B1DE2"/>
    <w:rsid w:val="004B3BD5"/>
    <w:rsid w:val="004C6FDF"/>
    <w:rsid w:val="004E1361"/>
    <w:rsid w:val="004E4C45"/>
    <w:rsid w:val="004E5080"/>
    <w:rsid w:val="00521FA9"/>
    <w:rsid w:val="0052761B"/>
    <w:rsid w:val="005305AE"/>
    <w:rsid w:val="00531FA0"/>
    <w:rsid w:val="00536268"/>
    <w:rsid w:val="00536BFA"/>
    <w:rsid w:val="005535AA"/>
    <w:rsid w:val="0055489A"/>
    <w:rsid w:val="00556AC4"/>
    <w:rsid w:val="005608DA"/>
    <w:rsid w:val="00567271"/>
    <w:rsid w:val="005709C3"/>
    <w:rsid w:val="0059121E"/>
    <w:rsid w:val="005B3A80"/>
    <w:rsid w:val="005B5BAB"/>
    <w:rsid w:val="005C0BE7"/>
    <w:rsid w:val="005C2448"/>
    <w:rsid w:val="005C769A"/>
    <w:rsid w:val="005E67C7"/>
    <w:rsid w:val="005F42DD"/>
    <w:rsid w:val="00601ADF"/>
    <w:rsid w:val="00606487"/>
    <w:rsid w:val="00623451"/>
    <w:rsid w:val="00624A40"/>
    <w:rsid w:val="00625140"/>
    <w:rsid w:val="00627726"/>
    <w:rsid w:val="00633572"/>
    <w:rsid w:val="00636E32"/>
    <w:rsid w:val="00637AB5"/>
    <w:rsid w:val="00644C6D"/>
    <w:rsid w:val="006510D6"/>
    <w:rsid w:val="00660A77"/>
    <w:rsid w:val="00667FDB"/>
    <w:rsid w:val="00670276"/>
    <w:rsid w:val="00672533"/>
    <w:rsid w:val="006738AA"/>
    <w:rsid w:val="006820CD"/>
    <w:rsid w:val="00683E68"/>
    <w:rsid w:val="00686643"/>
    <w:rsid w:val="0069243E"/>
    <w:rsid w:val="00693668"/>
    <w:rsid w:val="006B3185"/>
    <w:rsid w:val="006B43C4"/>
    <w:rsid w:val="006C188A"/>
    <w:rsid w:val="006C2258"/>
    <w:rsid w:val="006C2AF8"/>
    <w:rsid w:val="006D1B98"/>
    <w:rsid w:val="006D7E99"/>
    <w:rsid w:val="006E11F0"/>
    <w:rsid w:val="00707309"/>
    <w:rsid w:val="00724E03"/>
    <w:rsid w:val="00733C71"/>
    <w:rsid w:val="00735A75"/>
    <w:rsid w:val="007373AB"/>
    <w:rsid w:val="00740702"/>
    <w:rsid w:val="00743BA2"/>
    <w:rsid w:val="00743BAC"/>
    <w:rsid w:val="00746BAC"/>
    <w:rsid w:val="00750ED3"/>
    <w:rsid w:val="00764D0A"/>
    <w:rsid w:val="00765621"/>
    <w:rsid w:val="007901C0"/>
    <w:rsid w:val="007902D1"/>
    <w:rsid w:val="00796CF0"/>
    <w:rsid w:val="007A3BEE"/>
    <w:rsid w:val="007C15E3"/>
    <w:rsid w:val="007D5B84"/>
    <w:rsid w:val="007E56C9"/>
    <w:rsid w:val="00804BC8"/>
    <w:rsid w:val="00820F69"/>
    <w:rsid w:val="00824B04"/>
    <w:rsid w:val="00826DAA"/>
    <w:rsid w:val="008461B6"/>
    <w:rsid w:val="0085122B"/>
    <w:rsid w:val="00854EC4"/>
    <w:rsid w:val="0086056F"/>
    <w:rsid w:val="0086378F"/>
    <w:rsid w:val="008754EE"/>
    <w:rsid w:val="00876D87"/>
    <w:rsid w:val="008B22FC"/>
    <w:rsid w:val="008C672E"/>
    <w:rsid w:val="008E415E"/>
    <w:rsid w:val="008F5DCA"/>
    <w:rsid w:val="009052E4"/>
    <w:rsid w:val="009111C1"/>
    <w:rsid w:val="00913ED1"/>
    <w:rsid w:val="00930DB4"/>
    <w:rsid w:val="00933D2C"/>
    <w:rsid w:val="00946B7D"/>
    <w:rsid w:val="009513C5"/>
    <w:rsid w:val="009542EF"/>
    <w:rsid w:val="00954DA4"/>
    <w:rsid w:val="00967A11"/>
    <w:rsid w:val="00971240"/>
    <w:rsid w:val="00977A4A"/>
    <w:rsid w:val="009A12AB"/>
    <w:rsid w:val="009B4929"/>
    <w:rsid w:val="009C0597"/>
    <w:rsid w:val="009C2D10"/>
    <w:rsid w:val="009D79FA"/>
    <w:rsid w:val="009E3D09"/>
    <w:rsid w:val="009F420F"/>
    <w:rsid w:val="00A06113"/>
    <w:rsid w:val="00A11A21"/>
    <w:rsid w:val="00A12727"/>
    <w:rsid w:val="00A1378A"/>
    <w:rsid w:val="00A1497C"/>
    <w:rsid w:val="00A15577"/>
    <w:rsid w:val="00A3211C"/>
    <w:rsid w:val="00A363F7"/>
    <w:rsid w:val="00A40E4F"/>
    <w:rsid w:val="00A47FE2"/>
    <w:rsid w:val="00A56163"/>
    <w:rsid w:val="00A662E8"/>
    <w:rsid w:val="00A77511"/>
    <w:rsid w:val="00A7790F"/>
    <w:rsid w:val="00A8043A"/>
    <w:rsid w:val="00A8426B"/>
    <w:rsid w:val="00A86AF0"/>
    <w:rsid w:val="00A87866"/>
    <w:rsid w:val="00AC0924"/>
    <w:rsid w:val="00AD093B"/>
    <w:rsid w:val="00AE0B35"/>
    <w:rsid w:val="00AE47AC"/>
    <w:rsid w:val="00AF7111"/>
    <w:rsid w:val="00B056DA"/>
    <w:rsid w:val="00B05E25"/>
    <w:rsid w:val="00B07D3B"/>
    <w:rsid w:val="00B27476"/>
    <w:rsid w:val="00B369B6"/>
    <w:rsid w:val="00B43636"/>
    <w:rsid w:val="00B45E9C"/>
    <w:rsid w:val="00B53389"/>
    <w:rsid w:val="00B60FA7"/>
    <w:rsid w:val="00B614F2"/>
    <w:rsid w:val="00B706F7"/>
    <w:rsid w:val="00B7116A"/>
    <w:rsid w:val="00B75677"/>
    <w:rsid w:val="00B817F8"/>
    <w:rsid w:val="00B911AF"/>
    <w:rsid w:val="00BB316D"/>
    <w:rsid w:val="00BB4554"/>
    <w:rsid w:val="00BB7985"/>
    <w:rsid w:val="00BC66A0"/>
    <w:rsid w:val="00BC6B82"/>
    <w:rsid w:val="00BF1D43"/>
    <w:rsid w:val="00BF4703"/>
    <w:rsid w:val="00C03A4F"/>
    <w:rsid w:val="00C058B2"/>
    <w:rsid w:val="00C10883"/>
    <w:rsid w:val="00C113A5"/>
    <w:rsid w:val="00C2681C"/>
    <w:rsid w:val="00C27739"/>
    <w:rsid w:val="00C40CAE"/>
    <w:rsid w:val="00C5059F"/>
    <w:rsid w:val="00C53BDD"/>
    <w:rsid w:val="00C5550F"/>
    <w:rsid w:val="00C57BAB"/>
    <w:rsid w:val="00C66C85"/>
    <w:rsid w:val="00C70EA3"/>
    <w:rsid w:val="00C7537E"/>
    <w:rsid w:val="00C8056F"/>
    <w:rsid w:val="00C81A49"/>
    <w:rsid w:val="00C86EE5"/>
    <w:rsid w:val="00C9548E"/>
    <w:rsid w:val="00CB3949"/>
    <w:rsid w:val="00CB750D"/>
    <w:rsid w:val="00CB7CDF"/>
    <w:rsid w:val="00CC3C55"/>
    <w:rsid w:val="00CC3DDD"/>
    <w:rsid w:val="00CC491D"/>
    <w:rsid w:val="00CC52E3"/>
    <w:rsid w:val="00CD2D13"/>
    <w:rsid w:val="00CD759E"/>
    <w:rsid w:val="00CF3CAA"/>
    <w:rsid w:val="00D01726"/>
    <w:rsid w:val="00D16568"/>
    <w:rsid w:val="00D17115"/>
    <w:rsid w:val="00D23221"/>
    <w:rsid w:val="00D436F5"/>
    <w:rsid w:val="00D6471A"/>
    <w:rsid w:val="00D81C1D"/>
    <w:rsid w:val="00D85454"/>
    <w:rsid w:val="00D86648"/>
    <w:rsid w:val="00D903E4"/>
    <w:rsid w:val="00DA22D1"/>
    <w:rsid w:val="00DB4F65"/>
    <w:rsid w:val="00DD6769"/>
    <w:rsid w:val="00DD7D39"/>
    <w:rsid w:val="00DE144C"/>
    <w:rsid w:val="00E002FF"/>
    <w:rsid w:val="00E019C6"/>
    <w:rsid w:val="00E15312"/>
    <w:rsid w:val="00E179CE"/>
    <w:rsid w:val="00E22714"/>
    <w:rsid w:val="00E23465"/>
    <w:rsid w:val="00E31A7B"/>
    <w:rsid w:val="00E32480"/>
    <w:rsid w:val="00E71DCC"/>
    <w:rsid w:val="00E82471"/>
    <w:rsid w:val="00E911BC"/>
    <w:rsid w:val="00EB2994"/>
    <w:rsid w:val="00EC149D"/>
    <w:rsid w:val="00ED5F91"/>
    <w:rsid w:val="00EE5988"/>
    <w:rsid w:val="00F10C9E"/>
    <w:rsid w:val="00F32186"/>
    <w:rsid w:val="00F3447A"/>
    <w:rsid w:val="00F379EC"/>
    <w:rsid w:val="00F45BA8"/>
    <w:rsid w:val="00F507FB"/>
    <w:rsid w:val="00F5644A"/>
    <w:rsid w:val="00F7167F"/>
    <w:rsid w:val="00F71F31"/>
    <w:rsid w:val="00F80059"/>
    <w:rsid w:val="00F812C6"/>
    <w:rsid w:val="00F91E84"/>
    <w:rsid w:val="00FA4CA4"/>
    <w:rsid w:val="00FA6198"/>
    <w:rsid w:val="00FC7BF3"/>
    <w:rsid w:val="00FD235D"/>
    <w:rsid w:val="00FD7FCA"/>
    <w:rsid w:val="00FE0C1C"/>
    <w:rsid w:val="00FE17CA"/>
    <w:rsid w:val="00FE1932"/>
    <w:rsid w:val="00FE1A74"/>
    <w:rsid w:val="00FF5630"/>
    <w:rsid w:val="0148078F"/>
    <w:rsid w:val="0225687B"/>
    <w:rsid w:val="02F703B0"/>
    <w:rsid w:val="04731467"/>
    <w:rsid w:val="05F125DB"/>
    <w:rsid w:val="05FC2B85"/>
    <w:rsid w:val="06716757"/>
    <w:rsid w:val="07DC0ED5"/>
    <w:rsid w:val="0904785D"/>
    <w:rsid w:val="093A0DF0"/>
    <w:rsid w:val="09573966"/>
    <w:rsid w:val="0A781AE7"/>
    <w:rsid w:val="0CB9457A"/>
    <w:rsid w:val="0CCA0314"/>
    <w:rsid w:val="0D8022CA"/>
    <w:rsid w:val="0E6513CA"/>
    <w:rsid w:val="0E6C44E7"/>
    <w:rsid w:val="0E833DCE"/>
    <w:rsid w:val="0ECF1708"/>
    <w:rsid w:val="11471F43"/>
    <w:rsid w:val="12486EC1"/>
    <w:rsid w:val="13780831"/>
    <w:rsid w:val="13877F6B"/>
    <w:rsid w:val="13B1031D"/>
    <w:rsid w:val="14317D7D"/>
    <w:rsid w:val="1451679A"/>
    <w:rsid w:val="14FE0CE9"/>
    <w:rsid w:val="158E7867"/>
    <w:rsid w:val="16161288"/>
    <w:rsid w:val="165F37C1"/>
    <w:rsid w:val="16A67923"/>
    <w:rsid w:val="174C2AB4"/>
    <w:rsid w:val="17E64F25"/>
    <w:rsid w:val="18B6676F"/>
    <w:rsid w:val="18CC6E8F"/>
    <w:rsid w:val="197E2B40"/>
    <w:rsid w:val="1B167875"/>
    <w:rsid w:val="1BF8725D"/>
    <w:rsid w:val="1C0E1375"/>
    <w:rsid w:val="1C2F1FCD"/>
    <w:rsid w:val="1C803B53"/>
    <w:rsid w:val="1E713A82"/>
    <w:rsid w:val="1F5A1A25"/>
    <w:rsid w:val="1F714057"/>
    <w:rsid w:val="1F7A6B27"/>
    <w:rsid w:val="1FAB00D4"/>
    <w:rsid w:val="208E75B3"/>
    <w:rsid w:val="218A16C9"/>
    <w:rsid w:val="21BE3478"/>
    <w:rsid w:val="21D04080"/>
    <w:rsid w:val="22423DCF"/>
    <w:rsid w:val="225C10E7"/>
    <w:rsid w:val="22FB7F7F"/>
    <w:rsid w:val="230F0F67"/>
    <w:rsid w:val="23A74BBD"/>
    <w:rsid w:val="23D43A72"/>
    <w:rsid w:val="24D6035C"/>
    <w:rsid w:val="26275EBD"/>
    <w:rsid w:val="27557167"/>
    <w:rsid w:val="277C51D7"/>
    <w:rsid w:val="27BD3A55"/>
    <w:rsid w:val="287A29E1"/>
    <w:rsid w:val="28A00A66"/>
    <w:rsid w:val="29846CB3"/>
    <w:rsid w:val="29E46257"/>
    <w:rsid w:val="2A4110A1"/>
    <w:rsid w:val="2A636980"/>
    <w:rsid w:val="2AB85E2C"/>
    <w:rsid w:val="2B09268A"/>
    <w:rsid w:val="2C147130"/>
    <w:rsid w:val="2C281A12"/>
    <w:rsid w:val="2E0A7273"/>
    <w:rsid w:val="2E772BB0"/>
    <w:rsid w:val="2F656952"/>
    <w:rsid w:val="2FBE527A"/>
    <w:rsid w:val="31B57A58"/>
    <w:rsid w:val="325F3B1A"/>
    <w:rsid w:val="34745E77"/>
    <w:rsid w:val="34CD5E22"/>
    <w:rsid w:val="363D46DF"/>
    <w:rsid w:val="36AE69D8"/>
    <w:rsid w:val="38595180"/>
    <w:rsid w:val="38B6063A"/>
    <w:rsid w:val="39E61637"/>
    <w:rsid w:val="39E63C45"/>
    <w:rsid w:val="3A910669"/>
    <w:rsid w:val="3BFA1058"/>
    <w:rsid w:val="3BFE63B4"/>
    <w:rsid w:val="3EBA5BC3"/>
    <w:rsid w:val="3F9F7C29"/>
    <w:rsid w:val="3FE25D82"/>
    <w:rsid w:val="405D59F2"/>
    <w:rsid w:val="41C47CF4"/>
    <w:rsid w:val="41E81277"/>
    <w:rsid w:val="420E5348"/>
    <w:rsid w:val="4247603F"/>
    <w:rsid w:val="425F603B"/>
    <w:rsid w:val="4286740D"/>
    <w:rsid w:val="434902B9"/>
    <w:rsid w:val="43A67182"/>
    <w:rsid w:val="44100726"/>
    <w:rsid w:val="44347A9B"/>
    <w:rsid w:val="44CE02A0"/>
    <w:rsid w:val="456D3D97"/>
    <w:rsid w:val="45E87405"/>
    <w:rsid w:val="46474D73"/>
    <w:rsid w:val="465C4787"/>
    <w:rsid w:val="46C17B97"/>
    <w:rsid w:val="46E95045"/>
    <w:rsid w:val="473A498E"/>
    <w:rsid w:val="47552183"/>
    <w:rsid w:val="48211129"/>
    <w:rsid w:val="489B7043"/>
    <w:rsid w:val="48BE5C4B"/>
    <w:rsid w:val="49214E6F"/>
    <w:rsid w:val="49A26661"/>
    <w:rsid w:val="4AE6291D"/>
    <w:rsid w:val="4AEA403C"/>
    <w:rsid w:val="4B8C5809"/>
    <w:rsid w:val="4B933E1A"/>
    <w:rsid w:val="4BEC45E2"/>
    <w:rsid w:val="4CCA439B"/>
    <w:rsid w:val="4D432356"/>
    <w:rsid w:val="4E3430C7"/>
    <w:rsid w:val="4EDF53D3"/>
    <w:rsid w:val="4F025EB9"/>
    <w:rsid w:val="4F3C07E6"/>
    <w:rsid w:val="4F852040"/>
    <w:rsid w:val="4FA7278A"/>
    <w:rsid w:val="50011CA3"/>
    <w:rsid w:val="50C040DF"/>
    <w:rsid w:val="51051BD9"/>
    <w:rsid w:val="51442F7B"/>
    <w:rsid w:val="51B74CE3"/>
    <w:rsid w:val="524338B7"/>
    <w:rsid w:val="52A97DDB"/>
    <w:rsid w:val="52EB1E52"/>
    <w:rsid w:val="53036F3E"/>
    <w:rsid w:val="53FB7053"/>
    <w:rsid w:val="550F5041"/>
    <w:rsid w:val="55152B55"/>
    <w:rsid w:val="56154CA2"/>
    <w:rsid w:val="56A00E5A"/>
    <w:rsid w:val="57676F98"/>
    <w:rsid w:val="579905E2"/>
    <w:rsid w:val="590A235B"/>
    <w:rsid w:val="5A931503"/>
    <w:rsid w:val="5A971C98"/>
    <w:rsid w:val="5AA30A71"/>
    <w:rsid w:val="5AC42DA1"/>
    <w:rsid w:val="5AFA5C95"/>
    <w:rsid w:val="5B762465"/>
    <w:rsid w:val="5BBF1A9D"/>
    <w:rsid w:val="5C7F525F"/>
    <w:rsid w:val="5CDE078E"/>
    <w:rsid w:val="5CE8108B"/>
    <w:rsid w:val="5DC655CC"/>
    <w:rsid w:val="5E6B5987"/>
    <w:rsid w:val="5F776EED"/>
    <w:rsid w:val="5FB915C9"/>
    <w:rsid w:val="5FBE2776"/>
    <w:rsid w:val="6040432E"/>
    <w:rsid w:val="605176D9"/>
    <w:rsid w:val="61690122"/>
    <w:rsid w:val="61F95193"/>
    <w:rsid w:val="628F5A13"/>
    <w:rsid w:val="63F828E6"/>
    <w:rsid w:val="64425C09"/>
    <w:rsid w:val="654D6460"/>
    <w:rsid w:val="65E148CE"/>
    <w:rsid w:val="6760797E"/>
    <w:rsid w:val="685F0A40"/>
    <w:rsid w:val="694979EA"/>
    <w:rsid w:val="694F496D"/>
    <w:rsid w:val="69BC4907"/>
    <w:rsid w:val="6AB57C02"/>
    <w:rsid w:val="6AC560A0"/>
    <w:rsid w:val="6AE574EF"/>
    <w:rsid w:val="6AF7022D"/>
    <w:rsid w:val="6B27051F"/>
    <w:rsid w:val="6B753BDA"/>
    <w:rsid w:val="6B770841"/>
    <w:rsid w:val="6BC67FDC"/>
    <w:rsid w:val="6D281A14"/>
    <w:rsid w:val="6E8A0C2B"/>
    <w:rsid w:val="6E9A1846"/>
    <w:rsid w:val="6EF60757"/>
    <w:rsid w:val="6FCC7526"/>
    <w:rsid w:val="70757340"/>
    <w:rsid w:val="70A61265"/>
    <w:rsid w:val="70FA146A"/>
    <w:rsid w:val="710228B1"/>
    <w:rsid w:val="71BE203A"/>
    <w:rsid w:val="73A7009A"/>
    <w:rsid w:val="73B95B2E"/>
    <w:rsid w:val="74130018"/>
    <w:rsid w:val="74D35BFF"/>
    <w:rsid w:val="77CE2BEC"/>
    <w:rsid w:val="78504552"/>
    <w:rsid w:val="78931FA4"/>
    <w:rsid w:val="78CE2872"/>
    <w:rsid w:val="78DB44BD"/>
    <w:rsid w:val="795C2ECE"/>
    <w:rsid w:val="7AC757F1"/>
    <w:rsid w:val="7B207CB9"/>
    <w:rsid w:val="7CEB5D49"/>
    <w:rsid w:val="7D700DB4"/>
    <w:rsid w:val="7E9243B8"/>
    <w:rsid w:val="7EA82363"/>
    <w:rsid w:val="7F700A48"/>
    <w:rsid w:val="7F72061C"/>
    <w:rsid w:val="7FC30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qFormat="1" w:unhideWhenUsed="0" w:uiPriority="0" w:semiHidden="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qFormat="1" w:unhideWhenUsed="0" w:uiPriority="0" w:semiHidden="0" w:name="Body Text First Indent"/>
    <w:lsdException w:uiPriority="0" w:name="Body Text First Indent 2"/>
    <w:lsdException w:uiPriority="0" w:name="Note Heading"/>
    <w:lsdException w:qFormat="1" w:unhideWhenUsed="0" w:uiPriority="99"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qFormat="1"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nhideWhenUsed="0" w:uiPriority="0" w:semiHidden="0" w:name="Balloon Text"/>
    <w:lsdException w:qFormat="1" w:unhideWhenUsed="0" w:uiPriority="0"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6"/>
    <w:qFormat/>
    <w:uiPriority w:val="0"/>
    <w:pPr>
      <w:keepNext/>
      <w:keepLines/>
      <w:spacing w:before="50" w:beforeLines="50" w:after="50" w:afterLines="50"/>
      <w:outlineLvl w:val="0"/>
    </w:pPr>
    <w:rPr>
      <w:rFonts w:eastAsia="黑体"/>
      <w:b/>
      <w:bCs/>
      <w:kern w:val="44"/>
      <w:sz w:val="28"/>
      <w:szCs w:val="44"/>
    </w:rPr>
  </w:style>
  <w:style w:type="paragraph" w:styleId="3">
    <w:name w:val="heading 2"/>
    <w:basedOn w:val="1"/>
    <w:next w:val="1"/>
    <w:link w:val="307"/>
    <w:qFormat/>
    <w:uiPriority w:val="0"/>
    <w:pPr>
      <w:keepNext/>
      <w:keepLines/>
      <w:spacing w:before="50" w:beforeLines="50" w:after="50" w:afterLines="50" w:line="360" w:lineRule="auto"/>
      <w:outlineLvl w:val="1"/>
    </w:pPr>
    <w:rPr>
      <w:rFonts w:ascii="Arial" w:hAnsi="Arial" w:eastAsia="黑体"/>
      <w:b/>
      <w:bCs/>
      <w:sz w:val="24"/>
      <w:szCs w:val="32"/>
    </w:rPr>
  </w:style>
  <w:style w:type="paragraph" w:styleId="4">
    <w:name w:val="heading 3"/>
    <w:basedOn w:val="1"/>
    <w:next w:val="1"/>
    <w:link w:val="308"/>
    <w:qFormat/>
    <w:uiPriority w:val="0"/>
    <w:pPr>
      <w:keepNext/>
      <w:keepLines/>
      <w:spacing w:before="50" w:beforeLines="50" w:after="50" w:afterLines="50"/>
      <w:outlineLvl w:val="2"/>
    </w:pPr>
    <w:rPr>
      <w:rFonts w:eastAsia="黑体"/>
      <w:b/>
      <w:bCs/>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bCs/>
      <w:sz w:val="28"/>
      <w:szCs w:val="28"/>
    </w:rPr>
  </w:style>
  <w:style w:type="paragraph" w:styleId="6">
    <w:name w:val="heading 5"/>
    <w:basedOn w:val="1"/>
    <w:next w:val="1"/>
    <w:qFormat/>
    <w:uiPriority w:val="0"/>
    <w:pPr>
      <w:keepNext/>
      <w:keepLines/>
      <w:spacing w:before="280" w:after="290" w:line="372" w:lineRule="auto"/>
      <w:outlineLvl w:val="4"/>
    </w:pPr>
    <w:rPr>
      <w:b/>
      <w:bCs/>
      <w:sz w:val="28"/>
      <w:szCs w:val="28"/>
    </w:rPr>
  </w:style>
  <w:style w:type="paragraph" w:styleId="7">
    <w:name w:val="heading 6"/>
    <w:basedOn w:val="1"/>
    <w:next w:val="1"/>
    <w:qFormat/>
    <w:uiPriority w:val="0"/>
    <w:pPr>
      <w:keepNext/>
      <w:keepLines/>
      <w:spacing w:before="240" w:after="64" w:line="317"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17" w:lineRule="auto"/>
      <w:outlineLvl w:val="6"/>
    </w:pPr>
    <w:rPr>
      <w:b/>
      <w:bCs/>
      <w:sz w:val="24"/>
    </w:rPr>
  </w:style>
  <w:style w:type="paragraph" w:styleId="9">
    <w:name w:val="heading 8"/>
    <w:basedOn w:val="1"/>
    <w:next w:val="1"/>
    <w:qFormat/>
    <w:uiPriority w:val="0"/>
    <w:pPr>
      <w:keepNext/>
      <w:keepLines/>
      <w:spacing w:before="240" w:after="64" w:line="317"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17" w:lineRule="auto"/>
      <w:outlineLvl w:val="8"/>
    </w:pPr>
    <w:rPr>
      <w:rFonts w:ascii="Arial" w:hAnsi="Arial" w:eastAsia="黑体"/>
      <w:szCs w:val="21"/>
    </w:rPr>
  </w:style>
  <w:style w:type="character" w:default="1" w:styleId="44">
    <w:name w:val="Default Paragraph Font"/>
    <w:semiHidden/>
    <w:unhideWhenUsed/>
    <w:qFormat/>
    <w:uiPriority w:val="1"/>
  </w:style>
  <w:style w:type="table" w:default="1" w:styleId="42">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2"/>
    <w:next w:val="1"/>
    <w:autoRedefine/>
    <w:qFormat/>
    <w:uiPriority w:val="0"/>
  </w:style>
  <w:style w:type="paragraph" w:styleId="12">
    <w:name w:val="toc 6"/>
    <w:basedOn w:val="1"/>
    <w:next w:val="1"/>
    <w:link w:val="325"/>
    <w:autoRedefine/>
    <w:qFormat/>
    <w:uiPriority w:val="0"/>
  </w:style>
  <w:style w:type="paragraph" w:styleId="13">
    <w:name w:val="Normal Indent"/>
    <w:basedOn w:val="1"/>
    <w:qFormat/>
    <w:uiPriority w:val="0"/>
    <w:pPr>
      <w:ind w:firstLine="420"/>
    </w:pPr>
    <w:rPr>
      <w:szCs w:val="20"/>
    </w:rPr>
  </w:style>
  <w:style w:type="paragraph" w:styleId="14">
    <w:name w:val="caption"/>
    <w:basedOn w:val="1"/>
    <w:next w:val="1"/>
    <w:autoRedefine/>
    <w:qFormat/>
    <w:uiPriority w:val="0"/>
    <w:pPr>
      <w:spacing w:before="152" w:after="160"/>
    </w:pPr>
    <w:rPr>
      <w:rFonts w:ascii="Arial" w:hAnsi="Arial" w:eastAsia="黑体"/>
      <w:szCs w:val="20"/>
    </w:rPr>
  </w:style>
  <w:style w:type="paragraph" w:styleId="15">
    <w:name w:val="annotation text"/>
    <w:basedOn w:val="1"/>
    <w:link w:val="290"/>
    <w:autoRedefine/>
    <w:qFormat/>
    <w:uiPriority w:val="0"/>
    <w:pPr>
      <w:jc w:val="left"/>
    </w:pPr>
  </w:style>
  <w:style w:type="paragraph" w:styleId="16">
    <w:name w:val="Body Text"/>
    <w:basedOn w:val="1"/>
    <w:next w:val="17"/>
    <w:link w:val="285"/>
    <w:autoRedefine/>
    <w:qFormat/>
    <w:uiPriority w:val="0"/>
    <w:pPr>
      <w:spacing w:after="120"/>
    </w:pPr>
  </w:style>
  <w:style w:type="paragraph" w:styleId="17">
    <w:name w:val="List Paragraph"/>
    <w:basedOn w:val="1"/>
    <w:qFormat/>
    <w:uiPriority w:val="34"/>
    <w:pPr>
      <w:ind w:firstLine="420" w:firstLineChars="200"/>
    </w:pPr>
  </w:style>
  <w:style w:type="paragraph" w:styleId="18">
    <w:name w:val="Body Text Indent"/>
    <w:basedOn w:val="1"/>
    <w:link w:val="288"/>
    <w:autoRedefine/>
    <w:qFormat/>
    <w:uiPriority w:val="0"/>
    <w:pPr>
      <w:spacing w:line="360" w:lineRule="exact"/>
      <w:ind w:left="420" w:firstLine="480"/>
    </w:pPr>
    <w:rPr>
      <w:sz w:val="24"/>
      <w:szCs w:val="20"/>
    </w:rPr>
  </w:style>
  <w:style w:type="paragraph" w:styleId="19">
    <w:name w:val="HTML Address"/>
    <w:basedOn w:val="1"/>
    <w:autoRedefine/>
    <w:qFormat/>
    <w:uiPriority w:val="0"/>
    <w:rPr>
      <w:i/>
      <w:iCs/>
    </w:rPr>
  </w:style>
  <w:style w:type="paragraph" w:styleId="20">
    <w:name w:val="toc 5"/>
    <w:basedOn w:val="1"/>
    <w:next w:val="1"/>
    <w:autoRedefine/>
    <w:qFormat/>
    <w:uiPriority w:val="0"/>
  </w:style>
  <w:style w:type="paragraph" w:styleId="21">
    <w:name w:val="toc 3"/>
    <w:basedOn w:val="1"/>
    <w:next w:val="1"/>
    <w:autoRedefine/>
    <w:qFormat/>
    <w:uiPriority w:val="39"/>
  </w:style>
  <w:style w:type="paragraph" w:styleId="22">
    <w:name w:val="Plain Text"/>
    <w:basedOn w:val="1"/>
    <w:link w:val="282"/>
    <w:qFormat/>
    <w:uiPriority w:val="99"/>
    <w:rPr>
      <w:rFonts w:ascii="宋体" w:hAnsi="Courier New"/>
      <w:szCs w:val="21"/>
    </w:rPr>
  </w:style>
  <w:style w:type="paragraph" w:styleId="23">
    <w:name w:val="toc 8"/>
    <w:basedOn w:val="1"/>
    <w:next w:val="1"/>
    <w:link w:val="326"/>
    <w:autoRedefine/>
    <w:qFormat/>
    <w:uiPriority w:val="0"/>
  </w:style>
  <w:style w:type="paragraph" w:styleId="24">
    <w:name w:val="Date"/>
    <w:basedOn w:val="1"/>
    <w:next w:val="1"/>
    <w:link w:val="294"/>
    <w:autoRedefine/>
    <w:qFormat/>
    <w:uiPriority w:val="99"/>
    <w:pPr>
      <w:ind w:left="100" w:leftChars="2500"/>
    </w:pPr>
    <w:rPr>
      <w:sz w:val="24"/>
      <w:szCs w:val="20"/>
    </w:rPr>
  </w:style>
  <w:style w:type="paragraph" w:styleId="25">
    <w:name w:val="Body Text Indent 2"/>
    <w:basedOn w:val="1"/>
    <w:link w:val="293"/>
    <w:autoRedefine/>
    <w:qFormat/>
    <w:uiPriority w:val="0"/>
    <w:pPr>
      <w:spacing w:after="120" w:line="480" w:lineRule="auto"/>
      <w:ind w:left="420" w:leftChars="200"/>
    </w:pPr>
  </w:style>
  <w:style w:type="paragraph" w:styleId="26">
    <w:name w:val="endnote text"/>
    <w:basedOn w:val="1"/>
    <w:autoRedefine/>
    <w:qFormat/>
    <w:uiPriority w:val="0"/>
    <w:pPr>
      <w:snapToGrid w:val="0"/>
    </w:pPr>
  </w:style>
  <w:style w:type="paragraph" w:styleId="27">
    <w:name w:val="Balloon Text"/>
    <w:basedOn w:val="1"/>
    <w:link w:val="284"/>
    <w:qFormat/>
    <w:uiPriority w:val="0"/>
    <w:rPr>
      <w:sz w:val="18"/>
      <w:szCs w:val="18"/>
    </w:rPr>
  </w:style>
  <w:style w:type="paragraph" w:styleId="28">
    <w:name w:val="footer"/>
    <w:basedOn w:val="1"/>
    <w:link w:val="287"/>
    <w:qFormat/>
    <w:uiPriority w:val="0"/>
    <w:pPr>
      <w:tabs>
        <w:tab w:val="center" w:pos="4153"/>
        <w:tab w:val="right" w:pos="8306"/>
      </w:tabs>
      <w:snapToGrid w:val="0"/>
      <w:ind w:right="210" w:rightChars="100"/>
      <w:jc w:val="right"/>
    </w:pPr>
    <w:rPr>
      <w:sz w:val="18"/>
      <w:szCs w:val="18"/>
    </w:rPr>
  </w:style>
  <w:style w:type="paragraph" w:styleId="29">
    <w:name w:val="header"/>
    <w:basedOn w:val="1"/>
    <w:link w:val="292"/>
    <w:autoRedefine/>
    <w:qFormat/>
    <w:uiPriority w:val="0"/>
    <w:pPr>
      <w:pBdr>
        <w:bottom w:val="single" w:color="auto" w:sz="6" w:space="1"/>
      </w:pBdr>
      <w:tabs>
        <w:tab w:val="center" w:pos="4153"/>
        <w:tab w:val="right" w:pos="8306"/>
      </w:tabs>
      <w:snapToGrid w:val="0"/>
      <w:jc w:val="center"/>
    </w:pPr>
    <w:rPr>
      <w:sz w:val="18"/>
      <w:szCs w:val="18"/>
    </w:rPr>
  </w:style>
  <w:style w:type="paragraph" w:styleId="30">
    <w:name w:val="toc 1"/>
    <w:autoRedefine/>
    <w:qFormat/>
    <w:uiPriority w:val="39"/>
    <w:pPr>
      <w:jc w:val="both"/>
    </w:pPr>
    <w:rPr>
      <w:rFonts w:ascii="宋体" w:hAnsi="Times New Roman" w:eastAsia="宋体" w:cs="Times New Roman"/>
      <w:sz w:val="21"/>
      <w:lang w:val="en-US" w:eastAsia="zh-CN" w:bidi="ar-SA"/>
    </w:rPr>
  </w:style>
  <w:style w:type="paragraph" w:styleId="31">
    <w:name w:val="toc 4"/>
    <w:basedOn w:val="21"/>
    <w:autoRedefine/>
    <w:qFormat/>
    <w:uiPriority w:val="0"/>
  </w:style>
  <w:style w:type="paragraph" w:styleId="32">
    <w:name w:val="footnote text"/>
    <w:basedOn w:val="1"/>
    <w:link w:val="310"/>
    <w:autoRedefine/>
    <w:qFormat/>
    <w:uiPriority w:val="0"/>
    <w:pPr>
      <w:snapToGrid w:val="0"/>
      <w:jc w:val="left"/>
    </w:pPr>
    <w:rPr>
      <w:sz w:val="18"/>
      <w:szCs w:val="18"/>
    </w:rPr>
  </w:style>
  <w:style w:type="paragraph" w:styleId="33">
    <w:name w:val="Body Text Indent 3"/>
    <w:basedOn w:val="1"/>
    <w:qFormat/>
    <w:uiPriority w:val="0"/>
    <w:pPr>
      <w:widowControl/>
      <w:spacing w:line="360" w:lineRule="auto"/>
      <w:ind w:firstLine="420"/>
    </w:pPr>
    <w:rPr>
      <w:rFonts w:hAnsi="宋体"/>
      <w:sz w:val="18"/>
    </w:rPr>
  </w:style>
  <w:style w:type="paragraph" w:styleId="34">
    <w:name w:val="toc 2"/>
    <w:basedOn w:val="30"/>
    <w:next w:val="1"/>
    <w:autoRedefine/>
    <w:qFormat/>
    <w:uiPriority w:val="39"/>
  </w:style>
  <w:style w:type="paragraph" w:styleId="35">
    <w:name w:val="toc 9"/>
    <w:basedOn w:val="23"/>
    <w:next w:val="1"/>
    <w:qFormat/>
    <w:uiPriority w:val="0"/>
  </w:style>
  <w:style w:type="paragraph" w:styleId="36">
    <w:name w:val="Body Text 2"/>
    <w:basedOn w:val="1"/>
    <w:link w:val="324"/>
    <w:autoRedefine/>
    <w:qFormat/>
    <w:uiPriority w:val="99"/>
    <w:pPr>
      <w:spacing w:after="120" w:line="480" w:lineRule="auto"/>
    </w:pPr>
  </w:style>
  <w:style w:type="paragraph" w:styleId="37">
    <w:name w:val="HTML Preformatted"/>
    <w:basedOn w:val="1"/>
    <w:qFormat/>
    <w:uiPriority w:val="0"/>
    <w:rPr>
      <w:rFonts w:ascii="Courier New" w:hAnsi="Courier New" w:cs="Courier New"/>
      <w:sz w:val="20"/>
      <w:szCs w:val="20"/>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Title"/>
    <w:basedOn w:val="1"/>
    <w:next w:val="1"/>
    <w:link w:val="309"/>
    <w:qFormat/>
    <w:uiPriority w:val="0"/>
    <w:pPr>
      <w:spacing w:before="240" w:after="60"/>
      <w:jc w:val="center"/>
      <w:outlineLvl w:val="0"/>
    </w:pPr>
    <w:rPr>
      <w:rFonts w:ascii="Arial" w:hAnsi="Arial" w:cs="Arial"/>
      <w:b/>
      <w:bCs/>
      <w:sz w:val="32"/>
      <w:szCs w:val="32"/>
    </w:rPr>
  </w:style>
  <w:style w:type="paragraph" w:styleId="40">
    <w:name w:val="annotation subject"/>
    <w:basedOn w:val="15"/>
    <w:next w:val="15"/>
    <w:link w:val="291"/>
    <w:qFormat/>
    <w:uiPriority w:val="0"/>
    <w:rPr>
      <w:b/>
      <w:bCs/>
    </w:rPr>
  </w:style>
  <w:style w:type="paragraph" w:styleId="41">
    <w:name w:val="Body Text First Indent"/>
    <w:basedOn w:val="16"/>
    <w:autoRedefine/>
    <w:qFormat/>
    <w:uiPriority w:val="0"/>
    <w:pPr>
      <w:ind w:firstLine="420"/>
    </w:pPr>
    <w:rPr>
      <w:szCs w:val="20"/>
    </w:rPr>
  </w:style>
  <w:style w:type="table" w:styleId="43">
    <w:name w:val="Table Grid"/>
    <w:basedOn w:val="42"/>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45">
    <w:name w:val="Strong"/>
    <w:qFormat/>
    <w:uiPriority w:val="22"/>
    <w:rPr>
      <w:b/>
      <w:bCs/>
    </w:rPr>
  </w:style>
  <w:style w:type="character" w:styleId="46">
    <w:name w:val="page number"/>
    <w:qFormat/>
    <w:uiPriority w:val="0"/>
    <w:rPr>
      <w:rFonts w:ascii="Times New Roman" w:hAnsi="Times New Roman" w:eastAsia="宋体"/>
      <w:sz w:val="18"/>
    </w:rPr>
  </w:style>
  <w:style w:type="character" w:styleId="47">
    <w:name w:val="FollowedHyperlink"/>
    <w:unhideWhenUsed/>
    <w:qFormat/>
    <w:uiPriority w:val="0"/>
    <w:rPr>
      <w:color w:val="800080"/>
      <w:u w:val="single"/>
    </w:rPr>
  </w:style>
  <w:style w:type="character" w:styleId="48">
    <w:name w:val="Emphasis"/>
    <w:basedOn w:val="44"/>
    <w:qFormat/>
    <w:uiPriority w:val="0"/>
  </w:style>
  <w:style w:type="character" w:styleId="49">
    <w:name w:val="HTML Definition"/>
    <w:qFormat/>
    <w:uiPriority w:val="0"/>
    <w:rPr>
      <w:i/>
      <w:iCs/>
    </w:rPr>
  </w:style>
  <w:style w:type="character" w:styleId="50">
    <w:name w:val="HTML Typewriter"/>
    <w:qFormat/>
    <w:uiPriority w:val="0"/>
    <w:rPr>
      <w:rFonts w:ascii="Courier New" w:hAnsi="Courier New"/>
      <w:sz w:val="20"/>
      <w:szCs w:val="20"/>
    </w:rPr>
  </w:style>
  <w:style w:type="character" w:styleId="51">
    <w:name w:val="HTML Acronym"/>
    <w:basedOn w:val="44"/>
    <w:qFormat/>
    <w:uiPriority w:val="0"/>
  </w:style>
  <w:style w:type="character" w:styleId="52">
    <w:name w:val="HTML Variable"/>
    <w:qFormat/>
    <w:uiPriority w:val="0"/>
    <w:rPr>
      <w:i/>
      <w:iCs/>
    </w:rPr>
  </w:style>
  <w:style w:type="character" w:styleId="53">
    <w:name w:val="Hyperlink"/>
    <w:basedOn w:val="44"/>
    <w:qFormat/>
    <w:uiPriority w:val="99"/>
    <w:rPr>
      <w:rFonts w:ascii="Times New Roman" w:hAnsi="Times New Roman" w:eastAsia="宋体"/>
      <w:color w:val="auto"/>
      <w:spacing w:val="0"/>
      <w:w w:val="100"/>
      <w:position w:val="0"/>
      <w:sz w:val="21"/>
      <w:u w:val="none"/>
    </w:rPr>
  </w:style>
  <w:style w:type="character" w:styleId="54">
    <w:name w:val="HTML Code"/>
    <w:basedOn w:val="44"/>
    <w:qFormat/>
    <w:uiPriority w:val="0"/>
    <w:rPr>
      <w:rFonts w:hint="default" w:ascii="Courier New" w:hAnsi="Courier New" w:eastAsia="Courier New" w:cs="Courier New"/>
      <w:sz w:val="20"/>
      <w:szCs w:val="20"/>
      <w:bdr w:val="none" w:color="auto" w:sz="0" w:space="0"/>
    </w:rPr>
  </w:style>
  <w:style w:type="character" w:styleId="55">
    <w:name w:val="annotation reference"/>
    <w:qFormat/>
    <w:uiPriority w:val="0"/>
    <w:rPr>
      <w:sz w:val="21"/>
      <w:szCs w:val="21"/>
    </w:rPr>
  </w:style>
  <w:style w:type="character" w:styleId="56">
    <w:name w:val="HTML Cite"/>
    <w:qFormat/>
    <w:uiPriority w:val="0"/>
    <w:rPr>
      <w:i/>
      <w:iCs/>
    </w:rPr>
  </w:style>
  <w:style w:type="character" w:styleId="57">
    <w:name w:val="footnote reference"/>
    <w:qFormat/>
    <w:uiPriority w:val="0"/>
    <w:rPr>
      <w:vertAlign w:val="superscript"/>
    </w:rPr>
  </w:style>
  <w:style w:type="character" w:styleId="58">
    <w:name w:val="HTML Keyboard"/>
    <w:basedOn w:val="44"/>
    <w:qFormat/>
    <w:uiPriority w:val="0"/>
    <w:rPr>
      <w:rFonts w:ascii="Courier New" w:hAnsi="Courier New" w:eastAsia="Courier New" w:cs="Courier New"/>
      <w:sz w:val="20"/>
      <w:szCs w:val="20"/>
    </w:rPr>
  </w:style>
  <w:style w:type="character" w:styleId="59">
    <w:name w:val="HTML Sample"/>
    <w:basedOn w:val="44"/>
    <w:qFormat/>
    <w:uiPriority w:val="0"/>
    <w:rPr>
      <w:rFonts w:hint="default" w:ascii="Courier New" w:hAnsi="Courier New" w:eastAsia="Courier New" w:cs="Courier New"/>
    </w:rPr>
  </w:style>
  <w:style w:type="paragraph" w:customStyle="1" w:styleId="60">
    <w:name w:val="段"/>
    <w:link w:val="277"/>
    <w:qFormat/>
    <w:uiPriority w:val="0"/>
    <w:pPr>
      <w:autoSpaceDE w:val="0"/>
      <w:autoSpaceDN w:val="0"/>
      <w:adjustRightInd w:val="0"/>
      <w:snapToGrid w:val="0"/>
      <w:ind w:firstLine="400" w:firstLineChars="200"/>
      <w:jc w:val="both"/>
    </w:pPr>
    <w:rPr>
      <w:rFonts w:ascii="宋体" w:hAnsi="宋体" w:eastAsia="宋体" w:cs="Times New Roman"/>
      <w:sz w:val="21"/>
      <w:lang w:val="en-US" w:eastAsia="zh-CN" w:bidi="ar-SA"/>
    </w:rPr>
  </w:style>
  <w:style w:type="paragraph" w:customStyle="1" w:styleId="61">
    <w:name w:val="二级条标题"/>
    <w:basedOn w:val="62"/>
    <w:next w:val="60"/>
    <w:link w:val="279"/>
    <w:qFormat/>
    <w:uiPriority w:val="0"/>
    <w:pPr>
      <w:numPr>
        <w:ilvl w:val="3"/>
      </w:numPr>
      <w:outlineLvl w:val="3"/>
    </w:pPr>
    <w:rPr>
      <w:rFonts w:hAnsi="黑体"/>
      <w:color w:val="000000" w:themeColor="text1"/>
      <w:spacing w:val="-6"/>
      <w14:textFill>
        <w14:solidFill>
          <w14:schemeClr w14:val="tx1"/>
        </w14:solidFill>
      </w14:textFill>
    </w:rPr>
  </w:style>
  <w:style w:type="paragraph" w:customStyle="1" w:styleId="62">
    <w:name w:val="一级条标题"/>
    <w:basedOn w:val="63"/>
    <w:next w:val="60"/>
    <w:link w:val="281"/>
    <w:qFormat/>
    <w:uiPriority w:val="0"/>
    <w:pPr>
      <w:numPr>
        <w:ilvl w:val="2"/>
      </w:numPr>
      <w:spacing w:beforeLines="0" w:afterLines="0" w:line="300" w:lineRule="auto"/>
      <w:outlineLvl w:val="2"/>
    </w:pPr>
    <w:rPr>
      <w:color w:val="FF0000"/>
      <w:spacing w:val="-4"/>
      <w:szCs w:val="24"/>
    </w:rPr>
  </w:style>
  <w:style w:type="paragraph" w:customStyle="1" w:styleId="63">
    <w:name w:val="章标题"/>
    <w:next w:val="60"/>
    <w:link w:val="280"/>
    <w:qFormat/>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6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65">
    <w:name w:val="封面标准号2"/>
    <w:basedOn w:val="66"/>
    <w:qFormat/>
    <w:uiPriority w:val="0"/>
    <w:pPr>
      <w:adjustRightInd w:val="0"/>
      <w:spacing w:before="357" w:line="280" w:lineRule="exact"/>
    </w:pPr>
  </w:style>
  <w:style w:type="paragraph" w:customStyle="1" w:styleId="66">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67">
    <w:name w:val="附录标识"/>
    <w:basedOn w:val="68"/>
    <w:link w:val="302"/>
    <w:qFormat/>
    <w:uiPriority w:val="0"/>
    <w:pPr>
      <w:numPr>
        <w:ilvl w:val="0"/>
        <w:numId w:val="2"/>
      </w:numPr>
      <w:tabs>
        <w:tab w:val="left" w:pos="6405"/>
      </w:tabs>
      <w:spacing w:after="200"/>
    </w:pPr>
    <w:rPr>
      <w:sz w:val="21"/>
    </w:rPr>
  </w:style>
  <w:style w:type="paragraph" w:customStyle="1" w:styleId="68">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69">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70">
    <w:name w:val="发布部门"/>
    <w:next w:val="60"/>
    <w:qFormat/>
    <w:uiPriority w:val="0"/>
    <w:pPr>
      <w:jc w:val="center"/>
    </w:pPr>
    <w:rPr>
      <w:rFonts w:ascii="宋体" w:hAnsi="Times New Roman" w:eastAsia="宋体" w:cs="Times New Roman"/>
      <w:b/>
      <w:spacing w:val="20"/>
      <w:w w:val="135"/>
      <w:sz w:val="36"/>
      <w:lang w:val="en-US" w:eastAsia="zh-CN" w:bidi="ar-SA"/>
    </w:rPr>
  </w:style>
  <w:style w:type="paragraph" w:customStyle="1" w:styleId="71">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72">
    <w:name w:val="四级条标题"/>
    <w:basedOn w:val="73"/>
    <w:next w:val="60"/>
    <w:qFormat/>
    <w:uiPriority w:val="0"/>
    <w:pPr>
      <w:numPr>
        <w:ilvl w:val="5"/>
      </w:numPr>
      <w:outlineLvl w:val="5"/>
    </w:pPr>
  </w:style>
  <w:style w:type="paragraph" w:customStyle="1" w:styleId="73">
    <w:name w:val="三级条标题"/>
    <w:basedOn w:val="61"/>
    <w:next w:val="60"/>
    <w:link w:val="283"/>
    <w:qFormat/>
    <w:uiPriority w:val="0"/>
    <w:pPr>
      <w:numPr>
        <w:ilvl w:val="4"/>
      </w:numPr>
      <w:outlineLvl w:val="4"/>
    </w:pPr>
  </w:style>
  <w:style w:type="paragraph" w:customStyle="1" w:styleId="74">
    <w:name w:val="列项——"/>
    <w:qFormat/>
    <w:uiPriority w:val="0"/>
    <w:pPr>
      <w:widowControl w:val="0"/>
      <w:numPr>
        <w:ilvl w:val="0"/>
        <w:numId w:val="3"/>
      </w:numPr>
      <w:tabs>
        <w:tab w:val="left" w:pos="854"/>
        <w:tab w:val="clear" w:pos="1140"/>
      </w:tabs>
      <w:ind w:left="200" w:leftChars="200" w:hanging="200" w:hangingChars="200"/>
      <w:jc w:val="both"/>
    </w:pPr>
    <w:rPr>
      <w:rFonts w:ascii="宋体" w:hAnsi="Times New Roman" w:eastAsia="宋体" w:cs="Times New Roman"/>
      <w:sz w:val="21"/>
      <w:lang w:val="en-US" w:eastAsia="zh-CN" w:bidi="ar-SA"/>
    </w:rPr>
  </w:style>
  <w:style w:type="paragraph" w:customStyle="1" w:styleId="75">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76">
    <w:name w:val="参考文献、索引标题"/>
    <w:basedOn w:val="68"/>
    <w:next w:val="1"/>
    <w:qFormat/>
    <w:uiPriority w:val="0"/>
    <w:pPr>
      <w:numPr>
        <w:numId w:val="0"/>
      </w:numPr>
      <w:spacing w:after="200"/>
    </w:pPr>
    <w:rPr>
      <w:sz w:val="21"/>
    </w:rPr>
  </w:style>
  <w:style w:type="paragraph" w:customStyle="1" w:styleId="77">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78">
    <w:name w:val="实施日期"/>
    <w:basedOn w:val="79"/>
    <w:qFormat/>
    <w:uiPriority w:val="0"/>
    <w:pPr>
      <w:jc w:val="right"/>
    </w:pPr>
  </w:style>
  <w:style w:type="paragraph" w:customStyle="1" w:styleId="79">
    <w:name w:val="发布日期"/>
    <w:qFormat/>
    <w:uiPriority w:val="0"/>
    <w:rPr>
      <w:rFonts w:ascii="Times New Roman" w:hAnsi="Times New Roman" w:eastAsia="黑体" w:cs="Times New Roman"/>
      <w:sz w:val="28"/>
      <w:lang w:val="en-US" w:eastAsia="zh-CN" w:bidi="ar-SA"/>
    </w:rPr>
  </w:style>
  <w:style w:type="paragraph" w:customStyle="1" w:styleId="80">
    <w:name w:val="条文脚注"/>
    <w:basedOn w:val="32"/>
    <w:qFormat/>
    <w:uiPriority w:val="0"/>
    <w:pPr>
      <w:ind w:left="780" w:leftChars="200" w:hanging="360" w:hangingChars="200"/>
      <w:jc w:val="both"/>
    </w:pPr>
    <w:rPr>
      <w:rFonts w:ascii="宋体"/>
    </w:rPr>
  </w:style>
  <w:style w:type="paragraph" w:customStyle="1" w:styleId="81">
    <w:name w:val="附录章标题"/>
    <w:next w:val="60"/>
    <w:qFormat/>
    <w:uiPriority w:val="0"/>
    <w:pPr>
      <w:numPr>
        <w:ilvl w:val="1"/>
        <w:numId w:val="2"/>
      </w:num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2">
    <w:name w:val="注×："/>
    <w:qFormat/>
    <w:uiPriority w:val="0"/>
    <w:pPr>
      <w:widowControl w:val="0"/>
      <w:numPr>
        <w:ilvl w:val="0"/>
        <w:numId w:val="4"/>
      </w:numPr>
      <w:tabs>
        <w:tab w:val="left" w:pos="630"/>
        <w:tab w:val="clear" w:pos="900"/>
      </w:tabs>
      <w:autoSpaceDE w:val="0"/>
      <w:autoSpaceDN w:val="0"/>
      <w:jc w:val="both"/>
    </w:pPr>
    <w:rPr>
      <w:rFonts w:ascii="宋体" w:hAnsi="Times New Roman" w:eastAsia="宋体" w:cs="Times New Roman"/>
      <w:sz w:val="18"/>
      <w:lang w:val="en-US" w:eastAsia="zh-CN" w:bidi="ar-SA"/>
    </w:rPr>
  </w:style>
  <w:style w:type="paragraph" w:customStyle="1" w:styleId="83">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84">
    <w:name w:val="图表脚注"/>
    <w:next w:val="60"/>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85">
    <w:name w:val="五级无标题条"/>
    <w:basedOn w:val="1"/>
    <w:qFormat/>
    <w:uiPriority w:val="0"/>
    <w:pPr>
      <w:numPr>
        <w:ilvl w:val="6"/>
        <w:numId w:val="5"/>
      </w:numPr>
    </w:pPr>
  </w:style>
  <w:style w:type="paragraph" w:customStyle="1" w:styleId="86">
    <w:name w:val="标准标志"/>
    <w:next w:val="1"/>
    <w:qFormat/>
    <w:uiPriority w:val="0"/>
    <w:pPr>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87">
    <w:name w:val="Char"/>
    <w:basedOn w:val="1"/>
    <w:qFormat/>
    <w:uiPriority w:val="0"/>
    <w:pPr>
      <w:widowControl/>
      <w:spacing w:after="160" w:line="240" w:lineRule="exact"/>
      <w:jc w:val="left"/>
    </w:pPr>
  </w:style>
  <w:style w:type="paragraph" w:customStyle="1" w:styleId="88">
    <w:name w:val="无标题条"/>
    <w:next w:val="60"/>
    <w:qFormat/>
    <w:uiPriority w:val="0"/>
    <w:pPr>
      <w:jc w:val="both"/>
    </w:pPr>
    <w:rPr>
      <w:rFonts w:ascii="Times New Roman" w:hAnsi="Times New Roman" w:eastAsia="宋体" w:cs="Times New Roman"/>
      <w:sz w:val="21"/>
      <w:lang w:val="en-US" w:eastAsia="zh-CN" w:bidi="ar-SA"/>
    </w:rPr>
  </w:style>
  <w:style w:type="paragraph" w:customStyle="1" w:styleId="89">
    <w:name w:val="五级条标题"/>
    <w:basedOn w:val="72"/>
    <w:next w:val="60"/>
    <w:qFormat/>
    <w:uiPriority w:val="0"/>
    <w:pPr>
      <w:numPr>
        <w:ilvl w:val="6"/>
      </w:numPr>
      <w:outlineLvl w:val="6"/>
    </w:pPr>
  </w:style>
  <w:style w:type="paragraph" w:customStyle="1" w:styleId="90">
    <w:name w:val="Default"/>
    <w:qFormat/>
    <w:uiPriority w:val="0"/>
    <w:pPr>
      <w:widowControl w:val="0"/>
      <w:autoSpaceDE w:val="0"/>
      <w:autoSpaceDN w:val="0"/>
      <w:adjustRightInd w:val="0"/>
    </w:pPr>
    <w:rPr>
      <w:rFonts w:ascii="宋体" w:hAnsi="Times New Roman" w:eastAsia="宋体" w:cs="Times New Roman"/>
      <w:lang w:val="en-US" w:eastAsia="zh-CN" w:bidi="ar-SA"/>
    </w:rPr>
  </w:style>
  <w:style w:type="paragraph" w:customStyle="1" w:styleId="91">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92">
    <w:name w:val="正文图标题"/>
    <w:next w:val="60"/>
    <w:qFormat/>
    <w:uiPriority w:val="0"/>
    <w:pPr>
      <w:numPr>
        <w:ilvl w:val="0"/>
        <w:numId w:val="6"/>
      </w:numPr>
      <w:jc w:val="center"/>
    </w:pPr>
    <w:rPr>
      <w:rFonts w:ascii="黑体" w:hAnsi="Times New Roman" w:eastAsia="黑体" w:cs="Times New Roman"/>
      <w:sz w:val="21"/>
      <w:lang w:val="en-US" w:eastAsia="zh-CN" w:bidi="ar-SA"/>
    </w:rPr>
  </w:style>
  <w:style w:type="paragraph" w:customStyle="1" w:styleId="93">
    <w:name w:val="注："/>
    <w:next w:val="60"/>
    <w:link w:val="286"/>
    <w:qFormat/>
    <w:uiPriority w:val="0"/>
    <w:pPr>
      <w:widowControl w:val="0"/>
      <w:numPr>
        <w:ilvl w:val="0"/>
        <w:numId w:val="7"/>
      </w:numPr>
      <w:autoSpaceDE w:val="0"/>
      <w:autoSpaceDN w:val="0"/>
      <w:jc w:val="both"/>
    </w:pPr>
    <w:rPr>
      <w:rFonts w:ascii="宋体" w:hAnsi="Times New Roman" w:eastAsia="宋体" w:cs="Times New Roman"/>
      <w:sz w:val="18"/>
      <w:lang w:val="en-US" w:eastAsia="zh-CN" w:bidi="ar-SA"/>
    </w:rPr>
  </w:style>
  <w:style w:type="paragraph" w:customStyle="1" w:styleId="94">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95">
    <w:name w:val="标准书眉_偶数页"/>
    <w:basedOn w:val="91"/>
    <w:next w:val="1"/>
    <w:qFormat/>
    <w:uiPriority w:val="0"/>
    <w:pPr>
      <w:jc w:val="left"/>
    </w:pPr>
  </w:style>
  <w:style w:type="paragraph" w:customStyle="1" w:styleId="96">
    <w:name w:val="二级无标题条"/>
    <w:basedOn w:val="1"/>
    <w:qFormat/>
    <w:uiPriority w:val="0"/>
    <w:pPr>
      <w:numPr>
        <w:ilvl w:val="3"/>
        <w:numId w:val="5"/>
      </w:numPr>
    </w:pPr>
  </w:style>
  <w:style w:type="paragraph" w:customStyle="1" w:styleId="97">
    <w:name w:val="附录表标题"/>
    <w:next w:val="60"/>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98">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99">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00">
    <w:name w:val="封面正文"/>
    <w:qFormat/>
    <w:uiPriority w:val="0"/>
    <w:pPr>
      <w:jc w:val="both"/>
    </w:pPr>
    <w:rPr>
      <w:rFonts w:ascii="Times New Roman" w:hAnsi="Times New Roman" w:eastAsia="宋体" w:cs="Times New Roman"/>
      <w:lang w:val="en-US" w:eastAsia="zh-CN" w:bidi="ar-SA"/>
    </w:rPr>
  </w:style>
  <w:style w:type="paragraph" w:customStyle="1" w:styleId="101">
    <w:name w:val="附录五级条标题"/>
    <w:basedOn w:val="102"/>
    <w:next w:val="60"/>
    <w:qFormat/>
    <w:uiPriority w:val="0"/>
    <w:pPr>
      <w:numPr>
        <w:ilvl w:val="6"/>
      </w:numPr>
      <w:outlineLvl w:val="6"/>
    </w:pPr>
  </w:style>
  <w:style w:type="paragraph" w:customStyle="1" w:styleId="102">
    <w:name w:val="附录四级条标题"/>
    <w:basedOn w:val="103"/>
    <w:next w:val="60"/>
    <w:qFormat/>
    <w:uiPriority w:val="0"/>
    <w:pPr>
      <w:numPr>
        <w:ilvl w:val="5"/>
      </w:numPr>
      <w:outlineLvl w:val="5"/>
    </w:pPr>
  </w:style>
  <w:style w:type="paragraph" w:customStyle="1" w:styleId="103">
    <w:name w:val="附录三级条标题"/>
    <w:basedOn w:val="104"/>
    <w:next w:val="60"/>
    <w:qFormat/>
    <w:uiPriority w:val="0"/>
    <w:pPr>
      <w:numPr>
        <w:ilvl w:val="4"/>
      </w:numPr>
      <w:outlineLvl w:val="4"/>
    </w:pPr>
  </w:style>
  <w:style w:type="paragraph" w:customStyle="1" w:styleId="104">
    <w:name w:val="附录二级条标题"/>
    <w:basedOn w:val="105"/>
    <w:next w:val="60"/>
    <w:qFormat/>
    <w:uiPriority w:val="0"/>
    <w:pPr>
      <w:numPr>
        <w:ilvl w:val="3"/>
      </w:numPr>
      <w:outlineLvl w:val="3"/>
    </w:pPr>
  </w:style>
  <w:style w:type="paragraph" w:customStyle="1" w:styleId="105">
    <w:name w:val="附录一级条标题"/>
    <w:basedOn w:val="81"/>
    <w:next w:val="60"/>
    <w:qFormat/>
    <w:uiPriority w:val="0"/>
    <w:pPr>
      <w:numPr>
        <w:ilvl w:val="2"/>
      </w:numPr>
      <w:autoSpaceDN w:val="0"/>
      <w:spacing w:beforeLines="0" w:afterLines="0"/>
      <w:outlineLvl w:val="2"/>
    </w:pPr>
  </w:style>
  <w:style w:type="paragraph" w:customStyle="1" w:styleId="106">
    <w:name w:val="数字编号列项（二级）"/>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107">
    <w:name w:val="附录图标题"/>
    <w:next w:val="60"/>
    <w:qFormat/>
    <w:uiPriority w:val="0"/>
    <w:pPr>
      <w:jc w:val="center"/>
    </w:pPr>
    <w:rPr>
      <w:rFonts w:ascii="黑体" w:hAnsi="Times New Roman" w:eastAsia="黑体" w:cs="Times New Roman"/>
      <w:sz w:val="21"/>
      <w:lang w:val="en-US" w:eastAsia="zh-CN" w:bidi="ar-SA"/>
    </w:rPr>
  </w:style>
  <w:style w:type="paragraph" w:customStyle="1" w:styleId="108">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109">
    <w:name w:val="正文表标题"/>
    <w:next w:val="60"/>
    <w:qFormat/>
    <w:uiPriority w:val="0"/>
    <w:pPr>
      <w:numPr>
        <w:ilvl w:val="0"/>
        <w:numId w:val="8"/>
      </w:numPr>
      <w:jc w:val="center"/>
    </w:pPr>
    <w:rPr>
      <w:rFonts w:ascii="黑体" w:hAnsi="Times New Roman" w:eastAsia="黑体" w:cs="Times New Roman"/>
      <w:sz w:val="21"/>
      <w:lang w:val="en-US" w:eastAsia="zh-CN" w:bidi="ar-SA"/>
    </w:rPr>
  </w:style>
  <w:style w:type="paragraph" w:customStyle="1" w:styleId="110">
    <w:name w:val="示例"/>
    <w:next w:val="60"/>
    <w:qFormat/>
    <w:uiPriority w:val="0"/>
    <w:pPr>
      <w:numPr>
        <w:ilvl w:val="0"/>
        <w:numId w:val="9"/>
      </w:numPr>
      <w:tabs>
        <w:tab w:val="left" w:pos="816"/>
        <w:tab w:val="clear" w:pos="1120"/>
      </w:tabs>
      <w:ind w:firstLine="419" w:firstLineChars="233"/>
      <w:jc w:val="both"/>
    </w:pPr>
    <w:rPr>
      <w:rFonts w:ascii="宋体" w:hAnsi="Times New Roman" w:eastAsia="宋体" w:cs="Times New Roman"/>
      <w:sz w:val="18"/>
      <w:lang w:val="en-US" w:eastAsia="zh-CN" w:bidi="ar-SA"/>
    </w:rPr>
  </w:style>
  <w:style w:type="paragraph" w:customStyle="1" w:styleId="111">
    <w:name w:val="篇"/>
    <w:basedOn w:val="1"/>
    <w:next w:val="1"/>
    <w:qFormat/>
    <w:uiPriority w:val="0"/>
    <w:pPr>
      <w:adjustRightInd w:val="0"/>
      <w:spacing w:line="360" w:lineRule="atLeast"/>
      <w:jc w:val="center"/>
      <w:textAlignment w:val="baseline"/>
    </w:pPr>
    <w:rPr>
      <w:rFonts w:eastAsia="黑体"/>
      <w:kern w:val="0"/>
      <w:sz w:val="24"/>
      <w:szCs w:val="20"/>
    </w:rPr>
  </w:style>
  <w:style w:type="paragraph" w:customStyle="1" w:styleId="112">
    <w:name w:val="四级无标题条"/>
    <w:basedOn w:val="1"/>
    <w:qFormat/>
    <w:uiPriority w:val="0"/>
    <w:pPr>
      <w:numPr>
        <w:ilvl w:val="5"/>
        <w:numId w:val="5"/>
      </w:numPr>
    </w:pPr>
  </w:style>
  <w:style w:type="paragraph" w:customStyle="1" w:styleId="113">
    <w:name w:val="目次、标准名称标题"/>
    <w:basedOn w:val="68"/>
    <w:next w:val="60"/>
    <w:qFormat/>
    <w:uiPriority w:val="0"/>
    <w:pPr>
      <w:numPr>
        <w:numId w:val="0"/>
      </w:numPr>
      <w:spacing w:line="460" w:lineRule="exact"/>
    </w:pPr>
  </w:style>
  <w:style w:type="paragraph" w:customStyle="1" w:styleId="114">
    <w:name w:val="标准书眉一"/>
    <w:qFormat/>
    <w:uiPriority w:val="0"/>
    <w:pPr>
      <w:jc w:val="both"/>
    </w:pPr>
    <w:rPr>
      <w:rFonts w:ascii="Times New Roman" w:hAnsi="Times New Roman" w:eastAsia="宋体" w:cs="Times New Roman"/>
      <w:lang w:val="en-US" w:eastAsia="zh-CN" w:bidi="ar-SA"/>
    </w:rPr>
  </w:style>
  <w:style w:type="paragraph" w:customStyle="1" w:styleId="115">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116">
    <w:name w:val="其他发布部门"/>
    <w:basedOn w:val="70"/>
    <w:qFormat/>
    <w:uiPriority w:val="0"/>
    <w:pPr>
      <w:spacing w:line="0" w:lineRule="atLeast"/>
    </w:pPr>
    <w:rPr>
      <w:rFonts w:ascii="黑体" w:eastAsia="黑体"/>
      <w:b w:val="0"/>
    </w:rPr>
  </w:style>
  <w:style w:type="paragraph" w:customStyle="1" w:styleId="117">
    <w:name w:val="列项·"/>
    <w:qFormat/>
    <w:uiPriority w:val="0"/>
    <w:pPr>
      <w:numPr>
        <w:ilvl w:val="0"/>
        <w:numId w:val="10"/>
      </w:numPr>
      <w:tabs>
        <w:tab w:val="left" w:pos="840"/>
        <w:tab w:val="clear" w:pos="1140"/>
      </w:tabs>
      <w:ind w:left="840" w:leftChars="200" w:hanging="420" w:hangingChars="200"/>
      <w:jc w:val="both"/>
    </w:pPr>
    <w:rPr>
      <w:rFonts w:ascii="宋体" w:hAnsi="Times New Roman" w:eastAsia="宋体" w:cs="Times New Roman"/>
      <w:sz w:val="21"/>
      <w:lang w:val="en-US" w:eastAsia="zh-CN" w:bidi="ar-SA"/>
    </w:rPr>
  </w:style>
  <w:style w:type="paragraph" w:customStyle="1" w:styleId="118">
    <w:name w:val="三级无标题条"/>
    <w:basedOn w:val="1"/>
    <w:qFormat/>
    <w:uiPriority w:val="0"/>
    <w:pPr>
      <w:numPr>
        <w:ilvl w:val="4"/>
        <w:numId w:val="5"/>
      </w:numPr>
    </w:pPr>
  </w:style>
  <w:style w:type="paragraph" w:customStyle="1" w:styleId="119">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20">
    <w:name w:val="一级无标题条"/>
    <w:basedOn w:val="1"/>
    <w:qFormat/>
    <w:uiPriority w:val="0"/>
    <w:pPr>
      <w:numPr>
        <w:ilvl w:val="2"/>
        <w:numId w:val="5"/>
      </w:numPr>
    </w:pPr>
  </w:style>
  <w:style w:type="paragraph" w:customStyle="1" w:styleId="121">
    <w:name w:val="封面标准代替信息"/>
    <w:basedOn w:val="65"/>
    <w:qFormat/>
    <w:uiPriority w:val="0"/>
    <w:pPr>
      <w:spacing w:before="57"/>
    </w:pPr>
    <w:rPr>
      <w:rFonts w:ascii="宋体"/>
      <w:sz w:val="21"/>
    </w:rPr>
  </w:style>
  <w:style w:type="paragraph" w:customStyle="1" w:styleId="122">
    <w:name w:val="标准正文"/>
    <w:basedOn w:val="1"/>
    <w:qFormat/>
    <w:uiPriority w:val="0"/>
    <w:pPr>
      <w:adjustRightInd w:val="0"/>
      <w:spacing w:line="360" w:lineRule="atLeast"/>
      <w:ind w:firstLine="425"/>
      <w:jc w:val="left"/>
      <w:textAlignment w:val="baseline"/>
    </w:pPr>
    <w:rPr>
      <w:spacing w:val="-4"/>
      <w:kern w:val="21"/>
      <w:szCs w:val="20"/>
    </w:rPr>
  </w:style>
  <w:style w:type="paragraph" w:customStyle="1" w:styleId="123">
    <w:name w:val="fon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font6"/>
    <w:basedOn w:val="1"/>
    <w:qFormat/>
    <w:uiPriority w:val="0"/>
    <w:pPr>
      <w:widowControl/>
      <w:spacing w:before="100" w:beforeAutospacing="1" w:after="100" w:afterAutospacing="1"/>
      <w:jc w:val="left"/>
    </w:pPr>
    <w:rPr>
      <w:b/>
      <w:bCs/>
      <w:kern w:val="0"/>
      <w:sz w:val="20"/>
      <w:szCs w:val="20"/>
    </w:rPr>
  </w:style>
  <w:style w:type="paragraph" w:customStyle="1" w:styleId="126">
    <w:name w:val="font7"/>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7">
    <w:name w:val="font8"/>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8">
    <w:name w:val="font9"/>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29">
    <w:name w:val="font10"/>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130">
    <w:name w:val="font11"/>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131">
    <w:name w:val="xl78"/>
    <w:basedOn w:val="1"/>
    <w:qFormat/>
    <w:uiPriority w:val="0"/>
    <w:pPr>
      <w:widowControl/>
      <w:spacing w:before="100" w:beforeAutospacing="1" w:after="100" w:afterAutospacing="1"/>
      <w:jc w:val="center"/>
      <w:textAlignment w:val="center"/>
    </w:pPr>
    <w:rPr>
      <w:b/>
      <w:bCs/>
      <w:kern w:val="0"/>
      <w:sz w:val="24"/>
    </w:rPr>
  </w:style>
  <w:style w:type="paragraph" w:customStyle="1" w:styleId="132">
    <w:name w:val="xl79"/>
    <w:basedOn w:val="1"/>
    <w:qFormat/>
    <w:uiPriority w:val="0"/>
    <w:pPr>
      <w:widowControl/>
      <w:spacing w:before="100" w:beforeAutospacing="1" w:after="100" w:afterAutospacing="1"/>
      <w:jc w:val="center"/>
      <w:textAlignment w:val="center"/>
    </w:pPr>
    <w:rPr>
      <w:b/>
      <w:bCs/>
      <w:kern w:val="0"/>
      <w:sz w:val="24"/>
    </w:rPr>
  </w:style>
  <w:style w:type="paragraph" w:customStyle="1" w:styleId="133">
    <w:name w:val="xl80"/>
    <w:basedOn w:val="1"/>
    <w:qFormat/>
    <w:uiPriority w:val="0"/>
    <w:pPr>
      <w:widowControl/>
      <w:spacing w:before="100" w:beforeAutospacing="1" w:after="100" w:afterAutospacing="1"/>
      <w:jc w:val="center"/>
      <w:textAlignment w:val="center"/>
    </w:pPr>
    <w:rPr>
      <w:b/>
      <w:bCs/>
      <w:kern w:val="0"/>
      <w:sz w:val="24"/>
    </w:rPr>
  </w:style>
  <w:style w:type="paragraph" w:customStyle="1" w:styleId="134">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5">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6">
    <w:name w:val="xl83"/>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137">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8">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9">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0">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1">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2">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43">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44">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5">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46">
    <w:name w:val="xl93"/>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147">
    <w:name w:val="xl94"/>
    <w:basedOn w:val="1"/>
    <w:qFormat/>
    <w:uiPriority w:val="0"/>
    <w:pPr>
      <w:widowControl/>
      <w:spacing w:before="100" w:beforeAutospacing="1" w:after="100" w:afterAutospacing="1"/>
      <w:jc w:val="center"/>
      <w:textAlignment w:val="center"/>
    </w:pPr>
    <w:rPr>
      <w:b/>
      <w:bCs/>
      <w:kern w:val="0"/>
      <w:sz w:val="20"/>
      <w:szCs w:val="20"/>
    </w:rPr>
  </w:style>
  <w:style w:type="paragraph" w:customStyle="1" w:styleId="148">
    <w:name w:val="c封面标准名称"/>
    <w:basedOn w:val="1"/>
    <w:qFormat/>
    <w:uiPriority w:val="0"/>
    <w:pPr>
      <w:adjustRightInd w:val="0"/>
      <w:jc w:val="center"/>
    </w:pPr>
    <w:rPr>
      <w:rFonts w:eastAsia="黑体"/>
      <w:kern w:val="0"/>
      <w:sz w:val="52"/>
      <w:szCs w:val="20"/>
    </w:rPr>
  </w:style>
  <w:style w:type="paragraph" w:customStyle="1" w:styleId="149">
    <w:name w:val="样式2"/>
    <w:basedOn w:val="73"/>
    <w:qFormat/>
    <w:uiPriority w:val="0"/>
    <w:pPr>
      <w:numPr>
        <w:numId w:val="0"/>
      </w:numPr>
      <w:spacing w:line="240" w:lineRule="auto"/>
      <w:ind w:left="454"/>
    </w:pPr>
    <w:rPr>
      <w:color w:val="auto"/>
      <w:spacing w:val="0"/>
      <w:szCs w:val="20"/>
    </w:rPr>
  </w:style>
  <w:style w:type="paragraph" w:customStyle="1" w:styleId="150">
    <w:name w:val="列出段落1"/>
    <w:basedOn w:val="1"/>
    <w:qFormat/>
    <w:uiPriority w:val="34"/>
    <w:pPr>
      <w:ind w:firstLine="420" w:firstLineChars="200"/>
    </w:pPr>
    <w:rPr>
      <w:rFonts w:ascii="Calibri" w:hAnsi="Calibri"/>
      <w:szCs w:val="22"/>
    </w:rPr>
  </w:style>
  <w:style w:type="paragraph" w:customStyle="1" w:styleId="151">
    <w:name w:val="图表脚注说明"/>
    <w:basedOn w:val="1"/>
    <w:qFormat/>
    <w:uiPriority w:val="0"/>
    <w:rPr>
      <w:rFonts w:ascii="宋体"/>
      <w:sz w:val="18"/>
      <w:szCs w:val="18"/>
    </w:rPr>
  </w:style>
  <w:style w:type="paragraph" w:customStyle="1" w:styleId="152">
    <w:name w:val="Char11"/>
    <w:basedOn w:val="1"/>
    <w:qFormat/>
    <w:uiPriority w:val="0"/>
    <w:pPr>
      <w:widowControl/>
      <w:spacing w:after="160" w:line="240" w:lineRule="exact"/>
      <w:jc w:val="left"/>
    </w:pPr>
  </w:style>
  <w:style w:type="paragraph" w:customStyle="1" w:styleId="153">
    <w:name w:val="ordinary-output"/>
    <w:basedOn w:val="1"/>
    <w:qFormat/>
    <w:uiPriority w:val="99"/>
    <w:pPr>
      <w:widowControl/>
      <w:spacing w:before="100" w:beforeAutospacing="1" w:after="63" w:line="275" w:lineRule="atLeast"/>
      <w:jc w:val="left"/>
    </w:pPr>
    <w:rPr>
      <w:rFonts w:ascii="宋体" w:hAnsi="宋体" w:cs="宋体"/>
      <w:color w:val="333333"/>
      <w:kern w:val="0"/>
      <w:sz w:val="18"/>
      <w:szCs w:val="18"/>
    </w:rPr>
  </w:style>
  <w:style w:type="paragraph" w:customStyle="1" w:styleId="154">
    <w:name w:val="列出段落11"/>
    <w:basedOn w:val="1"/>
    <w:qFormat/>
    <w:uiPriority w:val="34"/>
    <w:pPr>
      <w:ind w:firstLine="420" w:firstLineChars="200"/>
    </w:pPr>
    <w:rPr>
      <w:sz w:val="24"/>
    </w:rPr>
  </w:style>
  <w:style w:type="paragraph" w:customStyle="1" w:styleId="155">
    <w:name w:val="Char1 Char Char Char"/>
    <w:basedOn w:val="1"/>
    <w:qFormat/>
    <w:uiPriority w:val="0"/>
    <w:rPr>
      <w:szCs w:val="20"/>
    </w:rPr>
  </w:style>
  <w:style w:type="paragraph" w:customStyle="1" w:styleId="156">
    <w:name w:val="Char1"/>
    <w:basedOn w:val="1"/>
    <w:qFormat/>
    <w:uiPriority w:val="0"/>
    <w:pPr>
      <w:widowControl/>
      <w:spacing w:after="160" w:line="240" w:lineRule="exact"/>
      <w:jc w:val="left"/>
    </w:pPr>
  </w:style>
  <w:style w:type="paragraph" w:customStyle="1" w:styleId="157">
    <w:name w:val="Decimal Aligned"/>
    <w:basedOn w:val="1"/>
    <w:qFormat/>
    <w:uiPriority w:val="40"/>
    <w:pPr>
      <w:widowControl/>
      <w:tabs>
        <w:tab w:val="decimal" w:pos="360"/>
      </w:tabs>
      <w:spacing w:after="200" w:line="276" w:lineRule="auto"/>
      <w:jc w:val="left"/>
    </w:pPr>
    <w:rPr>
      <w:rFonts w:ascii="Calibri" w:hAnsi="Calibri"/>
      <w:kern w:val="0"/>
      <w:sz w:val="22"/>
      <w:szCs w:val="22"/>
    </w:rPr>
  </w:style>
  <w:style w:type="paragraph" w:customStyle="1" w:styleId="158">
    <w:name w:val="xl6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59">
    <w:name w:val="xl69"/>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60">
    <w:name w:val="xl121"/>
    <w:basedOn w:val="1"/>
    <w:qFormat/>
    <w:uiPriority w:val="0"/>
    <w:pPr>
      <w:widowControl/>
      <w:pBdr>
        <w:top w:val="single" w:color="FF0000" w:sz="8" w:space="0"/>
        <w:bottom w:val="single" w:color="000000" w:sz="4" w:space="0"/>
      </w:pBdr>
      <w:spacing w:before="100" w:beforeAutospacing="1" w:after="100" w:afterAutospacing="1"/>
      <w:jc w:val="center"/>
    </w:pPr>
    <w:rPr>
      <w:rFonts w:ascii="宋体" w:hAnsi="宋体" w:cs="宋体"/>
      <w:kern w:val="0"/>
      <w:szCs w:val="21"/>
    </w:rPr>
  </w:style>
  <w:style w:type="paragraph" w:customStyle="1" w:styleId="161">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62">
    <w:name w:val="xl165"/>
    <w:basedOn w:val="1"/>
    <w:qFormat/>
    <w:uiPriority w:val="0"/>
    <w:pPr>
      <w:widowControl/>
      <w:pBdr>
        <w:top w:val="single" w:color="auto" w:sz="8" w:space="0"/>
        <w:left w:val="single" w:color="auto" w:sz="8" w:space="0"/>
        <w:bottom w:val="single" w:color="auto" w:sz="4" w:space="0"/>
      </w:pBdr>
      <w:spacing w:before="100" w:beforeAutospacing="1" w:after="100" w:afterAutospacing="1"/>
      <w:jc w:val="center"/>
    </w:pPr>
    <w:rPr>
      <w:rFonts w:ascii="宋体" w:hAnsi="宋体" w:cs="宋体"/>
      <w:b/>
      <w:bCs/>
      <w:color w:val="000000"/>
      <w:kern w:val="0"/>
      <w:sz w:val="28"/>
      <w:szCs w:val="28"/>
    </w:rPr>
  </w:style>
  <w:style w:type="paragraph" w:customStyle="1" w:styleId="163">
    <w:name w:val="xl120"/>
    <w:basedOn w:val="1"/>
    <w:qFormat/>
    <w:uiPriority w:val="0"/>
    <w:pPr>
      <w:widowControl/>
      <w:pBdr>
        <w:top w:val="single" w:color="FF0000" w:sz="8" w:space="0"/>
        <w:bottom w:val="single" w:color="000000" w:sz="4" w:space="0"/>
        <w:right w:val="single" w:color="000000" w:sz="4" w:space="0"/>
      </w:pBdr>
      <w:spacing w:before="100" w:beforeAutospacing="1" w:after="100" w:afterAutospacing="1"/>
      <w:jc w:val="center"/>
    </w:pPr>
    <w:rPr>
      <w:rFonts w:ascii="宋体" w:hAnsi="宋体" w:cs="宋体"/>
      <w:kern w:val="0"/>
      <w:szCs w:val="21"/>
    </w:rPr>
  </w:style>
  <w:style w:type="paragraph" w:customStyle="1" w:styleId="164">
    <w:name w:val="xl106"/>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65">
    <w:name w:val="xl116"/>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6">
    <w:name w:val="xl102"/>
    <w:basedOn w:val="1"/>
    <w:qFormat/>
    <w:uiPriority w:val="0"/>
    <w:pPr>
      <w:widowControl/>
      <w:pBdr>
        <w:top w:val="single" w:color="FF0000" w:sz="8" w:space="0"/>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7">
    <w:name w:val="xl97"/>
    <w:basedOn w:val="1"/>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68">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69">
    <w:name w:val="xl7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0">
    <w:name w:val="xl73"/>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1">
    <w:name w:val="xl183"/>
    <w:basedOn w:val="1"/>
    <w:qFormat/>
    <w:uiPriority w:val="0"/>
    <w:pPr>
      <w:widowControl/>
      <w:pBdr>
        <w:left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2">
    <w:name w:val="xl184"/>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3">
    <w:name w:val="xl122"/>
    <w:basedOn w:val="1"/>
    <w:qFormat/>
    <w:uiPriority w:val="0"/>
    <w:pPr>
      <w:widowControl/>
      <w:pBdr>
        <w:top w:val="single" w:color="FF0000" w:sz="8" w:space="0"/>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74">
    <w:name w:val="xl75"/>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175">
    <w:name w:val="xl182"/>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6">
    <w:name w:val="xl130"/>
    <w:basedOn w:val="1"/>
    <w:qFormat/>
    <w:uiPriority w:val="0"/>
    <w:pPr>
      <w:widowControl/>
      <w:pBdr>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77">
    <w:name w:val="xl71"/>
    <w:basedOn w:val="1"/>
    <w:qFormat/>
    <w:uiPriority w:val="0"/>
    <w:pPr>
      <w:widowControl/>
      <w:pBdr>
        <w:top w:val="single" w:color="FF0000" w:sz="8"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178">
    <w:name w:val="xl1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79">
    <w:name w:val="xl135"/>
    <w:basedOn w:val="1"/>
    <w:qFormat/>
    <w:uiPriority w:val="0"/>
    <w:pPr>
      <w:widowControl/>
      <w:pBdr>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80">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81">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2">
    <w:name w:val="xl6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83">
    <w:name w:val="xl6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84">
    <w:name w:val="xl64"/>
    <w:basedOn w:val="1"/>
    <w:qFormat/>
    <w:uiPriority w:val="0"/>
    <w:pPr>
      <w:widowControl/>
      <w:spacing w:before="100" w:beforeAutospacing="1" w:after="100" w:afterAutospacing="1"/>
      <w:jc w:val="left"/>
    </w:pPr>
    <w:rPr>
      <w:rFonts w:ascii="宋体" w:hAnsi="宋体" w:cs="宋体"/>
      <w:kern w:val="0"/>
      <w:sz w:val="24"/>
    </w:rPr>
  </w:style>
  <w:style w:type="paragraph" w:customStyle="1" w:styleId="185">
    <w:name w:val="xl178"/>
    <w:basedOn w:val="1"/>
    <w:qFormat/>
    <w:uiPriority w:val="0"/>
    <w:pPr>
      <w:widowControl/>
      <w:pBdr>
        <w:top w:val="single" w:color="FF0000" w:sz="8" w:space="0"/>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86">
    <w:name w:val="xl170"/>
    <w:basedOn w:val="1"/>
    <w:qFormat/>
    <w:uiPriority w:val="0"/>
    <w:pPr>
      <w:widowControl/>
      <w:pBdr>
        <w:lef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7">
    <w:name w:val="xl175"/>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88">
    <w:name w:val="xl15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4"/>
    </w:rPr>
  </w:style>
  <w:style w:type="paragraph" w:customStyle="1" w:styleId="189">
    <w:name w:val="xl176"/>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190">
    <w:name w:val="xl168"/>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91">
    <w:name w:val="xl152"/>
    <w:basedOn w:val="1"/>
    <w:qFormat/>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cs="宋体"/>
      <w:kern w:val="0"/>
      <w:szCs w:val="21"/>
    </w:rPr>
  </w:style>
  <w:style w:type="paragraph" w:customStyle="1" w:styleId="192">
    <w:name w:val="xl74"/>
    <w:basedOn w:val="1"/>
    <w:qFormat/>
    <w:uiPriority w:val="0"/>
    <w:pPr>
      <w:widowControl/>
      <w:pBdr>
        <w:top w:val="single" w:color="FF0000" w:sz="8" w:space="0"/>
        <w:left w:val="single" w:color="auto" w:sz="4" w:space="0"/>
        <w:bottom w:val="single" w:color="auto" w:sz="4" w:space="0"/>
      </w:pBdr>
      <w:spacing w:before="100" w:beforeAutospacing="1" w:after="100" w:afterAutospacing="1"/>
      <w:jc w:val="center"/>
    </w:pPr>
    <w:rPr>
      <w:rFonts w:ascii="宋体" w:hAnsi="宋体" w:cs="宋体"/>
      <w:color w:val="000000"/>
      <w:kern w:val="0"/>
      <w:szCs w:val="21"/>
    </w:rPr>
  </w:style>
  <w:style w:type="paragraph" w:customStyle="1" w:styleId="193">
    <w:name w:val="xl174"/>
    <w:basedOn w:val="1"/>
    <w:qFormat/>
    <w:uiPriority w:val="0"/>
    <w:pPr>
      <w:widowControl/>
      <w:pBdr>
        <w:bottom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194">
    <w:name w:val="xl150"/>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5">
    <w:name w:val="xl129"/>
    <w:basedOn w:val="1"/>
    <w:qFormat/>
    <w:uiPriority w:val="0"/>
    <w:pPr>
      <w:widowControl/>
      <w:pBdr>
        <w:left w:val="single" w:color="auto"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196">
    <w:name w:val="xl70"/>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97">
    <w:name w:val="xl12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8">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99">
    <w:name w:val="xl72"/>
    <w:basedOn w:val="1"/>
    <w:qFormat/>
    <w:uiPriority w:val="0"/>
    <w:pPr>
      <w:widowControl/>
      <w:pBdr>
        <w:top w:val="single" w:color="FF0000" w:sz="8" w:space="0"/>
        <w:left w:val="single" w:color="auto" w:sz="8"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00">
    <w:name w:val="xl113"/>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01">
    <w:name w:val="xl10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2">
    <w:name w:val="xl10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203">
    <w:name w:val="xl117"/>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04">
    <w:name w:val="xl103"/>
    <w:basedOn w:val="1"/>
    <w:qFormat/>
    <w:uiPriority w:val="0"/>
    <w:pPr>
      <w:widowControl/>
      <w:pBdr>
        <w:top w:val="single" w:color="FF0000" w:sz="8" w:space="0"/>
        <w:left w:val="single" w:color="auto" w:sz="4" w:space="0"/>
        <w:bottom w:val="single" w:color="FF0000"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05">
    <w:name w:val="xl98"/>
    <w:basedOn w:val="1"/>
    <w:qFormat/>
    <w:uiPriority w:val="0"/>
    <w:pPr>
      <w:widowControl/>
      <w:pBdr>
        <w:top w:val="single" w:color="auto" w:sz="4" w:space="0"/>
        <w:left w:val="single" w:color="auto" w:sz="4"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06">
    <w:name w:val="xl162"/>
    <w:basedOn w:val="1"/>
    <w:qFormat/>
    <w:uiPriority w:val="0"/>
    <w:pPr>
      <w:widowControl/>
      <w:pBdr>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07">
    <w:name w:val="xl1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color w:val="000000"/>
      <w:kern w:val="0"/>
      <w:szCs w:val="21"/>
    </w:rPr>
  </w:style>
  <w:style w:type="paragraph" w:customStyle="1" w:styleId="208">
    <w:name w:val="xl11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09">
    <w:name w:val="xl159"/>
    <w:basedOn w:val="1"/>
    <w:qFormat/>
    <w:uiPriority w:val="0"/>
    <w:pPr>
      <w:widowControl/>
      <w:pBdr>
        <w:left w:val="single" w:color="auto" w:sz="4"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10">
    <w:name w:val="xl11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11">
    <w:name w:val="xl160"/>
    <w:basedOn w:val="1"/>
    <w:qFormat/>
    <w:uiPriority w:val="0"/>
    <w:pPr>
      <w:widowControl/>
      <w:pBdr>
        <w:top w:val="single" w:color="000000" w:sz="4" w:space="0"/>
        <w:left w:val="single" w:color="auto" w:sz="4" w:space="0"/>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12">
    <w:name w:val="xl95"/>
    <w:basedOn w:val="1"/>
    <w:qFormat/>
    <w:uiPriority w:val="0"/>
    <w:pPr>
      <w:widowControl/>
      <w:pBdr>
        <w:top w:val="single" w:color="auto" w:sz="4" w:space="0"/>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13">
    <w:name w:val="xl108"/>
    <w:basedOn w:val="1"/>
    <w:qFormat/>
    <w:uiPriority w:val="0"/>
    <w:pPr>
      <w:widowControl/>
      <w:pBdr>
        <w:left w:val="single" w:color="auto" w:sz="4" w:space="0"/>
        <w:bottom w:val="single" w:color="auto" w:sz="4" w:space="0"/>
        <w:right w:val="single" w:color="auto" w:sz="8" w:space="0"/>
      </w:pBdr>
      <w:spacing w:before="100" w:beforeAutospacing="1" w:after="100" w:afterAutospacing="1"/>
      <w:jc w:val="center"/>
    </w:pPr>
    <w:rPr>
      <w:rFonts w:ascii="宋体" w:hAnsi="宋体" w:cs="宋体"/>
      <w:kern w:val="0"/>
      <w:szCs w:val="21"/>
    </w:rPr>
  </w:style>
  <w:style w:type="paragraph" w:customStyle="1" w:styleId="214">
    <w:name w:val="xl157"/>
    <w:basedOn w:val="1"/>
    <w:qFormat/>
    <w:uiPriority w:val="0"/>
    <w:pPr>
      <w:widowControl/>
      <w:pBdr>
        <w:left w:val="single" w:color="auto" w:sz="4" w:space="0"/>
        <w:bottom w:val="single" w:color="000000" w:sz="4" w:space="0"/>
      </w:pBdr>
      <w:spacing w:before="100" w:beforeAutospacing="1" w:after="100" w:afterAutospacing="1"/>
      <w:jc w:val="center"/>
    </w:pPr>
    <w:rPr>
      <w:rFonts w:ascii="宋体" w:hAnsi="宋体" w:cs="宋体"/>
      <w:kern w:val="0"/>
      <w:szCs w:val="21"/>
    </w:rPr>
  </w:style>
  <w:style w:type="paragraph" w:customStyle="1" w:styleId="215">
    <w:name w:val="xl118"/>
    <w:basedOn w:val="1"/>
    <w:qFormat/>
    <w:uiPriority w:val="0"/>
    <w:pPr>
      <w:widowControl/>
      <w:pBdr>
        <w:top w:val="single" w:color="FF0000" w:sz="8"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16">
    <w:name w:val="xl104"/>
    <w:basedOn w:val="1"/>
    <w:qFormat/>
    <w:uiPriority w:val="0"/>
    <w:pPr>
      <w:widowControl/>
      <w:pBdr>
        <w:top w:val="single" w:color="FF0000" w:sz="8" w:space="0"/>
        <w:left w:val="single" w:color="auto" w:sz="4" w:space="0"/>
        <w:bottom w:val="single" w:color="FF0000"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217">
    <w:name w:val="xl163"/>
    <w:basedOn w:val="1"/>
    <w:qFormat/>
    <w:uiPriority w:val="0"/>
    <w:pPr>
      <w:widowControl/>
      <w:pBdr>
        <w:top w:val="single" w:color="FF0000" w:sz="8"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18">
    <w:name w:val="xl155"/>
    <w:basedOn w:val="1"/>
    <w:qFormat/>
    <w:uiPriority w:val="0"/>
    <w:pPr>
      <w:widowControl/>
      <w:pBdr>
        <w:top w:val="single" w:color="auto" w:sz="4" w:space="0"/>
        <w:left w:val="single" w:color="auto" w:sz="4" w:space="0"/>
        <w:right w:val="single" w:color="auto" w:sz="8" w:space="0"/>
      </w:pBdr>
      <w:spacing w:before="100" w:beforeAutospacing="1" w:after="100" w:afterAutospacing="1"/>
      <w:jc w:val="center"/>
    </w:pPr>
    <w:rPr>
      <w:rFonts w:ascii="宋体" w:hAnsi="宋体" w:cs="宋体"/>
      <w:color w:val="000000"/>
      <w:kern w:val="0"/>
      <w:szCs w:val="21"/>
    </w:rPr>
  </w:style>
  <w:style w:type="paragraph" w:customStyle="1" w:styleId="219">
    <w:name w:val="xl99"/>
    <w:basedOn w:val="1"/>
    <w:qFormat/>
    <w:uiPriority w:val="0"/>
    <w:pPr>
      <w:widowControl/>
      <w:pBdr>
        <w:top w:val="single" w:color="FF0000"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2"/>
      <w:szCs w:val="22"/>
    </w:rPr>
  </w:style>
  <w:style w:type="paragraph" w:customStyle="1" w:styleId="220">
    <w:name w:val="xl140"/>
    <w:basedOn w:val="1"/>
    <w:qFormat/>
    <w:uiPriority w:val="0"/>
    <w:pPr>
      <w:widowControl/>
      <w:pBdr>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21">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222">
    <w:name w:val="xl14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3">
    <w:name w:val="xl138"/>
    <w:basedOn w:val="1"/>
    <w:qFormat/>
    <w:uiPriority w:val="0"/>
    <w:pPr>
      <w:widowControl/>
      <w:pBdr>
        <w:top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24">
    <w:name w:val="xl119"/>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225">
    <w:name w:val="xl105"/>
    <w:basedOn w:val="1"/>
    <w:qFormat/>
    <w:uiPriority w:val="0"/>
    <w:pPr>
      <w:widowControl/>
      <w:pBdr>
        <w:top w:val="single" w:color="FF0000" w:sz="8"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26">
    <w:name w:val="xl143"/>
    <w:basedOn w:val="1"/>
    <w:qFormat/>
    <w:uiPriority w:val="0"/>
    <w:pPr>
      <w:widowControl/>
      <w:pBdr>
        <w:top w:val="single" w:color="FF0000" w:sz="8" w:space="0"/>
        <w:bottom w:val="single" w:color="FF0000" w:sz="8" w:space="0"/>
      </w:pBdr>
      <w:spacing w:before="100" w:beforeAutospacing="1" w:after="100" w:afterAutospacing="1"/>
      <w:jc w:val="center"/>
    </w:pPr>
    <w:rPr>
      <w:rFonts w:ascii="宋体" w:hAnsi="宋体" w:cs="宋体"/>
      <w:kern w:val="0"/>
      <w:szCs w:val="21"/>
    </w:rPr>
  </w:style>
  <w:style w:type="paragraph" w:customStyle="1" w:styleId="227">
    <w:name w:val="xl115"/>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center"/>
    </w:pPr>
    <w:rPr>
      <w:rFonts w:ascii="宋体" w:hAnsi="宋体" w:cs="宋体"/>
      <w:kern w:val="0"/>
      <w:szCs w:val="21"/>
    </w:rPr>
  </w:style>
  <w:style w:type="paragraph" w:customStyle="1" w:styleId="228">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229">
    <w:name w:val="xl144"/>
    <w:basedOn w:val="1"/>
    <w:qFormat/>
    <w:uiPriority w:val="0"/>
    <w:pPr>
      <w:widowControl/>
      <w:pBdr>
        <w:top w:val="single" w:color="FF0000" w:sz="8" w:space="0"/>
        <w:left w:val="single" w:color="auto" w:sz="4"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30">
    <w:name w:val="xl100"/>
    <w:basedOn w:val="1"/>
    <w:qFormat/>
    <w:uiPriority w:val="0"/>
    <w:pPr>
      <w:widowControl/>
      <w:pBdr>
        <w:top w:val="single" w:color="FF0000"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231">
    <w:name w:val="xl141"/>
    <w:basedOn w:val="1"/>
    <w:qFormat/>
    <w:uiPriority w:val="0"/>
    <w:pPr>
      <w:widowControl/>
      <w:pBdr>
        <w:left w:val="single" w:color="auto"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32">
    <w:name w:val="xl96"/>
    <w:basedOn w:val="1"/>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left"/>
    </w:pPr>
    <w:rPr>
      <w:rFonts w:ascii="宋体" w:hAnsi="宋体" w:cs="宋体"/>
      <w:kern w:val="0"/>
      <w:szCs w:val="21"/>
    </w:rPr>
  </w:style>
  <w:style w:type="paragraph" w:customStyle="1" w:styleId="233">
    <w:name w:val="xl171"/>
    <w:basedOn w:val="1"/>
    <w:qFormat/>
    <w:uiPriority w:val="0"/>
    <w:pPr>
      <w:widowControl/>
      <w:spacing w:before="100" w:beforeAutospacing="1" w:after="100" w:afterAutospacing="1"/>
      <w:jc w:val="center"/>
    </w:pPr>
    <w:rPr>
      <w:rFonts w:ascii="宋体" w:hAnsi="宋体" w:cs="宋体"/>
      <w:b/>
      <w:bCs/>
      <w:color w:val="000000"/>
      <w:kern w:val="0"/>
      <w:szCs w:val="21"/>
    </w:rPr>
  </w:style>
  <w:style w:type="paragraph" w:customStyle="1" w:styleId="234">
    <w:name w:val="xl125"/>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cs="宋体"/>
      <w:kern w:val="0"/>
      <w:szCs w:val="21"/>
    </w:rPr>
  </w:style>
  <w:style w:type="paragraph" w:customStyle="1" w:styleId="235">
    <w:name w:val="xl18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36">
    <w:name w:val="xl179"/>
    <w:basedOn w:val="1"/>
    <w:qFormat/>
    <w:uiPriority w:val="0"/>
    <w:pPr>
      <w:widowControl/>
      <w:pBdr>
        <w:left w:val="single" w:color="auto" w:sz="8" w:space="0"/>
        <w:bottom w:val="single" w:color="FF0000"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37">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38">
    <w:name w:val="xl126"/>
    <w:basedOn w:val="1"/>
    <w:qFormat/>
    <w:uiPriority w:val="0"/>
    <w:pPr>
      <w:widowControl/>
      <w:pBdr>
        <w:bottom w:val="single" w:color="000000" w:sz="4" w:space="0"/>
      </w:pBdr>
      <w:spacing w:before="100" w:beforeAutospacing="1" w:after="100" w:afterAutospacing="1"/>
      <w:jc w:val="center"/>
    </w:pPr>
    <w:rPr>
      <w:rFonts w:ascii="宋体" w:hAnsi="宋体" w:cs="宋体"/>
      <w:kern w:val="0"/>
      <w:szCs w:val="21"/>
    </w:rPr>
  </w:style>
  <w:style w:type="paragraph" w:customStyle="1" w:styleId="239">
    <w:name w:val="xl127"/>
    <w:basedOn w:val="1"/>
    <w:qFormat/>
    <w:uiPriority w:val="0"/>
    <w:pPr>
      <w:widowControl/>
      <w:pBdr>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40">
    <w:name w:val="xl12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41">
    <w:name w:val="xl131"/>
    <w:basedOn w:val="1"/>
    <w:qFormat/>
    <w:uiPriority w:val="0"/>
    <w:pPr>
      <w:widowControl/>
      <w:pBdr>
        <w:top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42">
    <w:name w:val="xl132"/>
    <w:basedOn w:val="1"/>
    <w:qFormat/>
    <w:uiPriority w:val="0"/>
    <w:pPr>
      <w:widowControl/>
      <w:pBdr>
        <w:top w:val="single" w:color="auto" w:sz="4" w:space="0"/>
        <w:left w:val="single" w:color="auto" w:sz="4" w:space="0"/>
        <w:bottom w:val="single" w:color="FF0000" w:sz="8" w:space="0"/>
        <w:right w:val="single" w:color="auto" w:sz="4" w:space="0"/>
      </w:pBdr>
      <w:spacing w:before="100" w:beforeAutospacing="1" w:after="100" w:afterAutospacing="1"/>
      <w:jc w:val="center"/>
    </w:pPr>
    <w:rPr>
      <w:rFonts w:ascii="宋体" w:hAnsi="宋体" w:cs="宋体"/>
      <w:kern w:val="0"/>
      <w:sz w:val="24"/>
    </w:rPr>
  </w:style>
  <w:style w:type="paragraph" w:customStyle="1" w:styleId="243">
    <w:name w:val="xl177"/>
    <w:basedOn w:val="1"/>
    <w:qFormat/>
    <w:uiPriority w:val="0"/>
    <w:pPr>
      <w:widowControl/>
      <w:pBdr>
        <w:left w:val="single" w:color="auto" w:sz="8" w:space="0"/>
        <w:right w:val="single" w:color="auto" w:sz="4" w:space="0"/>
      </w:pBdr>
      <w:spacing w:before="100" w:beforeAutospacing="1" w:after="100" w:afterAutospacing="1"/>
      <w:jc w:val="center"/>
    </w:pPr>
    <w:rPr>
      <w:rFonts w:ascii="宋体" w:hAnsi="宋体" w:cs="宋体"/>
      <w:kern w:val="0"/>
      <w:szCs w:val="21"/>
    </w:rPr>
  </w:style>
  <w:style w:type="paragraph" w:customStyle="1" w:styleId="244">
    <w:name w:val="xl1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45">
    <w:name w:val="xl133"/>
    <w:basedOn w:val="1"/>
    <w:qFormat/>
    <w:uiPriority w:val="0"/>
    <w:pPr>
      <w:widowControl/>
      <w:pBdr>
        <w:bottom w:val="single" w:color="FF0000" w:sz="8" w:space="0"/>
        <w:right w:val="single" w:color="000000" w:sz="4" w:space="0"/>
      </w:pBdr>
      <w:spacing w:before="100" w:beforeAutospacing="1" w:after="100" w:afterAutospacing="1"/>
      <w:jc w:val="center"/>
    </w:pPr>
    <w:rPr>
      <w:rFonts w:ascii="宋体" w:hAnsi="宋体" w:cs="宋体"/>
      <w:kern w:val="0"/>
      <w:szCs w:val="21"/>
    </w:rPr>
  </w:style>
  <w:style w:type="paragraph" w:customStyle="1" w:styleId="246">
    <w:name w:val="xl1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47">
    <w:name w:val="xl134"/>
    <w:basedOn w:val="1"/>
    <w:qFormat/>
    <w:uiPriority w:val="0"/>
    <w:pPr>
      <w:widowControl/>
      <w:pBdr>
        <w:bottom w:val="single" w:color="FF0000" w:sz="8" w:space="0"/>
      </w:pBdr>
      <w:spacing w:before="100" w:beforeAutospacing="1" w:after="100" w:afterAutospacing="1"/>
      <w:jc w:val="center"/>
    </w:pPr>
    <w:rPr>
      <w:rFonts w:ascii="宋体" w:hAnsi="宋体" w:cs="宋体"/>
      <w:kern w:val="0"/>
      <w:szCs w:val="21"/>
    </w:rPr>
  </w:style>
  <w:style w:type="paragraph" w:customStyle="1" w:styleId="248">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49">
    <w:name w:val="xl137"/>
    <w:basedOn w:val="1"/>
    <w:qFormat/>
    <w:uiPriority w:val="0"/>
    <w:pPr>
      <w:widowControl/>
      <w:pBdr>
        <w:top w:val="single" w:color="000000" w:sz="4" w:space="0"/>
        <w:left w:val="single" w:color="auto" w:sz="4" w:space="0"/>
        <w:bottom w:val="single" w:color="000000"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250">
    <w:name w:val="xl147"/>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251">
    <w:name w:val="xl139"/>
    <w:basedOn w:val="1"/>
    <w:qFormat/>
    <w:uiPriority w:val="0"/>
    <w:pPr>
      <w:widowControl/>
      <w:pBdr>
        <w:top w:val="single" w:color="FF0000" w:sz="8"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52">
    <w:name w:val="xl142"/>
    <w:basedOn w:val="1"/>
    <w:qFormat/>
    <w:uiPriority w:val="0"/>
    <w:pPr>
      <w:widowControl/>
      <w:pBdr>
        <w:top w:val="single" w:color="FF0000" w:sz="8" w:space="0"/>
        <w:bottom w:val="single" w:color="FF0000" w:sz="8" w:space="0"/>
        <w:right w:val="single" w:color="000000" w:sz="4" w:space="0"/>
      </w:pBdr>
      <w:spacing w:before="100" w:beforeAutospacing="1" w:after="100" w:afterAutospacing="1"/>
      <w:jc w:val="center"/>
    </w:pPr>
    <w:rPr>
      <w:rFonts w:ascii="宋体" w:hAnsi="宋体" w:cs="宋体"/>
      <w:kern w:val="0"/>
      <w:szCs w:val="21"/>
    </w:rPr>
  </w:style>
  <w:style w:type="paragraph" w:customStyle="1" w:styleId="253">
    <w:name w:val="xl172"/>
    <w:basedOn w:val="1"/>
    <w:qFormat/>
    <w:uiPriority w:val="0"/>
    <w:pPr>
      <w:widowControl/>
      <w:pBdr>
        <w:right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54">
    <w:name w:val="xl1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55">
    <w:name w:val="xl173"/>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b/>
      <w:bCs/>
      <w:color w:val="000000"/>
      <w:kern w:val="0"/>
      <w:szCs w:val="21"/>
    </w:rPr>
  </w:style>
  <w:style w:type="paragraph" w:customStyle="1" w:styleId="256">
    <w:name w:val="xl14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257">
    <w:name w:val="xl161"/>
    <w:basedOn w:val="1"/>
    <w:qFormat/>
    <w:uiPriority w:val="0"/>
    <w:pPr>
      <w:widowControl/>
      <w:pBdr>
        <w:left w:val="single" w:color="auto" w:sz="4" w:space="0"/>
        <w:bottom w:val="single" w:color="FF0000"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8">
    <w:name w:val="xl153"/>
    <w:basedOn w:val="1"/>
    <w:qFormat/>
    <w:uiPriority w:val="0"/>
    <w:pPr>
      <w:widowControl/>
      <w:pBdr>
        <w:left w:val="single" w:color="auto" w:sz="4" w:space="0"/>
        <w:bottom w:val="single" w:color="auto"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59">
    <w:name w:val="xl164"/>
    <w:basedOn w:val="1"/>
    <w:qFormat/>
    <w:uiPriority w:val="0"/>
    <w:pPr>
      <w:widowControl/>
      <w:pBdr>
        <w:bottom w:val="single" w:color="auto" w:sz="8"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60">
    <w:name w:val="xl156"/>
    <w:basedOn w:val="1"/>
    <w:qFormat/>
    <w:uiPriority w:val="0"/>
    <w:pPr>
      <w:widowControl/>
      <w:pBdr>
        <w:top w:val="single" w:color="FF0000" w:sz="8" w:space="0"/>
        <w:left w:val="single" w:color="auto" w:sz="4" w:space="0"/>
        <w:bottom w:val="single" w:color="000000" w:sz="4" w:space="0"/>
      </w:pBdr>
      <w:spacing w:before="100" w:beforeAutospacing="1" w:after="100" w:afterAutospacing="1"/>
      <w:jc w:val="center"/>
    </w:pPr>
    <w:rPr>
      <w:rFonts w:ascii="宋体" w:hAnsi="宋体" w:cs="宋体"/>
      <w:kern w:val="0"/>
      <w:szCs w:val="21"/>
    </w:rPr>
  </w:style>
  <w:style w:type="paragraph" w:customStyle="1" w:styleId="261">
    <w:name w:val="xl158"/>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cs="宋体"/>
      <w:kern w:val="0"/>
      <w:sz w:val="18"/>
      <w:szCs w:val="18"/>
    </w:rPr>
  </w:style>
  <w:style w:type="paragraph" w:customStyle="1" w:styleId="262">
    <w:name w:val="xl166"/>
    <w:basedOn w:val="1"/>
    <w:qFormat/>
    <w:uiPriority w:val="0"/>
    <w:pPr>
      <w:widowControl/>
      <w:pBdr>
        <w:top w:val="single" w:color="auto" w:sz="8" w:space="0"/>
        <w:left w:val="single" w:color="auto" w:sz="8" w:space="0"/>
        <w:bottom w:val="single" w:color="auto" w:sz="4" w:space="0"/>
        <w:right w:val="single" w:color="auto" w:sz="8" w:space="0"/>
      </w:pBdr>
      <w:spacing w:before="100" w:beforeAutospacing="1" w:after="100" w:afterAutospacing="1"/>
      <w:jc w:val="center"/>
    </w:pPr>
    <w:rPr>
      <w:rFonts w:ascii="宋体" w:hAnsi="宋体" w:cs="宋体"/>
      <w:b/>
      <w:bCs/>
      <w:color w:val="000000"/>
      <w:kern w:val="0"/>
      <w:sz w:val="28"/>
      <w:szCs w:val="28"/>
    </w:rPr>
  </w:style>
  <w:style w:type="paragraph" w:customStyle="1" w:styleId="263">
    <w:name w:val="xl167"/>
    <w:basedOn w:val="1"/>
    <w:qFormat/>
    <w:uiPriority w:val="0"/>
    <w:pPr>
      <w:widowControl/>
      <w:pBdr>
        <w:top w:val="single" w:color="auto" w:sz="8" w:space="0"/>
        <w:bottom w:val="single" w:color="auto" w:sz="4" w:space="0"/>
      </w:pBdr>
      <w:spacing w:before="100" w:beforeAutospacing="1" w:after="100" w:afterAutospacing="1"/>
      <w:jc w:val="center"/>
    </w:pPr>
    <w:rPr>
      <w:rFonts w:ascii="宋体" w:hAnsi="宋体" w:cs="宋体"/>
      <w:b/>
      <w:bCs/>
      <w:color w:val="000000"/>
      <w:kern w:val="0"/>
      <w:sz w:val="28"/>
      <w:szCs w:val="28"/>
    </w:rPr>
  </w:style>
  <w:style w:type="paragraph" w:customStyle="1" w:styleId="264">
    <w:name w:val="xl188"/>
    <w:basedOn w:val="1"/>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color w:val="000000"/>
      <w:kern w:val="0"/>
      <w:szCs w:val="21"/>
    </w:rPr>
  </w:style>
  <w:style w:type="paragraph" w:customStyle="1" w:styleId="265">
    <w:name w:val="xl1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66">
    <w:name w:val="xl181"/>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67">
    <w:name w:val="Char2"/>
    <w:basedOn w:val="1"/>
    <w:qFormat/>
    <w:uiPriority w:val="0"/>
    <w:pPr>
      <w:widowControl/>
      <w:spacing w:after="160" w:line="240" w:lineRule="exact"/>
      <w:jc w:val="left"/>
    </w:pPr>
  </w:style>
  <w:style w:type="paragraph" w:customStyle="1" w:styleId="268">
    <w:name w:val="正文1"/>
    <w:qFormat/>
    <w:uiPriority w:val="0"/>
    <w:pPr>
      <w:jc w:val="both"/>
    </w:pPr>
    <w:rPr>
      <w:rFonts w:ascii="Calibri" w:hAnsi="Calibri" w:eastAsia="宋体" w:cs="Calibri"/>
      <w:kern w:val="2"/>
      <w:sz w:val="21"/>
      <w:szCs w:val="21"/>
      <w:lang w:val="en-US" w:eastAsia="zh-CN" w:bidi="ar-SA"/>
    </w:rPr>
  </w:style>
  <w:style w:type="paragraph" w:customStyle="1" w:styleId="269">
    <w:name w:val="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270">
    <w:name w:val="p0"/>
    <w:basedOn w:val="1"/>
    <w:autoRedefine/>
    <w:qFormat/>
    <w:uiPriority w:val="0"/>
    <w:pPr>
      <w:widowControl/>
      <w:jc w:val="left"/>
    </w:pPr>
    <w:rPr>
      <w:kern w:val="0"/>
      <w:szCs w:val="21"/>
    </w:rPr>
  </w:style>
  <w:style w:type="paragraph" w:customStyle="1" w:styleId="271">
    <w:name w:val="正文2"/>
    <w:qFormat/>
    <w:uiPriority w:val="0"/>
    <w:pPr>
      <w:jc w:val="both"/>
    </w:pPr>
    <w:rPr>
      <w:rFonts w:ascii="Times New Roman" w:hAnsi="Times New Roman" w:eastAsia="宋体" w:cs="Times New Roman"/>
      <w:kern w:val="2"/>
      <w:sz w:val="21"/>
      <w:szCs w:val="21"/>
      <w:lang w:val="en-US" w:eastAsia="zh-CN" w:bidi="ar-SA"/>
    </w:rPr>
  </w:style>
  <w:style w:type="paragraph" w:customStyle="1" w:styleId="272">
    <w:name w:val="Char4"/>
    <w:basedOn w:val="1"/>
    <w:qFormat/>
    <w:uiPriority w:val="0"/>
    <w:pPr>
      <w:widowControl/>
      <w:spacing w:after="160" w:line="240" w:lineRule="exact"/>
      <w:jc w:val="left"/>
    </w:pPr>
    <w:rPr>
      <w:rFonts w:ascii="Verdana" w:hAnsi="Verdana"/>
      <w:kern w:val="0"/>
      <w:sz w:val="20"/>
      <w:szCs w:val="20"/>
      <w:lang w:eastAsia="en-US"/>
    </w:rPr>
  </w:style>
  <w:style w:type="paragraph" w:customStyle="1" w:styleId="273">
    <w:name w:val="Char5"/>
    <w:basedOn w:val="1"/>
    <w:qFormat/>
    <w:uiPriority w:val="0"/>
    <w:pPr>
      <w:widowControl/>
      <w:spacing w:after="160" w:line="240" w:lineRule="exact"/>
      <w:jc w:val="left"/>
    </w:pPr>
    <w:rPr>
      <w:rFonts w:ascii="Verdana" w:hAnsi="Verdana"/>
      <w:kern w:val="0"/>
      <w:sz w:val="20"/>
      <w:szCs w:val="20"/>
      <w:lang w:eastAsia="en-US"/>
    </w:rPr>
  </w:style>
  <w:style w:type="paragraph" w:customStyle="1" w:styleId="274">
    <w:name w:val="Char6"/>
    <w:basedOn w:val="1"/>
    <w:qFormat/>
    <w:uiPriority w:val="0"/>
    <w:pPr>
      <w:widowControl/>
      <w:spacing w:after="160" w:line="240" w:lineRule="exact"/>
      <w:jc w:val="left"/>
    </w:pPr>
    <w:rPr>
      <w:rFonts w:ascii="Verdana" w:hAnsi="Verdana"/>
      <w:kern w:val="0"/>
      <w:sz w:val="20"/>
      <w:szCs w:val="20"/>
      <w:lang w:eastAsia="en-US"/>
    </w:rPr>
  </w:style>
  <w:style w:type="character" w:customStyle="1" w:styleId="275">
    <w:name w:val="发布"/>
    <w:qFormat/>
    <w:uiPriority w:val="0"/>
    <w:rPr>
      <w:rFonts w:ascii="黑体" w:eastAsia="黑体"/>
      <w:spacing w:val="22"/>
      <w:w w:val="100"/>
      <w:position w:val="3"/>
      <w:sz w:val="28"/>
    </w:rPr>
  </w:style>
  <w:style w:type="character" w:customStyle="1" w:styleId="276">
    <w:name w:val="个人答复风格"/>
    <w:qFormat/>
    <w:uiPriority w:val="0"/>
    <w:rPr>
      <w:rFonts w:ascii="Arial" w:hAnsi="Arial" w:eastAsia="宋体" w:cs="Arial"/>
      <w:color w:val="auto"/>
      <w:sz w:val="20"/>
    </w:rPr>
  </w:style>
  <w:style w:type="character" w:customStyle="1" w:styleId="277">
    <w:name w:val="段 Char"/>
    <w:link w:val="60"/>
    <w:qFormat/>
    <w:uiPriority w:val="0"/>
    <w:rPr>
      <w:rFonts w:ascii="宋体" w:hAnsi="宋体" w:eastAsia="宋体"/>
      <w:sz w:val="21"/>
      <w:lang w:val="en-US" w:eastAsia="zh-CN" w:bidi="ar-SA"/>
    </w:rPr>
  </w:style>
  <w:style w:type="character" w:customStyle="1" w:styleId="278">
    <w:name w:val="个人撰写风格"/>
    <w:qFormat/>
    <w:uiPriority w:val="0"/>
    <w:rPr>
      <w:rFonts w:ascii="Arial" w:hAnsi="Arial" w:eastAsia="宋体" w:cs="Arial"/>
      <w:color w:val="auto"/>
      <w:sz w:val="20"/>
    </w:rPr>
  </w:style>
  <w:style w:type="character" w:customStyle="1" w:styleId="279">
    <w:name w:val="二级条标题 Char"/>
    <w:link w:val="61"/>
    <w:qFormat/>
    <w:uiPriority w:val="0"/>
    <w:rPr>
      <w:rFonts w:ascii="黑体" w:hAnsi="黑体" w:eastAsia="黑体" w:cs="Times New Roman"/>
      <w:color w:val="000000" w:themeColor="text1"/>
      <w:spacing w:val="-6"/>
      <w:sz w:val="21"/>
      <w:szCs w:val="24"/>
      <w14:textFill>
        <w14:solidFill>
          <w14:schemeClr w14:val="tx1"/>
        </w14:solidFill>
      </w14:textFill>
    </w:rPr>
  </w:style>
  <w:style w:type="character" w:customStyle="1" w:styleId="280">
    <w:name w:val="章标题 Char"/>
    <w:link w:val="63"/>
    <w:qFormat/>
    <w:uiPriority w:val="0"/>
    <w:rPr>
      <w:rFonts w:ascii="黑体" w:hAnsi="Times New Roman" w:eastAsia="黑体" w:cs="Times New Roman"/>
      <w:sz w:val="21"/>
    </w:rPr>
  </w:style>
  <w:style w:type="character" w:customStyle="1" w:styleId="281">
    <w:name w:val="一级条标题 Char"/>
    <w:link w:val="62"/>
    <w:qFormat/>
    <w:uiPriority w:val="0"/>
    <w:rPr>
      <w:rFonts w:ascii="黑体" w:hAnsi="Times New Roman" w:eastAsia="黑体" w:cs="Times New Roman"/>
      <w:color w:val="FF0000"/>
      <w:spacing w:val="-4"/>
      <w:sz w:val="21"/>
      <w:szCs w:val="24"/>
    </w:rPr>
  </w:style>
  <w:style w:type="character" w:customStyle="1" w:styleId="282">
    <w:name w:val="纯文本 Char"/>
    <w:link w:val="22"/>
    <w:qFormat/>
    <w:uiPriority w:val="99"/>
    <w:rPr>
      <w:rFonts w:ascii="宋体" w:hAnsi="Courier New" w:cs="Courier New"/>
      <w:kern w:val="2"/>
      <w:sz w:val="21"/>
      <w:szCs w:val="21"/>
    </w:rPr>
  </w:style>
  <w:style w:type="character" w:customStyle="1" w:styleId="283">
    <w:name w:val="三级条标题 Char"/>
    <w:link w:val="73"/>
    <w:qFormat/>
    <w:uiPriority w:val="0"/>
    <w:rPr>
      <w:rFonts w:ascii="黑体" w:eastAsia="黑体"/>
      <w:color w:val="FF0000"/>
      <w:spacing w:val="-4"/>
      <w:sz w:val="21"/>
      <w:szCs w:val="24"/>
    </w:rPr>
  </w:style>
  <w:style w:type="character" w:customStyle="1" w:styleId="284">
    <w:name w:val="批注框文本 Char"/>
    <w:link w:val="27"/>
    <w:qFormat/>
    <w:uiPriority w:val="0"/>
    <w:rPr>
      <w:kern w:val="2"/>
      <w:sz w:val="18"/>
      <w:szCs w:val="18"/>
    </w:rPr>
  </w:style>
  <w:style w:type="character" w:customStyle="1" w:styleId="285">
    <w:name w:val="正文文本 Char"/>
    <w:link w:val="16"/>
    <w:qFormat/>
    <w:uiPriority w:val="0"/>
    <w:rPr>
      <w:kern w:val="2"/>
      <w:sz w:val="21"/>
      <w:szCs w:val="24"/>
    </w:rPr>
  </w:style>
  <w:style w:type="character" w:customStyle="1" w:styleId="286">
    <w:name w:val="注： Char"/>
    <w:link w:val="93"/>
    <w:qFormat/>
    <w:uiPriority w:val="0"/>
    <w:rPr>
      <w:rFonts w:ascii="宋体"/>
      <w:sz w:val="18"/>
    </w:rPr>
  </w:style>
  <w:style w:type="character" w:customStyle="1" w:styleId="287">
    <w:name w:val="页脚 Char"/>
    <w:link w:val="28"/>
    <w:qFormat/>
    <w:uiPriority w:val="99"/>
    <w:rPr>
      <w:kern w:val="2"/>
      <w:sz w:val="18"/>
      <w:szCs w:val="18"/>
    </w:rPr>
  </w:style>
  <w:style w:type="character" w:customStyle="1" w:styleId="288">
    <w:name w:val="正文文本缩进 Char"/>
    <w:link w:val="18"/>
    <w:qFormat/>
    <w:uiPriority w:val="0"/>
    <w:rPr>
      <w:kern w:val="2"/>
      <w:sz w:val="24"/>
    </w:rPr>
  </w:style>
  <w:style w:type="character" w:customStyle="1" w:styleId="289">
    <w:name w:val="表中文字"/>
    <w:qFormat/>
    <w:uiPriority w:val="0"/>
    <w:rPr>
      <w:rFonts w:ascii="宋体" w:eastAsia="宋体"/>
      <w:sz w:val="18"/>
    </w:rPr>
  </w:style>
  <w:style w:type="character" w:customStyle="1" w:styleId="290">
    <w:name w:val="批注文字 Char"/>
    <w:link w:val="15"/>
    <w:qFormat/>
    <w:uiPriority w:val="0"/>
    <w:rPr>
      <w:kern w:val="2"/>
      <w:sz w:val="21"/>
      <w:szCs w:val="24"/>
    </w:rPr>
  </w:style>
  <w:style w:type="character" w:customStyle="1" w:styleId="291">
    <w:name w:val="批注主题 Char"/>
    <w:link w:val="40"/>
    <w:qFormat/>
    <w:uiPriority w:val="0"/>
    <w:rPr>
      <w:b/>
      <w:bCs/>
      <w:kern w:val="2"/>
      <w:sz w:val="21"/>
      <w:szCs w:val="24"/>
    </w:rPr>
  </w:style>
  <w:style w:type="character" w:customStyle="1" w:styleId="292">
    <w:name w:val="页眉 Char"/>
    <w:link w:val="29"/>
    <w:qFormat/>
    <w:uiPriority w:val="99"/>
    <w:rPr>
      <w:kern w:val="2"/>
      <w:sz w:val="18"/>
      <w:szCs w:val="18"/>
    </w:rPr>
  </w:style>
  <w:style w:type="character" w:customStyle="1" w:styleId="293">
    <w:name w:val="正文文本缩进 2 Char"/>
    <w:link w:val="25"/>
    <w:qFormat/>
    <w:uiPriority w:val="0"/>
    <w:rPr>
      <w:kern w:val="2"/>
      <w:sz w:val="21"/>
      <w:szCs w:val="24"/>
    </w:rPr>
  </w:style>
  <w:style w:type="character" w:customStyle="1" w:styleId="294">
    <w:name w:val="日期 Char"/>
    <w:link w:val="24"/>
    <w:qFormat/>
    <w:uiPriority w:val="99"/>
    <w:rPr>
      <w:kern w:val="2"/>
      <w:sz w:val="24"/>
    </w:rPr>
  </w:style>
  <w:style w:type="character" w:customStyle="1" w:styleId="295">
    <w:name w:val="访问过的超链接1"/>
    <w:qFormat/>
    <w:uiPriority w:val="99"/>
    <w:rPr>
      <w:color w:val="800080"/>
      <w:u w:val="single"/>
    </w:rPr>
  </w:style>
  <w:style w:type="character" w:customStyle="1" w:styleId="296">
    <w:name w:val="段 Char Char Char Char"/>
    <w:qFormat/>
    <w:uiPriority w:val="0"/>
    <w:rPr>
      <w:rFonts w:ascii="宋体"/>
      <w:sz w:val="21"/>
      <w:lang w:val="en-US" w:eastAsia="zh-CN" w:bidi="ar-SA"/>
    </w:rPr>
  </w:style>
  <w:style w:type="character" w:customStyle="1" w:styleId="297">
    <w:name w:val="章标题 Char Char"/>
    <w:qFormat/>
    <w:uiPriority w:val="0"/>
    <w:rPr>
      <w:rFonts w:ascii="黑体" w:eastAsia="黑体"/>
      <w:sz w:val="21"/>
      <w:lang w:val="en-US" w:eastAsia="zh-CN" w:bidi="ar-SA"/>
    </w:rPr>
  </w:style>
  <w:style w:type="character" w:customStyle="1" w:styleId="298">
    <w:name w:val="正文文本缩进 Char1"/>
    <w:qFormat/>
    <w:uiPriority w:val="0"/>
    <w:rPr>
      <w:kern w:val="2"/>
      <w:sz w:val="21"/>
      <w:szCs w:val="24"/>
    </w:rPr>
  </w:style>
  <w:style w:type="character" w:customStyle="1" w:styleId="299">
    <w:name w:val="font21"/>
    <w:qFormat/>
    <w:uiPriority w:val="0"/>
    <w:rPr>
      <w:rFonts w:hint="eastAsia" w:ascii="宋体" w:hAnsi="宋体" w:eastAsia="宋体" w:cs="宋体"/>
      <w:b/>
      <w:color w:val="FF0000"/>
      <w:sz w:val="21"/>
      <w:szCs w:val="21"/>
      <w:u w:val="none"/>
    </w:rPr>
  </w:style>
  <w:style w:type="character" w:customStyle="1" w:styleId="300">
    <w:name w:val="font41"/>
    <w:qFormat/>
    <w:uiPriority w:val="0"/>
    <w:rPr>
      <w:rFonts w:hint="eastAsia" w:ascii="宋体" w:hAnsi="宋体" w:eastAsia="宋体" w:cs="宋体"/>
      <w:b/>
      <w:color w:val="FF0000"/>
      <w:sz w:val="21"/>
      <w:szCs w:val="21"/>
      <w:u w:val="none"/>
    </w:rPr>
  </w:style>
  <w:style w:type="character" w:customStyle="1" w:styleId="301">
    <w:name w:val="font01"/>
    <w:qFormat/>
    <w:uiPriority w:val="0"/>
    <w:rPr>
      <w:rFonts w:hint="eastAsia" w:ascii="宋体" w:hAnsi="宋体" w:eastAsia="宋体"/>
      <w:color w:val="000000"/>
      <w:sz w:val="24"/>
      <w:szCs w:val="24"/>
      <w:u w:val="none"/>
    </w:rPr>
  </w:style>
  <w:style w:type="character" w:customStyle="1" w:styleId="302">
    <w:name w:val="附录标识 Char"/>
    <w:link w:val="67"/>
    <w:qFormat/>
    <w:uiPriority w:val="0"/>
    <w:rPr>
      <w:sz w:val="21"/>
    </w:rPr>
  </w:style>
  <w:style w:type="character" w:customStyle="1" w:styleId="303">
    <w:name w:val="font31"/>
    <w:qFormat/>
    <w:uiPriority w:val="0"/>
    <w:rPr>
      <w:rFonts w:hint="eastAsia" w:ascii="宋体" w:hAnsi="宋体" w:eastAsia="宋体" w:cs="宋体"/>
      <w:color w:val="000000"/>
      <w:sz w:val="22"/>
      <w:szCs w:val="22"/>
      <w:u w:val="none"/>
    </w:rPr>
  </w:style>
  <w:style w:type="paragraph" w:customStyle="1" w:styleId="304">
    <w:name w:val="Table Paragraph"/>
    <w:basedOn w:val="1"/>
    <w:qFormat/>
    <w:uiPriority w:val="1"/>
    <w:pPr>
      <w:autoSpaceDE w:val="0"/>
      <w:autoSpaceDN w:val="0"/>
      <w:jc w:val="left"/>
    </w:pPr>
    <w:rPr>
      <w:rFonts w:ascii="仿宋" w:hAnsi="仿宋" w:eastAsia="仿宋" w:cs="仿宋"/>
      <w:kern w:val="0"/>
      <w:sz w:val="22"/>
      <w:szCs w:val="22"/>
      <w:lang w:val="zh-CN" w:bidi="zh-CN"/>
    </w:rPr>
  </w:style>
  <w:style w:type="character" w:customStyle="1" w:styleId="305">
    <w:name w:val="fontstyle01"/>
    <w:basedOn w:val="44"/>
    <w:autoRedefine/>
    <w:qFormat/>
    <w:uiPriority w:val="0"/>
    <w:rPr>
      <w:rFonts w:hint="eastAsia" w:ascii="宋体" w:hAnsi="宋体" w:eastAsia="宋体"/>
      <w:color w:val="000000"/>
      <w:sz w:val="24"/>
      <w:szCs w:val="24"/>
    </w:rPr>
  </w:style>
  <w:style w:type="character" w:customStyle="1" w:styleId="306">
    <w:name w:val="标题 1 Char"/>
    <w:basedOn w:val="44"/>
    <w:link w:val="2"/>
    <w:autoRedefine/>
    <w:qFormat/>
    <w:uiPriority w:val="0"/>
    <w:rPr>
      <w:rFonts w:ascii="Times New Roman" w:hAnsi="Times New Roman" w:eastAsia="黑体" w:cs="Times New Roman"/>
      <w:b/>
      <w:bCs/>
      <w:kern w:val="44"/>
      <w:sz w:val="28"/>
      <w:szCs w:val="44"/>
    </w:rPr>
  </w:style>
  <w:style w:type="character" w:customStyle="1" w:styleId="307">
    <w:name w:val="标题 2 Char"/>
    <w:basedOn w:val="44"/>
    <w:link w:val="3"/>
    <w:autoRedefine/>
    <w:qFormat/>
    <w:uiPriority w:val="0"/>
    <w:rPr>
      <w:rFonts w:ascii="Arial" w:hAnsi="Arial" w:eastAsia="黑体" w:cs="Times New Roman"/>
      <w:b/>
      <w:bCs/>
      <w:kern w:val="2"/>
      <w:sz w:val="24"/>
      <w:szCs w:val="32"/>
    </w:rPr>
  </w:style>
  <w:style w:type="character" w:customStyle="1" w:styleId="308">
    <w:name w:val="标题 3 Char"/>
    <w:basedOn w:val="44"/>
    <w:link w:val="4"/>
    <w:autoRedefine/>
    <w:qFormat/>
    <w:uiPriority w:val="0"/>
    <w:rPr>
      <w:rFonts w:ascii="Times New Roman" w:hAnsi="Times New Roman" w:eastAsia="黑体" w:cs="Times New Roman"/>
      <w:b/>
      <w:bCs/>
      <w:kern w:val="2"/>
      <w:sz w:val="21"/>
      <w:szCs w:val="32"/>
    </w:rPr>
  </w:style>
  <w:style w:type="character" w:customStyle="1" w:styleId="309">
    <w:name w:val="标题 Char"/>
    <w:link w:val="39"/>
    <w:autoRedefine/>
    <w:qFormat/>
    <w:uiPriority w:val="0"/>
    <w:rPr>
      <w:rFonts w:ascii="Arial" w:hAnsi="Arial" w:eastAsia="宋体" w:cs="Arial"/>
      <w:b/>
      <w:bCs/>
      <w:kern w:val="2"/>
      <w:sz w:val="32"/>
      <w:szCs w:val="32"/>
    </w:rPr>
  </w:style>
  <w:style w:type="character" w:customStyle="1" w:styleId="310">
    <w:name w:val="脚注文本 Char"/>
    <w:link w:val="32"/>
    <w:autoRedefine/>
    <w:qFormat/>
    <w:uiPriority w:val="0"/>
    <w:rPr>
      <w:rFonts w:ascii="Times New Roman" w:hAnsi="Times New Roman" w:eastAsia="宋体" w:cs="Times New Roman"/>
      <w:kern w:val="2"/>
      <w:sz w:val="18"/>
      <w:szCs w:val="18"/>
    </w:rPr>
  </w:style>
  <w:style w:type="character" w:customStyle="1" w:styleId="311">
    <w:name w:val="未处理的提及1"/>
    <w:autoRedefine/>
    <w:unhideWhenUsed/>
    <w:qFormat/>
    <w:uiPriority w:val="99"/>
    <w:rPr>
      <w:color w:val="605E5C"/>
      <w:shd w:val="clear" w:color="auto" w:fill="E1DFDD"/>
    </w:rPr>
  </w:style>
  <w:style w:type="character" w:customStyle="1" w:styleId="312">
    <w:name w:val="批注框文本 Char1"/>
    <w:basedOn w:val="44"/>
    <w:autoRedefine/>
    <w:semiHidden/>
    <w:qFormat/>
    <w:uiPriority w:val="99"/>
    <w:rPr>
      <w:rFonts w:ascii="Calibri" w:hAnsi="Calibri" w:eastAsia="宋体" w:cs="Times New Roman"/>
      <w:sz w:val="18"/>
      <w:szCs w:val="18"/>
    </w:rPr>
  </w:style>
  <w:style w:type="character" w:customStyle="1" w:styleId="313">
    <w:name w:val="脚注文本 Char1"/>
    <w:basedOn w:val="44"/>
    <w:autoRedefine/>
    <w:semiHidden/>
    <w:qFormat/>
    <w:uiPriority w:val="99"/>
    <w:rPr>
      <w:rFonts w:ascii="Calibri" w:hAnsi="Calibri" w:eastAsia="宋体" w:cs="Times New Roman"/>
      <w:sz w:val="18"/>
      <w:szCs w:val="18"/>
    </w:rPr>
  </w:style>
  <w:style w:type="character" w:customStyle="1" w:styleId="314">
    <w:name w:val="标题 Char1"/>
    <w:basedOn w:val="44"/>
    <w:autoRedefine/>
    <w:qFormat/>
    <w:uiPriority w:val="10"/>
    <w:rPr>
      <w:rFonts w:eastAsia="宋体" w:asciiTheme="majorHAnsi" w:hAnsiTheme="majorHAnsi" w:cstheme="majorBidi"/>
      <w:b/>
      <w:bCs/>
      <w:sz w:val="32"/>
      <w:szCs w:val="32"/>
    </w:rPr>
  </w:style>
  <w:style w:type="paragraph" w:customStyle="1" w:styleId="315">
    <w:name w:val="默认段落字体 Para Char Char Char Char Char Char Char Char Char Char"/>
    <w:basedOn w:val="1"/>
    <w:autoRedefine/>
    <w:qFormat/>
    <w:uiPriority w:val="0"/>
  </w:style>
  <w:style w:type="paragraph" w:customStyle="1" w:styleId="316">
    <w:name w:val="WPSOffice手动目录 1"/>
    <w:autoRedefine/>
    <w:qFormat/>
    <w:uiPriority w:val="0"/>
    <w:rPr>
      <w:rFonts w:ascii="Calibri" w:hAnsi="Calibri" w:eastAsia="宋体" w:cs="Times New Roman"/>
      <w:lang w:val="en-US" w:eastAsia="zh-CN" w:bidi="ar-SA"/>
    </w:rPr>
  </w:style>
  <w:style w:type="paragraph" w:customStyle="1" w:styleId="317">
    <w:name w:val="1"/>
    <w:basedOn w:val="1"/>
    <w:next w:val="18"/>
    <w:autoRedefine/>
    <w:qFormat/>
    <w:uiPriority w:val="0"/>
    <w:pPr>
      <w:adjustRightInd w:val="0"/>
      <w:spacing w:line="360" w:lineRule="auto"/>
      <w:ind w:firstLine="480" w:firstLineChars="200"/>
      <w:textAlignment w:val="baseline"/>
      <w:outlineLvl w:val="0"/>
    </w:pPr>
    <w:rPr>
      <w:kern w:val="0"/>
      <w:sz w:val="24"/>
      <w:szCs w:val="20"/>
    </w:rPr>
  </w:style>
  <w:style w:type="paragraph" w:customStyle="1" w:styleId="318">
    <w:name w:val="Char Char"/>
    <w:basedOn w:val="1"/>
    <w:autoRedefine/>
    <w:qFormat/>
    <w:uiPriority w:val="0"/>
  </w:style>
  <w:style w:type="paragraph" w:customStyle="1" w:styleId="319">
    <w:name w:val="WPSOffice手动目录 2"/>
    <w:qFormat/>
    <w:uiPriority w:val="0"/>
    <w:pPr>
      <w:ind w:left="200" w:leftChars="200"/>
    </w:pPr>
    <w:rPr>
      <w:rFonts w:ascii="Calibri" w:hAnsi="Calibri" w:eastAsia="宋体" w:cs="Times New Roman"/>
      <w:lang w:val="en-US" w:eastAsia="zh-CN" w:bidi="ar-SA"/>
    </w:rPr>
  </w:style>
  <w:style w:type="table" w:customStyle="1" w:styleId="320">
    <w:name w:val="网格型1"/>
    <w:basedOn w:val="42"/>
    <w:autoRedefine/>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1">
    <w:name w:val="Placeholder Text"/>
    <w:basedOn w:val="44"/>
    <w:autoRedefine/>
    <w:semiHidden/>
    <w:qFormat/>
    <w:uiPriority w:val="99"/>
    <w:rPr>
      <w:color w:val="808080"/>
    </w:rPr>
  </w:style>
  <w:style w:type="table" w:customStyle="1" w:styleId="322">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323">
    <w:name w:val="标题 21"/>
    <w:basedOn w:val="1"/>
    <w:autoRedefine/>
    <w:qFormat/>
    <w:uiPriority w:val="1"/>
    <w:pPr>
      <w:autoSpaceDE w:val="0"/>
      <w:autoSpaceDN w:val="0"/>
      <w:ind w:left="216"/>
      <w:jc w:val="left"/>
      <w:outlineLvl w:val="2"/>
    </w:pPr>
    <w:rPr>
      <w:rFonts w:eastAsia="Times New Roman"/>
      <w:kern w:val="0"/>
      <w:sz w:val="28"/>
      <w:szCs w:val="28"/>
      <w:lang w:eastAsia="en-US" w:bidi="en-US"/>
    </w:rPr>
  </w:style>
  <w:style w:type="character" w:customStyle="1" w:styleId="324">
    <w:name w:val="正文文本 2 Char"/>
    <w:basedOn w:val="44"/>
    <w:link w:val="36"/>
    <w:autoRedefine/>
    <w:qFormat/>
    <w:uiPriority w:val="99"/>
    <w:rPr>
      <w:rFonts w:ascii="Times New Roman" w:hAnsi="Times New Roman" w:eastAsia="宋体" w:cs="Times New Roman"/>
      <w:kern w:val="2"/>
      <w:sz w:val="21"/>
      <w:szCs w:val="24"/>
    </w:rPr>
  </w:style>
  <w:style w:type="character" w:customStyle="1" w:styleId="325">
    <w:name w:val="TOC 6 字符"/>
    <w:link w:val="12"/>
    <w:qFormat/>
    <w:uiPriority w:val="0"/>
  </w:style>
  <w:style w:type="character" w:customStyle="1" w:styleId="326">
    <w:name w:val="TOC 8 字符"/>
    <w:link w:val="23"/>
    <w:qFormat/>
    <w:uiPriority w:val="0"/>
  </w:style>
  <w:style w:type="character" w:customStyle="1" w:styleId="327">
    <w:name w:val="o3"/>
    <w:basedOn w:val="44"/>
    <w:uiPriority w:val="0"/>
    <w:rPr>
      <w:sz w:val="0"/>
      <w:szCs w:val="0"/>
    </w:rPr>
  </w:style>
  <w:style w:type="character" w:customStyle="1" w:styleId="328">
    <w:name w:val="tab"/>
    <w:basedOn w:val="44"/>
    <w:uiPriority w:val="0"/>
    <w:rPr>
      <w:color w:val="A4BCD6"/>
    </w:rPr>
  </w:style>
  <w:style w:type="character" w:customStyle="1" w:styleId="329">
    <w:name w:val="tab1"/>
    <w:basedOn w:val="44"/>
    <w:uiPriority w:val="0"/>
    <w:rPr>
      <w:color w:val="A4BCD6"/>
    </w:rPr>
  </w:style>
  <w:style w:type="character" w:customStyle="1" w:styleId="330">
    <w:name w:val="tab2"/>
    <w:basedOn w:val="44"/>
    <w:uiPriority w:val="0"/>
    <w:rPr>
      <w:color w:val="A4BCD6"/>
    </w:rPr>
  </w:style>
  <w:style w:type="character" w:customStyle="1" w:styleId="331">
    <w:name w:val="o4"/>
    <w:basedOn w:val="44"/>
    <w:uiPriority w:val="0"/>
    <w:rPr>
      <w:sz w:val="0"/>
      <w:szCs w:val="0"/>
    </w:rPr>
  </w:style>
  <w:style w:type="character" w:customStyle="1" w:styleId="332">
    <w:name w:val="o1"/>
    <w:basedOn w:val="44"/>
    <w:uiPriority w:val="0"/>
    <w:rPr>
      <w:sz w:val="0"/>
      <w:szCs w:val="0"/>
    </w:rPr>
  </w:style>
  <w:style w:type="character" w:customStyle="1" w:styleId="333">
    <w:name w:val="o2"/>
    <w:basedOn w:val="44"/>
    <w:uiPriority w:val="0"/>
    <w:rPr>
      <w:sz w:val="0"/>
      <w:szCs w:val="0"/>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1.bin"/><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customXml" Target="../customXml/item3.xml"/><Relationship Id="rId36" Type="http://schemas.openxmlformats.org/officeDocument/2006/relationships/customXml" Target="../customXml/item2.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13.wmf"/><Relationship Id="rId32" Type="http://schemas.openxmlformats.org/officeDocument/2006/relationships/oleObject" Target="embeddings/oleObject14.bin"/><Relationship Id="rId31" Type="http://schemas.openxmlformats.org/officeDocument/2006/relationships/image" Target="media/image12.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12.bin"/><Relationship Id="rId27" Type="http://schemas.openxmlformats.org/officeDocument/2006/relationships/image" Target="media/image10.wmf"/><Relationship Id="rId26" Type="http://schemas.openxmlformats.org/officeDocument/2006/relationships/oleObject" Target="embeddings/oleObject11.bin"/><Relationship Id="rId25" Type="http://schemas.openxmlformats.org/officeDocument/2006/relationships/image" Target="media/image9.wmf"/><Relationship Id="rId24" Type="http://schemas.openxmlformats.org/officeDocument/2006/relationships/oleObject" Target="embeddings/oleObject10.bin"/><Relationship Id="rId23" Type="http://schemas.openxmlformats.org/officeDocument/2006/relationships/image" Target="media/image8.wmf"/><Relationship Id="rId22" Type="http://schemas.openxmlformats.org/officeDocument/2006/relationships/oleObject" Target="embeddings/oleObject9.bin"/><Relationship Id="rId21" Type="http://schemas.openxmlformats.org/officeDocument/2006/relationships/oleObject" Target="embeddings/oleObject8.bin"/><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6.bin"/><Relationship Id="rId17" Type="http://schemas.openxmlformats.org/officeDocument/2006/relationships/image" Target="media/image6.wmf"/><Relationship Id="rId16" Type="http://schemas.openxmlformats.org/officeDocument/2006/relationships/oleObject" Target="embeddings/oleObject5.bin"/><Relationship Id="rId15" Type="http://schemas.openxmlformats.org/officeDocument/2006/relationships/image" Target="media/image5.wmf"/><Relationship Id="rId14" Type="http://schemas.openxmlformats.org/officeDocument/2006/relationships/oleObject" Target="embeddings/oleObject4.bin"/><Relationship Id="rId13" Type="http://schemas.openxmlformats.org/officeDocument/2006/relationships/image" Target="media/image4.wmf"/><Relationship Id="rId12" Type="http://schemas.openxmlformats.org/officeDocument/2006/relationships/oleObject" Target="embeddings/oleObject3.bin"/><Relationship Id="rId11" Type="http://schemas.openxmlformats.org/officeDocument/2006/relationships/image" Target="media/image3.wmf"/><Relationship Id="rId10" Type="http://schemas.openxmlformats.org/officeDocument/2006/relationships/oleObject" Target="embeddings/oleObject2.bin"/><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6631;&#20934;\5237-201X\2\GB-T5237-201X\&#25253;&#25209;&#26448;&#26009;\GBT%205237.2&#21644;.5&#25253;&#25209;&#26448;&#26009;20160927\GBT%205237.2-201X%20&#25253;&#25209;&#26448;&#26009;\&#22269;&#23478;&#34892;&#19994;&#26631;&#20934;&#32534;&#21046;&#35828;&#26126;&#27169;&#26495;"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0e72f336-4a0e-48c7-8473-39e50fe9da5b</errorID>
      <errorWord>(</errorWord>
      <group>L1_Format</group>
      <groupName>格式问题</groupName>
      <ability>L2_HalfPunc_CN</ability>
      <abilityName>全半角问题</abilityName>
      <candidateList>
        <item>（</item>
      </candidateList>
      <explain>文本全半角错误。</explain>
      <paraID>40014D57</paraID>
      <start>155</start>
      <end>156</end>
      <status>modified</status>
      <modifiedWord>（</modifiedWord>
      <trackRevisions>false</trackRevisions>
    </reviewItem>
    <reviewItem>
      <errorID>79b7bef4-6e5d-4727-a1a8-b42ab781640b</errorID>
      <errorWord>)</errorWord>
      <group>L1_Format</group>
      <groupName>格式问题</groupName>
      <ability>L2_HalfPunc_CN</ability>
      <abilityName>全半角问题</abilityName>
      <candidateList>
        <item>）</item>
      </candidateList>
      <explain>文本全半角错误。</explain>
      <paraID>40014D57</paraID>
      <start>158</start>
      <end>159</end>
      <status>modified</status>
      <modifiedWord>）</modifiedWord>
      <trackRevisions>false</trackRevisions>
    </reviewItem>
    <reviewItem>
      <errorID>19516575-03f3-4826-86f2-fbf9f6ef69ac</errorID>
      <errorWord>金属金属</errorWord>
      <group>L1_Word</group>
      <groupName>字词问题</groupName>
      <ability>L2_Typo</ability>
      <abilityName>字词错误</abilityName>
      <candidateList>
        <item>金属</item>
      </candidateList>
      <explain/>
      <paraID>1C1F827C</paraID>
      <start>40</start>
      <end>42</end>
      <status>modified</status>
      <modifiedWord>金属</modifiedWord>
      <trackRevisions>false</trackRevisions>
    </reviewItem>
    <reviewItem>
      <errorID>37f4d016-03be-4e26-a62f-7f6c1c031cd0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51E05A24</paraID>
      <start>134</start>
      <end>137</end>
      <status>ignored</status>
      <modifiedWord/>
      <trackRevisions>false</trackRevisions>
    </reviewItem>
    <reviewItem>
      <errorID>89979c1b-7b09-458a-9406-f76ead04321c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51E05A24</paraID>
      <start>155</start>
      <end>158</end>
      <status>ignored</status>
      <modifiedWord/>
      <trackRevisions>false</trackRevisions>
    </reviewItem>
    <reviewItem>
      <errorID>41bfe1a2-732e-4908-9248-93eeeb7b2d9b</errorID>
      <errorWord>中科院</errorWord>
      <group>L1_Knowledge</group>
      <groupName>知识性问题</groupName>
      <ability>L2_Knowledge</ability>
      <abilityName>其他知识</abilityName>
      <candidateList>
        <item>中国科学院</item>
      </candidateList>
      <explain/>
      <paraID>650728D4</paraID>
      <start>0</start>
      <end>5</end>
      <status>modified</status>
      <modifiedWord>中国科学院</modifiedWord>
      <trackRevisions>false</trackRevisions>
    </reviewItem>
    <reviewItem>
      <errorID>90aeffab-8ea0-48e9-b81e-a0a1a957b210</errorID>
      <errorWord>(</errorWord>
      <group>L1_Format</group>
      <groupName>格式问题</groupName>
      <ability>L2_HalfPunc_CN</ability>
      <abilityName>全半角问题</abilityName>
      <candidateList>
        <item>（</item>
      </candidateList>
      <explain>文本全半角错误。</explain>
      <paraID>5B74D4BE</paraID>
      <start>11</start>
      <end>12</end>
      <status>modified</status>
      <modifiedWord>（</modifiedWord>
      <trackRevisions>false</trackRevisions>
    </reviewItem>
    <reviewItem>
      <errorID>3b357a5e-dc6c-462b-9c99-6975cc7bbdda</errorID>
      <errorWord>)</errorWord>
      <group>L1_Format</group>
      <groupName>格式问题</groupName>
      <ability>L2_HalfPunc_CN</ability>
      <abilityName>全半角问题</abilityName>
      <candidateList>
        <item>）</item>
      </candidateList>
      <explain>文本全半角错误。</explain>
      <paraID>5B74D4BE</paraID>
      <start>14</start>
      <end>15</end>
      <status>modified</status>
      <modifiedWord>）</modifiedWord>
      <trackRevisions>false</trackRevisions>
    </reviewItem>
    <reviewItem>
      <errorID>6f9978e6-d21f-424a-ae07-8585822154ff</errorID>
      <errorWord>国务院政府津贴</errorWord>
      <group>L1_Political</group>
      <groupName>政治性问题</groupName>
      <ability>L2_Keyword</ability>
      <abilityName>固定表述</abilityName>
      <candidateList>
        <item>国务院政府特殊津贴</item>
      </candidateList>
      <explain>词汇“国务院政府特殊津贴”在特定场景下为固定表述形式，请确认此处的“国务院政府津贴”是否存在不当。</explain>
      <paraID> DC9099A</paraID>
      <start>161</start>
      <end>168</end>
      <status>ignored</status>
      <modifiedWord/>
      <trackRevisions>false</trackRevisions>
    </reviewItem>
    <reviewItem>
      <errorID>b466d0c5-6174-4c68-b2a4-049d0e87b0da</errorID>
      <errorWord>(</errorWord>
      <group>L1_Format</group>
      <groupName>格式问题</groupName>
      <ability>L2_HalfPunc_CN</ability>
      <abilityName>全半角问题</abilityName>
      <candidateList>
        <item>（</item>
      </candidateList>
      <explain>文本全半角错误。</explain>
      <paraID>303DF853</paraID>
      <start>4</start>
      <end>5</end>
      <status>modified</status>
      <modifiedWord>（</modifiedWord>
      <trackRevisions>false</trackRevisions>
    </reviewItem>
    <reviewItem>
      <errorID>dc95d21f-e09d-4509-a43e-8bbc643040d1</errorID>
      <errorWord>)</errorWord>
      <group>L1_Format</group>
      <groupName>格式问题</groupName>
      <ability>L2_HalfPunc_CN</ability>
      <abilityName>全半角问题</abilityName>
      <candidateList>
        <item>）</item>
      </candidateList>
      <explain>文本全半角错误。</explain>
      <paraID>303DF853</paraID>
      <start>7</start>
      <end>8</end>
      <status>modified</status>
      <modifiedWord>）</modifiedWord>
      <trackRevisions>false</trackRevisions>
    </reviewItem>
    <reviewItem>
      <errorID>c8fc4e0b-9b93-417e-9787-12190aec57f1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45BECD7</paraID>
      <start>10</start>
      <end>11</end>
      <status>ignored</status>
      <modifiedWord/>
      <trackRevisions>false</trackRevisions>
    </reviewItem>
    <reviewItem>
      <errorID>d2cddc60-2535-42cd-9dc0-ed3be83747f9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4AD2DEA8</paraID>
      <start>12</start>
      <end>13</end>
      <status>ignored</status>
      <modifiedWord/>
      <trackRevisions>false</trackRevisions>
    </reviewItem>
    <reviewItem>
      <errorID>f2b0c7c9-f1fb-436b-9d9a-11db3eacad80</errorID>
      <errorWord>(</errorWord>
      <group>L1_Format</group>
      <groupName>格式问题</groupName>
      <ability>L2_HalfPunc_CN</ability>
      <abilityName>全半角问题</abilityName>
      <candidateList>
        <item>（</item>
      </candidateList>
      <explain>文本全半角错误。</explain>
      <paraID>10B86985</paraID>
      <start>95</start>
      <end>96</end>
      <status>ignored</status>
      <modifiedWord/>
      <trackRevisions>false</trackRevisions>
    </reviewItem>
    <reviewItem>
      <errorID>8dc88607-b2cb-4b1a-be39-41d618569bca</errorID>
      <errorWord>)</errorWord>
      <group>L1_Format</group>
      <groupName>格式问题</groupName>
      <ability>L2_HalfPunc_CN</ability>
      <abilityName>全半角问题</abilityName>
      <candidateList>
        <item>）</item>
      </candidateList>
      <explain>文本全半角错误。</explain>
      <paraID>10B86985</paraID>
      <start>97</start>
      <end>98</end>
      <status>ignored</status>
      <modifiedWord/>
      <trackRevisions>false</trackRevisions>
    </reviewItem>
    <reviewItem>
      <errorID>93b0248a-c7f6-483e-95d0-9638b3d6def8</errorID>
      <errorWord>、</errorWord>
      <group>L1_Punc</group>
      <groupName>标点问题</groupName>
      <ability>L2_Punc_CN</ability>
      <abilityName>标点符号问题</abilityName>
      <candidateList>
        <item>.</item>
      </candidateList>
      <explain/>
      <paraID>7B4A18F0</paraID>
      <start>1</start>
      <end>2</end>
      <status>ignored</status>
      <modifiedWord/>
      <trackRevisions>false</trackRevisions>
    </reviewItem>
    <reviewItem>
      <errorID>c538a0f6-4844-43b0-82a2-f2805a5e70a4</errorID>
      <errorWord>&gt;</errorWord>
      <group>L1_Punc</group>
      <groupName>标点问题</groupName>
      <ability>L2_Punc_CN</ability>
      <abilityName>标点符号问题</abilityName>
      <candidateList/>
      <explain/>
      <paraID>1B406B93</paraID>
      <start>0</start>
      <end>1</end>
      <status>ignored</status>
      <modifiedWord/>
      <trackRevisions>false</trackRevisions>
    </reviewItem>
    <reviewItem>
      <errorID>9dd6d133-9d8c-4d42-ac17-6fc583012875</errorID>
      <errorWord>&gt;</errorWord>
      <group>L1_Punc</group>
      <groupName>标点问题</groupName>
      <ability>L2_Punc_CN</ability>
      <abilityName>标点符号问题</abilityName>
      <candidateList/>
      <explain/>
      <paraID>1AC4B4CE</paraID>
      <start>0</start>
      <end>1</end>
      <status>ignored</status>
      <modifiedWord/>
      <trackRevisions>false</trackRevisions>
    </reviewItem>
    <reviewItem>
      <errorID>65783082-930d-498c-9f17-46c90e0092ba</errorID>
      <errorWord>（</errorWord>
      <group>L1_Format</group>
      <groupName>格式问题</groupName>
      <ability>L2_HalfPunc_CN</ability>
      <abilityName>全半角问题</abilityName>
      <candidateList>
        <item>(</item>
      </candidateList>
      <explain>文本全半角错误。</explain>
      <paraID>7AED7F9F</paraID>
      <start>0</start>
      <end>1</end>
      <status>ignored</status>
      <modifiedWord/>
      <trackRevisions>false</trackRevisions>
    </reviewItem>
    <reviewItem>
      <errorID>30cf6fa1-128c-4082-88ad-e3e7b3664239</errorID>
      <errorWord>～</errorWord>
      <group>L1_Format</group>
      <groupName>格式问题</groupName>
      <ability>L2_HalfPunc_CN</ability>
      <abilityName>全半角问题</abilityName>
      <candidateList>
        <item>~</item>
      </candidateList>
      <explain>文本全半角错误。</explain>
      <paraID>7AED7F9F</paraID>
      <start>5</start>
      <end>6</end>
      <status>ignored</status>
      <modifiedWord/>
      <trackRevisions>false</trackRevisions>
    </reviewItem>
    <reviewItem>
      <errorID>78a0e110-d0cc-4754-a076-4cc943cbb322</errorID>
      <errorWord>）</errorWord>
      <group>L1_Format</group>
      <groupName>格式问题</groupName>
      <ability>L2_HalfPunc_CN</ability>
      <abilityName>全半角问题</abilityName>
      <candidateList>
        <item>)</item>
      </candidateList>
      <explain>文本全半角错误。</explain>
      <paraID>7AED7F9F</paraID>
      <start>9</start>
      <end>10</end>
      <status>ignored</status>
      <modifiedWord/>
      <trackRevisions>false</trackRevisions>
    </reviewItem>
    <reviewItem>
      <errorID>81481763-cf18-41d8-8e93-b987d52c3284</errorID>
      <errorWord>～</errorWord>
      <group>L1_Format</group>
      <groupName>格式问题</groupName>
      <ability>L2_HalfPunc_CN</ability>
      <abilityName>全半角问题</abilityName>
      <candidateList>
        <item>~</item>
      </candidateList>
      <explain>文本全半角错误。</explain>
      <paraID>6E5652C1</paraID>
      <start>3</start>
      <end>4</end>
      <status>ignored</status>
      <modifiedWord/>
      <trackRevisions>false</trackRevisions>
    </reviewItem>
    <reviewItem>
      <errorID>0b1be02e-b661-48f4-89a2-59744dd7b517</errorID>
      <errorWord>～</errorWord>
      <group>L1_Format</group>
      <groupName>格式问题</groupName>
      <ability>L2_HalfPunc_CN</ability>
      <abilityName>全半角问题</abilityName>
      <candidateList>
        <item>~</item>
      </candidateList>
      <explain>文本全半角错误。</explain>
      <paraID>12655166</paraID>
      <start>2</start>
      <end>3</end>
      <status>ignored</status>
      <modifiedWord/>
      <trackRevisions>false</trackRevisions>
    </reviewItem>
    <reviewItem>
      <errorID>afe25d1e-da9b-4026-bb9d-f3a6f36fb062</errorID>
      <errorWord>基体</errorWord>
      <group>L1_Word</group>
      <groupName>字词问题</groupName>
      <ability>L2_Typo</ability>
      <abilityName>字词错误</abilityName>
      <candidateList>
        <item>具体</item>
      </candidateList>
      <explain>存在发音相近字词的误用。</explain>
      <paraID>70E5BD69</paraID>
      <start>15</start>
      <end>17</end>
      <status>ignored</status>
      <modifiedWord/>
      <trackRevisions>false</trackRevisions>
    </reviewItem>
    <reviewItem>
      <errorID>588f8352-168c-46ef-9b82-f64d6165f3f1</errorID>
      <errorWord>(</errorWord>
      <group>L1_Format</group>
      <groupName>格式问题</groupName>
      <ability>L2_HalfPunc_CN</ability>
      <abilityName>全半角问题</abilityName>
      <candidateList>
        <item>（</item>
      </candidateList>
      <explain>文本全半角错误。</explain>
      <paraID> 2BFA6E9</paraID>
      <start>252</start>
      <end>253</end>
      <status>modified</status>
      <modifiedWord>（</modifiedWord>
      <trackRevisions>false</trackRevisions>
    </reviewItem>
    <reviewItem>
      <errorID>4c8f4ce2-67ea-42a0-b60e-ade9cbcd1221</errorID>
      <errorWord>)</errorWord>
      <group>L1_Format</group>
      <groupName>格式问题</groupName>
      <ability>L2_HalfPunc_CN</ability>
      <abilityName>全半角问题</abilityName>
      <candidateList>
        <item>）</item>
      </candidateList>
      <explain>文本全半角错误。</explain>
      <paraID> 2BFA6E9</paraID>
      <start>254</start>
      <end>255</end>
      <status>modified</status>
      <modifiedWord>）</modifiedWord>
      <trackRevisions>false</trackRevisions>
    </reviewItem>
    <reviewItem>
      <errorID>d0680525-b699-4767-8950-3f8a56b4ffab</errorID>
      <errorWord>法律、法规</errorWord>
      <group>L1_Word</group>
      <groupName>字词问题</groupName>
      <ability>L2_Typo</ability>
      <abilityName>字词错误</abilityName>
      <candidateList>
        <item>法律法规</item>
      </candidateList>
      <explain/>
      <paraID>6AED42D6</paraID>
      <start>8</start>
      <end>13</end>
      <status>ignored</status>
      <modifiedWord/>
      <trackRevisions>false</trackRevisions>
    </reviewItem>
    <reviewItem>
      <errorID>14d00a4f-46c3-414e-82c7-e91575bb79f4</errorID>
      <errorWord>法律、法规</errorWord>
      <group>L1_Word</group>
      <groupName>字词问题</groupName>
      <ability>L2_Typo</ability>
      <abilityName>字词错误</abilityName>
      <candidateList>
        <item>法律法规</item>
      </candidateList>
      <explain/>
      <paraID>2B29FE02</paraID>
      <start>62</start>
      <end>67</end>
      <status>ignored</status>
      <modifiedWord/>
      <trackRevisions>false</trackRevisions>
    </reviewItem>
    <reviewItem>
      <errorID>70f45df5-437d-4e1d-b1cc-4c0b4396ac43</errorID>
      <errorWord>加强</errorWord>
      <group>L1_Grammar</group>
      <groupName>语法问题</groupName>
      <ability>L2_Grammar</ability>
      <abilityName>语法错误</abilityName>
      <candidateList>
        <item>加大</item>
      </candidateList>
      <explain>“加强～力度”搭配不当，建议修改为“加大～力度”。</explain>
      <paraID>1A432E39</paraID>
      <start>32</start>
      <end>34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856207-3DD0-4153-9C8F-0D63332378C2}">
  <ds:schemaRefs/>
</ds:datastoreItem>
</file>

<file path=customXml/itemProps3.xml><?xml version="1.0" encoding="utf-8"?>
<ds:datastoreItem xmlns:ds="http://schemas.openxmlformats.org/officeDocument/2006/customXml" ds:itemID="{75aa6eb9-f24e-47a9-92c9-c2249ad117ac}">
  <ds:schemaRefs/>
</ds:datastoreItem>
</file>

<file path=docProps/app.xml><?xml version="1.0" encoding="utf-8"?>
<Properties xmlns="http://schemas.openxmlformats.org/officeDocument/2006/extended-properties" xmlns:vt="http://schemas.openxmlformats.org/officeDocument/2006/docPropsVTypes">
  <Template>国家行业标准编制说明模板</Template>
  <Company>Microsoft</Company>
  <Pages>17</Pages>
  <Words>8258</Words>
  <Characters>8712</Characters>
  <Lines>40</Lines>
  <Paragraphs>11</Paragraphs>
  <TotalTime>3</TotalTime>
  <ScaleCrop>false</ScaleCrop>
  <LinksUpToDate>false</LinksUpToDate>
  <CharactersWithSpaces>8759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2022-01-09T10:10:00Z</dcterms:created>
  <dc:creator>标准李瑞山9585</dc:creator>
  <cp:lastModifiedBy>刘光辉</cp:lastModifiedBy>
  <cp:lastPrinted>2016-10-20T04:13:00Z</cp:lastPrinted>
  <dcterms:modified xsi:type="dcterms:W3CDTF">2026-09-08T10:53:06Z</dcterms:modified>
  <dc:title>标准名称</dc:title>
  <cp:revision>159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46186F3E61A04B72AED8A39146ACE104_13</vt:lpwstr>
  </property>
  <property fmtid="{D5CDD505-2E9C-101B-9397-08002B2CF9AE}" pid="4" name="KSOTemplateDocerSaveRecord">
    <vt:lpwstr>eyJoZGlkIjoiMGRkN2IwODA0MjRiMDcxZDYyOGY4ZTA1OTUyZGZhMTgiLCJ1c2VySWQiOiI0NTU4OTU5NjUifQ==</vt:lpwstr>
  </property>
</Properties>
</file>