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43817">
      <w:pPr>
        <w:pStyle w:val="98"/>
        <w:rPr>
          <w:rFonts w:eastAsiaTheme="minorEastAsia"/>
          <w:sz w:val="21"/>
          <w:szCs w:val="21"/>
        </w:rPr>
      </w:pPr>
      <w:bookmarkStart w:id="0" w:name="SectionMark0"/>
      <w:bookmarkStart w:id="1" w:name="SectionMark4"/>
      <w:r>
        <w:rPr>
          <w:rFonts w:eastAsiaTheme="minorEastAsia"/>
          <w:sz w:val="21"/>
          <w:szCs w:val="21"/>
        </w:rPr>
        <mc:AlternateContent>
          <mc:Choice Requires="wps">
            <w:drawing>
              <wp:anchor distT="0" distB="0" distL="114300" distR="114300" simplePos="0" relativeHeight="251659264" behindDoc="0" locked="1" layoutInCell="1" allowOverlap="1">
                <wp:simplePos x="0" y="0"/>
                <wp:positionH relativeFrom="margin">
                  <wp:posOffset>-8255</wp:posOffset>
                </wp:positionH>
                <wp:positionV relativeFrom="margin">
                  <wp:posOffset>7177405</wp:posOffset>
                </wp:positionV>
                <wp:extent cx="6120130" cy="1544320"/>
                <wp:effectExtent l="0" t="0" r="13970" b="17780"/>
                <wp:wrapNone/>
                <wp:docPr id="1" name="fmFrame7"/>
                <wp:cNvGraphicFramePr/>
                <a:graphic xmlns:a="http://schemas.openxmlformats.org/drawingml/2006/main">
                  <a:graphicData uri="http://schemas.microsoft.com/office/word/2010/wordprocessingShape">
                    <wps:wsp>
                      <wps:cNvSpPr/>
                      <wps:spPr>
                        <a:xfrm>
                          <a:off x="0" y="0"/>
                          <a:ext cx="6120130" cy="1544320"/>
                        </a:xfrm>
                        <a:prstGeom prst="rect">
                          <a:avLst/>
                        </a:prstGeom>
                        <a:solidFill>
                          <a:srgbClr val="FFFFFF"/>
                        </a:solidFill>
                        <a:ln>
                          <a:noFill/>
                        </a:ln>
                      </wps:spPr>
                      <wps:txbx>
                        <w:txbxContent>
                          <w:p w14:paraId="61377E87">
                            <w:pPr>
                              <w:pStyle w:val="75"/>
                              <w:rPr>
                                <w:rFonts w:ascii="宋体" w:hAnsi="宋体" w:eastAsia="宋体" w:cs="宋体"/>
                                <w:spacing w:val="58"/>
                                <w:w w:val="120"/>
                                <w:kern w:val="2"/>
                                <w:sz w:val="28"/>
                                <w:szCs w:val="28"/>
                              </w:rPr>
                            </w:pPr>
                          </w:p>
                          <w:p w14:paraId="35BB47DE">
                            <w:pPr>
                              <w:jc w:val="center"/>
                              <w:rPr>
                                <w:rFonts w:ascii="宋体" w:hAnsi="宋体" w:cs="宋体"/>
                                <w:sz w:val="28"/>
                                <w:szCs w:val="28"/>
                              </w:rPr>
                            </w:pPr>
                            <w:r>
                              <w:rPr>
                                <w:rFonts w:hint="eastAsia" w:ascii="宋体" w:hAnsi="宋体" w:cs="宋体"/>
                                <w:spacing w:val="58"/>
                                <w:w w:val="120"/>
                                <w:sz w:val="28"/>
                                <w:szCs w:val="28"/>
                              </w:rPr>
                              <w:t>脉冲回波式超声检测系统校准规范编制组</w:t>
                            </w:r>
                          </w:p>
                          <w:p w14:paraId="16647200">
                            <w:pPr>
                              <w:pStyle w:val="114"/>
                              <w:rPr>
                                <w:rFonts w:ascii="宋体" w:hAnsi="宋体" w:eastAsia="宋体" w:cs="宋体"/>
                                <w:sz w:val="28"/>
                                <w:szCs w:val="28"/>
                              </w:rPr>
                            </w:pPr>
                            <w:r>
                              <w:rPr>
                                <w:rFonts w:hint="eastAsia" w:ascii="宋体" w:hAnsi="宋体" w:eastAsia="宋体" w:cs="宋体"/>
                                <w:sz w:val="28"/>
                                <w:szCs w:val="28"/>
                              </w:rPr>
                              <w:t>主编单位：西安汉唐分析检测有限公司</w:t>
                            </w:r>
                          </w:p>
                        </w:txbxContent>
                      </wps:txbx>
                      <wps:bodyPr lIns="0" tIns="0" rIns="0" bIns="0" upright="1"/>
                    </wps:wsp>
                  </a:graphicData>
                </a:graphic>
              </wp:anchor>
            </w:drawing>
          </mc:Choice>
          <mc:Fallback>
            <w:pict>
              <v:rect id="fmFrame7" o:spid="_x0000_s1026" o:spt="1" style="position:absolute;left:0pt;margin-left:-0.65pt;margin-top:565.15pt;height:121.6pt;width:481.9pt;mso-position-horizontal-relative:margin;mso-position-vertical-relative:margin;z-index:251659264;mso-width-relative:page;mso-height-relative:page;" fillcolor="#FFFFFF" filled="t" stroked="f" coordsize="21600,21600" o:gfxdata="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NJrfrYAAAADAEAAA8AAAAAAAAAAQAgAAAAIgAAAGRycy9kb3ducmV2LnhtbFBLAQIU&#10;ABQAAAAIAIdO4kBYM7RfugEAAI8DAAAOAAAAAAAAAAEAIAAAACcBAABkcnMvZTJvRG9jLnhtbFBL&#10;BQYAAAAABgAGAFkBAABTBQAAAAA=&#10;">
                <v:fill on="t" focussize="0,0"/>
                <v:stroke on="f"/>
                <v:imagedata o:title=""/>
                <o:lock v:ext="edit" aspectratio="f"/>
                <v:textbox inset="0mm,0mm,0mm,0mm">
                  <w:txbxContent>
                    <w:p w14:paraId="61377E87">
                      <w:pPr>
                        <w:pStyle w:val="75"/>
                        <w:rPr>
                          <w:rFonts w:ascii="宋体" w:hAnsi="宋体" w:eastAsia="宋体" w:cs="宋体"/>
                          <w:spacing w:val="58"/>
                          <w:w w:val="120"/>
                          <w:kern w:val="2"/>
                          <w:sz w:val="28"/>
                          <w:szCs w:val="28"/>
                        </w:rPr>
                      </w:pPr>
                    </w:p>
                    <w:p w14:paraId="35BB47DE">
                      <w:pPr>
                        <w:jc w:val="center"/>
                        <w:rPr>
                          <w:rFonts w:ascii="宋体" w:hAnsi="宋体" w:cs="宋体"/>
                          <w:sz w:val="28"/>
                          <w:szCs w:val="28"/>
                        </w:rPr>
                      </w:pPr>
                      <w:r>
                        <w:rPr>
                          <w:rFonts w:hint="eastAsia" w:ascii="宋体" w:hAnsi="宋体" w:cs="宋体"/>
                          <w:spacing w:val="58"/>
                          <w:w w:val="120"/>
                          <w:sz w:val="28"/>
                          <w:szCs w:val="28"/>
                        </w:rPr>
                        <w:t>脉冲回波式超声检测系统校准规范编制组</w:t>
                      </w:r>
                    </w:p>
                    <w:p w14:paraId="16647200">
                      <w:pPr>
                        <w:pStyle w:val="114"/>
                        <w:rPr>
                          <w:rFonts w:ascii="宋体" w:hAnsi="宋体" w:eastAsia="宋体" w:cs="宋体"/>
                          <w:sz w:val="28"/>
                          <w:szCs w:val="28"/>
                        </w:rPr>
                      </w:pPr>
                      <w:r>
                        <w:rPr>
                          <w:rFonts w:hint="eastAsia" w:ascii="宋体" w:hAnsi="宋体" w:eastAsia="宋体" w:cs="宋体"/>
                          <w:sz w:val="28"/>
                          <w:szCs w:val="28"/>
                        </w:rPr>
                        <w:t>主编单位：西安汉唐分析检测有限公司</w:t>
                      </w:r>
                    </w:p>
                  </w:txbxContent>
                </v:textbox>
                <w10:anchorlock/>
              </v:rect>
            </w:pict>
          </mc:Fallback>
        </mc:AlternateContent>
      </w:r>
      <w:r>
        <w:rPr>
          <w:rFonts w:eastAsiaTheme="minorEastAsia"/>
          <w:sz w:val="21"/>
          <w:szCs w:val="21"/>
        </w:rPr>
        <mc:AlternateContent>
          <mc:Choice Requires="wps">
            <w:drawing>
              <wp:anchor distT="0" distB="0" distL="114300" distR="114300" simplePos="0" relativeHeight="251660288" behindDoc="0" locked="1" layoutInCell="1" allowOverlap="1">
                <wp:simplePos x="0" y="0"/>
                <wp:positionH relativeFrom="margin">
                  <wp:posOffset>1270</wp:posOffset>
                </wp:positionH>
                <wp:positionV relativeFrom="margin">
                  <wp:posOffset>4467225</wp:posOffset>
                </wp:positionV>
                <wp:extent cx="5969000" cy="1779270"/>
                <wp:effectExtent l="0" t="0" r="12700" b="11430"/>
                <wp:wrapNone/>
                <wp:docPr id="2" name="文本框 5"/>
                <wp:cNvGraphicFramePr/>
                <a:graphic xmlns:a="http://schemas.openxmlformats.org/drawingml/2006/main">
                  <a:graphicData uri="http://schemas.microsoft.com/office/word/2010/wordprocessingShape">
                    <wps:wsp>
                      <wps:cNvSpPr/>
                      <wps:spPr>
                        <a:xfrm>
                          <a:off x="0" y="0"/>
                          <a:ext cx="5969000" cy="1779270"/>
                        </a:xfrm>
                        <a:prstGeom prst="rect">
                          <a:avLst/>
                        </a:prstGeom>
                        <a:solidFill>
                          <a:srgbClr val="FFFFFF"/>
                        </a:solidFill>
                        <a:ln>
                          <a:noFill/>
                        </a:ln>
                      </wps:spPr>
                      <wps:txbx>
                        <w:txbxContent>
                          <w:p w14:paraId="2AC5E93D">
                            <w:pPr>
                              <w:pStyle w:val="67"/>
                              <w:spacing w:before="600"/>
                              <w:rPr>
                                <w:rFonts w:ascii="黑体" w:hAnsi="黑体" w:eastAsia="黑体"/>
                                <w:sz w:val="36"/>
                                <w:szCs w:val="36"/>
                              </w:rPr>
                            </w:pPr>
                            <w:r>
                              <w:rPr>
                                <w:rFonts w:hint="eastAsia" w:ascii="黑体" w:hAnsi="黑体" w:eastAsia="黑体"/>
                                <w:sz w:val="36"/>
                                <w:szCs w:val="36"/>
                              </w:rPr>
                              <w:t xml:space="preserve"> </w:t>
                            </w:r>
                            <w:r>
                              <w:rPr>
                                <w:rFonts w:hint="eastAsia" w:ascii="黑体" w:hAnsi="黑体" w:eastAsia="黑体"/>
                                <w:sz w:val="36"/>
                                <w:szCs w:val="36"/>
                                <w:lang w:val="en-US" w:eastAsia="zh-CN"/>
                              </w:rPr>
                              <w:t>预审</w:t>
                            </w:r>
                            <w:r>
                              <w:rPr>
                                <w:rFonts w:hint="eastAsia" w:ascii="黑体" w:hAnsi="黑体" w:eastAsia="黑体"/>
                                <w:sz w:val="36"/>
                                <w:szCs w:val="36"/>
                              </w:rPr>
                              <w:t>稿</w:t>
                            </w:r>
                          </w:p>
                          <w:p w14:paraId="3BA2F1F2">
                            <w:pPr>
                              <w:pStyle w:val="67"/>
                              <w:spacing w:before="600"/>
                              <w:rPr>
                                <w:rFonts w:hint="eastAsia" w:ascii="黑体" w:hAnsi="黑体" w:eastAsia="黑体"/>
                                <w:sz w:val="36"/>
                                <w:szCs w:val="36"/>
                                <w:lang w:val="en-US" w:eastAsia="zh-CN"/>
                              </w:rPr>
                            </w:pPr>
                            <w:r>
                              <w:rPr>
                                <w:rFonts w:hint="eastAsia" w:ascii="黑体" w:hAnsi="黑体" w:eastAsia="黑体"/>
                                <w:sz w:val="36"/>
                                <w:szCs w:val="36"/>
                              </w:rPr>
                              <w:t xml:space="preserve">  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-0</w:t>
                            </w:r>
                            <w:r>
                              <w:rPr>
                                <w:rFonts w:hint="eastAsia" w:ascii="黑体" w:hAnsi="黑体" w:eastAsia="黑体"/>
                                <w:sz w:val="36"/>
                                <w:szCs w:val="36"/>
                                <w:lang w:val="en-US" w:eastAsia="zh-CN"/>
                              </w:rPr>
                              <w:t>9</w:t>
                            </w:r>
                          </w:p>
                          <w:p w14:paraId="50D548C8"/>
                        </w:txbxContent>
                      </wps:txbx>
                      <wps:bodyPr lIns="0" tIns="0" rIns="0" bIns="0" upright="1"/>
                    </wps:wsp>
                  </a:graphicData>
                </a:graphic>
              </wp:anchor>
            </w:drawing>
          </mc:Choice>
          <mc:Fallback>
            <w:pict>
              <v:rect id="文本框 5" o:spid="_x0000_s1026" o:spt="1" style="position:absolute;left:0pt;margin-left:0.1pt;margin-top:351.75pt;height:140.1pt;width:470pt;mso-position-horizontal-relative:margin;mso-position-vertical-relative:margin;z-index:251660288;mso-width-relative:page;mso-height-relative:page;" fillcolor="#FFFFFF" filled="t" stroked="f" coordsize="21600,21600" o:gfxdata="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qzjsNUAAAAIAQAADwAAAAAAAAABACAAAAAiAAAAZHJzL2Rv&#10;d25yZXYueG1sUEsBAhQAFAAAAAgAh07iQDE7zCDLAQAAkgMAAA4AAAAAAAAAAQAgAAAAJAEAAGRy&#10;cy9lMm9Eb2MueG1sUEsFBgAAAAAGAAYAWQEAAGEFAAAAAA==&#10;">
                <v:fill on="t" focussize="0,0"/>
                <v:stroke on="f"/>
                <v:imagedata o:title=""/>
                <o:lock v:ext="edit" aspectratio="f"/>
                <v:textbox inset="0mm,0mm,0mm,0mm">
                  <w:txbxContent>
                    <w:p w14:paraId="2AC5E93D">
                      <w:pPr>
                        <w:pStyle w:val="67"/>
                        <w:spacing w:before="600"/>
                        <w:rPr>
                          <w:rFonts w:ascii="黑体" w:hAnsi="黑体" w:eastAsia="黑体"/>
                          <w:sz w:val="36"/>
                          <w:szCs w:val="36"/>
                        </w:rPr>
                      </w:pPr>
                      <w:r>
                        <w:rPr>
                          <w:rFonts w:hint="eastAsia" w:ascii="黑体" w:hAnsi="黑体" w:eastAsia="黑体"/>
                          <w:sz w:val="36"/>
                          <w:szCs w:val="36"/>
                        </w:rPr>
                        <w:t xml:space="preserve"> </w:t>
                      </w:r>
                      <w:r>
                        <w:rPr>
                          <w:rFonts w:hint="eastAsia" w:ascii="黑体" w:hAnsi="黑体" w:eastAsia="黑体"/>
                          <w:sz w:val="36"/>
                          <w:szCs w:val="36"/>
                          <w:lang w:val="en-US" w:eastAsia="zh-CN"/>
                        </w:rPr>
                        <w:t>预审</w:t>
                      </w:r>
                      <w:r>
                        <w:rPr>
                          <w:rFonts w:hint="eastAsia" w:ascii="黑体" w:hAnsi="黑体" w:eastAsia="黑体"/>
                          <w:sz w:val="36"/>
                          <w:szCs w:val="36"/>
                        </w:rPr>
                        <w:t>稿</w:t>
                      </w:r>
                    </w:p>
                    <w:p w14:paraId="3BA2F1F2">
                      <w:pPr>
                        <w:pStyle w:val="67"/>
                        <w:spacing w:before="600"/>
                        <w:rPr>
                          <w:rFonts w:hint="eastAsia" w:ascii="黑体" w:hAnsi="黑体" w:eastAsia="黑体"/>
                          <w:sz w:val="36"/>
                          <w:szCs w:val="36"/>
                          <w:lang w:val="en-US" w:eastAsia="zh-CN"/>
                        </w:rPr>
                      </w:pPr>
                      <w:r>
                        <w:rPr>
                          <w:rFonts w:hint="eastAsia" w:ascii="黑体" w:hAnsi="黑体" w:eastAsia="黑体"/>
                          <w:sz w:val="36"/>
                          <w:szCs w:val="36"/>
                        </w:rPr>
                        <w:t xml:space="preserve">  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-0</w:t>
                      </w:r>
                      <w:r>
                        <w:rPr>
                          <w:rFonts w:hint="eastAsia" w:ascii="黑体" w:hAnsi="黑体" w:eastAsia="黑体"/>
                          <w:sz w:val="36"/>
                          <w:szCs w:val="36"/>
                          <w:lang w:val="en-US" w:eastAsia="zh-CN"/>
                        </w:rPr>
                        <w:t>9</w:t>
                      </w:r>
                    </w:p>
                    <w:p w14:paraId="50D548C8"/>
                  </w:txbxContent>
                </v:textbox>
                <w10:anchorlock/>
              </v:rect>
            </w:pict>
          </mc:Fallback>
        </mc:AlternateContent>
      </w:r>
      <w:r>
        <w:rPr>
          <w:rFonts w:eastAsiaTheme="minorEastAsia"/>
          <w:sz w:val="21"/>
          <w:szCs w:val="21"/>
        </w:rPr>
        <mc:AlternateContent>
          <mc:Choice Requires="wps">
            <w:drawing>
              <wp:anchor distT="0" distB="0" distL="114300" distR="114300" simplePos="0" relativeHeight="251661312" behindDoc="0" locked="1" layoutInCell="1" allowOverlap="1">
                <wp:simplePos x="0" y="0"/>
                <wp:positionH relativeFrom="margin">
                  <wp:posOffset>152400</wp:posOffset>
                </wp:positionH>
                <wp:positionV relativeFrom="margin">
                  <wp:posOffset>1163320</wp:posOffset>
                </wp:positionV>
                <wp:extent cx="6120130" cy="2383790"/>
                <wp:effectExtent l="0" t="0" r="13970" b="16510"/>
                <wp:wrapNone/>
                <wp:docPr id="3" name="文本框 4"/>
                <wp:cNvGraphicFramePr/>
                <a:graphic xmlns:a="http://schemas.openxmlformats.org/drawingml/2006/main">
                  <a:graphicData uri="http://schemas.microsoft.com/office/word/2010/wordprocessingShape">
                    <wps:wsp>
                      <wps:cNvSpPr/>
                      <wps:spPr>
                        <a:xfrm>
                          <a:off x="0" y="0"/>
                          <a:ext cx="6120130" cy="2383790"/>
                        </a:xfrm>
                        <a:prstGeom prst="rect">
                          <a:avLst/>
                        </a:prstGeom>
                        <a:solidFill>
                          <a:srgbClr val="FFFFFF"/>
                        </a:solidFill>
                        <a:ln>
                          <a:noFill/>
                        </a:ln>
                      </wps:spPr>
                      <wps:txbx>
                        <w:txbxContent>
                          <w:p w14:paraId="7857C2CE">
                            <w:pPr>
                              <w:pStyle w:val="75"/>
                              <w:rPr>
                                <w:rFonts w:hAnsi="黑体" w:cs="黑体"/>
                                <w:sz w:val="44"/>
                                <w:szCs w:val="44"/>
                              </w:rPr>
                            </w:pPr>
                            <w:bookmarkStart w:id="86" w:name="_Hlk23687263"/>
                            <w:r>
                              <w:rPr>
                                <w:rFonts w:hint="eastAsia" w:hAnsi="黑体" w:cs="黑体"/>
                                <w:sz w:val="44"/>
                                <w:szCs w:val="44"/>
                              </w:rPr>
                              <w:t xml:space="preserve"> JJF（有色金属）</w:t>
                            </w:r>
                            <w:r>
                              <w:rPr>
                                <w:rFonts w:hAnsi="黑体" w:cs="黑体"/>
                                <w:sz w:val="44"/>
                                <w:szCs w:val="44"/>
                              </w:rPr>
                              <w:t>XXXX</w:t>
                            </w:r>
                            <w:r>
                              <w:rPr>
                                <w:rFonts w:hint="eastAsia" w:hAnsi="黑体" w:cs="黑体"/>
                                <w:sz w:val="44"/>
                                <w:szCs w:val="44"/>
                              </w:rPr>
                              <w:t>—</w:t>
                            </w:r>
                            <w:r>
                              <w:rPr>
                                <w:rFonts w:hAnsi="黑体" w:cs="黑体"/>
                                <w:sz w:val="44"/>
                                <w:szCs w:val="44"/>
                              </w:rPr>
                              <w:t>XXXX</w:t>
                            </w:r>
                          </w:p>
                          <w:bookmarkEnd w:id="86"/>
                          <w:p w14:paraId="21260588">
                            <w:pPr>
                              <w:pStyle w:val="75"/>
                              <w:rPr>
                                <w:rFonts w:hAnsi="黑体" w:cs="黑体"/>
                                <w:szCs w:val="52"/>
                              </w:rPr>
                            </w:pPr>
                            <w:r>
                              <w:rPr>
                                <w:rFonts w:hint="eastAsia" w:hAnsi="黑体" w:cs="黑体"/>
                                <w:szCs w:val="52"/>
                              </w:rPr>
                              <w:t>脉冲回波式超声检测系统校准规范</w:t>
                            </w:r>
                          </w:p>
                          <w:p w14:paraId="28A810BD">
                            <w:pPr>
                              <w:jc w:val="center"/>
                              <w:rPr>
                                <w:rFonts w:ascii="黑体" w:hAnsi="黑体" w:eastAsia="黑体" w:cs="黑体"/>
                                <w:sz w:val="44"/>
                                <w:szCs w:val="44"/>
                              </w:rPr>
                            </w:pPr>
                            <w:r>
                              <w:rPr>
                                <w:rFonts w:hint="eastAsia" w:ascii="黑体" w:hAnsi="黑体" w:eastAsia="黑体" w:cs="黑体"/>
                                <w:sz w:val="44"/>
                                <w:szCs w:val="44"/>
                              </w:rPr>
                              <w:t>(编制说明)</w:t>
                            </w:r>
                          </w:p>
                          <w:p w14:paraId="73AE97EC"/>
                        </w:txbxContent>
                      </wps:txbx>
                      <wps:bodyPr lIns="0" tIns="0" rIns="0" bIns="0" upright="1"/>
                    </wps:wsp>
                  </a:graphicData>
                </a:graphic>
              </wp:anchor>
            </w:drawing>
          </mc:Choice>
          <mc:Fallback>
            <w:pict>
              <v:rect id="文本框 4" o:spid="_x0000_s1026" o:spt="1" style="position:absolute;left:0pt;margin-left:12pt;margin-top:91.6pt;height:187.7pt;width:481.9pt;mso-position-horizontal-relative:margin;mso-position-vertical-relative:margin;z-index:251661312;mso-width-relative:page;mso-height-relative:page;" fillcolor="#FFFFFF" filled="t" stroked="f" coordsize="21600,21600" o:gfxdata="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ZkYo31wAAAAoBAAAPAAAAAAAAAAEAIAAAACIAAABkcnMv&#10;ZG93bnJldi54bWxQSwECFAAUAAAACACHTuJAY/5bKMsBAACSAwAADgAAAAAAAAABACAAAAAmAQAA&#10;ZHJzL2Uyb0RvYy54bWxQSwUGAAAAAAYABgBZAQAAYwUAAAAA&#10;">
                <v:fill on="t" focussize="0,0"/>
                <v:stroke on="f"/>
                <v:imagedata o:title=""/>
                <o:lock v:ext="edit" aspectratio="f"/>
                <v:textbox inset="0mm,0mm,0mm,0mm">
                  <w:txbxContent>
                    <w:p w14:paraId="7857C2CE">
                      <w:pPr>
                        <w:pStyle w:val="75"/>
                        <w:rPr>
                          <w:rFonts w:hAnsi="黑体" w:cs="黑体"/>
                          <w:sz w:val="44"/>
                          <w:szCs w:val="44"/>
                        </w:rPr>
                      </w:pPr>
                      <w:bookmarkStart w:id="86" w:name="_Hlk23687263"/>
                      <w:r>
                        <w:rPr>
                          <w:rFonts w:hint="eastAsia" w:hAnsi="黑体" w:cs="黑体"/>
                          <w:sz w:val="44"/>
                          <w:szCs w:val="44"/>
                        </w:rPr>
                        <w:t xml:space="preserve"> JJF（有色金属）</w:t>
                      </w:r>
                      <w:r>
                        <w:rPr>
                          <w:rFonts w:hAnsi="黑体" w:cs="黑体"/>
                          <w:sz w:val="44"/>
                          <w:szCs w:val="44"/>
                        </w:rPr>
                        <w:t>XXXX</w:t>
                      </w:r>
                      <w:r>
                        <w:rPr>
                          <w:rFonts w:hint="eastAsia" w:hAnsi="黑体" w:cs="黑体"/>
                          <w:sz w:val="44"/>
                          <w:szCs w:val="44"/>
                        </w:rPr>
                        <w:t>—</w:t>
                      </w:r>
                      <w:r>
                        <w:rPr>
                          <w:rFonts w:hAnsi="黑体" w:cs="黑体"/>
                          <w:sz w:val="44"/>
                          <w:szCs w:val="44"/>
                        </w:rPr>
                        <w:t>XXXX</w:t>
                      </w:r>
                    </w:p>
                    <w:bookmarkEnd w:id="86"/>
                    <w:p w14:paraId="21260588">
                      <w:pPr>
                        <w:pStyle w:val="75"/>
                        <w:rPr>
                          <w:rFonts w:hAnsi="黑体" w:cs="黑体"/>
                          <w:szCs w:val="52"/>
                        </w:rPr>
                      </w:pPr>
                      <w:r>
                        <w:rPr>
                          <w:rFonts w:hint="eastAsia" w:hAnsi="黑体" w:cs="黑体"/>
                          <w:szCs w:val="52"/>
                        </w:rPr>
                        <w:t>脉冲回波式超声检测系统校准规范</w:t>
                      </w:r>
                    </w:p>
                    <w:p w14:paraId="28A810BD">
                      <w:pPr>
                        <w:jc w:val="center"/>
                        <w:rPr>
                          <w:rFonts w:ascii="黑体" w:hAnsi="黑体" w:eastAsia="黑体" w:cs="黑体"/>
                          <w:sz w:val="44"/>
                          <w:szCs w:val="44"/>
                        </w:rPr>
                      </w:pPr>
                      <w:r>
                        <w:rPr>
                          <w:rFonts w:hint="eastAsia" w:ascii="黑体" w:hAnsi="黑体" w:eastAsia="黑体" w:cs="黑体"/>
                          <w:sz w:val="44"/>
                          <w:szCs w:val="44"/>
                        </w:rPr>
                        <w:t>(编制说明)</w:t>
                      </w:r>
                    </w:p>
                    <w:p w14:paraId="73AE97EC"/>
                  </w:txbxContent>
                </v:textbox>
                <w10:anchorlock/>
              </v:rect>
            </w:pict>
          </mc:Fallback>
        </mc:AlternateContent>
      </w:r>
      <w:bookmarkEnd w:id="0"/>
    </w:p>
    <w:p w14:paraId="1268A087">
      <w:pPr>
        <w:pStyle w:val="72"/>
        <w:numPr>
          <w:ilvl w:val="0"/>
          <w:numId w:val="0"/>
        </w:numPr>
        <w:ind w:left="840" w:hanging="420"/>
        <w:jc w:val="center"/>
        <w:rPr>
          <w:rFonts w:ascii="Times New Roman" w:eastAsiaTheme="minorEastAsia"/>
          <w:b/>
          <w:szCs w:val="21"/>
        </w:rPr>
      </w:pPr>
    </w:p>
    <w:p w14:paraId="47BC9B1F">
      <w:pPr>
        <w:pStyle w:val="58"/>
        <w:sectPr>
          <w:headerReference r:id="rId3" w:type="default"/>
          <w:footerReference r:id="rId5" w:type="default"/>
          <w:headerReference r:id="rId4" w:type="even"/>
          <w:footerReference r:id="rId6" w:type="even"/>
          <w:pgSz w:w="11907" w:h="16839"/>
          <w:pgMar w:top="1418" w:right="1134" w:bottom="1134" w:left="1418" w:header="1418" w:footer="851" w:gutter="0"/>
          <w:pgNumType w:fmt="upperRoman" w:start="1"/>
          <w:cols w:space="720" w:num="1"/>
          <w:docGrid w:type="linesAndChars" w:linePitch="312" w:charSpace="0"/>
        </w:sectPr>
      </w:pPr>
    </w:p>
    <w:p w14:paraId="6B0A1D7D">
      <w:pPr>
        <w:pStyle w:val="2"/>
        <w:spacing w:before="156" w:beforeLines="50" w:after="156" w:afterLines="50" w:line="240" w:lineRule="auto"/>
        <w:rPr>
          <w:rFonts w:eastAsia="黑体"/>
          <w:b w:val="0"/>
          <w:bCs w:val="0"/>
          <w:sz w:val="28"/>
        </w:rPr>
      </w:pPr>
      <w:bookmarkStart w:id="2" w:name="_Toc464728891"/>
      <w:r>
        <w:rPr>
          <w:rFonts w:eastAsia="黑体"/>
          <w:b w:val="0"/>
          <w:bCs w:val="0"/>
          <w:sz w:val="28"/>
        </w:rPr>
        <w:t>一、工作简况</w:t>
      </w:r>
      <w:bookmarkEnd w:id="2"/>
    </w:p>
    <w:p w14:paraId="7E1A26A3">
      <w:pPr>
        <w:pStyle w:val="3"/>
        <w:spacing w:before="156" w:beforeLines="50" w:after="156" w:afterLines="50" w:line="360" w:lineRule="auto"/>
        <w:rPr>
          <w:rFonts w:ascii="Times New Roman" w:hAnsi="Times New Roman"/>
          <w:b w:val="0"/>
          <w:bCs w:val="0"/>
          <w:sz w:val="24"/>
        </w:rPr>
      </w:pPr>
      <w:bookmarkStart w:id="3" w:name="_Toc456592524"/>
      <w:bookmarkStart w:id="4" w:name="_Toc464728892"/>
      <w:r>
        <w:rPr>
          <w:rFonts w:ascii="Times New Roman" w:hAnsi="Times New Roman"/>
          <w:b w:val="0"/>
          <w:bCs w:val="0"/>
          <w:sz w:val="24"/>
        </w:rPr>
        <w:t>1.立项目的</w:t>
      </w:r>
      <w:bookmarkEnd w:id="3"/>
      <w:bookmarkEnd w:id="4"/>
    </w:p>
    <w:p w14:paraId="2EA484ED">
      <w:pPr>
        <w:spacing w:line="400" w:lineRule="exact"/>
        <w:ind w:firstLine="420" w:firstLineChars="200"/>
        <w:rPr>
          <w:rFonts w:hint="default"/>
          <w:szCs w:val="21"/>
        </w:rPr>
      </w:pPr>
      <w:bookmarkStart w:id="5" w:name="_Toc464728896"/>
      <w:r>
        <w:rPr>
          <w:rFonts w:hint="default"/>
          <w:szCs w:val="21"/>
        </w:rPr>
        <w:t>脉冲回波式超声检测系统是有色金属材料无损检测、内部缺陷检测、产品质量控制的重要手段，广泛应用于航空、航天等领域。为了保证脉冲回波式超声检测系统工作时检测结果的准确性和可靠性，确保脉冲回波式超声检测系统处于良好的工作状态，需定期对脉冲回波式超声检测系统进行计量校准。</w:t>
      </w:r>
    </w:p>
    <w:p w14:paraId="33EB530C">
      <w:pPr>
        <w:spacing w:line="400" w:lineRule="exact"/>
        <w:ind w:firstLine="420" w:firstLineChars="200"/>
        <w:rPr>
          <w:rFonts w:hint="default"/>
          <w:szCs w:val="21"/>
        </w:rPr>
      </w:pPr>
      <w:r>
        <w:rPr>
          <w:rFonts w:hint="default"/>
          <w:szCs w:val="21"/>
        </w:rPr>
        <w:t>有色金属材料生产、加工过程中，产品内部缺陷数量是衡量产品质量的一项重要指标，脉冲回波式超声检测系统已经成为有色金属产业中对产品质量控制的重要手段，脉冲回波式超声检测系统的性能好坏决定了能否有效的对产品质量进行控制。对脉冲回波式超声检测系统进行计量校准，能够保证在进行产品探伤检测时准确的发现产品中的质量问题，对提高产品质量和提升整体产业链核心竞争力起着重要的支撑作用。</w:t>
      </w:r>
    </w:p>
    <w:p w14:paraId="02BE3353">
      <w:pPr>
        <w:pStyle w:val="3"/>
        <w:spacing w:before="156" w:beforeLines="50" w:after="156" w:afterLines="50" w:line="360" w:lineRule="auto"/>
        <w:rPr>
          <w:rFonts w:ascii="Times New Roman" w:hAnsi="Times New Roman"/>
          <w:b w:val="0"/>
          <w:bCs w:val="0"/>
          <w:sz w:val="24"/>
        </w:rPr>
      </w:pPr>
      <w:r>
        <w:rPr>
          <w:rFonts w:ascii="Times New Roman" w:hAnsi="Times New Roman"/>
          <w:b w:val="0"/>
          <w:bCs w:val="0"/>
          <w:sz w:val="24"/>
        </w:rPr>
        <w:t>2.任务来源</w:t>
      </w:r>
      <w:bookmarkEnd w:id="5"/>
    </w:p>
    <w:p w14:paraId="55C3B45E">
      <w:pPr>
        <w:spacing w:line="400" w:lineRule="exact"/>
        <w:ind w:firstLine="420" w:firstLineChars="200"/>
        <w:rPr>
          <w:szCs w:val="21"/>
        </w:rPr>
      </w:pPr>
      <w:r>
        <w:rPr>
          <w:rFonts w:hint="eastAsia"/>
          <w:szCs w:val="21"/>
        </w:rPr>
        <w:t>为保证</w:t>
      </w:r>
      <w:r>
        <w:rPr>
          <w:rFonts w:hint="eastAsia"/>
          <w:szCs w:val="21"/>
          <w:lang w:val="en-US" w:eastAsia="zh-CN"/>
        </w:rPr>
        <w:t>脉冲回波式超声检测系统</w:t>
      </w:r>
      <w:r>
        <w:rPr>
          <w:rFonts w:hint="eastAsia"/>
          <w:szCs w:val="21"/>
        </w:rPr>
        <w:t>的准确、可靠，适应我国有色金属行业的快速发展和满足国内外市场的需要，工业和信息化部以工信厅下达了根据工信部《工业和信息化部办公厅关于印发2024年行业计量技术规范制修订计划的通知》(工厅科〔202</w:t>
      </w:r>
      <w:r>
        <w:rPr>
          <w:rFonts w:hint="eastAsia"/>
          <w:szCs w:val="21"/>
          <w:lang w:val="en-US" w:eastAsia="zh-CN"/>
        </w:rPr>
        <w:t>5</w:t>
      </w:r>
      <w:r>
        <w:rPr>
          <w:rFonts w:hint="eastAsia"/>
          <w:szCs w:val="21"/>
        </w:rPr>
        <w:t>〕</w:t>
      </w:r>
      <w:r>
        <w:rPr>
          <w:rFonts w:hint="eastAsia"/>
          <w:szCs w:val="21"/>
          <w:lang w:val="en-US" w:eastAsia="zh-CN"/>
        </w:rPr>
        <w:t>299</w:t>
      </w:r>
      <w:r>
        <w:rPr>
          <w:rFonts w:hint="eastAsia"/>
          <w:szCs w:val="21"/>
        </w:rPr>
        <w:t>号)，计划完成年限为202</w:t>
      </w:r>
      <w:r>
        <w:rPr>
          <w:rFonts w:hint="eastAsia"/>
          <w:szCs w:val="21"/>
          <w:lang w:val="en-US" w:eastAsia="zh-CN"/>
        </w:rPr>
        <w:t>7</w:t>
      </w:r>
      <w:r>
        <w:rPr>
          <w:rFonts w:hint="eastAsia"/>
          <w:szCs w:val="21"/>
        </w:rPr>
        <w:t>年</w:t>
      </w:r>
      <w:r>
        <w:rPr>
          <w:szCs w:val="21"/>
        </w:rPr>
        <w:t>。</w:t>
      </w:r>
    </w:p>
    <w:p w14:paraId="4FEB6359">
      <w:pPr>
        <w:spacing w:line="400" w:lineRule="exact"/>
        <w:ind w:firstLine="420" w:firstLineChars="200"/>
        <w:rPr>
          <w:szCs w:val="21"/>
        </w:rPr>
      </w:pPr>
      <w:r>
        <w:rPr>
          <w:szCs w:val="21"/>
        </w:rPr>
        <w:t>按计划要求，本计量规范应于202</w:t>
      </w:r>
      <w:r>
        <w:rPr>
          <w:rFonts w:hint="eastAsia"/>
          <w:szCs w:val="21"/>
          <w:lang w:val="en-US" w:eastAsia="zh-CN"/>
        </w:rPr>
        <w:t>7</w:t>
      </w:r>
      <w:r>
        <w:rPr>
          <w:szCs w:val="21"/>
        </w:rPr>
        <w:t xml:space="preserve">年完成制定。 </w:t>
      </w:r>
    </w:p>
    <w:p w14:paraId="144F3F13">
      <w:pPr>
        <w:pStyle w:val="3"/>
        <w:spacing w:before="156" w:beforeLines="50" w:after="156" w:afterLines="50" w:line="360" w:lineRule="auto"/>
        <w:rPr>
          <w:rFonts w:ascii="Times New Roman" w:hAnsi="Times New Roman"/>
          <w:szCs w:val="21"/>
        </w:rPr>
      </w:pPr>
      <w:bookmarkStart w:id="6" w:name="_Toc464728898"/>
      <w:bookmarkStart w:id="7" w:name="_Toc462884342"/>
      <w:r>
        <w:rPr>
          <w:rFonts w:ascii="Times New Roman" w:hAnsi="Times New Roman"/>
          <w:b w:val="0"/>
          <w:bCs w:val="0"/>
          <w:sz w:val="24"/>
        </w:rPr>
        <w:t>3.项目编制组单位简况</w:t>
      </w:r>
      <w:bookmarkEnd w:id="6"/>
      <w:bookmarkEnd w:id="7"/>
      <w:r>
        <w:rPr>
          <w:rFonts w:ascii="Times New Roman" w:hAnsi="Times New Roman"/>
          <w:szCs w:val="21"/>
        </w:rPr>
        <w:t xml:space="preserve">      </w:t>
      </w:r>
    </w:p>
    <w:p w14:paraId="3F338B67">
      <w:pPr>
        <w:pStyle w:val="4"/>
        <w:spacing w:before="156" w:beforeLines="50" w:after="156" w:afterLines="50" w:line="240" w:lineRule="auto"/>
        <w:rPr>
          <w:rFonts w:eastAsia="黑体"/>
          <w:b w:val="0"/>
          <w:bCs w:val="0"/>
          <w:sz w:val="21"/>
        </w:rPr>
      </w:pPr>
      <w:bookmarkStart w:id="8" w:name="_Toc464728899"/>
      <w:bookmarkStart w:id="9" w:name="_Toc462884343"/>
      <w:r>
        <w:rPr>
          <w:rFonts w:eastAsia="黑体"/>
          <w:b w:val="0"/>
          <w:bCs w:val="0"/>
          <w:sz w:val="21"/>
        </w:rPr>
        <w:t>3.1编制组成员单位</w:t>
      </w:r>
      <w:bookmarkEnd w:id="8"/>
      <w:bookmarkEnd w:id="9"/>
    </w:p>
    <w:p w14:paraId="3777BD8B">
      <w:pPr>
        <w:spacing w:line="400" w:lineRule="exact"/>
        <w:ind w:firstLine="420" w:firstLineChars="200"/>
        <w:rPr>
          <w:szCs w:val="21"/>
        </w:rPr>
      </w:pPr>
      <w:bookmarkStart w:id="10" w:name="_Toc464728900"/>
      <w:bookmarkStart w:id="11" w:name="_Toc462884344"/>
      <w:r>
        <w:rPr>
          <w:rFonts w:hint="eastAsia"/>
          <w:szCs w:val="21"/>
        </w:rPr>
        <w:t>本规范的编制组单位为：西安汉唐分析检测有限公司、西部超导材料科技股份有限公司</w:t>
      </w:r>
      <w:r>
        <w:rPr>
          <w:rFonts w:hint="eastAsia"/>
          <w:szCs w:val="21"/>
          <w:lang w:eastAsia="zh-CN"/>
        </w:rPr>
        <w:t>、</w:t>
      </w:r>
      <w:r>
        <w:rPr>
          <w:rFonts w:hint="default" w:ascii="Times New Roman" w:hAnsi="Times New Roman" w:eastAsia="宋体" w:cs="Times New Roman"/>
          <w:color w:val="000000" w:themeColor="text1"/>
          <w14:textFill>
            <w14:solidFill>
              <w14:schemeClr w14:val="tx1"/>
            </w14:solidFill>
          </w14:textFill>
        </w:rPr>
        <w:t>西安特种设备检验检测院</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西北有色金属研究院、西部金属材料科技股份有限公司、</w:t>
      </w:r>
      <w:r>
        <w:rPr>
          <w:rFonts w:hint="eastAsia"/>
          <w:szCs w:val="21"/>
        </w:rPr>
        <w:t>有色金属技术经济研究院有限责任公司</w:t>
      </w:r>
      <w:r>
        <w:rPr>
          <w:rFonts w:hint="eastAsia"/>
          <w:szCs w:val="21"/>
          <w:lang w:eastAsia="zh-CN"/>
        </w:rPr>
        <w:t>、</w:t>
      </w:r>
      <w:r>
        <w:rPr>
          <w:rFonts w:hint="eastAsia"/>
        </w:rPr>
        <w:t>陕西天成航空材料有限公</w:t>
      </w:r>
      <w:r>
        <w:rPr>
          <w:rFonts w:hint="eastAsia"/>
          <w:szCs w:val="21"/>
        </w:rPr>
        <w:t>司</w:t>
      </w:r>
      <w:r>
        <w:rPr>
          <w:rFonts w:hint="eastAsia"/>
          <w:szCs w:val="21"/>
          <w:lang w:eastAsia="zh-CN"/>
        </w:rPr>
        <w:t>、</w:t>
      </w:r>
      <w:r>
        <w:rPr>
          <w:rFonts w:hint="eastAsia"/>
          <w:szCs w:val="21"/>
          <w:lang w:val="en-US" w:eastAsia="zh-CN"/>
        </w:rPr>
        <w:t>西安建筑科技大学、</w:t>
      </w:r>
      <w:r>
        <w:rPr>
          <w:rFonts w:hint="eastAsia"/>
          <w:szCs w:val="21"/>
        </w:rPr>
        <w:t>宝钛集团有限公司</w:t>
      </w:r>
      <w:r>
        <w:rPr>
          <w:szCs w:val="21"/>
        </w:rPr>
        <w:t>。</w:t>
      </w:r>
    </w:p>
    <w:bookmarkEnd w:id="10"/>
    <w:bookmarkEnd w:id="11"/>
    <w:p w14:paraId="07AF5025">
      <w:pPr>
        <w:pStyle w:val="4"/>
        <w:spacing w:before="156" w:beforeLines="50" w:after="156" w:afterLines="50" w:line="240" w:lineRule="auto"/>
        <w:rPr>
          <w:rFonts w:eastAsia="黑体"/>
          <w:b w:val="0"/>
          <w:bCs w:val="0"/>
          <w:sz w:val="21"/>
        </w:rPr>
      </w:pPr>
      <w:r>
        <w:rPr>
          <w:rFonts w:eastAsia="黑体"/>
          <w:b w:val="0"/>
          <w:bCs w:val="0"/>
          <w:sz w:val="21"/>
        </w:rPr>
        <w:t>3.2主编单位简介</w:t>
      </w:r>
    </w:p>
    <w:p w14:paraId="01421FC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西安汉唐分析检测有限公司是西北有色金属研究院(集团)控股子公司，属国有企业，主要从事有色产品的检测、可靠性评价、失效分析、质量评估、腐蚀性能及表面测试与表征、规范起草、检测方法的开发、标物的研制、设备的计量校准等。</w:t>
      </w:r>
    </w:p>
    <w:p w14:paraId="1377024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公司于1985年被陕西省质监局授权为陕西省有色金属产品质量监督检验站。1987年被中国有色金属工业总公司授权为西北质量监督检验中心，先后被国家质检总局确定为钛及钛合金、铜及铜合金管材生产许可证检验工作实施单位；公司通过CNAS、CMA、国防DiLAC等认证认可，是陕西省有色金属材料分析检测与评价中心、陕西省稀有金属材料安全评估和失效分析中心、工业（稀有金属）产品质量和技术评价实验室、陕西省核工业用金属材料检测与评价服务平台挂靠单位。公司是国内最早从事有色金属材料及其产品分析检验检测与评价研究的专业机构之一，技术装备水平国内一流、国际先进，在我省优势产业稀有金属材料领域的检测能力和水平处于领先地位；先后承担了国家、省市多项重大课题，目前已建成国内唯一的核电堆芯材料分析检测平台、多层金属复合材料测试和评价平台、钛及钛合金专业检测平台。</w:t>
      </w:r>
    </w:p>
    <w:p w14:paraId="107E151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近10年起草有色金属国家/行业规范共80余项、发表论文120余篇、授权专利30余项。先后荣获中国有色金属工业一等奖、二等奖20余次。</w:t>
      </w:r>
    </w:p>
    <w:p w14:paraId="39344A7F">
      <w:pPr>
        <w:spacing w:line="400" w:lineRule="exact"/>
        <w:ind w:firstLine="420" w:firstLineChars="200"/>
        <w:rPr>
          <w:szCs w:val="21"/>
        </w:rPr>
      </w:pPr>
      <w:r>
        <w:rPr>
          <w:rFonts w:hint="default" w:ascii="Times New Roman" w:hAnsi="Times New Roman" w:eastAsia="宋体" w:cs="Times New Roman"/>
          <w:color w:val="000000" w:themeColor="text1"/>
          <w14:textFill>
            <w14:solidFill>
              <w14:schemeClr w14:val="tx1"/>
            </w14:solidFill>
          </w14:textFill>
        </w:rPr>
        <w:t>本单位积极组织编制组各次工作会议，开展相关的校准，有效组织参编单位多次对规范的各版《征求意见稿》进行认真的讨论和审议，提出大量有益的意见和建议，在编制组中发挥了牵头作用</w:t>
      </w:r>
      <w:r>
        <w:rPr>
          <w:szCs w:val="21"/>
        </w:rPr>
        <w:t>。</w:t>
      </w:r>
    </w:p>
    <w:p w14:paraId="261AB105">
      <w:pPr>
        <w:pStyle w:val="4"/>
        <w:spacing w:before="156" w:beforeLines="50" w:after="156" w:afterLines="50" w:line="240" w:lineRule="auto"/>
        <w:rPr>
          <w:rFonts w:eastAsia="黑体"/>
          <w:b w:val="0"/>
          <w:bCs w:val="0"/>
          <w:sz w:val="21"/>
        </w:rPr>
      </w:pPr>
      <w:bookmarkStart w:id="12" w:name="_Toc462884345"/>
      <w:bookmarkStart w:id="13" w:name="_Toc464728901"/>
      <w:r>
        <w:rPr>
          <w:rFonts w:eastAsia="黑体"/>
          <w:b w:val="0"/>
          <w:bCs w:val="0"/>
          <w:sz w:val="21"/>
        </w:rPr>
        <w:t>3.3成员单位简介</w:t>
      </w:r>
      <w:bookmarkEnd w:id="12"/>
      <w:bookmarkEnd w:id="13"/>
    </w:p>
    <w:p w14:paraId="350F1F16">
      <w:pPr>
        <w:pStyle w:val="60"/>
        <w:keepNext w:val="0"/>
        <w:keepLines w:val="0"/>
        <w:pageBreakBefore w:val="0"/>
        <w:kinsoku/>
        <w:wordWrap/>
        <w:overflowPunct/>
        <w:topLinePunct w:val="0"/>
        <w:bidi w:val="0"/>
        <w:adjustRightInd/>
        <w:snapToGrid/>
        <w:spacing w:line="360" w:lineRule="auto"/>
        <w:textAlignment w:val="auto"/>
        <w:rPr>
          <w:rFonts w:hint="default"/>
          <w:lang w:eastAsia="zh-CN"/>
        </w:rPr>
      </w:pPr>
      <w:r>
        <w:rPr>
          <w:rFonts w:hint="default"/>
        </w:rPr>
        <w:t>3.3.1  西部超导材料科技股份有限公司</w:t>
      </w:r>
    </w:p>
    <w:p w14:paraId="5D26AF8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西部超导材料科技股份有限公司</w:t>
      </w:r>
      <w:r>
        <w:rPr>
          <w:rFonts w:hint="default" w:ascii="Times New Roman" w:hAnsi="Times New Roman" w:eastAsia="宋体" w:cs="Times New Roman"/>
          <w:color w:val="000000" w:themeColor="text1"/>
          <w14:textFill>
            <w14:solidFill>
              <w14:schemeClr w14:val="tx1"/>
            </w14:solidFill>
          </w14:textFill>
        </w:rPr>
        <w:t>是</w:t>
      </w:r>
      <w:r>
        <w:rPr>
          <w:rFonts w:hint="default" w:ascii="Times New Roman" w:hAnsi="Times New Roman" w:eastAsia="宋体" w:cs="Times New Roman"/>
          <w:color w:val="000000" w:themeColor="text1"/>
          <w:lang w:val="en-US" w:eastAsia="zh-CN"/>
          <w14:textFill>
            <w14:solidFill>
              <w14:schemeClr w14:val="tx1"/>
            </w14:solidFill>
          </w14:textFill>
        </w:rPr>
        <w:t>是西北有色院成果转化的一个典范型公司。2003年成立于西安经开区，</w:t>
      </w:r>
      <w:r>
        <w:rPr>
          <w:rFonts w:hint="default" w:ascii="Times New Roman" w:hAnsi="Times New Roman" w:eastAsia="宋体" w:cs="Times New Roman"/>
          <w:color w:val="000000" w:themeColor="text1"/>
          <w14:textFill>
            <w14:solidFill>
              <w14:schemeClr w14:val="tx1"/>
            </w14:solidFill>
          </w14:textFill>
        </w:rPr>
        <w:t>主要从事新材料、新工艺、新装备等研发和工程化等。</w:t>
      </w:r>
    </w:p>
    <w:p w14:paraId="5FE3124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西部超导依托“超导材料制备国家工程实验室”“特种合金制国家地方联合工程实验室”等创新平台，开展新材料、新工艺、新装备等研发和工程化，先后承担国家、省、市、区等各类科技项目百余项，取得400余项发明专利。先后荣获国家技术发明奖（二等奖）、国家科学技术进步奖（二等奖）、中国工业大奖、制造业单项冠军等多项重要荣誉。形成以数十位稀有金属材料加工资深专家为核心的创新技术团队，锻造了一支从事新材料及装备研发、中试和产业化的高端人才队伍，其中超导材料制备及应用技术创新团队，在2023年首次以党中央、国务院名义开展的“国家工程师奖”表彰活动中，被授予“国家卓越工程师团队”称号。</w:t>
      </w:r>
    </w:p>
    <w:p w14:paraId="0940CB1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该</w:t>
      </w:r>
      <w:r>
        <w:rPr>
          <w:rFonts w:hint="default" w:ascii="Times New Roman" w:hAnsi="Times New Roman" w:eastAsia="宋体" w:cs="Times New Roman"/>
          <w:color w:val="000000" w:themeColor="text1"/>
          <w14:textFill>
            <w14:solidFill>
              <w14:schemeClr w14:val="tx1"/>
            </w14:solidFill>
          </w14:textFill>
        </w:rPr>
        <w:t>单位积极</w:t>
      </w:r>
      <w:r>
        <w:rPr>
          <w:rFonts w:hint="default" w:ascii="Times New Roman" w:hAnsi="Times New Roman" w:eastAsia="宋体" w:cs="Times New Roman"/>
          <w:color w:val="000000" w:themeColor="text1"/>
          <w:lang w:val="en-US" w:eastAsia="zh-CN"/>
          <w14:textFill>
            <w14:solidFill>
              <w14:schemeClr w14:val="tx1"/>
            </w14:solidFill>
          </w14:textFill>
        </w:rPr>
        <w:t>参与</w:t>
      </w:r>
      <w:r>
        <w:rPr>
          <w:rFonts w:hint="default" w:ascii="Times New Roman" w:hAnsi="Times New Roman" w:eastAsia="宋体" w:cs="Times New Roman"/>
          <w:color w:val="000000" w:themeColor="text1"/>
          <w14:textFill>
            <w14:solidFill>
              <w14:schemeClr w14:val="tx1"/>
            </w14:solidFill>
          </w14:textFill>
        </w:rPr>
        <w:t>编制组</w:t>
      </w:r>
      <w:r>
        <w:rPr>
          <w:rFonts w:hint="default" w:ascii="Times New Roman" w:hAnsi="Times New Roman" w:eastAsia="宋体" w:cs="Times New Roman"/>
          <w:color w:val="000000" w:themeColor="text1"/>
          <w:lang w:val="en-US" w:eastAsia="zh-CN"/>
          <w14:textFill>
            <w14:solidFill>
              <w14:schemeClr w14:val="tx1"/>
            </w14:solidFill>
          </w14:textFill>
        </w:rPr>
        <w:t>的</w:t>
      </w:r>
      <w:r>
        <w:rPr>
          <w:rFonts w:hint="default" w:ascii="Times New Roman" w:hAnsi="Times New Roman" w:eastAsia="宋体" w:cs="Times New Roman"/>
          <w:color w:val="000000" w:themeColor="text1"/>
          <w14:textFill>
            <w14:solidFill>
              <w14:schemeClr w14:val="tx1"/>
            </w14:solidFill>
          </w14:textFill>
        </w:rPr>
        <w:t>各</w:t>
      </w:r>
      <w:r>
        <w:rPr>
          <w:rFonts w:hint="default" w:ascii="Times New Roman" w:hAnsi="Times New Roman" w:eastAsia="宋体" w:cs="Times New Roman"/>
          <w:color w:val="000000" w:themeColor="text1"/>
          <w:lang w:val="en-US" w:eastAsia="zh-CN"/>
          <w14:textFill>
            <w14:solidFill>
              <w14:schemeClr w14:val="tx1"/>
            </w14:solidFill>
          </w14:textFill>
        </w:rPr>
        <w:t>项</w:t>
      </w:r>
      <w:r>
        <w:rPr>
          <w:rFonts w:hint="default" w:ascii="Times New Roman" w:hAnsi="Times New Roman" w:eastAsia="宋体" w:cs="Times New Roman"/>
          <w:color w:val="000000" w:themeColor="text1"/>
          <w14:textFill>
            <w14:solidFill>
              <w14:schemeClr w14:val="tx1"/>
            </w14:solidFill>
          </w14:textFill>
        </w:rPr>
        <w:t>工作会议，</w:t>
      </w:r>
      <w:r>
        <w:rPr>
          <w:rFonts w:hint="default" w:ascii="Times New Roman" w:hAnsi="Times New Roman" w:eastAsia="宋体" w:cs="Times New Roman"/>
          <w:color w:val="000000" w:themeColor="text1"/>
          <w:lang w:val="en-US" w:eastAsia="zh-CN"/>
          <w14:textFill>
            <w14:solidFill>
              <w14:schemeClr w14:val="tx1"/>
            </w14:solidFill>
          </w14:textFill>
        </w:rPr>
        <w:t>对规范中线对密度示值误差的校准过程提出了有效建议，是该规范的验证单位（附验证报告），</w:t>
      </w:r>
      <w:r>
        <w:rPr>
          <w:rFonts w:hint="default" w:ascii="Times New Roman" w:hAnsi="Times New Roman" w:eastAsia="宋体" w:cs="Times New Roman"/>
          <w:color w:val="000000" w:themeColor="text1"/>
          <w14:textFill>
            <w14:solidFill>
              <w14:schemeClr w14:val="tx1"/>
            </w14:solidFill>
          </w14:textFill>
        </w:rPr>
        <w:t>在编制组中发挥了</w:t>
      </w:r>
      <w:r>
        <w:rPr>
          <w:rFonts w:hint="default" w:ascii="Times New Roman" w:hAnsi="Times New Roman" w:eastAsia="宋体" w:cs="Times New Roman"/>
          <w:color w:val="000000" w:themeColor="text1"/>
          <w:lang w:val="en-US" w:eastAsia="zh-CN"/>
          <w14:textFill>
            <w14:solidFill>
              <w14:schemeClr w14:val="tx1"/>
            </w14:solidFill>
          </w14:textFill>
        </w:rPr>
        <w:t>主要</w:t>
      </w:r>
      <w:r>
        <w:rPr>
          <w:rFonts w:hint="default" w:ascii="Times New Roman" w:hAnsi="Times New Roman" w:eastAsia="宋体" w:cs="Times New Roman"/>
          <w:color w:val="000000" w:themeColor="text1"/>
          <w14:textFill>
            <w14:solidFill>
              <w14:schemeClr w14:val="tx1"/>
            </w14:solidFill>
          </w14:textFill>
        </w:rPr>
        <w:t>作用。</w:t>
      </w:r>
    </w:p>
    <w:p w14:paraId="05A73649">
      <w:pPr>
        <w:pStyle w:val="60"/>
        <w:keepNext w:val="0"/>
        <w:keepLines w:val="0"/>
        <w:pageBreakBefore w:val="0"/>
        <w:kinsoku/>
        <w:wordWrap/>
        <w:overflowPunct/>
        <w:topLinePunct w:val="0"/>
        <w:bidi w:val="0"/>
        <w:adjustRightInd/>
        <w:snapToGrid/>
        <w:spacing w:line="360" w:lineRule="auto"/>
        <w:textAlignment w:val="auto"/>
        <w:rPr>
          <w:rFonts w:hint="default"/>
        </w:rPr>
      </w:pPr>
      <w:r>
        <w:rPr>
          <w:rFonts w:hint="default"/>
        </w:rPr>
        <w:t>3.3.</w:t>
      </w:r>
      <w:r>
        <w:rPr>
          <w:rFonts w:hint="default"/>
          <w:lang w:val="en-US" w:eastAsia="zh-CN"/>
        </w:rPr>
        <w:t>2</w:t>
      </w:r>
      <w:r>
        <w:rPr>
          <w:rFonts w:hint="default"/>
        </w:rPr>
        <w:t xml:space="preserve">  </w:t>
      </w:r>
      <w:r>
        <w:rPr>
          <w:rFonts w:hint="default" w:ascii="Times New Roman" w:hAnsi="Times New Roman" w:eastAsia="宋体" w:cs="Times New Roman"/>
          <w:color w:val="000000" w:themeColor="text1"/>
          <w14:textFill>
            <w14:solidFill>
              <w14:schemeClr w14:val="tx1"/>
            </w14:solidFill>
          </w14:textFill>
        </w:rPr>
        <w:t>西安特种设备检验检测院</w:t>
      </w:r>
    </w:p>
    <w:p w14:paraId="59836A5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西安特种设备检验检测院是2005年1月经西安市人民政府批准成立的公益二类事业单位，隶属于西安市市场监督管理局，属自收自支性质。该院位于西安市高新区团结南路69号，承担锅炉、压力容器、电梯等八大类特种设备的监督检验、定期检验及委托检验，同时开展安全附件校验、无损检测和96333应急指挥工作。</w:t>
      </w:r>
    </w:p>
    <w:p w14:paraId="5ECFDE3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机构由原西安市锅检所和特检所整合组建，现有在岗职工322人，持有检验资质证书1174项，配备检验设备2100余台。2023年获全国常压罐车检验技术比武一等奖，参与编制国家标准6项。建成检验检测用房20803平方米，实现检验业务全流程数字化，覆盖陕西多地及新疆、四川等省外区域。</w:t>
      </w:r>
    </w:p>
    <w:p w14:paraId="66A80BF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该</w:t>
      </w:r>
      <w:r>
        <w:rPr>
          <w:rFonts w:hint="default" w:ascii="Times New Roman" w:hAnsi="Times New Roman" w:eastAsia="宋体" w:cs="Times New Roman"/>
          <w:color w:val="000000" w:themeColor="text1"/>
          <w14:textFill>
            <w14:solidFill>
              <w14:schemeClr w14:val="tx1"/>
            </w14:solidFill>
          </w14:textFill>
        </w:rPr>
        <w:t>单位积极</w:t>
      </w:r>
      <w:r>
        <w:rPr>
          <w:rFonts w:hint="default" w:ascii="Times New Roman" w:hAnsi="Times New Roman" w:eastAsia="宋体" w:cs="Times New Roman"/>
          <w:color w:val="000000" w:themeColor="text1"/>
          <w:lang w:val="en-US" w:eastAsia="zh-CN"/>
          <w14:textFill>
            <w14:solidFill>
              <w14:schemeClr w14:val="tx1"/>
            </w14:solidFill>
          </w14:textFill>
        </w:rPr>
        <w:t>参与</w:t>
      </w:r>
      <w:r>
        <w:rPr>
          <w:rFonts w:hint="default" w:ascii="Times New Roman" w:hAnsi="Times New Roman" w:eastAsia="宋体" w:cs="Times New Roman"/>
          <w:color w:val="000000" w:themeColor="text1"/>
          <w14:textFill>
            <w14:solidFill>
              <w14:schemeClr w14:val="tx1"/>
            </w14:solidFill>
          </w14:textFill>
        </w:rPr>
        <w:t>编制组</w:t>
      </w:r>
      <w:r>
        <w:rPr>
          <w:rFonts w:hint="default" w:ascii="Times New Roman" w:hAnsi="Times New Roman" w:eastAsia="宋体" w:cs="Times New Roman"/>
          <w:color w:val="000000" w:themeColor="text1"/>
          <w:lang w:val="en-US" w:eastAsia="zh-CN"/>
          <w14:textFill>
            <w14:solidFill>
              <w14:schemeClr w14:val="tx1"/>
            </w14:solidFill>
          </w14:textFill>
        </w:rPr>
        <w:t>的</w:t>
      </w:r>
      <w:r>
        <w:rPr>
          <w:rFonts w:hint="default" w:ascii="Times New Roman" w:hAnsi="Times New Roman" w:eastAsia="宋体" w:cs="Times New Roman"/>
          <w:color w:val="000000" w:themeColor="text1"/>
          <w14:textFill>
            <w14:solidFill>
              <w14:schemeClr w14:val="tx1"/>
            </w14:solidFill>
          </w14:textFill>
        </w:rPr>
        <w:t>各</w:t>
      </w:r>
      <w:r>
        <w:rPr>
          <w:rFonts w:hint="default" w:ascii="Times New Roman" w:hAnsi="Times New Roman" w:eastAsia="宋体" w:cs="Times New Roman"/>
          <w:color w:val="000000" w:themeColor="text1"/>
          <w:lang w:val="en-US" w:eastAsia="zh-CN"/>
          <w14:textFill>
            <w14:solidFill>
              <w14:schemeClr w14:val="tx1"/>
            </w14:solidFill>
          </w14:textFill>
        </w:rPr>
        <w:t>项</w:t>
      </w:r>
      <w:r>
        <w:rPr>
          <w:rFonts w:hint="default" w:ascii="Times New Roman" w:hAnsi="Times New Roman" w:eastAsia="宋体" w:cs="Times New Roman"/>
          <w:color w:val="000000" w:themeColor="text1"/>
          <w14:textFill>
            <w14:solidFill>
              <w14:schemeClr w14:val="tx1"/>
            </w14:solidFill>
          </w14:textFill>
        </w:rPr>
        <w:t>工作，</w:t>
      </w:r>
      <w:r>
        <w:rPr>
          <w:rFonts w:hint="eastAsia" w:cs="Times New Roman"/>
          <w:color w:val="000000" w:themeColor="text1"/>
          <w:lang w:val="en-US" w:eastAsia="zh-CN"/>
          <w14:textFill>
            <w14:solidFill>
              <w14:schemeClr w14:val="tx1"/>
            </w14:solidFill>
          </w14:textFill>
        </w:rPr>
        <w:t>对规范中涉及的校准项目进行了实验验证，对校准方法提出了合理的建议，</w:t>
      </w:r>
      <w:r>
        <w:rPr>
          <w:rFonts w:hint="default" w:ascii="Times New Roman" w:hAnsi="Times New Roman" w:eastAsia="宋体" w:cs="Times New Roman"/>
          <w:color w:val="000000" w:themeColor="text1"/>
          <w14:textFill>
            <w14:solidFill>
              <w14:schemeClr w14:val="tx1"/>
            </w14:solidFill>
          </w14:textFill>
        </w:rPr>
        <w:t>在编制组中发挥了</w:t>
      </w:r>
      <w:r>
        <w:rPr>
          <w:rFonts w:hint="default" w:ascii="Times New Roman" w:hAnsi="Times New Roman" w:eastAsia="宋体" w:cs="Times New Roman"/>
          <w:color w:val="000000" w:themeColor="text1"/>
          <w:lang w:val="en-US" w:eastAsia="zh-CN"/>
          <w14:textFill>
            <w14:solidFill>
              <w14:schemeClr w14:val="tx1"/>
            </w14:solidFill>
          </w14:textFill>
        </w:rPr>
        <w:t>主要</w:t>
      </w:r>
      <w:r>
        <w:rPr>
          <w:rFonts w:hint="default" w:ascii="Times New Roman" w:hAnsi="Times New Roman" w:eastAsia="宋体" w:cs="Times New Roman"/>
          <w:color w:val="000000" w:themeColor="text1"/>
          <w14:textFill>
            <w14:solidFill>
              <w14:schemeClr w14:val="tx1"/>
            </w14:solidFill>
          </w14:textFill>
        </w:rPr>
        <w:t>作用。</w:t>
      </w:r>
    </w:p>
    <w:p w14:paraId="2BDD3F81">
      <w:pPr>
        <w:pStyle w:val="60"/>
        <w:keepNext w:val="0"/>
        <w:keepLines w:val="0"/>
        <w:pageBreakBefore w:val="0"/>
        <w:kinsoku/>
        <w:wordWrap/>
        <w:overflowPunct/>
        <w:topLinePunct w:val="0"/>
        <w:bidi w:val="0"/>
        <w:adjustRightInd/>
        <w:snapToGrid/>
        <w:spacing w:line="360" w:lineRule="auto"/>
        <w:textAlignment w:val="auto"/>
        <w:rPr>
          <w:rFonts w:hint="default"/>
        </w:rPr>
      </w:pPr>
      <w:r>
        <w:rPr>
          <w:rFonts w:hint="default"/>
        </w:rPr>
        <w:t>3.3.</w:t>
      </w:r>
      <w:r>
        <w:rPr>
          <w:rFonts w:hint="eastAsia"/>
          <w:lang w:val="en-US" w:eastAsia="zh-CN"/>
        </w:rPr>
        <w:t>3</w:t>
      </w:r>
      <w:r>
        <w:rPr>
          <w:rFonts w:hint="default"/>
        </w:rPr>
        <w:t xml:space="preserve"> 有色金属技术经济研究院有限责任公司</w:t>
      </w:r>
    </w:p>
    <w:p w14:paraId="54A82A9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有色金属技术经济研究院有限责任公司成立于1983年3月，与中国有色金属工业总公司同时经国家批准建立，最初名称为“中国有色金属总公司技术经济研究中心”，后改名“中国有色金属工业总公司技术经济研究院”，是中央所属242家转制科研院所之一，于1999年7月由国家全额拨款科研事业单位转制为科技型企业，变更为现名称。隶属于中国有色金属工业协会（以下简称“协会”），获批设立了国家级博士后科研工作站，是国家级高新技术企业和北京市高新技术企业。有五个主要业务板块，分别为信息咨询、标准专利、媒体宣传、分会工作及贸易投资，是我国有色金属行业专职从事产业发展战略研究与规划、市场信息服务与咨询、标准质量研究与专利查新、行业期刊出版发行、行业会议策划与组织的综合性科技服务机构，对外又称“中国有色金属工业信息中心”和“中国有色金属工业标准计量质量研究所”。</w:t>
      </w:r>
    </w:p>
    <w:p w14:paraId="44A59C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该</w:t>
      </w:r>
      <w:r>
        <w:rPr>
          <w:rFonts w:hint="default" w:ascii="Times New Roman" w:hAnsi="Times New Roman" w:eastAsia="宋体" w:cs="Times New Roman"/>
          <w:color w:val="000000" w:themeColor="text1"/>
          <w14:textFill>
            <w14:solidFill>
              <w14:schemeClr w14:val="tx1"/>
            </w14:solidFill>
          </w14:textFill>
        </w:rPr>
        <w:t>单位积极</w:t>
      </w:r>
      <w:r>
        <w:rPr>
          <w:rFonts w:hint="default" w:ascii="Times New Roman" w:hAnsi="Times New Roman" w:eastAsia="宋体" w:cs="Times New Roman"/>
          <w:color w:val="000000" w:themeColor="text1"/>
          <w:lang w:val="en-US" w:eastAsia="zh-CN"/>
          <w14:textFill>
            <w14:solidFill>
              <w14:schemeClr w14:val="tx1"/>
            </w14:solidFill>
          </w14:textFill>
        </w:rPr>
        <w:t>参与</w:t>
      </w:r>
      <w:r>
        <w:rPr>
          <w:rFonts w:hint="default" w:ascii="Times New Roman" w:hAnsi="Times New Roman" w:eastAsia="宋体" w:cs="Times New Roman"/>
          <w:color w:val="000000" w:themeColor="text1"/>
          <w14:textFill>
            <w14:solidFill>
              <w14:schemeClr w14:val="tx1"/>
            </w14:solidFill>
          </w14:textFill>
        </w:rPr>
        <w:t>编制组</w:t>
      </w:r>
      <w:r>
        <w:rPr>
          <w:rFonts w:hint="default" w:ascii="Times New Roman" w:hAnsi="Times New Roman" w:eastAsia="宋体" w:cs="Times New Roman"/>
          <w:color w:val="000000" w:themeColor="text1"/>
          <w:lang w:val="en-US" w:eastAsia="zh-CN"/>
          <w14:textFill>
            <w14:solidFill>
              <w14:schemeClr w14:val="tx1"/>
            </w14:solidFill>
          </w14:textFill>
        </w:rPr>
        <w:t>的</w:t>
      </w:r>
      <w:r>
        <w:rPr>
          <w:rFonts w:hint="default" w:ascii="Times New Roman" w:hAnsi="Times New Roman" w:eastAsia="宋体" w:cs="Times New Roman"/>
          <w:color w:val="000000" w:themeColor="text1"/>
          <w14:textFill>
            <w14:solidFill>
              <w14:schemeClr w14:val="tx1"/>
            </w14:solidFill>
          </w14:textFill>
        </w:rPr>
        <w:t>各</w:t>
      </w:r>
      <w:r>
        <w:rPr>
          <w:rFonts w:hint="default" w:ascii="Times New Roman" w:hAnsi="Times New Roman" w:eastAsia="宋体" w:cs="Times New Roman"/>
          <w:color w:val="000000" w:themeColor="text1"/>
          <w:lang w:val="en-US" w:eastAsia="zh-CN"/>
          <w14:textFill>
            <w14:solidFill>
              <w14:schemeClr w14:val="tx1"/>
            </w14:solidFill>
          </w14:textFill>
        </w:rPr>
        <w:t>项</w:t>
      </w:r>
      <w:r>
        <w:rPr>
          <w:rFonts w:hint="default" w:ascii="Times New Roman" w:hAnsi="Times New Roman" w:eastAsia="宋体" w:cs="Times New Roman"/>
          <w:color w:val="000000" w:themeColor="text1"/>
          <w14:textFill>
            <w14:solidFill>
              <w14:schemeClr w14:val="tx1"/>
            </w14:solidFill>
          </w14:textFill>
        </w:rPr>
        <w:t>工作会议，</w:t>
      </w:r>
      <w:r>
        <w:rPr>
          <w:rFonts w:hint="default" w:ascii="Times New Roman" w:hAnsi="Times New Roman" w:eastAsia="宋体" w:cs="Times New Roman"/>
          <w:color w:val="000000" w:themeColor="text1"/>
          <w:lang w:val="en-US" w:eastAsia="zh-CN"/>
          <w14:textFill>
            <w14:solidFill>
              <w14:schemeClr w14:val="tx1"/>
            </w14:solidFill>
          </w14:textFill>
        </w:rPr>
        <w:t>对规范中校准项目计量特性、标准规范的格式排版的确定提出了有效建议，进行了大量的工作，</w:t>
      </w:r>
      <w:r>
        <w:rPr>
          <w:rFonts w:hint="default" w:ascii="Times New Roman" w:hAnsi="Times New Roman" w:eastAsia="宋体" w:cs="Times New Roman"/>
          <w:color w:val="000000" w:themeColor="text1"/>
          <w14:textFill>
            <w14:solidFill>
              <w14:schemeClr w14:val="tx1"/>
            </w14:solidFill>
          </w14:textFill>
        </w:rPr>
        <w:t>在编制组中发挥了</w:t>
      </w:r>
      <w:r>
        <w:rPr>
          <w:rFonts w:hint="default" w:ascii="Times New Roman" w:hAnsi="Times New Roman" w:eastAsia="宋体" w:cs="Times New Roman"/>
          <w:color w:val="000000" w:themeColor="text1"/>
          <w:lang w:val="en-US" w:eastAsia="zh-CN"/>
          <w14:textFill>
            <w14:solidFill>
              <w14:schemeClr w14:val="tx1"/>
            </w14:solidFill>
          </w14:textFill>
        </w:rPr>
        <w:t>主要</w:t>
      </w:r>
      <w:r>
        <w:rPr>
          <w:rFonts w:hint="default" w:ascii="Times New Roman" w:hAnsi="Times New Roman" w:eastAsia="宋体" w:cs="Times New Roman"/>
          <w:color w:val="000000" w:themeColor="text1"/>
          <w14:textFill>
            <w14:solidFill>
              <w14:schemeClr w14:val="tx1"/>
            </w14:solidFill>
          </w14:textFill>
        </w:rPr>
        <w:t>作用。</w:t>
      </w:r>
    </w:p>
    <w:p w14:paraId="0691DD09">
      <w:pPr>
        <w:pStyle w:val="60"/>
        <w:keepNext w:val="0"/>
        <w:keepLines w:val="0"/>
        <w:pageBreakBefore w:val="0"/>
        <w:kinsoku/>
        <w:wordWrap/>
        <w:overflowPunct/>
        <w:topLinePunct w:val="0"/>
        <w:bidi w:val="0"/>
        <w:adjustRightInd/>
        <w:snapToGrid/>
        <w:spacing w:line="360" w:lineRule="auto"/>
        <w:textAlignment w:val="auto"/>
        <w:rPr>
          <w:rFonts w:hint="default"/>
        </w:rPr>
      </w:pPr>
      <w:r>
        <w:rPr>
          <w:rFonts w:hint="default"/>
        </w:rPr>
        <w:t>3.3.</w:t>
      </w:r>
      <w:r>
        <w:rPr>
          <w:rFonts w:hint="eastAsia"/>
          <w:lang w:val="en-US" w:eastAsia="zh-CN"/>
        </w:rPr>
        <w:t>4</w:t>
      </w:r>
      <w:r>
        <w:rPr>
          <w:rFonts w:hint="default"/>
        </w:rPr>
        <w:t xml:space="preserve">  </w:t>
      </w:r>
      <w:r>
        <w:rPr>
          <w:rFonts w:hint="eastAsia"/>
        </w:rPr>
        <w:t>陕西天成航空材料有限公司</w:t>
      </w:r>
    </w:p>
    <w:p w14:paraId="6F12BD17">
      <w:pPr>
        <w:pStyle w:val="59"/>
        <w:numPr>
          <w:ilvl w:val="0"/>
          <w:numId w:val="0"/>
        </w:numPr>
        <w:spacing w:line="360" w:lineRule="auto"/>
        <w:ind w:firstLine="420" w:firstLineChars="200"/>
        <w:contextualSpacing/>
        <w:outlineLvl w:val="9"/>
        <w:rPr>
          <w:rFonts w:ascii="Times New Roman" w:hAnsi="Times New Roman" w:eastAsia="宋体"/>
          <w:color w:val="auto"/>
          <w:spacing w:val="0"/>
          <w:kern w:val="2"/>
          <w:szCs w:val="21"/>
        </w:rPr>
      </w:pPr>
      <w:r>
        <w:rPr>
          <w:rFonts w:hint="eastAsia" w:ascii="Times New Roman" w:hAnsi="Times New Roman" w:eastAsia="宋体"/>
          <w:color w:val="auto"/>
          <w:spacing w:val="0"/>
          <w:kern w:val="2"/>
          <w:szCs w:val="21"/>
        </w:rPr>
        <w:t>陕西天成航空材料有限公司</w:t>
      </w:r>
      <w:r>
        <w:rPr>
          <w:rFonts w:ascii="Times New Roman" w:hAnsi="Times New Roman" w:eastAsia="宋体"/>
          <w:color w:val="auto"/>
          <w:spacing w:val="0"/>
          <w:kern w:val="2"/>
          <w:szCs w:val="21"/>
        </w:rPr>
        <w:t>天成航材成立于2007年，是专业从事钛合金材料研发、生产的高新技术企业。公司于2008年投产，目前拥有自主知识产权及各项成果100余项，研发人员占比15%，累计研发投入上亿元，是国内较早涉足钛合金产业的技术队伍之一。</w:t>
      </w:r>
    </w:p>
    <w:p w14:paraId="4B743437">
      <w:pPr>
        <w:pStyle w:val="59"/>
        <w:numPr>
          <w:ilvl w:val="0"/>
          <w:numId w:val="0"/>
        </w:numPr>
        <w:spacing w:line="360" w:lineRule="auto"/>
        <w:ind w:firstLine="420" w:firstLineChars="200"/>
        <w:contextualSpacing/>
        <w:outlineLvl w:val="9"/>
        <w:rPr>
          <w:rFonts w:ascii="Times New Roman" w:hAnsi="Times New Roman" w:eastAsia="宋体"/>
          <w:color w:val="auto"/>
          <w:spacing w:val="0"/>
          <w:kern w:val="2"/>
          <w:szCs w:val="21"/>
        </w:rPr>
      </w:pPr>
      <w:r>
        <w:rPr>
          <w:rFonts w:ascii="Times New Roman" w:hAnsi="Times New Roman" w:eastAsia="宋体"/>
          <w:color w:val="auto"/>
          <w:spacing w:val="0"/>
          <w:kern w:val="2"/>
          <w:szCs w:val="21"/>
        </w:rPr>
        <w:t>公司产品定位于高端钛材应用，主营产品包含钛合金棒材、线材、锻件等，以一流的“航空标准”管理体系支撑钛产业高质量发展。公司自主研发、设计了国内首条航空级钛合金全流程动态多向控温控轧生产线，可为航空、医疗等高端领域用户提供超细晶钛棒及高品质钛盘卷，从材料端创新突破，解决了多项航空材料“卡脖子”难题；大规格棒材生产线采取“以轧代锻、锻轧结合”的方式，进一步优化生产工艺，可为航空终端提供发动机盘、轴件及飞机结构件用原材料，赋能中国航空业态升级。</w:t>
      </w:r>
    </w:p>
    <w:p w14:paraId="79660EE9">
      <w:pPr>
        <w:pStyle w:val="59"/>
        <w:numPr>
          <w:ilvl w:val="0"/>
          <w:numId w:val="0"/>
        </w:numPr>
        <w:spacing w:line="360" w:lineRule="auto"/>
        <w:ind w:firstLine="420" w:firstLineChars="200"/>
        <w:contextualSpacing/>
        <w:outlineLvl w:val="9"/>
        <w:rPr>
          <w:rFonts w:ascii="Times New Roman" w:hAnsi="Times New Roman" w:eastAsia="宋体"/>
          <w:color w:val="auto"/>
          <w:spacing w:val="0"/>
          <w:kern w:val="2"/>
          <w:szCs w:val="21"/>
        </w:rPr>
      </w:pPr>
      <w:r>
        <w:rPr>
          <w:rFonts w:ascii="Times New Roman" w:hAnsi="Times New Roman" w:eastAsia="宋体"/>
          <w:color w:val="auto"/>
          <w:spacing w:val="0"/>
          <w:kern w:val="2"/>
          <w:szCs w:val="21"/>
        </w:rPr>
        <w:t>公司致力于通过先进材料的开发及应用推动航空航天事业的进步与发展，先后获得航天特种工艺Nadcap无损检测认证及AS9100D、ISO13485、ISO14001、ISO45001等资质认证。</w:t>
      </w:r>
    </w:p>
    <w:p w14:paraId="37A9176C">
      <w:pPr>
        <w:pStyle w:val="59"/>
        <w:numPr>
          <w:ilvl w:val="0"/>
          <w:numId w:val="0"/>
        </w:numPr>
        <w:spacing w:line="360" w:lineRule="auto"/>
        <w:ind w:firstLine="420" w:firstLineChars="200"/>
        <w:contextualSpacing/>
        <w:outlineLvl w:val="9"/>
        <w:rPr>
          <w:rFonts w:ascii="Times New Roman" w:hAnsi="Times New Roman" w:eastAsia="宋体"/>
          <w:color w:val="auto"/>
          <w:spacing w:val="0"/>
          <w:kern w:val="2"/>
          <w:szCs w:val="21"/>
        </w:rPr>
      </w:pPr>
      <w:r>
        <w:rPr>
          <w:rFonts w:ascii="Times New Roman" w:hAnsi="Times New Roman" w:eastAsia="宋体"/>
          <w:color w:val="auto"/>
          <w:spacing w:val="0"/>
          <w:kern w:val="2"/>
          <w:szCs w:val="21"/>
        </w:rPr>
        <w:t>公司努力寻求高附加值、高技术含量的钛合金产业新突破，投资12.8亿建成的现代化、智能化生产基地已于2019年投入使用，建筑面积达80000㎡，项目配套3000㎡先进材料实验室及企业研发中心，预计到2025年，公司年产能将达到20000吨。</w:t>
      </w:r>
    </w:p>
    <w:p w14:paraId="5948BC85">
      <w:pPr>
        <w:keepNext w:val="0"/>
        <w:keepLines w:val="0"/>
        <w:pageBreakBefore w:val="0"/>
        <w:kinsoku/>
        <w:wordWrap/>
        <w:overflowPunct/>
        <w:topLinePunct w:val="0"/>
        <w:bidi w:val="0"/>
        <w:adjustRightInd/>
        <w:snapToGrid/>
        <w:spacing w:line="360" w:lineRule="auto"/>
        <w:ind w:firstLine="420" w:firstLineChars="200"/>
        <w:textAlignment w:val="auto"/>
        <w:rPr>
          <w:szCs w:val="21"/>
        </w:rPr>
      </w:pPr>
      <w:r>
        <w:rPr>
          <w:rFonts w:hint="eastAsia"/>
          <w:szCs w:val="21"/>
        </w:rPr>
        <w:t>该单位积极参加编制工作，开展相关的验证试验，提供修改意见。</w:t>
      </w:r>
    </w:p>
    <w:p w14:paraId="387021CA">
      <w:pPr>
        <w:pStyle w:val="60"/>
        <w:keepNext w:val="0"/>
        <w:keepLines w:val="0"/>
        <w:pageBreakBefore w:val="0"/>
        <w:kinsoku/>
        <w:wordWrap/>
        <w:overflowPunct/>
        <w:topLinePunct w:val="0"/>
        <w:bidi w:val="0"/>
        <w:adjustRightInd/>
        <w:snapToGrid/>
        <w:spacing w:line="360" w:lineRule="auto"/>
        <w:textAlignment w:val="auto"/>
        <w:rPr>
          <w:rFonts w:hint="default"/>
        </w:rPr>
      </w:pPr>
      <w:r>
        <w:rPr>
          <w:rFonts w:hint="default"/>
        </w:rPr>
        <w:t>3.3.</w:t>
      </w:r>
      <w:r>
        <w:rPr>
          <w:rFonts w:hint="eastAsia"/>
          <w:lang w:val="en-US" w:eastAsia="zh-CN"/>
        </w:rPr>
        <w:t>5</w:t>
      </w:r>
      <w:r>
        <w:rPr>
          <w:rFonts w:hint="default"/>
        </w:rPr>
        <w:t xml:space="preserve">  宝钛集团有限公司</w:t>
      </w:r>
    </w:p>
    <w:p w14:paraId="2D31FFF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宝钛集团有限公司(简称宝钛集团)是陕西有色金属控股集团有限公司控股的大型企业集团，是中国最大的以钛及钛合金为主的专业化稀有金属生产、科研基地。历经40年的发展，宝钛集团已成为拥有宝鸡钛业股份有限公司、国核宝钛锆业股份公司、南京宝色股份公司等7个控股公司、3个参股公司、6个全资子公司及5个直接经营单位的国有集团公司，建成了拥有世界一流检测装备的大型材料检测中心。宝钛集团先后为中国的材料制备和尖端科技承担了8000多项新材料的试制生产任务，取得科技成果600多项。其中，获得省部级科技成果145项，目前已获授权专利19项，包括发明13项，实用新型6项。</w:t>
      </w:r>
    </w:p>
    <w:p w14:paraId="20F6ED68">
      <w:pPr>
        <w:keepNext w:val="0"/>
        <w:keepLines w:val="0"/>
        <w:pageBreakBefore w:val="0"/>
        <w:kinsoku/>
        <w:wordWrap/>
        <w:overflowPunct/>
        <w:topLinePunct w:val="0"/>
        <w:bidi w:val="0"/>
        <w:adjustRightInd/>
        <w:snapToGrid/>
        <w:spacing w:line="360" w:lineRule="auto"/>
        <w:ind w:firstLine="420" w:firstLineChars="200"/>
        <w:textAlignment w:val="auto"/>
        <w:rPr>
          <w:szCs w:val="21"/>
        </w:rPr>
      </w:pPr>
      <w:r>
        <w:rPr>
          <w:rFonts w:hint="default" w:ascii="Times New Roman" w:hAnsi="Times New Roman" w:eastAsia="宋体" w:cs="Times New Roman"/>
          <w:color w:val="000000" w:themeColor="text1"/>
          <w14:textFill>
            <w14:solidFill>
              <w14:schemeClr w14:val="tx1"/>
            </w14:solidFill>
          </w14:textFill>
        </w:rPr>
        <w:t>该单位积极参加编制工作，开展相关的验证试验，提供修改意见</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是该规范的验证单位（附验证报告）</w:t>
      </w:r>
      <w:r>
        <w:rPr>
          <w:szCs w:val="21"/>
        </w:rPr>
        <w:t>。</w:t>
      </w:r>
    </w:p>
    <w:p w14:paraId="1CA26D8A">
      <w:pPr>
        <w:pStyle w:val="4"/>
        <w:spacing w:before="156" w:beforeLines="50" w:after="156" w:afterLines="50" w:line="240" w:lineRule="auto"/>
        <w:rPr>
          <w:rFonts w:hint="default" w:eastAsia="黑体"/>
          <w:b w:val="0"/>
          <w:bCs w:val="0"/>
          <w:sz w:val="21"/>
        </w:rPr>
      </w:pPr>
      <w:r>
        <w:rPr>
          <w:rFonts w:hint="eastAsia" w:eastAsia="黑体"/>
          <w:b w:val="0"/>
          <w:bCs w:val="0"/>
          <w:sz w:val="21"/>
        </w:rPr>
        <w:t>3.</w:t>
      </w:r>
      <w:r>
        <w:rPr>
          <w:rFonts w:hint="eastAsia" w:eastAsia="黑体"/>
          <w:b w:val="0"/>
          <w:bCs w:val="0"/>
          <w:sz w:val="21"/>
          <w:lang w:val="en-US" w:eastAsia="zh-CN"/>
        </w:rPr>
        <w:t>4</w:t>
      </w:r>
      <w:r>
        <w:rPr>
          <w:rFonts w:hint="eastAsia" w:eastAsia="黑体"/>
          <w:b w:val="0"/>
          <w:bCs w:val="0"/>
          <w:sz w:val="21"/>
          <w:lang w:eastAsia="zh-CN"/>
        </w:rPr>
        <w:t>各单位分工情况</w:t>
      </w:r>
    </w:p>
    <w:p w14:paraId="35305676">
      <w:pPr>
        <w:pStyle w:val="59"/>
        <w:numPr>
          <w:ilvl w:val="3"/>
          <w:numId w:val="0"/>
        </w:numPr>
        <w:spacing w:before="156" w:beforeLines="50" w:after="156" w:afterLines="50"/>
        <w:ind w:left="2" w:leftChars="0" w:firstLine="396" w:firstLineChars="200"/>
        <w:contextualSpacing/>
        <w:rPr>
          <w:rFonts w:hint="eastAsia" w:ascii="宋体" w:hAnsi="宋体" w:eastAsia="宋体" w:cs="宋体"/>
          <w:b w:val="0"/>
          <w:bCs w:val="0"/>
          <w:color w:val="auto"/>
          <w:kern w:val="2"/>
          <w:sz w:val="21"/>
          <w:szCs w:val="21"/>
          <w:highlight w:val="none"/>
          <w:lang w:val="en-US" w:eastAsia="zh-CN"/>
        </w:rPr>
      </w:pPr>
      <w:r>
        <w:rPr>
          <w:rFonts w:hint="eastAsia" w:ascii="Times New Roman" w:hAnsi="Times New Roman" w:eastAsia="宋体" w:cs="Times New Roman"/>
          <w:sz w:val="21"/>
          <w:szCs w:val="21"/>
          <w:lang w:val="en-US" w:eastAsia="zh-CN"/>
        </w:rPr>
        <w:t>编制组依据各单位情况，对整个规范的起草进行了分工。</w:t>
      </w:r>
      <w:r>
        <w:rPr>
          <w:rFonts w:hint="eastAsia" w:hAnsi="Times New Roman" w:eastAsia="宋体" w:cs="Times New Roman"/>
          <w:sz w:val="21"/>
          <w:szCs w:val="21"/>
          <w:lang w:val="en-US" w:eastAsia="zh-CN"/>
        </w:rPr>
        <w:t>西安汉唐分析检测有限公司</w:t>
      </w:r>
      <w:r>
        <w:rPr>
          <w:rFonts w:hint="eastAsia" w:ascii="Times New Roman" w:hAnsi="Times New Roman" w:eastAsia="宋体" w:cs="Times New Roman"/>
          <w:sz w:val="21"/>
          <w:szCs w:val="21"/>
          <w:lang w:val="en-US" w:eastAsia="zh-CN"/>
        </w:rPr>
        <w:t>（主编单位）</w:t>
      </w:r>
      <w:r>
        <w:rPr>
          <w:rFonts w:hint="default" w:ascii="宋体" w:hAnsi="宋体" w:eastAsia="宋体" w:cs="宋体"/>
          <w:b w:val="0"/>
          <w:bCs w:val="0"/>
          <w:color w:val="auto"/>
          <w:kern w:val="2"/>
          <w:sz w:val="21"/>
          <w:szCs w:val="21"/>
          <w:highlight w:val="none"/>
          <w:lang w:val="en-US" w:eastAsia="zh-CN"/>
        </w:rPr>
        <w:t>负责</w:t>
      </w:r>
      <w:r>
        <w:rPr>
          <w:rFonts w:hint="eastAsia" w:ascii="宋体" w:hAnsi="宋体" w:eastAsia="宋体" w:cs="宋体"/>
          <w:b w:val="0"/>
          <w:bCs w:val="0"/>
          <w:color w:val="auto"/>
          <w:kern w:val="2"/>
          <w:sz w:val="21"/>
          <w:szCs w:val="21"/>
          <w:highlight w:val="none"/>
          <w:lang w:val="en-US" w:eastAsia="zh-CN"/>
        </w:rPr>
        <w:t>资料的调研、</w:t>
      </w:r>
      <w:r>
        <w:rPr>
          <w:rFonts w:hint="default" w:ascii="宋体" w:hAnsi="宋体" w:eastAsia="宋体" w:cs="宋体"/>
          <w:b w:val="0"/>
          <w:bCs w:val="0"/>
          <w:color w:val="auto"/>
          <w:kern w:val="2"/>
          <w:sz w:val="21"/>
          <w:szCs w:val="21"/>
          <w:highlight w:val="none"/>
          <w:lang w:val="en-US" w:eastAsia="zh-CN"/>
        </w:rPr>
        <w:t>收集，完成分析方法研究工作，撰写标准文稿、编制说明和研究报告</w:t>
      </w:r>
      <w:r>
        <w:rPr>
          <w:rFonts w:hint="eastAsia" w:ascii="宋体" w:hAnsi="宋体" w:eastAsia="宋体" w:cs="宋体"/>
          <w:b w:val="0"/>
          <w:bCs w:val="0"/>
          <w:color w:val="auto"/>
          <w:kern w:val="2"/>
          <w:sz w:val="21"/>
          <w:szCs w:val="21"/>
          <w:highlight w:val="none"/>
          <w:lang w:val="en-US" w:eastAsia="zh-CN"/>
        </w:rPr>
        <w:t>。</w:t>
      </w:r>
      <w:r>
        <w:rPr>
          <w:rFonts w:hint="eastAsia" w:ascii="Times New Roman" w:hAnsi="Times New Roman" w:eastAsia="宋体" w:cs="Times New Roman"/>
          <w:sz w:val="21"/>
          <w:szCs w:val="21"/>
          <w:lang w:val="en-US" w:eastAsia="zh-CN"/>
        </w:rPr>
        <w:t>有色金属技术经济研究院有限责任公司、西部超导材料科技股份有限公司</w:t>
      </w:r>
      <w:r>
        <w:rPr>
          <w:rFonts w:hint="eastAsia" w:ascii="Times New Roman" w:hAnsi="Times New Roman" w:eastAsia="宋体" w:cs="Times New Roman"/>
          <w:sz w:val="21"/>
          <w:szCs w:val="21"/>
          <w:lang w:eastAsia="zh-CN"/>
        </w:rPr>
        <w:t>、西安建筑科技大学</w:t>
      </w:r>
      <w:r>
        <w:rPr>
          <w:rFonts w:hint="eastAsia" w:hAnsi="Times New Roman" w:eastAsia="宋体" w:cs="Times New Roman"/>
          <w:sz w:val="21"/>
          <w:szCs w:val="21"/>
          <w:lang w:eastAsia="zh-CN"/>
        </w:rPr>
        <w:t>、</w:t>
      </w:r>
      <w:r>
        <w:rPr>
          <w:rFonts w:hint="eastAsia" w:ascii="Times New Roman" w:hAnsi="Times New Roman" w:eastAsia="宋体" w:cs="Times New Roman"/>
          <w:sz w:val="21"/>
          <w:szCs w:val="21"/>
          <w:lang w:eastAsia="zh-CN"/>
        </w:rPr>
        <w:t>西安核设备有限公司</w:t>
      </w:r>
      <w:r>
        <w:rPr>
          <w:rFonts w:hint="eastAsia" w:hAnsi="Times New Roman" w:eastAsia="宋体" w:cs="Times New Roman"/>
          <w:sz w:val="21"/>
          <w:szCs w:val="21"/>
          <w:lang w:eastAsia="zh-CN"/>
        </w:rPr>
        <w:t>、</w:t>
      </w:r>
      <w:r>
        <w:rPr>
          <w:rFonts w:hint="eastAsia" w:ascii="Times New Roman" w:hAnsi="Times New Roman" w:eastAsia="宋体" w:cs="Times New Roman"/>
          <w:sz w:val="21"/>
          <w:szCs w:val="21"/>
          <w:lang w:eastAsia="zh-CN"/>
        </w:rPr>
        <w:t>宝钛集团有限公司</w:t>
      </w:r>
      <w:r>
        <w:rPr>
          <w:rFonts w:hint="eastAsia" w:ascii="Times New Roman" w:hAnsi="Times New Roman" w:eastAsia="宋体" w:cs="Times New Roman"/>
          <w:sz w:val="21"/>
          <w:szCs w:val="21"/>
          <w:lang w:val="en-US" w:eastAsia="zh-CN"/>
        </w:rPr>
        <w:t>对规范内容提出具体修改意见，</w:t>
      </w:r>
      <w:r>
        <w:rPr>
          <w:rFonts w:hint="default" w:ascii="宋体" w:hAnsi="宋体" w:eastAsia="宋体" w:cs="宋体"/>
          <w:b w:val="0"/>
          <w:bCs w:val="0"/>
          <w:color w:val="auto"/>
          <w:kern w:val="2"/>
          <w:sz w:val="21"/>
          <w:szCs w:val="21"/>
          <w:highlight w:val="none"/>
          <w:lang w:val="en-US" w:eastAsia="zh-CN"/>
        </w:rPr>
        <w:t>提供</w:t>
      </w:r>
      <w:r>
        <w:rPr>
          <w:rFonts w:hint="eastAsia" w:ascii="宋体" w:hAnsi="宋体" w:eastAsia="宋体" w:cs="宋体"/>
          <w:b w:val="0"/>
          <w:bCs w:val="0"/>
          <w:color w:val="auto"/>
          <w:kern w:val="2"/>
          <w:sz w:val="21"/>
          <w:szCs w:val="21"/>
          <w:highlight w:val="none"/>
          <w:lang w:val="en-US" w:eastAsia="zh-CN"/>
        </w:rPr>
        <w:t>对规范方法的验证工作及完成相应验证报告</w:t>
      </w:r>
      <w:r>
        <w:rPr>
          <w:rFonts w:hint="default" w:ascii="宋体" w:hAnsi="宋体" w:eastAsia="宋体" w:cs="宋体"/>
          <w:b w:val="0"/>
          <w:bCs w:val="0"/>
          <w:color w:val="auto"/>
          <w:kern w:val="2"/>
          <w:sz w:val="21"/>
          <w:szCs w:val="21"/>
          <w:highlight w:val="none"/>
          <w:lang w:val="en-US" w:eastAsia="zh-CN"/>
        </w:rPr>
        <w:t>，并对标准文稿等提出相应修改意见</w:t>
      </w:r>
      <w:r>
        <w:rPr>
          <w:rFonts w:hint="eastAsia" w:ascii="宋体" w:hAnsi="宋体" w:eastAsia="宋体" w:cs="宋体"/>
          <w:b w:val="0"/>
          <w:bCs w:val="0"/>
          <w:color w:val="auto"/>
          <w:kern w:val="2"/>
          <w:sz w:val="21"/>
          <w:szCs w:val="21"/>
          <w:highlight w:val="none"/>
          <w:lang w:val="en-US" w:eastAsia="zh-CN"/>
        </w:rPr>
        <w:t>，分工见表1。</w:t>
      </w:r>
    </w:p>
    <w:p w14:paraId="6875DD3B">
      <w:pPr>
        <w:pStyle w:val="58"/>
        <w:ind w:left="0" w:leftChars="0" w:firstLine="0" w:firstLineChars="0"/>
        <w:jc w:val="center"/>
        <w:rPr>
          <w:rFonts w:hint="default"/>
          <w:lang w:val="en-US" w:eastAsia="zh-CN"/>
        </w:rPr>
      </w:pPr>
      <w:r>
        <w:rPr>
          <w:rFonts w:hint="eastAsia"/>
          <w:lang w:eastAsia="zh-CN"/>
        </w:rPr>
        <w:t>表</w:t>
      </w:r>
      <w:r>
        <w:rPr>
          <w:rFonts w:hint="eastAsia"/>
          <w:lang w:val="en-US" w:eastAsia="zh-CN"/>
        </w:rPr>
        <w:t>1 各单位分工表</w:t>
      </w:r>
    </w:p>
    <w:tbl>
      <w:tblPr>
        <w:tblStyle w:val="42"/>
        <w:tblpPr w:leftFromText="180" w:rightFromText="180" w:vertAnchor="text" w:horzAnchor="page" w:tblpX="1340" w:tblpY="37"/>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0"/>
        <w:gridCol w:w="1036"/>
        <w:gridCol w:w="982"/>
        <w:gridCol w:w="5623"/>
      </w:tblGrid>
      <w:tr w14:paraId="2FC0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noWrap w:val="0"/>
            <w:vAlign w:val="top"/>
          </w:tcPr>
          <w:p w14:paraId="708844C6">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单位</w:t>
            </w:r>
          </w:p>
        </w:tc>
        <w:tc>
          <w:tcPr>
            <w:tcW w:w="541" w:type="pct"/>
            <w:noWrap w:val="0"/>
            <w:vAlign w:val="top"/>
          </w:tcPr>
          <w:p w14:paraId="1AC836CA">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人员</w:t>
            </w:r>
          </w:p>
        </w:tc>
        <w:tc>
          <w:tcPr>
            <w:tcW w:w="513" w:type="pct"/>
            <w:noWrap w:val="0"/>
            <w:vAlign w:val="top"/>
          </w:tcPr>
          <w:p w14:paraId="7D6D74FB">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职称</w:t>
            </w:r>
          </w:p>
        </w:tc>
        <w:tc>
          <w:tcPr>
            <w:tcW w:w="2937" w:type="pct"/>
            <w:noWrap w:val="0"/>
            <w:vAlign w:val="top"/>
          </w:tcPr>
          <w:p w14:paraId="3EB09C57">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工作分工</w:t>
            </w:r>
          </w:p>
        </w:tc>
      </w:tr>
      <w:tr w14:paraId="6674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noWrap w:val="0"/>
            <w:vAlign w:val="center"/>
          </w:tcPr>
          <w:p w14:paraId="4A520229">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宋体" w:hAnsi="宋体" w:cs="宋体"/>
                <w:b w:val="0"/>
                <w:bCs w:val="0"/>
                <w:color w:val="auto"/>
                <w:kern w:val="2"/>
                <w:sz w:val="21"/>
                <w:szCs w:val="21"/>
                <w:lang w:val="en-US" w:eastAsia="zh-CN"/>
              </w:rPr>
              <w:t>西安汉唐分析检测有限公司</w:t>
            </w:r>
          </w:p>
        </w:tc>
        <w:tc>
          <w:tcPr>
            <w:tcW w:w="541" w:type="pct"/>
            <w:noWrap w:val="0"/>
            <w:vAlign w:val="center"/>
          </w:tcPr>
          <w:p w14:paraId="3F127E26">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eastAsia="宋体" w:cs="Times New Roman"/>
                <w:b w:val="0"/>
                <w:color w:val="auto"/>
                <w:kern w:val="2"/>
                <w:sz w:val="21"/>
                <w:szCs w:val="21"/>
                <w:vertAlign w:val="baseline"/>
                <w:lang w:val="en-US" w:eastAsia="zh-CN" w:bidi="ar-SA"/>
              </w:rPr>
            </w:pPr>
            <w:r>
              <w:rPr>
                <w:rFonts w:hint="eastAsia" w:ascii="宋体" w:hAnsi="宋体" w:cs="宋体"/>
                <w:b w:val="0"/>
                <w:bCs w:val="0"/>
                <w:color w:val="auto"/>
                <w:kern w:val="2"/>
                <w:sz w:val="21"/>
                <w:szCs w:val="21"/>
                <w:lang w:val="en-US" w:eastAsia="zh-CN"/>
              </w:rPr>
              <w:t>刘泽晨</w:t>
            </w:r>
          </w:p>
        </w:tc>
        <w:tc>
          <w:tcPr>
            <w:tcW w:w="513" w:type="pct"/>
            <w:noWrap w:val="0"/>
            <w:vAlign w:val="center"/>
          </w:tcPr>
          <w:p w14:paraId="37CDD962">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宋体" w:hAnsi="宋体" w:cs="宋体"/>
                <w:b w:val="0"/>
                <w:bCs w:val="0"/>
                <w:color w:val="auto"/>
                <w:kern w:val="2"/>
                <w:sz w:val="21"/>
                <w:szCs w:val="21"/>
                <w:lang w:val="en-US" w:eastAsia="zh-CN"/>
              </w:rPr>
              <w:t>工程师</w:t>
            </w:r>
          </w:p>
        </w:tc>
        <w:tc>
          <w:tcPr>
            <w:tcW w:w="2937" w:type="pct"/>
            <w:noWrap w:val="0"/>
            <w:vAlign w:val="center"/>
          </w:tcPr>
          <w:p w14:paraId="28791FA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规范</w:t>
            </w:r>
            <w:r>
              <w:rPr>
                <w:rFonts w:hint="eastAsia" w:ascii="Times New Roman" w:hAnsi="Times New Roman" w:cs="Times New Roman"/>
                <w:b w:val="0"/>
                <w:color w:val="auto"/>
                <w:kern w:val="2"/>
                <w:sz w:val="21"/>
                <w:szCs w:val="21"/>
                <w:vertAlign w:val="baseline"/>
                <w:lang w:val="en-US" w:eastAsia="zh-CN" w:bidi="ar-SA"/>
              </w:rPr>
              <w:t>起草编制，</w:t>
            </w:r>
            <w:r>
              <w:rPr>
                <w:rFonts w:hint="eastAsia" w:cs="Times New Roman"/>
                <w:b w:val="0"/>
                <w:color w:val="auto"/>
                <w:kern w:val="2"/>
                <w:sz w:val="21"/>
                <w:szCs w:val="21"/>
                <w:vertAlign w:val="baseline"/>
                <w:lang w:val="en-US" w:eastAsia="zh-CN" w:bidi="ar-SA"/>
              </w:rPr>
              <w:t>试</w:t>
            </w:r>
            <w:r>
              <w:rPr>
                <w:rFonts w:hint="eastAsia" w:ascii="Times New Roman" w:hAnsi="Times New Roman" w:cs="Times New Roman"/>
                <w:b w:val="0"/>
                <w:color w:val="auto"/>
                <w:kern w:val="2"/>
                <w:sz w:val="21"/>
                <w:szCs w:val="21"/>
                <w:vertAlign w:val="baseline"/>
                <w:lang w:val="en-US" w:eastAsia="zh-CN" w:bidi="ar-SA"/>
              </w:rPr>
              <w:t>验方案编订，实验数据分析</w:t>
            </w:r>
            <w:r>
              <w:rPr>
                <w:rFonts w:hint="eastAsia" w:cs="Times New Roman"/>
                <w:b w:val="0"/>
                <w:color w:val="auto"/>
                <w:kern w:val="2"/>
                <w:sz w:val="21"/>
                <w:szCs w:val="21"/>
                <w:vertAlign w:val="baseline"/>
                <w:lang w:val="en-US" w:eastAsia="zh-CN" w:bidi="ar-SA"/>
              </w:rPr>
              <w:t>，编制说明的撰写工作，会议纪要整理及规范的完善。</w:t>
            </w:r>
          </w:p>
        </w:tc>
      </w:tr>
      <w:tr w14:paraId="0871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noWrap w:val="0"/>
            <w:vAlign w:val="center"/>
          </w:tcPr>
          <w:p w14:paraId="7AD17559">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有色金属技术经济研究院有限责任公司</w:t>
            </w:r>
          </w:p>
        </w:tc>
        <w:tc>
          <w:tcPr>
            <w:tcW w:w="541" w:type="pct"/>
            <w:noWrap w:val="0"/>
            <w:vAlign w:val="center"/>
          </w:tcPr>
          <w:p w14:paraId="44424AF7">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eastAsia="宋体" w:cs="Times New Roman"/>
                <w:b w:val="0"/>
                <w:color w:val="auto"/>
                <w:kern w:val="2"/>
                <w:sz w:val="21"/>
                <w:szCs w:val="21"/>
                <w:lang w:val="en-US" w:eastAsia="zh-CN" w:bidi="ar-SA"/>
              </w:rPr>
            </w:pPr>
            <w:r>
              <w:rPr>
                <w:rFonts w:hint="eastAsia" w:eastAsia="宋体" w:cs="Times New Roman"/>
                <w:b w:val="0"/>
                <w:color w:val="auto"/>
                <w:kern w:val="2"/>
                <w:sz w:val="21"/>
                <w:szCs w:val="21"/>
                <w:lang w:val="en-US" w:eastAsia="zh-CN" w:bidi="ar-SA"/>
              </w:rPr>
              <w:t>闫雁楠</w:t>
            </w:r>
          </w:p>
        </w:tc>
        <w:tc>
          <w:tcPr>
            <w:tcW w:w="513" w:type="pct"/>
            <w:noWrap w:val="0"/>
            <w:vAlign w:val="center"/>
          </w:tcPr>
          <w:p w14:paraId="70D82CE4">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r>
              <w:rPr>
                <w:rFonts w:hint="eastAsia" w:ascii="宋体" w:hAnsi="宋体" w:cs="宋体"/>
                <w:b w:val="0"/>
                <w:bCs w:val="0"/>
                <w:color w:val="auto"/>
                <w:kern w:val="2"/>
                <w:sz w:val="21"/>
                <w:szCs w:val="21"/>
                <w:lang w:val="en-US" w:eastAsia="zh-CN"/>
              </w:rPr>
              <w:t>高级工程师</w:t>
            </w:r>
          </w:p>
        </w:tc>
        <w:tc>
          <w:tcPr>
            <w:tcW w:w="2937" w:type="pct"/>
            <w:noWrap w:val="0"/>
            <w:vAlign w:val="center"/>
          </w:tcPr>
          <w:p w14:paraId="03E5F134">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w:t>
            </w:r>
          </w:p>
        </w:tc>
      </w:tr>
      <w:tr w14:paraId="6579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noWrap w:val="0"/>
            <w:vAlign w:val="center"/>
          </w:tcPr>
          <w:p w14:paraId="2B3E199D">
            <w:pPr>
              <w:pStyle w:val="60"/>
              <w:keepNext w:val="0"/>
              <w:keepLines w:val="0"/>
              <w:pageBreakBefore w:val="0"/>
              <w:kinsoku/>
              <w:wordWrap/>
              <w:overflowPunct/>
              <w:topLinePunct w:val="0"/>
              <w:bidi w:val="0"/>
              <w:adjustRightInd/>
              <w:snapToGrid/>
              <w:spacing w:line="360" w:lineRule="auto"/>
              <w:textAlignment w:val="auto"/>
              <w:rPr>
                <w:rFonts w:hint="eastAsia" w:ascii="宋体" w:hAnsi="宋体" w:cs="宋体"/>
                <w:b w:val="0"/>
                <w:bCs w:val="0"/>
                <w:color w:val="auto"/>
                <w:kern w:val="2"/>
                <w:sz w:val="21"/>
                <w:szCs w:val="21"/>
                <w:lang w:val="en-US" w:eastAsia="zh-CN"/>
              </w:rPr>
            </w:pPr>
            <w:r>
              <w:rPr>
                <w:rFonts w:hint="default" w:ascii="Times New Roman" w:hAnsi="Times New Roman" w:eastAsia="宋体" w:cs="Times New Roman"/>
                <w:color w:val="000000" w:themeColor="text1"/>
                <w14:textFill>
                  <w14:solidFill>
                    <w14:schemeClr w14:val="tx1"/>
                  </w14:solidFill>
                </w14:textFill>
              </w:rPr>
              <w:t>西安特种设备检验检测院</w:t>
            </w:r>
          </w:p>
        </w:tc>
        <w:tc>
          <w:tcPr>
            <w:tcW w:w="541" w:type="pct"/>
            <w:noWrap w:val="0"/>
            <w:vAlign w:val="center"/>
          </w:tcPr>
          <w:p w14:paraId="37A27A73">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eastAsia="宋体" w:cs="Times New Roman"/>
                <w:b w:val="0"/>
                <w:color w:val="auto"/>
                <w:kern w:val="2"/>
                <w:sz w:val="21"/>
                <w:szCs w:val="21"/>
                <w:lang w:val="en-US" w:eastAsia="zh-CN" w:bidi="ar-SA"/>
              </w:rPr>
            </w:pPr>
            <w:r>
              <w:rPr>
                <w:rFonts w:hint="default" w:ascii="Times New Roman" w:hAnsi="Times New Roman" w:cs="Times New Roman"/>
                <w:b w:val="0"/>
                <w:color w:val="auto"/>
                <w:kern w:val="2"/>
                <w:sz w:val="21"/>
                <w:szCs w:val="21"/>
                <w:vertAlign w:val="baseline"/>
                <w:lang w:val="en-US" w:eastAsia="zh-CN" w:bidi="ar-SA"/>
              </w:rPr>
              <w:t>陈梦诗</w:t>
            </w:r>
          </w:p>
        </w:tc>
        <w:tc>
          <w:tcPr>
            <w:tcW w:w="513" w:type="pct"/>
            <w:noWrap w:val="0"/>
            <w:vAlign w:val="center"/>
          </w:tcPr>
          <w:p w14:paraId="08F523E2">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工程师</w:t>
            </w:r>
          </w:p>
        </w:tc>
        <w:tc>
          <w:tcPr>
            <w:tcW w:w="2937" w:type="pct"/>
            <w:noWrap w:val="0"/>
            <w:vAlign w:val="center"/>
          </w:tcPr>
          <w:p w14:paraId="2F002169">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对规范中计量特性对应的操作方法进行实验，验证实验方法的可行性，并出具验证报告</w:t>
            </w:r>
          </w:p>
        </w:tc>
      </w:tr>
      <w:tr w14:paraId="5437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008" w:type="pct"/>
            <w:noWrap w:val="0"/>
            <w:vAlign w:val="center"/>
          </w:tcPr>
          <w:p w14:paraId="5868C1CF">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sz w:val="21"/>
                <w:szCs w:val="21"/>
                <w:lang w:val="en-US" w:eastAsia="zh-CN"/>
              </w:rPr>
              <w:t>西部超导材料科技股份有限公司</w:t>
            </w:r>
          </w:p>
        </w:tc>
        <w:tc>
          <w:tcPr>
            <w:tcW w:w="541" w:type="pct"/>
            <w:noWrap w:val="0"/>
            <w:vAlign w:val="center"/>
          </w:tcPr>
          <w:p w14:paraId="4DF7788A">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cs="Times New Roman"/>
                <w:b w:val="0"/>
                <w:color w:val="auto"/>
                <w:kern w:val="2"/>
                <w:sz w:val="21"/>
                <w:szCs w:val="21"/>
                <w:lang w:val="en-US" w:eastAsia="zh-CN" w:bidi="ar-SA"/>
              </w:rPr>
            </w:pPr>
            <w:r>
              <w:rPr>
                <w:rFonts w:hint="eastAsia" w:ascii="宋体" w:hAnsi="宋体" w:cs="宋体"/>
                <w:b w:val="0"/>
                <w:bCs w:val="0"/>
                <w:color w:val="auto"/>
                <w:kern w:val="2"/>
                <w:sz w:val="21"/>
                <w:szCs w:val="21"/>
                <w:lang w:val="en-US" w:eastAsia="zh-CN"/>
              </w:rPr>
              <w:t>刘柯</w:t>
            </w:r>
          </w:p>
        </w:tc>
        <w:tc>
          <w:tcPr>
            <w:tcW w:w="513" w:type="pct"/>
            <w:noWrap w:val="0"/>
            <w:vAlign w:val="center"/>
          </w:tcPr>
          <w:p w14:paraId="3E8D220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cs="Times New Roman"/>
                <w:b w:val="0"/>
                <w:color w:val="auto"/>
                <w:kern w:val="2"/>
                <w:sz w:val="21"/>
                <w:szCs w:val="21"/>
                <w:highlight w:val="none"/>
                <w:vertAlign w:val="baseline"/>
                <w:lang w:val="en-US" w:eastAsia="zh-CN" w:bidi="ar-SA"/>
              </w:rPr>
            </w:pPr>
            <w:r>
              <w:rPr>
                <w:rFonts w:hint="eastAsia" w:ascii="宋体" w:hAnsi="宋体" w:cs="宋体"/>
                <w:b w:val="0"/>
                <w:bCs w:val="0"/>
                <w:color w:val="auto"/>
                <w:kern w:val="2"/>
                <w:sz w:val="21"/>
                <w:szCs w:val="21"/>
                <w:lang w:val="en-US" w:eastAsia="zh-CN"/>
              </w:rPr>
              <w:t>工程师</w:t>
            </w:r>
          </w:p>
        </w:tc>
        <w:tc>
          <w:tcPr>
            <w:tcW w:w="2937" w:type="pct"/>
            <w:noWrap w:val="0"/>
            <w:vAlign w:val="center"/>
          </w:tcPr>
          <w:p w14:paraId="3E3EFBC4">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eastAsia" w:ascii="Times New Roman" w:hAnsi="Times New Roman"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内容审阅并提出修改意见，规范验证工作</w:t>
            </w:r>
          </w:p>
        </w:tc>
      </w:tr>
      <w:tr w14:paraId="660D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008" w:type="pct"/>
            <w:noWrap w:val="0"/>
            <w:vAlign w:val="center"/>
          </w:tcPr>
          <w:p w14:paraId="28E50256">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西部</w:t>
            </w:r>
            <w:r>
              <w:rPr>
                <w:rFonts w:hint="eastAsia" w:cs="Times New Roman"/>
                <w:sz w:val="21"/>
                <w:szCs w:val="21"/>
                <w:lang w:val="en-US" w:eastAsia="zh-CN"/>
              </w:rPr>
              <w:t>金属</w:t>
            </w:r>
            <w:r>
              <w:rPr>
                <w:rFonts w:hint="eastAsia" w:ascii="Times New Roman" w:hAnsi="Times New Roman" w:eastAsia="宋体" w:cs="Times New Roman"/>
                <w:sz w:val="21"/>
                <w:szCs w:val="21"/>
                <w:lang w:val="en-US" w:eastAsia="zh-CN"/>
              </w:rPr>
              <w:t>材料科技股份有限公司</w:t>
            </w:r>
          </w:p>
        </w:tc>
        <w:tc>
          <w:tcPr>
            <w:tcW w:w="541" w:type="pct"/>
            <w:noWrap w:val="0"/>
            <w:vAlign w:val="center"/>
          </w:tcPr>
          <w:p w14:paraId="68C5A35D">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王礼营</w:t>
            </w:r>
          </w:p>
        </w:tc>
        <w:tc>
          <w:tcPr>
            <w:tcW w:w="513" w:type="pct"/>
            <w:noWrap w:val="0"/>
            <w:vAlign w:val="center"/>
          </w:tcPr>
          <w:p w14:paraId="0C22AE99">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高级工程师</w:t>
            </w:r>
          </w:p>
        </w:tc>
        <w:tc>
          <w:tcPr>
            <w:tcW w:w="2937" w:type="pct"/>
            <w:noWrap w:val="0"/>
            <w:vAlign w:val="center"/>
          </w:tcPr>
          <w:p w14:paraId="532BF566">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w:t>
            </w:r>
          </w:p>
        </w:tc>
      </w:tr>
      <w:tr w14:paraId="5F1A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008" w:type="pct"/>
            <w:noWrap w:val="0"/>
            <w:vAlign w:val="center"/>
          </w:tcPr>
          <w:p w14:paraId="4326E632">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sz w:val="21"/>
                <w:szCs w:val="21"/>
                <w:lang w:val="en-US" w:eastAsia="zh-CN"/>
              </w:rPr>
            </w:pPr>
            <w:r>
              <w:rPr>
                <w:rFonts w:hint="eastAsia" w:cs="Times New Roman"/>
                <w:sz w:val="21"/>
                <w:szCs w:val="21"/>
                <w:lang w:val="en-US" w:eastAsia="zh-CN"/>
              </w:rPr>
              <w:t>西北有色金属研究院</w:t>
            </w:r>
          </w:p>
        </w:tc>
        <w:tc>
          <w:tcPr>
            <w:tcW w:w="541" w:type="pct"/>
            <w:noWrap w:val="0"/>
            <w:vAlign w:val="center"/>
          </w:tcPr>
          <w:p w14:paraId="5A663000">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李延超</w:t>
            </w:r>
          </w:p>
        </w:tc>
        <w:tc>
          <w:tcPr>
            <w:tcW w:w="513" w:type="pct"/>
            <w:noWrap w:val="0"/>
            <w:vAlign w:val="center"/>
          </w:tcPr>
          <w:p w14:paraId="4216905F">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高级工程师</w:t>
            </w:r>
          </w:p>
        </w:tc>
        <w:tc>
          <w:tcPr>
            <w:tcW w:w="2937" w:type="pct"/>
            <w:noWrap w:val="0"/>
            <w:vAlign w:val="center"/>
          </w:tcPr>
          <w:p w14:paraId="6D07316C">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w:t>
            </w:r>
          </w:p>
        </w:tc>
      </w:tr>
      <w:tr w14:paraId="5903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noWrap w:val="0"/>
            <w:vAlign w:val="center"/>
          </w:tcPr>
          <w:p w14:paraId="3BE0A149">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陕西天成航空材料有限公司</w:t>
            </w:r>
          </w:p>
        </w:tc>
        <w:tc>
          <w:tcPr>
            <w:tcW w:w="541" w:type="pct"/>
            <w:noWrap w:val="0"/>
            <w:vAlign w:val="center"/>
          </w:tcPr>
          <w:p w14:paraId="16109283">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孙宝洋</w:t>
            </w:r>
          </w:p>
        </w:tc>
        <w:tc>
          <w:tcPr>
            <w:tcW w:w="513" w:type="pct"/>
            <w:noWrap w:val="0"/>
            <w:vAlign w:val="center"/>
          </w:tcPr>
          <w:p w14:paraId="1B7E746A">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cs="Times New Roman"/>
                <w:b w:val="0"/>
                <w:color w:val="auto"/>
                <w:kern w:val="2"/>
                <w:sz w:val="21"/>
                <w:szCs w:val="21"/>
                <w:highlight w:val="none"/>
                <w:vertAlign w:val="baseline"/>
                <w:lang w:val="en-US" w:eastAsia="zh-CN" w:bidi="ar-SA"/>
              </w:rPr>
            </w:pPr>
            <w:r>
              <w:rPr>
                <w:rFonts w:hint="eastAsia" w:ascii="宋体" w:hAnsi="宋体" w:cs="宋体"/>
                <w:b w:val="0"/>
                <w:bCs w:val="0"/>
                <w:color w:val="auto"/>
                <w:kern w:val="2"/>
                <w:sz w:val="21"/>
                <w:szCs w:val="21"/>
                <w:lang w:val="en-US" w:eastAsia="zh-CN"/>
              </w:rPr>
              <w:t>高级工程师</w:t>
            </w:r>
          </w:p>
        </w:tc>
        <w:tc>
          <w:tcPr>
            <w:tcW w:w="2937" w:type="pct"/>
            <w:noWrap w:val="0"/>
            <w:vAlign w:val="center"/>
          </w:tcPr>
          <w:p w14:paraId="3E6332D0">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default" w:ascii="Times New Roman" w:hAnsi="Times New Roman"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提供超声检测系统，进行实验验证</w:t>
            </w:r>
          </w:p>
        </w:tc>
      </w:tr>
      <w:tr w14:paraId="7B14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noWrap w:val="0"/>
            <w:vAlign w:val="center"/>
          </w:tcPr>
          <w:p w14:paraId="24F1FDA9">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bookmarkStart w:id="14" w:name="_Toc462884357"/>
            <w:bookmarkStart w:id="15" w:name="_Toc464728913"/>
            <w:r>
              <w:rPr>
                <w:rFonts w:hint="eastAsia" w:cs="Times New Roman"/>
                <w:b w:val="0"/>
                <w:color w:val="auto"/>
                <w:kern w:val="2"/>
                <w:sz w:val="21"/>
                <w:szCs w:val="21"/>
                <w:lang w:val="en-US" w:eastAsia="zh-CN" w:bidi="ar-SA"/>
              </w:rPr>
              <w:t>西安建筑科技大学</w:t>
            </w:r>
          </w:p>
        </w:tc>
        <w:tc>
          <w:tcPr>
            <w:tcW w:w="541" w:type="pct"/>
            <w:noWrap w:val="0"/>
            <w:vAlign w:val="center"/>
          </w:tcPr>
          <w:p w14:paraId="76332CA5">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胡平</w:t>
            </w:r>
          </w:p>
        </w:tc>
        <w:tc>
          <w:tcPr>
            <w:tcW w:w="513" w:type="pct"/>
            <w:noWrap w:val="0"/>
            <w:vAlign w:val="center"/>
          </w:tcPr>
          <w:p w14:paraId="4896744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教授</w:t>
            </w:r>
          </w:p>
        </w:tc>
        <w:tc>
          <w:tcPr>
            <w:tcW w:w="2937" w:type="pct"/>
            <w:noWrap w:val="0"/>
            <w:vAlign w:val="center"/>
          </w:tcPr>
          <w:p w14:paraId="2FE75B6A">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w:t>
            </w:r>
          </w:p>
        </w:tc>
      </w:tr>
      <w:tr w14:paraId="4B7D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shd w:val="clear" w:color="auto" w:fill="auto"/>
            <w:noWrap w:val="0"/>
            <w:vAlign w:val="center"/>
          </w:tcPr>
          <w:p w14:paraId="6EA81BB0">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sz w:val="21"/>
                <w:szCs w:val="21"/>
                <w:lang w:eastAsia="zh-CN"/>
              </w:rPr>
              <w:t>宝钛集团有限公司</w:t>
            </w:r>
          </w:p>
        </w:tc>
        <w:tc>
          <w:tcPr>
            <w:tcW w:w="541" w:type="pct"/>
            <w:shd w:val="clear" w:color="auto" w:fill="auto"/>
            <w:noWrap w:val="0"/>
            <w:vAlign w:val="center"/>
          </w:tcPr>
          <w:p w14:paraId="2728E464">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eastAsia="宋体" w:cs="Times New Roman"/>
                <w:b w:val="0"/>
                <w:color w:val="auto"/>
                <w:kern w:val="2"/>
                <w:sz w:val="21"/>
                <w:szCs w:val="21"/>
                <w:vertAlign w:val="baseline"/>
                <w:lang w:val="en-US" w:eastAsia="zh-CN" w:bidi="ar-SA"/>
              </w:rPr>
            </w:pPr>
            <w:r>
              <w:rPr>
                <w:rFonts w:hint="eastAsia" w:ascii="宋体" w:hAnsi="宋体" w:cs="宋体"/>
                <w:b w:val="0"/>
                <w:bCs w:val="0"/>
                <w:color w:val="auto"/>
                <w:kern w:val="2"/>
                <w:sz w:val="21"/>
                <w:szCs w:val="21"/>
                <w:lang w:val="en-US" w:eastAsia="zh-CN"/>
              </w:rPr>
              <w:t>王文华</w:t>
            </w:r>
          </w:p>
        </w:tc>
        <w:tc>
          <w:tcPr>
            <w:tcW w:w="513" w:type="pct"/>
            <w:shd w:val="clear" w:color="auto" w:fill="auto"/>
            <w:noWrap w:val="0"/>
            <w:vAlign w:val="center"/>
          </w:tcPr>
          <w:p w14:paraId="1298ECF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eastAsia="宋体" w:cs="Times New Roman"/>
                <w:b w:val="0"/>
                <w:color w:val="auto"/>
                <w:kern w:val="2"/>
                <w:sz w:val="21"/>
                <w:szCs w:val="21"/>
                <w:highlight w:val="none"/>
                <w:vertAlign w:val="baseline"/>
                <w:lang w:val="en-US" w:eastAsia="zh-CN" w:bidi="ar-SA"/>
              </w:rPr>
            </w:pPr>
            <w:r>
              <w:rPr>
                <w:rFonts w:hint="eastAsia" w:ascii="宋体" w:hAnsi="宋体" w:cs="宋体"/>
                <w:b w:val="0"/>
                <w:bCs w:val="0"/>
                <w:color w:val="auto"/>
                <w:kern w:val="2"/>
                <w:sz w:val="21"/>
                <w:szCs w:val="21"/>
                <w:lang w:val="en-US" w:eastAsia="zh-CN"/>
              </w:rPr>
              <w:t>工程师</w:t>
            </w:r>
          </w:p>
        </w:tc>
        <w:tc>
          <w:tcPr>
            <w:tcW w:w="2937" w:type="pct"/>
            <w:shd w:val="clear" w:color="auto" w:fill="auto"/>
            <w:noWrap w:val="0"/>
            <w:vAlign w:val="center"/>
          </w:tcPr>
          <w:p w14:paraId="06388648">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left"/>
              <w:textAlignment w:val="auto"/>
              <w:outlineLvl w:val="9"/>
              <w:rPr>
                <w:rFonts w:hint="eastAsia" w:ascii="Times New Roman" w:hAnsi="Times New Roman" w:eastAsia="宋体"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内容审阅并提出修改意见，规范验证工作</w:t>
            </w:r>
          </w:p>
        </w:tc>
      </w:tr>
    </w:tbl>
    <w:p w14:paraId="33610B5F">
      <w:pPr>
        <w:pStyle w:val="4"/>
        <w:spacing w:before="156" w:beforeLines="50" w:after="156" w:afterLines="50" w:line="240" w:lineRule="auto"/>
        <w:rPr>
          <w:rFonts w:eastAsia="黑体"/>
          <w:b w:val="0"/>
          <w:bCs w:val="0"/>
          <w:sz w:val="21"/>
        </w:rPr>
      </w:pPr>
      <w:r>
        <w:rPr>
          <w:rFonts w:eastAsia="黑体"/>
          <w:b w:val="0"/>
          <w:bCs w:val="0"/>
          <w:sz w:val="21"/>
        </w:rPr>
        <w:t>4.主要工作过程</w:t>
      </w:r>
      <w:bookmarkEnd w:id="14"/>
      <w:bookmarkEnd w:id="15"/>
    </w:p>
    <w:p w14:paraId="37B542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西安汉唐分析检测有限公司接到有色金属行业计量技术委员会转发下达的制定任务后，成立了计量规范编制组，对计量技术规范编写工作进行了部署和分工，制定了制定原则及计划工作。</w:t>
      </w:r>
    </w:p>
    <w:p w14:paraId="5833A2A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eastAsia"/>
          <w:color w:val="000000" w:themeColor="text1"/>
          <w:szCs w:val="21"/>
          <w:lang w:val="en-US" w:eastAsia="zh-CN"/>
          <w14:textFill>
            <w14:solidFill>
              <w14:schemeClr w14:val="tx1"/>
            </w14:solidFill>
          </w14:textFill>
        </w:rPr>
        <w:t>1</w:t>
      </w:r>
      <w:r>
        <w:rPr>
          <w:color w:val="000000" w:themeColor="text1"/>
          <w:szCs w:val="2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12</w:t>
      </w:r>
      <w:r>
        <w:rPr>
          <w:rFonts w:hint="default" w:ascii="Times New Roman" w:hAnsi="Times New Roman" w:eastAsia="宋体" w:cs="Times New Roman"/>
          <w:color w:val="000000" w:themeColor="text1"/>
          <w14:textFill>
            <w14:solidFill>
              <w14:schemeClr w14:val="tx1"/>
            </w14:solidFill>
          </w14:textFill>
        </w:rPr>
        <w:t>月成立了计量规范编制组，明确编制组成员各自的工作内容及任务，对被校对象的使用单位进行了校准需求调研，收集相关资料。</w:t>
      </w:r>
    </w:p>
    <w:p w14:paraId="7365258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eastAsia"/>
          <w:color w:val="000000" w:themeColor="text1"/>
          <w:szCs w:val="21"/>
          <w:lang w:val="en-US" w:eastAsia="zh-CN"/>
          <w14:textFill>
            <w14:solidFill>
              <w14:schemeClr w14:val="tx1"/>
            </w14:solidFill>
          </w14:textFill>
        </w:rPr>
        <w:t>2</w:t>
      </w:r>
      <w:r>
        <w:rPr>
          <w:color w:val="000000" w:themeColor="text1"/>
          <w:szCs w:val="2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14:textFill>
            <w14:solidFill>
              <w14:schemeClr w14:val="tx1"/>
            </w14:solidFill>
          </w14:textFill>
        </w:rPr>
        <w:t>年12月~202</w:t>
      </w:r>
      <w:r>
        <w:rPr>
          <w:rFonts w:hint="eastAsia" w:cs="Times New Roman"/>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月编制组成员对校准规范中的计量特性及校准方法进行了讨论，确定了校准项目及方法，行成讨论稿。</w:t>
      </w:r>
    </w:p>
    <w:p w14:paraId="481E727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3）2026年3月</w:t>
      </w:r>
      <w:r>
        <w:rPr>
          <w:rFonts w:hint="eastAsia"/>
          <w:color w:val="000000" w:themeColor="text1"/>
          <w:szCs w:val="21"/>
          <w:lang w:val="en-US" w:eastAsia="zh-CN"/>
          <w14:textFill>
            <w14:solidFill>
              <w14:schemeClr w14:val="tx1"/>
            </w14:solidFill>
          </w14:textFill>
        </w:rPr>
        <w:t>24</w:t>
      </w:r>
      <w:r>
        <w:rPr>
          <w:rFonts w:hint="eastAsia"/>
          <w:color w:val="000000" w:themeColor="text1"/>
          <w:szCs w:val="21"/>
          <w14:textFill>
            <w14:solidFill>
              <w14:schemeClr w14:val="tx1"/>
            </w14:solidFill>
          </w14:textFill>
        </w:rPr>
        <w:t>日~</w:t>
      </w:r>
      <w:r>
        <w:rPr>
          <w:rFonts w:hint="eastAsia"/>
          <w:color w:val="000000" w:themeColor="text1"/>
          <w:szCs w:val="21"/>
          <w:lang w:val="en-US" w:eastAsia="zh-CN"/>
          <w14:textFill>
            <w14:solidFill>
              <w14:schemeClr w14:val="tx1"/>
            </w14:solidFill>
          </w14:textFill>
        </w:rPr>
        <w:t>26</w:t>
      </w:r>
      <w:r>
        <w:rPr>
          <w:rFonts w:hint="eastAsia"/>
          <w:color w:val="000000" w:themeColor="text1"/>
          <w:szCs w:val="21"/>
          <w14:textFill>
            <w14:solidFill>
              <w14:schemeClr w14:val="tx1"/>
            </w14:solidFill>
          </w14:textFill>
        </w:rPr>
        <w:t>日，编制组成员参加了由有色金属行业计量技术委员会组织的在</w:t>
      </w:r>
      <w:r>
        <w:rPr>
          <w:rFonts w:hint="eastAsia"/>
          <w:color w:val="000000" w:themeColor="text1"/>
          <w:szCs w:val="21"/>
          <w:lang w:val="en-US" w:eastAsia="zh-CN"/>
          <w14:textFill>
            <w14:solidFill>
              <w14:schemeClr w14:val="tx1"/>
            </w14:solidFill>
          </w14:textFill>
        </w:rPr>
        <w:t>福建省泉州市晋江宝龙酒店</w:t>
      </w:r>
      <w:r>
        <w:rPr>
          <w:rFonts w:hint="eastAsia"/>
          <w:color w:val="000000" w:themeColor="text1"/>
          <w:szCs w:val="21"/>
          <w14:textFill>
            <w14:solidFill>
              <w14:schemeClr w14:val="tx1"/>
            </w14:solidFill>
          </w14:textFill>
        </w:rPr>
        <w:t>召开的有色金属计量技术规范讨论会，与会专家和各单位代表对《脉冲回波式超声检测系统校准规范-讨论稿》提出了修改意见，并且在会上确定了项目负责起草单位明确了各项工作时间进度要求，编制组依据讨论会上提出的修改意见，修改讨论稿并形成征求意见稿，具体内容见表1。修改后形成了《脉冲回波式超声检测系统校准规范-征求意见稿》</w:t>
      </w:r>
      <w:r>
        <w:rPr>
          <w:rFonts w:hint="default" w:ascii="Times New Roman" w:hAnsi="Times New Roman" w:eastAsia="宋体" w:cs="Times New Roman"/>
          <w:color w:val="000000" w:themeColor="text1"/>
          <w14:textFill>
            <w14:solidFill>
              <w14:schemeClr w14:val="tx1"/>
            </w14:solidFill>
          </w14:textFill>
        </w:rPr>
        <w:t>。</w:t>
      </w:r>
    </w:p>
    <w:p w14:paraId="398F0F4A">
      <w:pPr>
        <w:spacing w:line="360" w:lineRule="auto"/>
        <w:ind w:firstLine="210" w:firstLineChars="100"/>
        <w:jc w:val="center"/>
      </w:pPr>
      <w:r>
        <w:t>表</w:t>
      </w:r>
      <w:r>
        <w:rPr>
          <w:rFonts w:hint="eastAsia"/>
          <w:lang w:val="en-US" w:eastAsia="zh-CN"/>
        </w:rPr>
        <w:t>2</w:t>
      </w:r>
      <w:r>
        <w:t>有色金属计量技术规范研讨会会议纪要（</w:t>
      </w:r>
      <w:r>
        <w:rPr>
          <w:rFonts w:hint="eastAsia"/>
          <w:lang w:val="en-US" w:eastAsia="zh-CN"/>
        </w:rPr>
        <w:t>征求意见</w:t>
      </w:r>
      <w:r>
        <w:t>稿）</w:t>
      </w:r>
    </w:p>
    <w:tbl>
      <w:tblPr>
        <w:tblStyle w:val="41"/>
        <w:tblW w:w="4861" w:type="pct"/>
        <w:tblInd w:w="-5" w:type="dxa"/>
        <w:tblLayout w:type="fixed"/>
        <w:tblCellMar>
          <w:top w:w="0" w:type="dxa"/>
          <w:left w:w="108" w:type="dxa"/>
          <w:bottom w:w="0" w:type="dxa"/>
          <w:right w:w="108" w:type="dxa"/>
        </w:tblCellMar>
      </w:tblPr>
      <w:tblGrid>
        <w:gridCol w:w="1025"/>
        <w:gridCol w:w="1024"/>
        <w:gridCol w:w="4431"/>
        <w:gridCol w:w="1407"/>
        <w:gridCol w:w="1418"/>
      </w:tblGrid>
      <w:tr w14:paraId="2AC6CE9B">
        <w:tblPrEx>
          <w:tblCellMar>
            <w:top w:w="0" w:type="dxa"/>
            <w:left w:w="108" w:type="dxa"/>
            <w:bottom w:w="0" w:type="dxa"/>
            <w:right w:w="108" w:type="dxa"/>
          </w:tblCellMar>
        </w:tblPrEx>
        <w:trPr>
          <w:trHeight w:val="567" w:hRule="atLeast"/>
        </w:trPr>
        <w:tc>
          <w:tcPr>
            <w:tcW w:w="550" w:type="pct"/>
            <w:tcBorders>
              <w:top w:val="single" w:color="auto" w:sz="4" w:space="0"/>
              <w:left w:val="single" w:color="auto" w:sz="4" w:space="0"/>
              <w:bottom w:val="single" w:color="auto" w:sz="4" w:space="0"/>
              <w:right w:val="single" w:color="auto" w:sz="4" w:space="0"/>
            </w:tcBorders>
            <w:shd w:val="clear" w:color="auto" w:fill="auto"/>
            <w:vAlign w:val="center"/>
          </w:tcPr>
          <w:p w14:paraId="5D5B8283">
            <w:pPr>
              <w:widowControl/>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序号</w:t>
            </w:r>
          </w:p>
        </w:tc>
        <w:tc>
          <w:tcPr>
            <w:tcW w:w="550" w:type="pct"/>
            <w:tcBorders>
              <w:top w:val="single" w:color="auto" w:sz="4" w:space="0"/>
              <w:left w:val="single" w:color="auto" w:sz="4" w:space="0"/>
              <w:bottom w:val="single" w:color="auto" w:sz="4" w:space="0"/>
              <w:right w:val="single" w:color="auto" w:sz="4" w:space="0"/>
            </w:tcBorders>
            <w:shd w:val="clear" w:color="auto" w:fill="auto"/>
            <w:vAlign w:val="center"/>
          </w:tcPr>
          <w:p w14:paraId="1A487A9C">
            <w:pPr>
              <w:widowControl/>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标准章条编号</w:t>
            </w:r>
          </w:p>
        </w:tc>
        <w:tc>
          <w:tcPr>
            <w:tcW w:w="2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BCD177">
            <w:pPr>
              <w:widowControl/>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意见内容</w:t>
            </w:r>
          </w:p>
        </w:tc>
        <w:tc>
          <w:tcPr>
            <w:tcW w:w="7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1B4294">
            <w:pPr>
              <w:widowControl/>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提出单位</w:t>
            </w:r>
          </w:p>
        </w:tc>
        <w:tc>
          <w:tcPr>
            <w:tcW w:w="7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324401">
            <w:pPr>
              <w:widowControl/>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处理意见</w:t>
            </w:r>
          </w:p>
        </w:tc>
      </w:tr>
      <w:tr w14:paraId="73F34467">
        <w:tblPrEx>
          <w:tblCellMar>
            <w:top w:w="0" w:type="dxa"/>
            <w:left w:w="108" w:type="dxa"/>
            <w:bottom w:w="0" w:type="dxa"/>
            <w:right w:w="108" w:type="dxa"/>
          </w:tblCellMar>
        </w:tblPrEx>
        <w:trPr>
          <w:trHeight w:val="567" w:hRule="atLeast"/>
        </w:trPr>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997D00">
            <w:pPr>
              <w:widowControl/>
              <w:jc w:val="center"/>
              <w:rPr>
                <w:rFonts w:hint="default" w:ascii="Times New Roman" w:hAnsi="Times New Roman" w:cs="Times New Roman"/>
                <w:kern w:val="0"/>
                <w:szCs w:val="21"/>
              </w:rPr>
            </w:pPr>
            <w:r>
              <w:rPr>
                <w:kern w:val="0"/>
                <w:szCs w:val="21"/>
              </w:rPr>
              <w:t>1</w:t>
            </w:r>
          </w:p>
        </w:tc>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CCD970">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1范围</w:t>
            </w:r>
          </w:p>
        </w:tc>
        <w:tc>
          <w:tcPr>
            <w:tcW w:w="2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5DFC71">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结合实际，将超声检测系统频率范围修改为（0.5~15.0）MHz</w:t>
            </w:r>
          </w:p>
        </w:tc>
        <w:tc>
          <w:tcPr>
            <w:tcW w:w="7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22B6A7">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陕西天成</w:t>
            </w:r>
          </w:p>
        </w:tc>
        <w:tc>
          <w:tcPr>
            <w:tcW w:w="7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EA30DA">
            <w:pPr>
              <w:widowControl/>
              <w:jc w:val="center"/>
              <w:rPr>
                <w:rFonts w:hint="default" w:ascii="Times New Roman" w:hAnsi="Times New Roman" w:cs="Times New Roman"/>
                <w:kern w:val="0"/>
                <w:szCs w:val="21"/>
              </w:rPr>
            </w:pPr>
            <w:r>
              <w:rPr>
                <w:kern w:val="0"/>
                <w:szCs w:val="21"/>
              </w:rPr>
              <w:t>采纳</w:t>
            </w:r>
          </w:p>
        </w:tc>
      </w:tr>
      <w:tr w14:paraId="3F45D1DE">
        <w:tblPrEx>
          <w:tblCellMar>
            <w:top w:w="0" w:type="dxa"/>
            <w:left w:w="108" w:type="dxa"/>
            <w:bottom w:w="0" w:type="dxa"/>
            <w:right w:w="108" w:type="dxa"/>
          </w:tblCellMar>
        </w:tblPrEx>
        <w:trPr>
          <w:trHeight w:val="567" w:hRule="atLeast"/>
        </w:trPr>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B217A1">
            <w:pPr>
              <w:widowControl/>
              <w:jc w:val="center"/>
              <w:rPr>
                <w:rFonts w:hint="eastAsia" w:eastAsia="宋体"/>
                <w:kern w:val="0"/>
                <w:szCs w:val="21"/>
                <w:lang w:val="en-US" w:eastAsia="zh-CN"/>
              </w:rPr>
            </w:pPr>
            <w:r>
              <w:rPr>
                <w:rFonts w:hint="eastAsia"/>
                <w:kern w:val="0"/>
                <w:szCs w:val="21"/>
                <w:lang w:val="en-US" w:eastAsia="zh-CN"/>
              </w:rPr>
              <w:t>2</w:t>
            </w:r>
          </w:p>
        </w:tc>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C559DF">
            <w:pPr>
              <w:widowControl/>
              <w:jc w:val="center"/>
              <w:rPr>
                <w:rFonts w:hint="default" w:cs="Times New Roman"/>
                <w:kern w:val="0"/>
                <w:szCs w:val="21"/>
                <w:lang w:val="en-US" w:eastAsia="zh-CN"/>
              </w:rPr>
            </w:pPr>
            <w:r>
              <w:rPr>
                <w:rFonts w:hint="eastAsia" w:cs="Times New Roman"/>
                <w:kern w:val="0"/>
                <w:szCs w:val="21"/>
                <w:lang w:val="en-US" w:eastAsia="zh-CN"/>
              </w:rPr>
              <w:t>3概述</w:t>
            </w:r>
          </w:p>
        </w:tc>
        <w:tc>
          <w:tcPr>
            <w:tcW w:w="2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831E0F">
            <w:pPr>
              <w:widowControl/>
              <w:jc w:val="center"/>
              <w:rPr>
                <w:rFonts w:hint="default" w:cs="Times New Roman"/>
                <w:kern w:val="0"/>
                <w:szCs w:val="21"/>
                <w:lang w:val="en-US" w:eastAsia="zh-CN"/>
              </w:rPr>
            </w:pPr>
            <w:r>
              <w:rPr>
                <w:rFonts w:hint="eastAsia" w:cs="Times New Roman"/>
                <w:kern w:val="0"/>
                <w:szCs w:val="21"/>
                <w:lang w:val="en-US" w:eastAsia="zh-CN"/>
              </w:rPr>
              <w:t>参照国家规范概述修改相应内容</w:t>
            </w:r>
          </w:p>
        </w:tc>
        <w:tc>
          <w:tcPr>
            <w:tcW w:w="7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A3E009">
            <w:pPr>
              <w:widowControl/>
              <w:jc w:val="center"/>
              <w:rPr>
                <w:rFonts w:hint="eastAsia" w:cs="Times New Roman"/>
                <w:kern w:val="0"/>
                <w:szCs w:val="21"/>
                <w:lang w:val="en-US" w:eastAsia="zh-CN"/>
              </w:rPr>
            </w:pPr>
            <w:r>
              <w:rPr>
                <w:rFonts w:hint="eastAsia" w:cs="Times New Roman"/>
                <w:kern w:val="0"/>
                <w:szCs w:val="21"/>
                <w:lang w:val="en-US" w:eastAsia="zh-CN"/>
              </w:rPr>
              <w:t>国合通用(青岛)测试评价有限公司</w:t>
            </w:r>
          </w:p>
        </w:tc>
        <w:tc>
          <w:tcPr>
            <w:tcW w:w="7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51625A">
            <w:pPr>
              <w:widowControl/>
              <w:jc w:val="center"/>
              <w:rPr>
                <w:kern w:val="0"/>
                <w:szCs w:val="21"/>
              </w:rPr>
            </w:pPr>
            <w:r>
              <w:rPr>
                <w:kern w:val="0"/>
                <w:szCs w:val="21"/>
              </w:rPr>
              <w:t>采纳</w:t>
            </w:r>
          </w:p>
        </w:tc>
      </w:tr>
      <w:tr w14:paraId="6785AA56">
        <w:tblPrEx>
          <w:tblCellMar>
            <w:top w:w="0" w:type="dxa"/>
            <w:left w:w="108" w:type="dxa"/>
            <w:bottom w:w="0" w:type="dxa"/>
            <w:right w:w="108" w:type="dxa"/>
          </w:tblCellMar>
        </w:tblPrEx>
        <w:trPr>
          <w:trHeight w:val="567" w:hRule="atLeast"/>
        </w:trPr>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BCE80C">
            <w:pPr>
              <w:widowControl/>
              <w:jc w:val="center"/>
              <w:rPr>
                <w:rFonts w:hint="default" w:ascii="Times New Roman" w:hAnsi="Times New Roman" w:cs="Times New Roman"/>
                <w:kern w:val="0"/>
                <w:szCs w:val="21"/>
              </w:rPr>
            </w:pPr>
            <w:r>
              <w:rPr>
                <w:kern w:val="0"/>
                <w:szCs w:val="21"/>
              </w:rPr>
              <w:t>3</w:t>
            </w:r>
          </w:p>
        </w:tc>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51BEA6">
            <w:pPr>
              <w:widowControl/>
              <w:jc w:val="center"/>
              <w:rPr>
                <w:rFonts w:hint="default" w:ascii="Times New Roman" w:hAnsi="Times New Roman" w:eastAsia="宋体" w:cs="Times New Roman"/>
                <w:kern w:val="0"/>
                <w:sz w:val="21"/>
                <w:szCs w:val="21"/>
                <w:lang w:val="en-US" w:eastAsia="zh-CN" w:bidi="ar-SA"/>
              </w:rPr>
            </w:pPr>
            <w:r>
              <w:rPr>
                <w:rFonts w:hint="eastAsia"/>
                <w:kern w:val="0"/>
                <w:szCs w:val="21"/>
                <w:lang w:val="en-US" w:eastAsia="zh-CN"/>
              </w:rPr>
              <w:t>5</w:t>
            </w:r>
            <w:r>
              <w:rPr>
                <w:kern w:val="0"/>
                <w:szCs w:val="21"/>
              </w:rPr>
              <w:t>章节</w:t>
            </w:r>
          </w:p>
        </w:tc>
        <w:tc>
          <w:tcPr>
            <w:tcW w:w="2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F0C7F6">
            <w:pPr>
              <w:widowControl/>
              <w:jc w:val="center"/>
              <w:rPr>
                <w:rFonts w:hint="default" w:ascii="Times New Roman" w:hAnsi="Times New Roman" w:eastAsia="宋体" w:cs="Times New Roman"/>
                <w:kern w:val="0"/>
                <w:sz w:val="21"/>
                <w:szCs w:val="21"/>
                <w:lang w:val="en-US" w:eastAsia="zh-CN" w:bidi="ar-SA"/>
              </w:rPr>
            </w:pPr>
            <w:r>
              <w:rPr>
                <w:rFonts w:hint="eastAsia"/>
                <w:kern w:val="0"/>
                <w:szCs w:val="21"/>
                <w:lang w:val="en-US" w:eastAsia="zh-CN"/>
              </w:rPr>
              <w:t>5.2表2中金属试块技术指标修改为：试块材质为铝合金，上下表面平行，试块厚度≤被校仪器设置扫面范围的1/10</w:t>
            </w:r>
          </w:p>
        </w:tc>
        <w:tc>
          <w:tcPr>
            <w:tcW w:w="7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C53012">
            <w:pPr>
              <w:widowControl/>
              <w:jc w:val="center"/>
              <w:rPr>
                <w:rFonts w:hint="default" w:ascii="Times New Roman" w:hAnsi="Times New Roman" w:eastAsia="宋体" w:cs="Times New Roman"/>
                <w:kern w:val="0"/>
                <w:sz w:val="21"/>
                <w:szCs w:val="21"/>
                <w:lang w:val="en-US" w:eastAsia="zh-CN" w:bidi="ar-SA"/>
              </w:rPr>
            </w:pPr>
            <w:r>
              <w:rPr>
                <w:rFonts w:hint="eastAsia"/>
                <w:szCs w:val="21"/>
                <w:lang w:val="en-US" w:eastAsia="zh-CN"/>
              </w:rPr>
              <w:t>西部超导材料科技股份有限公司</w:t>
            </w:r>
          </w:p>
        </w:tc>
        <w:tc>
          <w:tcPr>
            <w:tcW w:w="7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7A98B8">
            <w:pPr>
              <w:widowControl/>
              <w:jc w:val="center"/>
              <w:rPr>
                <w:rFonts w:hint="default" w:ascii="Times New Roman" w:hAnsi="Times New Roman" w:eastAsia="宋体" w:cs="Times New Roman"/>
                <w:kern w:val="0"/>
                <w:sz w:val="21"/>
                <w:szCs w:val="21"/>
                <w:lang w:val="en-US" w:eastAsia="zh-CN" w:bidi="ar-SA"/>
              </w:rPr>
            </w:pPr>
            <w:r>
              <w:rPr>
                <w:kern w:val="0"/>
                <w:szCs w:val="21"/>
              </w:rPr>
              <w:t>采纳</w:t>
            </w:r>
          </w:p>
        </w:tc>
      </w:tr>
      <w:tr w14:paraId="4532888B">
        <w:tblPrEx>
          <w:tblCellMar>
            <w:top w:w="0" w:type="dxa"/>
            <w:left w:w="108" w:type="dxa"/>
            <w:bottom w:w="0" w:type="dxa"/>
            <w:right w:w="108" w:type="dxa"/>
          </w:tblCellMar>
        </w:tblPrEx>
        <w:trPr>
          <w:trHeight w:val="567" w:hRule="atLeast"/>
        </w:trPr>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0A5779">
            <w:pPr>
              <w:widowControl/>
              <w:jc w:val="center"/>
              <w:rPr>
                <w:rFonts w:hint="eastAsia" w:ascii="Times New Roman" w:hAnsi="Times New Roman" w:eastAsia="宋体" w:cs="Times New Roman"/>
                <w:kern w:val="0"/>
                <w:szCs w:val="21"/>
                <w:lang w:val="en-US" w:eastAsia="zh-CN"/>
              </w:rPr>
            </w:pPr>
            <w:r>
              <w:rPr>
                <w:rFonts w:hint="eastAsia" w:cs="Times New Roman"/>
                <w:kern w:val="0"/>
                <w:szCs w:val="21"/>
                <w:lang w:val="en-US" w:eastAsia="zh-CN"/>
              </w:rPr>
              <w:t>4</w:t>
            </w:r>
          </w:p>
        </w:tc>
        <w:tc>
          <w:tcPr>
            <w:tcW w:w="5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259CD7">
            <w:pPr>
              <w:widowControl/>
              <w:jc w:val="center"/>
              <w:rPr>
                <w:rFonts w:hint="default" w:ascii="Times New Roman" w:hAnsi="Times New Roman" w:cs="Times New Roman"/>
                <w:kern w:val="0"/>
                <w:szCs w:val="21"/>
              </w:rPr>
            </w:pPr>
            <w:r>
              <w:rPr>
                <w:rFonts w:hint="eastAsia"/>
                <w:kern w:val="0"/>
                <w:szCs w:val="21"/>
                <w:lang w:val="en-US" w:eastAsia="zh-CN"/>
              </w:rPr>
              <w:t>5</w:t>
            </w:r>
            <w:r>
              <w:rPr>
                <w:kern w:val="0"/>
                <w:szCs w:val="21"/>
              </w:rPr>
              <w:t>章节</w:t>
            </w:r>
          </w:p>
        </w:tc>
        <w:tc>
          <w:tcPr>
            <w:tcW w:w="23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AA2A3E">
            <w:pPr>
              <w:widowControl/>
              <w:jc w:val="center"/>
              <w:rPr>
                <w:rFonts w:hint="default" w:ascii="Times New Roman" w:hAnsi="Times New Roman" w:cs="Times New Roman"/>
                <w:kern w:val="0"/>
                <w:szCs w:val="21"/>
                <w:lang w:val="en-US"/>
              </w:rPr>
            </w:pPr>
            <w:r>
              <w:rPr>
                <w:rFonts w:hint="eastAsia"/>
                <w:kern w:val="0"/>
                <w:szCs w:val="21"/>
                <w:lang w:val="en-US" w:eastAsia="zh-CN"/>
              </w:rPr>
              <w:t>5.2表2中平底孔金属试块组技术指标按照ASTME 127中具体要求编写</w:t>
            </w:r>
          </w:p>
        </w:tc>
        <w:tc>
          <w:tcPr>
            <w:tcW w:w="7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655022">
            <w:pPr>
              <w:widowControl/>
              <w:jc w:val="center"/>
              <w:rPr>
                <w:rFonts w:hint="default" w:ascii="Times New Roman" w:hAnsi="Times New Roman" w:cs="Times New Roman"/>
                <w:kern w:val="0"/>
                <w:szCs w:val="21"/>
              </w:rPr>
            </w:pPr>
            <w:r>
              <w:rPr>
                <w:rFonts w:hint="eastAsia" w:ascii="Times New Roman" w:hAnsi="Times New Roman" w:eastAsia="宋体" w:cs="Times New Roman"/>
                <w:sz w:val="21"/>
                <w:szCs w:val="21"/>
                <w:lang w:eastAsia="zh-CN"/>
              </w:rPr>
              <w:t>宝钛集团有限公司</w:t>
            </w:r>
          </w:p>
        </w:tc>
        <w:tc>
          <w:tcPr>
            <w:tcW w:w="7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926832">
            <w:pPr>
              <w:widowControl/>
              <w:jc w:val="center"/>
              <w:rPr>
                <w:rFonts w:hint="default" w:ascii="Times New Roman" w:hAnsi="Times New Roman" w:eastAsia="宋体" w:cs="Times New Roman"/>
                <w:kern w:val="0"/>
                <w:szCs w:val="21"/>
                <w:lang w:val="en-US" w:eastAsia="zh-CN"/>
              </w:rPr>
            </w:pPr>
            <w:r>
              <w:rPr>
                <w:rFonts w:hint="eastAsia"/>
                <w:kern w:val="0"/>
                <w:szCs w:val="21"/>
                <w:lang w:val="en-US" w:eastAsia="zh-CN"/>
              </w:rPr>
              <w:t>未采纳，规范中引用了ASTM E 127中表3内容</w:t>
            </w:r>
          </w:p>
        </w:tc>
      </w:tr>
    </w:tbl>
    <w:p w14:paraId="04A3792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p>
    <w:p w14:paraId="46A8D728">
      <w:pPr>
        <w:pStyle w:val="2"/>
        <w:spacing w:before="156" w:beforeLines="50" w:after="156" w:afterLines="50" w:line="240" w:lineRule="auto"/>
        <w:rPr>
          <w:rFonts w:eastAsia="黑体"/>
          <w:b w:val="0"/>
          <w:bCs w:val="0"/>
          <w:sz w:val="28"/>
        </w:rPr>
      </w:pPr>
      <w:bookmarkStart w:id="16" w:name="_Toc464728926"/>
      <w:r>
        <w:rPr>
          <w:rFonts w:eastAsia="黑体"/>
          <w:b w:val="0"/>
          <w:bCs w:val="0"/>
          <w:sz w:val="28"/>
        </w:rPr>
        <w:t>二、编制原则和依据</w:t>
      </w:r>
    </w:p>
    <w:p w14:paraId="565304C1">
      <w:pPr>
        <w:pStyle w:val="3"/>
        <w:spacing w:before="156" w:beforeLines="50" w:after="156" w:afterLines="50" w:line="360" w:lineRule="auto"/>
        <w:rPr>
          <w:rFonts w:ascii="Times New Roman" w:hAnsi="Times New Roman"/>
          <w:b w:val="0"/>
          <w:bCs w:val="0"/>
          <w:sz w:val="24"/>
        </w:rPr>
      </w:pPr>
      <w:bookmarkStart w:id="17" w:name="_Toc464728925"/>
      <w:r>
        <w:rPr>
          <w:rFonts w:ascii="Times New Roman" w:hAnsi="Times New Roman"/>
          <w:b w:val="0"/>
          <w:bCs w:val="0"/>
          <w:sz w:val="24"/>
        </w:rPr>
        <w:t>（一）编制原则</w:t>
      </w:r>
      <w:bookmarkEnd w:id="17"/>
    </w:p>
    <w:p w14:paraId="401406D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本规范是以JJF 1071 《国家计量校准规范编写规则》、JJF 1001《通用计量术语及定义》和JJF 1059.1《测量不确定度评定与表示》为基础性系列规范进行编写。</w:t>
      </w:r>
    </w:p>
    <w:p w14:paraId="0A45DD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本规范参考了ASTM E317《Standard Practice forEvaluating Performance Characteristics of Ultrasonic Pulse-Echo Examination Instruments and Systems without theUse of Electronic Measurement Instruments》、ASTM E127《Standard Practice forFabrication and Control of Flat Bottomed Hole UltrasonicStandard Reference Blocks》、GJB 1580A-2004《变形金属超声检验方法》</w:t>
      </w:r>
      <w:r>
        <w:rPr>
          <w:rFonts w:hint="eastAsia" w:cs="Times New Roman"/>
          <w:color w:val="000000" w:themeColor="text1"/>
          <w:lang w:val="en-US" w:eastAsia="zh-CN"/>
          <w14:textFill>
            <w14:solidFill>
              <w14:schemeClr w14:val="tx1"/>
            </w14:solidFill>
          </w14:textFill>
        </w:rPr>
        <w:t>相关</w:t>
      </w:r>
      <w:r>
        <w:rPr>
          <w:rFonts w:hint="default" w:ascii="Times New Roman" w:hAnsi="Times New Roman" w:eastAsia="宋体" w:cs="Times New Roman"/>
          <w:color w:val="000000" w:themeColor="text1"/>
          <w:lang w:val="en-US" w:eastAsia="zh-CN"/>
          <w14:textFill>
            <w14:solidFill>
              <w14:schemeClr w14:val="tx1"/>
            </w14:solidFill>
          </w14:textFill>
        </w:rPr>
        <w:t>内容。</w:t>
      </w:r>
    </w:p>
    <w:p w14:paraId="7F1B65DC">
      <w:pPr>
        <w:pStyle w:val="3"/>
        <w:numPr>
          <w:ilvl w:val="0"/>
          <w:numId w:val="10"/>
        </w:numPr>
        <w:spacing w:before="156" w:beforeLines="50" w:after="156" w:afterLines="50" w:line="360" w:lineRule="auto"/>
        <w:rPr>
          <w:rFonts w:ascii="Times New Roman" w:hAnsi="Times New Roman"/>
          <w:b w:val="0"/>
          <w:bCs w:val="0"/>
          <w:sz w:val="24"/>
        </w:rPr>
      </w:pPr>
      <w:r>
        <w:rPr>
          <w:rFonts w:ascii="Times New Roman" w:hAnsi="Times New Roman"/>
          <w:b w:val="0"/>
          <w:bCs w:val="0"/>
          <w:sz w:val="24"/>
        </w:rPr>
        <w:t>确定主要内容</w:t>
      </w:r>
      <w:bookmarkEnd w:id="16"/>
      <w:bookmarkStart w:id="18" w:name="_Toc500258929"/>
      <w:bookmarkStart w:id="19" w:name="_Toc193860208"/>
      <w:bookmarkStart w:id="20" w:name="_Toc193860027"/>
      <w:bookmarkStart w:id="21" w:name="_Toc193860177"/>
      <w:bookmarkStart w:id="22" w:name="_Toc23837_WPSOffice_Level1"/>
      <w:bookmarkStart w:id="23" w:name="_Toc464728964"/>
    </w:p>
    <w:bookmarkEnd w:id="18"/>
    <w:bookmarkEnd w:id="19"/>
    <w:bookmarkEnd w:id="20"/>
    <w:bookmarkEnd w:id="21"/>
    <w:bookmarkEnd w:id="22"/>
    <w:p w14:paraId="0B6CA3C2">
      <w:pPr>
        <w:pStyle w:val="61"/>
        <w:ind w:firstLine="0" w:firstLineChars="0"/>
        <w:rPr>
          <w:rFonts w:hint="default" w:ascii="Times New Roman" w:hAnsi="Times New Roman" w:eastAsia="黑体" w:cs="Times New Roman"/>
          <w:color w:val="000000" w:themeColor="text1"/>
          <w:sz w:val="21"/>
          <w:szCs w:val="21"/>
          <w14:textFill>
            <w14:solidFill>
              <w14:schemeClr w14:val="tx1"/>
            </w14:solidFill>
          </w14:textFill>
        </w:rPr>
      </w:pPr>
      <w:bookmarkStart w:id="24" w:name="_Toc193619056"/>
      <w:bookmarkStart w:id="25" w:name="_Toc193860181"/>
      <w:bookmarkStart w:id="26" w:name="_Toc193619098"/>
      <w:bookmarkStart w:id="27" w:name="_Toc500258938"/>
      <w:bookmarkStart w:id="28" w:name="_Toc193618953"/>
      <w:bookmarkStart w:id="29" w:name="_Toc193860031"/>
      <w:bookmarkStart w:id="30" w:name="_Toc193860212"/>
      <w:bookmarkStart w:id="31" w:name="_Toc19851_WPSOffice_Level1"/>
      <w:r>
        <w:rPr>
          <w:rFonts w:hint="default" w:ascii="Times New Roman" w:hAnsi="Times New Roman" w:eastAsia="黑体" w:cs="Times New Roman"/>
          <w:color w:val="000000" w:themeColor="text1"/>
          <w:sz w:val="21"/>
          <w:szCs w:val="21"/>
          <w14:textFill>
            <w14:solidFill>
              <w14:schemeClr w14:val="tx1"/>
            </w14:solidFill>
          </w14:textFill>
        </w:rPr>
        <w:t>1 范围</w:t>
      </w:r>
    </w:p>
    <w:p w14:paraId="70FA093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bookmarkStart w:id="32" w:name="_Toc193860178"/>
      <w:bookmarkStart w:id="33" w:name="_Toc193860209"/>
      <w:bookmarkStart w:id="34" w:name="_Toc193860028"/>
      <w:bookmarkStart w:id="35" w:name="_Toc500258930"/>
      <w:bookmarkStart w:id="36" w:name="_Toc7848_WPSOffice_Level1"/>
      <w:r>
        <w:rPr>
          <w:rFonts w:hint="default" w:ascii="Times New Roman" w:hAnsi="Times New Roman" w:eastAsia="宋体" w:cs="Times New Roman"/>
          <w:color w:val="000000" w:themeColor="text1"/>
          <w:lang w:val="en-US" w:eastAsia="zh-CN"/>
          <w14:textFill>
            <w14:solidFill>
              <w14:schemeClr w14:val="tx1"/>
            </w14:solidFill>
          </w14:textFill>
        </w:rPr>
        <w:t>本规范适用于车间或现场条件、不采用电子测量仪器的方法对频率范围(</w:t>
      </w:r>
      <w:r>
        <w:rPr>
          <w:rFonts w:hint="eastAsia" w:cs="Times New Roman"/>
          <w:color w:val="000000" w:themeColor="text1"/>
          <w:lang w:val="en-US" w:eastAsia="zh-CN"/>
          <w14:textFill>
            <w14:solidFill>
              <w14:schemeClr w14:val="tx1"/>
            </w14:solidFill>
          </w14:textFill>
        </w:rPr>
        <w:t>0.5</w:t>
      </w:r>
      <w:r>
        <w:rPr>
          <w:rFonts w:hint="default" w:ascii="Times New Roman" w:hAnsi="Times New Roman" w:eastAsia="宋体"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lang w:val="en-US" w:eastAsia="zh-CN"/>
          <w14:textFill>
            <w14:solidFill>
              <w14:schemeClr w14:val="tx1"/>
            </w14:solidFill>
          </w14:textFill>
        </w:rPr>
        <w:t>.0)MHz的脉冲回波式超声检测系统（下称检测系统）进行校准。其余频率范围的脉冲回波式超声检测系统参考本规范执行。</w:t>
      </w:r>
    </w:p>
    <w:p w14:paraId="4F8DA2A3">
      <w:pPr>
        <w:pStyle w:val="61"/>
        <w:ind w:firstLine="0" w:firstLineChars="0"/>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2 引用文</w:t>
      </w:r>
      <w:bookmarkEnd w:id="32"/>
      <w:bookmarkEnd w:id="33"/>
      <w:bookmarkEnd w:id="34"/>
      <w:r>
        <w:rPr>
          <w:rFonts w:hint="default" w:ascii="Times New Roman" w:hAnsi="Times New Roman" w:eastAsia="黑体" w:cs="Times New Roman"/>
          <w:color w:val="000000" w:themeColor="text1"/>
          <w:sz w:val="21"/>
          <w:szCs w:val="21"/>
          <w14:textFill>
            <w14:solidFill>
              <w14:schemeClr w14:val="tx1"/>
            </w14:solidFill>
          </w14:textFill>
        </w:rPr>
        <w:t>件</w:t>
      </w:r>
      <w:bookmarkEnd w:id="35"/>
      <w:bookmarkEnd w:id="36"/>
    </w:p>
    <w:p w14:paraId="34674DD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bookmarkStart w:id="37" w:name="_Toc193860030"/>
      <w:bookmarkStart w:id="38" w:name="_Toc13054_WPSOffice_Level1"/>
      <w:bookmarkStart w:id="39" w:name="_Toc193619055"/>
      <w:bookmarkStart w:id="40" w:name="_Toc193618952"/>
      <w:bookmarkStart w:id="41" w:name="_Toc193860180"/>
      <w:bookmarkStart w:id="42" w:name="_Toc193619097"/>
      <w:bookmarkStart w:id="43" w:name="_Toc193860211"/>
      <w:bookmarkStart w:id="44" w:name="_Toc500258937"/>
      <w:r>
        <w:rPr>
          <w:rFonts w:hint="default" w:ascii="Times New Roman" w:hAnsi="Times New Roman" w:eastAsia="宋体" w:cs="Times New Roman"/>
          <w:color w:val="000000" w:themeColor="text1"/>
          <w:lang w:val="en-US" w:eastAsia="zh-CN"/>
          <w14:textFill>
            <w14:solidFill>
              <w14:schemeClr w14:val="tx1"/>
            </w14:solidFill>
          </w14:textFill>
        </w:rPr>
        <w:t>本规范引用了下列文件：</w:t>
      </w:r>
    </w:p>
    <w:p w14:paraId="5B1E80B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ASTM E127——Standard Practice forFabrication and Control of Flat Bottomed Hole UltrasonicStandard Reference Blocks</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0A8AF2C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凡是注日期的引用文件，仅注日期的版本适用于本规则；凡是不注日期的引用文件，其最新版本（包括所有的修改单）适用于本规则。</w:t>
      </w:r>
    </w:p>
    <w:p w14:paraId="08F55EEE">
      <w:pPr>
        <w:pStyle w:val="61"/>
        <w:ind w:firstLine="0" w:firstLineChars="0"/>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3 概述</w:t>
      </w:r>
      <w:bookmarkEnd w:id="37"/>
      <w:bookmarkEnd w:id="38"/>
      <w:bookmarkEnd w:id="39"/>
      <w:bookmarkEnd w:id="40"/>
      <w:bookmarkEnd w:id="41"/>
      <w:bookmarkEnd w:id="42"/>
      <w:bookmarkEnd w:id="43"/>
      <w:bookmarkEnd w:id="44"/>
    </w:p>
    <w:p w14:paraId="3FD82A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脉冲回波式超声检测系统主要由超声波发射接收仪器、超声换能器、显示装置组成。主要应用于金属材料生产加工企业，在车间现场对金属材料成品进行水浸超声无损检测的固定式设备。</w:t>
      </w:r>
    </w:p>
    <w:p w14:paraId="0DDF0F8D">
      <w:pPr>
        <w:spacing w:line="360" w:lineRule="auto"/>
        <w:ind w:left="0" w:leftChars="0" w:firstLine="0" w:firstLineChars="0"/>
        <w:jc w:val="center"/>
        <w:rPr>
          <w:rFonts w:hint="default" w:ascii="Times New Roman" w:hAnsi="Times New Roman" w:cs="Times New Roman"/>
        </w:rPr>
      </w:pPr>
    </w:p>
    <w:p w14:paraId="2C3EBE64">
      <w:pPr>
        <w:pStyle w:val="61"/>
        <w:ind w:firstLine="0" w:firstLineChars="0"/>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4 计量特性</w:t>
      </w:r>
      <w:bookmarkEnd w:id="24"/>
      <w:bookmarkEnd w:id="25"/>
      <w:bookmarkEnd w:id="26"/>
      <w:bookmarkEnd w:id="27"/>
      <w:bookmarkEnd w:id="28"/>
      <w:bookmarkEnd w:id="29"/>
      <w:bookmarkEnd w:id="30"/>
      <w:bookmarkEnd w:id="31"/>
    </w:p>
    <w:p w14:paraId="17983DE6">
      <w:pPr>
        <w:pStyle w:val="61"/>
        <w:spacing w:before="156" w:beforeLines="50" w:after="156" w:afterLines="50"/>
        <w:ind w:firstLine="0" w:firstLineChars="0"/>
        <w:rPr>
          <w:rFonts w:hint="default" w:ascii="Times New Roman" w:hAnsi="Times New Roman" w:cs="Times New Roman"/>
          <w:color w:val="000000" w:themeColor="text1"/>
          <w:sz w:val="21"/>
          <w:szCs w:val="21"/>
          <w14:textFill>
            <w14:solidFill>
              <w14:schemeClr w14:val="tx1"/>
            </w14:solidFill>
          </w14:textFill>
        </w:rPr>
      </w:pPr>
      <w:bookmarkStart w:id="45" w:name="_Toc25829_WPSOffice_Level1"/>
      <w:r>
        <w:rPr>
          <w:rFonts w:hint="default" w:ascii="Times New Roman" w:hAnsi="Times New Roman" w:cs="Times New Roman"/>
          <w:color w:val="000000" w:themeColor="text1"/>
          <w:sz w:val="21"/>
          <w:szCs w:val="21"/>
          <w14:textFill>
            <w14:solidFill>
              <w14:schemeClr w14:val="tx1"/>
            </w14:solidFill>
          </w14:textFill>
        </w:rPr>
        <w:t>4.1水平线性误差</w:t>
      </w:r>
    </w:p>
    <w:p w14:paraId="456CABD5">
      <w:pPr>
        <w:pStyle w:val="58"/>
        <w:ind w:firstLine="420" w:firstLineChars="200"/>
        <w:jc w:val="left"/>
        <w:rPr>
          <w:rFonts w:hint="default"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参照</w:t>
      </w:r>
      <w:r>
        <w:rPr>
          <w:rFonts w:hint="eastAsia" w:cs="Times New Roman"/>
          <w:color w:val="000000" w:themeColor="text1"/>
          <w:lang w:val="en-US" w:eastAsia="zh-CN"/>
          <w14:textFill>
            <w14:solidFill>
              <w14:schemeClr w14:val="tx1"/>
            </w14:solidFill>
          </w14:textFill>
        </w:rPr>
        <w:t>JJF 746-2024超声探伤仪检定规程中5.2.8条。水平线性误差≤1%。</w:t>
      </w:r>
    </w:p>
    <w:p w14:paraId="07560C9F">
      <w:pPr>
        <w:pStyle w:val="58"/>
        <w:ind w:firstLine="0" w:firstLineChars="0"/>
        <w:jc w:val="center"/>
        <w:rPr>
          <w:rFonts w:hint="default" w:cs="Times New Roman"/>
          <w:color w:val="000000" w:themeColor="text1"/>
          <w:lang w:val="en-US" w:eastAsia="zh-CN"/>
          <w14:textFill>
            <w14:solidFill>
              <w14:schemeClr w14:val="tx1"/>
            </w14:solidFill>
          </w14:textFill>
        </w:rPr>
      </w:pPr>
      <w:r>
        <w:drawing>
          <wp:inline distT="0" distB="0" distL="114300" distR="114300">
            <wp:extent cx="4676775" cy="6191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4676775" cy="619125"/>
                    </a:xfrm>
                    <a:prstGeom prst="rect">
                      <a:avLst/>
                    </a:prstGeom>
                    <a:noFill/>
                    <a:ln>
                      <a:noFill/>
                    </a:ln>
                  </pic:spPr>
                </pic:pic>
              </a:graphicData>
            </a:graphic>
          </wp:inline>
        </w:drawing>
      </w:r>
    </w:p>
    <w:p w14:paraId="000B02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w:t>
      </w:r>
      <w:r>
        <w:rPr>
          <w:rFonts w:hint="eastAsia" w:ascii="Times New Roman" w:hAnsi="Times New Roman" w:eastAsia="黑体" w:cs="Times New Roman"/>
          <w:bCs/>
          <w:kern w:val="2"/>
          <w:sz w:val="21"/>
          <w:szCs w:val="21"/>
          <w:lang w:val="en-US" w:eastAsia="zh-CN" w:bidi="ar-SA"/>
        </w:rPr>
        <w:t>1 JJG 746-2024</w:t>
      </w:r>
      <w:r>
        <w:rPr>
          <w:rFonts w:hint="default" w:ascii="Times New Roman" w:hAnsi="Times New Roman" w:eastAsia="黑体" w:cs="Times New Roman"/>
          <w:bCs/>
          <w:kern w:val="2"/>
          <w:sz w:val="21"/>
          <w:szCs w:val="21"/>
          <w:lang w:val="en-US" w:eastAsia="zh-CN" w:bidi="ar-SA"/>
        </w:rPr>
        <w:t xml:space="preserve"> 中第5.</w:t>
      </w:r>
      <w:r>
        <w:rPr>
          <w:rFonts w:hint="eastAsia" w:ascii="Times New Roman" w:hAnsi="Times New Roman" w:eastAsia="黑体" w:cs="Times New Roman"/>
          <w:bCs/>
          <w:kern w:val="2"/>
          <w:sz w:val="21"/>
          <w:szCs w:val="21"/>
          <w:lang w:val="en-US" w:eastAsia="zh-CN" w:bidi="ar-SA"/>
        </w:rPr>
        <w:t>8.8</w:t>
      </w:r>
      <w:r>
        <w:rPr>
          <w:rFonts w:hint="default" w:ascii="Times New Roman" w:hAnsi="Times New Roman" w:eastAsia="黑体" w:cs="Times New Roman"/>
          <w:bCs/>
          <w:kern w:val="2"/>
          <w:sz w:val="21"/>
          <w:szCs w:val="21"/>
          <w:lang w:val="en-US" w:eastAsia="zh-CN" w:bidi="ar-SA"/>
        </w:rPr>
        <w:t>条</w:t>
      </w:r>
    </w:p>
    <w:p w14:paraId="74AFC0A5">
      <w:pPr>
        <w:pStyle w:val="61"/>
        <w:spacing w:before="156" w:beforeLines="50" w:after="156" w:afterLines="5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4.2垂直线性误差</w:t>
      </w:r>
    </w:p>
    <w:p w14:paraId="7772E9FA">
      <w:pPr>
        <w:pStyle w:val="58"/>
        <w:ind w:firstLine="420" w:firstLineChars="20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参照</w:t>
      </w:r>
      <w:r>
        <w:rPr>
          <w:rFonts w:hint="eastAsia" w:cs="Times New Roman"/>
          <w:color w:val="000000" w:themeColor="text1"/>
          <w:lang w:val="en-US" w:eastAsia="zh-CN"/>
          <w14:textFill>
            <w14:solidFill>
              <w14:schemeClr w14:val="tx1"/>
            </w14:solidFill>
          </w14:textFill>
        </w:rPr>
        <w:t>JJG 746-2024超声探伤仪检定规程中5.2.7条。垂直线性误差≤4%。</w:t>
      </w:r>
      <w:r>
        <w:rPr>
          <w:rFonts w:hint="default" w:ascii="Times New Roman" w:hAnsi="Times New Roman" w:eastAsia="宋体" w:cs="Times New Roman"/>
          <w:color w:val="000000" w:themeColor="text1"/>
          <w14:textFill>
            <w14:solidFill>
              <w14:schemeClr w14:val="tx1"/>
            </w14:solidFill>
          </w14:textFill>
        </w:rPr>
        <w:t xml:space="preserve"> </w:t>
      </w:r>
    </w:p>
    <w:p w14:paraId="5F25F3E2">
      <w:pPr>
        <w:pStyle w:val="58"/>
        <w:ind w:firstLine="0" w:firstLineChars="0"/>
        <w:jc w:val="center"/>
        <w:rPr>
          <w:rFonts w:hint="default" w:ascii="Times New Roman" w:hAnsi="Times New Roman" w:eastAsia="宋体" w:cs="Times New Roman"/>
          <w:color w:val="000000" w:themeColor="text1"/>
          <w14:textFill>
            <w14:solidFill>
              <w14:schemeClr w14:val="tx1"/>
            </w14:solidFill>
          </w14:textFill>
        </w:rPr>
      </w:pPr>
      <w:r>
        <w:drawing>
          <wp:inline distT="0" distB="0" distL="114300" distR="114300">
            <wp:extent cx="4876800" cy="4095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4876800" cy="409575"/>
                    </a:xfrm>
                    <a:prstGeom prst="rect">
                      <a:avLst/>
                    </a:prstGeom>
                    <a:noFill/>
                    <a:ln>
                      <a:noFill/>
                    </a:ln>
                  </pic:spPr>
                </pic:pic>
              </a:graphicData>
            </a:graphic>
          </wp:inline>
        </w:drawing>
      </w:r>
    </w:p>
    <w:p w14:paraId="55F618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w:t>
      </w:r>
      <w:r>
        <w:rPr>
          <w:rFonts w:hint="eastAsia" w:ascii="Times New Roman" w:hAnsi="Times New Roman" w:eastAsia="黑体" w:cs="Times New Roman"/>
          <w:bCs/>
          <w:kern w:val="2"/>
          <w:sz w:val="21"/>
          <w:szCs w:val="21"/>
          <w:lang w:val="en-US" w:eastAsia="zh-CN" w:bidi="ar-SA"/>
        </w:rPr>
        <w:t xml:space="preserve">2 </w:t>
      </w:r>
      <w:r>
        <w:rPr>
          <w:rFonts w:hint="default" w:ascii="Times New Roman" w:hAnsi="Times New Roman" w:eastAsia="黑体" w:cs="Times New Roman"/>
          <w:bCs/>
          <w:kern w:val="2"/>
          <w:sz w:val="21"/>
          <w:szCs w:val="21"/>
          <w:lang w:val="en-US" w:eastAsia="zh-CN" w:bidi="ar-SA"/>
        </w:rPr>
        <w:t>JJG 746-2024超声探伤仪检定规程中5.2.7条</w:t>
      </w:r>
    </w:p>
    <w:p w14:paraId="20D90E2C">
      <w:pPr>
        <w:pStyle w:val="61"/>
        <w:spacing w:before="156" w:beforeLines="50" w:after="156" w:afterLines="5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4.3远表面/近表面分辨力</w:t>
      </w:r>
    </w:p>
    <w:p w14:paraId="4AE808C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远表面/近表面分辨力计量特性根据参照E317进行现场校准时数据分析得到。对同一检测系统，相同校准人员采用相同的灵敏度参数，对远表面/近表面进行校准时，历年校准报告中数据中，校准数据差值最大为5dB。同时考虑由于不同校准员校准时，对应反射回波幅度的灵敏度调节差异，一般可控制在±5dB。综合考虑，确定远表面/近表面分辨力计量特性为：同一设备在相同测量条件下，与上一周期校准时的测得值相差≤10dB。</w:t>
      </w:r>
    </w:p>
    <w:p w14:paraId="622BC4C2">
      <w:pPr>
        <w:pStyle w:val="61"/>
        <w:spacing w:before="156" w:beforeLines="50" w:after="156" w:afterLines="50"/>
        <w:ind w:firstLine="0" w:firstLineChars="0"/>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r>
        <w:rPr>
          <w:rFonts w:hint="eastAsia" w:ascii="Times New Roman" w:hAnsi="Times New Roman" w:cs="Times New Roman"/>
          <w:color w:val="000000" w:themeColor="text1"/>
          <w:sz w:val="21"/>
          <w:szCs w:val="21"/>
          <w:lang w:val="en-US" w:eastAsia="zh-CN"/>
          <w14:textFill>
            <w14:solidFill>
              <w14:schemeClr w14:val="tx1"/>
            </w14:solidFill>
          </w14:textFill>
        </w:rPr>
        <w:t>4灵敏度和噪声</w:t>
      </w:r>
    </w:p>
    <w:p w14:paraId="27856A5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参照JJG 746-20</w:t>
      </w:r>
      <w:r>
        <w:rPr>
          <w:rFonts w:hint="eastAsia" w:cs="Times New Roman"/>
          <w:color w:val="000000" w:themeColor="text1"/>
          <w:lang w:val="en-US" w:eastAsia="zh-CN"/>
          <w14:textFill>
            <w14:solidFill>
              <w14:schemeClr w14:val="tx1"/>
            </w14:solidFill>
          </w14:textFill>
        </w:rPr>
        <w:t>04</w:t>
      </w:r>
      <w:r>
        <w:rPr>
          <w:rFonts w:hint="default" w:cs="Times New Roman"/>
          <w:color w:val="000000" w:themeColor="text1"/>
          <w:lang w:val="en-US" w:eastAsia="zh-CN"/>
          <w14:textFill>
            <w14:solidFill>
              <w14:schemeClr w14:val="tx1"/>
            </w14:solidFill>
          </w14:textFill>
        </w:rPr>
        <w:t>超声探伤仪检定规程中</w:t>
      </w:r>
      <w:r>
        <w:rPr>
          <w:rFonts w:hint="eastAsia" w:cs="Times New Roman"/>
          <w:color w:val="000000" w:themeColor="text1"/>
          <w:lang w:val="en-US" w:eastAsia="zh-CN"/>
          <w14:textFill>
            <w14:solidFill>
              <w14:schemeClr w14:val="tx1"/>
            </w14:solidFill>
          </w14:textFill>
        </w:rPr>
        <w:t>4.5</w:t>
      </w:r>
      <w:r>
        <w:rPr>
          <w:rFonts w:hint="default" w:cs="Times New Roman"/>
          <w:color w:val="000000" w:themeColor="text1"/>
          <w:lang w:val="en-US" w:eastAsia="zh-CN"/>
          <w14:textFill>
            <w14:solidFill>
              <w14:schemeClr w14:val="tx1"/>
            </w14:solidFill>
          </w14:textFill>
        </w:rPr>
        <w:t>条</w:t>
      </w:r>
    </w:p>
    <w:p w14:paraId="55692B7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cs="Times New Roman"/>
          <w:color w:val="000000" w:themeColor="text1"/>
          <w:lang w:val="en-US" w:eastAsia="zh-CN"/>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38100</wp:posOffset>
            </wp:positionH>
            <wp:positionV relativeFrom="paragraph">
              <wp:posOffset>466090</wp:posOffset>
            </wp:positionV>
            <wp:extent cx="5667375" cy="723900"/>
            <wp:effectExtent l="0" t="0" r="9525"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5667375" cy="723900"/>
                    </a:xfrm>
                    <a:prstGeom prst="rect">
                      <a:avLst/>
                    </a:prstGeom>
                    <a:noFill/>
                    <a:ln>
                      <a:noFill/>
                    </a:ln>
                  </pic:spPr>
                </pic:pic>
              </a:graphicData>
            </a:graphic>
          </wp:anchor>
        </w:drawing>
      </w:r>
      <w:r>
        <w:rPr>
          <w:rFonts w:hint="default" w:cs="Times New Roman"/>
          <w:color w:val="000000" w:themeColor="text1"/>
          <w:lang w:val="en-US" w:eastAsia="zh-CN"/>
          <w14:textFill>
            <w14:solidFill>
              <w14:schemeClr w14:val="tx1"/>
            </w14:solidFill>
          </w14:textFill>
        </w:rPr>
        <w:t>对应平底孔的噪声幅度≤垂直满刻度的20%，且剩余增益＞60dB</w:t>
      </w:r>
      <w:r>
        <w:rPr>
          <w:rFonts w:hint="eastAsia" w:cs="Times New Roman"/>
          <w:color w:val="000000" w:themeColor="text1"/>
          <w:lang w:val="en-US" w:eastAsia="zh-CN"/>
          <w14:textFill>
            <w14:solidFill>
              <w14:schemeClr w14:val="tx1"/>
            </w14:solidFill>
          </w14:textFill>
        </w:rPr>
        <w:t>。</w:t>
      </w:r>
    </w:p>
    <w:p w14:paraId="2041CD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w:t>
      </w:r>
      <w:r>
        <w:rPr>
          <w:rFonts w:hint="eastAsia" w:ascii="Times New Roman" w:hAnsi="Times New Roman" w:eastAsia="黑体" w:cs="Times New Roman"/>
          <w:bCs/>
          <w:kern w:val="2"/>
          <w:sz w:val="21"/>
          <w:szCs w:val="21"/>
          <w:lang w:val="en-US" w:eastAsia="zh-CN" w:bidi="ar-SA"/>
        </w:rPr>
        <w:t>3</w:t>
      </w:r>
      <w:r>
        <w:rPr>
          <w:rFonts w:hint="default" w:ascii="Times New Roman" w:hAnsi="Times New Roman" w:eastAsia="黑体" w:cs="Times New Roman"/>
          <w:bCs/>
          <w:kern w:val="2"/>
          <w:sz w:val="21"/>
          <w:szCs w:val="21"/>
          <w:lang w:val="en-US" w:eastAsia="zh-CN" w:bidi="ar-SA"/>
        </w:rPr>
        <w:t xml:space="preserve"> JJG 746-20</w:t>
      </w:r>
      <w:r>
        <w:rPr>
          <w:rFonts w:hint="eastAsia" w:ascii="Times New Roman" w:hAnsi="Times New Roman" w:eastAsia="黑体" w:cs="Times New Roman"/>
          <w:bCs/>
          <w:kern w:val="2"/>
          <w:sz w:val="21"/>
          <w:szCs w:val="21"/>
          <w:lang w:val="en-US" w:eastAsia="zh-CN" w:bidi="ar-SA"/>
        </w:rPr>
        <w:t>0</w:t>
      </w:r>
      <w:r>
        <w:rPr>
          <w:rFonts w:hint="default" w:ascii="Times New Roman" w:hAnsi="Times New Roman" w:eastAsia="黑体" w:cs="Times New Roman"/>
          <w:bCs/>
          <w:kern w:val="2"/>
          <w:sz w:val="21"/>
          <w:szCs w:val="21"/>
          <w:lang w:val="en-US" w:eastAsia="zh-CN" w:bidi="ar-SA"/>
        </w:rPr>
        <w:t>4超声探伤仪检定规程中</w:t>
      </w:r>
      <w:r>
        <w:rPr>
          <w:rFonts w:hint="eastAsia" w:ascii="Times New Roman" w:hAnsi="Times New Roman" w:eastAsia="黑体" w:cs="Times New Roman"/>
          <w:bCs/>
          <w:kern w:val="2"/>
          <w:sz w:val="21"/>
          <w:szCs w:val="21"/>
          <w:lang w:val="en-US" w:eastAsia="zh-CN" w:bidi="ar-SA"/>
        </w:rPr>
        <w:t>4.5</w:t>
      </w:r>
      <w:r>
        <w:rPr>
          <w:rFonts w:hint="default" w:ascii="Times New Roman" w:hAnsi="Times New Roman" w:eastAsia="黑体" w:cs="Times New Roman"/>
          <w:bCs/>
          <w:kern w:val="2"/>
          <w:sz w:val="21"/>
          <w:szCs w:val="21"/>
          <w:lang w:val="en-US" w:eastAsia="zh-CN" w:bidi="ar-SA"/>
        </w:rPr>
        <w:t>条</w:t>
      </w:r>
    </w:p>
    <w:p w14:paraId="0E2F916C">
      <w:pPr>
        <w:pStyle w:val="61"/>
        <w:spacing w:before="156" w:beforeLines="50" w:after="156" w:afterLines="50"/>
        <w:ind w:firstLine="0" w:firstLineChars="0"/>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r>
        <w:rPr>
          <w:rFonts w:hint="eastAsia" w:ascii="Times New Roman" w:hAnsi="Times New Roman" w:cs="Times New Roman"/>
          <w:color w:val="000000" w:themeColor="text1"/>
          <w:sz w:val="21"/>
          <w:szCs w:val="21"/>
          <w:lang w:val="en-US" w:eastAsia="zh-CN"/>
          <w14:textFill>
            <w14:solidFill>
              <w14:schemeClr w14:val="tx1"/>
            </w14:solidFill>
          </w14:textFill>
        </w:rPr>
        <w:t>4增益控制精度</w:t>
      </w:r>
    </w:p>
    <w:p w14:paraId="6BB70AF4">
      <w:pPr>
        <w:pStyle w:val="61"/>
        <w:ind w:firstLine="0" w:firstLineChars="0"/>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参照GJB 1580A-2004中增益控制精度要求A.5.6</w:t>
      </w:r>
    </w:p>
    <w:p w14:paraId="20FBA56E">
      <w:pPr>
        <w:pStyle w:val="61"/>
        <w:ind w:firstLine="0" w:firstLineChars="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增益控制精度测得值应在</w:t>
      </w: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图4</w:t>
      </w: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中“最大值”、“最小值”范围内。</w:t>
      </w:r>
    </w:p>
    <w:p w14:paraId="6A4715EB">
      <w:pPr>
        <w:pStyle w:val="58"/>
        <w:rPr>
          <w:rFonts w:hint="eastAsia"/>
          <w:lang w:val="en-US" w:eastAsia="zh-CN"/>
        </w:rPr>
      </w:pPr>
    </w:p>
    <w:p w14:paraId="4B30338E">
      <w:pPr>
        <w:pStyle w:val="58"/>
        <w:rPr>
          <w:rFonts w:hint="default"/>
          <w:lang w:val="en-US" w:eastAsia="zh-CN"/>
        </w:rPr>
      </w:pPr>
      <w:r>
        <w:drawing>
          <wp:inline distT="0" distB="0" distL="114300" distR="114300">
            <wp:extent cx="4772025" cy="5572125"/>
            <wp:effectExtent l="0" t="0" r="9525" b="9525"/>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pic:cNvPicPr>
                      <a:picLocks noChangeAspect="1"/>
                    </pic:cNvPicPr>
                  </pic:nvPicPr>
                  <pic:blipFill>
                    <a:blip r:embed="rId14"/>
                    <a:stretch>
                      <a:fillRect/>
                    </a:stretch>
                  </pic:blipFill>
                  <pic:spPr>
                    <a:xfrm>
                      <a:off x="0" y="0"/>
                      <a:ext cx="4772025" cy="5572125"/>
                    </a:xfrm>
                    <a:prstGeom prst="rect">
                      <a:avLst/>
                    </a:prstGeom>
                    <a:noFill/>
                    <a:ln>
                      <a:noFill/>
                    </a:ln>
                  </pic:spPr>
                </pic:pic>
              </a:graphicData>
            </a:graphic>
          </wp:inline>
        </w:drawing>
      </w:r>
    </w:p>
    <w:p w14:paraId="15EA12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w:t>
      </w:r>
      <w:r>
        <w:rPr>
          <w:rFonts w:hint="eastAsia" w:ascii="Times New Roman" w:hAnsi="Times New Roman" w:eastAsia="黑体" w:cs="Times New Roman"/>
          <w:bCs/>
          <w:kern w:val="2"/>
          <w:sz w:val="21"/>
          <w:szCs w:val="21"/>
          <w:lang w:val="en-US" w:eastAsia="zh-CN" w:bidi="ar-SA"/>
        </w:rPr>
        <w:t>4</w:t>
      </w:r>
      <w:r>
        <w:rPr>
          <w:rFonts w:hint="default" w:ascii="Times New Roman" w:hAnsi="Times New Roman" w:eastAsia="黑体" w:cs="Times New Roman"/>
          <w:bCs/>
          <w:kern w:val="2"/>
          <w:sz w:val="21"/>
          <w:szCs w:val="21"/>
          <w:lang w:val="en-US" w:eastAsia="zh-CN" w:bidi="ar-SA"/>
        </w:rPr>
        <w:t xml:space="preserve"> </w:t>
      </w:r>
      <w:r>
        <w:rPr>
          <w:rFonts w:hint="eastAsia" w:ascii="Times New Roman" w:hAnsi="Times New Roman" w:eastAsia="黑体" w:cs="Times New Roman"/>
          <w:bCs/>
          <w:kern w:val="2"/>
          <w:sz w:val="21"/>
          <w:szCs w:val="21"/>
          <w:lang w:val="en-US" w:eastAsia="zh-CN" w:bidi="ar-SA"/>
        </w:rPr>
        <w:t>GJB 1580A-2004变形金属超声检验方法</w:t>
      </w:r>
      <w:r>
        <w:rPr>
          <w:rFonts w:hint="default" w:ascii="Times New Roman" w:hAnsi="Times New Roman" w:eastAsia="黑体" w:cs="Times New Roman"/>
          <w:bCs/>
          <w:kern w:val="2"/>
          <w:sz w:val="21"/>
          <w:szCs w:val="21"/>
          <w:lang w:val="en-US" w:eastAsia="zh-CN" w:bidi="ar-SA"/>
        </w:rPr>
        <w:t>中</w:t>
      </w:r>
      <w:r>
        <w:rPr>
          <w:rFonts w:hint="eastAsia" w:ascii="Times New Roman" w:hAnsi="Times New Roman" w:eastAsia="黑体" w:cs="Times New Roman"/>
          <w:bCs/>
          <w:kern w:val="2"/>
          <w:sz w:val="21"/>
          <w:szCs w:val="21"/>
          <w:lang w:val="en-US" w:eastAsia="zh-CN" w:bidi="ar-SA"/>
        </w:rPr>
        <w:t>表A.1</w:t>
      </w:r>
    </w:p>
    <w:p w14:paraId="37521EEC">
      <w:pPr>
        <w:pStyle w:val="61"/>
        <w:ind w:firstLine="0" w:firstLineChars="0"/>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5 校准条件</w:t>
      </w:r>
      <w:bookmarkEnd w:id="45"/>
      <w:bookmarkStart w:id="46" w:name="_Toc193860033"/>
      <w:bookmarkStart w:id="47" w:name="_Toc500258942"/>
      <w:bookmarkStart w:id="48" w:name="_Toc193860183"/>
      <w:bookmarkStart w:id="49" w:name="_Toc193860214"/>
    </w:p>
    <w:bookmarkEnd w:id="46"/>
    <w:bookmarkEnd w:id="47"/>
    <w:bookmarkEnd w:id="48"/>
    <w:bookmarkEnd w:id="49"/>
    <w:p w14:paraId="046D99D1">
      <w:pPr>
        <w:pStyle w:val="61"/>
        <w:spacing w:before="156" w:beforeLines="50" w:after="156" w:afterLines="50"/>
        <w:ind w:firstLine="0" w:firstLineChars="0"/>
        <w:rPr>
          <w:rFonts w:hint="default" w:ascii="Times New Roman" w:hAnsi="Times New Roman" w:cs="Times New Roman"/>
          <w:color w:val="000000" w:themeColor="text1"/>
          <w:sz w:val="21"/>
          <w:szCs w:val="21"/>
          <w14:textFill>
            <w14:solidFill>
              <w14:schemeClr w14:val="tx1"/>
            </w14:solidFill>
          </w14:textFill>
        </w:rPr>
      </w:pPr>
      <w:bookmarkStart w:id="50" w:name="_Toc2741_WPSOffice_Level1"/>
      <w:bookmarkStart w:id="51" w:name="_Toc193860216"/>
      <w:bookmarkStart w:id="52" w:name="_Toc193619100"/>
      <w:bookmarkStart w:id="53" w:name="_Toc193860185"/>
      <w:bookmarkStart w:id="54" w:name="_Toc193618955"/>
      <w:bookmarkStart w:id="55" w:name="_Toc193619058"/>
      <w:bookmarkStart w:id="56" w:name="_Toc500258944"/>
      <w:bookmarkStart w:id="57" w:name="_Toc193860035"/>
      <w:r>
        <w:rPr>
          <w:rFonts w:hint="default" w:ascii="Times New Roman" w:hAnsi="Times New Roman" w:cs="Times New Roman"/>
          <w:color w:val="000000" w:themeColor="text1"/>
          <w:sz w:val="21"/>
          <w:szCs w:val="21"/>
          <w14:textFill>
            <w14:solidFill>
              <w14:schemeClr w14:val="tx1"/>
            </w14:solidFill>
          </w14:textFill>
        </w:rPr>
        <w:t>5.1环境条件</w:t>
      </w:r>
    </w:p>
    <w:p w14:paraId="1D4A46D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温度：（15~35）℃；相对湿度：（25~90）%</w:t>
      </w:r>
      <w:r>
        <w:rPr>
          <w:rFonts w:hint="eastAsia" w:cs="Times New Roman"/>
          <w:color w:val="000000" w:themeColor="text1"/>
          <w:lang w:eastAsia="zh-CN"/>
          <w14:textFill>
            <w14:solidFill>
              <w14:schemeClr w14:val="tx1"/>
            </w14:solidFill>
          </w14:textFill>
        </w:rPr>
        <w:t>。</w:t>
      </w:r>
    </w:p>
    <w:p w14:paraId="1131F727">
      <w:pPr>
        <w:pStyle w:val="61"/>
        <w:spacing w:before="156" w:beforeLines="50" w:after="156" w:afterLines="5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5.2测量标准</w:t>
      </w:r>
    </w:p>
    <w:p w14:paraId="75BA4FF4">
      <w:pPr>
        <w:spacing w:line="360" w:lineRule="auto"/>
        <w:ind w:firstLine="420"/>
        <w:jc w:val="both"/>
        <w:rPr>
          <w:rFonts w:hint="default" w:ascii="Times New Roman" w:hAnsi="Times New Roman" w:eastAsia="黑体" w:cs="Times New Roman"/>
          <w:kern w:val="0"/>
          <w:szCs w:val="21"/>
          <w:lang w:val="en-US"/>
        </w:rPr>
      </w:pPr>
      <w:r>
        <w:rPr>
          <w:rFonts w:hint="eastAsia" w:cs="Times New Roman" w:eastAsiaTheme="minorEastAsia"/>
          <w:kern w:val="0"/>
          <w:sz w:val="24"/>
          <w:lang w:val="en-US" w:eastAsia="zh-CN"/>
        </w:rPr>
        <w:t>测量标准及技术指标见表2。</w:t>
      </w:r>
    </w:p>
    <w:p w14:paraId="7221D7C4">
      <w:pPr>
        <w:spacing w:line="360" w:lineRule="auto"/>
        <w:ind w:firstLine="420"/>
        <w:jc w:val="center"/>
        <w:rPr>
          <w:rFonts w:eastAsia="黑体"/>
          <w:sz w:val="24"/>
        </w:rPr>
      </w:pPr>
      <w:r>
        <w:rPr>
          <w:rFonts w:hint="default" w:ascii="Times New Roman" w:hAnsi="Times New Roman" w:eastAsia="黑体" w:cs="Times New Roman"/>
          <w:kern w:val="0"/>
          <w:szCs w:val="21"/>
        </w:rPr>
        <w:t>表</w:t>
      </w:r>
      <w:r>
        <w:rPr>
          <w:rFonts w:hint="default" w:ascii="Times New Roman" w:hAnsi="Times New Roman" w:eastAsia="黑体" w:cs="Times New Roman"/>
          <w:kern w:val="0"/>
          <w:szCs w:val="21"/>
          <w:lang w:val="en-US" w:eastAsia="zh-CN"/>
        </w:rPr>
        <w:t xml:space="preserve">2  </w:t>
      </w:r>
      <w:r>
        <w:rPr>
          <w:rFonts w:hint="eastAsia" w:eastAsia="黑体"/>
          <w:kern w:val="0"/>
          <w:szCs w:val="21"/>
          <w:lang w:val="en-US" w:eastAsia="zh-CN"/>
        </w:rPr>
        <w:t>测量标准及技术指标</w:t>
      </w:r>
    </w:p>
    <w:tbl>
      <w:tblPr>
        <w:tblStyle w:val="4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46"/>
        <w:gridCol w:w="2216"/>
        <w:gridCol w:w="2884"/>
        <w:gridCol w:w="2578"/>
      </w:tblGrid>
      <w:tr w14:paraId="010DE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bottom w:val="single" w:color="auto" w:sz="8" w:space="0"/>
            </w:tcBorders>
            <w:vAlign w:val="center"/>
          </w:tcPr>
          <w:p w14:paraId="66791BE4">
            <w:pPr>
              <w:keepNext w:val="0"/>
              <w:keepLines w:val="0"/>
              <w:suppressLineNumbers w:val="0"/>
              <w:adjustRightInd w:val="0"/>
              <w:snapToGrid w:val="0"/>
              <w:spacing w:before="0" w:beforeAutospacing="0" w:after="0" w:afterAutospacing="0"/>
              <w:ind w:left="0" w:right="0"/>
              <w:jc w:val="center"/>
              <w:rPr>
                <w:rFonts w:hint="default"/>
                <w:szCs w:val="21"/>
                <w:lang w:val="en-US" w:eastAsia="zh-CN"/>
              </w:rPr>
            </w:pPr>
            <w:r>
              <w:rPr>
                <w:rFonts w:hint="eastAsia"/>
                <w:szCs w:val="21"/>
                <w:lang w:val="en-US" w:eastAsia="zh-CN"/>
              </w:rPr>
              <w:t>序号</w:t>
            </w:r>
          </w:p>
        </w:tc>
        <w:tc>
          <w:tcPr>
            <w:tcW w:w="2216" w:type="dxa"/>
            <w:tcBorders>
              <w:bottom w:val="single" w:color="auto" w:sz="8" w:space="0"/>
            </w:tcBorders>
            <w:vAlign w:val="center"/>
          </w:tcPr>
          <w:p w14:paraId="50428914">
            <w:pPr>
              <w:keepNext w:val="0"/>
              <w:keepLines w:val="0"/>
              <w:suppressLineNumbers w:val="0"/>
              <w:adjustRightInd w:val="0"/>
              <w:snapToGrid w:val="0"/>
              <w:spacing w:before="0" w:beforeAutospacing="0" w:after="0" w:afterAutospacing="0"/>
              <w:ind w:left="0" w:right="0"/>
              <w:jc w:val="center"/>
              <w:rPr>
                <w:rFonts w:hint="default"/>
                <w:szCs w:val="21"/>
                <w:lang w:val="en-US" w:eastAsia="zh-CN"/>
              </w:rPr>
            </w:pPr>
            <w:r>
              <w:rPr>
                <w:rFonts w:hint="eastAsia"/>
                <w:szCs w:val="21"/>
                <w:lang w:val="en-US" w:eastAsia="zh-CN"/>
              </w:rPr>
              <w:t>测量标准</w:t>
            </w:r>
          </w:p>
        </w:tc>
        <w:tc>
          <w:tcPr>
            <w:tcW w:w="2884" w:type="dxa"/>
            <w:tcBorders>
              <w:bottom w:val="single" w:color="auto" w:sz="8" w:space="0"/>
            </w:tcBorders>
            <w:vAlign w:val="center"/>
          </w:tcPr>
          <w:p w14:paraId="6A26E56E">
            <w:pPr>
              <w:keepNext w:val="0"/>
              <w:keepLines w:val="0"/>
              <w:suppressLineNumbers w:val="0"/>
              <w:adjustRightInd w:val="0"/>
              <w:snapToGrid w:val="0"/>
              <w:spacing w:before="0" w:beforeAutospacing="0" w:after="0" w:afterAutospacing="0"/>
              <w:ind w:left="0" w:right="0"/>
              <w:jc w:val="center"/>
              <w:rPr>
                <w:rFonts w:hint="default" w:ascii="Calibri" w:hAnsi="Calibri"/>
                <w:szCs w:val="21"/>
              </w:rPr>
            </w:pPr>
            <w:r>
              <w:rPr>
                <w:rFonts w:hint="default" w:ascii="Times New Roman" w:hAnsi="Times New Roman"/>
                <w:szCs w:val="21"/>
              </w:rPr>
              <w:t>技术指标</w:t>
            </w:r>
          </w:p>
        </w:tc>
        <w:tc>
          <w:tcPr>
            <w:tcW w:w="2578" w:type="dxa"/>
            <w:tcBorders>
              <w:bottom w:val="single" w:color="auto" w:sz="8" w:space="0"/>
            </w:tcBorders>
            <w:vAlign w:val="center"/>
          </w:tcPr>
          <w:p w14:paraId="1B13A89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szCs w:val="21"/>
                <w:lang w:val="en-US" w:eastAsia="zh-CN"/>
              </w:rPr>
            </w:pPr>
            <w:r>
              <w:rPr>
                <w:rFonts w:hint="eastAsia"/>
                <w:szCs w:val="21"/>
                <w:lang w:val="en-US" w:eastAsia="zh-CN"/>
              </w:rPr>
              <w:t>用途</w:t>
            </w:r>
          </w:p>
        </w:tc>
      </w:tr>
      <w:tr w14:paraId="78D5A8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top w:val="single" w:color="auto" w:sz="8" w:space="0"/>
              <w:tl2br w:val="nil"/>
              <w:tr2bl w:val="nil"/>
            </w:tcBorders>
            <w:vAlign w:val="center"/>
          </w:tcPr>
          <w:p w14:paraId="1379C15E">
            <w:pPr>
              <w:keepNext w:val="0"/>
              <w:keepLines w:val="0"/>
              <w:suppressLineNumbers w:val="0"/>
              <w:spacing w:before="0" w:beforeAutospacing="0" w:after="0" w:afterAutospacing="0"/>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1</w:t>
            </w:r>
          </w:p>
        </w:tc>
        <w:tc>
          <w:tcPr>
            <w:tcW w:w="2216" w:type="dxa"/>
            <w:tcBorders>
              <w:top w:val="single" w:color="auto" w:sz="8" w:space="0"/>
              <w:tl2br w:val="nil"/>
              <w:tr2bl w:val="nil"/>
            </w:tcBorders>
            <w:vAlign w:val="center"/>
          </w:tcPr>
          <w:p w14:paraId="24E8C8AD">
            <w:pPr>
              <w:keepNext w:val="0"/>
              <w:keepLines w:val="0"/>
              <w:suppressLineNumbers w:val="0"/>
              <w:spacing w:before="0" w:beforeAutospacing="0" w:after="0" w:afterAutospacing="0"/>
              <w:ind w:left="0" w:right="0"/>
              <w:jc w:val="center"/>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金属试块</w:t>
            </w:r>
          </w:p>
        </w:tc>
        <w:tc>
          <w:tcPr>
            <w:tcW w:w="2884" w:type="dxa"/>
            <w:tcBorders>
              <w:top w:val="single" w:color="auto" w:sz="8" w:space="0"/>
              <w:tl2br w:val="nil"/>
              <w:tr2bl w:val="nil"/>
            </w:tcBorders>
            <w:vAlign w:val="center"/>
          </w:tcPr>
          <w:p w14:paraId="379A3119">
            <w:pPr>
              <w:keepNext w:val="0"/>
              <w:keepLines w:val="0"/>
              <w:suppressLineNumbers w:val="0"/>
              <w:spacing w:before="0" w:beforeAutospacing="0" w:after="0" w:afterAutospacing="0"/>
              <w:ind w:left="0" w:right="0"/>
              <w:jc w:val="left"/>
              <w:rPr>
                <w:rFonts w:hint="default" w:ascii="Times New Roman" w:hAnsi="Times New Roman" w:eastAsiaTheme="minorEastAsia"/>
                <w:color w:val="000000" w:themeColor="text1"/>
                <w:kern w:val="0"/>
                <w:szCs w:val="21"/>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试块材质为铝合金，上下表面平行，试块厚度≤被校仪器设置扫面范围的1/10。</w:t>
            </w:r>
          </w:p>
        </w:tc>
        <w:tc>
          <w:tcPr>
            <w:tcW w:w="2578" w:type="dxa"/>
            <w:tcBorders>
              <w:top w:val="single" w:color="auto" w:sz="8" w:space="0"/>
              <w:tl2br w:val="nil"/>
              <w:tr2bl w:val="nil"/>
            </w:tcBorders>
            <w:vAlign w:val="center"/>
          </w:tcPr>
          <w:p w14:paraId="28E39228">
            <w:pPr>
              <w:keepNext w:val="0"/>
              <w:keepLines w:val="0"/>
              <w:suppressLineNumbers w:val="0"/>
              <w:spacing w:before="0" w:beforeAutospacing="0" w:after="0" w:afterAutospacing="0"/>
              <w:ind w:left="0" w:right="0"/>
              <w:jc w:val="left"/>
              <w:rPr>
                <w:rFonts w:hint="default" w:ascii="Times New Roman" w:hAnsi="Times New Roman"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校准</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水平线性误差</w:t>
            </w:r>
            <w:r>
              <w:rPr>
                <w:rFonts w:hint="eastAsia" w:cs="Times New Roman" w:eastAsiaTheme="minorEastAsia"/>
                <w:color w:val="000000" w:themeColor="text1"/>
                <w:kern w:val="0"/>
                <w:szCs w:val="21"/>
                <w:lang w:val="en-US" w:eastAsia="zh-CN"/>
                <w14:textFill>
                  <w14:solidFill>
                    <w14:schemeClr w14:val="tx1"/>
                  </w14:solidFill>
                </w14:textFill>
              </w:rPr>
              <w:t>和</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垂直线性误差</w:t>
            </w:r>
          </w:p>
        </w:tc>
      </w:tr>
      <w:tr w14:paraId="694A36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tl2br w:val="nil"/>
              <w:tr2bl w:val="nil"/>
            </w:tcBorders>
            <w:vAlign w:val="center"/>
          </w:tcPr>
          <w:p w14:paraId="6227216D">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2</w:t>
            </w:r>
          </w:p>
        </w:tc>
        <w:tc>
          <w:tcPr>
            <w:tcW w:w="2216" w:type="dxa"/>
            <w:tcBorders>
              <w:tl2br w:val="nil"/>
              <w:tr2bl w:val="nil"/>
            </w:tcBorders>
            <w:vAlign w:val="center"/>
          </w:tcPr>
          <w:p w14:paraId="4C797171">
            <w:pPr>
              <w:keepNext w:val="0"/>
              <w:keepLines w:val="0"/>
              <w:suppressLineNumbers w:val="0"/>
              <w:autoSpaceDE w:val="0"/>
              <w:autoSpaceDN w:val="0"/>
              <w:adjustRightInd w:val="0"/>
              <w:spacing w:before="0" w:beforeAutospacing="0" w:after="0" w:afterAutospacing="0" w:line="360" w:lineRule="auto"/>
              <w:ind w:left="0" w:right="0"/>
              <w:jc w:val="center"/>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步进式衰减器</w:t>
            </w:r>
          </w:p>
        </w:tc>
        <w:tc>
          <w:tcPr>
            <w:tcW w:w="2884" w:type="dxa"/>
            <w:tcBorders>
              <w:tl2br w:val="nil"/>
              <w:tr2bl w:val="nil"/>
            </w:tcBorders>
            <w:vAlign w:val="center"/>
          </w:tcPr>
          <w:p w14:paraId="6DF063C4">
            <w:pPr>
              <w:keepNext w:val="0"/>
              <w:keepLines w:val="0"/>
              <w:suppressLineNumbers w:val="0"/>
              <w:autoSpaceDE w:val="0"/>
              <w:autoSpaceDN w:val="0"/>
              <w:adjustRightInd w:val="0"/>
              <w:spacing w:before="0" w:beforeAutospacing="0" w:after="0" w:afterAutospacing="0" w:line="360" w:lineRule="auto"/>
              <w:ind w:left="0" w:right="0"/>
              <w:jc w:val="left"/>
              <w:rPr>
                <w:rFonts w:hint="default" w:ascii="Times New Roman" w:hAnsi="Times New Roman" w:eastAsiaTheme="minorEastAsia"/>
                <w:color w:val="000000" w:themeColor="text1"/>
                <w:kern w:val="0"/>
                <w:szCs w:val="21"/>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频率范围：0~100MHz；衰减量：0~80dB，每级1dB；阻抗：50Ω或75Ω；衰减精度：每20dB±0.2dB。</w:t>
            </w:r>
          </w:p>
        </w:tc>
        <w:tc>
          <w:tcPr>
            <w:tcW w:w="2578" w:type="dxa"/>
            <w:tcBorders>
              <w:tl2br w:val="nil"/>
              <w:tr2bl w:val="nil"/>
            </w:tcBorders>
            <w:vAlign w:val="center"/>
          </w:tcPr>
          <w:p w14:paraId="380A968D">
            <w:pPr>
              <w:keepNext w:val="0"/>
              <w:keepLines w:val="0"/>
              <w:suppressLineNumbers w:val="0"/>
              <w:autoSpaceDE w:val="0"/>
              <w:autoSpaceDN w:val="0"/>
              <w:adjustRightInd w:val="0"/>
              <w:spacing w:before="0" w:beforeAutospacing="0" w:after="0" w:afterAutospacing="0" w:line="360" w:lineRule="auto"/>
              <w:ind w:left="0" w:right="0"/>
              <w:jc w:val="left"/>
              <w:rPr>
                <w:rFonts w:hint="default" w:ascii="Times New Roman" w:hAnsi="Times New Roman"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校准</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垂直线性误差</w:t>
            </w:r>
            <w:r>
              <w:rPr>
                <w:rFonts w:hint="eastAsia" w:cs="Times New Roman" w:eastAsiaTheme="minorEastAsia"/>
                <w:color w:val="000000" w:themeColor="text1"/>
                <w:kern w:val="0"/>
                <w:szCs w:val="21"/>
                <w:lang w:val="en-US" w:eastAsia="zh-CN"/>
                <w14:textFill>
                  <w14:solidFill>
                    <w14:schemeClr w14:val="tx1"/>
                  </w14:solidFill>
                </w14:textFill>
              </w:rPr>
              <w:t>和</w:t>
            </w:r>
            <w:r>
              <w:rPr>
                <w:rFonts w:hint="default" w:ascii="Times New Roman" w:hAnsi="Times New Roman" w:cs="Times New Roman" w:eastAsiaTheme="minorEastAsia"/>
                <w:kern w:val="0"/>
                <w:szCs w:val="21"/>
                <w:lang w:val="en-US" w:eastAsia="zh-CN"/>
              </w:rPr>
              <w:t>增益控制精度</w:t>
            </w:r>
          </w:p>
        </w:tc>
      </w:tr>
      <w:tr w14:paraId="2320B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646" w:type="dxa"/>
            <w:tcBorders>
              <w:tl2br w:val="nil"/>
              <w:tr2bl w:val="nil"/>
            </w:tcBorders>
            <w:vAlign w:val="center"/>
          </w:tcPr>
          <w:p w14:paraId="02035B18">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3</w:t>
            </w:r>
          </w:p>
        </w:tc>
        <w:tc>
          <w:tcPr>
            <w:tcW w:w="2216" w:type="dxa"/>
            <w:tcBorders>
              <w:tl2br w:val="nil"/>
              <w:tr2bl w:val="nil"/>
            </w:tcBorders>
            <w:vAlign w:val="center"/>
          </w:tcPr>
          <w:p w14:paraId="6BD2D90D">
            <w:pPr>
              <w:keepNext w:val="0"/>
              <w:keepLines w:val="0"/>
              <w:suppressLineNumbers w:val="0"/>
              <w:spacing w:before="0" w:beforeAutospacing="0" w:after="0" w:afterAutospacing="0"/>
              <w:ind w:left="0" w:right="0"/>
              <w:jc w:val="center"/>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远/近表面分辨力测试用金属试块</w:t>
            </w:r>
          </w:p>
        </w:tc>
        <w:tc>
          <w:tcPr>
            <w:tcW w:w="2884" w:type="dxa"/>
            <w:tcBorders>
              <w:tl2br w:val="nil"/>
              <w:tr2bl w:val="nil"/>
            </w:tcBorders>
            <w:vAlign w:val="center"/>
          </w:tcPr>
          <w:p w14:paraId="2585E73C">
            <w:pPr>
              <w:keepNext w:val="0"/>
              <w:keepLines w:val="0"/>
              <w:suppressLineNumbers w:val="0"/>
              <w:autoSpaceDE w:val="0"/>
              <w:autoSpaceDN w:val="0"/>
              <w:adjustRightInd w:val="0"/>
              <w:spacing w:before="0" w:beforeAutospacing="0" w:after="0" w:afterAutospacing="0" w:line="360" w:lineRule="auto"/>
              <w:ind w:left="0" w:right="0"/>
              <w:jc w:val="left"/>
              <w:rPr>
                <w:rFonts w:hint="default"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试块材质为铝合金；Ra≤1.6μm；未注公差±0.5mm；所有平底孔直径为1.2mm，垂直于试块表面，偏差≤1°，孔应清洁、干燥并封堵，至少与空气有1mm隔绝范围；试块</w:t>
            </w:r>
            <w:r>
              <w:rPr>
                <w:rFonts w:hint="eastAsia" w:cs="Times New Roman" w:eastAsiaTheme="minorEastAsia"/>
                <w:color w:val="000000" w:themeColor="text1"/>
                <w:kern w:val="0"/>
                <w:szCs w:val="21"/>
                <w:lang w:val="en-US" w:eastAsia="zh-CN"/>
                <w14:textFill>
                  <w14:solidFill>
                    <w14:schemeClr w14:val="tx1"/>
                  </w14:solidFill>
                </w14:textFill>
              </w:rPr>
              <w:t>尺寸</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见图</w:t>
            </w:r>
            <w:r>
              <w:rPr>
                <w:rFonts w:hint="eastAsia" w:cs="Times New Roman" w:eastAsiaTheme="minorEastAsia"/>
                <w:color w:val="000000" w:themeColor="text1"/>
                <w:kern w:val="0"/>
                <w:szCs w:val="21"/>
                <w:lang w:val="en-US" w:eastAsia="zh-CN"/>
                <w14:textFill>
                  <w14:solidFill>
                    <w14:schemeClr w14:val="tx1"/>
                  </w14:solidFill>
                </w14:textFill>
              </w:rPr>
              <w:t>5</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w:t>
            </w:r>
          </w:p>
        </w:tc>
        <w:tc>
          <w:tcPr>
            <w:tcW w:w="2578" w:type="dxa"/>
            <w:tcBorders>
              <w:tl2br w:val="nil"/>
              <w:tr2bl w:val="nil"/>
            </w:tcBorders>
            <w:vAlign w:val="center"/>
          </w:tcPr>
          <w:p w14:paraId="49698BFE">
            <w:pPr>
              <w:keepNext w:val="0"/>
              <w:keepLines w:val="0"/>
              <w:suppressLineNumbers w:val="0"/>
              <w:autoSpaceDE w:val="0"/>
              <w:autoSpaceDN w:val="0"/>
              <w:adjustRightInd w:val="0"/>
              <w:spacing w:before="0" w:beforeAutospacing="0" w:after="0" w:afterAutospacing="0" w:line="360" w:lineRule="auto"/>
              <w:ind w:left="0" w:right="0"/>
              <w:jc w:val="left"/>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校准</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远表面/近表面分辨力</w:t>
            </w:r>
          </w:p>
        </w:tc>
      </w:tr>
      <w:tr w14:paraId="75431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46" w:type="dxa"/>
            <w:tcBorders>
              <w:tl2br w:val="nil"/>
              <w:tr2bl w:val="nil"/>
            </w:tcBorders>
            <w:vAlign w:val="center"/>
          </w:tcPr>
          <w:p w14:paraId="019FB03B">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4</w:t>
            </w:r>
          </w:p>
        </w:tc>
        <w:tc>
          <w:tcPr>
            <w:tcW w:w="2216" w:type="dxa"/>
            <w:tcBorders>
              <w:tl2br w:val="nil"/>
              <w:tr2bl w:val="nil"/>
            </w:tcBorders>
            <w:vAlign w:val="center"/>
          </w:tcPr>
          <w:p w14:paraId="7D8174CB">
            <w:pPr>
              <w:autoSpaceDE w:val="0"/>
              <w:autoSpaceDN w:val="0"/>
              <w:adjustRightInd w:val="0"/>
              <w:spacing w:line="360" w:lineRule="auto"/>
              <w:jc w:val="center"/>
              <w:rPr>
                <w:rFonts w:hint="default" w:ascii="Times New Roman" w:hAnsi="Times New Roman" w:eastAsiaTheme="minorEastAsia"/>
                <w:color w:val="000000" w:themeColor="text1"/>
                <w:kern w:val="0"/>
                <w:szCs w:val="21"/>
                <w14:textFill>
                  <w14:solidFill>
                    <w14:schemeClr w14:val="tx1"/>
                  </w14:solidFill>
                </w14:textFill>
              </w:rPr>
            </w:pPr>
            <w:r>
              <w:rPr>
                <w:rFonts w:hint="default" w:ascii="Times New Roman" w:hAnsi="Times New Roman" w:cs="Times New Roman" w:eastAsiaTheme="minorEastAsia"/>
                <w:kern w:val="0"/>
                <w:szCs w:val="21"/>
                <w:lang w:val="en-US" w:eastAsia="zh-CN"/>
              </w:rPr>
              <w:t>平底孔金属试块组</w:t>
            </w:r>
          </w:p>
        </w:tc>
        <w:tc>
          <w:tcPr>
            <w:tcW w:w="2884" w:type="dxa"/>
            <w:tcBorders>
              <w:tl2br w:val="nil"/>
              <w:tr2bl w:val="nil"/>
            </w:tcBorders>
            <w:vAlign w:val="center"/>
          </w:tcPr>
          <w:p w14:paraId="6241827A">
            <w:pPr>
              <w:autoSpaceDE w:val="0"/>
              <w:autoSpaceDN w:val="0"/>
              <w:adjustRightInd w:val="0"/>
              <w:spacing w:line="360" w:lineRule="auto"/>
              <w:jc w:val="left"/>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kern w:val="0"/>
                <w:szCs w:val="21"/>
                <w:lang w:val="en-US" w:eastAsia="zh-CN"/>
              </w:rPr>
              <w:t>试块材质为铝合金；试块加工应符合ASTM E127</w:t>
            </w:r>
            <w:r>
              <w:rPr>
                <w:rFonts w:hint="eastAsia" w:cs="Times New Roman" w:eastAsiaTheme="minorEastAsia"/>
                <w:kern w:val="0"/>
                <w:szCs w:val="21"/>
                <w:lang w:val="en-US" w:eastAsia="zh-CN"/>
              </w:rPr>
              <w:t>表3</w:t>
            </w:r>
            <w:r>
              <w:rPr>
                <w:rFonts w:hint="default" w:ascii="Times New Roman" w:hAnsi="Times New Roman" w:cs="Times New Roman" w:eastAsiaTheme="minorEastAsia"/>
                <w:kern w:val="0"/>
                <w:szCs w:val="21"/>
                <w:lang w:val="en-US" w:eastAsia="zh-CN"/>
              </w:rPr>
              <w:t>中编号为：1-0300、2-0300、3-0300、4-0300、5-0300要求。</w:t>
            </w:r>
          </w:p>
        </w:tc>
        <w:tc>
          <w:tcPr>
            <w:tcW w:w="2578" w:type="dxa"/>
            <w:tcBorders>
              <w:tl2br w:val="nil"/>
              <w:tr2bl w:val="nil"/>
            </w:tcBorders>
            <w:vAlign w:val="center"/>
          </w:tcPr>
          <w:p w14:paraId="60608C09">
            <w:pPr>
              <w:keepNext w:val="0"/>
              <w:keepLines w:val="0"/>
              <w:suppressLineNumbers w:val="0"/>
              <w:autoSpaceDE w:val="0"/>
              <w:autoSpaceDN w:val="0"/>
              <w:adjustRightInd w:val="0"/>
              <w:spacing w:before="0" w:beforeAutospacing="0" w:after="0" w:afterAutospacing="0" w:line="360" w:lineRule="auto"/>
              <w:ind w:left="0" w:right="0"/>
              <w:jc w:val="left"/>
              <w:rPr>
                <w:rFonts w:hint="eastAsia" w:eastAsiaTheme="minorEastAsia"/>
                <w:color w:val="000000" w:themeColor="text1"/>
                <w:kern w:val="0"/>
                <w:szCs w:val="21"/>
                <w:lang w:val="en-US" w:eastAsia="zh-CN"/>
                <w14:textFill>
                  <w14:solidFill>
                    <w14:schemeClr w14:val="tx1"/>
                  </w14:solidFill>
                </w14:textFill>
              </w:rPr>
            </w:pPr>
            <w:r>
              <w:rPr>
                <w:rFonts w:hint="eastAsia" w:cs="Times New Roman" w:eastAsiaTheme="minorEastAsia"/>
                <w:kern w:val="0"/>
                <w:szCs w:val="21"/>
                <w:lang w:val="en-US" w:eastAsia="zh-CN"/>
              </w:rPr>
              <w:t>校准</w:t>
            </w:r>
            <w:r>
              <w:rPr>
                <w:rFonts w:hint="default" w:ascii="Times New Roman" w:hAnsi="Times New Roman" w:cs="Times New Roman" w:eastAsiaTheme="minorEastAsia"/>
                <w:kern w:val="0"/>
                <w:szCs w:val="21"/>
                <w:lang w:val="en-US" w:eastAsia="zh-CN"/>
              </w:rPr>
              <w:t>灵敏度和噪声</w:t>
            </w:r>
          </w:p>
        </w:tc>
      </w:tr>
      <w:tr w14:paraId="441893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646" w:type="dxa"/>
            <w:tcBorders>
              <w:tl2br w:val="nil"/>
              <w:tr2bl w:val="nil"/>
            </w:tcBorders>
            <w:vAlign w:val="center"/>
          </w:tcPr>
          <w:p w14:paraId="158B5FEB">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5</w:t>
            </w:r>
          </w:p>
        </w:tc>
        <w:tc>
          <w:tcPr>
            <w:tcW w:w="2216" w:type="dxa"/>
            <w:tcBorders>
              <w:tl2br w:val="nil"/>
              <w:tr2bl w:val="nil"/>
            </w:tcBorders>
            <w:vAlign w:val="center"/>
          </w:tcPr>
          <w:p w14:paraId="172E008A">
            <w:pPr>
              <w:autoSpaceDE w:val="0"/>
              <w:autoSpaceDN w:val="0"/>
              <w:adjustRightInd w:val="0"/>
              <w:spacing w:line="360" w:lineRule="auto"/>
              <w:jc w:val="center"/>
              <w:rPr>
                <w:rFonts w:hint="default" w:ascii="Times New Roman" w:hAnsi="Times New Roman" w:cs="Times New Roman" w:eastAsiaTheme="minorEastAsia"/>
                <w:kern w:val="0"/>
                <w:szCs w:val="21"/>
                <w:lang w:val="en-US" w:eastAsia="zh-CN"/>
              </w:rPr>
            </w:pPr>
            <w:r>
              <w:rPr>
                <w:rFonts w:hint="default" w:ascii="Times New Roman" w:hAnsi="Times New Roman" w:cs="Times New Roman" w:eastAsiaTheme="minorEastAsia"/>
                <w:kern w:val="0"/>
                <w:szCs w:val="21"/>
                <w:lang w:val="en-US" w:eastAsia="zh-CN"/>
              </w:rPr>
              <w:t>平底孔金属试块</w:t>
            </w:r>
          </w:p>
          <w:p w14:paraId="33C249BB">
            <w:pPr>
              <w:autoSpaceDE w:val="0"/>
              <w:autoSpaceDN w:val="0"/>
              <w:adjustRightInd w:val="0"/>
              <w:spacing w:line="360" w:lineRule="auto"/>
              <w:jc w:val="center"/>
              <w:rPr>
                <w:rFonts w:hint="default" w:ascii="Times New Roman" w:hAnsi="Times New Roman" w:eastAsiaTheme="minorEastAsia"/>
                <w:color w:val="000000" w:themeColor="text1"/>
                <w:kern w:val="0"/>
                <w:szCs w:val="21"/>
                <w14:textFill>
                  <w14:solidFill>
                    <w14:schemeClr w14:val="tx1"/>
                  </w14:solidFill>
                </w14:textFill>
              </w:rPr>
            </w:pPr>
          </w:p>
        </w:tc>
        <w:tc>
          <w:tcPr>
            <w:tcW w:w="2884" w:type="dxa"/>
            <w:tcBorders>
              <w:tl2br w:val="nil"/>
              <w:tr2bl w:val="nil"/>
            </w:tcBorders>
            <w:vAlign w:val="center"/>
          </w:tcPr>
          <w:p w14:paraId="2EA35854">
            <w:pPr>
              <w:autoSpaceDE w:val="0"/>
              <w:autoSpaceDN w:val="0"/>
              <w:adjustRightInd w:val="0"/>
              <w:spacing w:line="360" w:lineRule="auto"/>
              <w:jc w:val="left"/>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kern w:val="0"/>
                <w:szCs w:val="21"/>
                <w:lang w:val="en-US" w:eastAsia="zh-CN"/>
              </w:rPr>
              <w:t>试块材质为铝合金；试块高度为100mm；平底孔直径为1.2mm</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垂直于试块表面，偏差≤1°；平底孔埋深≥20mm</w:t>
            </w:r>
            <w:r>
              <w:rPr>
                <w:rFonts w:hint="eastAsia" w:cs="Times New Roman" w:eastAsiaTheme="minorEastAsia"/>
                <w:color w:val="000000" w:themeColor="text1"/>
                <w:kern w:val="0"/>
                <w:szCs w:val="21"/>
                <w:lang w:val="en-US" w:eastAsia="zh-CN"/>
                <w14:textFill>
                  <w14:solidFill>
                    <w14:schemeClr w14:val="tx1"/>
                  </w14:solidFill>
                </w14:textFill>
              </w:rPr>
              <w:t>。</w:t>
            </w:r>
          </w:p>
        </w:tc>
        <w:tc>
          <w:tcPr>
            <w:tcW w:w="2578" w:type="dxa"/>
            <w:tcBorders>
              <w:tl2br w:val="nil"/>
              <w:tr2bl w:val="nil"/>
            </w:tcBorders>
            <w:vAlign w:val="center"/>
          </w:tcPr>
          <w:p w14:paraId="636C7338">
            <w:pPr>
              <w:keepNext w:val="0"/>
              <w:keepLines w:val="0"/>
              <w:suppressLineNumbers w:val="0"/>
              <w:autoSpaceDE w:val="0"/>
              <w:autoSpaceDN w:val="0"/>
              <w:adjustRightInd w:val="0"/>
              <w:spacing w:before="0" w:beforeAutospacing="0" w:after="0" w:afterAutospacing="0" w:line="360" w:lineRule="auto"/>
              <w:ind w:left="0" w:right="0"/>
              <w:jc w:val="left"/>
              <w:rPr>
                <w:rFonts w:hint="eastAsia" w:eastAsiaTheme="minorEastAsia"/>
                <w:color w:val="000000" w:themeColor="text1"/>
                <w:kern w:val="0"/>
                <w:szCs w:val="21"/>
                <w:lang w:val="en-US" w:eastAsia="zh-CN"/>
                <w14:textFill>
                  <w14:solidFill>
                    <w14:schemeClr w14:val="tx1"/>
                  </w14:solidFill>
                </w14:textFill>
              </w:rPr>
            </w:pPr>
            <w:r>
              <w:rPr>
                <w:rFonts w:hint="eastAsia" w:cs="Times New Roman" w:eastAsiaTheme="minorEastAsia"/>
                <w:kern w:val="0"/>
                <w:szCs w:val="21"/>
                <w:lang w:val="en-US" w:eastAsia="zh-CN"/>
              </w:rPr>
              <w:t>校准</w:t>
            </w:r>
            <w:r>
              <w:rPr>
                <w:rFonts w:hint="default" w:ascii="Times New Roman" w:hAnsi="Times New Roman" w:cs="Times New Roman" w:eastAsiaTheme="minorEastAsia"/>
                <w:kern w:val="0"/>
                <w:szCs w:val="21"/>
                <w:lang w:val="en-US" w:eastAsia="zh-CN"/>
              </w:rPr>
              <w:t>增益控制精度</w:t>
            </w:r>
          </w:p>
        </w:tc>
      </w:tr>
    </w:tbl>
    <w:p w14:paraId="31C23DB5">
      <w:pPr>
        <w:pStyle w:val="61"/>
        <w:spacing w:before="156" w:beforeLines="50" w:after="156" w:afterLines="50"/>
        <w:ind w:firstLine="0" w:firstLineChars="0"/>
        <w:rPr>
          <w:rFonts w:hint="eastAsia" w:ascii="Times New Roman" w:hAnsi="Times New Roman" w:eastAsia="黑体" w:cs="Times New Roman"/>
          <w:color w:val="000000" w:themeColor="text1"/>
          <w:sz w:val="21"/>
          <w:szCs w:val="21"/>
          <w:lang w:val="en-US" w:eastAsia="zh-CN"/>
          <w14:textFill>
            <w14:solidFill>
              <w14:schemeClr w14:val="tx1"/>
            </w14:solidFill>
          </w14:textFill>
        </w:rPr>
      </w:pPr>
      <w:r>
        <w:rPr>
          <w:rFonts w:hint="eastAsia" w:ascii="Times New Roman" w:hAnsi="Times New Roman" w:eastAsia="黑体" w:cs="Times New Roman"/>
          <w:color w:val="000000" w:themeColor="text1"/>
          <w:sz w:val="21"/>
          <w:szCs w:val="21"/>
          <w:lang w:val="en-US" w:eastAsia="zh-CN"/>
          <w14:textFill>
            <w14:solidFill>
              <w14:schemeClr w14:val="tx1"/>
            </w14:solidFill>
          </w14:textFill>
        </w:rPr>
        <w:t>ASTM E127表3内容：</w:t>
      </w:r>
    </w:p>
    <w:p w14:paraId="3E5BF594">
      <w:pPr>
        <w:pStyle w:val="58"/>
        <w:jc w:val="center"/>
        <w:rPr>
          <w:rFonts w:hint="default"/>
          <w:lang w:val="en-US" w:eastAsia="zh-CN"/>
        </w:rPr>
      </w:pPr>
      <w:r>
        <w:drawing>
          <wp:inline distT="0" distB="0" distL="114300" distR="114300">
            <wp:extent cx="3400425" cy="2028825"/>
            <wp:effectExtent l="0" t="0" r="9525" b="952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5"/>
                    <a:stretch>
                      <a:fillRect/>
                    </a:stretch>
                  </pic:blipFill>
                  <pic:spPr>
                    <a:xfrm>
                      <a:off x="0" y="0"/>
                      <a:ext cx="3400425" cy="2028825"/>
                    </a:xfrm>
                    <a:prstGeom prst="rect">
                      <a:avLst/>
                    </a:prstGeom>
                    <a:noFill/>
                    <a:ln>
                      <a:noFill/>
                    </a:ln>
                  </pic:spPr>
                </pic:pic>
              </a:graphicData>
            </a:graphic>
          </wp:inline>
        </w:drawing>
      </w:r>
    </w:p>
    <w:p w14:paraId="7D8277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w:t>
      </w:r>
      <w:r>
        <w:rPr>
          <w:rFonts w:hint="eastAsia" w:ascii="Times New Roman" w:hAnsi="Times New Roman" w:eastAsia="黑体" w:cs="Times New Roman"/>
          <w:bCs/>
          <w:kern w:val="2"/>
          <w:sz w:val="21"/>
          <w:szCs w:val="21"/>
          <w:lang w:val="en-US" w:eastAsia="zh-CN" w:bidi="ar-SA"/>
        </w:rPr>
        <w:t>5</w:t>
      </w:r>
      <w:r>
        <w:rPr>
          <w:rFonts w:hint="default" w:ascii="Times New Roman" w:hAnsi="Times New Roman" w:eastAsia="黑体" w:cs="Times New Roman"/>
          <w:bCs/>
          <w:kern w:val="2"/>
          <w:sz w:val="21"/>
          <w:szCs w:val="21"/>
          <w:lang w:val="en-US" w:eastAsia="zh-CN" w:bidi="ar-SA"/>
        </w:rPr>
        <w:t xml:space="preserve"> ASTM E127中</w:t>
      </w:r>
      <w:r>
        <w:rPr>
          <w:rFonts w:hint="eastAsia" w:ascii="Times New Roman" w:hAnsi="Times New Roman" w:eastAsia="黑体" w:cs="Times New Roman"/>
          <w:bCs/>
          <w:kern w:val="2"/>
          <w:sz w:val="21"/>
          <w:szCs w:val="21"/>
          <w:lang w:val="en-US" w:eastAsia="zh-CN" w:bidi="ar-SA"/>
        </w:rPr>
        <w:t>表3</w:t>
      </w:r>
    </w:p>
    <w:p w14:paraId="06A8A5CF">
      <w:pPr>
        <w:pStyle w:val="61"/>
        <w:spacing w:before="156" w:beforeLines="50" w:after="156" w:afterLines="50"/>
        <w:ind w:firstLine="0" w:firstLineChars="0"/>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6 校准项目和校准方法</w:t>
      </w:r>
      <w:bookmarkEnd w:id="50"/>
      <w:bookmarkEnd w:id="51"/>
      <w:bookmarkEnd w:id="52"/>
      <w:bookmarkEnd w:id="53"/>
      <w:bookmarkEnd w:id="54"/>
      <w:bookmarkEnd w:id="55"/>
      <w:bookmarkEnd w:id="56"/>
      <w:bookmarkEnd w:id="57"/>
    </w:p>
    <w:p w14:paraId="5CB5A097">
      <w:pPr>
        <w:pStyle w:val="61"/>
        <w:spacing w:before="156" w:beforeLines="50" w:after="156" w:afterLines="50"/>
        <w:ind w:firstLine="0" w:firstLineChars="0"/>
        <w:rPr>
          <w:rFonts w:hint="default" w:ascii="Times New Roman" w:hAnsi="Times New Roman" w:cs="Times New Roman"/>
          <w:color w:val="000000" w:themeColor="text1"/>
          <w:sz w:val="21"/>
          <w:szCs w:val="21"/>
          <w14:textFill>
            <w14:solidFill>
              <w14:schemeClr w14:val="tx1"/>
            </w14:solidFill>
          </w14:textFill>
        </w:rPr>
      </w:pPr>
      <w:bookmarkStart w:id="58" w:name="_Toc193860219"/>
      <w:bookmarkStart w:id="59" w:name="_Toc193618956"/>
      <w:bookmarkStart w:id="60" w:name="_Toc500258947"/>
      <w:bookmarkStart w:id="61" w:name="_Toc25466_WPSOffice_Level1"/>
      <w:bookmarkStart w:id="62" w:name="_Toc193860038"/>
      <w:bookmarkStart w:id="63" w:name="_Toc193619059"/>
      <w:bookmarkStart w:id="64" w:name="_Toc193860188"/>
      <w:bookmarkStart w:id="65" w:name="_Toc193619101"/>
      <w:r>
        <w:rPr>
          <w:rFonts w:hint="default" w:ascii="Times New Roman" w:hAnsi="Times New Roman" w:cs="Times New Roman"/>
          <w:color w:val="000000" w:themeColor="text1"/>
          <w:sz w:val="21"/>
          <w:szCs w:val="21"/>
          <w14:textFill>
            <w14:solidFill>
              <w14:schemeClr w14:val="tx1"/>
            </w14:solidFill>
          </w14:textFill>
        </w:rPr>
        <w:t>6.1校准项目</w:t>
      </w:r>
    </w:p>
    <w:p w14:paraId="47D837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 xml:space="preserve">校准项目包括水平线性误差、垂直线性误差、远表面/近表面分辨力、灵敏度和噪声、增益控制精度 </w:t>
      </w:r>
      <w:r>
        <w:rPr>
          <w:rFonts w:hint="eastAsia" w:cs="Times New Roman"/>
          <w:color w:val="000000" w:themeColor="text1"/>
          <w:lang w:eastAsia="zh-CN"/>
          <w14:textFill>
            <w14:solidFill>
              <w14:schemeClr w14:val="tx1"/>
            </w14:solidFill>
          </w14:textFill>
        </w:rPr>
        <w:t>。</w:t>
      </w:r>
    </w:p>
    <w:p w14:paraId="1A4CC7BB">
      <w:pPr>
        <w:pStyle w:val="61"/>
        <w:spacing w:before="156" w:beforeLines="50" w:after="156" w:afterLines="5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6.2校准方法</w:t>
      </w:r>
    </w:p>
    <w:p w14:paraId="01EBE32F">
      <w:pPr>
        <w:pStyle w:val="60"/>
        <w:keepNext w:val="0"/>
        <w:keepLines w:val="0"/>
        <w:pageBreakBefore w:val="0"/>
        <w:kinsoku/>
        <w:wordWrap/>
        <w:overflowPunct/>
        <w:topLinePunct w:val="0"/>
        <w:bidi w:val="0"/>
        <w:adjustRightInd/>
        <w:snapToGrid/>
        <w:spacing w:line="360" w:lineRule="auto"/>
        <w:textAlignment w:val="auto"/>
        <w:rPr>
          <w:rFonts w:hint="default"/>
        </w:rPr>
      </w:pPr>
      <w:bookmarkStart w:id="66" w:name="_Toc11174"/>
      <w:bookmarkStart w:id="67" w:name="_Toc196485204"/>
      <w:bookmarkStart w:id="68" w:name="_Toc196826966"/>
      <w:r>
        <w:rPr>
          <w:rFonts w:hint="default"/>
        </w:rPr>
        <w:t>6.2.</w:t>
      </w:r>
      <w:bookmarkEnd w:id="66"/>
      <w:r>
        <w:rPr>
          <w:rFonts w:hint="eastAsia"/>
          <w:lang w:val="en-US" w:eastAsia="zh-CN"/>
        </w:rPr>
        <w:t>1</w:t>
      </w:r>
      <w:bookmarkEnd w:id="67"/>
      <w:bookmarkEnd w:id="68"/>
      <w:r>
        <w:rPr>
          <w:rFonts w:hint="eastAsia"/>
          <w:lang w:val="en-US" w:eastAsia="zh-CN"/>
        </w:rPr>
        <w:t>水平线性误差</w:t>
      </w:r>
    </w:p>
    <w:p w14:paraId="0C32BD5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将校准用金属试块放到检测系统换能器正下方，开始校准前应去除换能器和试块表面上的气泡和微粒。通过检测系统调节换能器位置、增益、扫描延迟和扫描长度，以显示出11次无干扰的底面反射波；然后调节扫描控制旋钮，使第3个和第9个底面反射波的前沿分别准确地位于显示屏水平标尺满刻度的20%和 80%处。记录其余9个脉冲的前沿超出水平刻度尺理想位置的偏差，取其最大偏差。在测量每一底面反射波的位置之前，应将其幅度调到显示屏满刻度的80%。</w:t>
      </w:r>
    </w:p>
    <w:p w14:paraId="43D781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水平线性误差见公式（1）进行计算：</w:t>
      </w:r>
    </w:p>
    <w:p w14:paraId="53D4E7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position w:val="-24"/>
          <w:sz w:val="24"/>
          <w:szCs w:val="21"/>
          <w:lang w:val="en-US" w:eastAsia="zh-CN" w:bidi="ar-SA"/>
        </w:rPr>
        <w:object>
          <v:shape id="_x0000_i1025" o:spt="75" type="#_x0000_t75" style="height:33pt;width:91pt;" o:ole="t" filled="f" o:preferrelative="t" stroked="f" coordsize="21600,21600">
            <v:path/>
            <v:fill on="f" focussize="0,0"/>
            <v:stroke on="f"/>
            <v:imagedata r:id="rId17" o:title=""/>
            <o:lock v:ext="edit" aspectratio="t"/>
            <w10:wrap type="none"/>
            <w10:anchorlock/>
          </v:shape>
          <o:OLEObject Type="Embed" ProgID="Equation.KSEE3" ShapeID="_x0000_i1025" DrawAspect="Content" ObjectID="_1468075725" r:id="rId16">
            <o:LockedField>false</o:LockedField>
          </o:OLEObject>
        </w:object>
      </w:r>
      <w:r>
        <w:rPr>
          <w:rFonts w:hint="default" w:ascii="Times New Roman" w:hAnsi="Times New Roman" w:cs="Times New Roman" w:eastAsiaTheme="minorEastAsia"/>
          <w:bCs/>
          <w:kern w:val="2"/>
          <w:sz w:val="24"/>
          <w:szCs w:val="21"/>
          <w:lang w:val="en-US" w:eastAsia="zh-CN" w:bidi="ar-SA"/>
        </w:rPr>
        <w:t xml:space="preserve">                              （1）</w:t>
      </w:r>
    </w:p>
    <w:p w14:paraId="6A51ACA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式中：</w:t>
      </w:r>
    </w:p>
    <w:p w14:paraId="1F3C0D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r>
          <m:rPr>
            <m:nor/>
            <m:sty m:val="p"/>
          </m:rPr>
          <w:rPr>
            <w:rFonts w:hint="default" w:ascii="Times New Roman" w:hAnsi="Times New Roman" w:cs="Times New Roman"/>
            <w:b w:val="0"/>
            <w:i w:val="0"/>
            <w:kern w:val="2"/>
            <w:sz w:val="24"/>
            <w:szCs w:val="21"/>
            <w:lang w:val="en-US" w:bidi="ar-SA"/>
          </w:rPr>
          <m:t>∆</m:t>
        </m:r>
        <m:r>
          <m:rPr>
            <m:nor/>
          </m:rPr>
          <w:rPr>
            <w:rFonts w:hint="default" w:ascii="Times New Roman" w:hAnsi="Times New Roman" w:cs="Times New Roman"/>
            <w:i/>
            <w:kern w:val="2"/>
            <w:sz w:val="24"/>
            <w:szCs w:val="21"/>
            <w:lang w:val="en-US" w:eastAsia="zh-CN" w:bidi="ar-SA"/>
          </w:rPr>
          <m:t>L</m:t>
        </m:r>
      </m:oMath>
      <w:r>
        <w:rPr>
          <w:rFonts w:hint="default" w:ascii="Times New Roman" w:hAnsi="Times New Roman" w:cs="Times New Roman"/>
          <w:bCs/>
          <w:i w:val="0"/>
          <w:kern w:val="2"/>
          <w:sz w:val="24"/>
          <w:szCs w:val="21"/>
          <w:lang w:val="en-US" w:eastAsia="zh-CN" w:bidi="ar-SA"/>
        </w:rPr>
        <w:t xml:space="preserve">   ——</w:t>
      </w:r>
      <w:r>
        <w:rPr>
          <w:rFonts w:hint="default" w:ascii="Times New Roman" w:hAnsi="Times New Roman" w:eastAsia="宋体" w:cs="Times New Roman"/>
          <w:i w:val="0"/>
          <w:iCs w:val="0"/>
          <w:color w:val="000000" w:themeColor="text1"/>
          <w:lang w:val="en-US" w:eastAsia="zh-CN"/>
          <w14:textFill>
            <w14:solidFill>
              <w14:schemeClr w14:val="tx1"/>
            </w14:solidFill>
          </w14:textFill>
        </w:rPr>
        <w:t>水平线性误差，%；</w:t>
      </w:r>
    </w:p>
    <w:p w14:paraId="76C991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d>
          <m:dPr>
            <m:begChr m:val="|"/>
            <m:endChr m:val="|"/>
            <m:ctrlPr>
              <w:rPr>
                <w:rFonts w:hint="default" w:ascii="Cambria Math" w:hAnsi="Cambria Math" w:cs="Times New Roman"/>
                <w:bCs/>
                <w:i/>
                <w:kern w:val="2"/>
                <w:sz w:val="24"/>
                <w:szCs w:val="21"/>
                <w:lang w:val="en-US" w:bidi="ar-SA"/>
              </w:rPr>
            </m:ctrlPr>
          </m:dPr>
          <m:e>
            <m:sSub>
              <m:sSubPr>
                <m:ctrlPr>
                  <w:rPr>
                    <w:rFonts w:hint="default" w:ascii="Cambria Math" w:hAnsi="Cambria Math" w:cs="Times New Roman"/>
                    <w:bCs/>
                    <w:i/>
                    <w:kern w:val="2"/>
                    <w:sz w:val="24"/>
                    <w:szCs w:val="21"/>
                    <w:lang w:val="en-US" w:eastAsia="zh-CN" w:bidi="ar-SA"/>
                  </w:rPr>
                </m:ctrlPr>
              </m:sSubPr>
              <m:e>
                <m:r>
                  <m:rPr>
                    <m:nor/>
                  </m:rPr>
                  <w:rPr>
                    <w:rFonts w:hint="default" w:ascii="Times New Roman" w:hAnsi="Times New Roman" w:cs="Times New Roman"/>
                    <w:i/>
                    <w:kern w:val="2"/>
                    <w:sz w:val="24"/>
                    <w:szCs w:val="21"/>
                    <w:lang w:val="en-US" w:eastAsia="zh-CN" w:bidi="ar-SA"/>
                  </w:rPr>
                  <m:t>a</m:t>
                </m:r>
                <m:ctrlPr>
                  <w:rPr>
                    <w:rFonts w:hint="default" w:ascii="Cambria Math" w:hAnsi="Cambria Math" w:cs="Times New Roman"/>
                    <w:bCs/>
                    <w:i/>
                    <w:kern w:val="2"/>
                    <w:sz w:val="24"/>
                    <w:szCs w:val="21"/>
                    <w:lang w:val="en-US" w:eastAsia="zh-CN" w:bidi="ar-SA"/>
                  </w:rPr>
                </m:ctrlPr>
              </m:e>
              <m:sub>
                <m:r>
                  <m:rPr>
                    <m:nor/>
                  </m:rPr>
                  <w:rPr>
                    <w:rFonts w:hint="default" w:ascii="Times New Roman" w:hAnsi="Times New Roman" w:cs="Times New Roman"/>
                    <w:i/>
                    <w:kern w:val="2"/>
                    <w:sz w:val="24"/>
                    <w:szCs w:val="21"/>
                    <w:lang w:val="en-US" w:eastAsia="zh-CN" w:bidi="ar-SA"/>
                  </w:rPr>
                  <m:t>max</m:t>
                </m:r>
                <m:ctrlPr>
                  <w:rPr>
                    <w:rFonts w:hint="default" w:ascii="Cambria Math" w:hAnsi="Cambria Math" w:cs="Times New Roman"/>
                    <w:bCs/>
                    <w:i/>
                    <w:kern w:val="2"/>
                    <w:sz w:val="24"/>
                    <w:szCs w:val="21"/>
                    <w:lang w:val="en-US" w:eastAsia="zh-CN" w:bidi="ar-SA"/>
                  </w:rPr>
                </m:ctrlPr>
              </m:sub>
            </m:sSub>
            <m:ctrlPr>
              <w:rPr>
                <w:rFonts w:hint="default" w:ascii="Cambria Math" w:hAnsi="Cambria Math" w:cs="Times New Roman"/>
                <w:bCs/>
                <w:i/>
                <w:kern w:val="2"/>
                <w:sz w:val="24"/>
                <w:szCs w:val="21"/>
                <w:lang w:val="en-US" w:bidi="ar-SA"/>
              </w:rPr>
            </m:ctrlPr>
          </m:e>
        </m:d>
      </m:oMath>
      <w:r>
        <w:rPr>
          <w:rFonts w:hint="default" w:ascii="Times New Roman" w:hAnsi="Times New Roman" w:cs="Times New Roman"/>
          <w:bCs/>
          <w:i w:val="0"/>
          <w:kern w:val="2"/>
          <w:sz w:val="24"/>
          <w:szCs w:val="21"/>
          <w:lang w:val="en-US" w:eastAsia="zh-CN" w:bidi="ar-SA"/>
        </w:rPr>
        <w:t>——</w:t>
      </w:r>
      <w:r>
        <w:rPr>
          <w:rFonts w:hint="default" w:ascii="Times New Roman" w:hAnsi="Times New Roman" w:eastAsia="宋体" w:cs="Times New Roman"/>
          <w:i w:val="0"/>
          <w:iCs w:val="0"/>
          <w:color w:val="000000" w:themeColor="text1"/>
          <w:lang w:val="en-US" w:eastAsia="zh-CN"/>
          <w14:textFill>
            <w14:solidFill>
              <w14:schemeClr w14:val="tx1"/>
            </w14:solidFill>
          </w14:textFill>
        </w:rPr>
        <w:t>其余9个脉冲与指定位置的最大偏差；</w:t>
      </w:r>
    </w:p>
    <w:p w14:paraId="5A02515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m:oMath>
        <m:r>
          <m:rPr>
            <m:nor/>
          </m:rPr>
          <w:rPr>
            <w:rFonts w:hint="default" w:ascii="Times New Roman" w:hAnsi="Times New Roman" w:eastAsia="宋体" w:cs="Times New Roman"/>
            <w:i/>
            <w:iCs/>
            <w:color w:val="000000" w:themeColor="text1"/>
            <w:lang w:val="en-US" w:eastAsia="zh-CN"/>
            <w14:textFill>
              <w14:solidFill>
                <w14:schemeClr w14:val="tx1"/>
              </w14:solidFill>
            </w14:textFill>
          </w:rPr>
          <m:t>B</m:t>
        </m:r>
      </m:oMath>
      <w:r>
        <w:rPr>
          <w:rFonts w:hint="default" w:ascii="Times New Roman" w:hAnsi="Times New Roman" w:eastAsia="宋体" w:cs="Times New Roman"/>
          <w:color w:val="000000" w:themeColor="text1"/>
          <w:lang w:val="en-US" w:eastAsia="zh-CN"/>
          <w14:textFill>
            <w14:solidFill>
              <w14:schemeClr w14:val="tx1"/>
            </w14:solidFill>
          </w14:textFill>
        </w:rPr>
        <w:t xml:space="preserve">    ——检测系统中水平方向相邻</w:t>
      </w:r>
      <w:r>
        <w:rPr>
          <w:rFonts w:hint="default" w:ascii="Times New Roman" w:hAnsi="Times New Roman" w:eastAsia="宋体" w:cs="Times New Roman"/>
          <w:i w:val="0"/>
          <w:iCs w:val="0"/>
          <w:color w:val="000000" w:themeColor="text1"/>
          <w:lang w:val="en-US" w:eastAsia="zh-CN"/>
          <w14:textFill>
            <w14:solidFill>
              <w14:schemeClr w14:val="tx1"/>
            </w14:solidFill>
          </w14:textFill>
        </w:rPr>
        <w:t>标尺线差值（一般为10）。</w:t>
      </w:r>
    </w:p>
    <w:p w14:paraId="46E89C4F">
      <w:pPr>
        <w:pStyle w:val="60"/>
        <w:keepNext w:val="0"/>
        <w:keepLines w:val="0"/>
        <w:pageBreakBefore w:val="0"/>
        <w:kinsoku/>
        <w:wordWrap/>
        <w:overflowPunct/>
        <w:topLinePunct w:val="0"/>
        <w:bidi w:val="0"/>
        <w:adjustRightInd/>
        <w:snapToGrid/>
        <w:spacing w:line="360" w:lineRule="auto"/>
        <w:textAlignment w:val="auto"/>
        <w:rPr>
          <w:rFonts w:hint="default" w:eastAsiaTheme="minorEastAsia"/>
          <w:lang w:val="en-US" w:eastAsia="zh-CN"/>
        </w:rPr>
      </w:pPr>
      <w:bookmarkStart w:id="69" w:name="_Toc196826967"/>
      <w:bookmarkStart w:id="70" w:name="_Toc20599"/>
      <w:bookmarkStart w:id="71" w:name="_Toc196485205"/>
      <w:r>
        <w:rPr>
          <w:rFonts w:hint="default"/>
        </w:rPr>
        <w:t>6.2.</w:t>
      </w:r>
      <w:r>
        <w:rPr>
          <w:rFonts w:hint="eastAsia"/>
          <w:lang w:val="en-US" w:eastAsia="zh-CN"/>
        </w:rPr>
        <w:t>2</w:t>
      </w:r>
      <w:bookmarkEnd w:id="69"/>
      <w:bookmarkEnd w:id="70"/>
      <w:bookmarkEnd w:id="71"/>
      <w:r>
        <w:rPr>
          <w:rFonts w:hint="eastAsia"/>
          <w:lang w:val="en-US" w:eastAsia="zh-CN"/>
        </w:rPr>
        <w:t>垂直线性误差</w:t>
      </w:r>
    </w:p>
    <w:p w14:paraId="6C0FBB3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将校准用金属试块放到检测系统换能器正下方，开始校准前应去除换能器和试块表面上的气泡和微粒。通过检测系统调节换能器位置，以显示出当前条件下的最高底面反射波。断开系统与换能器线缆连接，将步进式衰减器串入到检测系统与换能器中间（串接时应注意电压，避免步进式衰减器电压过载，必要时接入保护电路）。确保步进式衰减器留有至少30dB衰减余量，调节检测系统增益，以显示底面反射波高度到屏幕满刻度的80%。在不改变检测系统增益的情况下，将步进式衰减器设置到表3第1列所列数值，分别测量不同衰减量下超声探伤仪屏幕上的信号幅度。</w:t>
      </w:r>
    </w:p>
    <w:p w14:paraId="6A404A6F">
      <w:pPr>
        <w:spacing w:line="360" w:lineRule="auto"/>
        <w:ind w:firstLine="420"/>
        <w:jc w:val="center"/>
        <w:rPr>
          <w:rFonts w:hint="default" w:ascii="Times New Roman" w:hAnsi="Times New Roman" w:eastAsia="黑体" w:cs="Times New Roman"/>
          <w:kern w:val="0"/>
          <w:szCs w:val="21"/>
          <w:lang w:val="en-US" w:eastAsia="zh-CN"/>
        </w:rPr>
      </w:pPr>
      <w:r>
        <w:rPr>
          <w:rFonts w:hint="default" w:ascii="Times New Roman" w:hAnsi="Times New Roman" w:eastAsia="黑体" w:cs="Times New Roman"/>
          <w:kern w:val="0"/>
          <w:szCs w:val="21"/>
        </w:rPr>
        <w:t>表</w:t>
      </w:r>
      <w:r>
        <w:rPr>
          <w:rFonts w:hint="eastAsia" w:ascii="Times New Roman" w:hAnsi="Times New Roman" w:eastAsia="黑体" w:cs="Times New Roman"/>
          <w:kern w:val="0"/>
          <w:szCs w:val="21"/>
          <w:lang w:val="en-US" w:eastAsia="zh-CN"/>
        </w:rPr>
        <w:t>3</w:t>
      </w:r>
      <w:r>
        <w:rPr>
          <w:rFonts w:hint="default" w:ascii="Times New Roman" w:hAnsi="Times New Roman" w:eastAsia="黑体" w:cs="Times New Roman"/>
          <w:kern w:val="0"/>
          <w:szCs w:val="21"/>
          <w:lang w:val="en-US" w:eastAsia="zh-CN"/>
        </w:rPr>
        <w:t xml:space="preserve">  </w:t>
      </w:r>
      <w:r>
        <w:rPr>
          <w:rFonts w:hint="eastAsia" w:ascii="Times New Roman" w:hAnsi="Times New Roman" w:eastAsia="黑体" w:cs="Times New Roman"/>
          <w:kern w:val="0"/>
          <w:szCs w:val="21"/>
          <w:lang w:val="en-US" w:eastAsia="zh-CN"/>
        </w:rPr>
        <w:t>垂直线性的合格指标</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2062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678CF4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标准衰减器设置</w:t>
            </w:r>
          </w:p>
          <w:p w14:paraId="680DAE5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dB</w:t>
            </w:r>
          </w:p>
        </w:tc>
        <w:tc>
          <w:tcPr>
            <w:tcW w:w="3190" w:type="dxa"/>
          </w:tcPr>
          <w:p w14:paraId="3F757FC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所显示信号幅度理论值</w:t>
            </w:r>
          </w:p>
          <w:p w14:paraId="2D75131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（显示屏满刻度百分数/fs%）</w:t>
            </w:r>
          </w:p>
        </w:tc>
        <w:tc>
          <w:tcPr>
            <w:tcW w:w="3191" w:type="dxa"/>
          </w:tcPr>
          <w:p w14:paraId="516DD5D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合格指标</w:t>
            </w:r>
          </w:p>
          <w:p w14:paraId="5CFEBA3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（显示屏满刻度百分数/fs%）</w:t>
            </w:r>
          </w:p>
        </w:tc>
      </w:tr>
      <w:tr w14:paraId="4DC9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7BBF4D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w:t>
            </w:r>
          </w:p>
        </w:tc>
        <w:tc>
          <w:tcPr>
            <w:tcW w:w="3190" w:type="dxa"/>
          </w:tcPr>
          <w:p w14:paraId="69A8B7A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90</w:t>
            </w:r>
          </w:p>
        </w:tc>
        <w:tc>
          <w:tcPr>
            <w:tcW w:w="3191" w:type="dxa"/>
          </w:tcPr>
          <w:p w14:paraId="156C868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88~92</w:t>
            </w:r>
          </w:p>
        </w:tc>
      </w:tr>
      <w:tr w14:paraId="1E75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4F19E7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w:t>
            </w:r>
          </w:p>
        </w:tc>
        <w:tc>
          <w:tcPr>
            <w:tcW w:w="3190" w:type="dxa"/>
          </w:tcPr>
          <w:p w14:paraId="12F6F36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80</w:t>
            </w:r>
          </w:p>
        </w:tc>
        <w:tc>
          <w:tcPr>
            <w:tcW w:w="3191" w:type="dxa"/>
          </w:tcPr>
          <w:p w14:paraId="73E2DC5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参考线</w:t>
            </w:r>
          </w:p>
        </w:tc>
      </w:tr>
      <w:tr w14:paraId="2993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6DCA1A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w:t>
            </w:r>
          </w:p>
        </w:tc>
        <w:tc>
          <w:tcPr>
            <w:tcW w:w="3190" w:type="dxa"/>
          </w:tcPr>
          <w:p w14:paraId="5F91288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64</w:t>
            </w:r>
          </w:p>
        </w:tc>
        <w:tc>
          <w:tcPr>
            <w:tcW w:w="3191" w:type="dxa"/>
          </w:tcPr>
          <w:p w14:paraId="5CC7B19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62~66</w:t>
            </w:r>
          </w:p>
        </w:tc>
      </w:tr>
      <w:tr w14:paraId="484E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9F7D0E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w:t>
            </w:r>
          </w:p>
        </w:tc>
        <w:tc>
          <w:tcPr>
            <w:tcW w:w="3190" w:type="dxa"/>
          </w:tcPr>
          <w:p w14:paraId="2E13618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50</w:t>
            </w:r>
          </w:p>
        </w:tc>
        <w:tc>
          <w:tcPr>
            <w:tcW w:w="3191" w:type="dxa"/>
          </w:tcPr>
          <w:p w14:paraId="76D27E5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48~52</w:t>
            </w:r>
          </w:p>
        </w:tc>
      </w:tr>
      <w:tr w14:paraId="5FFE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215EF31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w:t>
            </w:r>
          </w:p>
        </w:tc>
        <w:tc>
          <w:tcPr>
            <w:tcW w:w="3190" w:type="dxa"/>
          </w:tcPr>
          <w:p w14:paraId="1789375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40</w:t>
            </w:r>
          </w:p>
        </w:tc>
        <w:tc>
          <w:tcPr>
            <w:tcW w:w="3191" w:type="dxa"/>
          </w:tcPr>
          <w:p w14:paraId="4251560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38~42</w:t>
            </w:r>
          </w:p>
        </w:tc>
      </w:tr>
      <w:tr w14:paraId="465D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CADE73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12</w:t>
            </w:r>
          </w:p>
        </w:tc>
        <w:tc>
          <w:tcPr>
            <w:tcW w:w="3190" w:type="dxa"/>
          </w:tcPr>
          <w:p w14:paraId="076AE96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25</w:t>
            </w:r>
          </w:p>
        </w:tc>
        <w:tc>
          <w:tcPr>
            <w:tcW w:w="3191" w:type="dxa"/>
          </w:tcPr>
          <w:p w14:paraId="3E5C609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23~27</w:t>
            </w:r>
          </w:p>
        </w:tc>
      </w:tr>
      <w:tr w14:paraId="2EC7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5643C7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14</w:t>
            </w:r>
          </w:p>
        </w:tc>
        <w:tc>
          <w:tcPr>
            <w:tcW w:w="3190" w:type="dxa"/>
          </w:tcPr>
          <w:p w14:paraId="2EC0363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3191" w:type="dxa"/>
          </w:tcPr>
          <w:p w14:paraId="73ECBCA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18~22</w:t>
            </w:r>
          </w:p>
        </w:tc>
      </w:tr>
      <w:tr w14:paraId="3A49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C2509A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3190" w:type="dxa"/>
          </w:tcPr>
          <w:p w14:paraId="2C3FA59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w:t>
            </w:r>
          </w:p>
        </w:tc>
        <w:tc>
          <w:tcPr>
            <w:tcW w:w="3191" w:type="dxa"/>
          </w:tcPr>
          <w:p w14:paraId="1798642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8~12</w:t>
            </w:r>
          </w:p>
        </w:tc>
      </w:tr>
      <w:tr w14:paraId="1E16B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282056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26</w:t>
            </w:r>
          </w:p>
        </w:tc>
        <w:tc>
          <w:tcPr>
            <w:tcW w:w="3190" w:type="dxa"/>
          </w:tcPr>
          <w:p w14:paraId="33D6967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w:t>
            </w:r>
          </w:p>
        </w:tc>
        <w:tc>
          <w:tcPr>
            <w:tcW w:w="3191" w:type="dxa"/>
          </w:tcPr>
          <w:p w14:paraId="2667455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3~7</w:t>
            </w:r>
          </w:p>
        </w:tc>
      </w:tr>
    </w:tbl>
    <w:p w14:paraId="31ABD71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垂直线性误差见公式（2）进行计算：</w:t>
      </w:r>
    </w:p>
    <w:p w14:paraId="12B634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position w:val="-14"/>
          <w:sz w:val="24"/>
          <w:szCs w:val="21"/>
          <w:lang w:val="en-US" w:eastAsia="zh-CN" w:bidi="ar-SA"/>
        </w:rPr>
        <w:object>
          <v:shape id="_x0000_i1026" o:spt="75" type="#_x0000_t75" style="height:20pt;width:93pt;" o:ole="t" filled="f" o:preferrelative="t" stroked="f" coordsize="21600,21600">
            <v:path/>
            <v:fill on="f" focussize="0,0"/>
            <v:stroke on="f"/>
            <v:imagedata r:id="rId19" o:title=""/>
            <o:lock v:ext="edit" aspectratio="t"/>
            <w10:wrap type="none"/>
            <w10:anchorlock/>
          </v:shape>
          <o:OLEObject Type="Embed" ProgID="Equation.KSEE3" ShapeID="_x0000_i1026" DrawAspect="Content" ObjectID="_1468075726" r:id="rId18">
            <o:LockedField>false</o:LockedField>
          </o:OLEObject>
        </w:object>
      </w:r>
      <w:r>
        <w:rPr>
          <w:rFonts w:hint="default" w:ascii="Times New Roman" w:hAnsi="Times New Roman" w:cs="Times New Roman" w:eastAsiaTheme="minorEastAsia"/>
          <w:bCs/>
          <w:kern w:val="2"/>
          <w:sz w:val="24"/>
          <w:szCs w:val="21"/>
          <w:lang w:val="en-US" w:eastAsia="zh-CN" w:bidi="ar-SA"/>
        </w:rPr>
        <w:t xml:space="preserve">                             （2）</w:t>
      </w:r>
    </w:p>
    <w:p w14:paraId="29809C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式中：</w:t>
      </w:r>
    </w:p>
    <w:p w14:paraId="6182A5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r>
          <m:rPr>
            <m:nor/>
            <m:sty m:val="p"/>
          </m:rPr>
          <w:rPr>
            <w:rFonts w:hint="default" w:ascii="Times New Roman" w:hAnsi="Times New Roman" w:cs="Times New Roman"/>
            <w:b w:val="0"/>
            <w:i w:val="0"/>
            <w:kern w:val="2"/>
            <w:sz w:val="24"/>
            <w:szCs w:val="21"/>
            <w:lang w:val="en-US" w:bidi="ar-SA"/>
          </w:rPr>
          <m:t>∆</m:t>
        </m:r>
      </m:oMath>
      <w:r>
        <w:rPr>
          <w:rFonts w:hint="default" w:ascii="Times New Roman" w:hAnsi="Times New Roman" w:cs="Times New Roman"/>
          <w:i w:val="0"/>
          <w:kern w:val="2"/>
          <w:sz w:val="24"/>
          <w:szCs w:val="21"/>
          <w:lang w:val="en-US" w:eastAsia="zh-CN" w:bidi="ar-SA"/>
        </w:rPr>
        <w:t xml:space="preserve">    </w:t>
      </w:r>
      <w:r>
        <w:rPr>
          <w:rFonts w:hint="default" w:ascii="Times New Roman" w:hAnsi="Times New Roman" w:cs="Times New Roman"/>
          <w:bCs/>
          <w:i w:val="0"/>
          <w:kern w:val="2"/>
          <w:sz w:val="24"/>
          <w:szCs w:val="21"/>
          <w:lang w:val="en-US" w:eastAsia="zh-CN" w:bidi="ar-SA"/>
        </w:rPr>
        <w:t>——</w:t>
      </w:r>
      <w:r>
        <w:rPr>
          <w:rFonts w:hint="default" w:ascii="Times New Roman" w:hAnsi="Times New Roman" w:eastAsia="宋体" w:cs="Times New Roman"/>
          <w:color w:val="000000" w:themeColor="text1"/>
          <w:lang w:val="en-US" w:eastAsia="zh-CN"/>
          <w14:textFill>
            <w14:solidFill>
              <w14:schemeClr w14:val="tx1"/>
            </w14:solidFill>
          </w14:textFill>
        </w:rPr>
        <w:t>幅度线性误差，%；</w:t>
      </w:r>
    </w:p>
    <w:p w14:paraId="1A6F19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d>
          <m:dPr>
            <m:begChr m:val="|"/>
            <m:endChr m:val="|"/>
            <m:ctrlPr>
              <w:rPr>
                <w:rFonts w:hint="default" w:ascii="Cambria Math" w:hAnsi="Cambria Math" w:cs="Times New Roman"/>
                <w:bCs/>
                <w:i/>
                <w:kern w:val="2"/>
                <w:sz w:val="24"/>
                <w:szCs w:val="21"/>
                <w:lang w:val="en-US" w:bidi="ar-SA"/>
              </w:rPr>
            </m:ctrlPr>
          </m:dPr>
          <m:e>
            <m:sSub>
              <m:sSubPr>
                <m:ctrlPr>
                  <w:rPr>
                    <w:rFonts w:hint="default" w:ascii="Cambria Math" w:hAnsi="Cambria Math" w:cs="Times New Roman"/>
                    <w:bCs/>
                    <w:i/>
                    <w:kern w:val="2"/>
                    <w:sz w:val="24"/>
                    <w:szCs w:val="21"/>
                    <w:lang w:val="en-US" w:eastAsia="zh-CN" w:bidi="ar-SA"/>
                  </w:rPr>
                </m:ctrlPr>
              </m:sSubPr>
              <m:e>
                <m:r>
                  <m:rPr>
                    <m:nor/>
                    <m:sty m:val="p"/>
                  </m:rPr>
                  <w:rPr>
                    <w:rFonts w:hint="default" w:ascii="Times New Roman" w:hAnsi="Times New Roman" w:cs="Times New Roman"/>
                    <w:b w:val="0"/>
                    <w:i w:val="0"/>
                    <w:kern w:val="2"/>
                    <w:sz w:val="24"/>
                    <w:szCs w:val="21"/>
                    <w:lang w:val="en-US" w:bidi="ar-SA"/>
                  </w:rPr>
                  <m:t>∆</m:t>
                </m:r>
                <m:ctrlPr>
                  <w:rPr>
                    <w:rFonts w:hint="default" w:ascii="Cambria Math" w:hAnsi="Cambria Math" w:cs="Times New Roman"/>
                    <w:bCs/>
                    <w:i/>
                    <w:kern w:val="2"/>
                    <w:sz w:val="24"/>
                    <w:szCs w:val="21"/>
                    <w:lang w:val="en-US" w:eastAsia="zh-CN" w:bidi="ar-SA"/>
                  </w:rPr>
                </m:ctrlPr>
              </m:e>
              <m:sub>
                <m:r>
                  <m:rPr>
                    <m:nor/>
                    <m:sty m:val="p"/>
                  </m:rPr>
                  <w:rPr>
                    <w:rFonts w:hint="default" w:ascii="Times New Roman" w:hAnsi="Times New Roman" w:cs="Times New Roman"/>
                    <w:b w:val="0"/>
                    <w:i w:val="0"/>
                    <w:kern w:val="2"/>
                    <w:sz w:val="24"/>
                    <w:szCs w:val="21"/>
                    <w:lang w:val="en-US" w:eastAsia="zh-CN" w:bidi="ar-SA"/>
                  </w:rPr>
                  <m:t>+</m:t>
                </m:r>
                <m:r>
                  <m:rPr>
                    <m:nor/>
                  </m:rPr>
                  <w:rPr>
                    <w:rFonts w:hint="default" w:ascii="Times New Roman" w:hAnsi="Times New Roman" w:cs="Times New Roman"/>
                    <w:i/>
                    <w:kern w:val="2"/>
                    <w:sz w:val="24"/>
                    <w:szCs w:val="21"/>
                    <w:lang w:val="en-US" w:eastAsia="zh-CN" w:bidi="ar-SA"/>
                  </w:rPr>
                  <m:t>max</m:t>
                </m:r>
                <m:ctrlPr>
                  <w:rPr>
                    <w:rFonts w:hint="default" w:ascii="Cambria Math" w:hAnsi="Cambria Math" w:cs="Times New Roman"/>
                    <w:bCs/>
                    <w:i/>
                    <w:kern w:val="2"/>
                    <w:sz w:val="24"/>
                    <w:szCs w:val="21"/>
                    <w:lang w:val="en-US" w:eastAsia="zh-CN" w:bidi="ar-SA"/>
                  </w:rPr>
                </m:ctrlPr>
              </m:sub>
            </m:sSub>
            <m:ctrlPr>
              <w:rPr>
                <w:rFonts w:hint="default" w:ascii="Cambria Math" w:hAnsi="Cambria Math" w:cs="Times New Roman"/>
                <w:bCs/>
                <w:i/>
                <w:kern w:val="2"/>
                <w:sz w:val="24"/>
                <w:szCs w:val="21"/>
                <w:lang w:val="en-US" w:bidi="ar-SA"/>
              </w:rPr>
            </m:ctrlPr>
          </m:e>
        </m:d>
      </m:oMath>
      <w:r>
        <w:rPr>
          <w:rFonts w:hint="default" w:ascii="Times New Roman" w:hAnsi="Times New Roman" w:cs="Times New Roman"/>
          <w:bCs/>
          <w:i w:val="0"/>
          <w:kern w:val="2"/>
          <w:sz w:val="24"/>
          <w:szCs w:val="21"/>
          <w:lang w:val="en-US" w:eastAsia="zh-CN" w:bidi="ar-SA"/>
        </w:rPr>
        <w:t>——</w:t>
      </w:r>
      <w:r>
        <w:rPr>
          <w:rFonts w:hint="default" w:ascii="Times New Roman" w:hAnsi="Times New Roman" w:eastAsia="宋体" w:cs="Times New Roman"/>
          <w:color w:val="000000" w:themeColor="text1"/>
          <w:lang w:val="en-US" w:eastAsia="zh-CN"/>
          <w14:textFill>
            <w14:solidFill>
              <w14:schemeClr w14:val="tx1"/>
            </w14:solidFill>
          </w14:textFill>
        </w:rPr>
        <w:t>幅度线性最大正偏差的绝对数值，%；</w:t>
      </w:r>
    </w:p>
    <w:p w14:paraId="320EED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rPr>
      </w:pPr>
      <m:oMath>
        <m:d>
          <m:dPr>
            <m:begChr m:val="|"/>
            <m:endChr m:val="|"/>
            <m:ctrlPr>
              <w:rPr>
                <w:rFonts w:hint="default" w:ascii="Cambria Math" w:hAnsi="Cambria Math" w:cs="Times New Roman"/>
                <w:bCs/>
                <w:i/>
                <w:kern w:val="2"/>
                <w:sz w:val="24"/>
                <w:szCs w:val="21"/>
                <w:lang w:val="en-US" w:bidi="ar-SA"/>
              </w:rPr>
            </m:ctrlPr>
          </m:dPr>
          <m:e>
            <m:sSub>
              <m:sSubPr>
                <m:ctrlPr>
                  <w:rPr>
                    <w:rFonts w:hint="default" w:ascii="Cambria Math" w:hAnsi="Cambria Math" w:cs="Times New Roman"/>
                    <w:bCs/>
                    <w:i/>
                    <w:kern w:val="2"/>
                    <w:sz w:val="24"/>
                    <w:szCs w:val="21"/>
                    <w:lang w:val="en-US" w:eastAsia="zh-CN" w:bidi="ar-SA"/>
                  </w:rPr>
                </m:ctrlPr>
              </m:sSubPr>
              <m:e>
                <m:r>
                  <m:rPr>
                    <m:nor/>
                    <m:sty m:val="p"/>
                  </m:rPr>
                  <w:rPr>
                    <w:rFonts w:hint="default" w:ascii="Times New Roman" w:hAnsi="Times New Roman" w:cs="Times New Roman"/>
                    <w:b w:val="0"/>
                    <w:i w:val="0"/>
                    <w:kern w:val="2"/>
                    <w:sz w:val="24"/>
                    <w:szCs w:val="21"/>
                    <w:lang w:val="en-US" w:bidi="ar-SA"/>
                  </w:rPr>
                  <m:t>∆</m:t>
                </m:r>
                <m:ctrlPr>
                  <w:rPr>
                    <w:rFonts w:hint="default" w:ascii="Cambria Math" w:hAnsi="Cambria Math" w:cs="Times New Roman"/>
                    <w:bCs/>
                    <w:i/>
                    <w:kern w:val="2"/>
                    <w:sz w:val="24"/>
                    <w:szCs w:val="21"/>
                    <w:lang w:val="en-US" w:eastAsia="zh-CN" w:bidi="ar-SA"/>
                  </w:rPr>
                </m:ctrlPr>
              </m:e>
              <m:sub>
                <m:r>
                  <m:rPr>
                    <m:nor/>
                    <m:sty m:val="p"/>
                  </m:rPr>
                  <w:rPr>
                    <w:rFonts w:hint="default" w:ascii="Times New Roman" w:hAnsi="Times New Roman" w:cs="Times New Roman"/>
                    <w:b w:val="0"/>
                    <w:i w:val="0"/>
                    <w:kern w:val="2"/>
                    <w:sz w:val="24"/>
                    <w:szCs w:val="21"/>
                    <w:lang w:val="en-US" w:eastAsia="zh-CN" w:bidi="ar-SA"/>
                  </w:rPr>
                  <m:t>−</m:t>
                </m:r>
                <m:r>
                  <m:rPr>
                    <m:nor/>
                  </m:rPr>
                  <w:rPr>
                    <w:rFonts w:hint="default" w:ascii="Times New Roman" w:hAnsi="Times New Roman" w:cs="Times New Roman"/>
                    <w:i/>
                    <w:kern w:val="2"/>
                    <w:sz w:val="24"/>
                    <w:szCs w:val="21"/>
                    <w:lang w:val="en-US" w:eastAsia="zh-CN" w:bidi="ar-SA"/>
                  </w:rPr>
                  <m:t>max</m:t>
                </m:r>
                <m:ctrlPr>
                  <w:rPr>
                    <w:rFonts w:hint="default" w:ascii="Cambria Math" w:hAnsi="Cambria Math" w:cs="Times New Roman"/>
                    <w:bCs/>
                    <w:i/>
                    <w:kern w:val="2"/>
                    <w:sz w:val="24"/>
                    <w:szCs w:val="21"/>
                    <w:lang w:val="en-US" w:eastAsia="zh-CN" w:bidi="ar-SA"/>
                  </w:rPr>
                </m:ctrlPr>
              </m:sub>
            </m:sSub>
            <m:ctrlPr>
              <w:rPr>
                <w:rFonts w:hint="default" w:ascii="Cambria Math" w:hAnsi="Cambria Math" w:cs="Times New Roman"/>
                <w:bCs/>
                <w:i/>
                <w:kern w:val="2"/>
                <w:sz w:val="24"/>
                <w:szCs w:val="21"/>
                <w:lang w:val="en-US" w:bidi="ar-SA"/>
              </w:rPr>
            </m:ctrlPr>
          </m:e>
        </m:d>
      </m:oMath>
      <w:r>
        <w:rPr>
          <w:rFonts w:hint="default" w:ascii="Times New Roman" w:hAnsi="Times New Roman" w:cs="Times New Roman"/>
          <w:bCs/>
          <w:i w:val="0"/>
          <w:kern w:val="2"/>
          <w:sz w:val="24"/>
          <w:szCs w:val="21"/>
          <w:lang w:val="en-US" w:eastAsia="zh-CN" w:bidi="ar-SA"/>
        </w:rPr>
        <w:t>——</w:t>
      </w:r>
      <w:r>
        <w:rPr>
          <w:rFonts w:hint="default" w:ascii="Times New Roman" w:hAnsi="Times New Roman" w:eastAsia="宋体" w:cs="Times New Roman"/>
          <w:color w:val="000000" w:themeColor="text1"/>
          <w:lang w:val="en-US" w:eastAsia="zh-CN"/>
          <w14:textFill>
            <w14:solidFill>
              <w14:schemeClr w14:val="tx1"/>
            </w14:solidFill>
          </w14:textFill>
        </w:rPr>
        <w:t>幅度线性最大负偏差的绝对数值，%。</w:t>
      </w:r>
    </w:p>
    <w:p w14:paraId="53A14D5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10875376">
      <w:pPr>
        <w:pStyle w:val="60"/>
        <w:keepNext w:val="0"/>
        <w:keepLines w:val="0"/>
        <w:pageBreakBefore w:val="0"/>
        <w:kinsoku/>
        <w:wordWrap/>
        <w:overflowPunct/>
        <w:topLinePunct w:val="0"/>
        <w:bidi w:val="0"/>
        <w:adjustRightInd/>
        <w:snapToGrid/>
        <w:spacing w:line="360" w:lineRule="auto"/>
        <w:textAlignment w:val="auto"/>
        <w:rPr>
          <w:rFonts w:hint="default" w:eastAsiaTheme="minorEastAsia"/>
          <w:lang w:val="en-US" w:eastAsia="zh-CN"/>
        </w:rPr>
      </w:pPr>
      <w:bookmarkStart w:id="72" w:name="_Toc196485206"/>
      <w:bookmarkStart w:id="73" w:name="_Toc196826968"/>
      <w:bookmarkStart w:id="74" w:name="_Toc22616"/>
      <w:r>
        <w:rPr>
          <w:rFonts w:hint="default"/>
        </w:rPr>
        <w:t>6.2.</w:t>
      </w:r>
      <w:r>
        <w:rPr>
          <w:rFonts w:hint="eastAsia"/>
          <w:lang w:val="en-US" w:eastAsia="zh-CN"/>
        </w:rPr>
        <w:t>3</w:t>
      </w:r>
      <w:bookmarkEnd w:id="72"/>
      <w:bookmarkEnd w:id="73"/>
      <w:bookmarkEnd w:id="74"/>
      <w:r>
        <w:rPr>
          <w:rFonts w:hint="eastAsia"/>
          <w:lang w:val="en-US" w:eastAsia="zh-CN"/>
        </w:rPr>
        <w:t>远表面/近表面分辨力</w:t>
      </w:r>
    </w:p>
    <w:p w14:paraId="232A6FE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选用埋深不小于75mm的直径0.4mm平底孔铝合金试块作为灵敏度试块，将平底孔反射信号调整到满刻度的80%，允许调整脉冲宽度等参数，以获得最佳灵敏度/分辨力性能。</w:t>
      </w:r>
    </w:p>
    <w:p w14:paraId="7ABAF68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在上述灵敏度条件下，将校准用远/近表面分辨力测试用金属试块放到检测系统换能器正下方，开始校准前应去除换能器和试块表面上的气泡和微粒。校准远表面分辨力时，将图</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14:textFill>
            <w14:solidFill>
              <w14:schemeClr w14:val="tx1"/>
            </w14:solidFill>
          </w14:textFill>
        </w:rPr>
        <w:t>中A区域放置于换能器正下方；校准近表面分辨力时，将图1中B区域放置于换能器正下方。</w:t>
      </w:r>
    </w:p>
    <w:p w14:paraId="385DA7B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1EF8CE9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316230</wp:posOffset>
            </wp:positionH>
            <wp:positionV relativeFrom="paragraph">
              <wp:posOffset>-445770</wp:posOffset>
            </wp:positionV>
            <wp:extent cx="4566285" cy="3598545"/>
            <wp:effectExtent l="0" t="0" r="5715" b="1905"/>
            <wp:wrapNone/>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20"/>
                    <a:stretch>
                      <a:fillRect/>
                    </a:stretch>
                  </pic:blipFill>
                  <pic:spPr>
                    <a:xfrm>
                      <a:off x="0" y="0"/>
                      <a:ext cx="4566285" cy="3598545"/>
                    </a:xfrm>
                    <a:prstGeom prst="rect">
                      <a:avLst/>
                    </a:prstGeom>
                    <a:noFill/>
                    <a:ln>
                      <a:noFill/>
                    </a:ln>
                  </pic:spPr>
                </pic:pic>
              </a:graphicData>
            </a:graphic>
          </wp:anchor>
        </w:drawing>
      </w:r>
    </w:p>
    <w:p w14:paraId="5C1C6A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158C679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29DE8C0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065D002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2C073D1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5BC6BB0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476FD44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47A78BE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7D85EB2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3FF68DA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14:textFill>
            <w14:solidFill>
              <w14:schemeClr w14:val="tx1"/>
            </w14:solidFill>
          </w14:textFill>
        </w:rPr>
      </w:pPr>
    </w:p>
    <w:p w14:paraId="0E1532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p>
    <w:p w14:paraId="096C9E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p>
    <w:p w14:paraId="0A1629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w:t>
      </w:r>
      <w:r>
        <w:rPr>
          <w:rFonts w:hint="eastAsia" w:eastAsia="黑体" w:cs="Times New Roman"/>
          <w:bCs/>
          <w:kern w:val="2"/>
          <w:sz w:val="21"/>
          <w:szCs w:val="21"/>
          <w:lang w:val="en-US" w:eastAsia="zh-CN" w:bidi="ar-SA"/>
        </w:rPr>
        <w:t xml:space="preserve">6 </w:t>
      </w:r>
      <w:r>
        <w:rPr>
          <w:rFonts w:hint="default" w:ascii="Times New Roman" w:hAnsi="Times New Roman" w:eastAsia="黑体" w:cs="Times New Roman"/>
          <w:color w:val="000000" w:themeColor="text1"/>
          <w:kern w:val="0"/>
          <w:sz w:val="21"/>
          <w:szCs w:val="21"/>
          <w:lang w:val="en-US" w:eastAsia="zh-CN"/>
          <w14:textFill>
            <w14:solidFill>
              <w14:schemeClr w14:val="tx1"/>
            </w14:solidFill>
          </w14:textFill>
        </w:rPr>
        <w:t>远/近表面分辨力测试用金属试块形状和尺寸示意图</w:t>
      </w:r>
    </w:p>
    <w:p w14:paraId="1B7ED393">
      <w:pPr>
        <w:pStyle w:val="60"/>
        <w:keepNext w:val="0"/>
        <w:keepLines w:val="0"/>
        <w:pageBreakBefore w:val="0"/>
        <w:kinsoku/>
        <w:wordWrap/>
        <w:overflowPunct/>
        <w:topLinePunct w:val="0"/>
        <w:bidi w:val="0"/>
        <w:adjustRightInd/>
        <w:snapToGrid/>
        <w:spacing w:line="360" w:lineRule="auto"/>
        <w:textAlignment w:val="auto"/>
        <w:rPr>
          <w:rFonts w:hint="default"/>
          <w:lang w:val="en-US" w:eastAsia="zh-CN"/>
        </w:rPr>
      </w:pPr>
      <w:r>
        <w:rPr>
          <w:rFonts w:hint="default"/>
          <w:lang w:val="en-US" w:eastAsia="zh-CN"/>
        </w:rPr>
        <w:t>6.2.3.1远表面分辨力</w:t>
      </w:r>
    </w:p>
    <w:p w14:paraId="75BC26A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校准远表面分辨力时，调整检测系统的换能器位于A区域1号平底孔正上方，调节检测系统增益，记录1号平底孔反射回波幅度为显示屏满刻度80%时且满足与相邻界面反射波的相交处不大于显示屏满刻度20%时的增益值；调整检测系统的换能器位置于A区域2号平底孔正上方，调节检测系统增益，记录2号平底孔反射回波幅度为显示屏满刻度80%时且满足与相邻界面反射波的相交处不大于显示屏满刻度20%时的增益值；调整检测系统的换能器位置于A区域3号平底孔正上方，调节检测系统增益，记录1号平底孔反射回波幅度为显示屏满刻度80%时且满足与相邻界面反射波的相交处不大于显示屏满刻度20%时的增益值。检测系统的远表面分辨力以孔底到相邻界面的最短金属距离、孔径及灵敏度大小来表示。</w:t>
      </w:r>
    </w:p>
    <w:p w14:paraId="2E5D8A2A">
      <w:pPr>
        <w:pStyle w:val="60"/>
        <w:keepNext w:val="0"/>
        <w:keepLines w:val="0"/>
        <w:pageBreakBefore w:val="0"/>
        <w:kinsoku/>
        <w:wordWrap/>
        <w:overflowPunct/>
        <w:topLinePunct w:val="0"/>
        <w:bidi w:val="0"/>
        <w:adjustRightInd/>
        <w:snapToGrid/>
        <w:spacing w:line="360" w:lineRule="auto"/>
        <w:textAlignment w:val="auto"/>
        <w:rPr>
          <w:rFonts w:hint="default"/>
          <w:lang w:val="en-US" w:eastAsia="zh-CN"/>
        </w:rPr>
      </w:pPr>
      <w:r>
        <w:rPr>
          <w:rFonts w:hint="default"/>
          <w:lang w:val="en-US" w:eastAsia="zh-CN"/>
        </w:rPr>
        <w:t>6.2.3.2近表面分辨力</w:t>
      </w:r>
    </w:p>
    <w:p w14:paraId="6E3FC1F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校准近表面分辨力时，调整检测系统的换能器位于B区域1号平底孔正上方，调节检测系统增益，记录1号平底孔反射回波幅度为显示屏满刻度80%时且满足与相邻界面反射波的相交处不大于显示屏满刻度20%时的增益值；根据6.2.3.1中步骤依次对B区域2号平底孔和B区域3号平底孔进行近表面分辨力校准并记录数据。检测系统的近表面分辨力以孔底到相邻界面的最短金属距离、孔径及灵敏度大小来表示。</w:t>
      </w:r>
    </w:p>
    <w:p w14:paraId="0E005385">
      <w:pPr>
        <w:pStyle w:val="60"/>
        <w:keepNext w:val="0"/>
        <w:keepLines w:val="0"/>
        <w:pageBreakBefore w:val="0"/>
        <w:kinsoku/>
        <w:wordWrap/>
        <w:overflowPunct/>
        <w:topLinePunct w:val="0"/>
        <w:bidi w:val="0"/>
        <w:adjustRightInd/>
        <w:snapToGrid/>
        <w:spacing w:line="360" w:lineRule="auto"/>
        <w:textAlignment w:val="auto"/>
        <w:rPr>
          <w:rFonts w:hint="default"/>
          <w:lang w:val="en-US" w:eastAsia="zh-CN"/>
        </w:rPr>
      </w:pPr>
      <w:r>
        <w:rPr>
          <w:rFonts w:hint="default"/>
        </w:rPr>
        <w:t>6.2</w:t>
      </w:r>
      <w:r>
        <w:rPr>
          <w:rFonts w:hint="default"/>
          <w:lang w:val="en-US" w:eastAsia="zh-CN"/>
        </w:rPr>
        <w:t>.</w:t>
      </w:r>
      <w:r>
        <w:rPr>
          <w:rFonts w:hint="eastAsia"/>
          <w:lang w:val="en-US" w:eastAsia="zh-CN"/>
        </w:rPr>
        <w:t>4灵敏度和噪声</w:t>
      </w:r>
    </w:p>
    <w:p w14:paraId="63E2E13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将校准用试块放到检测系统换能器正下方，开始校准前应去除换能器和试块表面上的气泡和微粒。校准时，依次对校准用平底孔试块组中的试块进行平底孔反射回波检测，记录校准过程中，满足尽可能小的孔径条件下反射回波幅度至少为显示屏满刻度80%且噪声信号幅度不大于显示屏满刻度的20%时的剩余增益余量和噪声幅度。灵敏度和噪声的表示方法为能够满足上述要求的最小孔径大小和对应剩余增益余量及噪声幅度。</w:t>
      </w:r>
    </w:p>
    <w:p w14:paraId="7B7752E2">
      <w:pPr>
        <w:pStyle w:val="60"/>
        <w:keepNext w:val="0"/>
        <w:keepLines w:val="0"/>
        <w:pageBreakBefore w:val="0"/>
        <w:kinsoku/>
        <w:wordWrap/>
        <w:overflowPunct/>
        <w:topLinePunct w:val="0"/>
        <w:bidi w:val="0"/>
        <w:adjustRightInd/>
        <w:snapToGrid/>
        <w:spacing w:line="360" w:lineRule="auto"/>
        <w:textAlignment w:val="auto"/>
        <w:rPr>
          <w:rFonts w:hint="default"/>
          <w:lang w:val="en-US" w:eastAsia="zh-CN"/>
        </w:rPr>
      </w:pPr>
      <w:r>
        <w:rPr>
          <w:rFonts w:hint="default"/>
        </w:rPr>
        <w:t>6.2</w:t>
      </w:r>
      <w:r>
        <w:rPr>
          <w:rFonts w:hint="default"/>
          <w:lang w:val="en-US" w:eastAsia="zh-CN"/>
        </w:rPr>
        <w:t>.</w:t>
      </w:r>
      <w:r>
        <w:rPr>
          <w:rFonts w:hint="eastAsia"/>
          <w:lang w:val="en-US" w:eastAsia="zh-CN"/>
        </w:rPr>
        <w:t>5增益控制精度</w:t>
      </w:r>
    </w:p>
    <w:p w14:paraId="367AAB3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将校准用平底孔金属试块放到检测系统换能器正下方，开始校准前应去除换能器和试块表面上的气泡和微粒。将检测系统增益调整至平底孔反射回波幅度为显示屏满刻度。在当前灵敏度条件下，同6.2.2方法接入步进式衰减器，此时步进式衰减器衰减值应为0dB。</w:t>
      </w:r>
    </w:p>
    <w:p w14:paraId="1C7069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调节步进式衰减器，从1dB到21dB，每次增加1dB的衰减量，按照表</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lang w:val="en-US" w:eastAsia="zh-CN"/>
          <w14:textFill>
            <w14:solidFill>
              <w14:schemeClr w14:val="tx1"/>
            </w14:solidFill>
          </w14:textFill>
        </w:rPr>
        <w:t>内容记录平底孔反射回波幅度。</w:t>
      </w:r>
    </w:p>
    <w:p w14:paraId="5EA49BAD">
      <w:pPr>
        <w:spacing w:line="360" w:lineRule="auto"/>
        <w:ind w:firstLine="42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黑体" w:cs="Times New Roman"/>
          <w:kern w:val="0"/>
          <w:szCs w:val="21"/>
          <w:lang w:val="en-US" w:eastAsia="zh-CN"/>
        </w:rPr>
        <w:t>表</w:t>
      </w:r>
      <w:r>
        <w:rPr>
          <w:rFonts w:hint="eastAsia" w:eastAsia="黑体" w:cs="Times New Roman"/>
          <w:kern w:val="0"/>
          <w:szCs w:val="21"/>
          <w:lang w:val="en-US" w:eastAsia="zh-CN"/>
        </w:rPr>
        <w:t>4</w:t>
      </w:r>
      <w:r>
        <w:rPr>
          <w:rFonts w:hint="default" w:ascii="Times New Roman" w:hAnsi="Times New Roman" w:eastAsia="黑体" w:cs="Times New Roman"/>
          <w:kern w:val="0"/>
          <w:szCs w:val="21"/>
          <w:lang w:val="en-US" w:eastAsia="zh-CN"/>
        </w:rPr>
        <w:t xml:space="preserve"> 增益控制精度允许范围</w:t>
      </w:r>
    </w:p>
    <w:tbl>
      <w:tblPr>
        <w:tblStyle w:val="42"/>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2392"/>
        <w:gridCol w:w="2393"/>
        <w:gridCol w:w="2393"/>
        <w:gridCol w:w="2393"/>
      </w:tblGrid>
      <w:tr w14:paraId="5FC84D5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73" w:hRule="atLeast"/>
        </w:trPr>
        <w:tc>
          <w:tcPr>
            <w:tcW w:w="2392" w:type="dxa"/>
            <w:vMerge w:val="restart"/>
            <w:vAlign w:val="center"/>
          </w:tcPr>
          <w:p w14:paraId="0F3FB67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衰减量/dB</w:t>
            </w:r>
          </w:p>
        </w:tc>
        <w:tc>
          <w:tcPr>
            <w:tcW w:w="7179" w:type="dxa"/>
            <w:gridSpan w:val="3"/>
            <w:vAlign w:val="center"/>
          </w:tcPr>
          <w:p w14:paraId="39B9848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设备显示屏满刻度百分数/fs%</w:t>
            </w:r>
          </w:p>
        </w:tc>
      </w:tr>
      <w:tr w14:paraId="4A08B5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2392" w:type="dxa"/>
            <w:vMerge w:val="continue"/>
            <w:tcBorders>
              <w:bottom w:val="single" w:color="auto" w:sz="12" w:space="0"/>
            </w:tcBorders>
            <w:vAlign w:val="center"/>
          </w:tcPr>
          <w:p w14:paraId="1ABA84E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p>
        </w:tc>
        <w:tc>
          <w:tcPr>
            <w:tcW w:w="2393" w:type="dxa"/>
            <w:tcBorders>
              <w:bottom w:val="single" w:color="auto" w:sz="12" w:space="0"/>
            </w:tcBorders>
            <w:vAlign w:val="center"/>
          </w:tcPr>
          <w:p w14:paraId="0CF8E12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标准值</w:t>
            </w:r>
          </w:p>
        </w:tc>
        <w:tc>
          <w:tcPr>
            <w:tcW w:w="2393" w:type="dxa"/>
            <w:tcBorders>
              <w:bottom w:val="single" w:color="auto" w:sz="12" w:space="0"/>
            </w:tcBorders>
            <w:vAlign w:val="center"/>
          </w:tcPr>
          <w:p w14:paraId="01FC6D7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最小值</w:t>
            </w:r>
          </w:p>
        </w:tc>
        <w:tc>
          <w:tcPr>
            <w:tcW w:w="2393" w:type="dxa"/>
            <w:tcBorders>
              <w:bottom w:val="single" w:color="auto" w:sz="12" w:space="0"/>
            </w:tcBorders>
            <w:vAlign w:val="center"/>
          </w:tcPr>
          <w:p w14:paraId="6D12818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最大值</w:t>
            </w:r>
          </w:p>
        </w:tc>
      </w:tr>
      <w:tr w14:paraId="21E477E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2392" w:type="dxa"/>
            <w:tcBorders>
              <w:top w:val="single" w:color="auto" w:sz="12" w:space="0"/>
              <w:tl2br w:val="nil"/>
              <w:tr2bl w:val="nil"/>
            </w:tcBorders>
            <w:vAlign w:val="center"/>
          </w:tcPr>
          <w:p w14:paraId="32F9AF3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0</w:t>
            </w:r>
          </w:p>
        </w:tc>
        <w:tc>
          <w:tcPr>
            <w:tcW w:w="2393" w:type="dxa"/>
            <w:tcBorders>
              <w:top w:val="single" w:color="auto" w:sz="12" w:space="0"/>
              <w:tl2br w:val="nil"/>
              <w:tr2bl w:val="nil"/>
            </w:tcBorders>
            <w:vAlign w:val="center"/>
          </w:tcPr>
          <w:p w14:paraId="75DE818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100.0</w:t>
            </w:r>
          </w:p>
        </w:tc>
        <w:tc>
          <w:tcPr>
            <w:tcW w:w="2393" w:type="dxa"/>
            <w:tcBorders>
              <w:top w:val="single" w:color="auto" w:sz="12" w:space="0"/>
              <w:tl2br w:val="nil"/>
              <w:tr2bl w:val="nil"/>
            </w:tcBorders>
            <w:vAlign w:val="center"/>
          </w:tcPr>
          <w:p w14:paraId="0994DAF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w:t>
            </w:r>
          </w:p>
        </w:tc>
        <w:tc>
          <w:tcPr>
            <w:tcW w:w="2393" w:type="dxa"/>
            <w:tcBorders>
              <w:top w:val="single" w:color="auto" w:sz="12" w:space="0"/>
              <w:tl2br w:val="nil"/>
              <w:tr2bl w:val="nil"/>
            </w:tcBorders>
            <w:vAlign w:val="center"/>
          </w:tcPr>
          <w:p w14:paraId="71F313A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w:t>
            </w:r>
          </w:p>
        </w:tc>
      </w:tr>
      <w:tr w14:paraId="344A42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4A175F9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w:t>
            </w:r>
          </w:p>
        </w:tc>
        <w:tc>
          <w:tcPr>
            <w:tcW w:w="2393" w:type="dxa"/>
            <w:tcBorders>
              <w:tl2br w:val="nil"/>
              <w:tr2bl w:val="nil"/>
            </w:tcBorders>
            <w:vAlign w:val="center"/>
          </w:tcPr>
          <w:p w14:paraId="4C22FB1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89.1</w:t>
            </w:r>
          </w:p>
        </w:tc>
        <w:tc>
          <w:tcPr>
            <w:tcW w:w="2393" w:type="dxa"/>
            <w:tcBorders>
              <w:tl2br w:val="nil"/>
              <w:tr2bl w:val="nil"/>
            </w:tcBorders>
            <w:vAlign w:val="center"/>
          </w:tcPr>
          <w:p w14:paraId="5624200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85</w:t>
            </w:r>
          </w:p>
        </w:tc>
        <w:tc>
          <w:tcPr>
            <w:tcW w:w="2393" w:type="dxa"/>
            <w:tcBorders>
              <w:tl2br w:val="nil"/>
              <w:tr2bl w:val="nil"/>
            </w:tcBorders>
            <w:vAlign w:val="center"/>
          </w:tcPr>
          <w:p w14:paraId="237A513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94</w:t>
            </w:r>
          </w:p>
        </w:tc>
      </w:tr>
      <w:tr w14:paraId="3815AA2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247CA3A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w:t>
            </w:r>
          </w:p>
        </w:tc>
        <w:tc>
          <w:tcPr>
            <w:tcW w:w="2393" w:type="dxa"/>
            <w:tcBorders>
              <w:tl2br w:val="nil"/>
              <w:tr2bl w:val="nil"/>
            </w:tcBorders>
            <w:vAlign w:val="center"/>
          </w:tcPr>
          <w:p w14:paraId="3D7B46C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79.4</w:t>
            </w:r>
          </w:p>
        </w:tc>
        <w:tc>
          <w:tcPr>
            <w:tcW w:w="2393" w:type="dxa"/>
            <w:tcBorders>
              <w:tl2br w:val="nil"/>
              <w:tr2bl w:val="nil"/>
            </w:tcBorders>
            <w:vAlign w:val="center"/>
          </w:tcPr>
          <w:p w14:paraId="7818C7D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75</w:t>
            </w:r>
          </w:p>
        </w:tc>
        <w:tc>
          <w:tcPr>
            <w:tcW w:w="2393" w:type="dxa"/>
            <w:tcBorders>
              <w:tl2br w:val="nil"/>
              <w:tr2bl w:val="nil"/>
            </w:tcBorders>
            <w:vAlign w:val="center"/>
          </w:tcPr>
          <w:p w14:paraId="5643FD9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84</w:t>
            </w:r>
          </w:p>
        </w:tc>
      </w:tr>
      <w:tr w14:paraId="2415C2E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423B591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w:t>
            </w:r>
          </w:p>
        </w:tc>
        <w:tc>
          <w:tcPr>
            <w:tcW w:w="2393" w:type="dxa"/>
            <w:tcBorders>
              <w:tl2br w:val="nil"/>
              <w:tr2bl w:val="nil"/>
            </w:tcBorders>
            <w:vAlign w:val="center"/>
          </w:tcPr>
          <w:p w14:paraId="3BB12A7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70.8</w:t>
            </w:r>
          </w:p>
        </w:tc>
        <w:tc>
          <w:tcPr>
            <w:tcW w:w="2393" w:type="dxa"/>
            <w:tcBorders>
              <w:tl2br w:val="nil"/>
              <w:tr2bl w:val="nil"/>
            </w:tcBorders>
            <w:vAlign w:val="center"/>
          </w:tcPr>
          <w:p w14:paraId="1BA609E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66</w:t>
            </w:r>
          </w:p>
        </w:tc>
        <w:tc>
          <w:tcPr>
            <w:tcW w:w="2393" w:type="dxa"/>
            <w:tcBorders>
              <w:tl2br w:val="nil"/>
              <w:tr2bl w:val="nil"/>
            </w:tcBorders>
            <w:vAlign w:val="center"/>
          </w:tcPr>
          <w:p w14:paraId="22FD2C7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75</w:t>
            </w:r>
          </w:p>
        </w:tc>
      </w:tr>
      <w:tr w14:paraId="576445B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C62D13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w:t>
            </w:r>
          </w:p>
        </w:tc>
        <w:tc>
          <w:tcPr>
            <w:tcW w:w="2393" w:type="dxa"/>
            <w:tcBorders>
              <w:tl2br w:val="nil"/>
              <w:tr2bl w:val="nil"/>
            </w:tcBorders>
            <w:vAlign w:val="center"/>
          </w:tcPr>
          <w:p w14:paraId="082C82F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63.1</w:t>
            </w:r>
          </w:p>
        </w:tc>
        <w:tc>
          <w:tcPr>
            <w:tcW w:w="2393" w:type="dxa"/>
            <w:tcBorders>
              <w:tl2br w:val="nil"/>
              <w:tr2bl w:val="nil"/>
            </w:tcBorders>
            <w:vAlign w:val="center"/>
          </w:tcPr>
          <w:p w14:paraId="4C6B33B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59</w:t>
            </w:r>
          </w:p>
        </w:tc>
        <w:tc>
          <w:tcPr>
            <w:tcW w:w="2393" w:type="dxa"/>
            <w:tcBorders>
              <w:tl2br w:val="nil"/>
              <w:tr2bl w:val="nil"/>
            </w:tcBorders>
            <w:vAlign w:val="center"/>
          </w:tcPr>
          <w:p w14:paraId="242DA68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68</w:t>
            </w:r>
          </w:p>
        </w:tc>
      </w:tr>
      <w:tr w14:paraId="6A61BED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7FCD2C4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w:t>
            </w:r>
          </w:p>
        </w:tc>
        <w:tc>
          <w:tcPr>
            <w:tcW w:w="2393" w:type="dxa"/>
            <w:tcBorders>
              <w:tl2br w:val="nil"/>
              <w:tr2bl w:val="nil"/>
            </w:tcBorders>
            <w:vAlign w:val="center"/>
          </w:tcPr>
          <w:p w14:paraId="7849C52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56.2</w:t>
            </w:r>
          </w:p>
        </w:tc>
        <w:tc>
          <w:tcPr>
            <w:tcW w:w="2393" w:type="dxa"/>
            <w:tcBorders>
              <w:tl2br w:val="nil"/>
              <w:tr2bl w:val="nil"/>
            </w:tcBorders>
            <w:vAlign w:val="center"/>
          </w:tcPr>
          <w:p w14:paraId="1731858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52</w:t>
            </w:r>
          </w:p>
        </w:tc>
        <w:tc>
          <w:tcPr>
            <w:tcW w:w="2393" w:type="dxa"/>
            <w:tcBorders>
              <w:tl2br w:val="nil"/>
              <w:tr2bl w:val="nil"/>
            </w:tcBorders>
            <w:vAlign w:val="center"/>
          </w:tcPr>
          <w:p w14:paraId="2AA1D8C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61</w:t>
            </w:r>
          </w:p>
        </w:tc>
      </w:tr>
      <w:tr w14:paraId="166F513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528E39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w:t>
            </w:r>
          </w:p>
        </w:tc>
        <w:tc>
          <w:tcPr>
            <w:tcW w:w="2393" w:type="dxa"/>
            <w:tcBorders>
              <w:tl2br w:val="nil"/>
              <w:tr2bl w:val="nil"/>
            </w:tcBorders>
            <w:vAlign w:val="center"/>
          </w:tcPr>
          <w:p w14:paraId="0B53A67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50.1</w:t>
            </w:r>
          </w:p>
        </w:tc>
        <w:tc>
          <w:tcPr>
            <w:tcW w:w="2393" w:type="dxa"/>
            <w:tcBorders>
              <w:tl2br w:val="nil"/>
              <w:tr2bl w:val="nil"/>
            </w:tcBorders>
            <w:vAlign w:val="center"/>
          </w:tcPr>
          <w:p w14:paraId="7B9B588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46</w:t>
            </w:r>
          </w:p>
        </w:tc>
        <w:tc>
          <w:tcPr>
            <w:tcW w:w="2393" w:type="dxa"/>
            <w:tcBorders>
              <w:tl2br w:val="nil"/>
              <w:tr2bl w:val="nil"/>
            </w:tcBorders>
            <w:vAlign w:val="center"/>
          </w:tcPr>
          <w:p w14:paraId="31271D6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55</w:t>
            </w:r>
          </w:p>
        </w:tc>
      </w:tr>
      <w:tr w14:paraId="4DFAE7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5868F8C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w:t>
            </w:r>
          </w:p>
        </w:tc>
        <w:tc>
          <w:tcPr>
            <w:tcW w:w="2393" w:type="dxa"/>
            <w:tcBorders>
              <w:tl2br w:val="nil"/>
              <w:tr2bl w:val="nil"/>
            </w:tcBorders>
            <w:vAlign w:val="center"/>
          </w:tcPr>
          <w:p w14:paraId="47C5908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44.7</w:t>
            </w:r>
          </w:p>
        </w:tc>
        <w:tc>
          <w:tcPr>
            <w:tcW w:w="2393" w:type="dxa"/>
            <w:tcBorders>
              <w:tl2br w:val="nil"/>
              <w:tr2bl w:val="nil"/>
            </w:tcBorders>
            <w:vAlign w:val="center"/>
          </w:tcPr>
          <w:p w14:paraId="6CDE3FF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40</w:t>
            </w:r>
          </w:p>
        </w:tc>
        <w:tc>
          <w:tcPr>
            <w:tcW w:w="2393" w:type="dxa"/>
            <w:tcBorders>
              <w:tl2br w:val="nil"/>
              <w:tr2bl w:val="nil"/>
            </w:tcBorders>
            <w:vAlign w:val="center"/>
          </w:tcPr>
          <w:p w14:paraId="305370F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49</w:t>
            </w:r>
          </w:p>
        </w:tc>
      </w:tr>
      <w:tr w14:paraId="4E3FCD9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3107276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w:t>
            </w:r>
          </w:p>
        </w:tc>
        <w:tc>
          <w:tcPr>
            <w:tcW w:w="2393" w:type="dxa"/>
            <w:tcBorders>
              <w:tl2br w:val="nil"/>
              <w:tr2bl w:val="nil"/>
            </w:tcBorders>
            <w:vAlign w:val="center"/>
          </w:tcPr>
          <w:p w14:paraId="0D084E0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39.8</w:t>
            </w:r>
          </w:p>
        </w:tc>
        <w:tc>
          <w:tcPr>
            <w:tcW w:w="2393" w:type="dxa"/>
            <w:tcBorders>
              <w:tl2br w:val="nil"/>
              <w:tr2bl w:val="nil"/>
            </w:tcBorders>
            <w:vAlign w:val="center"/>
          </w:tcPr>
          <w:p w14:paraId="4658079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35</w:t>
            </w:r>
          </w:p>
        </w:tc>
        <w:tc>
          <w:tcPr>
            <w:tcW w:w="2393" w:type="dxa"/>
            <w:tcBorders>
              <w:tl2br w:val="nil"/>
              <w:tr2bl w:val="nil"/>
            </w:tcBorders>
            <w:vAlign w:val="center"/>
          </w:tcPr>
          <w:p w14:paraId="1F628B3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44</w:t>
            </w:r>
          </w:p>
        </w:tc>
      </w:tr>
      <w:tr w14:paraId="72EC9D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91A0E1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9</w:t>
            </w:r>
          </w:p>
        </w:tc>
        <w:tc>
          <w:tcPr>
            <w:tcW w:w="2393" w:type="dxa"/>
            <w:tcBorders>
              <w:tl2br w:val="nil"/>
              <w:tr2bl w:val="nil"/>
            </w:tcBorders>
            <w:vAlign w:val="center"/>
          </w:tcPr>
          <w:p w14:paraId="55D8FC3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35.5</w:t>
            </w:r>
          </w:p>
        </w:tc>
        <w:tc>
          <w:tcPr>
            <w:tcW w:w="2393" w:type="dxa"/>
            <w:tcBorders>
              <w:tl2br w:val="nil"/>
              <w:tr2bl w:val="nil"/>
            </w:tcBorders>
            <w:vAlign w:val="center"/>
          </w:tcPr>
          <w:p w14:paraId="071F3AB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31</w:t>
            </w:r>
          </w:p>
        </w:tc>
        <w:tc>
          <w:tcPr>
            <w:tcW w:w="2393" w:type="dxa"/>
            <w:tcBorders>
              <w:tl2br w:val="nil"/>
              <w:tr2bl w:val="nil"/>
            </w:tcBorders>
            <w:vAlign w:val="center"/>
          </w:tcPr>
          <w:p w14:paraId="015882B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40</w:t>
            </w:r>
          </w:p>
        </w:tc>
      </w:tr>
      <w:tr w14:paraId="27EAB5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41713AD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w:t>
            </w:r>
          </w:p>
        </w:tc>
        <w:tc>
          <w:tcPr>
            <w:tcW w:w="2393" w:type="dxa"/>
            <w:tcBorders>
              <w:tl2br w:val="nil"/>
              <w:tr2bl w:val="nil"/>
            </w:tcBorders>
            <w:vAlign w:val="center"/>
          </w:tcPr>
          <w:p w14:paraId="4868F9C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31.5</w:t>
            </w:r>
          </w:p>
        </w:tc>
        <w:tc>
          <w:tcPr>
            <w:tcW w:w="2393" w:type="dxa"/>
            <w:tcBorders>
              <w:tl2br w:val="nil"/>
              <w:tr2bl w:val="nil"/>
            </w:tcBorders>
            <w:vAlign w:val="center"/>
          </w:tcPr>
          <w:p w14:paraId="3F7B1A8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27</w:t>
            </w:r>
          </w:p>
        </w:tc>
        <w:tc>
          <w:tcPr>
            <w:tcW w:w="2393" w:type="dxa"/>
            <w:tcBorders>
              <w:tl2br w:val="nil"/>
              <w:tr2bl w:val="nil"/>
            </w:tcBorders>
            <w:vAlign w:val="center"/>
          </w:tcPr>
          <w:p w14:paraId="49D0EC3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36</w:t>
            </w:r>
          </w:p>
        </w:tc>
      </w:tr>
      <w:tr w14:paraId="31F142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6665F05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11</w:t>
            </w:r>
          </w:p>
        </w:tc>
        <w:tc>
          <w:tcPr>
            <w:tcW w:w="2393" w:type="dxa"/>
            <w:tcBorders>
              <w:tl2br w:val="nil"/>
              <w:tr2bl w:val="nil"/>
            </w:tcBorders>
            <w:vAlign w:val="center"/>
          </w:tcPr>
          <w:p w14:paraId="68210E9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28.2</w:t>
            </w:r>
          </w:p>
        </w:tc>
        <w:tc>
          <w:tcPr>
            <w:tcW w:w="2393" w:type="dxa"/>
            <w:tcBorders>
              <w:tl2br w:val="nil"/>
              <w:tr2bl w:val="nil"/>
            </w:tcBorders>
            <w:vAlign w:val="center"/>
          </w:tcPr>
          <w:p w14:paraId="208ACC4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24</w:t>
            </w:r>
          </w:p>
        </w:tc>
        <w:tc>
          <w:tcPr>
            <w:tcW w:w="2393" w:type="dxa"/>
            <w:tcBorders>
              <w:tl2br w:val="nil"/>
              <w:tr2bl w:val="nil"/>
            </w:tcBorders>
            <w:vAlign w:val="center"/>
          </w:tcPr>
          <w:p w14:paraId="70B9B77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33</w:t>
            </w:r>
          </w:p>
        </w:tc>
      </w:tr>
      <w:tr w14:paraId="0104CC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2F69D14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12</w:t>
            </w:r>
          </w:p>
        </w:tc>
        <w:tc>
          <w:tcPr>
            <w:tcW w:w="2393" w:type="dxa"/>
            <w:tcBorders>
              <w:tl2br w:val="nil"/>
              <w:tr2bl w:val="nil"/>
            </w:tcBorders>
            <w:vAlign w:val="center"/>
          </w:tcPr>
          <w:p w14:paraId="6402874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25.1</w:t>
            </w:r>
          </w:p>
        </w:tc>
        <w:tc>
          <w:tcPr>
            <w:tcW w:w="2393" w:type="dxa"/>
            <w:tcBorders>
              <w:tl2br w:val="nil"/>
              <w:tr2bl w:val="nil"/>
            </w:tcBorders>
            <w:vAlign w:val="center"/>
          </w:tcPr>
          <w:p w14:paraId="56CF011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21</w:t>
            </w:r>
          </w:p>
        </w:tc>
        <w:tc>
          <w:tcPr>
            <w:tcW w:w="2393" w:type="dxa"/>
            <w:tcBorders>
              <w:tl2br w:val="nil"/>
              <w:tr2bl w:val="nil"/>
            </w:tcBorders>
            <w:vAlign w:val="center"/>
          </w:tcPr>
          <w:p w14:paraId="7E13F94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30</w:t>
            </w:r>
          </w:p>
        </w:tc>
      </w:tr>
      <w:tr w14:paraId="0F7C11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13F492C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13</w:t>
            </w:r>
          </w:p>
        </w:tc>
        <w:tc>
          <w:tcPr>
            <w:tcW w:w="2393" w:type="dxa"/>
            <w:tcBorders>
              <w:tl2br w:val="nil"/>
              <w:tr2bl w:val="nil"/>
            </w:tcBorders>
            <w:vAlign w:val="center"/>
          </w:tcPr>
          <w:p w14:paraId="7F036B6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22.5</w:t>
            </w:r>
          </w:p>
        </w:tc>
        <w:tc>
          <w:tcPr>
            <w:tcW w:w="2393" w:type="dxa"/>
            <w:tcBorders>
              <w:tl2br w:val="nil"/>
              <w:tr2bl w:val="nil"/>
            </w:tcBorders>
            <w:vAlign w:val="center"/>
          </w:tcPr>
          <w:p w14:paraId="32A3E83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18</w:t>
            </w:r>
          </w:p>
        </w:tc>
        <w:tc>
          <w:tcPr>
            <w:tcW w:w="2393" w:type="dxa"/>
            <w:tcBorders>
              <w:tl2br w:val="nil"/>
              <w:tr2bl w:val="nil"/>
            </w:tcBorders>
            <w:vAlign w:val="center"/>
          </w:tcPr>
          <w:p w14:paraId="3CF81EA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27</w:t>
            </w:r>
          </w:p>
        </w:tc>
      </w:tr>
      <w:tr w14:paraId="5133F44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175939C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14</w:t>
            </w:r>
          </w:p>
        </w:tc>
        <w:tc>
          <w:tcPr>
            <w:tcW w:w="2393" w:type="dxa"/>
            <w:tcBorders>
              <w:tl2br w:val="nil"/>
              <w:tr2bl w:val="nil"/>
            </w:tcBorders>
            <w:vAlign w:val="center"/>
          </w:tcPr>
          <w:p w14:paraId="4A0876D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20.0</w:t>
            </w:r>
          </w:p>
        </w:tc>
        <w:tc>
          <w:tcPr>
            <w:tcW w:w="2393" w:type="dxa"/>
            <w:tcBorders>
              <w:tl2br w:val="nil"/>
              <w:tr2bl w:val="nil"/>
            </w:tcBorders>
            <w:vAlign w:val="center"/>
          </w:tcPr>
          <w:p w14:paraId="5109D3D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w:t>
            </w:r>
          </w:p>
        </w:tc>
        <w:tc>
          <w:tcPr>
            <w:tcW w:w="2393" w:type="dxa"/>
            <w:tcBorders>
              <w:tl2br w:val="nil"/>
              <w:tr2bl w:val="nil"/>
            </w:tcBorders>
            <w:vAlign w:val="center"/>
          </w:tcPr>
          <w:p w14:paraId="344BF79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25</w:t>
            </w:r>
          </w:p>
        </w:tc>
      </w:tr>
      <w:tr w14:paraId="50D1C2F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6B89E98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w:t>
            </w:r>
          </w:p>
        </w:tc>
        <w:tc>
          <w:tcPr>
            <w:tcW w:w="2393" w:type="dxa"/>
            <w:tcBorders>
              <w:tl2br w:val="nil"/>
              <w:tr2bl w:val="nil"/>
            </w:tcBorders>
            <w:vAlign w:val="center"/>
          </w:tcPr>
          <w:p w14:paraId="5296FE9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17.8</w:t>
            </w:r>
          </w:p>
        </w:tc>
        <w:tc>
          <w:tcPr>
            <w:tcW w:w="2393" w:type="dxa"/>
            <w:tcBorders>
              <w:tl2br w:val="nil"/>
              <w:tr2bl w:val="nil"/>
            </w:tcBorders>
            <w:vAlign w:val="center"/>
          </w:tcPr>
          <w:p w14:paraId="480B992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13</w:t>
            </w:r>
          </w:p>
        </w:tc>
        <w:tc>
          <w:tcPr>
            <w:tcW w:w="2393" w:type="dxa"/>
            <w:tcBorders>
              <w:tl2br w:val="nil"/>
              <w:tr2bl w:val="nil"/>
            </w:tcBorders>
            <w:vAlign w:val="center"/>
          </w:tcPr>
          <w:p w14:paraId="01DF02E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22</w:t>
            </w:r>
          </w:p>
        </w:tc>
      </w:tr>
      <w:tr w14:paraId="765A99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312BFE3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16</w:t>
            </w:r>
          </w:p>
        </w:tc>
        <w:tc>
          <w:tcPr>
            <w:tcW w:w="2393" w:type="dxa"/>
            <w:tcBorders>
              <w:tl2br w:val="nil"/>
              <w:tr2bl w:val="nil"/>
            </w:tcBorders>
            <w:vAlign w:val="center"/>
          </w:tcPr>
          <w:p w14:paraId="2C9535F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15.8</w:t>
            </w:r>
          </w:p>
        </w:tc>
        <w:tc>
          <w:tcPr>
            <w:tcW w:w="2393" w:type="dxa"/>
            <w:tcBorders>
              <w:tl2br w:val="nil"/>
              <w:tr2bl w:val="nil"/>
            </w:tcBorders>
            <w:vAlign w:val="center"/>
          </w:tcPr>
          <w:p w14:paraId="2F27884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11</w:t>
            </w:r>
          </w:p>
        </w:tc>
        <w:tc>
          <w:tcPr>
            <w:tcW w:w="2393" w:type="dxa"/>
            <w:tcBorders>
              <w:tl2br w:val="nil"/>
              <w:tr2bl w:val="nil"/>
            </w:tcBorders>
            <w:vAlign w:val="center"/>
          </w:tcPr>
          <w:p w14:paraId="70C87D5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r>
      <w:tr w14:paraId="4D6B55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324E33B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17</w:t>
            </w:r>
          </w:p>
        </w:tc>
        <w:tc>
          <w:tcPr>
            <w:tcW w:w="2393" w:type="dxa"/>
            <w:tcBorders>
              <w:tl2br w:val="nil"/>
              <w:tr2bl w:val="nil"/>
            </w:tcBorders>
            <w:vAlign w:val="center"/>
          </w:tcPr>
          <w:p w14:paraId="2B932CE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14.1</w:t>
            </w:r>
          </w:p>
        </w:tc>
        <w:tc>
          <w:tcPr>
            <w:tcW w:w="2393" w:type="dxa"/>
            <w:tcBorders>
              <w:tl2br w:val="nil"/>
              <w:tr2bl w:val="nil"/>
            </w:tcBorders>
            <w:vAlign w:val="center"/>
          </w:tcPr>
          <w:p w14:paraId="06235FA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w:t>
            </w:r>
          </w:p>
        </w:tc>
        <w:tc>
          <w:tcPr>
            <w:tcW w:w="2393" w:type="dxa"/>
            <w:tcBorders>
              <w:tl2br w:val="nil"/>
              <w:tr2bl w:val="nil"/>
            </w:tcBorders>
            <w:vAlign w:val="center"/>
          </w:tcPr>
          <w:p w14:paraId="3590E32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19</w:t>
            </w:r>
          </w:p>
        </w:tc>
      </w:tr>
      <w:tr w14:paraId="44CC41B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5AA82F1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18</w:t>
            </w:r>
          </w:p>
        </w:tc>
        <w:tc>
          <w:tcPr>
            <w:tcW w:w="2393" w:type="dxa"/>
            <w:tcBorders>
              <w:tl2br w:val="nil"/>
              <w:tr2bl w:val="nil"/>
            </w:tcBorders>
            <w:vAlign w:val="center"/>
          </w:tcPr>
          <w:p w14:paraId="53A2851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12.6</w:t>
            </w:r>
          </w:p>
        </w:tc>
        <w:tc>
          <w:tcPr>
            <w:tcW w:w="2393" w:type="dxa"/>
            <w:tcBorders>
              <w:tl2br w:val="nil"/>
              <w:tr2bl w:val="nil"/>
            </w:tcBorders>
            <w:vAlign w:val="center"/>
          </w:tcPr>
          <w:p w14:paraId="47ABC6D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w:t>
            </w:r>
          </w:p>
        </w:tc>
        <w:tc>
          <w:tcPr>
            <w:tcW w:w="2393" w:type="dxa"/>
            <w:tcBorders>
              <w:tl2br w:val="nil"/>
              <w:tr2bl w:val="nil"/>
            </w:tcBorders>
            <w:vAlign w:val="center"/>
          </w:tcPr>
          <w:p w14:paraId="71AE1E0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17</w:t>
            </w:r>
          </w:p>
        </w:tc>
      </w:tr>
      <w:tr w14:paraId="0821EFE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60537C8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19</w:t>
            </w:r>
          </w:p>
        </w:tc>
        <w:tc>
          <w:tcPr>
            <w:tcW w:w="2393" w:type="dxa"/>
            <w:tcBorders>
              <w:tl2br w:val="nil"/>
              <w:tr2bl w:val="nil"/>
            </w:tcBorders>
            <w:vAlign w:val="center"/>
          </w:tcPr>
          <w:p w14:paraId="53B2FF6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11.2</w:t>
            </w:r>
          </w:p>
        </w:tc>
        <w:tc>
          <w:tcPr>
            <w:tcW w:w="2393" w:type="dxa"/>
            <w:tcBorders>
              <w:tl2br w:val="nil"/>
              <w:tr2bl w:val="nil"/>
            </w:tcBorders>
            <w:vAlign w:val="center"/>
          </w:tcPr>
          <w:p w14:paraId="4CE70CF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w:t>
            </w:r>
          </w:p>
        </w:tc>
        <w:tc>
          <w:tcPr>
            <w:tcW w:w="2393" w:type="dxa"/>
            <w:tcBorders>
              <w:tl2br w:val="nil"/>
              <w:tr2bl w:val="nil"/>
            </w:tcBorders>
            <w:vAlign w:val="center"/>
          </w:tcPr>
          <w:p w14:paraId="23E085E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16</w:t>
            </w:r>
          </w:p>
        </w:tc>
      </w:tr>
      <w:tr w14:paraId="4F3AE7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E04B53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2393" w:type="dxa"/>
            <w:tcBorders>
              <w:tl2br w:val="nil"/>
              <w:tr2bl w:val="nil"/>
            </w:tcBorders>
            <w:vAlign w:val="center"/>
          </w:tcPr>
          <w:p w14:paraId="7BFECA0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10.0</w:t>
            </w:r>
          </w:p>
        </w:tc>
        <w:tc>
          <w:tcPr>
            <w:tcW w:w="2393" w:type="dxa"/>
            <w:tcBorders>
              <w:tl2br w:val="nil"/>
              <w:tr2bl w:val="nil"/>
            </w:tcBorders>
            <w:vAlign w:val="center"/>
          </w:tcPr>
          <w:p w14:paraId="3D9AEE1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w:t>
            </w:r>
          </w:p>
        </w:tc>
        <w:tc>
          <w:tcPr>
            <w:tcW w:w="2393" w:type="dxa"/>
            <w:tcBorders>
              <w:tl2br w:val="nil"/>
              <w:tr2bl w:val="nil"/>
            </w:tcBorders>
            <w:vAlign w:val="center"/>
          </w:tcPr>
          <w:p w14:paraId="329BEFF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w:t>
            </w:r>
          </w:p>
        </w:tc>
      </w:tr>
      <w:tr w14:paraId="69314D0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2D5AF56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21</w:t>
            </w:r>
          </w:p>
        </w:tc>
        <w:tc>
          <w:tcPr>
            <w:tcW w:w="2393" w:type="dxa"/>
            <w:tcBorders>
              <w:tl2br w:val="nil"/>
              <w:tr2bl w:val="nil"/>
            </w:tcBorders>
            <w:vAlign w:val="center"/>
          </w:tcPr>
          <w:p w14:paraId="5725D48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8.9</w:t>
            </w:r>
          </w:p>
        </w:tc>
        <w:tc>
          <w:tcPr>
            <w:tcW w:w="2393" w:type="dxa"/>
            <w:tcBorders>
              <w:tl2br w:val="nil"/>
              <w:tr2bl w:val="nil"/>
            </w:tcBorders>
            <w:vAlign w:val="center"/>
          </w:tcPr>
          <w:p w14:paraId="6A74D73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w:t>
            </w:r>
          </w:p>
        </w:tc>
        <w:tc>
          <w:tcPr>
            <w:tcW w:w="2393" w:type="dxa"/>
            <w:tcBorders>
              <w:tl2br w:val="nil"/>
              <w:tr2bl w:val="nil"/>
            </w:tcBorders>
            <w:vAlign w:val="center"/>
          </w:tcPr>
          <w:p w14:paraId="3A711C1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13</w:t>
            </w:r>
          </w:p>
        </w:tc>
      </w:tr>
      <w:bookmarkEnd w:id="58"/>
      <w:bookmarkEnd w:id="59"/>
      <w:bookmarkEnd w:id="60"/>
      <w:bookmarkEnd w:id="61"/>
      <w:bookmarkEnd w:id="62"/>
      <w:bookmarkEnd w:id="63"/>
      <w:bookmarkEnd w:id="64"/>
      <w:bookmarkEnd w:id="65"/>
    </w:tbl>
    <w:p w14:paraId="715B8981">
      <w:pPr>
        <w:keepNext/>
        <w:keepLines/>
        <w:widowControl w:val="0"/>
        <w:spacing w:before="156" w:beforeLines="50" w:after="156" w:afterLines="50"/>
        <w:jc w:val="both"/>
        <w:outlineLvl w:val="2"/>
        <w:rPr>
          <w:rFonts w:ascii="Times New Roman" w:hAnsi="Times New Roman" w:eastAsia="黑体" w:cs="Times New Roman"/>
          <w:b w:val="0"/>
          <w:bCs w:val="0"/>
          <w:kern w:val="2"/>
          <w:sz w:val="21"/>
          <w:szCs w:val="32"/>
          <w:lang w:val="en-US" w:eastAsia="zh-CN" w:bidi="ar-SA"/>
        </w:rPr>
      </w:pPr>
      <w:r>
        <w:rPr>
          <w:rFonts w:ascii="Times New Roman" w:hAnsi="Times New Roman" w:eastAsia="黑体" w:cs="Times New Roman"/>
          <w:b w:val="0"/>
          <w:bCs w:val="0"/>
          <w:kern w:val="2"/>
          <w:sz w:val="21"/>
          <w:szCs w:val="32"/>
          <w:lang w:val="en-US" w:eastAsia="zh-CN" w:bidi="ar-SA"/>
        </w:rPr>
        <w:t>7 校准结果表达</w:t>
      </w:r>
    </w:p>
    <w:p w14:paraId="7CD5A20B">
      <w:pPr>
        <w:autoSpaceDE w:val="0"/>
        <w:autoSpaceDN w:val="0"/>
        <w:adjustRightInd w:val="0"/>
        <w:snapToGrid w:val="0"/>
        <w:spacing w:line="360" w:lineRule="auto"/>
        <w:ind w:firstLine="420" w:firstLineChars="200"/>
        <w:jc w:val="both"/>
        <w:rPr>
          <w:rFonts w:ascii="Times New Roman" w:hAnsi="Times New Roman" w:cs="Times New Roman" w:eastAsiaTheme="minorEastAsia"/>
          <w:kern w:val="2"/>
          <w:sz w:val="21"/>
          <w:szCs w:val="21"/>
          <w:lang w:val="en-US" w:eastAsia="zh-CN" w:bidi="ar-SA"/>
        </w:rPr>
      </w:pPr>
      <w:r>
        <w:rPr>
          <w:rFonts w:ascii="Times New Roman" w:hAnsi="Times New Roman" w:cs="Times New Roman" w:eastAsiaTheme="minorEastAsia"/>
          <w:kern w:val="2"/>
          <w:sz w:val="21"/>
          <w:szCs w:val="21"/>
          <w:lang w:val="en-US" w:eastAsia="zh-CN" w:bidi="ar-SA"/>
        </w:rPr>
        <w:t>根据实验室环境要求、校准项目校准结果、测量不确定度评定结果等，按照JJF 1071-2010推荐的校准报告格式，出具校准证书。</w:t>
      </w:r>
    </w:p>
    <w:p w14:paraId="2A333AD5">
      <w:pPr>
        <w:keepNext/>
        <w:keepLines/>
        <w:widowControl w:val="0"/>
        <w:spacing w:before="156" w:beforeLines="50" w:after="156" w:afterLines="50"/>
        <w:jc w:val="both"/>
        <w:outlineLvl w:val="2"/>
        <w:rPr>
          <w:rFonts w:ascii="Times New Roman" w:hAnsi="Times New Roman" w:eastAsia="黑体" w:cs="Times New Roman"/>
          <w:b w:val="0"/>
          <w:bCs w:val="0"/>
          <w:kern w:val="2"/>
          <w:sz w:val="21"/>
          <w:szCs w:val="32"/>
          <w:lang w:val="en-US" w:eastAsia="zh-CN" w:bidi="ar-SA"/>
        </w:rPr>
      </w:pPr>
      <w:bookmarkStart w:id="75" w:name="_Toc193860189"/>
      <w:bookmarkStart w:id="76" w:name="_Toc14803_WPSOffice_Level1"/>
      <w:bookmarkStart w:id="77" w:name="_Toc5529"/>
      <w:bookmarkStart w:id="78" w:name="_Toc193860220"/>
      <w:bookmarkStart w:id="79" w:name="_Toc193860040"/>
      <w:bookmarkStart w:id="80" w:name="_Toc193860041"/>
      <w:r>
        <w:rPr>
          <w:rFonts w:ascii="Times New Roman" w:hAnsi="Times New Roman" w:eastAsia="黑体" w:cs="Times New Roman"/>
          <w:b w:val="0"/>
          <w:bCs w:val="0"/>
          <w:kern w:val="2"/>
          <w:sz w:val="21"/>
          <w:szCs w:val="32"/>
          <w:lang w:val="en-US" w:eastAsia="zh-CN" w:bidi="ar-SA"/>
        </w:rPr>
        <w:t>8 复校</w:t>
      </w:r>
      <w:bookmarkEnd w:id="75"/>
      <w:bookmarkEnd w:id="76"/>
      <w:bookmarkEnd w:id="77"/>
      <w:bookmarkEnd w:id="78"/>
      <w:bookmarkEnd w:id="79"/>
      <w:r>
        <w:rPr>
          <w:rFonts w:ascii="Times New Roman" w:hAnsi="Times New Roman" w:eastAsia="黑体" w:cs="Times New Roman"/>
          <w:b w:val="0"/>
          <w:bCs w:val="0"/>
          <w:kern w:val="2"/>
          <w:sz w:val="21"/>
          <w:szCs w:val="32"/>
          <w:lang w:val="en-US" w:eastAsia="zh-CN" w:bidi="ar-SA"/>
        </w:rPr>
        <w:t>时间间隔</w:t>
      </w:r>
    </w:p>
    <w:bookmarkEnd w:id="80"/>
    <w:p w14:paraId="12BDF8A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建议脉冲回波式超声检测系统校准时间间隔为12个月；当使用频率较高时，建议用户缩短为3个月。</w:t>
      </w:r>
    </w:p>
    <w:p w14:paraId="70AFA9D8">
      <w:pPr>
        <w:keepNext/>
        <w:keepLines/>
        <w:widowControl w:val="0"/>
        <w:spacing w:before="156" w:beforeLines="50" w:after="156" w:afterLines="50"/>
        <w:jc w:val="both"/>
        <w:outlineLvl w:val="2"/>
        <w:rPr>
          <w:rFonts w:ascii="Times New Roman" w:hAnsi="Times New Roman" w:eastAsia="黑体" w:cs="Times New Roman"/>
          <w:b w:val="0"/>
          <w:bCs w:val="0"/>
          <w:kern w:val="2"/>
          <w:sz w:val="21"/>
          <w:szCs w:val="32"/>
          <w:lang w:val="en-US" w:eastAsia="zh-CN" w:bidi="ar-SA"/>
        </w:rPr>
      </w:pPr>
      <w:r>
        <w:rPr>
          <w:rFonts w:ascii="Times New Roman" w:hAnsi="Times New Roman" w:eastAsia="黑体" w:cs="Times New Roman"/>
          <w:b w:val="0"/>
          <w:bCs w:val="0"/>
          <w:kern w:val="2"/>
          <w:sz w:val="21"/>
          <w:szCs w:val="32"/>
          <w:lang w:val="en-US" w:eastAsia="zh-CN" w:bidi="ar-SA"/>
        </w:rPr>
        <w:t>9</w:t>
      </w:r>
      <w:r>
        <w:rPr>
          <w:rFonts w:hint="eastAsia" w:ascii="Times New Roman" w:hAnsi="Times New Roman" w:eastAsia="黑体" w:cs="Times New Roman"/>
          <w:b w:val="0"/>
          <w:bCs w:val="0"/>
          <w:kern w:val="2"/>
          <w:sz w:val="21"/>
          <w:szCs w:val="32"/>
          <w:lang w:val="en-US" w:eastAsia="zh-CN" w:bidi="ar-SA"/>
        </w:rPr>
        <w:t xml:space="preserve"> </w:t>
      </w:r>
      <w:r>
        <w:rPr>
          <w:rFonts w:ascii="Times New Roman" w:hAnsi="Times New Roman" w:eastAsia="黑体" w:cs="Times New Roman"/>
          <w:b w:val="0"/>
          <w:bCs w:val="0"/>
          <w:kern w:val="2"/>
          <w:sz w:val="21"/>
          <w:szCs w:val="32"/>
          <w:lang w:val="en-US" w:eastAsia="zh-CN" w:bidi="ar-SA"/>
        </w:rPr>
        <w:t>附录</w:t>
      </w:r>
    </w:p>
    <w:p w14:paraId="2E83D7CB">
      <w:pPr>
        <w:pStyle w:val="58"/>
        <w:spacing w:line="360" w:lineRule="auto"/>
        <w:ind w:firstLine="420"/>
        <w:rPr>
          <w:rFonts w:ascii="Times New Roman" w:hAnsi="Times New Roman" w:eastAsiaTheme="minorEastAsia"/>
          <w:b w:val="0"/>
          <w:bCs w:val="0"/>
          <w:kern w:val="2"/>
          <w:szCs w:val="21"/>
        </w:rPr>
      </w:pPr>
      <w:r>
        <w:rPr>
          <w:rFonts w:hint="eastAsia" w:ascii="Times New Roman" w:hAnsi="Times New Roman" w:eastAsiaTheme="minorEastAsia"/>
          <w:b w:val="0"/>
          <w:bCs w:val="0"/>
          <w:kern w:val="2"/>
          <w:szCs w:val="21"/>
        </w:rPr>
        <w:t>附录主要包含校准原始记录参考格式、校准证书内页参考格式、脉冲回波式超声检测系统水平线性误差测量不确定度评定示例。</w:t>
      </w:r>
    </w:p>
    <w:p w14:paraId="23184B3A">
      <w:pPr>
        <w:adjustRightInd w:val="0"/>
        <w:snapToGrid w:val="0"/>
        <w:spacing w:line="360" w:lineRule="auto"/>
        <w:ind w:firstLine="420" w:firstLineChars="200"/>
        <w:rPr>
          <w:b w:val="0"/>
          <w:bCs w:val="0"/>
        </w:rPr>
      </w:pPr>
      <w:r>
        <w:rPr>
          <w:rFonts w:hint="eastAsia"/>
          <w:b w:val="0"/>
          <w:bCs w:val="0"/>
          <w:lang w:val="en-US" w:eastAsia="zh-CN"/>
        </w:rPr>
        <w:t>本规范</w:t>
      </w:r>
      <w:r>
        <w:rPr>
          <w:rFonts w:hint="eastAsia"/>
          <w:b w:val="0"/>
          <w:bCs w:val="0"/>
        </w:rPr>
        <w:t>设置了</w:t>
      </w:r>
      <w:r>
        <w:rPr>
          <w:b w:val="0"/>
          <w:bCs w:val="0"/>
        </w:rPr>
        <w:t>3</w:t>
      </w:r>
      <w:r>
        <w:rPr>
          <w:rFonts w:hint="eastAsia"/>
          <w:b w:val="0"/>
          <w:bCs w:val="0"/>
        </w:rPr>
        <w:t>个附录，便于校准时参考和规范。</w:t>
      </w:r>
    </w:p>
    <w:p w14:paraId="4A83E3E7">
      <w:pPr>
        <w:adjustRightInd w:val="0"/>
        <w:snapToGrid w:val="0"/>
        <w:spacing w:line="360" w:lineRule="auto"/>
        <w:ind w:firstLine="420" w:firstLineChars="200"/>
        <w:rPr>
          <w:b w:val="0"/>
          <w:bCs w:val="0"/>
        </w:rPr>
      </w:pPr>
      <w:r>
        <w:rPr>
          <w:rFonts w:hint="eastAsia"/>
          <w:b w:val="0"/>
          <w:bCs w:val="0"/>
        </w:rPr>
        <w:t>附录A 脉冲回波式超声检测系统校准记录参考格式</w:t>
      </w:r>
    </w:p>
    <w:p w14:paraId="0A8963F5">
      <w:pPr>
        <w:adjustRightInd w:val="0"/>
        <w:snapToGrid w:val="0"/>
        <w:spacing w:line="360" w:lineRule="auto"/>
        <w:ind w:firstLine="420" w:firstLineChars="200"/>
        <w:rPr>
          <w:b w:val="0"/>
          <w:bCs w:val="0"/>
        </w:rPr>
      </w:pPr>
      <w:r>
        <w:rPr>
          <w:rFonts w:hint="eastAsia"/>
          <w:b w:val="0"/>
          <w:bCs w:val="0"/>
        </w:rPr>
        <w:t>附录B 脉冲回波式超声检测系统校准证书内页参考格式</w:t>
      </w:r>
    </w:p>
    <w:p w14:paraId="5C61FF3F">
      <w:pPr>
        <w:adjustRightInd w:val="0"/>
        <w:snapToGrid w:val="0"/>
        <w:spacing w:line="360" w:lineRule="auto"/>
        <w:ind w:firstLine="420" w:firstLineChars="200"/>
        <w:rPr>
          <w:b w:val="0"/>
          <w:bCs w:val="0"/>
        </w:rPr>
      </w:pPr>
      <w:r>
        <w:rPr>
          <w:rFonts w:hint="eastAsia"/>
          <w:b w:val="0"/>
          <w:bCs w:val="0"/>
        </w:rPr>
        <w:t>附录C 脉冲回波式超声检测系统水平线性误差测量不确定度评定示例</w:t>
      </w:r>
    </w:p>
    <w:p w14:paraId="7643BADE">
      <w:pPr>
        <w:pStyle w:val="2"/>
        <w:spacing w:before="156" w:beforeLines="50" w:after="156" w:afterLines="50" w:line="240" w:lineRule="auto"/>
        <w:rPr>
          <w:rFonts w:eastAsia="黑体"/>
          <w:b w:val="0"/>
          <w:bCs w:val="0"/>
          <w:sz w:val="28"/>
        </w:rPr>
      </w:pPr>
      <w:r>
        <w:rPr>
          <w:rFonts w:eastAsia="黑体"/>
          <w:b w:val="0"/>
          <w:bCs w:val="0"/>
          <w:sz w:val="28"/>
        </w:rPr>
        <w:t>三、实践检测情况</w:t>
      </w:r>
    </w:p>
    <w:bookmarkEnd w:id="1"/>
    <w:bookmarkEnd w:id="23"/>
    <w:p w14:paraId="34710A8E">
      <w:pPr>
        <w:adjustRightInd w:val="0"/>
        <w:snapToGrid w:val="0"/>
        <w:spacing w:line="360" w:lineRule="auto"/>
        <w:ind w:firstLine="420" w:firstLineChars="200"/>
        <w:rPr>
          <w:rFonts w:hint="eastAsia" w:eastAsia="宋体"/>
          <w:b w:val="0"/>
          <w:bCs w:val="0"/>
          <w:lang w:val="en-US" w:eastAsia="zh-CN"/>
        </w:rPr>
      </w:pPr>
      <w:bookmarkStart w:id="81" w:name="_Toc464728965"/>
      <w:r>
        <w:rPr>
          <w:rFonts w:hint="default"/>
          <w:b w:val="0"/>
          <w:bCs w:val="0"/>
        </w:rPr>
        <w:t>西安汉唐分析检测有限公司</w:t>
      </w:r>
      <w:r>
        <w:rPr>
          <w:rFonts w:hint="default"/>
          <w:b w:val="0"/>
          <w:bCs w:val="0"/>
          <w:lang w:eastAsia="zh-CN"/>
        </w:rPr>
        <w:t>、</w:t>
      </w:r>
      <w:r>
        <w:rPr>
          <w:rFonts w:hint="default"/>
          <w:b w:val="0"/>
          <w:bCs w:val="0"/>
          <w:lang w:val="en-US" w:eastAsia="zh-CN"/>
        </w:rPr>
        <w:t>西部超导材料股份有限公司、宝钛集团有限公司</w:t>
      </w:r>
      <w:r>
        <w:rPr>
          <w:rFonts w:hint="default"/>
          <w:b w:val="0"/>
          <w:bCs w:val="0"/>
        </w:rPr>
        <w:t>根据本规范的校准项目对脉冲回波式超声检测系统进行了全计量特性的校准，内容详见校准报告</w:t>
      </w:r>
      <w:r>
        <w:rPr>
          <w:rFonts w:hint="eastAsia"/>
          <w:b w:val="0"/>
          <w:bCs w:val="0"/>
          <w:lang w:eastAsia="zh-CN"/>
        </w:rPr>
        <w:t>。</w:t>
      </w:r>
    </w:p>
    <w:p w14:paraId="79A4A599">
      <w:pPr>
        <w:adjustRightInd w:val="0"/>
        <w:spacing w:line="360" w:lineRule="auto"/>
        <w:rPr>
          <w:rFonts w:eastAsiaTheme="minorEastAsia"/>
          <w:bCs/>
          <w:szCs w:val="21"/>
        </w:rPr>
      </w:pPr>
      <w:r>
        <w:rPr>
          <w:rFonts w:eastAsia="黑体"/>
          <w:sz w:val="28"/>
        </w:rPr>
        <w:t>四、规范水平分析</w:t>
      </w:r>
      <w:bookmarkEnd w:id="81"/>
    </w:p>
    <w:p w14:paraId="5746CB80">
      <w:pPr>
        <w:spacing w:line="360" w:lineRule="auto"/>
        <w:ind w:firstLine="420" w:firstLineChars="200"/>
        <w:rPr>
          <w:rFonts w:hint="default" w:eastAsia="宋体"/>
          <w:b w:val="0"/>
          <w:bCs w:val="0"/>
          <w:lang w:val="en-US" w:eastAsia="zh-CN"/>
        </w:rPr>
      </w:pPr>
      <w:r>
        <w:rPr>
          <w:rFonts w:hint="eastAsia" w:eastAsiaTheme="minorEastAsia"/>
          <w:kern w:val="0"/>
          <w:szCs w:val="21"/>
        </w:rPr>
        <w:t>目前，国家和各省检定规程和校准规范中，可用于对</w:t>
      </w:r>
      <w:r>
        <w:rPr>
          <w:rFonts w:hint="eastAsia"/>
          <w:b w:val="0"/>
          <w:bCs w:val="0"/>
        </w:rPr>
        <w:t>脉冲回波式超声检测系统</w:t>
      </w:r>
      <w:r>
        <w:rPr>
          <w:rFonts w:hint="eastAsia"/>
          <w:b w:val="0"/>
          <w:bCs w:val="0"/>
          <w:lang w:val="en-US" w:eastAsia="zh-CN"/>
        </w:rPr>
        <w:t>进行校准的规范有：JJG 746-2024超声探伤仪检定规程。但JJG 746-2024超声探伤仪检定规程中采用的方法为使用信号发生器的电子仪器作为信号发生装置进行校准，无法满足</w:t>
      </w:r>
      <w:bookmarkStart w:id="87" w:name="_GoBack"/>
      <w:bookmarkEnd w:id="87"/>
      <w:r>
        <w:rPr>
          <w:rFonts w:hint="eastAsia"/>
          <w:b w:val="0"/>
          <w:bCs w:val="0"/>
          <w:lang w:val="en-US" w:eastAsia="zh-CN"/>
        </w:rPr>
        <w:t>航空航天领域中对检测系统溯源校准的需求；同时，在校准过程中检测系统配备的换能器不参与校准工作，无法全面的反应出检测系统的综合性能。</w:t>
      </w:r>
    </w:p>
    <w:p w14:paraId="3C71DB1D">
      <w:pPr>
        <w:spacing w:line="360" w:lineRule="auto"/>
        <w:ind w:firstLine="420" w:firstLineChars="200"/>
        <w:rPr>
          <w:rFonts w:eastAsiaTheme="minorEastAsia"/>
          <w:kern w:val="0"/>
          <w:szCs w:val="21"/>
        </w:rPr>
      </w:pPr>
      <w:r>
        <w:rPr>
          <w:rFonts w:hint="eastAsia" w:eastAsiaTheme="minorEastAsia"/>
          <w:kern w:val="0"/>
          <w:szCs w:val="21"/>
        </w:rPr>
        <w:t>目前国外</w:t>
      </w:r>
      <w:r>
        <w:rPr>
          <w:rFonts w:hint="eastAsia" w:eastAsiaTheme="minorEastAsia"/>
          <w:kern w:val="0"/>
          <w:szCs w:val="21"/>
          <w:lang w:val="en-US" w:eastAsia="zh-CN"/>
        </w:rPr>
        <w:t>关于</w:t>
      </w:r>
      <w:r>
        <w:rPr>
          <w:rFonts w:hint="eastAsia"/>
          <w:b w:val="0"/>
          <w:bCs w:val="0"/>
        </w:rPr>
        <w:t>脉冲回波式超声检测系统</w:t>
      </w:r>
      <w:r>
        <w:rPr>
          <w:rFonts w:hint="eastAsia" w:eastAsiaTheme="minorEastAsia"/>
          <w:kern w:val="0"/>
          <w:szCs w:val="21"/>
        </w:rPr>
        <w:t>没有相关</w:t>
      </w:r>
      <w:r>
        <w:rPr>
          <w:rFonts w:hint="eastAsia" w:eastAsiaTheme="minorEastAsia"/>
          <w:kern w:val="0"/>
          <w:szCs w:val="21"/>
          <w:lang w:val="en-US" w:eastAsia="zh-CN"/>
        </w:rPr>
        <w:t>校准</w:t>
      </w:r>
      <w:r>
        <w:rPr>
          <w:rFonts w:hint="eastAsia" w:eastAsiaTheme="minorEastAsia"/>
          <w:kern w:val="0"/>
          <w:szCs w:val="21"/>
        </w:rPr>
        <w:t>规范，</w:t>
      </w:r>
      <w:r>
        <w:rPr>
          <w:rFonts w:hint="eastAsia" w:eastAsiaTheme="minorEastAsia"/>
          <w:kern w:val="0"/>
          <w:szCs w:val="21"/>
          <w:lang w:val="en-US" w:eastAsia="zh-CN"/>
        </w:rPr>
        <w:t>对检测系统的校准仅停留在无损检测方法标准中的仪器性能要求部分，未对校准过程做出明确规定。</w:t>
      </w:r>
      <w:r>
        <w:rPr>
          <w:rFonts w:hint="eastAsia" w:eastAsiaTheme="minorEastAsia"/>
          <w:kern w:val="0"/>
          <w:szCs w:val="21"/>
        </w:rPr>
        <w:t>本规范的制定填补了有色金属行业</w:t>
      </w:r>
      <w:r>
        <w:rPr>
          <w:rFonts w:hint="eastAsia"/>
          <w:b w:val="0"/>
          <w:bCs w:val="0"/>
        </w:rPr>
        <w:t>脉冲回波式超声检测系统</w:t>
      </w:r>
      <w:r>
        <w:rPr>
          <w:rFonts w:hint="eastAsia" w:eastAsiaTheme="minorEastAsia"/>
          <w:kern w:val="0"/>
          <w:szCs w:val="21"/>
        </w:rPr>
        <w:t>的校准空白，水平达到国内先进水平</w:t>
      </w:r>
      <w:r>
        <w:rPr>
          <w:rFonts w:eastAsiaTheme="minorEastAsia"/>
          <w:kern w:val="0"/>
          <w:szCs w:val="21"/>
        </w:rPr>
        <w:t>。</w:t>
      </w:r>
    </w:p>
    <w:p w14:paraId="76EFBD2D">
      <w:pPr>
        <w:adjustRightInd w:val="0"/>
        <w:spacing w:line="360" w:lineRule="auto"/>
        <w:rPr>
          <w:rFonts w:eastAsia="黑体"/>
          <w:sz w:val="28"/>
        </w:rPr>
      </w:pPr>
      <w:r>
        <w:rPr>
          <w:rFonts w:eastAsia="黑体"/>
          <w:sz w:val="28"/>
        </w:rPr>
        <w:t>五、与有关的现行法律、法规和强制性国家标准的关系</w:t>
      </w:r>
    </w:p>
    <w:p w14:paraId="663958C9">
      <w:pPr>
        <w:pStyle w:val="58"/>
      </w:pPr>
      <w:r>
        <w:t>本规范所引用的规程及规范均为我国现行有效的计量规程及规范，是本规范的一部分，引用这些规程及规范后，使本规范的要求与现行的相关法律、法规、规章及相关规程规范的关系不矛盾、不冲突，其相互关系非常协调。</w:t>
      </w:r>
    </w:p>
    <w:p w14:paraId="0D55FA62">
      <w:pPr>
        <w:keepNext/>
        <w:keepLines/>
        <w:widowControl w:val="0"/>
        <w:spacing w:before="156" w:beforeLines="50" w:after="156" w:afterLines="50"/>
        <w:jc w:val="both"/>
        <w:outlineLvl w:val="0"/>
        <w:rPr>
          <w:rFonts w:ascii="Times New Roman" w:hAnsi="Times New Roman" w:eastAsia="黑体" w:cs="Times New Roman"/>
          <w:b w:val="0"/>
          <w:bCs w:val="0"/>
          <w:kern w:val="44"/>
          <w:sz w:val="28"/>
          <w:szCs w:val="44"/>
          <w:lang w:val="en-US" w:eastAsia="zh-CN" w:bidi="ar-SA"/>
        </w:rPr>
      </w:pPr>
      <w:bookmarkStart w:id="82" w:name="_Toc464728973"/>
      <w:bookmarkStart w:id="83" w:name="_Toc464728976"/>
      <w:r>
        <w:rPr>
          <w:rFonts w:ascii="Times New Roman" w:hAnsi="Times New Roman" w:eastAsia="黑体" w:cs="Times New Roman"/>
          <w:b w:val="0"/>
          <w:bCs w:val="0"/>
          <w:kern w:val="44"/>
          <w:sz w:val="28"/>
          <w:szCs w:val="44"/>
          <w:lang w:val="en-US" w:eastAsia="zh-CN" w:bidi="ar-SA"/>
        </w:rPr>
        <w:t>六、规范中涉及的专利或知识产权说明</w:t>
      </w:r>
      <w:bookmarkEnd w:id="82"/>
    </w:p>
    <w:p w14:paraId="6FF2F506">
      <w:pPr>
        <w:autoSpaceDE w:val="0"/>
        <w:autoSpaceDN w:val="0"/>
        <w:adjustRightInd w:val="0"/>
        <w:snapToGrid w:val="0"/>
        <w:spacing w:line="300" w:lineRule="auto"/>
        <w:ind w:firstLine="400" w:firstLineChars="0"/>
        <w:contextualSpacing/>
        <w:jc w:val="both"/>
        <w:rPr>
          <w:rFonts w:ascii="Times New Roman" w:hAnsi="Times New Roman" w:eastAsia="宋体" w:cs="Times New Roman"/>
          <w:sz w:val="21"/>
          <w:szCs w:val="21"/>
          <w:lang w:val="en-US" w:eastAsia="zh-CN" w:bidi="ar-SA"/>
        </w:rPr>
      </w:pPr>
      <w:bookmarkStart w:id="84" w:name="_Toc464728974"/>
      <w:r>
        <w:rPr>
          <w:rFonts w:ascii="Times New Roman" w:hAnsi="Times New Roman" w:eastAsia="宋体" w:cs="Times New Roman"/>
          <w:sz w:val="21"/>
          <w:szCs w:val="21"/>
          <w:lang w:val="en-US" w:eastAsia="zh-CN" w:bidi="ar-SA"/>
        </w:rPr>
        <w:t>无。</w:t>
      </w:r>
    </w:p>
    <w:p w14:paraId="2E6BB3BD">
      <w:pPr>
        <w:keepNext/>
        <w:keepLines/>
        <w:widowControl w:val="0"/>
        <w:spacing w:before="156" w:beforeLines="50" w:after="156" w:afterLines="50"/>
        <w:jc w:val="both"/>
        <w:outlineLvl w:val="0"/>
        <w:rPr>
          <w:rFonts w:ascii="Times New Roman" w:hAnsi="Times New Roman" w:eastAsia="黑体" w:cs="Times New Roman"/>
          <w:b w:val="0"/>
          <w:bCs w:val="0"/>
          <w:kern w:val="44"/>
          <w:sz w:val="28"/>
          <w:szCs w:val="44"/>
          <w:lang w:val="en-US" w:eastAsia="zh-CN" w:bidi="ar-SA"/>
        </w:rPr>
      </w:pPr>
      <w:r>
        <w:rPr>
          <w:rFonts w:ascii="Times New Roman" w:hAnsi="Times New Roman" w:eastAsia="黑体" w:cs="Times New Roman"/>
          <w:b w:val="0"/>
          <w:bCs w:val="0"/>
          <w:kern w:val="44"/>
          <w:sz w:val="28"/>
          <w:szCs w:val="44"/>
          <w:lang w:val="en-US" w:eastAsia="zh-CN" w:bidi="ar-SA"/>
        </w:rPr>
        <w:t>七、重大分歧意见的处理经过和依据</w:t>
      </w:r>
      <w:bookmarkEnd w:id="84"/>
    </w:p>
    <w:p w14:paraId="27F667ED">
      <w:pPr>
        <w:autoSpaceDE w:val="0"/>
        <w:autoSpaceDN w:val="0"/>
        <w:adjustRightInd w:val="0"/>
        <w:snapToGrid w:val="0"/>
        <w:spacing w:line="300" w:lineRule="auto"/>
        <w:ind w:firstLine="420" w:firstLineChars="200"/>
        <w:contextualSpacing/>
        <w:jc w:val="both"/>
        <w:rPr>
          <w:rFonts w:ascii="Times New Roman" w:hAnsi="Times New Roman" w:eastAsia="宋体" w:cs="Times New Roman"/>
          <w:sz w:val="21"/>
          <w:szCs w:val="21"/>
          <w:lang w:val="en-US" w:eastAsia="zh-CN" w:bidi="ar-SA"/>
        </w:rPr>
      </w:pPr>
      <w:r>
        <w:rPr>
          <w:rFonts w:ascii="Times New Roman" w:hAnsi="Times New Roman" w:eastAsia="宋体" w:cs="Times New Roman"/>
          <w:sz w:val="21"/>
          <w:szCs w:val="21"/>
          <w:lang w:val="en-US" w:eastAsia="zh-CN" w:bidi="ar-SA"/>
        </w:rPr>
        <w:t>无。</w:t>
      </w:r>
    </w:p>
    <w:p w14:paraId="65744754">
      <w:pPr>
        <w:keepNext/>
        <w:keepLines/>
        <w:widowControl w:val="0"/>
        <w:spacing w:before="156" w:beforeLines="50" w:after="156" w:afterLines="50"/>
        <w:jc w:val="both"/>
        <w:outlineLvl w:val="0"/>
        <w:rPr>
          <w:rFonts w:ascii="Times New Roman" w:hAnsi="Times New Roman" w:eastAsia="黑体" w:cs="Times New Roman"/>
          <w:b w:val="0"/>
          <w:bCs w:val="0"/>
          <w:kern w:val="44"/>
          <w:sz w:val="28"/>
          <w:szCs w:val="44"/>
          <w:lang w:val="en-US" w:eastAsia="zh-CN" w:bidi="ar-SA"/>
        </w:rPr>
      </w:pPr>
      <w:r>
        <w:rPr>
          <w:rFonts w:ascii="Times New Roman" w:hAnsi="Times New Roman" w:eastAsia="黑体" w:cs="Times New Roman"/>
          <w:b w:val="0"/>
          <w:bCs w:val="0"/>
          <w:kern w:val="44"/>
          <w:sz w:val="28"/>
          <w:szCs w:val="44"/>
          <w:lang w:val="en-US" w:eastAsia="zh-CN" w:bidi="ar-SA"/>
        </w:rPr>
        <w:t>八、规范作为国家（或行业）计量技术规范的建议</w:t>
      </w:r>
    </w:p>
    <w:p w14:paraId="3A0F948D">
      <w:pPr>
        <w:adjustRightInd w:val="0"/>
        <w:spacing w:line="360" w:lineRule="auto"/>
        <w:ind w:firstLine="420" w:firstLineChars="200"/>
        <w:rPr>
          <w:szCs w:val="21"/>
        </w:rPr>
      </w:pPr>
      <w:r>
        <w:rPr>
          <w:szCs w:val="21"/>
        </w:rPr>
        <w:t>建议本规范作为行业计量技术规范，供行业企业参考使用。必要时可根据实际需要，结合其他行业使用要求，申报国家计量技术规范，以满足校准需要。</w:t>
      </w:r>
    </w:p>
    <w:p w14:paraId="02339D6F">
      <w:pPr>
        <w:adjustRightInd w:val="0"/>
        <w:spacing w:line="360" w:lineRule="auto"/>
        <w:rPr>
          <w:rFonts w:eastAsia="黑体"/>
          <w:sz w:val="28"/>
        </w:rPr>
      </w:pPr>
      <w:r>
        <w:rPr>
          <w:rFonts w:eastAsia="黑体"/>
          <w:sz w:val="28"/>
        </w:rPr>
        <w:t>九、贯彻规范的要求和措施建议</w:t>
      </w:r>
      <w:bookmarkEnd w:id="83"/>
    </w:p>
    <w:p w14:paraId="112B5FC7">
      <w:pPr>
        <w:pStyle w:val="58"/>
      </w:pPr>
      <w:r>
        <w:t>本规范发布后，中国有色金属行业协会和有色金属行业计量技术委员会应加强本规范的宣传力度，促进</w:t>
      </w:r>
      <w:r>
        <w:rPr>
          <w:rFonts w:hint="eastAsia"/>
          <w:lang w:val="en-US" w:eastAsia="zh-CN"/>
        </w:rPr>
        <w:t>脉冲回波式超声检测系统</w:t>
      </w:r>
      <w:r>
        <w:t>生产厂家</w:t>
      </w:r>
      <w:r>
        <w:rPr>
          <w:rFonts w:hint="eastAsia"/>
          <w:lang w:val="en-US" w:eastAsia="zh-CN"/>
        </w:rPr>
        <w:t>以及使用单位</w:t>
      </w:r>
      <w:r>
        <w:t>按照实际情况合理选用校准</w:t>
      </w:r>
      <w:r>
        <w:rPr>
          <w:rFonts w:hint="eastAsia"/>
          <w:lang w:val="en-US" w:eastAsia="zh-CN"/>
        </w:rPr>
        <w:t>规范</w:t>
      </w:r>
      <w:r>
        <w:t>，以促进我国企业的技术进步和产品质量上档次，提高我国产品在国际国内市场的竞争能力。</w:t>
      </w:r>
    </w:p>
    <w:p w14:paraId="5E01C156">
      <w:pPr>
        <w:keepNext/>
        <w:keepLines/>
        <w:widowControl w:val="0"/>
        <w:spacing w:before="156" w:beforeLines="50" w:after="156" w:afterLines="50"/>
        <w:jc w:val="both"/>
        <w:outlineLvl w:val="0"/>
        <w:rPr>
          <w:rFonts w:ascii="Times New Roman" w:hAnsi="Times New Roman" w:eastAsia="黑体" w:cs="Times New Roman"/>
          <w:b w:val="0"/>
          <w:bCs w:val="0"/>
          <w:kern w:val="44"/>
          <w:sz w:val="28"/>
          <w:szCs w:val="44"/>
          <w:lang w:val="en-US" w:eastAsia="zh-CN" w:bidi="ar-SA"/>
        </w:rPr>
      </w:pPr>
      <w:bookmarkStart w:id="85" w:name="_Toc464728977"/>
      <w:r>
        <w:rPr>
          <w:rFonts w:ascii="Times New Roman" w:hAnsi="Times New Roman" w:eastAsia="黑体" w:cs="Times New Roman"/>
          <w:b w:val="0"/>
          <w:bCs w:val="0"/>
          <w:kern w:val="44"/>
          <w:sz w:val="28"/>
          <w:szCs w:val="44"/>
          <w:lang w:val="en-US" w:eastAsia="zh-CN" w:bidi="ar-SA"/>
        </w:rPr>
        <w:t>十、废止现行有关规范的建议</w:t>
      </w:r>
      <w:bookmarkEnd w:id="85"/>
    </w:p>
    <w:p w14:paraId="62BA1ABA">
      <w:pPr>
        <w:autoSpaceDE w:val="0"/>
        <w:autoSpaceDN w:val="0"/>
        <w:adjustRightInd w:val="0"/>
        <w:snapToGrid w:val="0"/>
        <w:spacing w:line="300" w:lineRule="auto"/>
        <w:ind w:firstLine="420" w:firstLineChars="200"/>
        <w:contextualSpacing/>
        <w:jc w:val="both"/>
        <w:rPr>
          <w:rFonts w:ascii="Times New Roman" w:hAnsi="Times New Roman" w:eastAsia="宋体" w:cs="Times New Roman"/>
          <w:sz w:val="21"/>
          <w:szCs w:val="21"/>
          <w:lang w:val="en-US" w:eastAsia="zh-CN" w:bidi="ar-SA"/>
        </w:rPr>
      </w:pPr>
      <w:r>
        <w:rPr>
          <w:rFonts w:ascii="Times New Roman" w:hAnsi="Times New Roman" w:eastAsia="宋体" w:cs="Times New Roman"/>
          <w:sz w:val="21"/>
          <w:szCs w:val="21"/>
          <w:lang w:val="en-US" w:eastAsia="zh-CN" w:bidi="ar-SA"/>
        </w:rPr>
        <w:t>无。</w:t>
      </w:r>
    </w:p>
    <w:p w14:paraId="7B5FC889">
      <w:pPr>
        <w:adjustRightInd w:val="0"/>
        <w:spacing w:line="360" w:lineRule="auto"/>
        <w:rPr>
          <w:rFonts w:eastAsia="黑体"/>
          <w:sz w:val="28"/>
        </w:rPr>
      </w:pPr>
      <w:r>
        <w:rPr>
          <w:rFonts w:eastAsia="黑体"/>
          <w:sz w:val="28"/>
        </w:rPr>
        <w:t>十一、预期效果</w:t>
      </w:r>
    </w:p>
    <w:p w14:paraId="249D1B4B">
      <w:pPr>
        <w:pStyle w:val="58"/>
      </w:pPr>
      <w:r>
        <w:rPr>
          <w:rFonts w:hint="eastAsia"/>
        </w:rPr>
        <w:t>本规范的制定，具有极大的经济效益和社会效益，填补了有色金属行业领域校准空白，对</w:t>
      </w:r>
      <w:r>
        <w:rPr>
          <w:rFonts w:hint="eastAsia"/>
          <w:b w:val="0"/>
          <w:bCs w:val="0"/>
        </w:rPr>
        <w:t>脉冲回波式超声检测系统</w:t>
      </w:r>
      <w:r>
        <w:rPr>
          <w:rFonts w:hint="eastAsia"/>
        </w:rPr>
        <w:t>的校准过程提供了技术支撑</w:t>
      </w:r>
      <w:r>
        <w:t>。</w:t>
      </w:r>
    </w:p>
    <w:p w14:paraId="3A2CD8E6">
      <w:pPr>
        <w:adjustRightInd w:val="0"/>
        <w:spacing w:line="360" w:lineRule="auto"/>
        <w:rPr>
          <w:rFonts w:eastAsia="黑体"/>
          <w:sz w:val="28"/>
        </w:rPr>
      </w:pPr>
      <w:r>
        <w:rPr>
          <w:rFonts w:eastAsia="黑体"/>
          <w:sz w:val="28"/>
        </w:rPr>
        <w:t>十二、其他应予说明的事项</w:t>
      </w:r>
    </w:p>
    <w:p w14:paraId="2D88A757">
      <w:pPr>
        <w:pStyle w:val="58"/>
        <w:spacing w:line="300" w:lineRule="auto"/>
        <w:ind w:firstLineChars="0"/>
        <w:contextualSpacing/>
        <w:rPr>
          <w:rFonts w:ascii="Times New Roman" w:hAnsi="Times New Roman"/>
          <w:szCs w:val="21"/>
        </w:rPr>
      </w:pPr>
      <w:r>
        <w:rPr>
          <w:rFonts w:ascii="Times New Roman" w:hAnsi="Times New Roman"/>
          <w:szCs w:val="21"/>
        </w:rPr>
        <w:t>无。</w:t>
      </w:r>
    </w:p>
    <w:p w14:paraId="618A6B42">
      <w:pPr>
        <w:pStyle w:val="58"/>
      </w:pPr>
    </w:p>
    <w:p w14:paraId="24349A08">
      <w:pPr>
        <w:pStyle w:val="58"/>
      </w:pPr>
    </w:p>
    <w:p w14:paraId="50FF22E7">
      <w:pPr>
        <w:pStyle w:val="58"/>
        <w:jc w:val="right"/>
        <w:rPr>
          <w:rFonts w:hint="eastAsia"/>
          <w:bCs/>
        </w:rPr>
      </w:pPr>
      <w:r>
        <w:rPr>
          <w:bCs/>
        </w:rPr>
        <w:t xml:space="preserve">  </w:t>
      </w:r>
      <w:r>
        <w:rPr>
          <w:rFonts w:hint="eastAsia"/>
          <w:bCs/>
        </w:rPr>
        <w:t xml:space="preserve">《脉冲回波式超声检测系统校准规范》编制组  </w:t>
      </w:r>
    </w:p>
    <w:p w14:paraId="72B01AF8">
      <w:pPr>
        <w:pStyle w:val="58"/>
        <w:jc w:val="right"/>
      </w:pPr>
      <w:r>
        <w:rPr>
          <w:rFonts w:hint="eastAsia"/>
          <w:bCs/>
        </w:rPr>
        <w:t>2026年</w:t>
      </w:r>
      <w:r>
        <w:rPr>
          <w:rFonts w:hint="eastAsia"/>
          <w:bCs/>
          <w:lang w:val="en-US" w:eastAsia="zh-CN"/>
        </w:rPr>
        <w:t>9</w:t>
      </w:r>
      <w:r>
        <w:rPr>
          <w:rFonts w:hint="eastAsia"/>
          <w:bCs/>
        </w:rPr>
        <w:t>月</w:t>
      </w:r>
    </w:p>
    <w:sectPr>
      <w:footerReference r:id="rId9" w:type="first"/>
      <w:headerReference r:id="rId7" w:type="default"/>
      <w:footerReference r:id="rId8" w:type="default"/>
      <w:pgSz w:w="11907" w:h="16839"/>
      <w:pgMar w:top="1418" w:right="1134" w:bottom="1134" w:left="1418" w:header="1418"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9E2E2">
    <w:pPr>
      <w:pStyle w:val="73"/>
      <w:rPr>
        <w:rStyle w:val="45"/>
      </w:rPr>
    </w:pPr>
    <w:r>
      <w:rPr>
        <w:rStyle w:val="45"/>
      </w:rPr>
      <w:fldChar w:fldCharType="begin"/>
    </w:r>
    <w:r>
      <w:rPr>
        <w:rStyle w:val="45"/>
      </w:rPr>
      <w:instrText xml:space="preserve">PAGE  </w:instrText>
    </w:r>
    <w:r>
      <w:rPr>
        <w:rStyle w:val="45"/>
      </w:rPr>
      <w:fldChar w:fldCharType="separate"/>
    </w:r>
    <w:r>
      <w:rPr>
        <w:rStyle w:val="45"/>
      </w:rPr>
      <w:t>I</w:t>
    </w:r>
    <w:r>
      <w:rPr>
        <w:rStyle w:val="4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E1F2B">
    <w:pPr>
      <w:pStyle w:val="69"/>
      <w:rPr>
        <w:rStyle w:val="45"/>
      </w:rPr>
    </w:pPr>
    <w:r>
      <w:rPr>
        <w:rStyle w:val="45"/>
      </w:rPr>
      <w:fldChar w:fldCharType="begin"/>
    </w:r>
    <w:r>
      <w:rPr>
        <w:rStyle w:val="45"/>
      </w:rPr>
      <w:instrText xml:space="preserve">PAGE  </w:instrText>
    </w:r>
    <w:r>
      <w:rPr>
        <w:rStyle w:val="45"/>
      </w:rPr>
      <w:fldChar w:fldCharType="separate"/>
    </w:r>
    <w:r>
      <w:rPr>
        <w:rStyle w:val="45"/>
      </w:rPr>
      <w:t>II</w:t>
    </w:r>
    <w:r>
      <w:rPr>
        <w:rStyle w:val="4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4A7D3">
    <w:pPr>
      <w:pStyle w:val="73"/>
      <w:jc w:val="center"/>
    </w:pPr>
    <w:r>
      <w:fldChar w:fldCharType="begin"/>
    </w:r>
    <w:r>
      <w:rPr>
        <w:rStyle w:val="45"/>
      </w:rPr>
      <w:instrText xml:space="preserve">PAGE  </w:instrText>
    </w:r>
    <w:r>
      <w:fldChar w:fldCharType="separate"/>
    </w:r>
    <w:r>
      <w:rPr>
        <w:rStyle w:val="45"/>
      </w:rPr>
      <w:t>2</w:t>
    </w:r>
    <w:r>
      <w:fldChar w:fldCharType="end"/>
    </w:r>
  </w:p>
  <w:p w14:paraId="670EA10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E05EC">
    <w:pPr>
      <w:pStyle w:val="30"/>
      <w:ind w:firstLine="360"/>
      <w:jc w:val="both"/>
    </w:pPr>
  </w:p>
  <w:p w14:paraId="1795EAFB">
    <w:pPr>
      <w:pStyle w:val="30"/>
      <w:jc w:val="center"/>
      <w:rPr>
        <w:rFonts w:ascii="宋体" w:hAnsi="宋体"/>
        <w:sz w:val="21"/>
      </w:rPr>
    </w:pPr>
    <w:r>
      <w:rPr>
        <w:rFonts w:hint="eastAsia" w:ascii="宋体" w:hAnsi="宋体"/>
        <w:sz w:val="21"/>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4F8C8">
    <w:pPr>
      <w:pStyle w:val="89"/>
      <w:wordWrap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7293C">
    <w:pPr>
      <w:pStyle w:val="93"/>
    </w:pPr>
    <w:r>
      <w:t>GB/TXXX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12F33">
    <w:pPr>
      <w:pStyle w:val="31"/>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5FC01F"/>
    <w:multiLevelType w:val="singleLevel"/>
    <w:tmpl w:val="C75FC01F"/>
    <w:lvl w:ilvl="0" w:tentative="0">
      <w:start w:val="2"/>
      <w:numFmt w:val="chineseCounting"/>
      <w:suff w:val="nothing"/>
      <w:lvlText w:val="（%1）"/>
      <w:lvlJc w:val="left"/>
      <w:rPr>
        <w:rFonts w:hint="eastAsia"/>
      </w:rPr>
    </w:lvl>
  </w:abstractNum>
  <w:abstractNum w:abstractNumId="1">
    <w:nsid w:val="00000007"/>
    <w:multiLevelType w:val="multilevel"/>
    <w:tmpl w:val="00000007"/>
    <w:lvl w:ilvl="0" w:tentative="0">
      <w:start w:val="1"/>
      <w:numFmt w:val="none"/>
      <w:pStyle w:val="80"/>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C"/>
    <w:multiLevelType w:val="multilevel"/>
    <w:tmpl w:val="0000000C"/>
    <w:lvl w:ilvl="0" w:tentative="0">
      <w:start w:val="1"/>
      <w:numFmt w:val="none"/>
      <w:pStyle w:val="108"/>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0"/>
    <w:multiLevelType w:val="multilevel"/>
    <w:tmpl w:val="00000010"/>
    <w:lvl w:ilvl="0" w:tentative="0">
      <w:start w:val="1"/>
      <w:numFmt w:val="none"/>
      <w:pStyle w:val="91"/>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3"/>
    <w:multiLevelType w:val="multilevel"/>
    <w:tmpl w:val="00000013"/>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18"/>
      <w:suff w:val="nothing"/>
      <w:lvlText w:val="%1%2.%3　"/>
      <w:lvlJc w:val="left"/>
      <w:pPr>
        <w:ind w:left="0" w:firstLine="0"/>
      </w:pPr>
      <w:rPr>
        <w:rFonts w:hint="eastAsia" w:ascii="黑体" w:hAnsi="Times New Roman" w:eastAsia="黑体"/>
        <w:b w:val="0"/>
        <w:i w:val="0"/>
        <w:sz w:val="21"/>
      </w:rPr>
    </w:lvl>
    <w:lvl w:ilvl="3" w:tentative="0">
      <w:start w:val="1"/>
      <w:numFmt w:val="decimal"/>
      <w:pStyle w:val="94"/>
      <w:suff w:val="nothing"/>
      <w:lvlText w:val="%1%2.%3.%4　"/>
      <w:lvlJc w:val="left"/>
      <w:pPr>
        <w:ind w:left="0" w:firstLine="0"/>
      </w:pPr>
      <w:rPr>
        <w:rFonts w:hint="eastAsia" w:ascii="黑体" w:hAnsi="Times New Roman" w:eastAsia="黑体"/>
        <w:b w:val="0"/>
        <w:i w:val="0"/>
        <w:sz w:val="21"/>
      </w:rPr>
    </w:lvl>
    <w:lvl w:ilvl="4" w:tentative="0">
      <w:start w:val="1"/>
      <w:numFmt w:val="decimal"/>
      <w:pStyle w:val="116"/>
      <w:suff w:val="nothing"/>
      <w:lvlText w:val="%1%2.%3.%4.%5　"/>
      <w:lvlJc w:val="left"/>
      <w:pPr>
        <w:ind w:left="0" w:firstLine="0"/>
      </w:pPr>
      <w:rPr>
        <w:rFonts w:hint="eastAsia" w:ascii="黑体" w:hAnsi="Times New Roman" w:eastAsia="黑体"/>
        <w:b w:val="0"/>
        <w:i w:val="0"/>
        <w:sz w:val="21"/>
      </w:rPr>
    </w:lvl>
    <w:lvl w:ilvl="5" w:tentative="0">
      <w:start w:val="1"/>
      <w:numFmt w:val="decimal"/>
      <w:pStyle w:val="110"/>
      <w:suff w:val="nothing"/>
      <w:lvlText w:val="%1%2.%3.%4.%5.%6　"/>
      <w:lvlJc w:val="left"/>
      <w:pPr>
        <w:ind w:left="0" w:firstLine="0"/>
      </w:pPr>
      <w:rPr>
        <w:rFonts w:hint="eastAsia" w:ascii="黑体" w:hAnsi="Times New Roman" w:eastAsia="黑体"/>
        <w:b w:val="0"/>
        <w:i w:val="0"/>
        <w:sz w:val="21"/>
      </w:rPr>
    </w:lvl>
    <w:lvl w:ilvl="6" w:tentative="0">
      <w:start w:val="1"/>
      <w:numFmt w:val="decimal"/>
      <w:pStyle w:val="8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00000014"/>
    <w:multiLevelType w:val="multilevel"/>
    <w:tmpl w:val="00000014"/>
    <w:lvl w:ilvl="0" w:tentative="0">
      <w:start w:val="1"/>
      <w:numFmt w:val="none"/>
      <w:pStyle w:val="115"/>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00000015"/>
    <w:multiLevelType w:val="multilevel"/>
    <w:tmpl w:val="00000015"/>
    <w:lvl w:ilvl="0" w:tentative="0">
      <w:start w:val="1"/>
      <w:numFmt w:val="upperLetter"/>
      <w:pStyle w:val="65"/>
      <w:suff w:val="nothing"/>
      <w:lvlText w:val="附　录　%1"/>
      <w:lvlJc w:val="left"/>
      <w:pPr>
        <w:ind w:left="0" w:firstLine="0"/>
      </w:pPr>
      <w:rPr>
        <w:rFonts w:hint="eastAsia" w:ascii="黑体" w:hAnsi="Times New Roman" w:eastAsia="黑体"/>
        <w:b w:val="0"/>
        <w:i w:val="0"/>
        <w:sz w:val="21"/>
      </w:rPr>
    </w:lvl>
    <w:lvl w:ilvl="1" w:tentative="0">
      <w:start w:val="1"/>
      <w:numFmt w:val="japaneseCounting"/>
      <w:pStyle w:val="79"/>
      <w:lvlText w:val="（%2）"/>
      <w:lvlJc w:val="left"/>
      <w:pPr>
        <w:ind w:left="0" w:firstLine="0"/>
      </w:pPr>
      <w:rPr>
        <w:rFonts w:hint="default"/>
        <w:b w:val="0"/>
        <w:i w:val="0"/>
        <w:spacing w:val="0"/>
        <w:w w:val="100"/>
        <w:kern w:val="21"/>
        <w:sz w:val="21"/>
      </w:rPr>
    </w:lvl>
    <w:lvl w:ilvl="2" w:tentative="0">
      <w:start w:val="1"/>
      <w:numFmt w:val="decimal"/>
      <w:pStyle w:val="103"/>
      <w:suff w:val="nothing"/>
      <w:lvlText w:val="%1.%2.%3　"/>
      <w:lvlJc w:val="left"/>
      <w:pPr>
        <w:ind w:left="0" w:firstLine="0"/>
      </w:pPr>
      <w:rPr>
        <w:rFonts w:hint="eastAsia" w:ascii="黑体" w:hAnsi="Times New Roman" w:eastAsia="黑体"/>
        <w:b w:val="0"/>
        <w:i w:val="0"/>
        <w:sz w:val="21"/>
      </w:rPr>
    </w:lvl>
    <w:lvl w:ilvl="3" w:tentative="0">
      <w:start w:val="1"/>
      <w:numFmt w:val="decimal"/>
      <w:pStyle w:val="102"/>
      <w:suff w:val="nothing"/>
      <w:lvlText w:val="%1.%2.%3.%4　"/>
      <w:lvlJc w:val="left"/>
      <w:pPr>
        <w:ind w:left="0" w:firstLine="0"/>
      </w:pPr>
      <w:rPr>
        <w:rFonts w:hint="eastAsia" w:ascii="黑体" w:hAnsi="Times New Roman" w:eastAsia="黑体"/>
        <w:b w:val="0"/>
        <w:i w:val="0"/>
        <w:sz w:val="21"/>
      </w:rPr>
    </w:lvl>
    <w:lvl w:ilvl="4" w:tentative="0">
      <w:start w:val="1"/>
      <w:numFmt w:val="decimal"/>
      <w:pStyle w:val="101"/>
      <w:suff w:val="nothing"/>
      <w:lvlText w:val="%1.%2.%3.%4.%5　"/>
      <w:lvlJc w:val="left"/>
      <w:pPr>
        <w:ind w:left="0" w:firstLine="0"/>
      </w:pPr>
      <w:rPr>
        <w:rFonts w:hint="eastAsia" w:ascii="黑体" w:hAnsi="Times New Roman" w:eastAsia="黑体"/>
        <w:b w:val="0"/>
        <w:i w:val="0"/>
        <w:sz w:val="21"/>
      </w:rPr>
    </w:lvl>
    <w:lvl w:ilvl="5" w:tentative="0">
      <w:start w:val="1"/>
      <w:numFmt w:val="decimal"/>
      <w:pStyle w:val="100"/>
      <w:suff w:val="nothing"/>
      <w:lvlText w:val="%1.%2.%3.%4.%5.%6　"/>
      <w:lvlJc w:val="left"/>
      <w:pPr>
        <w:ind w:left="0" w:firstLine="0"/>
      </w:pPr>
      <w:rPr>
        <w:rFonts w:hint="eastAsia" w:ascii="黑体" w:hAnsi="Times New Roman" w:eastAsia="黑体"/>
        <w:b w:val="0"/>
        <w:i w:val="0"/>
        <w:sz w:val="21"/>
      </w:rPr>
    </w:lvl>
    <w:lvl w:ilvl="6" w:tentative="0">
      <w:start w:val="1"/>
      <w:numFmt w:val="decimal"/>
      <w:pStyle w:val="9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00000019"/>
    <w:multiLevelType w:val="multilevel"/>
    <w:tmpl w:val="00000019"/>
    <w:lvl w:ilvl="0" w:tentative="0">
      <w:start w:val="1"/>
      <w:numFmt w:val="decimal"/>
      <w:pStyle w:val="107"/>
      <w:suff w:val="nothing"/>
      <w:lvlText w:val="表%1　"/>
      <w:lvlJc w:val="left"/>
      <w:pPr>
        <w:ind w:left="3403" w:firstLine="0"/>
      </w:pPr>
      <w:rPr>
        <w:rFonts w:hint="eastAsia" w:ascii="黑体" w:hAnsi="Times New Roman" w:eastAsia="黑体"/>
        <w:b w:val="0"/>
        <w:i w:val="0"/>
        <w:sz w:val="21"/>
      </w:rPr>
    </w:lvl>
    <w:lvl w:ilvl="1" w:tentative="0">
      <w:start w:val="1"/>
      <w:numFmt w:val="decimal"/>
      <w:lvlText w:val="%1.%2"/>
      <w:lvlJc w:val="left"/>
      <w:pPr>
        <w:tabs>
          <w:tab w:val="left" w:pos="1202"/>
        </w:tabs>
        <w:ind w:left="1202" w:hanging="567"/>
      </w:pPr>
      <w:rPr>
        <w:rFonts w:hint="eastAsia"/>
      </w:rPr>
    </w:lvl>
    <w:lvl w:ilvl="2" w:tentative="0">
      <w:start w:val="1"/>
      <w:numFmt w:val="decimal"/>
      <w:lvlText w:val="%1.%2.%3"/>
      <w:lvlJc w:val="left"/>
      <w:pPr>
        <w:tabs>
          <w:tab w:val="left" w:pos="1628"/>
        </w:tabs>
        <w:ind w:left="1628" w:hanging="567"/>
      </w:pPr>
      <w:rPr>
        <w:rFonts w:hint="eastAsia"/>
      </w:rPr>
    </w:lvl>
    <w:lvl w:ilvl="3" w:tentative="0">
      <w:start w:val="1"/>
      <w:numFmt w:val="decimal"/>
      <w:lvlText w:val="%1.%2.%3.%4"/>
      <w:lvlJc w:val="left"/>
      <w:pPr>
        <w:tabs>
          <w:tab w:val="left" w:pos="2194"/>
        </w:tabs>
        <w:ind w:left="2194" w:hanging="708"/>
      </w:pPr>
      <w:rPr>
        <w:rFonts w:hint="eastAsia"/>
      </w:rPr>
    </w:lvl>
    <w:lvl w:ilvl="4" w:tentative="0">
      <w:start w:val="1"/>
      <w:numFmt w:val="decimal"/>
      <w:lvlText w:val="%1.%2.%3.%4.%5"/>
      <w:lvlJc w:val="left"/>
      <w:pPr>
        <w:tabs>
          <w:tab w:val="left" w:pos="2761"/>
        </w:tabs>
        <w:ind w:left="2761" w:hanging="850"/>
      </w:pPr>
      <w:rPr>
        <w:rFonts w:hint="eastAsia"/>
      </w:rPr>
    </w:lvl>
    <w:lvl w:ilvl="5" w:tentative="0">
      <w:start w:val="1"/>
      <w:numFmt w:val="decimal"/>
      <w:lvlText w:val="%1.%2.%3.%4.%5.%6"/>
      <w:lvlJc w:val="left"/>
      <w:pPr>
        <w:tabs>
          <w:tab w:val="left" w:pos="3470"/>
        </w:tabs>
        <w:ind w:left="3470" w:hanging="1134"/>
      </w:pPr>
      <w:rPr>
        <w:rFonts w:hint="eastAsia"/>
      </w:rPr>
    </w:lvl>
    <w:lvl w:ilvl="6" w:tentative="0">
      <w:start w:val="1"/>
      <w:numFmt w:val="decimal"/>
      <w:lvlText w:val="%1.%2.%3.%4.%5.%6.%7"/>
      <w:lvlJc w:val="left"/>
      <w:pPr>
        <w:tabs>
          <w:tab w:val="left" w:pos="4037"/>
        </w:tabs>
        <w:ind w:left="4037" w:hanging="1276"/>
      </w:pPr>
      <w:rPr>
        <w:rFonts w:hint="eastAsia"/>
      </w:rPr>
    </w:lvl>
    <w:lvl w:ilvl="7" w:tentative="0">
      <w:start w:val="1"/>
      <w:numFmt w:val="decimal"/>
      <w:lvlText w:val="%1.%2.%3.%4.%5.%6.%7.%8"/>
      <w:lvlJc w:val="left"/>
      <w:pPr>
        <w:tabs>
          <w:tab w:val="left" w:pos="4604"/>
        </w:tabs>
        <w:ind w:left="4604" w:hanging="1418"/>
      </w:pPr>
      <w:rPr>
        <w:rFonts w:hint="eastAsia"/>
      </w:rPr>
    </w:lvl>
    <w:lvl w:ilvl="8" w:tentative="0">
      <w:start w:val="1"/>
      <w:numFmt w:val="decimal"/>
      <w:lvlText w:val="%1.%2.%3.%4.%5.%6.%7.%8.%9"/>
      <w:lvlJc w:val="left"/>
      <w:pPr>
        <w:tabs>
          <w:tab w:val="left" w:pos="5312"/>
        </w:tabs>
        <w:ind w:left="5312" w:hanging="1700"/>
      </w:pPr>
      <w:rPr>
        <w:rFonts w:hint="eastAsia"/>
      </w:rPr>
    </w:lvl>
  </w:abstractNum>
  <w:abstractNum w:abstractNumId="8">
    <w:nsid w:val="00000022"/>
    <w:multiLevelType w:val="multilevel"/>
    <w:tmpl w:val="00000022"/>
    <w:lvl w:ilvl="0" w:tentative="0">
      <w:start w:val="1"/>
      <w:numFmt w:val="decimal"/>
      <w:pStyle w:val="90"/>
      <w:suff w:val="nothing"/>
      <w:lvlText w:val="图%1　"/>
      <w:lvlJc w:val="left"/>
      <w:pPr>
        <w:ind w:left="0" w:firstLine="0"/>
      </w:pPr>
      <w:rPr>
        <w:rFonts w:hint="eastAsia" w:ascii="黑体" w:hAnsi="Times New Roman" w:eastAsia="黑体"/>
        <w:b w:val="0"/>
        <w:i w:val="0"/>
        <w:color w:val="auto"/>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00000027"/>
    <w:multiLevelType w:val="multilevel"/>
    <w:tmpl w:val="00000027"/>
    <w:lvl w:ilvl="0" w:tentative="0">
      <w:start w:val="1"/>
      <w:numFmt w:val="none"/>
      <w:pStyle w:val="7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9"/>
  </w:num>
  <w:num w:numId="3">
    <w:abstractNumId w:val="1"/>
  </w:num>
  <w:num w:numId="4">
    <w:abstractNumId w:val="4"/>
  </w:num>
  <w:num w:numId="5">
    <w:abstractNumId w:val="8"/>
  </w:num>
  <w:num w:numId="6">
    <w:abstractNumId w:val="3"/>
  </w:num>
  <w:num w:numId="7">
    <w:abstractNumId w:val="7"/>
  </w:num>
  <w:num w:numId="8">
    <w:abstractNumId w:val="2"/>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693668"/>
    <w:rsid w:val="00001F60"/>
    <w:rsid w:val="000038F0"/>
    <w:rsid w:val="00004648"/>
    <w:rsid w:val="00013992"/>
    <w:rsid w:val="00014C66"/>
    <w:rsid w:val="000167CD"/>
    <w:rsid w:val="000211BF"/>
    <w:rsid w:val="00021A9F"/>
    <w:rsid w:val="000237D4"/>
    <w:rsid w:val="0002700F"/>
    <w:rsid w:val="000306E4"/>
    <w:rsid w:val="000309D7"/>
    <w:rsid w:val="00032AC7"/>
    <w:rsid w:val="00032F98"/>
    <w:rsid w:val="00034584"/>
    <w:rsid w:val="00035A56"/>
    <w:rsid w:val="00036A21"/>
    <w:rsid w:val="00036F02"/>
    <w:rsid w:val="00040A01"/>
    <w:rsid w:val="0004299E"/>
    <w:rsid w:val="00043D6D"/>
    <w:rsid w:val="00057128"/>
    <w:rsid w:val="0005764E"/>
    <w:rsid w:val="000657B2"/>
    <w:rsid w:val="0006679C"/>
    <w:rsid w:val="0007070D"/>
    <w:rsid w:val="00073A74"/>
    <w:rsid w:val="00084878"/>
    <w:rsid w:val="00091069"/>
    <w:rsid w:val="000971D5"/>
    <w:rsid w:val="000A0366"/>
    <w:rsid w:val="000C0F69"/>
    <w:rsid w:val="000C5C42"/>
    <w:rsid w:val="000C772A"/>
    <w:rsid w:val="000C794F"/>
    <w:rsid w:val="000D1F80"/>
    <w:rsid w:val="000F0950"/>
    <w:rsid w:val="000F15FB"/>
    <w:rsid w:val="000F714B"/>
    <w:rsid w:val="00100912"/>
    <w:rsid w:val="00103DC1"/>
    <w:rsid w:val="00104CBC"/>
    <w:rsid w:val="001164A0"/>
    <w:rsid w:val="00117B21"/>
    <w:rsid w:val="0012155C"/>
    <w:rsid w:val="00122AD8"/>
    <w:rsid w:val="00122CAF"/>
    <w:rsid w:val="00123CAD"/>
    <w:rsid w:val="00135D39"/>
    <w:rsid w:val="00136813"/>
    <w:rsid w:val="0014120B"/>
    <w:rsid w:val="00150062"/>
    <w:rsid w:val="001527ED"/>
    <w:rsid w:val="001567DA"/>
    <w:rsid w:val="00163830"/>
    <w:rsid w:val="0016493A"/>
    <w:rsid w:val="0018406A"/>
    <w:rsid w:val="001859F4"/>
    <w:rsid w:val="0019431C"/>
    <w:rsid w:val="001A4F75"/>
    <w:rsid w:val="001B76E1"/>
    <w:rsid w:val="001C0648"/>
    <w:rsid w:val="001C13CE"/>
    <w:rsid w:val="001C7BB8"/>
    <w:rsid w:val="001D0501"/>
    <w:rsid w:val="001D630A"/>
    <w:rsid w:val="001D6A71"/>
    <w:rsid w:val="001E0288"/>
    <w:rsid w:val="001E09C6"/>
    <w:rsid w:val="001E39F2"/>
    <w:rsid w:val="001F4168"/>
    <w:rsid w:val="0020375B"/>
    <w:rsid w:val="0021013F"/>
    <w:rsid w:val="00220437"/>
    <w:rsid w:val="00225EC9"/>
    <w:rsid w:val="00235374"/>
    <w:rsid w:val="00247A7D"/>
    <w:rsid w:val="00255EB1"/>
    <w:rsid w:val="00262D53"/>
    <w:rsid w:val="002732FF"/>
    <w:rsid w:val="00275F7A"/>
    <w:rsid w:val="00280BE9"/>
    <w:rsid w:val="00284900"/>
    <w:rsid w:val="002849BB"/>
    <w:rsid w:val="00291548"/>
    <w:rsid w:val="002977EC"/>
    <w:rsid w:val="002A1305"/>
    <w:rsid w:val="002A45F0"/>
    <w:rsid w:val="002A561B"/>
    <w:rsid w:val="002B225D"/>
    <w:rsid w:val="002D0634"/>
    <w:rsid w:val="002D16B1"/>
    <w:rsid w:val="002D2103"/>
    <w:rsid w:val="002D50AB"/>
    <w:rsid w:val="002E6C19"/>
    <w:rsid w:val="002F2F48"/>
    <w:rsid w:val="002F4E61"/>
    <w:rsid w:val="002F6135"/>
    <w:rsid w:val="003012C4"/>
    <w:rsid w:val="00305CB9"/>
    <w:rsid w:val="00307A90"/>
    <w:rsid w:val="003113C5"/>
    <w:rsid w:val="00314BA2"/>
    <w:rsid w:val="0032338B"/>
    <w:rsid w:val="0033057E"/>
    <w:rsid w:val="003318C1"/>
    <w:rsid w:val="00335FEC"/>
    <w:rsid w:val="0034125E"/>
    <w:rsid w:val="00343AD0"/>
    <w:rsid w:val="0035177A"/>
    <w:rsid w:val="00352269"/>
    <w:rsid w:val="00366AF1"/>
    <w:rsid w:val="00373555"/>
    <w:rsid w:val="00397407"/>
    <w:rsid w:val="003A2156"/>
    <w:rsid w:val="003B0148"/>
    <w:rsid w:val="003B1520"/>
    <w:rsid w:val="003B314C"/>
    <w:rsid w:val="003C2376"/>
    <w:rsid w:val="003C685D"/>
    <w:rsid w:val="003D0E38"/>
    <w:rsid w:val="003D2D54"/>
    <w:rsid w:val="003E10E7"/>
    <w:rsid w:val="003E237F"/>
    <w:rsid w:val="003F2C11"/>
    <w:rsid w:val="00400BF2"/>
    <w:rsid w:val="004011A9"/>
    <w:rsid w:val="0040777C"/>
    <w:rsid w:val="00411DC2"/>
    <w:rsid w:val="00412228"/>
    <w:rsid w:val="00415481"/>
    <w:rsid w:val="00416978"/>
    <w:rsid w:val="00423CBD"/>
    <w:rsid w:val="00423FDF"/>
    <w:rsid w:val="0042558A"/>
    <w:rsid w:val="004257BB"/>
    <w:rsid w:val="00425D1F"/>
    <w:rsid w:val="00427776"/>
    <w:rsid w:val="004315D8"/>
    <w:rsid w:val="00441D4A"/>
    <w:rsid w:val="0044476F"/>
    <w:rsid w:val="004508BB"/>
    <w:rsid w:val="00455FE9"/>
    <w:rsid w:val="0046211B"/>
    <w:rsid w:val="00464019"/>
    <w:rsid w:val="00480D6C"/>
    <w:rsid w:val="004815FF"/>
    <w:rsid w:val="0048362B"/>
    <w:rsid w:val="00486647"/>
    <w:rsid w:val="00487866"/>
    <w:rsid w:val="00497039"/>
    <w:rsid w:val="004A27E5"/>
    <w:rsid w:val="004B1DE2"/>
    <w:rsid w:val="004B3BD5"/>
    <w:rsid w:val="004B53DC"/>
    <w:rsid w:val="004C6FDF"/>
    <w:rsid w:val="004E1361"/>
    <w:rsid w:val="004E4C45"/>
    <w:rsid w:val="004E5080"/>
    <w:rsid w:val="005047FD"/>
    <w:rsid w:val="00521FA9"/>
    <w:rsid w:val="00526AEB"/>
    <w:rsid w:val="0052761B"/>
    <w:rsid w:val="005305AE"/>
    <w:rsid w:val="00531FA0"/>
    <w:rsid w:val="00536268"/>
    <w:rsid w:val="00536BFA"/>
    <w:rsid w:val="005535AA"/>
    <w:rsid w:val="0055489A"/>
    <w:rsid w:val="00556AC4"/>
    <w:rsid w:val="005608DA"/>
    <w:rsid w:val="00567271"/>
    <w:rsid w:val="005709C3"/>
    <w:rsid w:val="0059121E"/>
    <w:rsid w:val="005924E7"/>
    <w:rsid w:val="00593500"/>
    <w:rsid w:val="005944B9"/>
    <w:rsid w:val="005A2130"/>
    <w:rsid w:val="005A43CB"/>
    <w:rsid w:val="005A5A5D"/>
    <w:rsid w:val="005A7971"/>
    <w:rsid w:val="005B2B0B"/>
    <w:rsid w:val="005B3A80"/>
    <w:rsid w:val="005B5BAB"/>
    <w:rsid w:val="005C0268"/>
    <w:rsid w:val="005C0BE7"/>
    <w:rsid w:val="005C2448"/>
    <w:rsid w:val="005C769A"/>
    <w:rsid w:val="005D60F8"/>
    <w:rsid w:val="005D7687"/>
    <w:rsid w:val="005E0604"/>
    <w:rsid w:val="005E67C7"/>
    <w:rsid w:val="005F42DD"/>
    <w:rsid w:val="005F5449"/>
    <w:rsid w:val="005F759F"/>
    <w:rsid w:val="00601ADF"/>
    <w:rsid w:val="00603878"/>
    <w:rsid w:val="00606487"/>
    <w:rsid w:val="00617A1F"/>
    <w:rsid w:val="00623451"/>
    <w:rsid w:val="00624A40"/>
    <w:rsid w:val="00624FD8"/>
    <w:rsid w:val="00625140"/>
    <w:rsid w:val="0062664E"/>
    <w:rsid w:val="00627726"/>
    <w:rsid w:val="006320F5"/>
    <w:rsid w:val="00633572"/>
    <w:rsid w:val="00636E32"/>
    <w:rsid w:val="00637AB5"/>
    <w:rsid w:val="00640443"/>
    <w:rsid w:val="00642A06"/>
    <w:rsid w:val="0064364D"/>
    <w:rsid w:val="00644C6D"/>
    <w:rsid w:val="006510D6"/>
    <w:rsid w:val="00660A77"/>
    <w:rsid w:val="00667FDB"/>
    <w:rsid w:val="00672533"/>
    <w:rsid w:val="006738AA"/>
    <w:rsid w:val="00676748"/>
    <w:rsid w:val="006820CD"/>
    <w:rsid w:val="00683E68"/>
    <w:rsid w:val="00686643"/>
    <w:rsid w:val="00693668"/>
    <w:rsid w:val="006B3185"/>
    <w:rsid w:val="006B43C4"/>
    <w:rsid w:val="006B56BB"/>
    <w:rsid w:val="006C188A"/>
    <w:rsid w:val="006C2258"/>
    <w:rsid w:val="006C2AF8"/>
    <w:rsid w:val="006D1B98"/>
    <w:rsid w:val="006D68A7"/>
    <w:rsid w:val="006D7E99"/>
    <w:rsid w:val="006E11F0"/>
    <w:rsid w:val="00700A25"/>
    <w:rsid w:val="0071134B"/>
    <w:rsid w:val="00715587"/>
    <w:rsid w:val="00724E03"/>
    <w:rsid w:val="00726AA8"/>
    <w:rsid w:val="00733C71"/>
    <w:rsid w:val="00735A75"/>
    <w:rsid w:val="007372E9"/>
    <w:rsid w:val="007373AB"/>
    <w:rsid w:val="00740702"/>
    <w:rsid w:val="00743BA2"/>
    <w:rsid w:val="00743BAC"/>
    <w:rsid w:val="00746BAC"/>
    <w:rsid w:val="00750ED3"/>
    <w:rsid w:val="0075477F"/>
    <w:rsid w:val="00764D0A"/>
    <w:rsid w:val="00765621"/>
    <w:rsid w:val="00770269"/>
    <w:rsid w:val="00770F2C"/>
    <w:rsid w:val="00787910"/>
    <w:rsid w:val="007901C0"/>
    <w:rsid w:val="007902D1"/>
    <w:rsid w:val="007A3BEE"/>
    <w:rsid w:val="007B580F"/>
    <w:rsid w:val="007C15E3"/>
    <w:rsid w:val="007E3483"/>
    <w:rsid w:val="007E56C9"/>
    <w:rsid w:val="007F0DA9"/>
    <w:rsid w:val="007F2EC6"/>
    <w:rsid w:val="00804BC8"/>
    <w:rsid w:val="00817131"/>
    <w:rsid w:val="00820F69"/>
    <w:rsid w:val="00824B04"/>
    <w:rsid w:val="008353D7"/>
    <w:rsid w:val="00841A27"/>
    <w:rsid w:val="008461B6"/>
    <w:rsid w:val="0085122B"/>
    <w:rsid w:val="0086056F"/>
    <w:rsid w:val="0086378F"/>
    <w:rsid w:val="00865F38"/>
    <w:rsid w:val="008754EE"/>
    <w:rsid w:val="00876D87"/>
    <w:rsid w:val="008840F2"/>
    <w:rsid w:val="00887E9F"/>
    <w:rsid w:val="008961CC"/>
    <w:rsid w:val="008B22FC"/>
    <w:rsid w:val="008B38E0"/>
    <w:rsid w:val="008B76EA"/>
    <w:rsid w:val="008C16C8"/>
    <w:rsid w:val="008C672E"/>
    <w:rsid w:val="008C7D6D"/>
    <w:rsid w:val="008E0E28"/>
    <w:rsid w:val="008E11DC"/>
    <w:rsid w:val="008E415E"/>
    <w:rsid w:val="008F1961"/>
    <w:rsid w:val="008F4F5B"/>
    <w:rsid w:val="008F5DCA"/>
    <w:rsid w:val="009034C1"/>
    <w:rsid w:val="009052E4"/>
    <w:rsid w:val="009111C1"/>
    <w:rsid w:val="00913ED1"/>
    <w:rsid w:val="009148E0"/>
    <w:rsid w:val="009329F7"/>
    <w:rsid w:val="00933D2C"/>
    <w:rsid w:val="009359EC"/>
    <w:rsid w:val="00944D55"/>
    <w:rsid w:val="00946B7D"/>
    <w:rsid w:val="009513C5"/>
    <w:rsid w:val="00954DA4"/>
    <w:rsid w:val="00967656"/>
    <w:rsid w:val="00967A11"/>
    <w:rsid w:val="00967BBB"/>
    <w:rsid w:val="00971240"/>
    <w:rsid w:val="009737CF"/>
    <w:rsid w:val="00982373"/>
    <w:rsid w:val="009919FE"/>
    <w:rsid w:val="009958D1"/>
    <w:rsid w:val="009A12AB"/>
    <w:rsid w:val="009B4929"/>
    <w:rsid w:val="009B561F"/>
    <w:rsid w:val="009B5D9D"/>
    <w:rsid w:val="009C0597"/>
    <w:rsid w:val="009C2D10"/>
    <w:rsid w:val="009C3FBE"/>
    <w:rsid w:val="009D79FA"/>
    <w:rsid w:val="009E3D09"/>
    <w:rsid w:val="009F19C2"/>
    <w:rsid w:val="009F420F"/>
    <w:rsid w:val="00A06113"/>
    <w:rsid w:val="00A07D5A"/>
    <w:rsid w:val="00A11A21"/>
    <w:rsid w:val="00A12727"/>
    <w:rsid w:val="00A1378A"/>
    <w:rsid w:val="00A1497C"/>
    <w:rsid w:val="00A15577"/>
    <w:rsid w:val="00A2550C"/>
    <w:rsid w:val="00A30766"/>
    <w:rsid w:val="00A3211C"/>
    <w:rsid w:val="00A363F7"/>
    <w:rsid w:val="00A40585"/>
    <w:rsid w:val="00A40E4F"/>
    <w:rsid w:val="00A419FA"/>
    <w:rsid w:val="00A47FE2"/>
    <w:rsid w:val="00A56163"/>
    <w:rsid w:val="00A57E1E"/>
    <w:rsid w:val="00A57FA5"/>
    <w:rsid w:val="00A77511"/>
    <w:rsid w:val="00A7790F"/>
    <w:rsid w:val="00A8043A"/>
    <w:rsid w:val="00A8426B"/>
    <w:rsid w:val="00A86AF0"/>
    <w:rsid w:val="00A872B0"/>
    <w:rsid w:val="00A87731"/>
    <w:rsid w:val="00A87866"/>
    <w:rsid w:val="00A91553"/>
    <w:rsid w:val="00AA53FB"/>
    <w:rsid w:val="00AB1F90"/>
    <w:rsid w:val="00AC0924"/>
    <w:rsid w:val="00AC1E7A"/>
    <w:rsid w:val="00AC2647"/>
    <w:rsid w:val="00AD093B"/>
    <w:rsid w:val="00AD5E7E"/>
    <w:rsid w:val="00AE0B35"/>
    <w:rsid w:val="00AE47AC"/>
    <w:rsid w:val="00AE69D6"/>
    <w:rsid w:val="00AF7111"/>
    <w:rsid w:val="00B056DA"/>
    <w:rsid w:val="00B05E25"/>
    <w:rsid w:val="00B07889"/>
    <w:rsid w:val="00B07B02"/>
    <w:rsid w:val="00B07D3B"/>
    <w:rsid w:val="00B173B2"/>
    <w:rsid w:val="00B369B6"/>
    <w:rsid w:val="00B43636"/>
    <w:rsid w:val="00B45E9C"/>
    <w:rsid w:val="00B53389"/>
    <w:rsid w:val="00B60FA7"/>
    <w:rsid w:val="00B614F2"/>
    <w:rsid w:val="00B706F7"/>
    <w:rsid w:val="00B7116A"/>
    <w:rsid w:val="00B75677"/>
    <w:rsid w:val="00B817F8"/>
    <w:rsid w:val="00B82144"/>
    <w:rsid w:val="00B909CD"/>
    <w:rsid w:val="00BA5A9E"/>
    <w:rsid w:val="00BB316D"/>
    <w:rsid w:val="00BB4554"/>
    <w:rsid w:val="00BB7985"/>
    <w:rsid w:val="00BC4FFE"/>
    <w:rsid w:val="00BC5157"/>
    <w:rsid w:val="00BC66A0"/>
    <w:rsid w:val="00BC6B82"/>
    <w:rsid w:val="00BD4F5A"/>
    <w:rsid w:val="00BF32FF"/>
    <w:rsid w:val="00BF4703"/>
    <w:rsid w:val="00C03A4F"/>
    <w:rsid w:val="00C058B2"/>
    <w:rsid w:val="00C10883"/>
    <w:rsid w:val="00C113A5"/>
    <w:rsid w:val="00C2681C"/>
    <w:rsid w:val="00C27739"/>
    <w:rsid w:val="00C3112F"/>
    <w:rsid w:val="00C34261"/>
    <w:rsid w:val="00C40CAE"/>
    <w:rsid w:val="00C5059F"/>
    <w:rsid w:val="00C53BDD"/>
    <w:rsid w:val="00C55028"/>
    <w:rsid w:val="00C5550F"/>
    <w:rsid w:val="00C57BAB"/>
    <w:rsid w:val="00C66C85"/>
    <w:rsid w:val="00C70EA3"/>
    <w:rsid w:val="00C7537E"/>
    <w:rsid w:val="00C8056F"/>
    <w:rsid w:val="00C81A49"/>
    <w:rsid w:val="00C86EE5"/>
    <w:rsid w:val="00CA2A0B"/>
    <w:rsid w:val="00CB750D"/>
    <w:rsid w:val="00CB7CDF"/>
    <w:rsid w:val="00CC3C55"/>
    <w:rsid w:val="00CC3DDD"/>
    <w:rsid w:val="00CC491D"/>
    <w:rsid w:val="00CC51F6"/>
    <w:rsid w:val="00CC52E3"/>
    <w:rsid w:val="00CD2D13"/>
    <w:rsid w:val="00CD759E"/>
    <w:rsid w:val="00CE6476"/>
    <w:rsid w:val="00CF3CAA"/>
    <w:rsid w:val="00D01726"/>
    <w:rsid w:val="00D16568"/>
    <w:rsid w:val="00D17115"/>
    <w:rsid w:val="00D25D69"/>
    <w:rsid w:val="00D347DE"/>
    <w:rsid w:val="00D436F5"/>
    <w:rsid w:val="00D57AEE"/>
    <w:rsid w:val="00D6471A"/>
    <w:rsid w:val="00D65B23"/>
    <w:rsid w:val="00D660E5"/>
    <w:rsid w:val="00D71DEC"/>
    <w:rsid w:val="00D743EA"/>
    <w:rsid w:val="00D81C1D"/>
    <w:rsid w:val="00D85454"/>
    <w:rsid w:val="00D86648"/>
    <w:rsid w:val="00D903E4"/>
    <w:rsid w:val="00DA22D1"/>
    <w:rsid w:val="00DA3611"/>
    <w:rsid w:val="00DA7289"/>
    <w:rsid w:val="00DB3142"/>
    <w:rsid w:val="00DB4F65"/>
    <w:rsid w:val="00DB7C64"/>
    <w:rsid w:val="00DD008C"/>
    <w:rsid w:val="00DD02FC"/>
    <w:rsid w:val="00DD6769"/>
    <w:rsid w:val="00DD7D39"/>
    <w:rsid w:val="00DE144C"/>
    <w:rsid w:val="00E01026"/>
    <w:rsid w:val="00E019C6"/>
    <w:rsid w:val="00E22714"/>
    <w:rsid w:val="00E23465"/>
    <w:rsid w:val="00E31A7B"/>
    <w:rsid w:val="00E32480"/>
    <w:rsid w:val="00E4621B"/>
    <w:rsid w:val="00E5240D"/>
    <w:rsid w:val="00E544F0"/>
    <w:rsid w:val="00E71DCC"/>
    <w:rsid w:val="00E734F2"/>
    <w:rsid w:val="00E8145F"/>
    <w:rsid w:val="00E82471"/>
    <w:rsid w:val="00E82B41"/>
    <w:rsid w:val="00E86F2C"/>
    <w:rsid w:val="00E911BC"/>
    <w:rsid w:val="00E94D0B"/>
    <w:rsid w:val="00EA04CF"/>
    <w:rsid w:val="00EA3193"/>
    <w:rsid w:val="00EA4B1D"/>
    <w:rsid w:val="00EB2994"/>
    <w:rsid w:val="00EC149D"/>
    <w:rsid w:val="00ED5F91"/>
    <w:rsid w:val="00ED67DD"/>
    <w:rsid w:val="00EE0476"/>
    <w:rsid w:val="00EE5988"/>
    <w:rsid w:val="00F10C9E"/>
    <w:rsid w:val="00F12AF0"/>
    <w:rsid w:val="00F13CE4"/>
    <w:rsid w:val="00F14A09"/>
    <w:rsid w:val="00F22B01"/>
    <w:rsid w:val="00F32186"/>
    <w:rsid w:val="00F33ABA"/>
    <w:rsid w:val="00F3447A"/>
    <w:rsid w:val="00F45BA8"/>
    <w:rsid w:val="00F507FB"/>
    <w:rsid w:val="00F533AD"/>
    <w:rsid w:val="00F5644A"/>
    <w:rsid w:val="00F60259"/>
    <w:rsid w:val="00F7167F"/>
    <w:rsid w:val="00F71F31"/>
    <w:rsid w:val="00F7369D"/>
    <w:rsid w:val="00F80059"/>
    <w:rsid w:val="00F812C6"/>
    <w:rsid w:val="00F91E84"/>
    <w:rsid w:val="00FA0B3E"/>
    <w:rsid w:val="00FA4CA4"/>
    <w:rsid w:val="00FA5F49"/>
    <w:rsid w:val="00FA6198"/>
    <w:rsid w:val="00FA7260"/>
    <w:rsid w:val="00FC0650"/>
    <w:rsid w:val="00FC3C5F"/>
    <w:rsid w:val="00FC7BF3"/>
    <w:rsid w:val="00FD17B7"/>
    <w:rsid w:val="00FD235D"/>
    <w:rsid w:val="00FD3C65"/>
    <w:rsid w:val="00FD7FCA"/>
    <w:rsid w:val="00FE07F1"/>
    <w:rsid w:val="00FE0C1C"/>
    <w:rsid w:val="00FE17CA"/>
    <w:rsid w:val="00FE1932"/>
    <w:rsid w:val="00FE1A74"/>
    <w:rsid w:val="00FE36D2"/>
    <w:rsid w:val="00FE4ACB"/>
    <w:rsid w:val="00FF0501"/>
    <w:rsid w:val="00FF5630"/>
    <w:rsid w:val="01391B68"/>
    <w:rsid w:val="02E77C92"/>
    <w:rsid w:val="02F703B0"/>
    <w:rsid w:val="07DC0ED5"/>
    <w:rsid w:val="0904785D"/>
    <w:rsid w:val="09573966"/>
    <w:rsid w:val="0A781AE7"/>
    <w:rsid w:val="0B505FB3"/>
    <w:rsid w:val="0CCA0314"/>
    <w:rsid w:val="0D975F7E"/>
    <w:rsid w:val="110761E9"/>
    <w:rsid w:val="125F6118"/>
    <w:rsid w:val="12995D7D"/>
    <w:rsid w:val="14317D7D"/>
    <w:rsid w:val="14850D4C"/>
    <w:rsid w:val="14FE0CE9"/>
    <w:rsid w:val="158E7867"/>
    <w:rsid w:val="174C2AB4"/>
    <w:rsid w:val="1B6F42C5"/>
    <w:rsid w:val="1F5A1A25"/>
    <w:rsid w:val="1F714057"/>
    <w:rsid w:val="208E75B3"/>
    <w:rsid w:val="21723E7A"/>
    <w:rsid w:val="218A16C9"/>
    <w:rsid w:val="21BE3478"/>
    <w:rsid w:val="21C22927"/>
    <w:rsid w:val="21D04080"/>
    <w:rsid w:val="22423DCF"/>
    <w:rsid w:val="23A74BBD"/>
    <w:rsid w:val="23D43A72"/>
    <w:rsid w:val="276D2D88"/>
    <w:rsid w:val="29846CB3"/>
    <w:rsid w:val="29E46257"/>
    <w:rsid w:val="2A4110A1"/>
    <w:rsid w:val="2AB85E2C"/>
    <w:rsid w:val="2C281A12"/>
    <w:rsid w:val="2DA52FC1"/>
    <w:rsid w:val="2DB5450D"/>
    <w:rsid w:val="2EF51E74"/>
    <w:rsid w:val="2F4F68AC"/>
    <w:rsid w:val="2FBE527A"/>
    <w:rsid w:val="31B57A58"/>
    <w:rsid w:val="325F3B1A"/>
    <w:rsid w:val="34745E77"/>
    <w:rsid w:val="36AE69D8"/>
    <w:rsid w:val="379963C7"/>
    <w:rsid w:val="38B6063A"/>
    <w:rsid w:val="38C06FEC"/>
    <w:rsid w:val="39E63C45"/>
    <w:rsid w:val="3A910669"/>
    <w:rsid w:val="3BCA5CF1"/>
    <w:rsid w:val="3BE02BE3"/>
    <w:rsid w:val="3BFA1058"/>
    <w:rsid w:val="3C166EB5"/>
    <w:rsid w:val="3CAE759A"/>
    <w:rsid w:val="3EBA5BC3"/>
    <w:rsid w:val="420E5348"/>
    <w:rsid w:val="431A6F54"/>
    <w:rsid w:val="44100726"/>
    <w:rsid w:val="44347A9B"/>
    <w:rsid w:val="456D3D97"/>
    <w:rsid w:val="45E87405"/>
    <w:rsid w:val="46474D73"/>
    <w:rsid w:val="464E6392"/>
    <w:rsid w:val="48BE5C4B"/>
    <w:rsid w:val="48D21D3E"/>
    <w:rsid w:val="49214E6F"/>
    <w:rsid w:val="4D432356"/>
    <w:rsid w:val="4D4D2D74"/>
    <w:rsid w:val="4E3430C7"/>
    <w:rsid w:val="4F1E443D"/>
    <w:rsid w:val="52A97DDB"/>
    <w:rsid w:val="55DC7501"/>
    <w:rsid w:val="56154CA2"/>
    <w:rsid w:val="569D49D8"/>
    <w:rsid w:val="57BF5C02"/>
    <w:rsid w:val="58B15E13"/>
    <w:rsid w:val="5A7616BE"/>
    <w:rsid w:val="5A931503"/>
    <w:rsid w:val="5A971C98"/>
    <w:rsid w:val="5AFA5C95"/>
    <w:rsid w:val="5CDE078E"/>
    <w:rsid w:val="5CE86A09"/>
    <w:rsid w:val="5DC655CC"/>
    <w:rsid w:val="5F776EED"/>
    <w:rsid w:val="605176D9"/>
    <w:rsid w:val="60AC2894"/>
    <w:rsid w:val="62C30ED0"/>
    <w:rsid w:val="63F828E6"/>
    <w:rsid w:val="654D6460"/>
    <w:rsid w:val="67357B43"/>
    <w:rsid w:val="68986FF7"/>
    <w:rsid w:val="68E801C1"/>
    <w:rsid w:val="6A185E9C"/>
    <w:rsid w:val="6AB57C02"/>
    <w:rsid w:val="6B27051F"/>
    <w:rsid w:val="6B753BDA"/>
    <w:rsid w:val="6B770841"/>
    <w:rsid w:val="6E8A0C2B"/>
    <w:rsid w:val="6EF60757"/>
    <w:rsid w:val="70FA146A"/>
    <w:rsid w:val="710228B1"/>
    <w:rsid w:val="712A5284"/>
    <w:rsid w:val="71BA7FD4"/>
    <w:rsid w:val="7388747A"/>
    <w:rsid w:val="73A7009A"/>
    <w:rsid w:val="73B95B2E"/>
    <w:rsid w:val="74130018"/>
    <w:rsid w:val="77CE2BEC"/>
    <w:rsid w:val="7AC757F1"/>
    <w:rsid w:val="7AD82A80"/>
    <w:rsid w:val="7BA80065"/>
    <w:rsid w:val="7D700DB4"/>
    <w:rsid w:val="7DC65AAF"/>
    <w:rsid w:val="7E071551"/>
    <w:rsid w:val="7F720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qFormat="1" w:uiPriority="99"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5"/>
    <w:autoRedefine/>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306"/>
    <w:autoRedefine/>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307"/>
    <w:autoRedefine/>
    <w:qFormat/>
    <w:uiPriority w:val="0"/>
    <w:pPr>
      <w:keepNext/>
      <w:keepLines/>
      <w:spacing w:before="260" w:after="260" w:line="413"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6">
    <w:name w:val="heading 5"/>
    <w:basedOn w:val="1"/>
    <w:next w:val="1"/>
    <w:autoRedefine/>
    <w:qFormat/>
    <w:uiPriority w:val="0"/>
    <w:pPr>
      <w:keepNext/>
      <w:keepLines/>
      <w:spacing w:before="280" w:after="290" w:line="372" w:lineRule="auto"/>
      <w:outlineLvl w:val="4"/>
    </w:pPr>
    <w:rPr>
      <w:b/>
      <w:bCs/>
      <w:sz w:val="28"/>
      <w:szCs w:val="28"/>
    </w:rPr>
  </w:style>
  <w:style w:type="paragraph" w:styleId="7">
    <w:name w:val="heading 6"/>
    <w:basedOn w:val="1"/>
    <w:next w:val="1"/>
    <w:autoRedefine/>
    <w:qFormat/>
    <w:uiPriority w:val="0"/>
    <w:pPr>
      <w:keepNext/>
      <w:keepLines/>
      <w:spacing w:before="240" w:after="64" w:line="317" w:lineRule="auto"/>
      <w:outlineLvl w:val="5"/>
    </w:pPr>
    <w:rPr>
      <w:rFonts w:ascii="Arial" w:hAnsi="Arial" w:eastAsia="黑体"/>
      <w:b/>
      <w:bCs/>
      <w:sz w:val="24"/>
    </w:rPr>
  </w:style>
  <w:style w:type="paragraph" w:styleId="8">
    <w:name w:val="heading 7"/>
    <w:basedOn w:val="1"/>
    <w:next w:val="1"/>
    <w:autoRedefine/>
    <w:qFormat/>
    <w:uiPriority w:val="0"/>
    <w:pPr>
      <w:keepNext/>
      <w:keepLines/>
      <w:spacing w:before="240" w:after="64" w:line="317" w:lineRule="auto"/>
      <w:outlineLvl w:val="6"/>
    </w:pPr>
    <w:rPr>
      <w:b/>
      <w:bCs/>
      <w:sz w:val="24"/>
    </w:rPr>
  </w:style>
  <w:style w:type="paragraph" w:styleId="9">
    <w:name w:val="heading 8"/>
    <w:basedOn w:val="1"/>
    <w:next w:val="1"/>
    <w:autoRedefine/>
    <w:qFormat/>
    <w:uiPriority w:val="0"/>
    <w:pPr>
      <w:keepNext/>
      <w:keepLines/>
      <w:spacing w:before="240" w:after="64" w:line="317" w:lineRule="auto"/>
      <w:outlineLvl w:val="7"/>
    </w:pPr>
    <w:rPr>
      <w:rFonts w:ascii="Arial" w:hAnsi="Arial" w:eastAsia="黑体"/>
      <w:sz w:val="24"/>
    </w:rPr>
  </w:style>
  <w:style w:type="paragraph" w:styleId="10">
    <w:name w:val="heading 9"/>
    <w:basedOn w:val="1"/>
    <w:next w:val="1"/>
    <w:autoRedefine/>
    <w:qFormat/>
    <w:uiPriority w:val="0"/>
    <w:pPr>
      <w:keepNext/>
      <w:keepLines/>
      <w:spacing w:before="240" w:after="64" w:line="317" w:lineRule="auto"/>
      <w:outlineLvl w:val="8"/>
    </w:pPr>
    <w:rPr>
      <w:rFonts w:ascii="Arial" w:hAnsi="Arial" w:eastAsia="黑体"/>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autoRedefine/>
    <w:qFormat/>
    <w:uiPriority w:val="0"/>
  </w:style>
  <w:style w:type="paragraph" w:styleId="12">
    <w:name w:val="toc 6"/>
    <w:basedOn w:val="13"/>
    <w:next w:val="1"/>
    <w:autoRedefine/>
    <w:qFormat/>
    <w:uiPriority w:val="0"/>
  </w:style>
  <w:style w:type="paragraph" w:styleId="13">
    <w:name w:val="toc 5"/>
    <w:basedOn w:val="14"/>
    <w:next w:val="1"/>
    <w:autoRedefine/>
    <w:qFormat/>
    <w:uiPriority w:val="0"/>
  </w:style>
  <w:style w:type="paragraph" w:styleId="14">
    <w:name w:val="toc 4"/>
    <w:basedOn w:val="15"/>
    <w:next w:val="1"/>
    <w:autoRedefine/>
    <w:qFormat/>
    <w:uiPriority w:val="0"/>
  </w:style>
  <w:style w:type="paragraph" w:styleId="15">
    <w:name w:val="toc 3"/>
    <w:basedOn w:val="16"/>
    <w:next w:val="1"/>
    <w:autoRedefine/>
    <w:qFormat/>
    <w:uiPriority w:val="39"/>
  </w:style>
  <w:style w:type="paragraph" w:styleId="16">
    <w:name w:val="toc 2"/>
    <w:basedOn w:val="17"/>
    <w:next w:val="1"/>
    <w:autoRedefine/>
    <w:qFormat/>
    <w:uiPriority w:val="39"/>
  </w:style>
  <w:style w:type="paragraph" w:styleId="17">
    <w:name w:val="toc 1"/>
    <w:next w:val="1"/>
    <w:autoRedefine/>
    <w:qFormat/>
    <w:uiPriority w:val="39"/>
    <w:pPr>
      <w:jc w:val="both"/>
    </w:pPr>
    <w:rPr>
      <w:rFonts w:ascii="宋体" w:hAnsi="Times New Roman" w:eastAsia="宋体" w:cs="Times New Roman"/>
      <w:sz w:val="21"/>
      <w:lang w:val="en-US" w:eastAsia="zh-CN" w:bidi="ar-SA"/>
    </w:rPr>
  </w:style>
  <w:style w:type="paragraph" w:styleId="18">
    <w:name w:val="Normal Indent"/>
    <w:basedOn w:val="1"/>
    <w:autoRedefine/>
    <w:qFormat/>
    <w:uiPriority w:val="0"/>
    <w:pPr>
      <w:ind w:firstLine="420"/>
    </w:pPr>
    <w:rPr>
      <w:szCs w:val="20"/>
    </w:rPr>
  </w:style>
  <w:style w:type="paragraph" w:styleId="19">
    <w:name w:val="caption"/>
    <w:basedOn w:val="1"/>
    <w:next w:val="1"/>
    <w:autoRedefine/>
    <w:qFormat/>
    <w:uiPriority w:val="0"/>
    <w:pPr>
      <w:spacing w:before="152" w:after="160"/>
    </w:pPr>
    <w:rPr>
      <w:rFonts w:ascii="Arial" w:hAnsi="Arial" w:eastAsia="黑体"/>
      <w:szCs w:val="20"/>
    </w:rPr>
  </w:style>
  <w:style w:type="paragraph" w:styleId="20">
    <w:name w:val="annotation text"/>
    <w:basedOn w:val="1"/>
    <w:link w:val="288"/>
    <w:autoRedefine/>
    <w:qFormat/>
    <w:uiPriority w:val="0"/>
    <w:pPr>
      <w:jc w:val="left"/>
    </w:pPr>
  </w:style>
  <w:style w:type="paragraph" w:styleId="21">
    <w:name w:val="Body Text"/>
    <w:basedOn w:val="1"/>
    <w:link w:val="283"/>
    <w:autoRedefine/>
    <w:qFormat/>
    <w:uiPriority w:val="0"/>
    <w:pPr>
      <w:spacing w:after="120"/>
    </w:pPr>
  </w:style>
  <w:style w:type="paragraph" w:styleId="22">
    <w:name w:val="Body Text Indent"/>
    <w:basedOn w:val="1"/>
    <w:link w:val="286"/>
    <w:autoRedefine/>
    <w:qFormat/>
    <w:uiPriority w:val="0"/>
    <w:pPr>
      <w:spacing w:line="360" w:lineRule="exact"/>
      <w:ind w:left="420" w:firstLine="480"/>
    </w:pPr>
    <w:rPr>
      <w:sz w:val="24"/>
      <w:szCs w:val="20"/>
    </w:rPr>
  </w:style>
  <w:style w:type="paragraph" w:styleId="23">
    <w:name w:val="HTML Address"/>
    <w:basedOn w:val="1"/>
    <w:autoRedefine/>
    <w:qFormat/>
    <w:uiPriority w:val="0"/>
    <w:rPr>
      <w:i/>
      <w:iCs/>
    </w:rPr>
  </w:style>
  <w:style w:type="paragraph" w:styleId="24">
    <w:name w:val="Plain Text"/>
    <w:basedOn w:val="1"/>
    <w:link w:val="280"/>
    <w:autoRedefine/>
    <w:qFormat/>
    <w:uiPriority w:val="99"/>
    <w:rPr>
      <w:rFonts w:ascii="宋体" w:hAnsi="Courier New"/>
      <w:szCs w:val="21"/>
    </w:rPr>
  </w:style>
  <w:style w:type="paragraph" w:styleId="25">
    <w:name w:val="toc 8"/>
    <w:basedOn w:val="11"/>
    <w:next w:val="1"/>
    <w:autoRedefine/>
    <w:qFormat/>
    <w:uiPriority w:val="0"/>
  </w:style>
  <w:style w:type="paragraph" w:styleId="26">
    <w:name w:val="Date"/>
    <w:basedOn w:val="1"/>
    <w:next w:val="1"/>
    <w:link w:val="292"/>
    <w:autoRedefine/>
    <w:qFormat/>
    <w:uiPriority w:val="99"/>
    <w:pPr>
      <w:ind w:left="100" w:leftChars="2500"/>
    </w:pPr>
    <w:rPr>
      <w:sz w:val="24"/>
      <w:szCs w:val="20"/>
    </w:rPr>
  </w:style>
  <w:style w:type="paragraph" w:styleId="27">
    <w:name w:val="Body Text Indent 2"/>
    <w:basedOn w:val="1"/>
    <w:link w:val="291"/>
    <w:autoRedefine/>
    <w:qFormat/>
    <w:uiPriority w:val="0"/>
    <w:pPr>
      <w:spacing w:after="120" w:line="480" w:lineRule="auto"/>
      <w:ind w:left="420" w:leftChars="200"/>
    </w:pPr>
  </w:style>
  <w:style w:type="paragraph" w:styleId="28">
    <w:name w:val="endnote text"/>
    <w:basedOn w:val="1"/>
    <w:autoRedefine/>
    <w:qFormat/>
    <w:uiPriority w:val="0"/>
    <w:pPr>
      <w:snapToGrid w:val="0"/>
    </w:pPr>
  </w:style>
  <w:style w:type="paragraph" w:styleId="29">
    <w:name w:val="Balloon Text"/>
    <w:basedOn w:val="1"/>
    <w:link w:val="282"/>
    <w:autoRedefine/>
    <w:qFormat/>
    <w:uiPriority w:val="0"/>
    <w:rPr>
      <w:sz w:val="18"/>
      <w:szCs w:val="18"/>
    </w:rPr>
  </w:style>
  <w:style w:type="paragraph" w:styleId="30">
    <w:name w:val="footer"/>
    <w:basedOn w:val="1"/>
    <w:link w:val="285"/>
    <w:autoRedefine/>
    <w:qFormat/>
    <w:uiPriority w:val="0"/>
    <w:pPr>
      <w:tabs>
        <w:tab w:val="center" w:pos="4153"/>
        <w:tab w:val="right" w:pos="8306"/>
      </w:tabs>
      <w:snapToGrid w:val="0"/>
      <w:ind w:right="210" w:rightChars="100"/>
      <w:jc w:val="right"/>
    </w:pPr>
    <w:rPr>
      <w:sz w:val="18"/>
      <w:szCs w:val="18"/>
    </w:rPr>
  </w:style>
  <w:style w:type="paragraph" w:styleId="31">
    <w:name w:val="header"/>
    <w:basedOn w:val="1"/>
    <w:link w:val="290"/>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footnote text"/>
    <w:basedOn w:val="1"/>
    <w:link w:val="309"/>
    <w:autoRedefine/>
    <w:qFormat/>
    <w:uiPriority w:val="0"/>
    <w:pPr>
      <w:snapToGrid w:val="0"/>
      <w:jc w:val="left"/>
    </w:pPr>
    <w:rPr>
      <w:sz w:val="18"/>
      <w:szCs w:val="18"/>
    </w:rPr>
  </w:style>
  <w:style w:type="paragraph" w:styleId="33">
    <w:name w:val="Body Text Indent 3"/>
    <w:basedOn w:val="1"/>
    <w:autoRedefine/>
    <w:qFormat/>
    <w:uiPriority w:val="0"/>
    <w:pPr>
      <w:widowControl/>
      <w:spacing w:line="360" w:lineRule="auto"/>
      <w:ind w:firstLine="420"/>
    </w:pPr>
    <w:rPr>
      <w:rFonts w:hAnsi="宋体"/>
      <w:sz w:val="18"/>
    </w:rPr>
  </w:style>
  <w:style w:type="paragraph" w:styleId="34">
    <w:name w:val="toc 9"/>
    <w:basedOn w:val="25"/>
    <w:next w:val="1"/>
    <w:autoRedefine/>
    <w:qFormat/>
    <w:uiPriority w:val="0"/>
  </w:style>
  <w:style w:type="paragraph" w:styleId="35">
    <w:name w:val="Body Text 2"/>
    <w:basedOn w:val="1"/>
    <w:autoRedefine/>
    <w:semiHidden/>
    <w:unhideWhenUsed/>
    <w:qFormat/>
    <w:uiPriority w:val="99"/>
    <w:pPr>
      <w:spacing w:after="120" w:line="480" w:lineRule="auto"/>
    </w:pPr>
  </w:style>
  <w:style w:type="paragraph" w:styleId="36">
    <w:name w:val="HTML Preformatted"/>
    <w:basedOn w:val="1"/>
    <w:autoRedefine/>
    <w:qFormat/>
    <w:uiPriority w:val="0"/>
    <w:rPr>
      <w:rFonts w:ascii="Courier New" w:hAnsi="Courier New" w:cs="Courier New"/>
      <w:sz w:val="20"/>
      <w:szCs w:val="20"/>
    </w:rPr>
  </w:style>
  <w:style w:type="paragraph" w:styleId="37">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38">
    <w:name w:val="Title"/>
    <w:basedOn w:val="1"/>
    <w:link w:val="308"/>
    <w:autoRedefine/>
    <w:qFormat/>
    <w:uiPriority w:val="0"/>
    <w:pPr>
      <w:spacing w:before="240" w:after="60"/>
      <w:jc w:val="center"/>
      <w:outlineLvl w:val="0"/>
    </w:pPr>
    <w:rPr>
      <w:rFonts w:ascii="Arial" w:hAnsi="Arial" w:cs="Arial"/>
      <w:b/>
      <w:bCs/>
      <w:sz w:val="32"/>
      <w:szCs w:val="32"/>
    </w:rPr>
  </w:style>
  <w:style w:type="paragraph" w:styleId="39">
    <w:name w:val="annotation subject"/>
    <w:basedOn w:val="20"/>
    <w:next w:val="20"/>
    <w:link w:val="289"/>
    <w:autoRedefine/>
    <w:qFormat/>
    <w:uiPriority w:val="0"/>
    <w:rPr>
      <w:b/>
      <w:bCs/>
    </w:rPr>
  </w:style>
  <w:style w:type="paragraph" w:styleId="40">
    <w:name w:val="Body Text First Indent"/>
    <w:basedOn w:val="21"/>
    <w:autoRedefine/>
    <w:qFormat/>
    <w:uiPriority w:val="0"/>
    <w:pPr>
      <w:ind w:firstLine="420"/>
    </w:pPr>
    <w:rPr>
      <w:szCs w:val="20"/>
    </w:rPr>
  </w:style>
  <w:style w:type="table" w:styleId="42">
    <w:name w:val="Table Grid"/>
    <w:basedOn w:val="41"/>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4">
    <w:name w:val="Strong"/>
    <w:autoRedefine/>
    <w:qFormat/>
    <w:uiPriority w:val="22"/>
    <w:rPr>
      <w:b/>
      <w:bCs/>
    </w:rPr>
  </w:style>
  <w:style w:type="character" w:styleId="45">
    <w:name w:val="page number"/>
    <w:autoRedefine/>
    <w:qFormat/>
    <w:uiPriority w:val="0"/>
    <w:rPr>
      <w:rFonts w:ascii="Times New Roman" w:hAnsi="Times New Roman" w:eastAsia="宋体"/>
      <w:sz w:val="18"/>
    </w:rPr>
  </w:style>
  <w:style w:type="character" w:styleId="46">
    <w:name w:val="FollowedHyperlink"/>
    <w:autoRedefine/>
    <w:unhideWhenUsed/>
    <w:qFormat/>
    <w:uiPriority w:val="0"/>
    <w:rPr>
      <w:color w:val="800080"/>
      <w:u w:val="single"/>
    </w:rPr>
  </w:style>
  <w:style w:type="character" w:styleId="47">
    <w:name w:val="HTML Definition"/>
    <w:autoRedefine/>
    <w:qFormat/>
    <w:uiPriority w:val="0"/>
    <w:rPr>
      <w:i/>
      <w:iCs/>
    </w:rPr>
  </w:style>
  <w:style w:type="character" w:styleId="48">
    <w:name w:val="HTML Typewriter"/>
    <w:autoRedefine/>
    <w:qFormat/>
    <w:uiPriority w:val="0"/>
    <w:rPr>
      <w:rFonts w:ascii="Courier New" w:hAnsi="Courier New"/>
      <w:sz w:val="20"/>
      <w:szCs w:val="20"/>
    </w:rPr>
  </w:style>
  <w:style w:type="character" w:styleId="49">
    <w:name w:val="HTML Acronym"/>
    <w:basedOn w:val="43"/>
    <w:autoRedefine/>
    <w:qFormat/>
    <w:uiPriority w:val="0"/>
  </w:style>
  <w:style w:type="character" w:styleId="50">
    <w:name w:val="HTML Variable"/>
    <w:autoRedefine/>
    <w:qFormat/>
    <w:uiPriority w:val="0"/>
    <w:rPr>
      <w:i/>
      <w:iCs/>
    </w:rPr>
  </w:style>
  <w:style w:type="character" w:styleId="51">
    <w:name w:val="Hyperlink"/>
    <w:basedOn w:val="43"/>
    <w:autoRedefine/>
    <w:qFormat/>
    <w:uiPriority w:val="99"/>
    <w:rPr>
      <w:rFonts w:ascii="Times New Roman" w:hAnsi="Times New Roman" w:eastAsia="宋体"/>
      <w:color w:val="auto"/>
      <w:spacing w:val="0"/>
      <w:w w:val="100"/>
      <w:position w:val="0"/>
      <w:sz w:val="21"/>
      <w:u w:val="none"/>
    </w:rPr>
  </w:style>
  <w:style w:type="character" w:styleId="52">
    <w:name w:val="HTML Code"/>
    <w:autoRedefine/>
    <w:qFormat/>
    <w:uiPriority w:val="0"/>
    <w:rPr>
      <w:rFonts w:ascii="Courier New" w:hAnsi="Courier New"/>
      <w:sz w:val="20"/>
      <w:szCs w:val="20"/>
    </w:rPr>
  </w:style>
  <w:style w:type="character" w:styleId="53">
    <w:name w:val="annotation reference"/>
    <w:autoRedefine/>
    <w:qFormat/>
    <w:uiPriority w:val="0"/>
    <w:rPr>
      <w:sz w:val="21"/>
      <w:szCs w:val="21"/>
    </w:rPr>
  </w:style>
  <w:style w:type="character" w:styleId="54">
    <w:name w:val="HTML Cite"/>
    <w:autoRedefine/>
    <w:qFormat/>
    <w:uiPriority w:val="0"/>
    <w:rPr>
      <w:i/>
      <w:iCs/>
    </w:rPr>
  </w:style>
  <w:style w:type="character" w:styleId="55">
    <w:name w:val="footnote reference"/>
    <w:autoRedefine/>
    <w:qFormat/>
    <w:uiPriority w:val="0"/>
    <w:rPr>
      <w:vertAlign w:val="superscript"/>
    </w:rPr>
  </w:style>
  <w:style w:type="character" w:styleId="56">
    <w:name w:val="HTML Keyboard"/>
    <w:autoRedefine/>
    <w:qFormat/>
    <w:uiPriority w:val="0"/>
    <w:rPr>
      <w:rFonts w:ascii="Courier New" w:hAnsi="Courier New"/>
      <w:sz w:val="20"/>
      <w:szCs w:val="20"/>
    </w:rPr>
  </w:style>
  <w:style w:type="character" w:styleId="57">
    <w:name w:val="HTML Sample"/>
    <w:autoRedefine/>
    <w:qFormat/>
    <w:uiPriority w:val="0"/>
    <w:rPr>
      <w:rFonts w:ascii="Courier New" w:hAnsi="Courier New"/>
    </w:rPr>
  </w:style>
  <w:style w:type="paragraph" w:customStyle="1" w:styleId="58">
    <w:name w:val="段"/>
    <w:link w:val="275"/>
    <w:autoRedefine/>
    <w:qFormat/>
    <w:uiPriority w:val="0"/>
    <w:pPr>
      <w:autoSpaceDE w:val="0"/>
      <w:autoSpaceDN w:val="0"/>
      <w:adjustRightInd w:val="0"/>
      <w:snapToGrid w:val="0"/>
      <w:spacing w:line="360" w:lineRule="auto"/>
      <w:ind w:firstLine="420" w:firstLineChars="200"/>
      <w:jc w:val="both"/>
    </w:pPr>
    <w:rPr>
      <w:rFonts w:ascii="Times New Roman" w:hAnsi="Times New Roman" w:eastAsia="宋体" w:cs="Times New Roman"/>
      <w:sz w:val="21"/>
      <w:lang w:val="en-US" w:eastAsia="zh-CN" w:bidi="ar-SA"/>
    </w:rPr>
  </w:style>
  <w:style w:type="paragraph" w:customStyle="1" w:styleId="59">
    <w:name w:val="二级条标题"/>
    <w:basedOn w:val="60"/>
    <w:next w:val="58"/>
    <w:link w:val="277"/>
    <w:autoRedefine/>
    <w:qFormat/>
    <w:uiPriority w:val="0"/>
    <w:pPr>
      <w:ind w:firstLine="420"/>
      <w:outlineLvl w:val="3"/>
    </w:pPr>
    <w:rPr>
      <w:rFonts w:hAnsi="黑体"/>
      <w:color w:val="000000" w:themeColor="text1"/>
      <w:spacing w:val="-6"/>
      <w14:textFill>
        <w14:solidFill>
          <w14:schemeClr w14:val="tx1"/>
        </w14:solidFill>
      </w14:textFill>
    </w:rPr>
  </w:style>
  <w:style w:type="paragraph" w:customStyle="1" w:styleId="60">
    <w:name w:val="一级条标题"/>
    <w:basedOn w:val="61"/>
    <w:next w:val="58"/>
    <w:link w:val="279"/>
    <w:autoRedefine/>
    <w:qFormat/>
    <w:uiPriority w:val="0"/>
    <w:pPr>
      <w:spacing w:line="300" w:lineRule="auto"/>
      <w:ind w:firstLine="0" w:firstLineChars="0"/>
      <w:outlineLvl w:val="2"/>
    </w:pPr>
    <w:rPr>
      <w:rFonts w:ascii="Times New Roman" w:hAnsi="Times New Roman"/>
      <w:spacing w:val="-4"/>
      <w:szCs w:val="21"/>
    </w:rPr>
  </w:style>
  <w:style w:type="paragraph" w:customStyle="1" w:styleId="61">
    <w:name w:val="章标题"/>
    <w:next w:val="58"/>
    <w:link w:val="278"/>
    <w:autoRedefine/>
    <w:qFormat/>
    <w:uiPriority w:val="0"/>
    <w:pPr>
      <w:spacing w:line="360" w:lineRule="auto"/>
      <w:ind w:firstLine="420" w:firstLineChars="200"/>
      <w:jc w:val="both"/>
      <w:outlineLvl w:val="1"/>
    </w:pPr>
    <w:rPr>
      <w:rFonts w:cs="Times New Roman" w:asciiTheme="minorEastAsia" w:hAnsiTheme="minorEastAsia" w:eastAsiaTheme="minorEastAsia"/>
      <w:sz w:val="21"/>
      <w:lang w:val="en-US" w:eastAsia="zh-CN" w:bidi="ar-SA"/>
    </w:rPr>
  </w:style>
  <w:style w:type="paragraph" w:customStyle="1" w:styleId="62">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63">
    <w:name w:val="封面标准号2"/>
    <w:basedOn w:val="64"/>
    <w:autoRedefine/>
    <w:qFormat/>
    <w:uiPriority w:val="0"/>
    <w:pPr>
      <w:adjustRightInd w:val="0"/>
      <w:spacing w:before="357" w:line="280" w:lineRule="exact"/>
    </w:pPr>
  </w:style>
  <w:style w:type="paragraph" w:customStyle="1" w:styleId="64">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5">
    <w:name w:val="附录标识"/>
    <w:basedOn w:val="66"/>
    <w:link w:val="300"/>
    <w:autoRedefine/>
    <w:qFormat/>
    <w:uiPriority w:val="0"/>
    <w:pPr>
      <w:numPr>
        <w:ilvl w:val="0"/>
        <w:numId w:val="1"/>
      </w:numPr>
      <w:tabs>
        <w:tab w:val="left" w:pos="6405"/>
      </w:tabs>
      <w:spacing w:after="200"/>
    </w:pPr>
    <w:rPr>
      <w:sz w:val="21"/>
    </w:rPr>
  </w:style>
  <w:style w:type="paragraph" w:customStyle="1" w:styleId="66">
    <w:name w:val="前言、引言标题"/>
    <w:next w:val="1"/>
    <w:autoRedefine/>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7">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8">
    <w:name w:val="发布部门"/>
    <w:next w:val="58"/>
    <w:autoRedefine/>
    <w:qFormat/>
    <w:uiPriority w:val="0"/>
    <w:pPr>
      <w:jc w:val="center"/>
    </w:pPr>
    <w:rPr>
      <w:rFonts w:ascii="宋体" w:hAnsi="Times New Roman" w:eastAsia="宋体" w:cs="Times New Roman"/>
      <w:b/>
      <w:spacing w:val="20"/>
      <w:w w:val="135"/>
      <w:sz w:val="36"/>
      <w:lang w:val="en-US" w:eastAsia="zh-CN" w:bidi="ar-SA"/>
    </w:rPr>
  </w:style>
  <w:style w:type="paragraph" w:customStyle="1" w:styleId="69">
    <w:name w:val="标准书脚_偶数页"/>
    <w:autoRedefine/>
    <w:qFormat/>
    <w:uiPriority w:val="0"/>
    <w:pPr>
      <w:spacing w:before="120"/>
    </w:pPr>
    <w:rPr>
      <w:rFonts w:ascii="Times New Roman" w:hAnsi="Times New Roman" w:eastAsia="宋体" w:cs="Times New Roman"/>
      <w:sz w:val="18"/>
      <w:lang w:val="en-US" w:eastAsia="zh-CN" w:bidi="ar-SA"/>
    </w:rPr>
  </w:style>
  <w:style w:type="paragraph" w:customStyle="1" w:styleId="70">
    <w:name w:val="四级条标题"/>
    <w:basedOn w:val="71"/>
    <w:next w:val="58"/>
    <w:autoRedefine/>
    <w:qFormat/>
    <w:uiPriority w:val="0"/>
    <w:pPr>
      <w:outlineLvl w:val="5"/>
    </w:pPr>
  </w:style>
  <w:style w:type="paragraph" w:customStyle="1" w:styleId="71">
    <w:name w:val="三级条标题"/>
    <w:basedOn w:val="59"/>
    <w:next w:val="58"/>
    <w:link w:val="281"/>
    <w:autoRedefine/>
    <w:qFormat/>
    <w:uiPriority w:val="0"/>
    <w:pPr>
      <w:outlineLvl w:val="4"/>
    </w:pPr>
  </w:style>
  <w:style w:type="paragraph" w:customStyle="1" w:styleId="72">
    <w:name w:val="列项——"/>
    <w:autoRedefine/>
    <w:qFormat/>
    <w:uiPriority w:val="0"/>
    <w:pPr>
      <w:widowControl w:val="0"/>
      <w:numPr>
        <w:ilvl w:val="0"/>
        <w:numId w:val="2"/>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73">
    <w:name w:val="标准书脚_奇数页"/>
    <w:autoRedefine/>
    <w:qFormat/>
    <w:uiPriority w:val="0"/>
    <w:pPr>
      <w:spacing w:before="120"/>
      <w:jc w:val="right"/>
    </w:pPr>
    <w:rPr>
      <w:rFonts w:ascii="Times New Roman" w:hAnsi="Times New Roman" w:eastAsia="宋体" w:cs="Times New Roman"/>
      <w:sz w:val="18"/>
      <w:lang w:val="en-US" w:eastAsia="zh-CN" w:bidi="ar-SA"/>
    </w:rPr>
  </w:style>
  <w:style w:type="paragraph" w:customStyle="1" w:styleId="74">
    <w:name w:val="参考文献、索引标题"/>
    <w:basedOn w:val="66"/>
    <w:next w:val="1"/>
    <w:autoRedefine/>
    <w:qFormat/>
    <w:uiPriority w:val="0"/>
    <w:pPr>
      <w:spacing w:after="200"/>
    </w:pPr>
    <w:rPr>
      <w:sz w:val="21"/>
    </w:rPr>
  </w:style>
  <w:style w:type="paragraph" w:customStyle="1" w:styleId="75">
    <w:name w:val="封面标准名称"/>
    <w:autoRedefine/>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6">
    <w:name w:val="实施日期"/>
    <w:basedOn w:val="77"/>
    <w:autoRedefine/>
    <w:qFormat/>
    <w:uiPriority w:val="0"/>
    <w:pPr>
      <w:jc w:val="right"/>
    </w:pPr>
  </w:style>
  <w:style w:type="paragraph" w:customStyle="1" w:styleId="77">
    <w:name w:val="发布日期"/>
    <w:autoRedefine/>
    <w:qFormat/>
    <w:uiPriority w:val="0"/>
    <w:rPr>
      <w:rFonts w:ascii="Times New Roman" w:hAnsi="Times New Roman" w:eastAsia="黑体" w:cs="Times New Roman"/>
      <w:sz w:val="28"/>
      <w:lang w:val="en-US" w:eastAsia="zh-CN" w:bidi="ar-SA"/>
    </w:rPr>
  </w:style>
  <w:style w:type="paragraph" w:customStyle="1" w:styleId="78">
    <w:name w:val="条文脚注"/>
    <w:basedOn w:val="32"/>
    <w:autoRedefine/>
    <w:qFormat/>
    <w:uiPriority w:val="0"/>
    <w:pPr>
      <w:ind w:left="780" w:leftChars="200" w:hanging="360" w:hangingChars="200"/>
      <w:jc w:val="both"/>
    </w:pPr>
    <w:rPr>
      <w:rFonts w:ascii="宋体"/>
    </w:rPr>
  </w:style>
  <w:style w:type="paragraph" w:customStyle="1" w:styleId="79">
    <w:name w:val="附录章标题"/>
    <w:next w:val="58"/>
    <w:autoRedefine/>
    <w:qFormat/>
    <w:uiPriority w:val="0"/>
    <w:pPr>
      <w:numPr>
        <w:ilvl w:val="1"/>
        <w:numId w:val="1"/>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0">
    <w:name w:val="注×："/>
    <w:autoRedefine/>
    <w:qFormat/>
    <w:uiPriority w:val="0"/>
    <w:pPr>
      <w:widowControl w:val="0"/>
      <w:numPr>
        <w:ilvl w:val="0"/>
        <w:numId w:val="3"/>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81">
    <w:name w:val="封面标准英文名称"/>
    <w:autoRedefine/>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2">
    <w:name w:val="图表脚注"/>
    <w:next w:val="58"/>
    <w:autoRedefine/>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83">
    <w:name w:val="五级无标题条"/>
    <w:basedOn w:val="1"/>
    <w:autoRedefine/>
    <w:qFormat/>
    <w:uiPriority w:val="0"/>
    <w:pPr>
      <w:numPr>
        <w:ilvl w:val="6"/>
        <w:numId w:val="4"/>
      </w:numPr>
    </w:pPr>
  </w:style>
  <w:style w:type="paragraph" w:customStyle="1" w:styleId="84">
    <w:name w:val="标准标志"/>
    <w:next w:val="1"/>
    <w:autoRedefine/>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5">
    <w:name w:val="Char"/>
    <w:basedOn w:val="1"/>
    <w:autoRedefine/>
    <w:qFormat/>
    <w:uiPriority w:val="0"/>
    <w:pPr>
      <w:widowControl/>
      <w:spacing w:after="160" w:line="240" w:lineRule="exact"/>
      <w:jc w:val="left"/>
    </w:pPr>
  </w:style>
  <w:style w:type="paragraph" w:customStyle="1" w:styleId="86">
    <w:name w:val="无标题条"/>
    <w:next w:val="58"/>
    <w:autoRedefine/>
    <w:qFormat/>
    <w:uiPriority w:val="0"/>
    <w:pPr>
      <w:jc w:val="both"/>
    </w:pPr>
    <w:rPr>
      <w:rFonts w:ascii="Times New Roman" w:hAnsi="Times New Roman" w:eastAsia="宋体" w:cs="Times New Roman"/>
      <w:sz w:val="21"/>
      <w:lang w:val="en-US" w:eastAsia="zh-CN" w:bidi="ar-SA"/>
    </w:rPr>
  </w:style>
  <w:style w:type="paragraph" w:customStyle="1" w:styleId="87">
    <w:name w:val="五级条标题"/>
    <w:basedOn w:val="70"/>
    <w:next w:val="58"/>
    <w:autoRedefine/>
    <w:qFormat/>
    <w:uiPriority w:val="0"/>
    <w:pPr>
      <w:outlineLvl w:val="6"/>
    </w:pPr>
  </w:style>
  <w:style w:type="paragraph" w:customStyle="1" w:styleId="88">
    <w:name w:val="Default"/>
    <w:autoRedefine/>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89">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90">
    <w:name w:val="正文图标题"/>
    <w:next w:val="58"/>
    <w:autoRedefine/>
    <w:qFormat/>
    <w:uiPriority w:val="0"/>
    <w:pPr>
      <w:numPr>
        <w:ilvl w:val="0"/>
        <w:numId w:val="5"/>
      </w:numPr>
      <w:jc w:val="center"/>
    </w:pPr>
    <w:rPr>
      <w:rFonts w:ascii="黑体" w:hAnsi="Times New Roman" w:eastAsia="黑体" w:cs="Times New Roman"/>
      <w:sz w:val="21"/>
      <w:lang w:val="en-US" w:eastAsia="zh-CN" w:bidi="ar-SA"/>
    </w:rPr>
  </w:style>
  <w:style w:type="paragraph" w:customStyle="1" w:styleId="91">
    <w:name w:val="注："/>
    <w:next w:val="58"/>
    <w:link w:val="284"/>
    <w:autoRedefine/>
    <w:qFormat/>
    <w:uiPriority w:val="0"/>
    <w:pPr>
      <w:widowControl w:val="0"/>
      <w:numPr>
        <w:ilvl w:val="0"/>
        <w:numId w:val="6"/>
      </w:numPr>
      <w:autoSpaceDE w:val="0"/>
      <w:autoSpaceDN w:val="0"/>
      <w:jc w:val="both"/>
    </w:pPr>
    <w:rPr>
      <w:rFonts w:ascii="宋体" w:hAnsi="Times New Roman" w:eastAsia="宋体" w:cs="Times New Roman"/>
      <w:sz w:val="18"/>
      <w:lang w:val="en-US" w:eastAsia="zh-CN" w:bidi="ar-SA"/>
    </w:rPr>
  </w:style>
  <w:style w:type="paragraph" w:customStyle="1" w:styleId="92">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3">
    <w:name w:val="标准书眉_偶数页"/>
    <w:basedOn w:val="89"/>
    <w:next w:val="1"/>
    <w:autoRedefine/>
    <w:qFormat/>
    <w:uiPriority w:val="0"/>
    <w:pPr>
      <w:jc w:val="left"/>
    </w:pPr>
  </w:style>
  <w:style w:type="paragraph" w:customStyle="1" w:styleId="94">
    <w:name w:val="二级无标题条"/>
    <w:basedOn w:val="1"/>
    <w:autoRedefine/>
    <w:qFormat/>
    <w:uiPriority w:val="0"/>
    <w:pPr>
      <w:numPr>
        <w:ilvl w:val="3"/>
        <w:numId w:val="4"/>
      </w:numPr>
    </w:pPr>
  </w:style>
  <w:style w:type="paragraph" w:customStyle="1" w:styleId="95">
    <w:name w:val="附录表标题"/>
    <w:next w:val="58"/>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96">
    <w:name w:val="文献分类号"/>
    <w:autoRedefine/>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7">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98">
    <w:name w:val="封面正文"/>
    <w:autoRedefine/>
    <w:qFormat/>
    <w:uiPriority w:val="0"/>
    <w:pPr>
      <w:jc w:val="both"/>
    </w:pPr>
    <w:rPr>
      <w:rFonts w:ascii="Times New Roman" w:hAnsi="Times New Roman" w:eastAsia="宋体" w:cs="Times New Roman"/>
      <w:lang w:val="en-US" w:eastAsia="zh-CN" w:bidi="ar-SA"/>
    </w:rPr>
  </w:style>
  <w:style w:type="paragraph" w:customStyle="1" w:styleId="99">
    <w:name w:val="附录五级条标题"/>
    <w:basedOn w:val="100"/>
    <w:next w:val="58"/>
    <w:autoRedefine/>
    <w:qFormat/>
    <w:uiPriority w:val="0"/>
    <w:pPr>
      <w:numPr>
        <w:ilvl w:val="6"/>
      </w:numPr>
      <w:outlineLvl w:val="6"/>
    </w:pPr>
  </w:style>
  <w:style w:type="paragraph" w:customStyle="1" w:styleId="100">
    <w:name w:val="附录四级条标题"/>
    <w:basedOn w:val="101"/>
    <w:next w:val="58"/>
    <w:autoRedefine/>
    <w:qFormat/>
    <w:uiPriority w:val="0"/>
    <w:pPr>
      <w:numPr>
        <w:ilvl w:val="5"/>
      </w:numPr>
      <w:outlineLvl w:val="5"/>
    </w:pPr>
  </w:style>
  <w:style w:type="paragraph" w:customStyle="1" w:styleId="101">
    <w:name w:val="附录三级条标题"/>
    <w:basedOn w:val="102"/>
    <w:next w:val="58"/>
    <w:autoRedefine/>
    <w:qFormat/>
    <w:uiPriority w:val="0"/>
    <w:pPr>
      <w:numPr>
        <w:ilvl w:val="4"/>
      </w:numPr>
      <w:outlineLvl w:val="4"/>
    </w:pPr>
  </w:style>
  <w:style w:type="paragraph" w:customStyle="1" w:styleId="102">
    <w:name w:val="附录二级条标题"/>
    <w:basedOn w:val="103"/>
    <w:next w:val="58"/>
    <w:autoRedefine/>
    <w:qFormat/>
    <w:uiPriority w:val="0"/>
    <w:pPr>
      <w:numPr>
        <w:ilvl w:val="3"/>
      </w:numPr>
      <w:outlineLvl w:val="3"/>
    </w:pPr>
  </w:style>
  <w:style w:type="paragraph" w:customStyle="1" w:styleId="103">
    <w:name w:val="附录一级条标题"/>
    <w:basedOn w:val="79"/>
    <w:next w:val="58"/>
    <w:autoRedefine/>
    <w:qFormat/>
    <w:uiPriority w:val="0"/>
    <w:pPr>
      <w:numPr>
        <w:ilvl w:val="2"/>
      </w:numPr>
      <w:autoSpaceDN w:val="0"/>
      <w:spacing w:beforeLines="0" w:afterLines="0"/>
      <w:outlineLvl w:val="2"/>
    </w:pPr>
  </w:style>
  <w:style w:type="paragraph" w:customStyle="1" w:styleId="104">
    <w:name w:val="数字编号列项（二级）"/>
    <w:autoRedefine/>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5">
    <w:name w:val="附录图标题"/>
    <w:next w:val="58"/>
    <w:autoRedefine/>
    <w:qFormat/>
    <w:uiPriority w:val="0"/>
    <w:pPr>
      <w:jc w:val="center"/>
    </w:pPr>
    <w:rPr>
      <w:rFonts w:ascii="黑体" w:hAnsi="Times New Roman" w:eastAsia="黑体" w:cs="Times New Roman"/>
      <w:sz w:val="21"/>
      <w:lang w:val="en-US" w:eastAsia="zh-CN" w:bidi="ar-SA"/>
    </w:rPr>
  </w:style>
  <w:style w:type="paragraph" w:customStyle="1" w:styleId="106">
    <w:name w:val="封面一致性程度标识"/>
    <w:autoRedefine/>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7">
    <w:name w:val="正文表标题"/>
    <w:next w:val="58"/>
    <w:autoRedefine/>
    <w:qFormat/>
    <w:uiPriority w:val="0"/>
    <w:pPr>
      <w:numPr>
        <w:ilvl w:val="0"/>
        <w:numId w:val="7"/>
      </w:numPr>
      <w:jc w:val="center"/>
    </w:pPr>
    <w:rPr>
      <w:rFonts w:ascii="黑体" w:hAnsi="Times New Roman" w:eastAsia="黑体" w:cs="Times New Roman"/>
      <w:sz w:val="21"/>
      <w:lang w:val="en-US" w:eastAsia="zh-CN" w:bidi="ar-SA"/>
    </w:rPr>
  </w:style>
  <w:style w:type="paragraph" w:customStyle="1" w:styleId="108">
    <w:name w:val="示例"/>
    <w:next w:val="58"/>
    <w:autoRedefine/>
    <w:qFormat/>
    <w:uiPriority w:val="0"/>
    <w:pPr>
      <w:numPr>
        <w:ilvl w:val="0"/>
        <w:numId w:val="8"/>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9">
    <w:name w:val="篇"/>
    <w:basedOn w:val="1"/>
    <w:next w:val="1"/>
    <w:autoRedefine/>
    <w:qFormat/>
    <w:uiPriority w:val="0"/>
    <w:pPr>
      <w:adjustRightInd w:val="0"/>
      <w:spacing w:line="360" w:lineRule="atLeast"/>
      <w:jc w:val="center"/>
      <w:textAlignment w:val="baseline"/>
    </w:pPr>
    <w:rPr>
      <w:rFonts w:eastAsia="黑体"/>
      <w:kern w:val="0"/>
      <w:sz w:val="24"/>
      <w:szCs w:val="20"/>
    </w:rPr>
  </w:style>
  <w:style w:type="paragraph" w:customStyle="1" w:styleId="110">
    <w:name w:val="四级无标题条"/>
    <w:basedOn w:val="1"/>
    <w:autoRedefine/>
    <w:qFormat/>
    <w:uiPriority w:val="0"/>
    <w:pPr>
      <w:numPr>
        <w:ilvl w:val="5"/>
        <w:numId w:val="4"/>
      </w:numPr>
    </w:pPr>
  </w:style>
  <w:style w:type="paragraph" w:customStyle="1" w:styleId="111">
    <w:name w:val="目次、标准名称标题"/>
    <w:basedOn w:val="66"/>
    <w:next w:val="58"/>
    <w:autoRedefine/>
    <w:qFormat/>
    <w:uiPriority w:val="0"/>
    <w:pPr>
      <w:spacing w:line="460" w:lineRule="exact"/>
    </w:pPr>
  </w:style>
  <w:style w:type="paragraph" w:customStyle="1" w:styleId="112">
    <w:name w:val="标准书眉一"/>
    <w:autoRedefine/>
    <w:qFormat/>
    <w:uiPriority w:val="0"/>
    <w:pPr>
      <w:jc w:val="both"/>
    </w:pPr>
    <w:rPr>
      <w:rFonts w:ascii="Times New Roman" w:hAnsi="Times New Roman" w:eastAsia="宋体" w:cs="Times New Roman"/>
      <w:lang w:val="en-US" w:eastAsia="zh-CN" w:bidi="ar-SA"/>
    </w:rPr>
  </w:style>
  <w:style w:type="paragraph" w:customStyle="1" w:styleId="113">
    <w:name w:val="标准称谓"/>
    <w:next w:val="1"/>
    <w:autoRedefine/>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4">
    <w:name w:val="其他发布部门"/>
    <w:basedOn w:val="68"/>
    <w:autoRedefine/>
    <w:qFormat/>
    <w:uiPriority w:val="0"/>
    <w:pPr>
      <w:spacing w:line="0" w:lineRule="atLeast"/>
    </w:pPr>
    <w:rPr>
      <w:rFonts w:ascii="黑体" w:eastAsia="黑体"/>
      <w:b w:val="0"/>
    </w:rPr>
  </w:style>
  <w:style w:type="paragraph" w:customStyle="1" w:styleId="115">
    <w:name w:val="列项·"/>
    <w:autoRedefine/>
    <w:qFormat/>
    <w:uiPriority w:val="0"/>
    <w:pPr>
      <w:numPr>
        <w:ilvl w:val="0"/>
        <w:numId w:val="9"/>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16">
    <w:name w:val="三级无标题条"/>
    <w:basedOn w:val="1"/>
    <w:autoRedefine/>
    <w:qFormat/>
    <w:uiPriority w:val="0"/>
    <w:pPr>
      <w:numPr>
        <w:ilvl w:val="4"/>
        <w:numId w:val="4"/>
      </w:numPr>
    </w:pPr>
  </w:style>
  <w:style w:type="paragraph" w:customStyle="1" w:styleId="117">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118">
    <w:name w:val="一级无标题条"/>
    <w:basedOn w:val="1"/>
    <w:autoRedefine/>
    <w:qFormat/>
    <w:uiPriority w:val="0"/>
    <w:pPr>
      <w:numPr>
        <w:ilvl w:val="2"/>
        <w:numId w:val="4"/>
      </w:numPr>
    </w:pPr>
  </w:style>
  <w:style w:type="paragraph" w:customStyle="1" w:styleId="119">
    <w:name w:val="封面标准代替信息"/>
    <w:basedOn w:val="63"/>
    <w:autoRedefine/>
    <w:qFormat/>
    <w:uiPriority w:val="0"/>
    <w:pPr>
      <w:spacing w:before="57"/>
    </w:pPr>
    <w:rPr>
      <w:rFonts w:ascii="宋体"/>
      <w:sz w:val="21"/>
    </w:rPr>
  </w:style>
  <w:style w:type="paragraph" w:customStyle="1" w:styleId="120">
    <w:name w:val="标准正文"/>
    <w:basedOn w:val="1"/>
    <w:autoRedefine/>
    <w:qFormat/>
    <w:uiPriority w:val="0"/>
    <w:pPr>
      <w:adjustRightInd w:val="0"/>
      <w:spacing w:line="360" w:lineRule="atLeast"/>
      <w:ind w:firstLine="425"/>
      <w:jc w:val="left"/>
      <w:textAlignment w:val="baseline"/>
    </w:pPr>
    <w:rPr>
      <w:spacing w:val="-4"/>
      <w:kern w:val="21"/>
      <w:szCs w:val="20"/>
    </w:rPr>
  </w:style>
  <w:style w:type="paragraph" w:customStyle="1" w:styleId="121">
    <w:name w:val="font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2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font6"/>
    <w:basedOn w:val="1"/>
    <w:autoRedefine/>
    <w:qFormat/>
    <w:uiPriority w:val="0"/>
    <w:pPr>
      <w:widowControl/>
      <w:spacing w:before="100" w:beforeAutospacing="1" w:after="100" w:afterAutospacing="1"/>
      <w:jc w:val="left"/>
    </w:pPr>
    <w:rPr>
      <w:b/>
      <w:bCs/>
      <w:kern w:val="0"/>
      <w:sz w:val="20"/>
      <w:szCs w:val="20"/>
    </w:rPr>
  </w:style>
  <w:style w:type="paragraph" w:customStyle="1" w:styleId="124">
    <w:name w:val="font7"/>
    <w:basedOn w:val="1"/>
    <w:autoRedefine/>
    <w:qFormat/>
    <w:uiPriority w:val="0"/>
    <w:pPr>
      <w:widowControl/>
      <w:spacing w:before="100" w:beforeAutospacing="1" w:after="100" w:afterAutospacing="1"/>
      <w:jc w:val="left"/>
    </w:pPr>
    <w:rPr>
      <w:rFonts w:ascii="宋体" w:hAnsi="宋体" w:cs="宋体"/>
      <w:b/>
      <w:bCs/>
      <w:kern w:val="0"/>
      <w:sz w:val="24"/>
    </w:rPr>
  </w:style>
  <w:style w:type="paragraph" w:customStyle="1" w:styleId="125">
    <w:name w:val="font8"/>
    <w:basedOn w:val="1"/>
    <w:autoRedefine/>
    <w:qFormat/>
    <w:uiPriority w:val="0"/>
    <w:pPr>
      <w:widowControl/>
      <w:spacing w:before="100" w:beforeAutospacing="1" w:after="100" w:afterAutospacing="1"/>
      <w:jc w:val="left"/>
    </w:pPr>
    <w:rPr>
      <w:rFonts w:ascii="宋体" w:hAnsi="宋体" w:cs="宋体"/>
      <w:b/>
      <w:bCs/>
      <w:kern w:val="0"/>
      <w:sz w:val="24"/>
    </w:rPr>
  </w:style>
  <w:style w:type="paragraph" w:customStyle="1" w:styleId="126">
    <w:name w:val="font9"/>
    <w:basedOn w:val="1"/>
    <w:autoRedefine/>
    <w:qFormat/>
    <w:uiPriority w:val="0"/>
    <w:pPr>
      <w:widowControl/>
      <w:spacing w:before="100" w:beforeAutospacing="1" w:after="100" w:afterAutospacing="1"/>
      <w:jc w:val="left"/>
    </w:pPr>
    <w:rPr>
      <w:rFonts w:ascii="宋体" w:hAnsi="宋体" w:cs="宋体"/>
      <w:b/>
      <w:bCs/>
      <w:kern w:val="0"/>
      <w:sz w:val="24"/>
    </w:rPr>
  </w:style>
  <w:style w:type="paragraph" w:customStyle="1" w:styleId="127">
    <w:name w:val="font10"/>
    <w:basedOn w:val="1"/>
    <w:autoRedefine/>
    <w:qFormat/>
    <w:uiPriority w:val="0"/>
    <w:pPr>
      <w:widowControl/>
      <w:spacing w:before="100" w:beforeAutospacing="1" w:after="100" w:afterAutospacing="1"/>
      <w:jc w:val="left"/>
    </w:pPr>
    <w:rPr>
      <w:rFonts w:ascii="宋体" w:hAnsi="宋体" w:cs="宋体"/>
      <w:b/>
      <w:bCs/>
      <w:kern w:val="0"/>
      <w:sz w:val="24"/>
    </w:rPr>
  </w:style>
  <w:style w:type="paragraph" w:customStyle="1" w:styleId="128">
    <w:name w:val="font11"/>
    <w:basedOn w:val="1"/>
    <w:autoRedefine/>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29">
    <w:name w:val="xl78"/>
    <w:basedOn w:val="1"/>
    <w:autoRedefine/>
    <w:qFormat/>
    <w:uiPriority w:val="0"/>
    <w:pPr>
      <w:widowControl/>
      <w:spacing w:before="100" w:beforeAutospacing="1" w:after="100" w:afterAutospacing="1"/>
      <w:jc w:val="center"/>
      <w:textAlignment w:val="center"/>
    </w:pPr>
    <w:rPr>
      <w:b/>
      <w:bCs/>
      <w:kern w:val="0"/>
      <w:sz w:val="24"/>
    </w:rPr>
  </w:style>
  <w:style w:type="paragraph" w:customStyle="1" w:styleId="130">
    <w:name w:val="xl79"/>
    <w:basedOn w:val="1"/>
    <w:autoRedefine/>
    <w:qFormat/>
    <w:uiPriority w:val="0"/>
    <w:pPr>
      <w:widowControl/>
      <w:spacing w:before="100" w:beforeAutospacing="1" w:after="100" w:afterAutospacing="1"/>
      <w:jc w:val="center"/>
      <w:textAlignment w:val="center"/>
    </w:pPr>
    <w:rPr>
      <w:b/>
      <w:bCs/>
      <w:kern w:val="0"/>
      <w:sz w:val="24"/>
    </w:rPr>
  </w:style>
  <w:style w:type="paragraph" w:customStyle="1" w:styleId="131">
    <w:name w:val="xl80"/>
    <w:basedOn w:val="1"/>
    <w:autoRedefine/>
    <w:qFormat/>
    <w:uiPriority w:val="0"/>
    <w:pPr>
      <w:widowControl/>
      <w:spacing w:before="100" w:beforeAutospacing="1" w:after="100" w:afterAutospacing="1"/>
      <w:jc w:val="center"/>
      <w:textAlignment w:val="center"/>
    </w:pPr>
    <w:rPr>
      <w:b/>
      <w:bCs/>
      <w:kern w:val="0"/>
      <w:sz w:val="24"/>
    </w:rPr>
  </w:style>
  <w:style w:type="paragraph" w:customStyle="1" w:styleId="132">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3">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4">
    <w:name w:val="xl83"/>
    <w:basedOn w:val="1"/>
    <w:autoRedefine/>
    <w:qFormat/>
    <w:uiPriority w:val="0"/>
    <w:pPr>
      <w:widowControl/>
      <w:spacing w:before="100" w:beforeAutospacing="1" w:after="100" w:afterAutospacing="1"/>
      <w:jc w:val="center"/>
      <w:textAlignment w:val="center"/>
    </w:pPr>
    <w:rPr>
      <w:b/>
      <w:bCs/>
      <w:kern w:val="0"/>
      <w:sz w:val="20"/>
      <w:szCs w:val="20"/>
    </w:rPr>
  </w:style>
  <w:style w:type="paragraph" w:customStyle="1" w:styleId="135">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6">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7">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8">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9">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0">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1">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2">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3">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4">
    <w:name w:val="xl93"/>
    <w:basedOn w:val="1"/>
    <w:autoRedefine/>
    <w:qFormat/>
    <w:uiPriority w:val="0"/>
    <w:pPr>
      <w:widowControl/>
      <w:spacing w:before="100" w:beforeAutospacing="1" w:after="100" w:afterAutospacing="1"/>
      <w:jc w:val="center"/>
      <w:textAlignment w:val="center"/>
    </w:pPr>
    <w:rPr>
      <w:b/>
      <w:bCs/>
      <w:kern w:val="0"/>
      <w:sz w:val="20"/>
      <w:szCs w:val="20"/>
    </w:rPr>
  </w:style>
  <w:style w:type="paragraph" w:customStyle="1" w:styleId="145">
    <w:name w:val="xl94"/>
    <w:basedOn w:val="1"/>
    <w:autoRedefine/>
    <w:qFormat/>
    <w:uiPriority w:val="0"/>
    <w:pPr>
      <w:widowControl/>
      <w:spacing w:before="100" w:beforeAutospacing="1" w:after="100" w:afterAutospacing="1"/>
      <w:jc w:val="center"/>
      <w:textAlignment w:val="center"/>
    </w:pPr>
    <w:rPr>
      <w:b/>
      <w:bCs/>
      <w:kern w:val="0"/>
      <w:sz w:val="20"/>
      <w:szCs w:val="20"/>
    </w:rPr>
  </w:style>
  <w:style w:type="paragraph" w:customStyle="1" w:styleId="146">
    <w:name w:val="c封面标准名称"/>
    <w:basedOn w:val="1"/>
    <w:autoRedefine/>
    <w:qFormat/>
    <w:uiPriority w:val="0"/>
    <w:pPr>
      <w:adjustRightInd w:val="0"/>
      <w:jc w:val="center"/>
    </w:pPr>
    <w:rPr>
      <w:rFonts w:eastAsia="黑体"/>
      <w:kern w:val="0"/>
      <w:sz w:val="52"/>
      <w:szCs w:val="20"/>
    </w:rPr>
  </w:style>
  <w:style w:type="paragraph" w:customStyle="1" w:styleId="147">
    <w:name w:val="样式2"/>
    <w:basedOn w:val="71"/>
    <w:autoRedefine/>
    <w:qFormat/>
    <w:uiPriority w:val="0"/>
    <w:pPr>
      <w:spacing w:line="240" w:lineRule="auto"/>
      <w:ind w:left="454" w:firstLine="0"/>
    </w:pPr>
    <w:rPr>
      <w:color w:val="auto"/>
      <w:spacing w:val="0"/>
      <w:szCs w:val="20"/>
    </w:rPr>
  </w:style>
  <w:style w:type="paragraph" w:customStyle="1" w:styleId="148">
    <w:name w:val="列出段落1"/>
    <w:basedOn w:val="1"/>
    <w:autoRedefine/>
    <w:qFormat/>
    <w:uiPriority w:val="34"/>
    <w:pPr>
      <w:ind w:firstLine="420" w:firstLineChars="200"/>
    </w:pPr>
    <w:rPr>
      <w:rFonts w:ascii="Calibri" w:hAnsi="Calibri"/>
      <w:szCs w:val="22"/>
    </w:rPr>
  </w:style>
  <w:style w:type="paragraph" w:customStyle="1" w:styleId="149">
    <w:name w:val="图表脚注说明"/>
    <w:basedOn w:val="1"/>
    <w:autoRedefine/>
    <w:qFormat/>
    <w:uiPriority w:val="0"/>
    <w:rPr>
      <w:rFonts w:ascii="宋体"/>
      <w:sz w:val="18"/>
      <w:szCs w:val="18"/>
    </w:rPr>
  </w:style>
  <w:style w:type="paragraph" w:customStyle="1" w:styleId="150">
    <w:name w:val="Char11"/>
    <w:basedOn w:val="1"/>
    <w:autoRedefine/>
    <w:qFormat/>
    <w:uiPriority w:val="0"/>
    <w:pPr>
      <w:widowControl/>
      <w:spacing w:after="160" w:line="240" w:lineRule="exact"/>
      <w:jc w:val="left"/>
    </w:pPr>
  </w:style>
  <w:style w:type="paragraph" w:customStyle="1" w:styleId="151">
    <w:name w:val="ordinary-output"/>
    <w:basedOn w:val="1"/>
    <w:autoRedefine/>
    <w:qFormat/>
    <w:uiPriority w:val="99"/>
    <w:pPr>
      <w:widowControl/>
      <w:spacing w:before="100" w:beforeAutospacing="1" w:after="63" w:line="275" w:lineRule="atLeast"/>
      <w:jc w:val="left"/>
    </w:pPr>
    <w:rPr>
      <w:rFonts w:ascii="宋体" w:hAnsi="宋体" w:cs="宋体"/>
      <w:color w:val="333333"/>
      <w:kern w:val="0"/>
      <w:sz w:val="18"/>
      <w:szCs w:val="18"/>
    </w:rPr>
  </w:style>
  <w:style w:type="paragraph" w:customStyle="1" w:styleId="152">
    <w:name w:val="列出段落11"/>
    <w:basedOn w:val="1"/>
    <w:autoRedefine/>
    <w:qFormat/>
    <w:uiPriority w:val="34"/>
    <w:pPr>
      <w:ind w:firstLine="420" w:firstLineChars="200"/>
    </w:pPr>
    <w:rPr>
      <w:sz w:val="24"/>
    </w:rPr>
  </w:style>
  <w:style w:type="paragraph" w:customStyle="1" w:styleId="153">
    <w:name w:val="Char1 Char Char Char"/>
    <w:basedOn w:val="1"/>
    <w:autoRedefine/>
    <w:qFormat/>
    <w:uiPriority w:val="0"/>
    <w:rPr>
      <w:szCs w:val="20"/>
    </w:rPr>
  </w:style>
  <w:style w:type="paragraph" w:customStyle="1" w:styleId="154">
    <w:name w:val="Char1"/>
    <w:basedOn w:val="1"/>
    <w:autoRedefine/>
    <w:qFormat/>
    <w:uiPriority w:val="0"/>
    <w:pPr>
      <w:widowControl/>
      <w:spacing w:after="160" w:line="240" w:lineRule="exact"/>
      <w:jc w:val="left"/>
    </w:pPr>
  </w:style>
  <w:style w:type="paragraph" w:customStyle="1" w:styleId="155">
    <w:name w:val="Decimal Aligned"/>
    <w:basedOn w:val="1"/>
    <w:autoRedefine/>
    <w:qFormat/>
    <w:uiPriority w:val="40"/>
    <w:pPr>
      <w:widowControl/>
      <w:tabs>
        <w:tab w:val="decimal" w:pos="360"/>
      </w:tabs>
      <w:spacing w:after="200" w:line="276" w:lineRule="auto"/>
      <w:jc w:val="left"/>
    </w:pPr>
    <w:rPr>
      <w:rFonts w:ascii="Calibri" w:hAnsi="Calibri"/>
      <w:kern w:val="0"/>
      <w:sz w:val="22"/>
      <w:szCs w:val="22"/>
    </w:rPr>
  </w:style>
  <w:style w:type="paragraph" w:customStyle="1" w:styleId="156">
    <w:name w:val="xl65"/>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7">
    <w:name w:val="xl69"/>
    <w:basedOn w:val="1"/>
    <w:autoRedefine/>
    <w:qFormat/>
    <w:uiPriority w:val="0"/>
    <w:pPr>
      <w:widowControl/>
      <w:pBdr>
        <w:top w:val="single" w:color="auto" w:sz="4" w:space="0"/>
        <w:lef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8">
    <w:name w:val="xl121"/>
    <w:basedOn w:val="1"/>
    <w:autoRedefine/>
    <w:qFormat/>
    <w:uiPriority w:val="0"/>
    <w:pPr>
      <w:widowControl/>
      <w:pBdr>
        <w:top w:val="single" w:color="FF0000" w:sz="8" w:space="0"/>
        <w:bottom w:val="single" w:color="000000" w:sz="4" w:space="0"/>
      </w:pBdr>
      <w:spacing w:before="100" w:beforeAutospacing="1" w:after="100" w:afterAutospacing="1"/>
      <w:jc w:val="center"/>
    </w:pPr>
    <w:rPr>
      <w:rFonts w:ascii="宋体" w:hAnsi="宋体" w:cs="宋体"/>
      <w:kern w:val="0"/>
      <w:szCs w:val="21"/>
    </w:rPr>
  </w:style>
  <w:style w:type="paragraph" w:customStyle="1" w:styleId="159">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165"/>
    <w:basedOn w:val="1"/>
    <w:autoRedefine/>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161">
    <w:name w:val="xl120"/>
    <w:basedOn w:val="1"/>
    <w:autoRedefine/>
    <w:qFormat/>
    <w:uiPriority w:val="0"/>
    <w:pPr>
      <w:widowControl/>
      <w:pBdr>
        <w:top w:val="single" w:color="FF0000" w:sz="8"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162">
    <w:name w:val="xl106"/>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3">
    <w:name w:val="xl116"/>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4">
    <w:name w:val="xl102"/>
    <w:basedOn w:val="1"/>
    <w:autoRedefine/>
    <w:qFormat/>
    <w:uiPriority w:val="0"/>
    <w:pPr>
      <w:widowControl/>
      <w:pBdr>
        <w:top w:val="single" w:color="FF0000" w:sz="8"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5">
    <w:name w:val="xl97"/>
    <w:basedOn w:val="1"/>
    <w:autoRedefine/>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6">
    <w:name w:val="xl1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7">
    <w:name w:val="xl77"/>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68">
    <w:name w:val="xl73"/>
    <w:basedOn w:val="1"/>
    <w:autoRedefine/>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69">
    <w:name w:val="xl183"/>
    <w:basedOn w:val="1"/>
    <w:autoRedefine/>
    <w:qFormat/>
    <w:uiPriority w:val="0"/>
    <w:pPr>
      <w:widowControl/>
      <w:pBdr>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0">
    <w:name w:val="xl184"/>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1">
    <w:name w:val="xl122"/>
    <w:basedOn w:val="1"/>
    <w:autoRedefine/>
    <w:qFormat/>
    <w:uiPriority w:val="0"/>
    <w:pPr>
      <w:widowControl/>
      <w:pBdr>
        <w:top w:val="single" w:color="FF0000" w:sz="8"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72">
    <w:name w:val="xl75"/>
    <w:basedOn w:val="1"/>
    <w:autoRedefine/>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173">
    <w:name w:val="xl182"/>
    <w:basedOn w:val="1"/>
    <w:autoRedefine/>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4">
    <w:name w:val="xl130"/>
    <w:basedOn w:val="1"/>
    <w:autoRedefine/>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5">
    <w:name w:val="xl71"/>
    <w:basedOn w:val="1"/>
    <w:autoRedefine/>
    <w:qFormat/>
    <w:uiPriority w:val="0"/>
    <w:pPr>
      <w:widowControl/>
      <w:pBdr>
        <w:top w:val="single" w:color="FF0000"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6">
    <w:name w:val="xl18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7">
    <w:name w:val="xl135"/>
    <w:basedOn w:val="1"/>
    <w:autoRedefine/>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78">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9">
    <w:name w:val="xl63"/>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6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1">
    <w:name w:val="xl6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2">
    <w:name w:val="xl64"/>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83">
    <w:name w:val="xl178"/>
    <w:basedOn w:val="1"/>
    <w:autoRedefine/>
    <w:qFormat/>
    <w:uiPriority w:val="0"/>
    <w:pPr>
      <w:widowControl/>
      <w:pBdr>
        <w:top w:val="single" w:color="FF0000"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4">
    <w:name w:val="xl170"/>
    <w:basedOn w:val="1"/>
    <w:autoRedefine/>
    <w:qFormat/>
    <w:uiPriority w:val="0"/>
    <w:pPr>
      <w:widowControl/>
      <w:pBdr>
        <w:lef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5">
    <w:name w:val="xl17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6">
    <w:name w:val="xl15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7">
    <w:name w:val="xl176"/>
    <w:basedOn w:val="1"/>
    <w:autoRedefine/>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8">
    <w:name w:val="xl168"/>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9">
    <w:name w:val="xl152"/>
    <w:basedOn w:val="1"/>
    <w:autoRedefine/>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cs="宋体"/>
      <w:kern w:val="0"/>
      <w:szCs w:val="21"/>
    </w:rPr>
  </w:style>
  <w:style w:type="paragraph" w:customStyle="1" w:styleId="190">
    <w:name w:val="xl74"/>
    <w:basedOn w:val="1"/>
    <w:autoRedefine/>
    <w:qFormat/>
    <w:uiPriority w:val="0"/>
    <w:pPr>
      <w:widowControl/>
      <w:pBdr>
        <w:top w:val="single" w:color="FF0000" w:sz="8"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1">
    <w:name w:val="xl174"/>
    <w:basedOn w:val="1"/>
    <w:autoRedefine/>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92">
    <w:name w:val="xl15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3">
    <w:name w:val="xl129"/>
    <w:basedOn w:val="1"/>
    <w:autoRedefine/>
    <w:qFormat/>
    <w:uiPriority w:val="0"/>
    <w:pPr>
      <w:widowControl/>
      <w:pBdr>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4">
    <w:name w:val="xl70"/>
    <w:basedOn w:val="1"/>
    <w:autoRedefine/>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5">
    <w:name w:val="xl12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6">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7">
    <w:name w:val="xl72"/>
    <w:basedOn w:val="1"/>
    <w:autoRedefine/>
    <w:qFormat/>
    <w:uiPriority w:val="0"/>
    <w:pPr>
      <w:widowControl/>
      <w:pBdr>
        <w:top w:val="single" w:color="FF0000"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8">
    <w:name w:val="xl113"/>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99">
    <w:name w:val="xl10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0">
    <w:name w:val="xl10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1">
    <w:name w:val="xl117"/>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2">
    <w:name w:val="xl103"/>
    <w:basedOn w:val="1"/>
    <w:autoRedefine/>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3">
    <w:name w:val="xl98"/>
    <w:basedOn w:val="1"/>
    <w:autoRedefine/>
    <w:qFormat/>
    <w:uiPriority w:val="0"/>
    <w:pPr>
      <w:widowControl/>
      <w:pBdr>
        <w:top w:val="single" w:color="auto" w:sz="4" w:space="0"/>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4">
    <w:name w:val="xl162"/>
    <w:basedOn w:val="1"/>
    <w:autoRedefine/>
    <w:qFormat/>
    <w:uiPriority w:val="0"/>
    <w:pPr>
      <w:widowControl/>
      <w:pBdr>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5">
    <w:name w:val="xl154"/>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06">
    <w:name w:val="xl114"/>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7">
    <w:name w:val="xl159"/>
    <w:basedOn w:val="1"/>
    <w:autoRedefine/>
    <w:qFormat/>
    <w:uiPriority w:val="0"/>
    <w:pPr>
      <w:widowControl/>
      <w:pBdr>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8">
    <w:name w:val="xl11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9">
    <w:name w:val="xl160"/>
    <w:basedOn w:val="1"/>
    <w:autoRedefine/>
    <w:qFormat/>
    <w:uiPriority w:val="0"/>
    <w:pPr>
      <w:widowControl/>
      <w:pBdr>
        <w:top w:val="single" w:color="000000" w:sz="4" w:space="0"/>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0">
    <w:name w:val="xl95"/>
    <w:basedOn w:val="1"/>
    <w:autoRedefine/>
    <w:qFormat/>
    <w:uiPriority w:val="0"/>
    <w:pPr>
      <w:widowControl/>
      <w:pBdr>
        <w:top w:val="single" w:color="auto" w:sz="4"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11">
    <w:name w:val="xl108"/>
    <w:basedOn w:val="1"/>
    <w:autoRedefine/>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212">
    <w:name w:val="xl157"/>
    <w:basedOn w:val="1"/>
    <w:autoRedefine/>
    <w:qFormat/>
    <w:uiPriority w:val="0"/>
    <w:pPr>
      <w:widowControl/>
      <w:pBdr>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13">
    <w:name w:val="xl118"/>
    <w:basedOn w:val="1"/>
    <w:autoRedefine/>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14">
    <w:name w:val="xl104"/>
    <w:basedOn w:val="1"/>
    <w:autoRedefine/>
    <w:qFormat/>
    <w:uiPriority w:val="0"/>
    <w:pPr>
      <w:widowControl/>
      <w:pBdr>
        <w:top w:val="single" w:color="FF0000" w:sz="8" w:space="0"/>
        <w:left w:val="single" w:color="auto" w:sz="4" w:space="0"/>
        <w:bottom w:val="single" w:color="FF0000"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15">
    <w:name w:val="xl163"/>
    <w:basedOn w:val="1"/>
    <w:autoRedefine/>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6">
    <w:name w:val="xl155"/>
    <w:basedOn w:val="1"/>
    <w:autoRedefine/>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17">
    <w:name w:val="xl99"/>
    <w:basedOn w:val="1"/>
    <w:autoRedefine/>
    <w:qFormat/>
    <w:uiPriority w:val="0"/>
    <w:pPr>
      <w:widowControl/>
      <w:pBdr>
        <w:top w:val="single" w:color="FF0000"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18">
    <w:name w:val="xl140"/>
    <w:basedOn w:val="1"/>
    <w:autoRedefine/>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19">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20">
    <w:name w:val="xl1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1">
    <w:name w:val="xl138"/>
    <w:basedOn w:val="1"/>
    <w:autoRedefine/>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2">
    <w:name w:val="xl119"/>
    <w:basedOn w:val="1"/>
    <w:autoRedefine/>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3">
    <w:name w:val="xl105"/>
    <w:basedOn w:val="1"/>
    <w:autoRedefine/>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4">
    <w:name w:val="xl143"/>
    <w:basedOn w:val="1"/>
    <w:autoRedefine/>
    <w:qFormat/>
    <w:uiPriority w:val="0"/>
    <w:pPr>
      <w:widowControl/>
      <w:pBdr>
        <w:top w:val="single" w:color="FF0000" w:sz="8"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25">
    <w:name w:val="xl115"/>
    <w:basedOn w:val="1"/>
    <w:autoRedefine/>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26">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7">
    <w:name w:val="xl144"/>
    <w:basedOn w:val="1"/>
    <w:autoRedefine/>
    <w:qFormat/>
    <w:uiPriority w:val="0"/>
    <w:pPr>
      <w:widowControl/>
      <w:pBdr>
        <w:top w:val="single" w:color="FF0000" w:sz="8" w:space="0"/>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28">
    <w:name w:val="xl100"/>
    <w:basedOn w:val="1"/>
    <w:autoRedefine/>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9">
    <w:name w:val="xl141"/>
    <w:basedOn w:val="1"/>
    <w:autoRedefine/>
    <w:qFormat/>
    <w:uiPriority w:val="0"/>
    <w:pPr>
      <w:widowControl/>
      <w:pBdr>
        <w:left w:val="single" w:color="auto"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30">
    <w:name w:val="xl96"/>
    <w:basedOn w:val="1"/>
    <w:autoRedefine/>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31">
    <w:name w:val="xl171"/>
    <w:basedOn w:val="1"/>
    <w:autoRedefine/>
    <w:qFormat/>
    <w:uiPriority w:val="0"/>
    <w:pPr>
      <w:widowControl/>
      <w:spacing w:before="100" w:beforeAutospacing="1" w:after="100" w:afterAutospacing="1"/>
      <w:jc w:val="center"/>
    </w:pPr>
    <w:rPr>
      <w:rFonts w:ascii="宋体" w:hAnsi="宋体" w:cs="宋体"/>
      <w:b/>
      <w:bCs/>
      <w:color w:val="000000"/>
      <w:kern w:val="0"/>
      <w:szCs w:val="21"/>
    </w:rPr>
  </w:style>
  <w:style w:type="paragraph" w:customStyle="1" w:styleId="232">
    <w:name w:val="xl125"/>
    <w:basedOn w:val="1"/>
    <w:autoRedefine/>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33">
    <w:name w:val="xl18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4">
    <w:name w:val="xl179"/>
    <w:basedOn w:val="1"/>
    <w:autoRedefine/>
    <w:qFormat/>
    <w:uiPriority w:val="0"/>
    <w:pPr>
      <w:widowControl/>
      <w:pBdr>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35">
    <w:name w:val="xl13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6">
    <w:name w:val="xl126"/>
    <w:basedOn w:val="1"/>
    <w:autoRedefine/>
    <w:qFormat/>
    <w:uiPriority w:val="0"/>
    <w:pPr>
      <w:widowControl/>
      <w:pBdr>
        <w:bottom w:val="single" w:color="000000" w:sz="4" w:space="0"/>
      </w:pBdr>
      <w:spacing w:before="100" w:beforeAutospacing="1" w:after="100" w:afterAutospacing="1"/>
      <w:jc w:val="center"/>
    </w:pPr>
    <w:rPr>
      <w:rFonts w:ascii="宋体" w:hAnsi="宋体" w:cs="宋体"/>
      <w:kern w:val="0"/>
      <w:szCs w:val="21"/>
    </w:rPr>
  </w:style>
  <w:style w:type="paragraph" w:customStyle="1" w:styleId="237">
    <w:name w:val="xl127"/>
    <w:basedOn w:val="1"/>
    <w:autoRedefine/>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8">
    <w:name w:val="xl12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9">
    <w:name w:val="xl131"/>
    <w:basedOn w:val="1"/>
    <w:autoRedefine/>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0">
    <w:name w:val="xl132"/>
    <w:basedOn w:val="1"/>
    <w:autoRedefine/>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41">
    <w:name w:val="xl177"/>
    <w:basedOn w:val="1"/>
    <w:autoRedefine/>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42">
    <w:name w:val="xl16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43">
    <w:name w:val="xl133"/>
    <w:basedOn w:val="1"/>
    <w:autoRedefine/>
    <w:qFormat/>
    <w:uiPriority w:val="0"/>
    <w:pPr>
      <w:widowControl/>
      <w:pBdr>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44">
    <w:name w:val="xl1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45">
    <w:name w:val="xl134"/>
    <w:basedOn w:val="1"/>
    <w:autoRedefine/>
    <w:qFormat/>
    <w:uiPriority w:val="0"/>
    <w:pPr>
      <w:widowControl/>
      <w:pBdr>
        <w:bottom w:val="single" w:color="FF0000" w:sz="8" w:space="0"/>
      </w:pBdr>
      <w:spacing w:before="100" w:beforeAutospacing="1" w:after="100" w:afterAutospacing="1"/>
      <w:jc w:val="center"/>
    </w:pPr>
    <w:rPr>
      <w:rFonts w:ascii="宋体" w:hAnsi="宋体" w:cs="宋体"/>
      <w:kern w:val="0"/>
      <w:szCs w:val="21"/>
    </w:rPr>
  </w:style>
  <w:style w:type="paragraph" w:customStyle="1" w:styleId="246">
    <w:name w:val="xl1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7">
    <w:name w:val="xl137"/>
    <w:basedOn w:val="1"/>
    <w:autoRedefine/>
    <w:qFormat/>
    <w:uiPriority w:val="0"/>
    <w:pPr>
      <w:widowControl/>
      <w:pBdr>
        <w:top w:val="single" w:color="000000" w:sz="4"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48">
    <w:name w:val="xl147"/>
    <w:basedOn w:val="1"/>
    <w:autoRedefine/>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49">
    <w:name w:val="xl139"/>
    <w:basedOn w:val="1"/>
    <w:autoRedefine/>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50">
    <w:name w:val="xl142"/>
    <w:basedOn w:val="1"/>
    <w:autoRedefine/>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51">
    <w:name w:val="xl172"/>
    <w:basedOn w:val="1"/>
    <w:autoRedefine/>
    <w:qFormat/>
    <w:uiPriority w:val="0"/>
    <w:pPr>
      <w:widowControl/>
      <w:pBdr>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2">
    <w:name w:val="xl1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3">
    <w:name w:val="xl173"/>
    <w:basedOn w:val="1"/>
    <w:autoRedefine/>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4">
    <w:name w:val="xl14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55">
    <w:name w:val="xl161"/>
    <w:basedOn w:val="1"/>
    <w:autoRedefine/>
    <w:qFormat/>
    <w:uiPriority w:val="0"/>
    <w:pPr>
      <w:widowControl/>
      <w:pBdr>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6">
    <w:name w:val="xl153"/>
    <w:basedOn w:val="1"/>
    <w:autoRedefine/>
    <w:qFormat/>
    <w:uiPriority w:val="0"/>
    <w:pPr>
      <w:widowControl/>
      <w:pBdr>
        <w:left w:val="single" w:color="auto" w:sz="4" w:space="0"/>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7">
    <w:name w:val="xl164"/>
    <w:basedOn w:val="1"/>
    <w:autoRedefine/>
    <w:qFormat/>
    <w:uiPriority w:val="0"/>
    <w:pPr>
      <w:widowControl/>
      <w:pBdr>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8">
    <w:name w:val="xl156"/>
    <w:basedOn w:val="1"/>
    <w:autoRedefine/>
    <w:qFormat/>
    <w:uiPriority w:val="0"/>
    <w:pPr>
      <w:widowControl/>
      <w:pBdr>
        <w:top w:val="single" w:color="FF0000" w:sz="8" w:space="0"/>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59">
    <w:name w:val="xl158"/>
    <w:basedOn w:val="1"/>
    <w:autoRedefine/>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60">
    <w:name w:val="xl166"/>
    <w:basedOn w:val="1"/>
    <w:autoRedefine/>
    <w:qFormat/>
    <w:uiPriority w:val="0"/>
    <w:pPr>
      <w:widowControl/>
      <w:pBdr>
        <w:top w:val="single" w:color="auto" w:sz="8" w:space="0"/>
        <w:left w:val="single" w:color="auto" w:sz="8" w:space="0"/>
        <w:bottom w:val="single" w:color="auto" w:sz="4" w:space="0"/>
        <w:right w:val="single" w:color="auto" w:sz="8" w:space="0"/>
      </w:pBdr>
      <w:spacing w:before="100" w:beforeAutospacing="1" w:after="100" w:afterAutospacing="1"/>
      <w:jc w:val="center"/>
    </w:pPr>
    <w:rPr>
      <w:rFonts w:ascii="宋体" w:hAnsi="宋体" w:cs="宋体"/>
      <w:b/>
      <w:bCs/>
      <w:color w:val="000000"/>
      <w:kern w:val="0"/>
      <w:sz w:val="28"/>
      <w:szCs w:val="28"/>
    </w:rPr>
  </w:style>
  <w:style w:type="paragraph" w:customStyle="1" w:styleId="261">
    <w:name w:val="xl167"/>
    <w:basedOn w:val="1"/>
    <w:autoRedefine/>
    <w:qFormat/>
    <w:uiPriority w:val="0"/>
    <w:pPr>
      <w:widowControl/>
      <w:pBdr>
        <w:top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262">
    <w:name w:val="xl188"/>
    <w:basedOn w:val="1"/>
    <w:autoRedefine/>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63">
    <w:name w:val="xl180"/>
    <w:basedOn w:val="1"/>
    <w:autoRedefine/>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4">
    <w:name w:val="xl181"/>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5">
    <w:name w:val="Char2"/>
    <w:basedOn w:val="1"/>
    <w:autoRedefine/>
    <w:qFormat/>
    <w:uiPriority w:val="0"/>
    <w:pPr>
      <w:widowControl/>
      <w:spacing w:after="160" w:line="240" w:lineRule="exact"/>
      <w:jc w:val="left"/>
    </w:pPr>
  </w:style>
  <w:style w:type="paragraph" w:customStyle="1" w:styleId="266">
    <w:name w:val="正文1"/>
    <w:autoRedefine/>
    <w:qFormat/>
    <w:uiPriority w:val="0"/>
    <w:pPr>
      <w:jc w:val="both"/>
    </w:pPr>
    <w:rPr>
      <w:rFonts w:ascii="Calibri" w:hAnsi="Calibri" w:eastAsia="宋体" w:cs="Calibri"/>
      <w:kern w:val="2"/>
      <w:sz w:val="21"/>
      <w:szCs w:val="21"/>
      <w:lang w:val="en-US" w:eastAsia="zh-CN" w:bidi="ar-SA"/>
    </w:rPr>
  </w:style>
  <w:style w:type="paragraph" w:customStyle="1" w:styleId="267">
    <w:name w:val="Char3"/>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8">
    <w:name w:val="p0"/>
    <w:basedOn w:val="1"/>
    <w:autoRedefine/>
    <w:qFormat/>
    <w:uiPriority w:val="0"/>
    <w:pPr>
      <w:widowControl/>
      <w:jc w:val="left"/>
    </w:pPr>
    <w:rPr>
      <w:kern w:val="0"/>
      <w:szCs w:val="21"/>
    </w:rPr>
  </w:style>
  <w:style w:type="paragraph" w:customStyle="1" w:styleId="269">
    <w:name w:val="正文2"/>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270">
    <w:name w:val="Char4"/>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1">
    <w:name w:val="Char5"/>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2">
    <w:name w:val="Char6"/>
    <w:basedOn w:val="1"/>
    <w:autoRedefine/>
    <w:qFormat/>
    <w:uiPriority w:val="0"/>
    <w:pPr>
      <w:widowControl/>
      <w:spacing w:after="160" w:line="240" w:lineRule="exact"/>
      <w:jc w:val="left"/>
    </w:pPr>
    <w:rPr>
      <w:rFonts w:ascii="Verdana" w:hAnsi="Verdana"/>
      <w:kern w:val="0"/>
      <w:sz w:val="20"/>
      <w:szCs w:val="20"/>
      <w:lang w:eastAsia="en-US"/>
    </w:rPr>
  </w:style>
  <w:style w:type="character" w:customStyle="1" w:styleId="273">
    <w:name w:val="发布"/>
    <w:autoRedefine/>
    <w:qFormat/>
    <w:uiPriority w:val="0"/>
    <w:rPr>
      <w:rFonts w:ascii="黑体" w:eastAsia="黑体"/>
      <w:spacing w:val="22"/>
      <w:w w:val="100"/>
      <w:position w:val="3"/>
      <w:sz w:val="28"/>
    </w:rPr>
  </w:style>
  <w:style w:type="character" w:customStyle="1" w:styleId="274">
    <w:name w:val="个人答复风格"/>
    <w:autoRedefine/>
    <w:qFormat/>
    <w:uiPriority w:val="0"/>
    <w:rPr>
      <w:rFonts w:ascii="Arial" w:hAnsi="Arial" w:eastAsia="宋体" w:cs="Arial"/>
      <w:color w:val="auto"/>
      <w:sz w:val="20"/>
    </w:rPr>
  </w:style>
  <w:style w:type="character" w:customStyle="1" w:styleId="275">
    <w:name w:val="段 Char"/>
    <w:link w:val="58"/>
    <w:autoRedefine/>
    <w:qFormat/>
    <w:uiPriority w:val="0"/>
    <w:rPr>
      <w:sz w:val="21"/>
    </w:rPr>
  </w:style>
  <w:style w:type="character" w:customStyle="1" w:styleId="276">
    <w:name w:val="个人撰写风格"/>
    <w:autoRedefine/>
    <w:qFormat/>
    <w:uiPriority w:val="0"/>
    <w:rPr>
      <w:rFonts w:ascii="Arial" w:hAnsi="Arial" w:eastAsia="宋体" w:cs="Arial"/>
      <w:color w:val="auto"/>
      <w:sz w:val="20"/>
    </w:rPr>
  </w:style>
  <w:style w:type="character" w:customStyle="1" w:styleId="277">
    <w:name w:val="二级条标题 Char"/>
    <w:link w:val="59"/>
    <w:autoRedefine/>
    <w:qFormat/>
    <w:uiPriority w:val="0"/>
    <w:rPr>
      <w:rFonts w:ascii="黑体" w:hAnsi="黑体" w:eastAsia="黑体" w:cs="Times New Roman"/>
      <w:color w:val="000000" w:themeColor="text1"/>
      <w:spacing w:val="-6"/>
      <w:sz w:val="21"/>
      <w:szCs w:val="24"/>
      <w14:textFill>
        <w14:solidFill>
          <w14:schemeClr w14:val="tx1"/>
        </w14:solidFill>
      </w14:textFill>
    </w:rPr>
  </w:style>
  <w:style w:type="character" w:customStyle="1" w:styleId="278">
    <w:name w:val="章标题 Char"/>
    <w:link w:val="61"/>
    <w:autoRedefine/>
    <w:qFormat/>
    <w:uiPriority w:val="0"/>
    <w:rPr>
      <w:rFonts w:asciiTheme="minorEastAsia" w:hAnsiTheme="minorEastAsia" w:eastAsiaTheme="minorEastAsia"/>
      <w:sz w:val="21"/>
    </w:rPr>
  </w:style>
  <w:style w:type="character" w:customStyle="1" w:styleId="279">
    <w:name w:val="一级条标题 Char"/>
    <w:link w:val="60"/>
    <w:autoRedefine/>
    <w:qFormat/>
    <w:uiPriority w:val="0"/>
    <w:rPr>
      <w:rFonts w:eastAsiaTheme="minorEastAsia"/>
      <w:spacing w:val="-4"/>
      <w:sz w:val="21"/>
      <w:szCs w:val="21"/>
    </w:rPr>
  </w:style>
  <w:style w:type="character" w:customStyle="1" w:styleId="280">
    <w:name w:val="纯文本 Char"/>
    <w:link w:val="24"/>
    <w:autoRedefine/>
    <w:qFormat/>
    <w:uiPriority w:val="99"/>
    <w:rPr>
      <w:rFonts w:ascii="宋体" w:hAnsi="Courier New" w:cs="Courier New"/>
      <w:kern w:val="2"/>
      <w:sz w:val="21"/>
      <w:szCs w:val="21"/>
    </w:rPr>
  </w:style>
  <w:style w:type="character" w:customStyle="1" w:styleId="281">
    <w:name w:val="三级条标题 Char"/>
    <w:link w:val="71"/>
    <w:autoRedefine/>
    <w:qFormat/>
    <w:uiPriority w:val="0"/>
    <w:rPr>
      <w:rFonts w:ascii="黑体" w:eastAsia="黑体"/>
      <w:color w:val="FF0000"/>
      <w:spacing w:val="-4"/>
      <w:sz w:val="21"/>
      <w:szCs w:val="24"/>
    </w:rPr>
  </w:style>
  <w:style w:type="character" w:customStyle="1" w:styleId="282">
    <w:name w:val="批注框文本 Char"/>
    <w:link w:val="29"/>
    <w:autoRedefine/>
    <w:qFormat/>
    <w:uiPriority w:val="0"/>
    <w:rPr>
      <w:kern w:val="2"/>
      <w:sz w:val="18"/>
      <w:szCs w:val="18"/>
    </w:rPr>
  </w:style>
  <w:style w:type="character" w:customStyle="1" w:styleId="283">
    <w:name w:val="正文文本 Char"/>
    <w:link w:val="21"/>
    <w:autoRedefine/>
    <w:qFormat/>
    <w:uiPriority w:val="0"/>
    <w:rPr>
      <w:kern w:val="2"/>
      <w:sz w:val="21"/>
      <w:szCs w:val="24"/>
    </w:rPr>
  </w:style>
  <w:style w:type="character" w:customStyle="1" w:styleId="284">
    <w:name w:val="注： Char"/>
    <w:link w:val="91"/>
    <w:autoRedefine/>
    <w:qFormat/>
    <w:uiPriority w:val="0"/>
    <w:rPr>
      <w:rFonts w:ascii="宋体"/>
      <w:sz w:val="18"/>
    </w:rPr>
  </w:style>
  <w:style w:type="character" w:customStyle="1" w:styleId="285">
    <w:name w:val="页脚 Char"/>
    <w:link w:val="30"/>
    <w:autoRedefine/>
    <w:qFormat/>
    <w:uiPriority w:val="99"/>
    <w:rPr>
      <w:kern w:val="2"/>
      <w:sz w:val="18"/>
      <w:szCs w:val="18"/>
    </w:rPr>
  </w:style>
  <w:style w:type="character" w:customStyle="1" w:styleId="286">
    <w:name w:val="正文文本缩进 Char"/>
    <w:link w:val="22"/>
    <w:autoRedefine/>
    <w:qFormat/>
    <w:uiPriority w:val="0"/>
    <w:rPr>
      <w:kern w:val="2"/>
      <w:sz w:val="24"/>
    </w:rPr>
  </w:style>
  <w:style w:type="character" w:customStyle="1" w:styleId="287">
    <w:name w:val="表中文字"/>
    <w:autoRedefine/>
    <w:qFormat/>
    <w:uiPriority w:val="0"/>
    <w:rPr>
      <w:rFonts w:ascii="宋体" w:eastAsia="宋体"/>
      <w:sz w:val="18"/>
    </w:rPr>
  </w:style>
  <w:style w:type="character" w:customStyle="1" w:styleId="288">
    <w:name w:val="批注文字 Char"/>
    <w:link w:val="20"/>
    <w:autoRedefine/>
    <w:qFormat/>
    <w:uiPriority w:val="0"/>
    <w:rPr>
      <w:kern w:val="2"/>
      <w:sz w:val="21"/>
      <w:szCs w:val="24"/>
    </w:rPr>
  </w:style>
  <w:style w:type="character" w:customStyle="1" w:styleId="289">
    <w:name w:val="批注主题 Char"/>
    <w:link w:val="39"/>
    <w:autoRedefine/>
    <w:qFormat/>
    <w:uiPriority w:val="0"/>
    <w:rPr>
      <w:b/>
      <w:bCs/>
      <w:kern w:val="2"/>
      <w:sz w:val="21"/>
      <w:szCs w:val="24"/>
    </w:rPr>
  </w:style>
  <w:style w:type="character" w:customStyle="1" w:styleId="290">
    <w:name w:val="页眉 Char"/>
    <w:link w:val="31"/>
    <w:autoRedefine/>
    <w:qFormat/>
    <w:uiPriority w:val="99"/>
    <w:rPr>
      <w:kern w:val="2"/>
      <w:sz w:val="18"/>
      <w:szCs w:val="18"/>
    </w:rPr>
  </w:style>
  <w:style w:type="character" w:customStyle="1" w:styleId="291">
    <w:name w:val="正文文本缩进 2 Char"/>
    <w:link w:val="27"/>
    <w:autoRedefine/>
    <w:qFormat/>
    <w:uiPriority w:val="0"/>
    <w:rPr>
      <w:kern w:val="2"/>
      <w:sz w:val="21"/>
      <w:szCs w:val="24"/>
    </w:rPr>
  </w:style>
  <w:style w:type="character" w:customStyle="1" w:styleId="292">
    <w:name w:val="日期 Char"/>
    <w:link w:val="26"/>
    <w:autoRedefine/>
    <w:qFormat/>
    <w:uiPriority w:val="99"/>
    <w:rPr>
      <w:kern w:val="2"/>
      <w:sz w:val="24"/>
    </w:rPr>
  </w:style>
  <w:style w:type="character" w:customStyle="1" w:styleId="293">
    <w:name w:val="访问过的超链接1"/>
    <w:autoRedefine/>
    <w:qFormat/>
    <w:uiPriority w:val="99"/>
    <w:rPr>
      <w:color w:val="800080"/>
      <w:u w:val="single"/>
    </w:rPr>
  </w:style>
  <w:style w:type="character" w:customStyle="1" w:styleId="294">
    <w:name w:val="段 Char Char Char Char"/>
    <w:autoRedefine/>
    <w:qFormat/>
    <w:uiPriority w:val="0"/>
    <w:rPr>
      <w:rFonts w:ascii="宋体"/>
      <w:sz w:val="21"/>
      <w:lang w:val="en-US" w:eastAsia="zh-CN" w:bidi="ar-SA"/>
    </w:rPr>
  </w:style>
  <w:style w:type="character" w:customStyle="1" w:styleId="295">
    <w:name w:val="章标题 Char Char"/>
    <w:autoRedefine/>
    <w:qFormat/>
    <w:uiPriority w:val="0"/>
    <w:rPr>
      <w:rFonts w:ascii="黑体" w:eastAsia="黑体"/>
      <w:sz w:val="21"/>
      <w:lang w:val="en-US" w:eastAsia="zh-CN" w:bidi="ar-SA"/>
    </w:rPr>
  </w:style>
  <w:style w:type="character" w:customStyle="1" w:styleId="296">
    <w:name w:val="正文文本缩进 Char1"/>
    <w:autoRedefine/>
    <w:qFormat/>
    <w:uiPriority w:val="0"/>
    <w:rPr>
      <w:kern w:val="2"/>
      <w:sz w:val="21"/>
      <w:szCs w:val="24"/>
    </w:rPr>
  </w:style>
  <w:style w:type="character" w:customStyle="1" w:styleId="297">
    <w:name w:val="font21"/>
    <w:autoRedefine/>
    <w:qFormat/>
    <w:uiPriority w:val="0"/>
    <w:rPr>
      <w:rFonts w:hint="eastAsia" w:ascii="宋体" w:hAnsi="宋体" w:eastAsia="宋体" w:cs="宋体"/>
      <w:b/>
      <w:color w:val="FF0000"/>
      <w:sz w:val="21"/>
      <w:szCs w:val="21"/>
      <w:u w:val="none"/>
    </w:rPr>
  </w:style>
  <w:style w:type="character" w:customStyle="1" w:styleId="298">
    <w:name w:val="font41"/>
    <w:autoRedefine/>
    <w:qFormat/>
    <w:uiPriority w:val="0"/>
    <w:rPr>
      <w:rFonts w:hint="eastAsia" w:ascii="宋体" w:hAnsi="宋体" w:eastAsia="宋体" w:cs="宋体"/>
      <w:b/>
      <w:color w:val="FF0000"/>
      <w:sz w:val="21"/>
      <w:szCs w:val="21"/>
      <w:u w:val="none"/>
    </w:rPr>
  </w:style>
  <w:style w:type="character" w:customStyle="1" w:styleId="299">
    <w:name w:val="font01"/>
    <w:autoRedefine/>
    <w:qFormat/>
    <w:uiPriority w:val="0"/>
    <w:rPr>
      <w:rFonts w:hint="eastAsia" w:ascii="宋体" w:hAnsi="宋体" w:eastAsia="宋体"/>
      <w:color w:val="000000"/>
      <w:sz w:val="24"/>
      <w:szCs w:val="24"/>
      <w:u w:val="none"/>
    </w:rPr>
  </w:style>
  <w:style w:type="character" w:customStyle="1" w:styleId="300">
    <w:name w:val="附录标识 Char"/>
    <w:link w:val="65"/>
    <w:autoRedefine/>
    <w:qFormat/>
    <w:uiPriority w:val="0"/>
    <w:rPr>
      <w:sz w:val="21"/>
    </w:rPr>
  </w:style>
  <w:style w:type="character" w:customStyle="1" w:styleId="301">
    <w:name w:val="font31"/>
    <w:autoRedefine/>
    <w:qFormat/>
    <w:uiPriority w:val="0"/>
    <w:rPr>
      <w:rFonts w:hint="eastAsia" w:ascii="宋体" w:hAnsi="宋体" w:eastAsia="宋体" w:cs="宋体"/>
      <w:color w:val="000000"/>
      <w:sz w:val="22"/>
      <w:szCs w:val="22"/>
      <w:u w:val="none"/>
    </w:rPr>
  </w:style>
  <w:style w:type="paragraph" w:styleId="302">
    <w:name w:val="List Paragraph"/>
    <w:basedOn w:val="1"/>
    <w:autoRedefine/>
    <w:qFormat/>
    <w:uiPriority w:val="34"/>
    <w:pPr>
      <w:ind w:firstLine="420" w:firstLineChars="200"/>
    </w:pPr>
  </w:style>
  <w:style w:type="paragraph" w:customStyle="1" w:styleId="303">
    <w:name w:val="Table Paragraph"/>
    <w:basedOn w:val="1"/>
    <w:autoRedefine/>
    <w:qFormat/>
    <w:uiPriority w:val="1"/>
    <w:pPr>
      <w:autoSpaceDE w:val="0"/>
      <w:autoSpaceDN w:val="0"/>
      <w:jc w:val="left"/>
    </w:pPr>
    <w:rPr>
      <w:rFonts w:ascii="仿宋" w:hAnsi="仿宋" w:eastAsia="仿宋" w:cs="仿宋"/>
      <w:kern w:val="0"/>
      <w:sz w:val="22"/>
      <w:szCs w:val="22"/>
      <w:lang w:val="zh-CN" w:bidi="zh-CN"/>
    </w:rPr>
  </w:style>
  <w:style w:type="character" w:customStyle="1" w:styleId="304">
    <w:name w:val="fontstyle01"/>
    <w:basedOn w:val="43"/>
    <w:autoRedefine/>
    <w:qFormat/>
    <w:uiPriority w:val="0"/>
    <w:rPr>
      <w:rFonts w:hint="eastAsia" w:ascii="宋体" w:hAnsi="宋体" w:eastAsia="宋体"/>
      <w:color w:val="000000"/>
      <w:sz w:val="24"/>
      <w:szCs w:val="24"/>
    </w:rPr>
  </w:style>
  <w:style w:type="character" w:customStyle="1" w:styleId="305">
    <w:name w:val="标题 1 Char"/>
    <w:basedOn w:val="43"/>
    <w:link w:val="2"/>
    <w:autoRedefine/>
    <w:qFormat/>
    <w:uiPriority w:val="0"/>
    <w:rPr>
      <w:rFonts w:ascii="Times New Roman" w:hAnsi="Times New Roman" w:eastAsia="宋体" w:cs="Times New Roman"/>
      <w:b/>
      <w:bCs/>
      <w:kern w:val="44"/>
      <w:sz w:val="44"/>
      <w:szCs w:val="44"/>
    </w:rPr>
  </w:style>
  <w:style w:type="character" w:customStyle="1" w:styleId="306">
    <w:name w:val="标题 2 Char"/>
    <w:basedOn w:val="43"/>
    <w:link w:val="3"/>
    <w:autoRedefine/>
    <w:qFormat/>
    <w:uiPriority w:val="0"/>
    <w:rPr>
      <w:rFonts w:ascii="Arial" w:hAnsi="Arial" w:eastAsia="黑体" w:cs="Times New Roman"/>
      <w:b/>
      <w:bCs/>
      <w:kern w:val="2"/>
      <w:sz w:val="32"/>
      <w:szCs w:val="32"/>
    </w:rPr>
  </w:style>
  <w:style w:type="character" w:customStyle="1" w:styleId="307">
    <w:name w:val="标题 3 Char"/>
    <w:basedOn w:val="43"/>
    <w:link w:val="4"/>
    <w:autoRedefine/>
    <w:qFormat/>
    <w:uiPriority w:val="0"/>
    <w:rPr>
      <w:rFonts w:ascii="Times New Roman" w:hAnsi="Times New Roman" w:eastAsia="宋体" w:cs="Times New Roman"/>
      <w:b/>
      <w:bCs/>
      <w:kern w:val="2"/>
      <w:sz w:val="32"/>
      <w:szCs w:val="32"/>
    </w:rPr>
  </w:style>
  <w:style w:type="character" w:customStyle="1" w:styleId="308">
    <w:name w:val="标题 Char"/>
    <w:link w:val="38"/>
    <w:autoRedefine/>
    <w:qFormat/>
    <w:uiPriority w:val="0"/>
    <w:rPr>
      <w:rFonts w:ascii="Arial" w:hAnsi="Arial" w:eastAsia="宋体" w:cs="Arial"/>
      <w:b/>
      <w:bCs/>
      <w:kern w:val="2"/>
      <w:sz w:val="32"/>
      <w:szCs w:val="32"/>
    </w:rPr>
  </w:style>
  <w:style w:type="character" w:customStyle="1" w:styleId="309">
    <w:name w:val="脚注文本 Char"/>
    <w:link w:val="32"/>
    <w:autoRedefine/>
    <w:qFormat/>
    <w:uiPriority w:val="0"/>
    <w:rPr>
      <w:rFonts w:ascii="Times New Roman" w:hAnsi="Times New Roman" w:eastAsia="宋体" w:cs="Times New Roman"/>
      <w:kern w:val="2"/>
      <w:sz w:val="18"/>
      <w:szCs w:val="18"/>
    </w:rPr>
  </w:style>
  <w:style w:type="character" w:customStyle="1" w:styleId="310">
    <w:name w:val="未处理的提及1"/>
    <w:autoRedefine/>
    <w:unhideWhenUsed/>
    <w:qFormat/>
    <w:uiPriority w:val="99"/>
    <w:rPr>
      <w:color w:val="605E5C"/>
      <w:shd w:val="clear" w:color="auto" w:fill="E1DFDD"/>
    </w:rPr>
  </w:style>
  <w:style w:type="character" w:customStyle="1" w:styleId="311">
    <w:name w:val="批注框文本 Char1"/>
    <w:basedOn w:val="43"/>
    <w:autoRedefine/>
    <w:semiHidden/>
    <w:qFormat/>
    <w:uiPriority w:val="99"/>
    <w:rPr>
      <w:rFonts w:ascii="Calibri" w:hAnsi="Calibri" w:eastAsia="宋体" w:cs="Times New Roman"/>
      <w:sz w:val="18"/>
      <w:szCs w:val="18"/>
    </w:rPr>
  </w:style>
  <w:style w:type="character" w:customStyle="1" w:styleId="312">
    <w:name w:val="脚注文本 Char1"/>
    <w:basedOn w:val="43"/>
    <w:autoRedefine/>
    <w:semiHidden/>
    <w:qFormat/>
    <w:uiPriority w:val="99"/>
    <w:rPr>
      <w:rFonts w:ascii="Calibri" w:hAnsi="Calibri" w:eastAsia="宋体" w:cs="Times New Roman"/>
      <w:sz w:val="18"/>
      <w:szCs w:val="18"/>
    </w:rPr>
  </w:style>
  <w:style w:type="character" w:customStyle="1" w:styleId="313">
    <w:name w:val="标题 Char1"/>
    <w:basedOn w:val="43"/>
    <w:autoRedefine/>
    <w:qFormat/>
    <w:uiPriority w:val="10"/>
    <w:rPr>
      <w:rFonts w:eastAsia="宋体" w:asciiTheme="majorHAnsi" w:hAnsiTheme="majorHAnsi" w:cstheme="majorBidi"/>
      <w:b/>
      <w:bCs/>
      <w:sz w:val="32"/>
      <w:szCs w:val="32"/>
    </w:rPr>
  </w:style>
  <w:style w:type="paragraph" w:customStyle="1" w:styleId="314">
    <w:name w:val="默认段落字体 Para Char Char Char Char Char Char Char Char Char Char"/>
    <w:basedOn w:val="1"/>
    <w:autoRedefine/>
    <w:qFormat/>
    <w:uiPriority w:val="0"/>
  </w:style>
  <w:style w:type="paragraph" w:customStyle="1" w:styleId="315">
    <w:name w:val="WPSOffice手动目录 1"/>
    <w:autoRedefine/>
    <w:qFormat/>
    <w:uiPriority w:val="0"/>
    <w:rPr>
      <w:rFonts w:ascii="Calibri" w:hAnsi="Calibri" w:eastAsia="宋体" w:cs="Times New Roman"/>
      <w:lang w:val="en-US" w:eastAsia="zh-CN" w:bidi="ar-SA"/>
    </w:rPr>
  </w:style>
  <w:style w:type="paragraph" w:customStyle="1" w:styleId="316">
    <w:name w:val="1"/>
    <w:basedOn w:val="1"/>
    <w:next w:val="22"/>
    <w:autoRedefine/>
    <w:qFormat/>
    <w:uiPriority w:val="0"/>
    <w:pPr>
      <w:adjustRightInd w:val="0"/>
      <w:spacing w:line="360" w:lineRule="auto"/>
      <w:ind w:firstLine="480" w:firstLineChars="200"/>
      <w:textAlignment w:val="baseline"/>
      <w:outlineLvl w:val="0"/>
    </w:pPr>
    <w:rPr>
      <w:kern w:val="0"/>
      <w:sz w:val="24"/>
      <w:szCs w:val="20"/>
    </w:rPr>
  </w:style>
  <w:style w:type="paragraph" w:customStyle="1" w:styleId="317">
    <w:name w:val="Char Char"/>
    <w:basedOn w:val="1"/>
    <w:qFormat/>
    <w:uiPriority w:val="0"/>
  </w:style>
  <w:style w:type="paragraph" w:customStyle="1" w:styleId="318">
    <w:name w:val="WPSOffice手动目录 2"/>
    <w:autoRedefine/>
    <w:qFormat/>
    <w:uiPriority w:val="0"/>
    <w:pPr>
      <w:ind w:left="200" w:leftChars="200"/>
    </w:pPr>
    <w:rPr>
      <w:rFonts w:ascii="Calibri" w:hAnsi="Calibri" w:eastAsia="宋体" w:cs="Times New Roman"/>
      <w:lang w:val="en-US" w:eastAsia="zh-CN" w:bidi="ar-SA"/>
    </w:rPr>
  </w:style>
  <w:style w:type="table" w:customStyle="1" w:styleId="319">
    <w:name w:val="网格型1"/>
    <w:basedOn w:val="4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0">
    <w:name w:val="Placeholder Text"/>
    <w:basedOn w:val="43"/>
    <w:autoRedefine/>
    <w:semiHidden/>
    <w:qFormat/>
    <w:uiPriority w:val="99"/>
    <w:rPr>
      <w:color w:val="808080"/>
    </w:rPr>
  </w:style>
  <w:style w:type="table" w:customStyle="1" w:styleId="321">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22">
    <w:name w:val="标题 21"/>
    <w:basedOn w:val="1"/>
    <w:autoRedefine/>
    <w:qFormat/>
    <w:uiPriority w:val="1"/>
    <w:pPr>
      <w:autoSpaceDE w:val="0"/>
      <w:autoSpaceDN w:val="0"/>
      <w:ind w:left="216"/>
      <w:jc w:val="left"/>
      <w:outlineLvl w:val="2"/>
    </w:pPr>
    <w:rPr>
      <w:rFonts w:eastAsia="Times New Roman"/>
      <w:kern w:val="0"/>
      <w:sz w:val="28"/>
      <w:szCs w:val="28"/>
      <w:lang w:eastAsia="en-US" w:bidi="en-US"/>
    </w:rPr>
  </w:style>
  <w:style w:type="table" w:customStyle="1" w:styleId="323">
    <w:name w:val="网格型2"/>
    <w:basedOn w:val="41"/>
    <w:autoRedefine/>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2.bin"/><Relationship Id="rId17" Type="http://schemas.openxmlformats.org/officeDocument/2006/relationships/image" Target="media/image6.wmf"/><Relationship Id="rId16" Type="http://schemas.openxmlformats.org/officeDocument/2006/relationships/oleObject" Target="embeddings/oleObject1.bin"/><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Company>Microsoft</Company>
  <Pages>16</Pages>
  <Words>8746</Words>
  <Characters>9899</Characters>
  <Lines>112</Lines>
  <Paragraphs>31</Paragraphs>
  <TotalTime>3</TotalTime>
  <ScaleCrop>false</ScaleCrop>
  <LinksUpToDate>false</LinksUpToDate>
  <CharactersWithSpaces>10081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2024-12-11T01:58:00Z</dcterms:created>
  <dc:creator>标准李瑞山9585</dc:creator>
  <cp:lastModifiedBy>优者</cp:lastModifiedBy>
  <cp:lastPrinted>2016-10-20T04:13:00Z</cp:lastPrinted>
  <dcterms:modified xsi:type="dcterms:W3CDTF">2026-09-07T10:42:29Z</dcterms:modified>
  <dc:title>标准名称</dc:title>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EF8BF8B8D2D64E35BFE1966D5C49B0FA_13</vt:lpwstr>
  </property>
  <property fmtid="{D5CDD505-2E9C-101B-9397-08002B2CF9AE}" pid="4" name="KSOTemplateDocerSaveRecord">
    <vt:lpwstr>eyJoZGlkIjoiZjU2MWFhMWVhODgzMjU5MzdmZGM0MjlkYjExY2Q1ZWQiLCJ1c2VySWQiOiIyMzEzNTM3MjAifQ==</vt:lpwstr>
  </property>
</Properties>
</file>