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CA3EA">
      <w:pPr>
        <w:pStyle w:val="74"/>
        <w:rPr>
          <w:rFonts w:eastAsia="宋体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567" w:right="851" w:bottom="1361" w:left="1418" w:header="624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titlePg/>
          <w:docGrid w:type="lines" w:linePitch="312" w:charSpace="0"/>
        </w:sectPr>
      </w:pPr>
      <w:bookmarkStart w:id="0" w:name="SectionMark0"/>
      <w:r>
        <w:rPr>
          <w:rFonts w:eastAsia="宋体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3520440</wp:posOffset>
            </wp:positionH>
            <wp:positionV relativeFrom="paragraph">
              <wp:posOffset>400685</wp:posOffset>
            </wp:positionV>
            <wp:extent cx="1895475" cy="660400"/>
            <wp:effectExtent l="0" t="0" r="0" b="0"/>
            <wp:wrapNone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宋体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8824595</wp:posOffset>
                </wp:positionV>
                <wp:extent cx="6121400" cy="0"/>
                <wp:effectExtent l="0" t="0" r="0" b="0"/>
                <wp:wrapNone/>
                <wp:docPr id="8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-0.5pt;margin-top:694.85pt;height:0pt;width:482pt;z-index:251665408;mso-width-relative:page;mso-height-relative:page;" filled="f" stroked="t" coordsize="21600,21600" o:gfxdata="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452fB2AAAAAwBAAAP&#10;AAAAAAAAAAEAIAAAACIAAABkcnMvZG93bnJldi54bWxQSwECFAAUAAAACACHTuJA7g+7IN8BAADR&#10;AwAADgAAAAAAAAABACAAAAAnAQAAZHJzL2Uyb0RvYy54bWxQSwUGAAAAAAYABgBZAQAAe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宋体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-69215</wp:posOffset>
                </wp:positionH>
                <wp:positionV relativeFrom="paragraph">
                  <wp:posOffset>2738120</wp:posOffset>
                </wp:positionV>
                <wp:extent cx="6121400" cy="0"/>
                <wp:effectExtent l="0" t="0" r="0" b="0"/>
                <wp:wrapNone/>
                <wp:docPr id="7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>
                              <a:alpha val="85000"/>
                            </a:srgb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-5.45pt;margin-top:215.6pt;height:0pt;width:482pt;z-index:251673600;mso-width-relative:page;mso-height-relative:page;" filled="f" stroked="t" coordsize="21600,21600" o:gfxdata="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tO&#10;ptrWAAAACwEAAA8AAAAAAAAAAQAgAAAAIgAAAGRycy9kb3ducmV2LnhtbFBLAQIUABQAAAAIAIdO&#10;4kDADI/U7AEAAPEDAAAOAAAAAAAAAAEAIAAAACUBAABkcnMvZTJvRG9jLnhtbFBLBQYAAAAABgAG&#10;AFkBAACDBQAAAAA=&#10;">
                <v:fill on="f" focussize="0,0"/>
                <v:stroke color="#000000" opacity="55705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宋体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>
                <wp:simplePos x="0" y="0"/>
                <wp:positionH relativeFrom="margin">
                  <wp:posOffset>6350</wp:posOffset>
                </wp:positionH>
                <wp:positionV relativeFrom="margin">
                  <wp:posOffset>2383155</wp:posOffset>
                </wp:positionV>
                <wp:extent cx="6172200" cy="619125"/>
                <wp:effectExtent l="0" t="0" r="0" b="9525"/>
                <wp:wrapNone/>
                <wp:docPr id="2" name="fm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2D348A">
                            <w:pPr>
                              <w:pStyle w:val="86"/>
                              <w:spacing w:before="0"/>
                              <w:jc w:val="both"/>
                              <w:rPr>
                                <w:rFonts w:hint="default" w:ascii="黑体" w:hAnsi="黑体" w:eastAsia="黑体"/>
                                <w:color w:val="000000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 xml:space="preserve">  </w:t>
                            </w:r>
                            <w:r>
                              <w:rPr>
                                <w:rFonts w:ascii="黑体" w:hAnsi="黑体" w:eastAsia="黑体"/>
                                <w:bCs/>
                                <w:color w:val="000000"/>
                                <w:szCs w:val="28"/>
                              </w:rPr>
                              <w:t>J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color w:val="000000"/>
                                <w:szCs w:val="28"/>
                              </w:rPr>
                              <w:t>JF（有色金属）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color w:val="000000"/>
                                <w:szCs w:val="28"/>
                                <w:lang w:val="en-US" w:eastAsia="zh-CN"/>
                              </w:rPr>
                              <w:t>XXX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color w:val="000000"/>
                                <w:szCs w:val="28"/>
                              </w:rPr>
                              <w:t>—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color w:val="000000"/>
                                <w:szCs w:val="28"/>
                                <w:lang w:val="en-US" w:eastAsia="zh-CN"/>
                              </w:rPr>
                              <w:t>202X</w:t>
                            </w:r>
                          </w:p>
                          <w:p w14:paraId="467B1F8B">
                            <w:pPr>
                              <w:pStyle w:val="86"/>
                              <w:jc w:val="both"/>
                              <w:rPr>
                                <w:rFonts w:ascii="黑体" w:eastAsia="黑体"/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3" o:spid="_x0000_s1026" o:spt="202" type="#_x0000_t202" style="position:absolute;left:0pt;margin-left:0.5pt;margin-top:187.65pt;height:48.75pt;width:486pt;mso-position-horizontal-relative:margin;mso-position-vertical-relative:margin;z-index:251672576;mso-width-relative:page;mso-height-relative:page;" fillcolor="#FFFFFF" filled="t" stroked="f" coordsize="21600,21600" o:gfxdata="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CW5WnLYAAAACQEAAA8AAAAAAAAAAQAgAAAAIgAAAGRycy9kb3du&#10;cmV2LnhtbFBLAQIUABQAAAAIAIdO4kA4bDnuxgEAAKYDAAAOAAAAAAAAAAEAIAAAACcBAABkcnMv&#10;ZTJvRG9jLnhtbFBLBQYAAAAABgAGAFkBAABf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A2D348A">
                      <w:pPr>
                        <w:pStyle w:val="86"/>
                        <w:spacing w:before="0"/>
                        <w:jc w:val="both"/>
                        <w:rPr>
                          <w:rFonts w:hint="default" w:ascii="黑体" w:hAnsi="黑体" w:eastAsia="黑体"/>
                          <w:color w:val="000000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                      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rFonts w:ascii="黑体" w:hAnsi="黑体" w:eastAsia="黑体"/>
                          <w:bCs/>
                          <w:color w:val="000000"/>
                          <w:szCs w:val="28"/>
                        </w:rPr>
                        <w:t>J</w:t>
                      </w:r>
                      <w:r>
                        <w:rPr>
                          <w:rFonts w:hint="eastAsia" w:ascii="黑体" w:hAnsi="黑体" w:eastAsia="黑体"/>
                          <w:bCs/>
                          <w:color w:val="000000"/>
                          <w:szCs w:val="28"/>
                        </w:rPr>
                        <w:t>JF（有色金属）</w:t>
                      </w:r>
                      <w:r>
                        <w:rPr>
                          <w:rFonts w:hint="eastAsia" w:ascii="黑体" w:hAnsi="黑体" w:eastAsia="黑体"/>
                          <w:bCs/>
                          <w:color w:val="000000"/>
                          <w:szCs w:val="28"/>
                          <w:lang w:val="en-US" w:eastAsia="zh-CN"/>
                        </w:rPr>
                        <w:t>XXX</w:t>
                      </w:r>
                      <w:r>
                        <w:rPr>
                          <w:rFonts w:hint="eastAsia" w:ascii="黑体" w:hAnsi="黑体" w:eastAsia="黑体"/>
                          <w:bCs/>
                          <w:color w:val="000000"/>
                          <w:szCs w:val="28"/>
                        </w:rPr>
                        <w:t>—</w:t>
                      </w:r>
                      <w:r>
                        <w:rPr>
                          <w:rFonts w:hint="eastAsia" w:ascii="黑体" w:hAnsi="黑体" w:eastAsia="黑体"/>
                          <w:bCs/>
                          <w:color w:val="000000"/>
                          <w:szCs w:val="28"/>
                          <w:lang w:val="en-US" w:eastAsia="zh-CN"/>
                        </w:rPr>
                        <w:t>202X</w:t>
                      </w:r>
                    </w:p>
                    <w:p w14:paraId="467B1F8B">
                      <w:pPr>
                        <w:pStyle w:val="86"/>
                        <w:jc w:val="both"/>
                        <w:rPr>
                          <w:rFonts w:ascii="黑体" w:eastAsia="黑体"/>
                          <w:b/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eastAsia="宋体"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>
                <wp:simplePos x="0" y="0"/>
                <wp:positionH relativeFrom="margin">
                  <wp:posOffset>-102870</wp:posOffset>
                </wp:positionH>
                <wp:positionV relativeFrom="margin">
                  <wp:posOffset>1192530</wp:posOffset>
                </wp:positionV>
                <wp:extent cx="6217920" cy="1119505"/>
                <wp:effectExtent l="0" t="0" r="11430" b="4445"/>
                <wp:wrapNone/>
                <wp:docPr id="1" name="fm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79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CF9FA3">
                            <w:pPr>
                              <w:pStyle w:val="77"/>
                              <w:rPr>
                                <w:rFonts w:ascii="方正小标宋_GBK" w:hAnsi="方正小标宋_GBK" w:eastAsia="方正小标宋_GBK" w:cs="方正小标宋_GBK"/>
                                <w:bCs/>
                                <w:spacing w:val="23"/>
                                <w:w w:val="120"/>
                                <w:szCs w:val="52"/>
                              </w:rPr>
                            </w:pPr>
                            <w:r>
                              <w:rPr>
                                <w:rFonts w:hint="eastAsia" w:ascii="方正小标宋_GBK" w:hAnsi="方正小标宋_GBK" w:eastAsia="方正小标宋_GBK" w:cs="方正小标宋_GBK"/>
                                <w:bCs/>
                                <w:spacing w:val="23"/>
                                <w:w w:val="120"/>
                                <w:szCs w:val="52"/>
                              </w:rPr>
                              <w:t>中华人民共和国工业和信息化部</w:t>
                            </w:r>
                          </w:p>
                          <w:p w14:paraId="7355D38A">
                            <w:pPr>
                              <w:pStyle w:val="77"/>
                              <w:jc w:val="center"/>
                              <w:rPr>
                                <w:rFonts w:ascii="方正小标宋_GBK" w:hAnsi="方正小标宋_GBK" w:eastAsia="方正小标宋_GBK" w:cs="方正小标宋_GBK"/>
                                <w:snapToGrid w:val="0"/>
                                <w:spacing w:val="26"/>
                                <w:kern w:val="36"/>
                                <w:szCs w:val="52"/>
                              </w:rPr>
                            </w:pPr>
                            <w:r>
                              <w:rPr>
                                <w:rFonts w:hint="eastAsia" w:ascii="方正小标宋_GBK" w:hAnsi="方正小标宋_GBK" w:eastAsia="方正小标宋_GBK" w:cs="方正小标宋_GBK"/>
                                <w:bCs/>
                                <w:spacing w:val="23"/>
                                <w:w w:val="120"/>
                                <w:szCs w:val="52"/>
                              </w:rPr>
                              <w:t>有色金属计量技术规范</w:t>
                            </w:r>
                          </w:p>
                          <w:p w14:paraId="5A6DEBB7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2" o:spid="_x0000_s1026" o:spt="202" type="#_x0000_t202" style="position:absolute;left:0pt;margin-left:-8.1pt;margin-top:93.9pt;height:88.15pt;width:489.6pt;mso-position-horizontal-relative:margin;mso-position-vertical-relative:margin;z-index:251671552;mso-width-relative:page;mso-height-relative:page;" fillcolor="#FFFFFF" filled="t" stroked="f" coordsize="21600,21600" o:gfxdata="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Vo/5OdkAAAALAQAADwAAAAAAAAABACAAAAAiAAAAZHJzL2Rv&#10;d25yZXYueG1sUEsBAhQAFAAAAAgAh07iQMgl/2DHAQAApwMAAA4AAAAAAAAAAQAgAAAAKAEAAGRy&#10;cy9lMm9Eb2MueG1sUEsFBgAAAAAGAAYAWQEAAG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8CF9FA3">
                      <w:pPr>
                        <w:pStyle w:val="77"/>
                        <w:rPr>
                          <w:rFonts w:ascii="方正小标宋_GBK" w:hAnsi="方正小标宋_GBK" w:eastAsia="方正小标宋_GBK" w:cs="方正小标宋_GBK"/>
                          <w:bCs/>
                          <w:spacing w:val="23"/>
                          <w:w w:val="120"/>
                          <w:szCs w:val="52"/>
                        </w:rPr>
                      </w:pPr>
                      <w:r>
                        <w:rPr>
                          <w:rFonts w:hint="eastAsia" w:ascii="方正小标宋_GBK" w:hAnsi="方正小标宋_GBK" w:eastAsia="方正小标宋_GBK" w:cs="方正小标宋_GBK"/>
                          <w:bCs/>
                          <w:spacing w:val="23"/>
                          <w:w w:val="120"/>
                          <w:szCs w:val="52"/>
                        </w:rPr>
                        <w:t>中华人民共和国工业和信息化部</w:t>
                      </w:r>
                    </w:p>
                    <w:p w14:paraId="7355D38A">
                      <w:pPr>
                        <w:pStyle w:val="77"/>
                        <w:jc w:val="center"/>
                        <w:rPr>
                          <w:rFonts w:ascii="方正小标宋_GBK" w:hAnsi="方正小标宋_GBK" w:eastAsia="方正小标宋_GBK" w:cs="方正小标宋_GBK"/>
                          <w:snapToGrid w:val="0"/>
                          <w:spacing w:val="26"/>
                          <w:kern w:val="36"/>
                          <w:szCs w:val="52"/>
                        </w:rPr>
                      </w:pPr>
                      <w:r>
                        <w:rPr>
                          <w:rFonts w:hint="eastAsia" w:ascii="方正小标宋_GBK" w:hAnsi="方正小标宋_GBK" w:eastAsia="方正小标宋_GBK" w:cs="方正小标宋_GBK"/>
                          <w:bCs/>
                          <w:spacing w:val="23"/>
                          <w:w w:val="120"/>
                          <w:szCs w:val="52"/>
                        </w:rPr>
                        <w:t>有色金属计量技术规范</w:t>
                      </w:r>
                    </w:p>
                    <w:p w14:paraId="5A6DEBB7">
                      <w:pPr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eastAsia="宋体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margin">
                  <wp:posOffset>6350</wp:posOffset>
                </wp:positionH>
                <wp:positionV relativeFrom="margin">
                  <wp:posOffset>9026525</wp:posOffset>
                </wp:positionV>
                <wp:extent cx="6120130" cy="363220"/>
                <wp:effectExtent l="0" t="0" r="0" b="0"/>
                <wp:wrapNone/>
                <wp:docPr id="6" name="fm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13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EEC47B">
                            <w:pPr>
                              <w:pStyle w:val="69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 w:ascii="方正小标宋_GBK" w:hAnsi="方正小标宋_GBK" w:eastAsia="方正小标宋_GBK" w:cs="方正小标宋_GBK"/>
                                <w:bCs/>
                                <w:szCs w:val="36"/>
                              </w:rPr>
                              <w:t>中</w:t>
                            </w:r>
                            <w:r>
                              <w:rPr>
                                <w:rFonts w:hint="eastAsia" w:ascii="方正小标宋_GBK" w:hAnsi="方正小标宋_GBK" w:eastAsia="方正小标宋_GBK" w:cs="方正小标宋_GBK"/>
                                <w:bCs/>
                                <w:szCs w:val="36"/>
                                <w:lang w:val="en-US" w:eastAsia="zh-CN"/>
                              </w:rPr>
                              <w:t>华</w:t>
                            </w:r>
                            <w:r>
                              <w:rPr>
                                <w:rFonts w:hint="eastAsia" w:ascii="方正小标宋_GBK" w:hAnsi="方正小标宋_GBK" w:eastAsia="方正小标宋_GBK" w:cs="方正小标宋_GBK"/>
                                <w:bCs/>
                                <w:szCs w:val="36"/>
                              </w:rPr>
                              <w:t>人民共和国工业和信息化部</w:t>
                            </w:r>
                            <w:r>
                              <w:rPr>
                                <w:rFonts w:hint="eastAsia" w:ascii="方正小标宋_GBK" w:hAnsi="方正小标宋_GBK" w:eastAsia="方正小标宋_GBK" w:cs="方正小标宋_GBK"/>
                                <w:b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hAnsi="黑体" w:cs="黑体"/>
                                <w:bCs/>
                                <w:spacing w:val="60"/>
                                <w:sz w:val="28"/>
                                <w:szCs w:val="28"/>
                              </w:rPr>
                              <w:t>发布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7" o:spid="_x0000_s1026" o:spt="202" type="#_x0000_t202" style="position:absolute;left:0pt;margin-left:0.5pt;margin-top:710.75pt;height:28.6pt;width:481.9pt;mso-position-horizontal-relative:margin;mso-position-vertical-relative:margin;z-index:251664384;mso-width-relative:page;mso-height-relative:page;" fillcolor="#FFFFFF" filled="t" stroked="f" coordsize="21600,21600" o:gfxdata="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OZG5jtkAAAALAQAADwAAAAAAAAABACAAAAAiAAAAZHJzL2Rv&#10;d25yZXYueG1sUEsBAhQAFAAAAAgAh07iQDipxFzHAQAApgMAAA4AAAAAAAAAAQAgAAAAKAEAAGRy&#10;cy9lMm9Eb2MueG1sUEsFBgAAAAAGAAYAWQEAAG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9EEC47B">
                      <w:pPr>
                        <w:pStyle w:val="69"/>
                        <w:rPr>
                          <w:b/>
                        </w:rPr>
                      </w:pPr>
                      <w:r>
                        <w:rPr>
                          <w:rFonts w:hint="eastAsia" w:ascii="方正小标宋_GBK" w:hAnsi="方正小标宋_GBK" w:eastAsia="方正小标宋_GBK" w:cs="方正小标宋_GBK"/>
                          <w:bCs/>
                          <w:szCs w:val="36"/>
                        </w:rPr>
                        <w:t>中</w:t>
                      </w:r>
                      <w:r>
                        <w:rPr>
                          <w:rFonts w:hint="eastAsia" w:ascii="方正小标宋_GBK" w:hAnsi="方正小标宋_GBK" w:eastAsia="方正小标宋_GBK" w:cs="方正小标宋_GBK"/>
                          <w:bCs/>
                          <w:szCs w:val="36"/>
                          <w:lang w:val="en-US" w:eastAsia="zh-CN"/>
                        </w:rPr>
                        <w:t>华</w:t>
                      </w:r>
                      <w:r>
                        <w:rPr>
                          <w:rFonts w:hint="eastAsia" w:ascii="方正小标宋_GBK" w:hAnsi="方正小标宋_GBK" w:eastAsia="方正小标宋_GBK" w:cs="方正小标宋_GBK"/>
                          <w:bCs/>
                          <w:szCs w:val="36"/>
                        </w:rPr>
                        <w:t>人民共和国工业和信息化部</w:t>
                      </w:r>
                      <w:r>
                        <w:rPr>
                          <w:rFonts w:hint="eastAsia" w:ascii="方正小标宋_GBK" w:hAnsi="方正小标宋_GBK" w:eastAsia="方正小标宋_GBK" w:cs="方正小标宋_GBK"/>
                          <w:b/>
                          <w:sz w:val="32"/>
                        </w:rPr>
                        <w:t xml:space="preserve"> </w:t>
                      </w:r>
                      <w:r>
                        <w:rPr>
                          <w:rFonts w:hint="eastAsia" w:hAnsi="黑体" w:cs="黑体"/>
                          <w:bCs/>
                          <w:spacing w:val="60"/>
                          <w:sz w:val="28"/>
                          <w:szCs w:val="28"/>
                        </w:rPr>
                        <w:t>发布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eastAsia="宋体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margin">
                  <wp:posOffset>3823970</wp:posOffset>
                </wp:positionH>
                <wp:positionV relativeFrom="margin">
                  <wp:posOffset>8455025</wp:posOffset>
                </wp:positionV>
                <wp:extent cx="2019300" cy="312420"/>
                <wp:effectExtent l="0" t="0" r="0" b="0"/>
                <wp:wrapNone/>
                <wp:docPr id="5" name="fm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B75E40">
                            <w:pPr>
                              <w:pStyle w:val="91"/>
                              <w:rPr>
                                <w:rFonts w:ascii="黑体" w:hAnsi="宋体"/>
                                <w:bCs/>
                              </w:rPr>
                            </w:pPr>
                            <w:r>
                              <w:rPr>
                                <w:rFonts w:hint="eastAsia" w:ascii="黑体"/>
                                <w:bCs/>
                              </w:rPr>
                              <w:t>202X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-</w:t>
                            </w:r>
                            <w:r>
                              <w:rPr>
                                <w:rFonts w:hint="eastAsia" w:ascii="黑体"/>
                                <w:bCs/>
                              </w:rPr>
                              <w:t>XX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-XX实施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6" o:spid="_x0000_s1026" o:spt="202" type="#_x0000_t202" style="position:absolute;left:0pt;margin-left:301.1pt;margin-top:665.75pt;height:24.6pt;width:159pt;mso-position-horizontal-relative:margin;mso-position-vertical-relative:margin;z-index:251663360;mso-width-relative:page;mso-height-relative:page;" fillcolor="#FFFFFF" filled="t" stroked="f" coordsize="21600,21600" o:gfxdata="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ABWE32QAAAA0BAAAPAAAAAAAAAAEAIAAAACIAAABkcnMv&#10;ZG93bnJldi54bWxQSwECFAAUAAAACACHTuJApkpDxskBAACmAwAADgAAAAAAAAABACAAAAAoAQAA&#10;ZHJzL2Uyb0RvYy54bWxQSwUGAAAAAAYABgBZAQAAY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0B75E40">
                      <w:pPr>
                        <w:pStyle w:val="91"/>
                        <w:rPr>
                          <w:rFonts w:ascii="黑体" w:hAnsi="宋体"/>
                          <w:bCs/>
                        </w:rPr>
                      </w:pPr>
                      <w:r>
                        <w:rPr>
                          <w:rFonts w:hint="eastAsia" w:ascii="黑体"/>
                          <w:bCs/>
                        </w:rPr>
                        <w:t>202X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-</w:t>
                      </w:r>
                      <w:r>
                        <w:rPr>
                          <w:rFonts w:hint="eastAsia" w:ascii="黑体"/>
                          <w:bCs/>
                        </w:rPr>
                        <w:t>XX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-XX实施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eastAsia="宋体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margin">
                  <wp:posOffset>227330</wp:posOffset>
                </wp:positionH>
                <wp:positionV relativeFrom="margin">
                  <wp:posOffset>8470265</wp:posOffset>
                </wp:positionV>
                <wp:extent cx="2019300" cy="312420"/>
                <wp:effectExtent l="0" t="0" r="0" b="0"/>
                <wp:wrapNone/>
                <wp:docPr id="4" name="fm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6AE41EB">
                            <w:pPr>
                              <w:pStyle w:val="90"/>
                              <w:rPr>
                                <w:rFonts w:ascii="黑体" w:hAnsi="宋体"/>
                                <w:bCs/>
                              </w:rPr>
                            </w:pPr>
                            <w:r>
                              <w:rPr>
                                <w:rFonts w:hint="eastAsia" w:ascii="黑体"/>
                                <w:bCs/>
                              </w:rPr>
                              <w:t>202X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-</w:t>
                            </w:r>
                            <w:r>
                              <w:rPr>
                                <w:rFonts w:hint="eastAsia" w:ascii="黑体"/>
                                <w:bCs/>
                              </w:rPr>
                              <w:t>XX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-</w:t>
                            </w:r>
                            <w:r>
                              <w:rPr>
                                <w:rFonts w:hint="eastAsia" w:ascii="黑体"/>
                                <w:bCs/>
                              </w:rPr>
                              <w:t>XX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发布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5" o:spid="_x0000_s1026" o:spt="202" type="#_x0000_t202" style="position:absolute;left:0pt;margin-left:17.9pt;margin-top:666.95pt;height:24.6pt;width:159pt;mso-position-horizontal-relative:margin;mso-position-vertical-relative:margin;z-index:251662336;mso-width-relative:page;mso-height-relative:page;" fillcolor="#FFFFFF" filled="t" stroked="f" coordsize="21600,21600" o:gfxdata="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VkHnF2QAAAAwBAAAPAAAAAAAAAAEAIAAAACIAAABkcnMv&#10;ZG93bnJldi54bWxQSwECFAAUAAAACACHTuJAKxW4TMkBAACmAwAADgAAAAAAAAABACAAAAAoAQAA&#10;ZHJzL2Uyb0RvYy54bWxQSwUGAAAAAAYABgBZAQAAY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6AE41EB">
                      <w:pPr>
                        <w:pStyle w:val="90"/>
                        <w:rPr>
                          <w:rFonts w:ascii="黑体" w:hAnsi="宋体"/>
                          <w:bCs/>
                        </w:rPr>
                      </w:pPr>
                      <w:r>
                        <w:rPr>
                          <w:rFonts w:hint="eastAsia" w:ascii="黑体"/>
                          <w:bCs/>
                        </w:rPr>
                        <w:t>202X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-</w:t>
                      </w:r>
                      <w:r>
                        <w:rPr>
                          <w:rFonts w:hint="eastAsia" w:ascii="黑体"/>
                          <w:bCs/>
                        </w:rPr>
                        <w:t>XX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-</w:t>
                      </w:r>
                      <w:r>
                        <w:rPr>
                          <w:rFonts w:hint="eastAsia" w:ascii="黑体"/>
                          <w:bCs/>
                        </w:rPr>
                        <w:t>XX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发布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eastAsia="宋体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3767455</wp:posOffset>
                </wp:positionV>
                <wp:extent cx="5969000" cy="4377690"/>
                <wp:effectExtent l="0" t="0" r="0" b="0"/>
                <wp:wrapNone/>
                <wp:docPr id="3" name="fm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0" cy="4377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D64B62">
                            <w:pPr>
                              <w:pStyle w:val="73"/>
                              <w:rPr>
                                <w:szCs w:val="52"/>
                              </w:rPr>
                            </w:pPr>
                            <w:bookmarkStart w:id="339" w:name="OLE_LINK1"/>
                            <w:r>
                              <w:rPr>
                                <w:rFonts w:hint="eastAsia"/>
                                <w:szCs w:val="52"/>
                                <w:lang w:val="en-US" w:eastAsia="zh-CN"/>
                              </w:rPr>
                              <w:t>二氧化碳</w:t>
                            </w:r>
                            <w:r>
                              <w:rPr>
                                <w:rFonts w:hint="eastAsia"/>
                                <w:szCs w:val="52"/>
                              </w:rPr>
                              <w:t>浓度检测报警仪校准规范</w:t>
                            </w:r>
                            <w:bookmarkEnd w:id="339"/>
                          </w:p>
                          <w:p w14:paraId="325C6AB8">
                            <w:pPr>
                              <w:pStyle w:val="73"/>
                              <w:spacing w:line="220" w:lineRule="exact"/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A62CD6F">
                            <w:pPr>
                              <w:pStyle w:val="86"/>
                              <w:jc w:val="center"/>
                              <w:rPr>
                                <w:rFonts w:ascii="黑体" w:hAnsi="黑体" w:eastAsia="黑体"/>
                                <w:color w:val="000000"/>
                                <w:szCs w:val="28"/>
                              </w:rPr>
                            </w:pPr>
                            <w:bookmarkStart w:id="340" w:name="_Toc32585"/>
                            <w:bookmarkStart w:id="341" w:name="_Toc15844"/>
                            <w:bookmarkStart w:id="342" w:name="_Toc1542"/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Cs w:val="28"/>
                              </w:rPr>
                              <w:t>Calibration Specification for</w:t>
                            </w:r>
                            <w:bookmarkEnd w:id="340"/>
                            <w:bookmarkEnd w:id="341"/>
                            <w:bookmarkEnd w:id="342"/>
                          </w:p>
                          <w:p w14:paraId="2F58F4A1">
                            <w:pPr>
                              <w:pStyle w:val="95"/>
                              <w:spacing w:line="220" w:lineRule="exact"/>
                              <w:rPr>
                                <w:rFonts w:hint="eastAsia" w:ascii="黑体" w:hAnsi="黑体" w:eastAsia="黑体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>Carbon Dioxide</w:t>
                            </w: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 w:val="28"/>
                                <w:szCs w:val="28"/>
                              </w:rPr>
                              <w:t xml:space="preserve"> Concentration Detection Alarm</w:t>
                            </w: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>s</w:t>
                            </w:r>
                          </w:p>
                          <w:p w14:paraId="03390BAB">
                            <w:pPr>
                              <w:pStyle w:val="95"/>
                              <w:spacing w:line="220" w:lineRule="exact"/>
                              <w:rPr>
                                <w:rFonts w:ascii="黑体" w:hAnsi="黑体" w:eastAsia="黑体" w:cs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sz w:val="28"/>
                                <w:szCs w:val="28"/>
                              </w:rPr>
                              <w:t>（</w:t>
                            </w:r>
                            <w:r>
                              <w:rPr>
                                <w:rFonts w:hint="eastAsia" w:ascii="黑体" w:hAnsi="黑体" w:eastAsia="黑体" w:cs="宋体"/>
                                <w:sz w:val="28"/>
                                <w:szCs w:val="28"/>
                                <w:lang w:val="en-US" w:eastAsia="zh-CN"/>
                              </w:rPr>
                              <w:t>预审</w:t>
                            </w:r>
                            <w:r>
                              <w:rPr>
                                <w:rFonts w:hint="eastAsia" w:ascii="黑体" w:hAnsi="黑体" w:eastAsia="黑体" w:cs="宋体"/>
                                <w:sz w:val="28"/>
                                <w:szCs w:val="28"/>
                              </w:rPr>
                              <w:t>稿）</w:t>
                            </w:r>
                          </w:p>
                          <w:p w14:paraId="1F5A42F0">
                            <w:pPr>
                              <w:pStyle w:val="95"/>
                              <w:rPr>
                                <w:rFonts w:ascii="黑体" w:eastAsia="黑体"/>
                                <w:sz w:val="30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4" o:spid="_x0000_s1026" o:spt="202" type="#_x0000_t202" style="position:absolute;left:0pt;margin-left:0pt;margin-top:296.65pt;height:344.7pt;width:470pt;mso-position-horizontal-relative:margin;mso-position-vertical-relative:margin;z-index:251661312;mso-width-relative:page;mso-height-relative:page;" fillcolor="#FFFFFF" filled="t" stroked="f" coordsize="21600,21600" o:gfxdata="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BJKZIvYAAAACQEAAA8AAAAAAAAAAQAgAAAAIgAAAGRycy9kb3du&#10;cmV2LnhtbFBLAQIUABQAAAAIAIdO4kBrnGgnxgEAAKcDAAAOAAAAAAAAAAEAIAAAACcBAABkcnMv&#10;ZTJvRG9jLnhtbFBLBQYAAAAABgAGAFkBAABf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6D64B62">
                      <w:pPr>
                        <w:pStyle w:val="73"/>
                        <w:rPr>
                          <w:szCs w:val="52"/>
                        </w:rPr>
                      </w:pPr>
                      <w:bookmarkStart w:id="339" w:name="OLE_LINK1"/>
                      <w:r>
                        <w:rPr>
                          <w:rFonts w:hint="eastAsia"/>
                          <w:szCs w:val="52"/>
                          <w:lang w:val="en-US" w:eastAsia="zh-CN"/>
                        </w:rPr>
                        <w:t>二氧化碳</w:t>
                      </w:r>
                      <w:r>
                        <w:rPr>
                          <w:rFonts w:hint="eastAsia"/>
                          <w:szCs w:val="52"/>
                        </w:rPr>
                        <w:t>浓度检测报警仪校准规范</w:t>
                      </w:r>
                      <w:bookmarkEnd w:id="339"/>
                    </w:p>
                    <w:p w14:paraId="325C6AB8">
                      <w:pPr>
                        <w:pStyle w:val="73"/>
                        <w:spacing w:line="220" w:lineRule="exact"/>
                        <w:jc w:val="both"/>
                        <w:rPr>
                          <w:sz w:val="32"/>
                          <w:szCs w:val="32"/>
                        </w:rPr>
                      </w:pPr>
                    </w:p>
                    <w:p w14:paraId="5A62CD6F">
                      <w:pPr>
                        <w:pStyle w:val="86"/>
                        <w:jc w:val="center"/>
                        <w:rPr>
                          <w:rFonts w:ascii="黑体" w:hAnsi="黑体" w:eastAsia="黑体"/>
                          <w:color w:val="000000"/>
                          <w:szCs w:val="28"/>
                        </w:rPr>
                      </w:pPr>
                      <w:bookmarkStart w:id="340" w:name="_Toc32585"/>
                      <w:bookmarkStart w:id="341" w:name="_Toc15844"/>
                      <w:bookmarkStart w:id="342" w:name="_Toc1542"/>
                      <w:r>
                        <w:rPr>
                          <w:rFonts w:hint="eastAsia" w:ascii="黑体" w:hAnsi="黑体" w:eastAsia="黑体"/>
                          <w:color w:val="000000"/>
                          <w:szCs w:val="28"/>
                        </w:rPr>
                        <w:t>Calibration Specification for</w:t>
                      </w:r>
                      <w:bookmarkEnd w:id="340"/>
                      <w:bookmarkEnd w:id="341"/>
                      <w:bookmarkEnd w:id="342"/>
                    </w:p>
                    <w:p w14:paraId="2F58F4A1">
                      <w:pPr>
                        <w:pStyle w:val="95"/>
                        <w:spacing w:line="220" w:lineRule="exact"/>
                        <w:rPr>
                          <w:rFonts w:hint="eastAsia" w:ascii="黑体" w:hAnsi="黑体" w:eastAsia="黑体"/>
                          <w:color w:val="00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000000"/>
                          <w:sz w:val="28"/>
                          <w:szCs w:val="28"/>
                          <w:lang w:val="en-US" w:eastAsia="zh-CN"/>
                        </w:rPr>
                        <w:t>Carbon Dioxide</w:t>
                      </w:r>
                      <w:r>
                        <w:rPr>
                          <w:rFonts w:hint="eastAsia" w:ascii="黑体" w:hAnsi="黑体" w:eastAsia="黑体"/>
                          <w:color w:val="000000"/>
                          <w:sz w:val="28"/>
                          <w:szCs w:val="28"/>
                        </w:rPr>
                        <w:t xml:space="preserve"> Concentration Detection Alarm</w:t>
                      </w:r>
                      <w:r>
                        <w:rPr>
                          <w:rFonts w:hint="eastAsia" w:ascii="黑体" w:hAnsi="黑体" w:eastAsia="黑体"/>
                          <w:color w:val="000000"/>
                          <w:sz w:val="28"/>
                          <w:szCs w:val="28"/>
                          <w:lang w:val="en-US" w:eastAsia="zh-CN"/>
                        </w:rPr>
                        <w:t>s</w:t>
                      </w:r>
                    </w:p>
                    <w:p w14:paraId="03390BAB">
                      <w:pPr>
                        <w:pStyle w:val="95"/>
                        <w:spacing w:line="220" w:lineRule="exact"/>
                        <w:rPr>
                          <w:rFonts w:ascii="黑体" w:hAnsi="黑体" w:eastAsia="黑体" w:cs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sz w:val="28"/>
                          <w:szCs w:val="28"/>
                        </w:rPr>
                        <w:t>（</w:t>
                      </w:r>
                      <w:r>
                        <w:rPr>
                          <w:rFonts w:hint="eastAsia" w:ascii="黑体" w:hAnsi="黑体" w:eastAsia="黑体" w:cs="宋体"/>
                          <w:sz w:val="28"/>
                          <w:szCs w:val="28"/>
                          <w:lang w:val="en-US" w:eastAsia="zh-CN"/>
                        </w:rPr>
                        <w:t>预审</w:t>
                      </w:r>
                      <w:r>
                        <w:rPr>
                          <w:rFonts w:hint="eastAsia" w:ascii="黑体" w:hAnsi="黑体" w:eastAsia="黑体" w:cs="宋体"/>
                          <w:sz w:val="28"/>
                          <w:szCs w:val="28"/>
                        </w:rPr>
                        <w:t>稿）</w:t>
                      </w:r>
                    </w:p>
                    <w:p w14:paraId="1F5A42F0">
                      <w:pPr>
                        <w:pStyle w:val="95"/>
                        <w:rPr>
                          <w:rFonts w:ascii="黑体" w:eastAsia="黑体"/>
                          <w:sz w:val="3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p w14:paraId="339CDBE9">
      <w:pPr>
        <w:rPr>
          <w:rFonts w:eastAsia="宋体"/>
        </w:rPr>
      </w:pPr>
      <w:bookmarkStart w:id="1" w:name="_Toc193860176"/>
      <w:bookmarkStart w:id="2" w:name="_Toc193860026"/>
      <w:bookmarkStart w:id="3" w:name="_Toc193619049"/>
      <w:bookmarkStart w:id="4" w:name="_Toc193603073"/>
      <w:bookmarkStart w:id="5" w:name="_Toc193860207"/>
      <w:bookmarkStart w:id="6" w:name="_Toc193555883"/>
      <w:bookmarkStart w:id="7" w:name="_Toc193618946"/>
      <w:bookmarkStart w:id="8" w:name="_Toc193619091"/>
      <w:bookmarkStart w:id="9" w:name="_Toc193861442"/>
      <w:bookmarkStart w:id="10" w:name="_Toc193601894"/>
      <w:bookmarkStart w:id="11" w:name="_Toc193601673"/>
      <w:bookmarkStart w:id="12" w:name="_Toc193547508"/>
      <w:bookmarkStart w:id="13" w:name="_Toc193551753"/>
      <w:bookmarkStart w:id="14" w:name="_Toc193552963"/>
      <w:r>
        <w:rPr>
          <w:rFonts w:eastAsia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119380</wp:posOffset>
                </wp:positionV>
                <wp:extent cx="4048125" cy="1855470"/>
                <wp:effectExtent l="4445" t="4445" r="5080" b="6985"/>
                <wp:wrapNone/>
                <wp:docPr id="9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125" cy="1855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 cmpd="sng">
                          <a:solidFill>
                            <a:srgbClr val="FFFFFF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02A529">
                            <w:pPr>
                              <w:pStyle w:val="72"/>
                              <w:spacing w:before="0" w:line="360" w:lineRule="auto"/>
                              <w:rPr>
                                <w:rFonts w:hint="eastAsia" w:ascii="Franklin Gothic Medium" w:hAnsi="Franklin Gothic Medium" w:eastAsia="黑体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Franklin Gothic Medium" w:hAnsi="Franklin Gothic Medium" w:eastAsia="黑体"/>
                                <w:color w:val="000000"/>
                                <w:kern w:val="36"/>
                                <w:sz w:val="44"/>
                                <w:szCs w:val="44"/>
                                <w:lang w:val="en-US" w:eastAsia="zh-CN"/>
                              </w:rPr>
                              <w:t>二氧化碳</w:t>
                            </w:r>
                            <w:r>
                              <w:rPr>
                                <w:rFonts w:hint="eastAsia" w:ascii="Franklin Gothic Medium" w:hAnsi="Franklin Gothic Medium" w:eastAsia="黑体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  <w:t>浓度检测报警仪</w:t>
                            </w:r>
                          </w:p>
                          <w:p w14:paraId="01418415">
                            <w:pPr>
                              <w:pStyle w:val="72"/>
                              <w:spacing w:before="0" w:line="360" w:lineRule="auto"/>
                              <w:rPr>
                                <w:rFonts w:ascii="Franklin Gothic Medium" w:hAnsi="Franklin Gothic Medium" w:eastAsia="黑体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Franklin Gothic Medium" w:hAnsi="Franklin Gothic Medium" w:eastAsia="黑体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  <w:t>校准规范</w:t>
                            </w:r>
                          </w:p>
                          <w:p w14:paraId="2F8D2B4C">
                            <w:pPr>
                              <w:pStyle w:val="86"/>
                              <w:spacing w:line="360" w:lineRule="auto"/>
                              <w:jc w:val="center"/>
                              <w:rPr>
                                <w:rFonts w:ascii="黑体" w:hAnsi="黑体" w:eastAsia="黑体"/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Cs w:val="28"/>
                              </w:rPr>
                              <w:t>Calibration Specification for</w:t>
                            </w:r>
                          </w:p>
                          <w:p w14:paraId="5514CE54">
                            <w:pPr>
                              <w:spacing w:line="360" w:lineRule="auto"/>
                              <w:jc w:val="center"/>
                              <w:rPr>
                                <w:rFonts w:hint="eastAsia" w:ascii="黑体" w:eastAsia="黑体"/>
                                <w:b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>Carbon Dioxide</w:t>
                            </w: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Concentration Detection Alarm</w:t>
                            </w: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zh-CN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91440" tIns="82800" rIns="91440" bIns="82800" upright="1"/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-37.9pt;margin-top:9.4pt;height:146.1pt;width:318.75pt;z-index:251666432;mso-width-relative:page;mso-height-relative:page;" fillcolor="#FFFFFF" filled="t" stroked="t" coordsize="21600,21600" o:gfxdata="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iNmz82wAAAAoBAAAPAAAAAAAAAAEAIAAAACIAAABkcnMvZG93bnJldi54bWxQ&#10;SwECFAAUAAAACACHTuJAnjMrfC0CAAB6BAAADgAAAAAAAAABACAAAAAqAQAAZHJzL2Uyb0RvYy54&#10;bWxQSwUGAAAAAAYABgBZAQAAyQUAAAAA&#10;">
                <v:fill on="t" focussize="0,0"/>
                <v:stroke weight="0.25pt" color="#FFFFFF" joinstyle="miter" dashstyle="1 1" endcap="round"/>
                <v:imagedata o:title=""/>
                <o:lock v:ext="edit" aspectratio="f"/>
                <v:textbox inset="2.54mm,2.3mm,2.54mm,2.3mm">
                  <w:txbxContent>
                    <w:p w14:paraId="3402A529">
                      <w:pPr>
                        <w:pStyle w:val="72"/>
                        <w:spacing w:before="0" w:line="360" w:lineRule="auto"/>
                        <w:rPr>
                          <w:rFonts w:hint="eastAsia" w:ascii="Franklin Gothic Medium" w:hAnsi="Franklin Gothic Medium" w:eastAsia="黑体"/>
                          <w:color w:val="000000"/>
                          <w:kern w:val="36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Franklin Gothic Medium" w:hAnsi="Franklin Gothic Medium" w:eastAsia="黑体"/>
                          <w:color w:val="000000"/>
                          <w:kern w:val="36"/>
                          <w:sz w:val="44"/>
                          <w:szCs w:val="44"/>
                          <w:lang w:val="en-US" w:eastAsia="zh-CN"/>
                        </w:rPr>
                        <w:t>二氧化碳</w:t>
                      </w:r>
                      <w:r>
                        <w:rPr>
                          <w:rFonts w:hint="eastAsia" w:ascii="Franklin Gothic Medium" w:hAnsi="Franklin Gothic Medium" w:eastAsia="黑体"/>
                          <w:color w:val="000000"/>
                          <w:kern w:val="36"/>
                          <w:sz w:val="44"/>
                          <w:szCs w:val="44"/>
                        </w:rPr>
                        <w:t>浓度检测报警仪</w:t>
                      </w:r>
                    </w:p>
                    <w:p w14:paraId="01418415">
                      <w:pPr>
                        <w:pStyle w:val="72"/>
                        <w:spacing w:before="0" w:line="360" w:lineRule="auto"/>
                        <w:rPr>
                          <w:rFonts w:ascii="Franklin Gothic Medium" w:hAnsi="Franklin Gothic Medium" w:eastAsia="黑体"/>
                          <w:color w:val="000000"/>
                          <w:kern w:val="36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Franklin Gothic Medium" w:hAnsi="Franklin Gothic Medium" w:eastAsia="黑体"/>
                          <w:color w:val="000000"/>
                          <w:kern w:val="36"/>
                          <w:sz w:val="44"/>
                          <w:szCs w:val="44"/>
                        </w:rPr>
                        <w:t>校准规范</w:t>
                      </w:r>
                    </w:p>
                    <w:p w14:paraId="2F8D2B4C">
                      <w:pPr>
                        <w:pStyle w:val="86"/>
                        <w:spacing w:line="360" w:lineRule="auto"/>
                        <w:jc w:val="center"/>
                        <w:rPr>
                          <w:rFonts w:ascii="黑体" w:hAnsi="黑体" w:eastAsia="黑体"/>
                          <w:color w:val="000000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000000"/>
                          <w:szCs w:val="28"/>
                        </w:rPr>
                        <w:t>Calibration Specification for</w:t>
                      </w:r>
                    </w:p>
                    <w:p w14:paraId="5514CE54">
                      <w:pPr>
                        <w:spacing w:line="360" w:lineRule="auto"/>
                        <w:jc w:val="center"/>
                        <w:rPr>
                          <w:rFonts w:hint="eastAsia" w:ascii="黑体" w:eastAsia="黑体"/>
                          <w:b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000000"/>
                          <w:sz w:val="28"/>
                          <w:szCs w:val="28"/>
                          <w:lang w:val="en-US" w:eastAsia="zh-CN"/>
                        </w:rPr>
                        <w:t>Carbon Dioxide</w:t>
                      </w:r>
                      <w:r>
                        <w:rPr>
                          <w:rFonts w:hint="eastAsia" w:ascii="黑体" w:hAnsi="黑体" w:eastAsia="黑体"/>
                          <w:color w:val="000000"/>
                          <w:kern w:val="0"/>
                          <w:sz w:val="28"/>
                          <w:szCs w:val="28"/>
                        </w:rPr>
                        <w:t xml:space="preserve"> Concentration Detection Alarm</w:t>
                      </w:r>
                      <w:r>
                        <w:rPr>
                          <w:rFonts w:hint="eastAsia" w:ascii="黑体" w:hAnsi="黑体" w:eastAsia="黑体"/>
                          <w:color w:val="000000"/>
                          <w:kern w:val="0"/>
                          <w:sz w:val="28"/>
                          <w:szCs w:val="28"/>
                          <w:lang w:val="en-US" w:eastAsia="zh-CN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7494A349">
      <w:pPr>
        <w:pStyle w:val="82"/>
        <w:spacing w:before="100" w:beforeAutospacing="1" w:line="240" w:lineRule="auto"/>
        <w:ind w:firstLine="640" w:firstLineChars="200"/>
        <w:jc w:val="both"/>
        <w:outlineLvl w:val="9"/>
        <w:rPr>
          <w:rFonts w:ascii="Times New Roman" w:eastAsia="宋体"/>
          <w:sz w:val="84"/>
          <w:szCs w:val="84"/>
        </w:rPr>
      </w:pPr>
      <w:r>
        <w:rPr>
          <w:rFonts w:ascii="Times New Roman" w:eastAsia="宋体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462280</wp:posOffset>
                </wp:positionV>
                <wp:extent cx="2011680" cy="558165"/>
                <wp:effectExtent l="0" t="0" r="0" b="0"/>
                <wp:wrapNone/>
                <wp:docPr id="12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5C77FB2"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黑体" w:hAnsi="黑体" w:eastAsia="黑体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/>
                                <w:color w:val="000000"/>
                                <w:sz w:val="28"/>
                                <w:szCs w:val="28"/>
                              </w:rPr>
                              <w:t>J</w:t>
                            </w: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 w:val="28"/>
                                <w:szCs w:val="28"/>
                              </w:rPr>
                              <w:t>JF（有色金属）XXX-XXXX</w:t>
                            </w:r>
                          </w:p>
                        </w:txbxContent>
                      </wps:txbx>
                      <wps:bodyPr wrap="square" lIns="54000" tIns="45720" rIns="54000" bIns="45720" upright="1"/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304.2pt;margin-top:36.4pt;height:43.95pt;width:158.4pt;z-index:251669504;mso-width-relative:page;mso-height-relative:page;" fillcolor="#FFFFFF" filled="t" stroked="t" coordsize="21600,21600" o:gfxdata="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KKgMZzYAAAACgEAAA8AAAAAAAAAAQAgAAAAIgAAAGRycy9kb3ducmV2LnhtbFBLAQIUABQAAAAI&#10;AIdO4kAZnXG7JgIAAHsEAAAOAAAAAAAAAAEAIAAAACcBAABkcnMvZTJvRG9jLnhtbFBLBQYAAAAA&#10;BgAGAFkBAAC/BQAAAAA=&#10;">
                <v:fill on="t" focussize="0,0"/>
                <v:stroke weight="1pt" color="#FFFFFF" joinstyle="miter"/>
                <v:imagedata o:title=""/>
                <o:lock v:ext="edit" aspectratio="f"/>
                <v:textbox inset="1.5mm,1.27mm,1.5mm,1.27mm">
                  <w:txbxContent>
                    <w:p w14:paraId="45C77FB2"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黑体" w:hAnsi="黑体" w:eastAsia="黑体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黑体" w:hAnsi="黑体" w:eastAsia="黑体"/>
                          <w:color w:val="000000"/>
                          <w:sz w:val="28"/>
                          <w:szCs w:val="28"/>
                        </w:rPr>
                        <w:t>J</w:t>
                      </w:r>
                      <w:r>
                        <w:rPr>
                          <w:rFonts w:hint="eastAsia" w:ascii="黑体" w:hAnsi="黑体" w:eastAsia="黑体"/>
                          <w:color w:val="000000"/>
                          <w:sz w:val="28"/>
                          <w:szCs w:val="28"/>
                        </w:rPr>
                        <w:t>JF（有色金属）XXX-XXXX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宋体"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3717290</wp:posOffset>
            </wp:positionH>
            <wp:positionV relativeFrom="paragraph">
              <wp:posOffset>342265</wp:posOffset>
            </wp:positionV>
            <wp:extent cx="2236470" cy="836295"/>
            <wp:effectExtent l="0" t="0" r="0" b="0"/>
            <wp:wrapSquare wrapText="bothSides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/>
        </w:rPr>
        <w:t xml:space="preserve">                                   </w:t>
      </w:r>
    </w:p>
    <w:bookmarkEnd w:id="12"/>
    <w:bookmarkEnd w:id="13"/>
    <w:bookmarkEnd w:id="14"/>
    <w:p w14:paraId="595B6B16">
      <w:pPr>
        <w:pStyle w:val="95"/>
        <w:spacing w:line="240" w:lineRule="auto"/>
        <w:jc w:val="both"/>
        <w:rPr>
          <w:rFonts w:ascii="Times New Roman" w:eastAsia="宋体"/>
          <w:sz w:val="28"/>
          <w:szCs w:val="28"/>
        </w:rPr>
      </w:pPr>
      <w:bookmarkStart w:id="15" w:name="_Toc193601896"/>
      <w:bookmarkStart w:id="16" w:name="_Toc193603075"/>
      <w:bookmarkStart w:id="17" w:name="_Toc193555885"/>
      <w:bookmarkStart w:id="18" w:name="_Toc193601675"/>
    </w:p>
    <w:p w14:paraId="7BA83FA1">
      <w:pPr>
        <w:pStyle w:val="95"/>
        <w:spacing w:line="240" w:lineRule="auto"/>
        <w:jc w:val="both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69215</wp:posOffset>
                </wp:positionV>
                <wp:extent cx="6394450" cy="1270"/>
                <wp:effectExtent l="0" t="0" r="0" b="0"/>
                <wp:wrapNone/>
                <wp:docPr id="10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94450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flip:y;margin-left:-35.5pt;margin-top:5.45pt;height:0.1pt;width:503.5pt;z-index:251667456;mso-width-relative:page;mso-height-relative:page;" filled="f" stroked="t" coordsize="21600,21600" o:gfxdata="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wCg0&#10;u9YAAAAJAQAADwAAAAAAAAABACAAAAAiAAAAZHJzL2Rvd25yZXYueG1sUEsBAhQAFAAAAAgAh07i&#10;QI5reb7rAQAA3gMAAA4AAAAAAAAAAQAgAAAAJQ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bookmarkEnd w:id="15"/>
      <w:bookmarkEnd w:id="16"/>
      <w:bookmarkEnd w:id="17"/>
      <w:bookmarkEnd w:id="18"/>
    </w:p>
    <w:p w14:paraId="47B1B889">
      <w:pPr>
        <w:pStyle w:val="95"/>
        <w:spacing w:line="240" w:lineRule="auto"/>
        <w:jc w:val="both"/>
        <w:rPr>
          <w:rFonts w:ascii="Times New Roman" w:eastAsia="宋体"/>
          <w:sz w:val="28"/>
          <w:szCs w:val="28"/>
        </w:rPr>
      </w:pPr>
    </w:p>
    <w:p w14:paraId="3F779268">
      <w:pPr>
        <w:pStyle w:val="43"/>
        <w:ind w:firstLine="0" w:firstLineChars="0"/>
        <w:rPr>
          <w:szCs w:val="24"/>
        </w:rPr>
      </w:pPr>
    </w:p>
    <w:p w14:paraId="340C214D">
      <w:pPr>
        <w:pStyle w:val="43"/>
        <w:framePr w:w="8080" w:h="6806" w:hRule="exact" w:wrap="auto" w:vAnchor="page" w:hAnchor="page" w:x="2115" w:y="7035"/>
        <w:ind w:firstLine="0" w:firstLineChars="0"/>
        <w:rPr>
          <w:rFonts w:eastAsia="黑体"/>
          <w:sz w:val="28"/>
          <w:szCs w:val="28"/>
        </w:rPr>
      </w:pPr>
    </w:p>
    <w:p w14:paraId="29700F4B">
      <w:pPr>
        <w:pStyle w:val="73"/>
        <w:framePr w:w="8080" w:h="6806" w:hRule="exact" w:wrap="around" w:vAnchor="page" w:hAnchor="page" w:x="2115" w:y="7035"/>
        <w:adjustRightInd w:val="0"/>
        <w:snapToGrid w:val="0"/>
        <w:spacing w:line="520" w:lineRule="exact"/>
        <w:jc w:val="both"/>
        <w:rPr>
          <w:rFonts w:ascii="Times New Roman"/>
          <w:sz w:val="28"/>
          <w:szCs w:val="28"/>
        </w:rPr>
      </w:pPr>
      <w:r>
        <w:rPr>
          <w:rFonts w:ascii="Times New Roman"/>
          <w:spacing w:val="11"/>
          <w:sz w:val="28"/>
          <w:szCs w:val="28"/>
        </w:rPr>
        <w:t xml:space="preserve">归 口 单 </w:t>
      </w:r>
      <w:r>
        <w:rPr>
          <w:rFonts w:ascii="Times New Roman"/>
          <w:spacing w:val="4"/>
          <w:sz w:val="28"/>
          <w:szCs w:val="28"/>
        </w:rPr>
        <w:t>位</w:t>
      </w:r>
      <w:r>
        <w:rPr>
          <w:rFonts w:ascii="Times New Roman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中国有色金属工业协会</w:t>
      </w:r>
    </w:p>
    <w:p w14:paraId="227639AD">
      <w:pPr>
        <w:pStyle w:val="73"/>
        <w:framePr w:w="8080" w:h="6806" w:hRule="exact" w:wrap="around" w:vAnchor="page" w:hAnchor="page" w:x="2115" w:y="7035"/>
        <w:adjustRightInd w:val="0"/>
        <w:snapToGrid w:val="0"/>
        <w:spacing w:line="520" w:lineRule="exact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主要起草单位：</w:t>
      </w:r>
      <w:r>
        <w:rPr>
          <w:rFonts w:hint="eastAsia" w:ascii="宋体" w:hAnsi="宋体" w:eastAsia="宋体" w:cs="宋体"/>
          <w:sz w:val="28"/>
          <w:szCs w:val="28"/>
        </w:rPr>
        <w:t>西南铝业（集团）有限责任公司</w:t>
      </w:r>
    </w:p>
    <w:p w14:paraId="6A0B4386">
      <w:pPr>
        <w:pStyle w:val="73"/>
        <w:framePr w:w="8080" w:h="6806" w:hRule="exact" w:wrap="around" w:vAnchor="page" w:hAnchor="page" w:x="2115" w:y="7035"/>
        <w:adjustRightInd w:val="0"/>
        <w:snapToGrid w:val="0"/>
        <w:spacing w:line="520" w:lineRule="exact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Times New Roman"/>
          <w:sz w:val="28"/>
          <w:szCs w:val="28"/>
          <w:lang w:val="en-US" w:eastAsia="zh-CN"/>
        </w:rPr>
        <w:t xml:space="preserve">              </w:t>
      </w:r>
    </w:p>
    <w:p w14:paraId="19614AEF">
      <w:pPr>
        <w:pStyle w:val="73"/>
        <w:framePr w:w="8080" w:h="6806" w:hRule="exact" w:wrap="around" w:vAnchor="page" w:hAnchor="page" w:x="2115" w:y="7035"/>
        <w:adjustRightInd w:val="0"/>
        <w:snapToGrid w:val="0"/>
        <w:spacing w:line="520" w:lineRule="exact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30D7942A">
      <w:pPr>
        <w:pStyle w:val="73"/>
        <w:framePr w:w="8080" w:h="6806" w:hRule="exact" w:wrap="around" w:vAnchor="page" w:hAnchor="page" w:x="2115" w:y="7035"/>
        <w:adjustRightInd w:val="0"/>
        <w:snapToGrid w:val="0"/>
        <w:spacing w:line="240" w:lineRule="auto"/>
        <w:jc w:val="both"/>
        <w:rPr>
          <w:rFonts w:ascii="Times New Roman" w:eastAsia="宋体"/>
          <w:sz w:val="28"/>
          <w:szCs w:val="28"/>
        </w:rPr>
      </w:pPr>
    </w:p>
    <w:p w14:paraId="2CCEF7A9">
      <w:pPr>
        <w:pStyle w:val="73"/>
        <w:framePr w:w="8080" w:h="6806" w:hRule="exact" w:wrap="around" w:vAnchor="page" w:hAnchor="page" w:x="2115" w:y="7035"/>
        <w:adjustRightInd w:val="0"/>
        <w:snapToGrid w:val="0"/>
        <w:spacing w:line="240" w:lineRule="auto"/>
        <w:jc w:val="both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  <w:sz w:val="28"/>
          <w:szCs w:val="28"/>
        </w:rPr>
        <w:t xml:space="preserve">          </w:t>
      </w:r>
    </w:p>
    <w:p w14:paraId="574F4183">
      <w:pPr>
        <w:pStyle w:val="43"/>
        <w:ind w:left="420" w:hanging="420" w:firstLineChars="0"/>
        <w:jc w:val="center"/>
        <w:rPr>
          <w:sz w:val="28"/>
          <w:szCs w:val="28"/>
        </w:rPr>
      </w:pPr>
    </w:p>
    <w:p w14:paraId="319C0E22">
      <w:pPr>
        <w:pStyle w:val="43"/>
        <w:ind w:left="420" w:hanging="420" w:firstLineChars="0"/>
        <w:jc w:val="center"/>
        <w:outlineLvl w:val="0"/>
        <w:rPr>
          <w:sz w:val="28"/>
          <w:szCs w:val="28"/>
        </w:rPr>
      </w:pPr>
      <w:bookmarkStart w:id="19" w:name="_Toc8126"/>
      <w:bookmarkStart w:id="20" w:name="_Toc21747"/>
      <w:r>
        <w:rPr>
          <w:rFonts w:hint="eastAsia"/>
          <w:sz w:val="28"/>
          <w:szCs w:val="28"/>
        </w:rPr>
        <w:t>本规范委托有色金属行业计量技术委员会负责解释</w:t>
      </w:r>
      <w:bookmarkEnd w:id="19"/>
      <w:bookmarkEnd w:id="20"/>
    </w:p>
    <w:p w14:paraId="10235C53">
      <w:pPr>
        <w:pStyle w:val="43"/>
        <w:framePr w:w="9366" w:h="7978" w:hRule="exact" w:wrap="around" w:vAnchor="page" w:hAnchor="page" w:x="1419" w:y="2667" w:anchorLock="1"/>
        <w:ind w:firstLine="562"/>
        <w:rPr>
          <w:rFonts w:ascii="黑体" w:hAnsi="黑体" w:eastAsia="黑体"/>
          <w:bCs/>
          <w:sz w:val="30"/>
        </w:rPr>
      </w:pPr>
      <w:bookmarkStart w:id="21" w:name="_Toc193551755"/>
      <w:bookmarkStart w:id="22" w:name="_Toc193601897"/>
      <w:bookmarkStart w:id="23" w:name="_Toc193547510"/>
      <w:bookmarkStart w:id="24" w:name="_Toc193601676"/>
      <w:bookmarkStart w:id="25" w:name="_Toc193603076"/>
      <w:bookmarkStart w:id="26" w:name="_Toc193555886"/>
      <w:bookmarkStart w:id="27" w:name="_Toc193552965"/>
      <w:r>
        <w:rPr>
          <w:rFonts w:ascii="黑体" w:hAnsi="黑体" w:eastAsia="黑体"/>
          <w:b w:val="0"/>
          <w:bCs/>
          <w:sz w:val="28"/>
          <w:szCs w:val="28"/>
        </w:rPr>
        <w:t>本规范主要起草人：</w:t>
      </w:r>
      <w:bookmarkEnd w:id="21"/>
      <w:bookmarkEnd w:id="22"/>
      <w:bookmarkEnd w:id="23"/>
      <w:bookmarkEnd w:id="24"/>
      <w:bookmarkEnd w:id="25"/>
      <w:bookmarkEnd w:id="26"/>
      <w:bookmarkEnd w:id="27"/>
    </w:p>
    <w:p w14:paraId="76764973">
      <w:pPr>
        <w:pStyle w:val="82"/>
        <w:spacing w:line="240" w:lineRule="auto"/>
        <w:jc w:val="both"/>
        <w:outlineLvl w:val="9"/>
        <w:rPr>
          <w:rFonts w:ascii="Times New Roman" w:eastAsia="宋体"/>
        </w:rPr>
      </w:pPr>
    </w:p>
    <w:p w14:paraId="12E0C7DE">
      <w:pPr>
        <w:sectPr>
          <w:headerReference r:id="rId9" w:type="default"/>
          <w:footerReference r:id="rId11" w:type="default"/>
          <w:headerReference r:id="rId10" w:type="even"/>
          <w:footerReference r:id="rId12" w:type="even"/>
          <w:pgSz w:w="11907" w:h="16839"/>
          <w:pgMar w:top="1418" w:right="1134" w:bottom="1134" w:left="1418" w:header="1247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66AF3E31">
      <w:pPr>
        <w:pStyle w:val="82"/>
        <w:spacing w:line="240" w:lineRule="auto"/>
        <w:jc w:val="both"/>
        <w:outlineLvl w:val="9"/>
        <w:rPr>
          <w:rFonts w:ascii="Times New Roman" w:eastAsia="宋体"/>
        </w:rPr>
        <w:sectPr>
          <w:headerReference r:id="rId13" w:type="default"/>
          <w:footerReference r:id="rId14" w:type="default"/>
          <w:type w:val="continuous"/>
          <w:pgSz w:w="11907" w:h="16839"/>
          <w:pgMar w:top="1418" w:right="1134" w:bottom="1134" w:left="1418" w:header="1247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58CB2BCF">
      <w:pPr>
        <w:jc w:val="center"/>
        <w:rPr>
          <w:rFonts w:eastAsia="宋体"/>
        </w:rPr>
        <w:sectPr>
          <w:headerReference r:id="rId15" w:type="default"/>
          <w:footerReference r:id="rId16" w:type="default"/>
          <w:pgSz w:w="11907" w:h="16839"/>
          <w:pgMar w:top="1418" w:right="1134" w:bottom="1134" w:left="1418" w:header="1247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6FEBC72E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目</w:t>
      </w:r>
      <w:r>
        <w:rPr>
          <w:rFonts w:hint="eastAsia" w:ascii="黑体" w:hAnsi="黑体" w:eastAsia="黑体"/>
          <w:sz w:val="44"/>
          <w:szCs w:val="44"/>
        </w:rPr>
        <w:t xml:space="preserve"> </w:t>
      </w:r>
      <w:r>
        <w:rPr>
          <w:rFonts w:ascii="黑体" w:hAnsi="黑体" w:eastAsia="黑体"/>
          <w:sz w:val="44"/>
          <w:szCs w:val="44"/>
        </w:rPr>
        <w:t xml:space="preserve"> 录</w: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69752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Times New Roman"/>
          <w:bCs/>
          <w:caps/>
          <w:kern w:val="2"/>
          <w:sz w:val="24"/>
          <w:szCs w:val="21"/>
          <w:lang w:val="en-US" w:eastAsia="zh-CN" w:bidi="ar-SA"/>
        </w:rPr>
      </w:sdtEndPr>
      <w:sdtContent>
        <w:p w14:paraId="12221C5C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bookmarkStart w:id="28" w:name="_Toc20236"/>
          <w:bookmarkStart w:id="29" w:name="_Toc10757_WPSOffice_Level1"/>
          <w:bookmarkStart w:id="30" w:name="_Toc22520"/>
          <w:bookmarkStart w:id="31" w:name="_Toc26233"/>
          <w:bookmarkStart w:id="32" w:name="_Toc12273"/>
        </w:p>
        <w:p w14:paraId="1AB80B0A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TOC \o "1-3" \h \u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_Toc17366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引   言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_Toc17366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II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77619B7B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_Toc7396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 范围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_Toc7396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193ED997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_Toc8614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2 引用文件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_Toc8614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520A7A3B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_Toc977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3 概述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_Toc977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5057F227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_Toc27499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4 计量特性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2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7CCFFE6C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_Toc11256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5 校准条件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_Toc11256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2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3D61DA73">
          <w:pPr>
            <w:pStyle w:val="78"/>
            <w:tabs>
              <w:tab w:val="right" w:leader="dot" w:pos="9355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_Toc24371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5.1 环境条件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_Toc24371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2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55901076">
          <w:pPr>
            <w:pStyle w:val="78"/>
            <w:tabs>
              <w:tab w:val="right" w:leader="dot" w:pos="9355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_Toc5643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 xml:space="preserve">5.2 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测</w:t>
          </w:r>
          <w:r>
            <w:rPr>
              <w:rFonts w:hint="eastAsia" w:ascii="宋体" w:hAnsi="宋体" w:eastAsia="宋体" w:cs="宋体"/>
              <w:sz w:val="24"/>
              <w:szCs w:val="24"/>
            </w:rPr>
            <w:t>量标准及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其他</w:t>
          </w:r>
          <w:r>
            <w:rPr>
              <w:rFonts w:hint="eastAsia" w:ascii="宋体" w:hAnsi="宋体" w:eastAsia="宋体" w:cs="宋体"/>
              <w:sz w:val="24"/>
              <w:szCs w:val="24"/>
            </w:rPr>
            <w:t>设备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_Toc5643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2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222F6131">
          <w:pPr>
            <w:pStyle w:val="78"/>
            <w:tabs>
              <w:tab w:val="right" w:leader="dot" w:pos="9355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_Toc12887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5.3 其他条件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_Toc12887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3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75283EAB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_Toc17323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6 校准方法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_Toc17323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3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2FE14B84">
          <w:pPr>
            <w:pStyle w:val="78"/>
            <w:tabs>
              <w:tab w:val="right" w:leader="dot" w:pos="9355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_Toc8950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 xml:space="preserve">6.1 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校准项目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_Toc8950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3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5F274CF4">
          <w:pPr>
            <w:pStyle w:val="78"/>
            <w:tabs>
              <w:tab w:val="right" w:leader="dot" w:pos="9355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_Toc14708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 xml:space="preserve">6.2 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校准方法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3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0280FD28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_Toc23960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7 校准结果表达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_Toc23960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7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0D0F5B44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_Toc18776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8 复校时间间隔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_Toc18776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4C710AA5">
          <w:pPr>
            <w:pStyle w:val="78"/>
            <w:tabs>
              <w:tab w:val="right" w:leader="dot" w:pos="9355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_Toc5202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附录A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_Toc21536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二氧化碳</w:t>
          </w:r>
          <w:r>
            <w:rPr>
              <w:rFonts w:hint="eastAsia" w:ascii="宋体" w:hAnsi="宋体" w:eastAsia="宋体" w:cs="宋体"/>
              <w:bCs w:val="0"/>
              <w:sz w:val="24"/>
              <w:szCs w:val="24"/>
            </w:rPr>
            <w:t>浓度检测报警仪校准原始记录参考格式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_Toc21536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9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37BA7861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_Toc4146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附录B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_Toc4214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二氧化碳</w:t>
          </w:r>
          <w:r>
            <w:rPr>
              <w:rFonts w:hint="eastAsia" w:ascii="宋体" w:hAnsi="宋体" w:eastAsia="宋体" w:cs="宋体"/>
              <w:sz w:val="24"/>
              <w:szCs w:val="24"/>
            </w:rPr>
            <w:t>浓度检测报警仪校准证书内页参考格式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_Toc4214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33D34C2E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_Toc2979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附录C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_Toc18006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二氧化碳</w:t>
          </w:r>
          <w:r>
            <w:rPr>
              <w:rFonts w:hint="eastAsia" w:ascii="宋体" w:hAnsi="宋体" w:eastAsia="宋体" w:cs="宋体"/>
              <w:sz w:val="24"/>
              <w:szCs w:val="24"/>
            </w:rPr>
            <w:t>浓度检测报警仪示值误差的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测量</w:t>
          </w:r>
          <w:r>
            <w:rPr>
              <w:rFonts w:hint="eastAsia" w:ascii="宋体" w:hAnsi="宋体" w:eastAsia="宋体" w:cs="宋体"/>
              <w:sz w:val="24"/>
              <w:szCs w:val="24"/>
            </w:rPr>
            <w:t>不确定度评定示例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_Toc18006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12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37A03D77">
          <w:pPr>
            <w:pStyle w:val="85"/>
            <w:tabs>
              <w:tab w:val="right" w:leader="dot" w:pos="9355"/>
            </w:tabs>
            <w:spacing w:line="360" w:lineRule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_Toc20808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附录D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_Toc11400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二氧化碳</w:t>
          </w:r>
          <w:r>
            <w:rPr>
              <w:rFonts w:hint="eastAsia" w:ascii="宋体" w:hAnsi="宋体" w:eastAsia="宋体" w:cs="宋体"/>
              <w:sz w:val="24"/>
              <w:szCs w:val="24"/>
            </w:rPr>
            <w:t>浓度检测报警仪变送输出误差的</w:t>
          </w:r>
          <w:r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  <w:t>测量</w:t>
          </w:r>
          <w:r>
            <w:rPr>
              <w:rFonts w:hint="eastAsia" w:ascii="宋体" w:hAnsi="宋体" w:eastAsia="宋体" w:cs="宋体"/>
              <w:sz w:val="24"/>
              <w:szCs w:val="24"/>
            </w:rPr>
            <w:t>不确定度评定示例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（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_Toc11400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16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  <w:lang w:eastAsia="zh-CN"/>
            </w:rPr>
            <w:t>）</w:t>
          </w:r>
        </w:p>
        <w:p w14:paraId="0E8DBA2F">
          <w:pPr>
            <w:pStyle w:val="16"/>
            <w:spacing w:line="360" w:lineRule="auto"/>
            <w:jc w:val="center"/>
            <w:rPr>
              <w:rFonts w:ascii="宋体" w:hAnsi="宋体" w:eastAsia="宋体" w:cs="Times New Roman"/>
              <w:bCs/>
              <w:caps/>
              <w:kern w:val="2"/>
              <w:sz w:val="24"/>
              <w:szCs w:val="21"/>
              <w:lang w:val="en-US" w:eastAsia="zh-CN" w:bidi="ar-SA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</w:sdtContent>
    </w:sdt>
    <w:p w14:paraId="73F6AE78"/>
    <w:p w14:paraId="68D61809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br w:type="page"/>
      </w:r>
    </w:p>
    <w:p w14:paraId="47DDFBB4">
      <w:pPr>
        <w:jc w:val="center"/>
        <w:outlineLvl w:val="0"/>
        <w:rPr>
          <w:rStyle w:val="30"/>
          <w:rFonts w:ascii="黑体" w:hAnsi="黑体" w:eastAsia="黑体"/>
          <w:sz w:val="44"/>
          <w:szCs w:val="44"/>
        </w:rPr>
      </w:pPr>
      <w:bookmarkStart w:id="33" w:name="_Toc17366"/>
      <w:bookmarkStart w:id="34" w:name="_Toc313"/>
      <w:r>
        <w:rPr>
          <w:rStyle w:val="30"/>
          <w:rFonts w:ascii="黑体" w:hAnsi="黑体" w:eastAsia="黑体"/>
          <w:sz w:val="44"/>
          <w:szCs w:val="44"/>
        </w:rPr>
        <w:t>引   言</w:t>
      </w:r>
      <w:bookmarkEnd w:id="28"/>
      <w:bookmarkEnd w:id="29"/>
      <w:bookmarkEnd w:id="30"/>
      <w:bookmarkEnd w:id="31"/>
      <w:bookmarkEnd w:id="32"/>
      <w:bookmarkEnd w:id="33"/>
      <w:bookmarkEnd w:id="34"/>
    </w:p>
    <w:p w14:paraId="5E8625CF">
      <w:pPr>
        <w:rPr>
          <w:rFonts w:ascii="宋体" w:hAnsi="宋体" w:eastAsia="宋体"/>
        </w:rPr>
      </w:pPr>
    </w:p>
    <w:p w14:paraId="20C3BCB9">
      <w:pPr>
        <w:pStyle w:val="43"/>
        <w:ind w:firstLine="480"/>
      </w:pPr>
      <w:r>
        <w:rPr>
          <w:rFonts w:hint="eastAsia"/>
        </w:rPr>
        <w:t>JJF 1071</w:t>
      </w:r>
      <w:r>
        <w:rPr>
          <w:rFonts w:hint="eastAsia"/>
          <w:lang w:val="en-US" w:eastAsia="zh-CN"/>
        </w:rPr>
        <w:t>-2010</w:t>
      </w:r>
      <w:r>
        <w:t>《国家计量校准规范编写规则》、</w:t>
      </w:r>
      <w:r>
        <w:rPr>
          <w:rFonts w:hint="eastAsia"/>
        </w:rPr>
        <w:t>JJF 1001</w:t>
      </w:r>
      <w:r>
        <w:rPr>
          <w:rFonts w:hint="eastAsia"/>
          <w:lang w:val="en-US" w:eastAsia="zh-CN"/>
        </w:rPr>
        <w:t>-2011</w:t>
      </w:r>
      <w:r>
        <w:t>《通用计量术语及定义》和</w:t>
      </w:r>
      <w:r>
        <w:rPr>
          <w:rFonts w:hint="eastAsia"/>
        </w:rPr>
        <w:t>JJF 1059.1</w:t>
      </w:r>
      <w:r>
        <w:rPr>
          <w:rFonts w:hint="eastAsia"/>
          <w:lang w:val="en-US" w:eastAsia="zh-CN"/>
        </w:rPr>
        <w:t>-2012</w:t>
      </w:r>
      <w:r>
        <w:t>《测量不确定度评定与表示》</w:t>
      </w:r>
      <w:r>
        <w:rPr>
          <w:rFonts w:hint="eastAsia" w:hAnsi="宋体" w:cs="宋体"/>
          <w:sz w:val="24"/>
          <w:szCs w:val="24"/>
          <w:lang w:val="en-US" w:eastAsia="zh-CN"/>
        </w:rPr>
        <w:t>共同构成支撑校准规范制修订工作的基础性系列规范</w:t>
      </w:r>
      <w:r>
        <w:t>。</w:t>
      </w:r>
    </w:p>
    <w:p w14:paraId="2948968E">
      <w:pPr>
        <w:pStyle w:val="43"/>
        <w:ind w:firstLine="480"/>
        <w:rPr>
          <w:rFonts w:hint="eastAsia" w:eastAsia="宋体"/>
          <w:lang w:eastAsia="zh-CN"/>
        </w:rPr>
      </w:pPr>
      <w:bookmarkStart w:id="35" w:name="_Toc26394"/>
      <w:bookmarkStart w:id="36" w:name="_Toc20132"/>
      <w:bookmarkStart w:id="37" w:name="_Toc10952"/>
      <w:r>
        <w:rPr>
          <w:rFonts w:hint="eastAsia"/>
        </w:rPr>
        <w:t>本规范参考了GB 12358-20</w:t>
      </w:r>
      <w:r>
        <w:rPr>
          <w:rFonts w:hint="eastAsia"/>
          <w:lang w:val="en-US" w:eastAsia="zh-CN"/>
        </w:rPr>
        <w:t>24</w:t>
      </w:r>
      <w:r>
        <w:rPr>
          <w:rFonts w:hint="eastAsia"/>
        </w:rPr>
        <w:t>《作业场所环境气体检测报警仪</w:t>
      </w:r>
      <w:r>
        <w:rPr>
          <w:rFonts w:hint="eastAsia"/>
          <w:lang w:val="en-US" w:eastAsia="zh-CN"/>
        </w:rPr>
        <w:t>器</w:t>
      </w:r>
      <w:r>
        <w:rPr>
          <w:rFonts w:hint="eastAsia"/>
        </w:rPr>
        <w:t>通用技术要求》和GB/T 50493-2019《石油化工可燃气体和有毒气体检测报警设计标准》的技术内容</w:t>
      </w:r>
      <w:r>
        <w:rPr>
          <w:rFonts w:hint="eastAsia"/>
          <w:lang w:eastAsia="zh-CN"/>
        </w:rPr>
        <w:t>。</w:t>
      </w:r>
    </w:p>
    <w:p w14:paraId="685E49E0">
      <w:pPr>
        <w:pStyle w:val="43"/>
        <w:ind w:firstLine="480"/>
        <w:sectPr>
          <w:footerReference r:id="rId17" w:type="default"/>
          <w:type w:val="continuous"/>
          <w:pgSz w:w="11907" w:h="16839"/>
          <w:pgMar w:top="1418" w:right="1134" w:bottom="1134" w:left="1418" w:header="1247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t>本规范</w:t>
      </w:r>
      <w:r>
        <w:rPr>
          <w:rFonts w:hint="eastAsia"/>
        </w:rPr>
        <w:t>为</w:t>
      </w:r>
      <w:r>
        <w:t>首次</w:t>
      </w:r>
      <w:r>
        <w:rPr>
          <w:rFonts w:hint="eastAsia"/>
        </w:rPr>
        <w:t>发布</w:t>
      </w:r>
      <w:r>
        <w:t>。</w:t>
      </w:r>
      <w:bookmarkEnd w:id="35"/>
      <w:bookmarkEnd w:id="36"/>
      <w:bookmarkEnd w:id="37"/>
    </w:p>
    <w:p w14:paraId="38E1B51F">
      <w:pPr>
        <w:rPr>
          <w:rFonts w:eastAsia="宋体"/>
          <w:sz w:val="24"/>
        </w:rPr>
      </w:pPr>
    </w:p>
    <w:p w14:paraId="46839616">
      <w:pPr>
        <w:rPr>
          <w:rFonts w:eastAsia="宋体"/>
        </w:rPr>
      </w:pPr>
    </w:p>
    <w:p w14:paraId="45953EC4">
      <w:pPr>
        <w:rPr>
          <w:rFonts w:eastAsia="宋体"/>
        </w:rPr>
        <w:sectPr>
          <w:footerReference r:id="rId18" w:type="default"/>
          <w:type w:val="continuous"/>
          <w:pgSz w:w="11907" w:h="16839"/>
          <w:pgMar w:top="1418" w:right="1134" w:bottom="1134" w:left="1418" w:header="1247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6D0968B3">
      <w:pPr>
        <w:rPr>
          <w:rFonts w:eastAsia="宋体"/>
          <w:b/>
          <w:bCs/>
          <w:sz w:val="44"/>
          <w:szCs w:val="44"/>
        </w:rPr>
      </w:pPr>
      <w:bookmarkStart w:id="38" w:name="_Toc23785207"/>
      <w:bookmarkStart w:id="39" w:name="_Toc23785527"/>
      <w:bookmarkStart w:id="40" w:name="_Toc23784535"/>
      <w:bookmarkStart w:id="41" w:name="_Toc23784633"/>
      <w:bookmarkStart w:id="42" w:name="_Toc193618947"/>
      <w:bookmarkStart w:id="43" w:name="_Toc193619050"/>
      <w:bookmarkStart w:id="44" w:name="_Toc193619092"/>
    </w:p>
    <w:bookmarkEnd w:id="38"/>
    <w:bookmarkEnd w:id="39"/>
    <w:bookmarkEnd w:id="40"/>
    <w:bookmarkEnd w:id="41"/>
    <w:p w14:paraId="51F0D23F">
      <w:pPr>
        <w:jc w:val="center"/>
        <w:rPr>
          <w:rFonts w:ascii="黑体" w:hAnsi="黑体" w:eastAsia="黑体" w:cs="黑体"/>
          <w:sz w:val="32"/>
          <w:szCs w:val="32"/>
        </w:rPr>
      </w:pPr>
      <w:bookmarkStart w:id="45" w:name="_Toc1978"/>
      <w:bookmarkStart w:id="46" w:name="_Toc2836"/>
      <w:bookmarkStart w:id="47" w:name="_Toc18706"/>
      <w:bookmarkStart w:id="48" w:name="_Toc23236"/>
      <w:bookmarkStart w:id="49" w:name="_Toc5838"/>
      <w:bookmarkStart w:id="50" w:name="_Toc20879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二氧化碳</w:t>
      </w:r>
      <w:r>
        <w:rPr>
          <w:rFonts w:hint="eastAsia" w:ascii="黑体" w:hAnsi="黑体" w:eastAsia="黑体" w:cs="黑体"/>
          <w:sz w:val="32"/>
          <w:szCs w:val="32"/>
        </w:rPr>
        <w:t>浓度检测报警仪校准规范</w:t>
      </w:r>
      <w:bookmarkEnd w:id="45"/>
      <w:bookmarkEnd w:id="46"/>
      <w:bookmarkEnd w:id="47"/>
      <w:bookmarkEnd w:id="48"/>
      <w:bookmarkEnd w:id="49"/>
      <w:bookmarkEnd w:id="50"/>
    </w:p>
    <w:p w14:paraId="6506B28C">
      <w:pPr>
        <w:rPr>
          <w:rFonts w:eastAsia="宋体"/>
        </w:rPr>
      </w:pPr>
    </w:p>
    <w:p w14:paraId="633FEC8D">
      <w:pPr>
        <w:pStyle w:val="42"/>
        <w:spacing w:before="120" w:after="120" w:line="360" w:lineRule="auto"/>
        <w:outlineLvl w:val="0"/>
      </w:pPr>
      <w:bookmarkStart w:id="51" w:name="_Toc193860027"/>
      <w:bookmarkStart w:id="52" w:name="_Toc23785528"/>
      <w:bookmarkStart w:id="53" w:name="_Toc416"/>
      <w:bookmarkStart w:id="54" w:name="_Toc193860208"/>
      <w:bookmarkStart w:id="55" w:name="_Toc23662"/>
      <w:bookmarkStart w:id="56" w:name="_Toc23784634"/>
      <w:bookmarkStart w:id="57" w:name="_Toc24451"/>
      <w:bookmarkStart w:id="58" w:name="_Toc193860177"/>
      <w:bookmarkStart w:id="59" w:name="_Toc23784536"/>
      <w:bookmarkStart w:id="60" w:name="_Toc28688"/>
      <w:bookmarkStart w:id="61" w:name="_Toc8567"/>
      <w:bookmarkStart w:id="62" w:name="_Toc6679_WPSOffice_Level1"/>
      <w:r>
        <w:rPr>
          <w:rFonts w:hint="eastAsia"/>
        </w:rPr>
        <w:t xml:space="preserve"> </w:t>
      </w:r>
      <w:bookmarkStart w:id="63" w:name="_Toc7396"/>
      <w:r>
        <w:t>范围</w:t>
      </w:r>
      <w:bookmarkEnd w:id="42"/>
      <w:bookmarkEnd w:id="43"/>
      <w:bookmarkEnd w:id="44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14:paraId="712164E9">
      <w:pPr>
        <w:pStyle w:val="43"/>
        <w:ind w:firstLine="480"/>
        <w:rPr>
          <w:rFonts w:hint="eastAsia" w:eastAsia="宋体"/>
          <w:kern w:val="2"/>
          <w:lang w:eastAsia="zh-CN"/>
        </w:rPr>
      </w:pPr>
      <w:r>
        <w:rPr>
          <w:kern w:val="2"/>
        </w:rPr>
        <w:t>本规范</w:t>
      </w:r>
      <w:r>
        <w:t>适</w:t>
      </w:r>
      <w:r>
        <w:rPr>
          <w:rFonts w:hint="eastAsia"/>
        </w:rPr>
        <w:t>用</w:t>
      </w:r>
      <w:r>
        <w:rPr>
          <w:rFonts w:hint="eastAsia"/>
          <w:kern w:val="2"/>
        </w:rPr>
        <w:t>于</w:t>
      </w:r>
      <w:r>
        <w:rPr>
          <w:rFonts w:hint="eastAsia"/>
          <w:kern w:val="2"/>
          <w:lang w:val="en-US" w:eastAsia="zh-CN"/>
        </w:rPr>
        <w:t>非矿井作业环境中使用测量范围（0</w:t>
      </w:r>
      <w:r>
        <w:rPr>
          <w:lang w:bidi="zh-TW"/>
        </w:rPr>
        <w:t>～</w:t>
      </w:r>
      <w:r>
        <w:rPr>
          <w:rFonts w:hint="eastAsia"/>
          <w:lang w:val="en-US" w:eastAsia="zh-CN" w:bidi="zh-TW"/>
        </w:rPr>
        <w:t>100%</w:t>
      </w:r>
      <w:r>
        <w:rPr>
          <w:rFonts w:hint="eastAsia"/>
          <w:kern w:val="2"/>
          <w:lang w:val="en-US" w:eastAsia="zh-CN"/>
        </w:rPr>
        <w:t>）</w:t>
      </w:r>
      <w:r>
        <w:rPr>
          <w:rFonts w:hint="default" w:ascii="Times New Roman" w:hAnsi="Times New Roman" w:cs="Times New Roman"/>
          <w:kern w:val="2"/>
          <w:lang w:val="en-US" w:eastAsia="zh-CN"/>
        </w:rPr>
        <w:t>mol/mol</w:t>
      </w:r>
      <w:r>
        <w:rPr>
          <w:rFonts w:hint="eastAsia" w:ascii="宋体" w:hAnsi="宋体" w:cs="宋体"/>
          <w:kern w:val="2"/>
          <w:lang w:val="en-US" w:eastAsia="zh-CN"/>
        </w:rPr>
        <w:t>的二氧化碳浓度检测报警仪</w:t>
      </w:r>
      <w:r>
        <w:rPr>
          <w:rFonts w:hint="eastAsia"/>
          <w:kern w:val="2"/>
          <w:szCs w:val="24"/>
        </w:rPr>
        <w:t>（以下简称</w:t>
      </w:r>
      <w:r>
        <w:rPr>
          <w:rFonts w:hint="eastAsia"/>
          <w:kern w:val="2"/>
          <w:szCs w:val="24"/>
          <w:lang w:val="en-US" w:eastAsia="zh-CN"/>
        </w:rPr>
        <w:t>检测仪</w:t>
      </w:r>
      <w:r>
        <w:rPr>
          <w:rFonts w:hint="eastAsia"/>
          <w:kern w:val="2"/>
          <w:szCs w:val="24"/>
        </w:rPr>
        <w:t>）</w:t>
      </w:r>
      <w:r>
        <w:rPr>
          <w:kern w:val="2"/>
        </w:rPr>
        <w:t>校准</w:t>
      </w:r>
      <w:r>
        <w:rPr>
          <w:rFonts w:hint="eastAsia"/>
          <w:kern w:val="2"/>
          <w:lang w:eastAsia="zh-CN"/>
        </w:rPr>
        <w:t>，</w:t>
      </w:r>
      <w:r>
        <w:rPr>
          <w:rFonts w:hint="eastAsia"/>
          <w:kern w:val="2"/>
        </w:rPr>
        <w:t>其他用于</w:t>
      </w:r>
      <w:r>
        <w:rPr>
          <w:rFonts w:hint="eastAsia" w:ascii="宋体" w:hAnsi="宋体" w:cs="宋体"/>
          <w:kern w:val="2"/>
          <w:lang w:val="en-US" w:eastAsia="zh-CN"/>
        </w:rPr>
        <w:t>二氧化碳</w:t>
      </w:r>
      <w:r>
        <w:rPr>
          <w:rFonts w:hint="eastAsia"/>
          <w:kern w:val="2"/>
        </w:rPr>
        <w:t>浓度检测或报警的仪器也可参照本规范进行校准</w:t>
      </w:r>
      <w:r>
        <w:rPr>
          <w:rFonts w:hint="eastAsia"/>
          <w:kern w:val="2"/>
          <w:lang w:eastAsia="zh-CN"/>
        </w:rPr>
        <w:t>。</w:t>
      </w:r>
    </w:p>
    <w:p w14:paraId="2A4D814C">
      <w:pPr>
        <w:pStyle w:val="42"/>
        <w:spacing w:before="120" w:after="120" w:line="360" w:lineRule="auto"/>
        <w:outlineLvl w:val="0"/>
      </w:pPr>
      <w:r>
        <w:rPr>
          <w:rFonts w:hint="eastAsia"/>
        </w:rPr>
        <w:t xml:space="preserve"> </w:t>
      </w:r>
      <w:bookmarkStart w:id="64" w:name="_Toc9748"/>
      <w:bookmarkStart w:id="65" w:name="_Toc8614"/>
      <w:bookmarkStart w:id="66" w:name="_Toc17158"/>
      <w:bookmarkStart w:id="67" w:name="_Toc6158"/>
      <w:bookmarkStart w:id="68" w:name="_Toc73"/>
      <w:r>
        <w:rPr>
          <w:rFonts w:hint="eastAsia"/>
        </w:rPr>
        <w:t>引用文件</w:t>
      </w:r>
      <w:bookmarkEnd w:id="64"/>
      <w:bookmarkEnd w:id="65"/>
      <w:bookmarkEnd w:id="66"/>
      <w:bookmarkEnd w:id="67"/>
      <w:bookmarkEnd w:id="68"/>
    </w:p>
    <w:p w14:paraId="01CD55A7">
      <w:pPr>
        <w:pStyle w:val="43"/>
        <w:ind w:firstLine="480"/>
      </w:pPr>
      <w:r>
        <w:t>本</w:t>
      </w:r>
      <w:r>
        <w:rPr>
          <w:rFonts w:hint="eastAsia"/>
        </w:rPr>
        <w:t>规范</w:t>
      </w:r>
      <w:r>
        <w:t>引用了下列文件：</w:t>
      </w:r>
    </w:p>
    <w:p w14:paraId="57CF4FD5">
      <w:pPr>
        <w:pStyle w:val="43"/>
        <w:ind w:firstLine="480"/>
      </w:pPr>
      <w:r>
        <w:t>GB 12358</w:t>
      </w:r>
      <w:r>
        <w:rPr>
          <w:rFonts w:hint="eastAsia"/>
        </w:rPr>
        <w:t>-</w:t>
      </w:r>
      <w:r>
        <w:t>20</w:t>
      </w:r>
      <w:r>
        <w:rPr>
          <w:rFonts w:hint="eastAsia"/>
          <w:lang w:val="en-US" w:eastAsia="zh-CN"/>
        </w:rPr>
        <w:t>24</w:t>
      </w:r>
      <w:r>
        <w:t xml:space="preserve">  </w:t>
      </w:r>
      <w:r>
        <w:rPr>
          <w:rFonts w:hint="eastAsia"/>
        </w:rPr>
        <w:t>作业场所环境气体检测报警仪器通用技术要求</w:t>
      </w:r>
    </w:p>
    <w:p w14:paraId="17157D70">
      <w:pPr>
        <w:pStyle w:val="43"/>
        <w:ind w:firstLine="480"/>
      </w:pPr>
      <w:r>
        <w:t>GB/T 50493</w:t>
      </w:r>
      <w:r>
        <w:rPr>
          <w:rFonts w:hint="eastAsia"/>
        </w:rPr>
        <w:t>-</w:t>
      </w:r>
      <w:r>
        <w:t>2019  石油化工可燃气体和有毒气体检测报警设计标准</w:t>
      </w:r>
    </w:p>
    <w:p w14:paraId="7A16C7BC">
      <w:pPr>
        <w:pStyle w:val="43"/>
        <w:ind w:firstLine="480"/>
      </w:pPr>
      <w:r>
        <w:t>凡是注明日期的引用文件，仅注明日期的版本适用于本规范；凡是不注明日期的引用文件，其最新版本（包括所有的修改单）适用于本规范。</w:t>
      </w:r>
    </w:p>
    <w:p w14:paraId="738A22E0">
      <w:pPr>
        <w:pStyle w:val="42"/>
        <w:spacing w:before="120" w:after="120" w:line="360" w:lineRule="auto"/>
        <w:outlineLvl w:val="0"/>
        <w:rPr>
          <w:rFonts w:hAnsi="宋体" w:eastAsia="宋体"/>
          <w:szCs w:val="24"/>
        </w:rPr>
      </w:pPr>
      <w:bookmarkStart w:id="69" w:name="_Toc26906"/>
      <w:bookmarkStart w:id="70" w:name="_Toc23491"/>
      <w:bookmarkStart w:id="71" w:name="_Toc11481"/>
      <w:bookmarkStart w:id="72" w:name="_Toc20610"/>
      <w:bookmarkStart w:id="73" w:name="_Toc193619098"/>
      <w:bookmarkStart w:id="74" w:name="_Toc193860181"/>
      <w:bookmarkStart w:id="75" w:name="_Toc23785539"/>
      <w:bookmarkStart w:id="76" w:name="_Toc193619056"/>
      <w:bookmarkStart w:id="77" w:name="_Toc2124_WPSOffice_Level1"/>
      <w:bookmarkStart w:id="78" w:name="_Toc23784547"/>
      <w:bookmarkStart w:id="79" w:name="_Toc193618953"/>
      <w:bookmarkStart w:id="80" w:name="_Toc193860031"/>
      <w:bookmarkStart w:id="81" w:name="_Toc23784645"/>
      <w:bookmarkStart w:id="82" w:name="_Toc27992"/>
      <w:bookmarkStart w:id="83" w:name="_Toc3994"/>
      <w:bookmarkStart w:id="84" w:name="_Toc193860212"/>
      <w:r>
        <w:rPr>
          <w:rFonts w:hint="eastAsia"/>
        </w:rPr>
        <w:t xml:space="preserve"> </w:t>
      </w:r>
      <w:bookmarkStart w:id="85" w:name="_Toc977"/>
      <w:r>
        <w:rPr>
          <w:rFonts w:hint="eastAsia"/>
        </w:rPr>
        <w:t>概述</w:t>
      </w:r>
      <w:bookmarkEnd w:id="69"/>
      <w:bookmarkEnd w:id="70"/>
      <w:bookmarkEnd w:id="71"/>
      <w:bookmarkEnd w:id="72"/>
      <w:bookmarkEnd w:id="85"/>
    </w:p>
    <w:p w14:paraId="46BEA3CC">
      <w:pPr>
        <w:pStyle w:val="43"/>
        <w:ind w:firstLine="480"/>
        <w:rPr>
          <w:rFonts w:hint="eastAsia" w:hAnsi="宋体"/>
          <w:szCs w:val="24"/>
        </w:rPr>
      </w:pPr>
      <w:r>
        <w:rPr>
          <w:rFonts w:hint="eastAsia"/>
          <w:kern w:val="2"/>
          <w:szCs w:val="24"/>
          <w:lang w:val="en-US" w:eastAsia="zh-CN"/>
        </w:rPr>
        <w:t>二氧化碳</w:t>
      </w:r>
      <w:r>
        <w:rPr>
          <w:rFonts w:hint="eastAsia"/>
          <w:kern w:val="2"/>
          <w:szCs w:val="24"/>
        </w:rPr>
        <w:t>浓度检测报警仪</w:t>
      </w:r>
      <w:r>
        <w:rPr>
          <w:rFonts w:hint="eastAsia" w:hAnsi="宋体"/>
          <w:szCs w:val="24"/>
        </w:rPr>
        <w:t>用于检测作业场所环境中</w:t>
      </w:r>
      <w:r>
        <w:rPr>
          <w:rFonts w:hint="eastAsia" w:hAnsi="宋体"/>
          <w:szCs w:val="24"/>
          <w:lang w:val="en-US" w:eastAsia="zh-CN"/>
        </w:rPr>
        <w:t>二氧化碳</w:t>
      </w:r>
      <w:r>
        <w:rPr>
          <w:rFonts w:hint="eastAsia" w:hAnsi="宋体"/>
          <w:szCs w:val="24"/>
        </w:rPr>
        <w:t>的浓度，</w:t>
      </w:r>
      <w:r>
        <w:rPr>
          <w:rFonts w:hint="eastAsia" w:hAnsi="宋体"/>
          <w:szCs w:val="24"/>
          <w:lang w:val="en-US" w:eastAsia="zh-CN"/>
        </w:rPr>
        <w:t>其</w:t>
      </w:r>
      <w:r>
        <w:rPr>
          <w:rFonts w:hint="default" w:ascii="Times New Roman" w:hAnsi="宋体" w:eastAsia="宋体" w:cs="Times New Roman"/>
          <w:sz w:val="24"/>
          <w:szCs w:val="24"/>
          <w:lang w:val="en-US" w:eastAsia="zh-CN" w:bidi="ar-SA"/>
        </w:rPr>
        <w:t>主要</w:t>
      </w:r>
      <w:r>
        <w:rPr>
          <w:rFonts w:hint="eastAsia" w:ascii="Times New Roman" w:hAnsi="宋体" w:cs="Times New Roman"/>
          <w:sz w:val="24"/>
          <w:szCs w:val="24"/>
          <w:lang w:val="en-US" w:eastAsia="zh-CN" w:bidi="ar-SA"/>
        </w:rPr>
        <w:t>原理是</w:t>
      </w:r>
      <w:r>
        <w:rPr>
          <w:rFonts w:hint="default" w:ascii="Times New Roman" w:hAnsi="宋体" w:eastAsia="宋体" w:cs="Times New Roman"/>
          <w:sz w:val="24"/>
          <w:szCs w:val="24"/>
          <w:lang w:val="en-US" w:eastAsia="zh-CN" w:bidi="ar-SA"/>
        </w:rPr>
        <w:t>基于红外吸收技术和电化学传感器技术，通过光强变化或化学反应产生的电信号来精确测量</w:t>
      </w:r>
      <w:r>
        <w:rPr>
          <w:rFonts w:hint="eastAsia" w:hAnsi="宋体"/>
          <w:szCs w:val="24"/>
        </w:rPr>
        <w:t>。</w:t>
      </w:r>
      <w:r>
        <w:rPr>
          <w:rFonts w:hint="eastAsia" w:hAnsi="宋体"/>
          <w:szCs w:val="24"/>
          <w:lang w:val="en-US" w:eastAsia="zh-CN"/>
        </w:rPr>
        <w:t>检测仪根据</w:t>
      </w:r>
      <w:r>
        <w:rPr>
          <w:rFonts w:hint="eastAsia" w:hAnsi="宋体"/>
          <w:szCs w:val="24"/>
        </w:rPr>
        <w:t>采样方式</w:t>
      </w:r>
      <w:r>
        <w:rPr>
          <w:rFonts w:hint="eastAsia" w:hAnsi="宋体"/>
          <w:szCs w:val="24"/>
          <w:lang w:val="en-US" w:eastAsia="zh-CN"/>
        </w:rPr>
        <w:t>可分为</w:t>
      </w:r>
      <w:r>
        <w:rPr>
          <w:rFonts w:hint="eastAsia" w:hAnsi="宋体"/>
          <w:szCs w:val="24"/>
        </w:rPr>
        <w:t>扩散式</w:t>
      </w:r>
      <w:r>
        <w:rPr>
          <w:rFonts w:hint="eastAsia" w:hAnsi="宋体"/>
          <w:szCs w:val="24"/>
          <w:lang w:val="en-US" w:eastAsia="zh-CN"/>
        </w:rPr>
        <w:t>和</w:t>
      </w:r>
      <w:r>
        <w:rPr>
          <w:rFonts w:hint="eastAsia" w:hAnsi="宋体"/>
          <w:szCs w:val="24"/>
        </w:rPr>
        <w:t>吸入式</w:t>
      </w:r>
      <w:r>
        <w:rPr>
          <w:rFonts w:hint="eastAsia" w:hAnsi="宋体"/>
          <w:szCs w:val="24"/>
          <w:lang w:eastAsia="zh-CN"/>
        </w:rPr>
        <w:t>，</w:t>
      </w:r>
      <w:r>
        <w:rPr>
          <w:rFonts w:hint="eastAsia" w:hAnsi="宋体"/>
          <w:szCs w:val="24"/>
          <w:lang w:val="en-US" w:eastAsia="zh-CN"/>
        </w:rPr>
        <w:t>根据</w:t>
      </w:r>
      <w:r>
        <w:rPr>
          <w:rFonts w:hint="eastAsia" w:hAnsi="宋体"/>
          <w:szCs w:val="24"/>
        </w:rPr>
        <w:t>结构形式</w:t>
      </w:r>
      <w:r>
        <w:rPr>
          <w:rFonts w:hint="eastAsia" w:hAnsi="宋体"/>
          <w:szCs w:val="24"/>
          <w:lang w:val="en-US" w:eastAsia="zh-CN"/>
        </w:rPr>
        <w:t>可分为</w:t>
      </w:r>
      <w:r>
        <w:rPr>
          <w:rFonts w:hint="eastAsia" w:hAnsi="宋体"/>
          <w:szCs w:val="24"/>
        </w:rPr>
        <w:t>便携式</w:t>
      </w:r>
      <w:r>
        <w:rPr>
          <w:rFonts w:hint="eastAsia" w:hAnsi="宋体"/>
          <w:szCs w:val="24"/>
          <w:lang w:eastAsia="zh-CN"/>
        </w:rPr>
        <w:t>、</w:t>
      </w:r>
      <w:r>
        <w:rPr>
          <w:rFonts w:hint="eastAsia" w:hAnsi="宋体"/>
          <w:szCs w:val="24"/>
        </w:rPr>
        <w:t>固定式</w:t>
      </w:r>
      <w:r>
        <w:rPr>
          <w:rFonts w:hint="eastAsia" w:hAnsi="宋体"/>
          <w:szCs w:val="24"/>
          <w:lang w:eastAsia="zh-CN"/>
        </w:rPr>
        <w:t>、</w:t>
      </w:r>
      <w:r>
        <w:rPr>
          <w:rFonts w:hint="eastAsia" w:hAnsi="宋体"/>
          <w:szCs w:val="24"/>
          <w:lang w:val="en-US" w:eastAsia="zh-CN"/>
        </w:rPr>
        <w:t>单一式和复合式</w:t>
      </w:r>
      <w:r>
        <w:rPr>
          <w:rFonts w:hint="eastAsia" w:hAnsi="宋体"/>
          <w:szCs w:val="24"/>
        </w:rPr>
        <w:t>。</w:t>
      </w:r>
      <w:r>
        <w:rPr>
          <w:rFonts w:hint="eastAsia" w:hAnsi="宋体"/>
          <w:szCs w:val="24"/>
          <w:lang w:val="en-US" w:eastAsia="zh-CN"/>
        </w:rPr>
        <w:t>检测仪</w:t>
      </w:r>
      <w:r>
        <w:rPr>
          <w:rFonts w:hint="eastAsia" w:hAnsi="宋体"/>
          <w:szCs w:val="24"/>
        </w:rPr>
        <w:t>主要由显示部分</w:t>
      </w:r>
      <w:r>
        <w:rPr>
          <w:rFonts w:hint="eastAsia" w:hAnsi="宋体"/>
          <w:szCs w:val="24"/>
          <w:lang w:eastAsia="zh-CN"/>
        </w:rPr>
        <w:t>、</w:t>
      </w:r>
      <w:r>
        <w:rPr>
          <w:rFonts w:hint="eastAsia" w:hAnsi="宋体"/>
          <w:szCs w:val="24"/>
          <w:lang w:val="en-US" w:eastAsia="zh-CN"/>
        </w:rPr>
        <w:t>信号处理部分、报警部分、输出模块、壳体及</w:t>
      </w:r>
      <w:r>
        <w:rPr>
          <w:rFonts w:hint="eastAsia" w:hAnsi="宋体"/>
          <w:szCs w:val="24"/>
        </w:rPr>
        <w:t>检测元件组成，如图1所示。</w:t>
      </w:r>
    </w:p>
    <w:p w14:paraId="41FBD767">
      <w:pPr>
        <w:pStyle w:val="43"/>
        <w:ind w:firstLine="480"/>
        <w:jc w:val="center"/>
        <w:rPr>
          <w:rFonts w:hint="eastAsia" w:hAnsi="宋体" w:eastAsia="宋体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2583815</wp:posOffset>
                </wp:positionH>
                <wp:positionV relativeFrom="paragraph">
                  <wp:posOffset>2018665</wp:posOffset>
                </wp:positionV>
                <wp:extent cx="209550" cy="25717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16982">
                            <w:pPr>
                              <w:spacing w:line="360" w:lineRule="auto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45pt;margin-top:158.95pt;height:20.25pt;width:16.5pt;z-index:251680768;mso-width-relative:page;mso-height-relative:page;" filled="f" stroked="f" coordsize="21600,21600" o:gfxdata="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7Npky3AAAAAsBAAAPAAAAAAAAAAEAIAAAACIAAABk&#10;cnMvZG93bnJldi54bWxQSwECFAAUAAAACACHTuJAgXVv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16982">
                      <w:pPr>
                        <w:spacing w:line="360" w:lineRule="auto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1613535</wp:posOffset>
                </wp:positionV>
                <wp:extent cx="209550" cy="25717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B651">
                            <w:pPr>
                              <w:spacing w:line="360" w:lineRule="auto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8pt;margin-top:127.05pt;height:20.25pt;width:16.5pt;z-index:251679744;mso-width-relative:page;mso-height-relative:page;" filled="f" stroked="f" coordsize="21600,21600" o:gfxdata="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cT8S/3AAAAAsBAAAPAAAAAAAAAAEAIAAAACIAAABk&#10;cnMvZG93bnJldi54bWxQSwECFAAUAAAACACHTuJA2wqsX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B651">
                      <w:pPr>
                        <w:spacing w:line="360" w:lineRule="auto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1494790</wp:posOffset>
                </wp:positionV>
                <wp:extent cx="209550" cy="25717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FB6CB">
                            <w:pPr>
                              <w:spacing w:line="360" w:lineRule="auto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0pt;margin-top:117.7pt;height:20.25pt;width:16.5pt;z-index:251678720;mso-width-relative:page;mso-height-relative:page;" filled="f" stroked="f" coordsize="21600,21600" o:gfxdata="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Jhl1NsAAAALAQAADwAAAAAAAAABACAAAAAiAAAAZHJz&#10;L2Rvd25yZXYueG1sUEsBAhQAFAAAAAgAh07iQHSNmLw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4FB6CB">
                      <w:pPr>
                        <w:spacing w:line="360" w:lineRule="auto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220980</wp:posOffset>
                </wp:positionV>
                <wp:extent cx="209550" cy="25717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A3279B">
                            <w:pPr>
                              <w:spacing w:line="360" w:lineRule="auto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6.85pt;margin-top:17.4pt;height:20.25pt;width:16.5pt;z-index:251677696;mso-width-relative:page;mso-height-relative:page;" filled="f" stroked="f" coordsize="21600,21600" o:gfxdata="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5RJdO2gAAAAkBAAAPAAAAAAAAAAEAIAAAACIAAABkcnMv&#10;ZG93bnJldi54bWxQSwECFAAUAAAACACHTuJALvJbVD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A3279B">
                      <w:pPr>
                        <w:spacing w:line="360" w:lineRule="auto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2435225</wp:posOffset>
                </wp:positionH>
                <wp:positionV relativeFrom="paragraph">
                  <wp:posOffset>155575</wp:posOffset>
                </wp:positionV>
                <wp:extent cx="209550" cy="25717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1E3244">
                            <w:pPr>
                              <w:spacing w:line="360" w:lineRule="auto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75pt;margin-top:12.25pt;height:20.25pt;width:16.5pt;z-index:251676672;mso-width-relative:page;mso-height-relative:page;" filled="f" stroked="f" coordsize="21600,21600" o:gfxdata="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T/FZ8NoAAAAJAQAADwAAAAAAAAABACAAAAAiAAAAZHJz&#10;L2Rvd25yZXYueG1sUEsBAhQAFAAAAAgAh07iQKSAFcA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1E3244">
                      <w:pPr>
                        <w:spacing w:line="360" w:lineRule="auto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1423670</wp:posOffset>
                </wp:positionV>
                <wp:extent cx="209550" cy="25717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717EE">
                            <w:pPr>
                              <w:spacing w:line="360" w:lineRule="auto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0pt;margin-top:112.1pt;height:20.25pt;width:16.5pt;z-index:251675648;mso-width-relative:page;mso-height-relative:page;" filled="f" stroked="f" coordsize="21600,21600" o:gfxdata="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S4y0dsAAAALAQAADwAAAAAAAAABACAAAAAiAAAAZHJz&#10;L2Rvd25yZXYueG1sUEsBAhQAFAAAAAgAh07iQMufmlo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9717EE">
                      <w:pPr>
                        <w:spacing w:line="360" w:lineRule="auto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hAnsi="宋体" w:eastAsia="宋体"/>
          <w:szCs w:val="24"/>
          <w:lang w:eastAsia="zh-CN"/>
        </w:rPr>
        <w:drawing>
          <wp:inline distT="0" distB="0" distL="114300" distR="114300">
            <wp:extent cx="3428365" cy="2392680"/>
            <wp:effectExtent l="0" t="0" r="635" b="7620"/>
            <wp:docPr id="18" name="图片 18" descr="754065b8-bbcc-4433-afc7-897bb78380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754065b8-bbcc-4433-afc7-897bb78380f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30671">
      <w:pPr>
        <w:pStyle w:val="43"/>
        <w:ind w:firstLine="480"/>
        <w:jc w:val="center"/>
        <w:rPr>
          <w:rFonts w:hint="eastAsia" w:ascii="Times New Roman" w:hAnsi="Times New Roman" w:cs="宋体"/>
          <w:sz w:val="18"/>
          <w:szCs w:val="18"/>
          <w:lang w:val="en-US" w:eastAsia="zh-CN"/>
        </w:rPr>
      </w:pPr>
      <w:r>
        <w:rPr>
          <w:rFonts w:hint="eastAsia" w:ascii="Times New Roman" w:hAnsi="Times New Roman" w:cs="宋体"/>
          <w:sz w:val="18"/>
          <w:szCs w:val="18"/>
        </w:rPr>
        <w:t>图</w:t>
      </w: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1</w:t>
      </w:r>
      <w:r>
        <w:rPr>
          <w:rFonts w:hint="eastAsia" w:ascii="Times New Roman" w:hAnsi="Times New Roman" w:cs="宋体"/>
          <w:sz w:val="18"/>
          <w:szCs w:val="18"/>
        </w:rPr>
        <w:t xml:space="preserve"> </w:t>
      </w:r>
      <w:r>
        <w:rPr>
          <w:rFonts w:hint="eastAsia" w:cs="宋体"/>
          <w:sz w:val="18"/>
          <w:szCs w:val="18"/>
          <w:lang w:val="en-US" w:eastAsia="zh-CN"/>
        </w:rPr>
        <w:t>检测仪</w:t>
      </w: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结构</w:t>
      </w:r>
      <w:r>
        <w:rPr>
          <w:rFonts w:hint="eastAsia" w:ascii="Times New Roman" w:hAnsi="Times New Roman" w:cs="宋体"/>
          <w:sz w:val="18"/>
          <w:szCs w:val="18"/>
        </w:rPr>
        <w:t>图</w:t>
      </w:r>
    </w:p>
    <w:p w14:paraId="78DE3E47">
      <w:pPr>
        <w:pStyle w:val="43"/>
        <w:ind w:firstLine="480"/>
        <w:jc w:val="center"/>
        <w:rPr>
          <w:rFonts w:hint="default" w:ascii="Times New Roman" w:hAnsi="Times New Roman" w:eastAsia="宋体" w:cs="宋体"/>
          <w:sz w:val="18"/>
          <w:szCs w:val="18"/>
          <w:lang w:val="en-US" w:eastAsia="zh-CN"/>
        </w:rPr>
      </w:pP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1-显示</w:t>
      </w:r>
      <w:r>
        <w:rPr>
          <w:rFonts w:hint="eastAsia" w:cs="宋体"/>
          <w:sz w:val="18"/>
          <w:szCs w:val="18"/>
          <w:lang w:val="en-US" w:eastAsia="zh-CN"/>
        </w:rPr>
        <w:t>部分</w:t>
      </w: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；2-</w:t>
      </w:r>
      <w:r>
        <w:rPr>
          <w:rFonts w:hint="eastAsia" w:cs="宋体"/>
          <w:sz w:val="18"/>
          <w:szCs w:val="18"/>
          <w:lang w:val="en-US" w:eastAsia="zh-CN"/>
        </w:rPr>
        <w:t>信号处理部分</w:t>
      </w: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；3-</w:t>
      </w:r>
      <w:r>
        <w:rPr>
          <w:rFonts w:hint="eastAsia" w:cs="宋体"/>
          <w:sz w:val="18"/>
          <w:szCs w:val="18"/>
          <w:lang w:val="en-US" w:eastAsia="zh-CN"/>
        </w:rPr>
        <w:t>报警部分</w:t>
      </w: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；4-</w:t>
      </w:r>
      <w:r>
        <w:rPr>
          <w:rFonts w:hint="eastAsia" w:cs="宋体"/>
          <w:sz w:val="18"/>
          <w:szCs w:val="18"/>
          <w:lang w:val="en-US" w:eastAsia="zh-CN"/>
        </w:rPr>
        <w:t>输出模块</w:t>
      </w: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；5-</w:t>
      </w:r>
      <w:r>
        <w:rPr>
          <w:rFonts w:hint="eastAsia" w:cs="宋体"/>
          <w:sz w:val="18"/>
          <w:szCs w:val="18"/>
          <w:lang w:val="en-US" w:eastAsia="zh-CN"/>
        </w:rPr>
        <w:t>壳体</w:t>
      </w: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；6-</w:t>
      </w:r>
      <w:r>
        <w:rPr>
          <w:rFonts w:hint="eastAsia" w:cs="宋体"/>
          <w:sz w:val="18"/>
          <w:szCs w:val="18"/>
          <w:lang w:val="en-US" w:eastAsia="zh-CN"/>
        </w:rPr>
        <w:t>检测元件</w:t>
      </w:r>
    </w:p>
    <w:p w14:paraId="30105303">
      <w:pPr>
        <w:pStyle w:val="42"/>
        <w:spacing w:before="120" w:after="120" w:line="360" w:lineRule="auto"/>
        <w:outlineLvl w:val="0"/>
      </w:pPr>
      <w:r>
        <w:rPr>
          <w:rFonts w:hint="eastAsia"/>
        </w:rPr>
        <w:t xml:space="preserve"> </w:t>
      </w:r>
      <w:bookmarkStart w:id="86" w:name="_Toc21890"/>
      <w:bookmarkStart w:id="87" w:name="_Toc26635"/>
      <w:bookmarkStart w:id="88" w:name="_Toc21085"/>
      <w:bookmarkStart w:id="89" w:name="_Toc19020"/>
      <w:bookmarkStart w:id="90" w:name="_Toc27499"/>
      <w:r>
        <w:t>计量特性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6"/>
      <w:bookmarkEnd w:id="87"/>
      <w:bookmarkEnd w:id="88"/>
      <w:bookmarkEnd w:id="89"/>
      <w:bookmarkEnd w:id="90"/>
    </w:p>
    <w:p w14:paraId="4C0E2597">
      <w:pPr>
        <w:pStyle w:val="43"/>
        <w:ind w:firstLine="480"/>
        <w:rPr>
          <w:rFonts w:hint="eastAsia"/>
        </w:rPr>
      </w:pPr>
      <w:r>
        <w:rPr>
          <w:rFonts w:hint="eastAsia"/>
          <w:lang w:val="en-US" w:eastAsia="zh-CN"/>
        </w:rPr>
        <w:t>检测仪的校准项目和</w:t>
      </w:r>
      <w:r>
        <w:rPr>
          <w:rFonts w:hint="eastAsia"/>
        </w:rPr>
        <w:t>计量特性</w:t>
      </w:r>
      <w:r>
        <w:rPr>
          <w:rFonts w:hint="eastAsia"/>
          <w:lang w:val="en-US" w:eastAsia="zh-CN"/>
        </w:rPr>
        <w:t>要求</w:t>
      </w:r>
      <w:r>
        <w:rPr>
          <w:rFonts w:hint="eastAsia"/>
        </w:rPr>
        <w:t>见表1。</w:t>
      </w:r>
    </w:p>
    <w:p w14:paraId="38EBEA2F">
      <w:pPr>
        <w:spacing w:line="360" w:lineRule="auto"/>
        <w:jc w:val="center"/>
        <w:rPr>
          <w:rFonts w:hint="eastAsia" w:eastAsia="黑体"/>
          <w:lang w:val="en-US" w:eastAsia="zh-CN"/>
        </w:rPr>
      </w:pPr>
      <w:bookmarkStart w:id="91" w:name="_Hlk166234278"/>
      <w:r>
        <w:rPr>
          <w:rStyle w:val="102"/>
          <w:rFonts w:hint="default" w:cs="Times New Roman"/>
          <w:color w:val="auto"/>
        </w:rPr>
        <w:t xml:space="preserve">表1 </w:t>
      </w:r>
      <w:r>
        <w:rPr>
          <w:rStyle w:val="102"/>
          <w:rFonts w:hint="eastAsia" w:eastAsia="黑体" w:cs="Times New Roman"/>
          <w:color w:val="auto"/>
          <w:lang w:val="en-US" w:eastAsia="zh-CN"/>
        </w:rPr>
        <w:t>检测仪校准项目和</w:t>
      </w:r>
      <w:r>
        <w:rPr>
          <w:rStyle w:val="102"/>
          <w:rFonts w:hint="default" w:cs="Times New Roman"/>
          <w:color w:val="auto"/>
        </w:rPr>
        <w:t>计量特性</w:t>
      </w:r>
      <w:r>
        <w:rPr>
          <w:rStyle w:val="102"/>
          <w:rFonts w:hint="eastAsia" w:eastAsia="黑体" w:cs="Times New Roman"/>
          <w:color w:val="auto"/>
          <w:lang w:val="en-US" w:eastAsia="zh-CN"/>
        </w:rPr>
        <w:t>要求</w:t>
      </w:r>
    </w:p>
    <w:bookmarkEnd w:id="91"/>
    <w:tbl>
      <w:tblPr>
        <w:tblStyle w:val="2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2974"/>
        <w:gridCol w:w="2318"/>
        <w:gridCol w:w="2900"/>
      </w:tblGrid>
      <w:tr w14:paraId="78D95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89" w:type="pct"/>
            <w:vAlign w:val="center"/>
          </w:tcPr>
          <w:p w14:paraId="06F1D83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bookmarkStart w:id="92" w:name="_Hlk166240423"/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601" w:type="pct"/>
            <w:vAlign w:val="center"/>
          </w:tcPr>
          <w:p w14:paraId="1771896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校准</w:t>
            </w:r>
            <w:r>
              <w:rPr>
                <w:rFonts w:hint="eastAsia"/>
                <w:sz w:val="21"/>
                <w:szCs w:val="21"/>
              </w:rPr>
              <w:t>项目</w:t>
            </w:r>
          </w:p>
        </w:tc>
        <w:tc>
          <w:tcPr>
            <w:tcW w:w="2809" w:type="pct"/>
            <w:gridSpan w:val="2"/>
            <w:vAlign w:val="center"/>
          </w:tcPr>
          <w:p w14:paraId="4FEC61C7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计量特性</w:t>
            </w:r>
          </w:p>
        </w:tc>
      </w:tr>
      <w:tr w14:paraId="07057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9" w:type="pct"/>
            <w:vAlign w:val="center"/>
          </w:tcPr>
          <w:p w14:paraId="775E180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601" w:type="pct"/>
            <w:vAlign w:val="center"/>
          </w:tcPr>
          <w:p w14:paraId="0EFBC07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示值误差</w:t>
            </w:r>
          </w:p>
        </w:tc>
        <w:tc>
          <w:tcPr>
            <w:tcW w:w="2809" w:type="pct"/>
            <w:gridSpan w:val="2"/>
            <w:vAlign w:val="center"/>
          </w:tcPr>
          <w:p w14:paraId="53D70363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±</w:t>
            </w:r>
            <w:r>
              <w:rPr>
                <w:sz w:val="21"/>
                <w:szCs w:val="21"/>
              </w:rPr>
              <w:t>5%FS</w:t>
            </w:r>
          </w:p>
        </w:tc>
      </w:tr>
      <w:tr w14:paraId="2F9F0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89" w:type="pct"/>
            <w:vAlign w:val="center"/>
          </w:tcPr>
          <w:p w14:paraId="71AFEA1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1" w:type="pct"/>
            <w:vAlign w:val="center"/>
          </w:tcPr>
          <w:p w14:paraId="41B00C9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示值</w:t>
            </w:r>
            <w:r>
              <w:rPr>
                <w:rFonts w:hint="eastAsia"/>
                <w:color w:val="auto"/>
                <w:sz w:val="21"/>
                <w:szCs w:val="21"/>
              </w:rPr>
              <w:t>响应时间</w:t>
            </w:r>
          </w:p>
        </w:tc>
        <w:tc>
          <w:tcPr>
            <w:tcW w:w="2809" w:type="pct"/>
            <w:gridSpan w:val="2"/>
            <w:tcBorders/>
            <w:vAlign w:val="center"/>
          </w:tcPr>
          <w:p w14:paraId="4DCB286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≤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/>
                <w:sz w:val="21"/>
                <w:szCs w:val="21"/>
              </w:rPr>
              <w:t>0s</w:t>
            </w:r>
          </w:p>
        </w:tc>
      </w:tr>
      <w:tr w14:paraId="4E1B07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89" w:type="pct"/>
            <w:vAlign w:val="center"/>
          </w:tcPr>
          <w:p w14:paraId="07C018C8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01" w:type="pct"/>
            <w:vAlign w:val="center"/>
          </w:tcPr>
          <w:p w14:paraId="6F25B4E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报警误差</w:t>
            </w:r>
          </w:p>
        </w:tc>
        <w:tc>
          <w:tcPr>
            <w:tcW w:w="2809" w:type="pct"/>
            <w:gridSpan w:val="2"/>
            <w:vAlign w:val="center"/>
          </w:tcPr>
          <w:p w14:paraId="650B7F8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±15%</w:t>
            </w:r>
          </w:p>
        </w:tc>
      </w:tr>
      <w:tr w14:paraId="2A7CA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9" w:type="pct"/>
            <w:vAlign w:val="center"/>
          </w:tcPr>
          <w:p w14:paraId="60609325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601" w:type="pct"/>
            <w:vAlign w:val="center"/>
          </w:tcPr>
          <w:p w14:paraId="498A4512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报警响应时间</w:t>
            </w:r>
          </w:p>
        </w:tc>
        <w:tc>
          <w:tcPr>
            <w:tcW w:w="2809" w:type="pct"/>
            <w:gridSpan w:val="2"/>
            <w:tcBorders/>
            <w:vAlign w:val="center"/>
          </w:tcPr>
          <w:p w14:paraId="2678E4A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≤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/>
                <w:sz w:val="21"/>
                <w:szCs w:val="21"/>
              </w:rPr>
              <w:t>0s</w:t>
            </w:r>
          </w:p>
        </w:tc>
      </w:tr>
      <w:tr w14:paraId="173ED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89" w:type="pct"/>
            <w:vAlign w:val="center"/>
          </w:tcPr>
          <w:p w14:paraId="11D8091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01" w:type="pct"/>
            <w:vAlign w:val="center"/>
          </w:tcPr>
          <w:p w14:paraId="34374627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重复性</w:t>
            </w:r>
          </w:p>
        </w:tc>
        <w:tc>
          <w:tcPr>
            <w:tcW w:w="2809" w:type="pct"/>
            <w:gridSpan w:val="2"/>
            <w:vAlign w:val="center"/>
          </w:tcPr>
          <w:p w14:paraId="76C713C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≤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/>
                <w:sz w:val="21"/>
                <w:szCs w:val="21"/>
              </w:rPr>
              <w:t>%</w:t>
            </w:r>
          </w:p>
        </w:tc>
      </w:tr>
      <w:tr w14:paraId="667BF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89" w:type="pct"/>
            <w:vAlign w:val="center"/>
          </w:tcPr>
          <w:p w14:paraId="0B6D222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01" w:type="pct"/>
            <w:vAlign w:val="center"/>
          </w:tcPr>
          <w:p w14:paraId="10B5F87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变送输出误差</w:t>
            </w:r>
          </w:p>
        </w:tc>
        <w:tc>
          <w:tcPr>
            <w:tcW w:w="2809" w:type="pct"/>
            <w:gridSpan w:val="2"/>
            <w:vAlign w:val="center"/>
          </w:tcPr>
          <w:p w14:paraId="3565D7FB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±0.5%FS</w:t>
            </w:r>
          </w:p>
        </w:tc>
      </w:tr>
      <w:tr w14:paraId="59A15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89" w:type="pct"/>
            <w:vMerge w:val="restart"/>
            <w:vAlign w:val="center"/>
          </w:tcPr>
          <w:p w14:paraId="394DCDD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601" w:type="pct"/>
            <w:vMerge w:val="restart"/>
            <w:vAlign w:val="center"/>
          </w:tcPr>
          <w:p w14:paraId="2EDEA84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仪器</w:t>
            </w:r>
            <w:r>
              <w:rPr>
                <w:rFonts w:hint="eastAsia"/>
                <w:sz w:val="21"/>
                <w:szCs w:val="21"/>
              </w:rPr>
              <w:t>漂移</w:t>
            </w:r>
          </w:p>
        </w:tc>
        <w:tc>
          <w:tcPr>
            <w:tcW w:w="1248" w:type="pct"/>
            <w:vAlign w:val="center"/>
          </w:tcPr>
          <w:p w14:paraId="07BE8A9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零点漂移</w:t>
            </w:r>
          </w:p>
        </w:tc>
        <w:tc>
          <w:tcPr>
            <w:tcW w:w="1561" w:type="pct"/>
            <w:vAlign w:val="center"/>
          </w:tcPr>
          <w:p w14:paraId="32BEB4B8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±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%FS</w:t>
            </w:r>
          </w:p>
        </w:tc>
      </w:tr>
      <w:tr w14:paraId="33B0B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89" w:type="pct"/>
            <w:vMerge w:val="continue"/>
            <w:vAlign w:val="center"/>
          </w:tcPr>
          <w:p w14:paraId="57756FCC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601" w:type="pct"/>
            <w:vMerge w:val="continue"/>
            <w:vAlign w:val="center"/>
          </w:tcPr>
          <w:p w14:paraId="49DF7171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248" w:type="pct"/>
            <w:vAlign w:val="center"/>
          </w:tcPr>
          <w:p w14:paraId="0DECA45B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量程漂移</w:t>
            </w:r>
          </w:p>
        </w:tc>
        <w:tc>
          <w:tcPr>
            <w:tcW w:w="1561" w:type="pct"/>
            <w:vAlign w:val="center"/>
          </w:tcPr>
          <w:p w14:paraId="76903589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±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/>
                <w:sz w:val="21"/>
                <w:szCs w:val="21"/>
              </w:rPr>
              <w:t>%FS</w:t>
            </w:r>
          </w:p>
        </w:tc>
      </w:tr>
      <w:bookmarkEnd w:id="92"/>
    </w:tbl>
    <w:p w14:paraId="4F895F52">
      <w:pPr>
        <w:pStyle w:val="4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20" w:line="360" w:lineRule="auto"/>
        <w:ind w:left="425" w:hanging="425"/>
        <w:textAlignment w:val="auto"/>
        <w:outlineLvl w:val="0"/>
      </w:pPr>
      <w:bookmarkStart w:id="93" w:name="_Toc25264"/>
      <w:bookmarkStart w:id="94" w:name="_Toc31834"/>
      <w:bookmarkStart w:id="95" w:name="_Toc13070"/>
      <w:bookmarkStart w:id="96" w:name="_Toc11256"/>
      <w:bookmarkStart w:id="97" w:name="_Toc22525"/>
      <w:bookmarkStart w:id="98" w:name="_Toc104"/>
      <w:r>
        <w:t>校准条件</w:t>
      </w:r>
      <w:bookmarkEnd w:id="93"/>
      <w:bookmarkEnd w:id="94"/>
      <w:bookmarkEnd w:id="95"/>
      <w:bookmarkEnd w:id="96"/>
      <w:bookmarkEnd w:id="97"/>
      <w:bookmarkEnd w:id="98"/>
    </w:p>
    <w:p w14:paraId="173670AD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textAlignment w:val="auto"/>
        <w:outlineLvl w:val="1"/>
        <w:rPr>
          <w:rFonts w:ascii="Times New Roman" w:hAnsi="Times New Roman"/>
        </w:rPr>
      </w:pPr>
      <w:bookmarkStart w:id="99" w:name="_Toc193860214"/>
      <w:bookmarkStart w:id="100" w:name="_Toc193860183"/>
      <w:bookmarkStart w:id="101" w:name="_Toc23785558"/>
      <w:bookmarkStart w:id="102" w:name="_Toc32245"/>
      <w:bookmarkStart w:id="103" w:name="_Toc8066_WPSOffice_Level2"/>
      <w:bookmarkStart w:id="104" w:name="_Toc193860033"/>
      <w:bookmarkStart w:id="105" w:name="_Toc23784561"/>
      <w:bookmarkStart w:id="106" w:name="_Toc23784660"/>
      <w:bookmarkStart w:id="107" w:name="_Toc17404"/>
      <w:r>
        <w:rPr>
          <w:rFonts w:ascii="Times New Roman" w:hAnsi="Times New Roman"/>
        </w:rPr>
        <w:t xml:space="preserve"> </w:t>
      </w:r>
      <w:bookmarkStart w:id="108" w:name="_Toc10368"/>
      <w:bookmarkStart w:id="109" w:name="_Toc30710"/>
      <w:bookmarkStart w:id="110" w:name="_Toc26289"/>
      <w:bookmarkStart w:id="111" w:name="_Toc16082"/>
      <w:bookmarkStart w:id="112" w:name="_Toc10250"/>
      <w:bookmarkStart w:id="113" w:name="_Toc24371"/>
      <w:bookmarkStart w:id="114" w:name="_Toc99355907"/>
      <w:bookmarkStart w:id="115" w:name="_Toc19335"/>
      <w:r>
        <w:rPr>
          <w:rFonts w:ascii="Times New Roman" w:hAnsi="Times New Roman"/>
        </w:rPr>
        <w:t>环境条件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Start w:id="116" w:name="_Toc20581_WPSOffice_Level2"/>
      <w:bookmarkStart w:id="117" w:name="_Toc23784563"/>
      <w:bookmarkStart w:id="118" w:name="_Toc23785560"/>
      <w:bookmarkStart w:id="119" w:name="_Toc23784662"/>
    </w:p>
    <w:p w14:paraId="41A98040">
      <w:pPr>
        <w:pStyle w:val="5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textAlignment w:val="auto"/>
        <w:outlineLvl w:val="9"/>
        <w:rPr>
          <w:lang w:bidi="zh-TW"/>
        </w:rPr>
      </w:pPr>
      <w:bookmarkStart w:id="120" w:name="_Toc19955"/>
      <w:r>
        <w:rPr>
          <w:lang w:bidi="zh-TW"/>
        </w:rPr>
        <w:t xml:space="preserve"> 环境温度：（15～35）℃。</w:t>
      </w:r>
    </w:p>
    <w:p w14:paraId="689FA5E5">
      <w:pPr>
        <w:pStyle w:val="5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textAlignment w:val="auto"/>
        <w:outlineLvl w:val="9"/>
        <w:rPr>
          <w:rFonts w:hint="default" w:eastAsia="宋体"/>
          <w:lang w:val="en-US" w:eastAsia="zh-CN"/>
        </w:rPr>
      </w:pPr>
      <w:r>
        <w:rPr>
          <w:lang w:bidi="zh-TW"/>
        </w:rPr>
        <w:t xml:space="preserve"> </w:t>
      </w:r>
      <w:r>
        <w:rPr>
          <w:rFonts w:hint="eastAsia"/>
          <w:lang w:val="en-US" w:eastAsia="zh-CN" w:bidi="zh-TW"/>
        </w:rPr>
        <w:t>环境</w:t>
      </w:r>
      <w:r>
        <w:rPr>
          <w:lang w:bidi="zh-TW"/>
        </w:rPr>
        <w:t>湿度</w:t>
      </w:r>
      <w:r>
        <w:rPr>
          <w:rFonts w:hint="eastAsia"/>
          <w:lang w:eastAsia="zh-CN" w:bidi="zh-TW"/>
        </w:rPr>
        <w:t>：（</w:t>
      </w:r>
      <w:r>
        <w:rPr>
          <w:rFonts w:hint="eastAsia"/>
          <w:lang w:val="en-US" w:eastAsia="zh-CN" w:bidi="zh-TW"/>
        </w:rPr>
        <w:t>2</w:t>
      </w:r>
      <w:r>
        <w:rPr>
          <w:lang w:bidi="zh-TW"/>
        </w:rPr>
        <w:t>5～</w:t>
      </w:r>
      <w:r>
        <w:rPr>
          <w:rFonts w:hint="eastAsia"/>
          <w:lang w:val="en-US" w:eastAsia="zh-CN" w:bidi="zh-TW"/>
        </w:rPr>
        <w:t>7</w:t>
      </w:r>
      <w:r>
        <w:rPr>
          <w:lang w:bidi="zh-TW"/>
        </w:rPr>
        <w:t>5</w:t>
      </w:r>
      <w:r>
        <w:rPr>
          <w:rFonts w:hint="eastAsia"/>
          <w:lang w:eastAsia="zh-CN" w:bidi="zh-TW"/>
        </w:rPr>
        <w:t>）</w:t>
      </w:r>
      <w:r>
        <w:rPr>
          <w:rFonts w:hint="eastAsia"/>
          <w:lang w:val="en-US" w:eastAsia="zh-CN" w:bidi="zh-TW"/>
        </w:rPr>
        <w:t>%RH。</w:t>
      </w:r>
    </w:p>
    <w:p w14:paraId="788F632A">
      <w:pPr>
        <w:pStyle w:val="5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textAlignment w:val="auto"/>
        <w:outlineLvl w:val="9"/>
      </w:pPr>
      <w:r>
        <w:rPr>
          <w:lang w:bidi="zh-TW"/>
        </w:rPr>
        <w:t xml:space="preserve"> 工作环境中应无影响</w:t>
      </w:r>
      <w:r>
        <w:rPr>
          <w:rFonts w:hint="eastAsia"/>
          <w:lang w:val="en-US" w:eastAsia="zh-CN" w:bidi="zh-TW"/>
        </w:rPr>
        <w:t>检测仪</w:t>
      </w:r>
      <w:r>
        <w:rPr>
          <w:lang w:bidi="zh-TW"/>
        </w:rPr>
        <w:t>正常工作的电磁场及干扰气体，保持通风，采取相应的安全措施。</w:t>
      </w:r>
    </w:p>
    <w:bookmarkEnd w:id="120"/>
    <w:p w14:paraId="08EBD42A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textAlignment w:val="auto"/>
        <w:outlineLvl w:val="1"/>
      </w:pPr>
      <w:r>
        <w:rPr>
          <w:rFonts w:hint="eastAsia"/>
        </w:rPr>
        <w:t xml:space="preserve"> </w:t>
      </w:r>
      <w:bookmarkEnd w:id="116"/>
      <w:bookmarkEnd w:id="117"/>
      <w:bookmarkEnd w:id="118"/>
      <w:bookmarkEnd w:id="119"/>
      <w:bookmarkStart w:id="121" w:name="_Toc5643"/>
      <w:r>
        <w:rPr>
          <w:rFonts w:hint="eastAsia"/>
          <w:lang w:val="en-US" w:eastAsia="zh-CN"/>
        </w:rPr>
        <w:t>测量</w:t>
      </w:r>
      <w:r>
        <w:rPr>
          <w:rFonts w:hint="eastAsia"/>
        </w:rPr>
        <w:t>标准</w:t>
      </w:r>
      <w:r>
        <w:t>及</w:t>
      </w:r>
      <w:r>
        <w:rPr>
          <w:rFonts w:hint="eastAsia"/>
          <w:lang w:val="en-US" w:eastAsia="zh-CN"/>
        </w:rPr>
        <w:t>其他</w:t>
      </w:r>
      <w:r>
        <w:t>设备</w:t>
      </w:r>
      <w:bookmarkEnd w:id="121"/>
    </w:p>
    <w:p w14:paraId="437D1AC2">
      <w:pPr>
        <w:pStyle w:val="43"/>
        <w:ind w:firstLine="480"/>
      </w:pPr>
      <w:r>
        <w:rPr>
          <w:rFonts w:hint="eastAsia"/>
        </w:rPr>
        <w:t>校准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所用的</w:t>
      </w:r>
      <w:r>
        <w:rPr>
          <w:rFonts w:hint="eastAsia"/>
          <w:lang w:eastAsia="zh-CN"/>
        </w:rPr>
        <w:t>测</w:t>
      </w:r>
      <w:r>
        <w:rPr>
          <w:rFonts w:hint="eastAsia"/>
        </w:rPr>
        <w:t>量标准及</w:t>
      </w:r>
      <w:r>
        <w:rPr>
          <w:rFonts w:hint="eastAsia"/>
          <w:lang w:val="en-US" w:eastAsia="zh-CN"/>
        </w:rPr>
        <w:t>其他</w:t>
      </w:r>
      <w:r>
        <w:rPr>
          <w:rFonts w:hint="eastAsia"/>
        </w:rPr>
        <w:t>设备的技术要求见表2。</w:t>
      </w:r>
    </w:p>
    <w:p w14:paraId="7B6CAF1F">
      <w:pPr>
        <w:spacing w:line="360" w:lineRule="auto"/>
        <w:jc w:val="center"/>
        <w:rPr>
          <w:rStyle w:val="102"/>
          <w:rFonts w:hint="default" w:cs="Times New Roman"/>
          <w:color w:val="auto"/>
        </w:rPr>
      </w:pPr>
      <w:bookmarkStart w:id="122" w:name="_Hlk166240230"/>
      <w:r>
        <w:rPr>
          <w:rStyle w:val="102"/>
          <w:rFonts w:hint="default" w:cs="Times New Roman"/>
          <w:color w:val="auto"/>
        </w:rPr>
        <w:t xml:space="preserve">表2 </w:t>
      </w:r>
      <w:r>
        <w:rPr>
          <w:rStyle w:val="102"/>
          <w:rFonts w:hint="eastAsia" w:ascii="Times New Roman" w:hAnsi="Times New Roman" w:eastAsia="黑体" w:cs="Times New Roman"/>
          <w:color w:val="auto"/>
          <w:lang w:val="en-US" w:eastAsia="zh-CN"/>
        </w:rPr>
        <w:t>测量</w:t>
      </w:r>
      <w:r>
        <w:rPr>
          <w:rStyle w:val="102"/>
          <w:rFonts w:hint="default" w:cs="Times New Roman"/>
          <w:color w:val="auto"/>
        </w:rPr>
        <w:t>标准及</w:t>
      </w:r>
      <w:r>
        <w:rPr>
          <w:rStyle w:val="102"/>
          <w:rFonts w:hint="eastAsia" w:eastAsia="黑体" w:cs="Times New Roman"/>
          <w:color w:val="auto"/>
          <w:lang w:val="en-US" w:eastAsia="zh-CN"/>
        </w:rPr>
        <w:t>其他设备的技术</w:t>
      </w:r>
      <w:r>
        <w:rPr>
          <w:rStyle w:val="102"/>
          <w:rFonts w:hint="default" w:cs="Times New Roman"/>
          <w:color w:val="auto"/>
        </w:rPr>
        <w:t>要求</w:t>
      </w:r>
    </w:p>
    <w:bookmarkEnd w:id="122"/>
    <w:tbl>
      <w:tblPr>
        <w:tblStyle w:val="2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2503"/>
        <w:gridCol w:w="3261"/>
        <w:gridCol w:w="2375"/>
      </w:tblGrid>
      <w:tr w14:paraId="405ED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617" w:type="pct"/>
            <w:vAlign w:val="center"/>
          </w:tcPr>
          <w:p w14:paraId="12A55E9B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347" w:type="pct"/>
            <w:vAlign w:val="center"/>
          </w:tcPr>
          <w:p w14:paraId="301C2C2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测量标准及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/>
                <w:sz w:val="21"/>
                <w:szCs w:val="21"/>
              </w:rPr>
              <w:t>设备</w:t>
            </w:r>
          </w:p>
        </w:tc>
        <w:tc>
          <w:tcPr>
            <w:tcW w:w="1755" w:type="pct"/>
            <w:vAlign w:val="center"/>
          </w:tcPr>
          <w:p w14:paraId="17EB343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技术要求</w:t>
            </w:r>
          </w:p>
        </w:tc>
        <w:tc>
          <w:tcPr>
            <w:tcW w:w="1278" w:type="pct"/>
            <w:vAlign w:val="center"/>
          </w:tcPr>
          <w:p w14:paraId="682EFC3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78F4B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617" w:type="pct"/>
            <w:vAlign w:val="center"/>
          </w:tcPr>
          <w:p w14:paraId="4639D71C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347" w:type="pct"/>
            <w:vAlign w:val="center"/>
          </w:tcPr>
          <w:p w14:paraId="3D6431E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气体标准物质</w:t>
            </w:r>
          </w:p>
        </w:tc>
        <w:tc>
          <w:tcPr>
            <w:tcW w:w="1755" w:type="pct"/>
            <w:vAlign w:val="center"/>
          </w:tcPr>
          <w:p w14:paraId="58E3A153">
            <w:pPr>
              <w:pStyle w:val="43"/>
              <w:widowControl w:val="0"/>
              <w:spacing w:line="240" w:lineRule="auto"/>
              <w:ind w:firstLine="0" w:firstLineChars="0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扩展不确定度不大于</w:t>
            </w:r>
            <w:r>
              <w:rPr>
                <w:sz w:val="21"/>
                <w:szCs w:val="21"/>
              </w:rPr>
              <w:t>2%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i/>
                <w:iCs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=2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278" w:type="pct"/>
            <w:vAlign w:val="center"/>
          </w:tcPr>
          <w:p w14:paraId="0E7C436B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提供标准浓度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二氧化碳</w:t>
            </w:r>
          </w:p>
        </w:tc>
      </w:tr>
      <w:tr w14:paraId="6CA90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617" w:type="pct"/>
            <w:vAlign w:val="center"/>
          </w:tcPr>
          <w:p w14:paraId="2FE2BA0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347" w:type="pct"/>
            <w:vAlign w:val="center"/>
          </w:tcPr>
          <w:p w14:paraId="1BBF7565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零点气体</w:t>
            </w:r>
          </w:p>
        </w:tc>
        <w:tc>
          <w:tcPr>
            <w:tcW w:w="1755" w:type="pct"/>
            <w:vAlign w:val="center"/>
          </w:tcPr>
          <w:p w14:paraId="16ACE4C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高纯氮气，纯度不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小</w:t>
            </w:r>
            <w:r>
              <w:rPr>
                <w:rFonts w:hint="eastAsia"/>
                <w:sz w:val="21"/>
                <w:szCs w:val="21"/>
              </w:rPr>
              <w:t>于</w:t>
            </w:r>
            <w:r>
              <w:rPr>
                <w:sz w:val="21"/>
                <w:szCs w:val="21"/>
              </w:rPr>
              <w:t>99.99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9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1278" w:type="pct"/>
            <w:vAlign w:val="center"/>
          </w:tcPr>
          <w:p w14:paraId="2E1541FD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提供标准零点气体</w:t>
            </w:r>
          </w:p>
        </w:tc>
      </w:tr>
      <w:tr w14:paraId="67DAE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617" w:type="pct"/>
            <w:vAlign w:val="center"/>
          </w:tcPr>
          <w:p w14:paraId="0BED300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347" w:type="pct"/>
            <w:vAlign w:val="center"/>
          </w:tcPr>
          <w:p w14:paraId="48BB6A9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秒表</w:t>
            </w:r>
          </w:p>
        </w:tc>
        <w:tc>
          <w:tcPr>
            <w:tcW w:w="1755" w:type="pct"/>
            <w:vAlign w:val="center"/>
          </w:tcPr>
          <w:p w14:paraId="1982377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时间间隔1h，最大允许误差±</w:t>
            </w:r>
            <w:r>
              <w:rPr>
                <w:rFonts w:hint="eastAsia"/>
                <w:sz w:val="21"/>
                <w:szCs w:val="21"/>
              </w:rPr>
              <w:t>0.1s</w:t>
            </w:r>
          </w:p>
        </w:tc>
        <w:tc>
          <w:tcPr>
            <w:tcW w:w="1278" w:type="pct"/>
            <w:vAlign w:val="center"/>
          </w:tcPr>
          <w:p w14:paraId="004D46CD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校准</w:t>
            </w:r>
            <w:r>
              <w:rPr>
                <w:rFonts w:hint="eastAsia"/>
                <w:sz w:val="21"/>
                <w:szCs w:val="21"/>
              </w:rPr>
              <w:t>响应时间</w:t>
            </w:r>
          </w:p>
        </w:tc>
      </w:tr>
      <w:tr w14:paraId="2AA54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17" w:type="pct"/>
            <w:vAlign w:val="center"/>
          </w:tcPr>
          <w:p w14:paraId="5D4F767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1347" w:type="pct"/>
            <w:vAlign w:val="center"/>
          </w:tcPr>
          <w:p w14:paraId="0D3F971B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数字多用表</w:t>
            </w:r>
          </w:p>
        </w:tc>
        <w:tc>
          <w:tcPr>
            <w:tcW w:w="1755" w:type="pct"/>
            <w:vAlign w:val="center"/>
          </w:tcPr>
          <w:p w14:paraId="325E3D15">
            <w:pPr>
              <w:pStyle w:val="43"/>
              <w:widowControl w:val="0"/>
              <w:spacing w:line="240" w:lineRule="auto"/>
              <w:ind w:firstLine="0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直流电流测量：（</w:t>
            </w:r>
            <w:r>
              <w:rPr>
                <w:sz w:val="21"/>
                <w:szCs w:val="21"/>
              </w:rPr>
              <w:t>4~20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sz w:val="21"/>
                <w:szCs w:val="21"/>
              </w:rPr>
              <w:t>mA</w:t>
            </w:r>
            <w:r>
              <w:rPr>
                <w:rFonts w:hint="eastAsia"/>
                <w:sz w:val="21"/>
                <w:szCs w:val="21"/>
              </w:rPr>
              <w:t>，</w:t>
            </w:r>
          </w:p>
          <w:p w14:paraId="4AD7F02C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直流电压测量：（</w:t>
            </w:r>
            <w:r>
              <w:rPr>
                <w:sz w:val="21"/>
                <w:szCs w:val="21"/>
              </w:rPr>
              <w:t>0~10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sz w:val="21"/>
                <w:szCs w:val="21"/>
              </w:rPr>
              <w:t>V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</w:p>
          <w:p w14:paraId="4CA0806F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最大允许误差±0.05%</w:t>
            </w:r>
          </w:p>
        </w:tc>
        <w:tc>
          <w:tcPr>
            <w:tcW w:w="1278" w:type="pct"/>
            <w:vAlign w:val="center"/>
          </w:tcPr>
          <w:p w14:paraId="0B4B5C04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测量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检测仪</w:t>
            </w:r>
            <w:r>
              <w:rPr>
                <w:rFonts w:hint="eastAsia"/>
                <w:sz w:val="21"/>
                <w:szCs w:val="21"/>
              </w:rPr>
              <w:t>变送输出的标准电信号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</w:rPr>
              <w:t>也可用其他满足要求的电流表或电压表代替</w:t>
            </w:r>
          </w:p>
        </w:tc>
      </w:tr>
      <w:tr w14:paraId="528BD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17" w:type="pct"/>
            <w:shd w:val="clear" w:color="auto" w:fill="auto"/>
            <w:vAlign w:val="center"/>
          </w:tcPr>
          <w:p w14:paraId="38032B2C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347" w:type="pct"/>
            <w:shd w:val="clear" w:color="auto" w:fill="auto"/>
            <w:vAlign w:val="center"/>
          </w:tcPr>
          <w:p w14:paraId="1787503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流量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计</w:t>
            </w:r>
          </w:p>
        </w:tc>
        <w:tc>
          <w:tcPr>
            <w:tcW w:w="1755" w:type="pct"/>
            <w:shd w:val="clear" w:color="auto" w:fill="auto"/>
            <w:vAlign w:val="center"/>
          </w:tcPr>
          <w:p w14:paraId="26D2064D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流量范围：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500</w:t>
            </w:r>
            <w:r>
              <w:rPr>
                <w:rFonts w:hint="eastAsia"/>
                <w:sz w:val="21"/>
                <w:szCs w:val="21"/>
              </w:rPr>
              <w:t>～</w:t>
            </w:r>
            <w:r>
              <w:rPr>
                <w:sz w:val="21"/>
                <w:szCs w:val="21"/>
              </w:rPr>
              <w:t>1000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sz w:val="21"/>
                <w:szCs w:val="21"/>
              </w:rPr>
              <w:t>mL/min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</w:rPr>
              <w:t>流量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计准确度：</w:t>
            </w:r>
            <w:r>
              <w:rPr>
                <w:rFonts w:hint="eastAsia"/>
                <w:sz w:val="21"/>
                <w:szCs w:val="21"/>
              </w:rPr>
              <w:t>不低于</w:t>
            </w:r>
            <w:r>
              <w:rPr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>级</w:t>
            </w:r>
          </w:p>
        </w:tc>
        <w:tc>
          <w:tcPr>
            <w:tcW w:w="1278" w:type="pct"/>
            <w:vMerge w:val="restart"/>
            <w:shd w:val="clear" w:color="auto" w:fill="auto"/>
            <w:vAlign w:val="center"/>
          </w:tcPr>
          <w:p w14:paraId="642F0DC8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调节控制标准浓度气体流量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流量计和配气仪选其中一种即可</w:t>
            </w:r>
          </w:p>
        </w:tc>
      </w:tr>
      <w:tr w14:paraId="4E19E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17" w:type="pct"/>
            <w:shd w:val="clear" w:color="auto" w:fill="auto"/>
            <w:vAlign w:val="center"/>
          </w:tcPr>
          <w:p w14:paraId="1C448EB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1347" w:type="pct"/>
            <w:shd w:val="clear" w:color="auto" w:fill="auto"/>
            <w:vAlign w:val="center"/>
          </w:tcPr>
          <w:p w14:paraId="643482A1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 w:bidi="ar-SA"/>
              </w:rPr>
              <w:t>配气仪</w:t>
            </w:r>
          </w:p>
        </w:tc>
        <w:tc>
          <w:tcPr>
            <w:tcW w:w="1755" w:type="pct"/>
            <w:shd w:val="clear" w:color="auto" w:fill="auto"/>
            <w:vAlign w:val="center"/>
          </w:tcPr>
          <w:p w14:paraId="061BA408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流量范围：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500</w:t>
            </w:r>
            <w:r>
              <w:rPr>
                <w:rFonts w:hint="eastAsia"/>
                <w:sz w:val="21"/>
                <w:szCs w:val="21"/>
              </w:rPr>
              <w:t>～</w:t>
            </w:r>
            <w:r>
              <w:rPr>
                <w:sz w:val="21"/>
                <w:szCs w:val="21"/>
              </w:rPr>
              <w:t>1000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sz w:val="21"/>
                <w:szCs w:val="21"/>
              </w:rPr>
              <w:t>mL/min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</w:p>
          <w:p w14:paraId="7C7738EE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配气仪准确度：不低于0.2级</w:t>
            </w:r>
          </w:p>
        </w:tc>
        <w:tc>
          <w:tcPr>
            <w:tcW w:w="1278" w:type="pct"/>
            <w:vMerge w:val="continue"/>
            <w:shd w:val="clear" w:color="auto" w:fill="auto"/>
            <w:vAlign w:val="center"/>
          </w:tcPr>
          <w:p w14:paraId="3633AFAE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</w:p>
        </w:tc>
      </w:tr>
      <w:tr w14:paraId="7299E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17" w:type="pct"/>
            <w:shd w:val="clear" w:color="auto" w:fill="auto"/>
            <w:vAlign w:val="center"/>
          </w:tcPr>
          <w:p w14:paraId="7048E6B8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47" w:type="pct"/>
            <w:shd w:val="clear" w:color="auto" w:fill="auto"/>
            <w:vAlign w:val="center"/>
          </w:tcPr>
          <w:p w14:paraId="0D784143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减压阀、气路和标定罩</w:t>
            </w:r>
          </w:p>
        </w:tc>
        <w:tc>
          <w:tcPr>
            <w:tcW w:w="1755" w:type="pct"/>
            <w:shd w:val="clear" w:color="auto" w:fill="auto"/>
            <w:vAlign w:val="center"/>
          </w:tcPr>
          <w:p w14:paraId="650BDFB3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使用与气体标准物质配套的减压阀、气路和标定罩材料，对被测气体应无吸附及化学反应。扩散式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检测仪</w:t>
            </w:r>
            <w:r>
              <w:rPr>
                <w:rFonts w:hint="eastAsia"/>
                <w:sz w:val="21"/>
                <w:szCs w:val="21"/>
              </w:rPr>
              <w:t>应有专用标定罩</w:t>
            </w:r>
          </w:p>
        </w:tc>
        <w:tc>
          <w:tcPr>
            <w:tcW w:w="1278" w:type="pct"/>
            <w:shd w:val="clear" w:color="auto" w:fill="auto"/>
            <w:vAlign w:val="center"/>
          </w:tcPr>
          <w:p w14:paraId="64F7FED2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组成校准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检测仪</w:t>
            </w:r>
            <w:r>
              <w:rPr>
                <w:rFonts w:hint="eastAsia"/>
                <w:sz w:val="21"/>
                <w:szCs w:val="21"/>
              </w:rPr>
              <w:t>的气路系统</w:t>
            </w:r>
          </w:p>
        </w:tc>
      </w:tr>
    </w:tbl>
    <w:p w14:paraId="2C637F4C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textAlignment w:val="auto"/>
        <w:outlineLvl w:val="1"/>
      </w:pPr>
      <w:r>
        <w:rPr>
          <w:rFonts w:hint="eastAsia"/>
        </w:rPr>
        <w:t xml:space="preserve"> </w:t>
      </w:r>
      <w:bookmarkStart w:id="123" w:name="_Toc12887"/>
      <w:r>
        <w:rPr>
          <w:rFonts w:hint="eastAsia"/>
        </w:rPr>
        <w:t>其他条件</w:t>
      </w:r>
      <w:bookmarkEnd w:id="123"/>
    </w:p>
    <w:p w14:paraId="0B123D6D">
      <w:pPr>
        <w:pStyle w:val="50"/>
        <w:keepNext w:val="0"/>
        <w:keepLines w:val="0"/>
        <w:pageBreakBefore w:val="0"/>
        <w:widowControl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Chars="0" w:firstLine="480" w:firstLineChars="200"/>
        <w:textAlignment w:val="auto"/>
        <w:outlineLvl w:val="9"/>
      </w:pPr>
      <w:r>
        <w:rPr>
          <w:rFonts w:hint="eastAsia"/>
          <w:lang w:val="en-US" w:eastAsia="zh-CN"/>
        </w:rPr>
        <w:t>检测仪外观与结构要求应满足GB</w:t>
      </w:r>
      <w:r>
        <w:t xml:space="preserve"> 12358</w:t>
      </w:r>
      <w:r>
        <w:rPr>
          <w:rFonts w:hint="eastAsia"/>
        </w:rPr>
        <w:t>—</w:t>
      </w:r>
      <w:r>
        <w:t>20</w:t>
      </w:r>
      <w:r>
        <w:rPr>
          <w:rFonts w:hint="eastAsia"/>
          <w:lang w:val="en-US" w:eastAsia="zh-CN"/>
        </w:rPr>
        <w:t>24中5.1的规定；检测仪声光报警装置功能应满足GB</w:t>
      </w:r>
      <w:r>
        <w:t xml:space="preserve"> 12358</w:t>
      </w:r>
      <w:r>
        <w:rPr>
          <w:rFonts w:hint="eastAsia"/>
        </w:rPr>
        <w:t>—</w:t>
      </w:r>
      <w:r>
        <w:t>20</w:t>
      </w:r>
      <w:r>
        <w:rPr>
          <w:rFonts w:hint="eastAsia"/>
          <w:lang w:val="en-US" w:eastAsia="zh-CN"/>
        </w:rPr>
        <w:t>24中5.2.1.8和5.2.1.9的规定；检测仪测量范围及报警点设定应符合</w:t>
      </w:r>
      <w:r>
        <w:t>GB/T 50493</w:t>
      </w:r>
      <w:r>
        <w:rPr>
          <w:rFonts w:hint="eastAsia"/>
        </w:rPr>
        <w:t>—</w:t>
      </w:r>
      <w:r>
        <w:t>2019</w:t>
      </w:r>
      <w:r>
        <w:rPr>
          <w:rFonts w:hint="eastAsia"/>
          <w:lang w:val="en-US" w:eastAsia="zh-CN"/>
        </w:rPr>
        <w:t>中5.5的规定；</w:t>
      </w:r>
      <w:r>
        <w:t>具有</w:t>
      </w:r>
      <w:r>
        <w:rPr>
          <w:rFonts w:hint="eastAsia"/>
          <w:lang w:val="en-US" w:eastAsia="zh-CN"/>
        </w:rPr>
        <w:t>无线通信</w:t>
      </w:r>
      <w:r>
        <w:t>功能的</w:t>
      </w:r>
      <w:r>
        <w:rPr>
          <w:rFonts w:hint="eastAsia"/>
          <w:lang w:val="en-US" w:eastAsia="zh-CN"/>
        </w:rPr>
        <w:t>检测仪，其无线通信功能要求应满足GB</w:t>
      </w:r>
      <w:r>
        <w:t xml:space="preserve"> 12358</w:t>
      </w:r>
      <w:r>
        <w:rPr>
          <w:rFonts w:hint="eastAsia"/>
        </w:rPr>
        <w:t>—</w:t>
      </w:r>
      <w:r>
        <w:t>20</w:t>
      </w:r>
      <w:r>
        <w:rPr>
          <w:rFonts w:hint="eastAsia"/>
          <w:lang w:val="en-US" w:eastAsia="zh-CN"/>
        </w:rPr>
        <w:t>24中5.3的规定；检测仪的绝缘电阻和耐压试验应满足GB</w:t>
      </w:r>
      <w:r>
        <w:t xml:space="preserve"> 12358</w:t>
      </w:r>
      <w:r>
        <w:rPr>
          <w:rFonts w:hint="eastAsia"/>
        </w:rPr>
        <w:t>—</w:t>
      </w:r>
      <w:r>
        <w:t>20</w:t>
      </w:r>
      <w:r>
        <w:rPr>
          <w:rFonts w:hint="eastAsia"/>
          <w:lang w:val="en-US" w:eastAsia="zh-CN"/>
        </w:rPr>
        <w:t>24中5.2.7的规定</w:t>
      </w:r>
      <w:r>
        <w:rPr>
          <w:rFonts w:hint="eastAsia"/>
        </w:rPr>
        <w:t>。</w:t>
      </w:r>
    </w:p>
    <w:p w14:paraId="54F29806">
      <w:pPr>
        <w:pStyle w:val="42"/>
        <w:spacing w:before="120" w:after="120" w:line="360" w:lineRule="auto"/>
        <w:outlineLvl w:val="0"/>
        <w:rPr>
          <w:color w:val="auto"/>
        </w:rPr>
      </w:pPr>
      <w:bookmarkStart w:id="124" w:name="_Toc193619100"/>
      <w:bookmarkStart w:id="125" w:name="_Toc193860035"/>
      <w:bookmarkStart w:id="126" w:name="_Toc193619058"/>
      <w:bookmarkStart w:id="127" w:name="_Toc5198"/>
      <w:bookmarkStart w:id="128" w:name="_Toc29120"/>
      <w:bookmarkStart w:id="129" w:name="_Toc193860185"/>
      <w:bookmarkStart w:id="130" w:name="_Toc193618955"/>
      <w:bookmarkStart w:id="131" w:name="_Toc27992_WPSOffice_Level1"/>
      <w:bookmarkStart w:id="132" w:name="_Toc23785566"/>
      <w:bookmarkStart w:id="133" w:name="_Toc23784668"/>
      <w:bookmarkStart w:id="134" w:name="_Toc193860216"/>
      <w:bookmarkStart w:id="135" w:name="_Toc23784569"/>
      <w:r>
        <w:rPr>
          <w:rFonts w:hint="eastAsia"/>
          <w:color w:val="auto"/>
        </w:rPr>
        <w:t xml:space="preserve"> </w:t>
      </w:r>
      <w:bookmarkStart w:id="136" w:name="_Toc4762"/>
      <w:bookmarkStart w:id="137" w:name="_Toc26894"/>
      <w:bookmarkStart w:id="138" w:name="_Toc17323"/>
      <w:bookmarkStart w:id="139" w:name="_Toc13626"/>
      <w:bookmarkStart w:id="140" w:name="_Toc8362"/>
      <w:r>
        <w:rPr>
          <w:rFonts w:hint="eastAsia"/>
          <w:color w:val="auto"/>
          <w:lang w:val="en-US" w:eastAsia="zh-CN"/>
        </w:rPr>
        <w:t>校准项目和</w:t>
      </w:r>
      <w:r>
        <w:rPr>
          <w:color w:val="auto"/>
        </w:rPr>
        <w:t>校准方法</w:t>
      </w:r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Start w:id="141" w:name="_Toc22164"/>
      <w:bookmarkStart w:id="142" w:name="_Toc22399"/>
      <w:bookmarkStart w:id="143" w:name="_Toc24148"/>
      <w:bookmarkStart w:id="144" w:name="_Toc23784669"/>
      <w:bookmarkStart w:id="145" w:name="_Toc13770"/>
      <w:bookmarkStart w:id="146" w:name="_Toc23785567"/>
      <w:bookmarkStart w:id="147" w:name="_Toc99355910"/>
      <w:bookmarkStart w:id="148" w:name="_Toc22745"/>
      <w:bookmarkStart w:id="149" w:name="_Toc23961"/>
      <w:bookmarkStart w:id="150" w:name="_Toc29706"/>
      <w:bookmarkStart w:id="151" w:name="_Toc23784570"/>
      <w:bookmarkStart w:id="152" w:name="_Toc16602_WPSOffice_Level2"/>
      <w:bookmarkStart w:id="153" w:name="_Toc2454"/>
    </w:p>
    <w:p w14:paraId="0C4E2FB6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textAlignment w:val="auto"/>
        <w:outlineLvl w:val="1"/>
      </w:pPr>
      <w:bookmarkStart w:id="154" w:name="_Toc8950"/>
      <w:r>
        <w:rPr>
          <w:rFonts w:hint="eastAsia"/>
          <w:lang w:val="en-US" w:eastAsia="zh-CN"/>
        </w:rPr>
        <w:t>校准项目</w:t>
      </w:r>
    </w:p>
    <w:p w14:paraId="7217D0B4">
      <w:pPr>
        <w:pStyle w:val="43"/>
      </w:pPr>
      <w:r>
        <w:rPr>
          <w:rFonts w:hint="eastAsia" w:cs="Times New Roman"/>
          <w:highlight w:val="none"/>
          <w:lang w:val="en-US" w:eastAsia="zh-CN"/>
        </w:rPr>
        <w:t>检测仪的校准项目有示值误差、示值响应时间、报警误差、报警响应时间、重复性、变送输出误差和仪器漂移。</w:t>
      </w:r>
    </w:p>
    <w:p w14:paraId="1905C889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textAlignment w:val="auto"/>
        <w:outlineLvl w:val="1"/>
      </w:pPr>
      <w:r>
        <w:rPr>
          <w:rFonts w:hint="eastAsia"/>
          <w:lang w:val="en-US" w:eastAsia="zh-CN"/>
        </w:rPr>
        <w:t>校准方法</w:t>
      </w:r>
    </w:p>
    <w:p w14:paraId="458E070F">
      <w:pPr>
        <w:pStyle w:val="50"/>
        <w:bidi w:val="0"/>
        <w:ind w:left="0" w:leftChars="0" w:firstLine="0" w:firstLineChars="0"/>
      </w:pPr>
      <w:r>
        <w:rPr>
          <w:rFonts w:hint="eastAsia"/>
        </w:rPr>
        <w:t>校准前</w:t>
      </w:r>
      <w:bookmarkEnd w:id="141"/>
      <w:r>
        <w:rPr>
          <w:rFonts w:hint="eastAsia"/>
          <w:lang w:val="en-US" w:eastAsia="zh-CN"/>
        </w:rPr>
        <w:t>准备</w:t>
      </w:r>
      <w:bookmarkEnd w:id="154"/>
    </w:p>
    <w:p w14:paraId="2C947A28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ind w:firstLine="480" w:firstLineChars="200"/>
        <w:textAlignment w:val="auto"/>
        <w:outlineLvl w:val="9"/>
        <w:rPr>
          <w:rFonts w:hint="default" w:eastAsia="宋体"/>
          <w:lang w:val="en-US" w:eastAsia="zh-CN"/>
        </w:rPr>
      </w:pPr>
      <w:bookmarkStart w:id="155" w:name="_Toc19420"/>
      <w:bookmarkStart w:id="156" w:name="_Toc842"/>
      <w:bookmarkStart w:id="157" w:name="_Toc1107"/>
      <w:r>
        <w:rPr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3171190</wp:posOffset>
                </wp:positionH>
                <wp:positionV relativeFrom="paragraph">
                  <wp:posOffset>699770</wp:posOffset>
                </wp:positionV>
                <wp:extent cx="209550" cy="25717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65C93">
                            <w:pPr>
                              <w:spacing w:line="360" w:lineRule="auto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7pt;margin-top:55.1pt;height:20.25pt;width:16.5pt;z-index:251683840;mso-width-relative:page;mso-height-relative:page;" filled="f" stroked="f" coordsize="21600,21600" o:gfxdata="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4p6bbAAAACwEAAA8AAAAAAAAAAQAgAAAAIgAAAGRy&#10;cy9kb3ducmV2LnhtbFBLAQIUABQAAAAIAIdO4kBrhIC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565C93">
                      <w:pPr>
                        <w:spacing w:line="360" w:lineRule="auto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4921885</wp:posOffset>
                </wp:positionH>
                <wp:positionV relativeFrom="paragraph">
                  <wp:posOffset>725170</wp:posOffset>
                </wp:positionV>
                <wp:extent cx="209550" cy="25717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3710F">
                            <w:pPr>
                              <w:spacing w:line="360" w:lineRule="auto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.55pt;margin-top:57.1pt;height:20.25pt;width:16.5pt;z-index:251684864;mso-width-relative:page;mso-height-relative:page;" filled="f" stroked="f" coordsize="21600,21600" o:gfxdata="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9k/wNsAAAALAQAADwAAAAAAAAABACAAAAAiAAAAZHJz&#10;L2Rvd25yZXYueG1sUEsBAhQAFAAAAAgAh07iQPoRhH8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A3710F">
                      <w:pPr>
                        <w:spacing w:line="360" w:lineRule="auto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/>
          <w:color w:val="auto"/>
          <w:lang w:val="en-US" w:eastAsia="zh-CN"/>
        </w:rPr>
        <w:t>校准前，</w:t>
      </w:r>
      <w:r>
        <w:rPr>
          <w:rFonts w:hint="eastAsia" w:ascii="Times New Roman" w:hAnsi="Times New Roman"/>
        </w:rPr>
        <w:t>若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使用说明书中有明确要求，则按使用说明书的要求调整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的零点和量程</w:t>
      </w:r>
      <w:r>
        <w:rPr>
          <w:rFonts w:hint="eastAsia" w:ascii="Times New Roman" w:hAnsi="Times New Roman"/>
          <w:lang w:eastAsia="zh-CN"/>
        </w:rPr>
        <w:t>；</w:t>
      </w:r>
      <w:r>
        <w:rPr>
          <w:rFonts w:hint="eastAsia" w:ascii="Times New Roman" w:hAnsi="Times New Roman"/>
        </w:rPr>
        <w:t>若没有明确要求，则用零点气体和满量程</w:t>
      </w:r>
      <w:r>
        <w:rPr>
          <w:rFonts w:hint="eastAsia" w:ascii="Times New Roman" w:hAnsi="Times New Roman"/>
          <w:lang w:val="en-US" w:eastAsia="zh-CN"/>
        </w:rPr>
        <w:t>浓度</w:t>
      </w:r>
      <w:r>
        <w:rPr>
          <w:rFonts w:hint="eastAsia" w:ascii="Times New Roman" w:hAnsi="Times New Roman"/>
        </w:rPr>
        <w:t>80%的</w:t>
      </w:r>
      <w:r>
        <w:rPr>
          <w:rFonts w:hint="eastAsia" w:ascii="Times New Roman" w:hAnsi="Times New Roman"/>
          <w:lang w:val="en-US" w:eastAsia="zh-CN"/>
        </w:rPr>
        <w:t>标准气体</w:t>
      </w:r>
      <w:r>
        <w:rPr>
          <w:rFonts w:hint="eastAsia" w:ascii="Times New Roman" w:hAnsi="Times New Roman"/>
        </w:rPr>
        <w:t>调整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的零点和示值</w:t>
      </w:r>
      <w:bookmarkEnd w:id="155"/>
      <w:bookmarkEnd w:id="156"/>
      <w:bookmarkEnd w:id="157"/>
      <w:bookmarkStart w:id="158" w:name="_Toc649"/>
      <w:r>
        <w:rPr>
          <w:rFonts w:hint="eastAsia" w:ascii="Times New Roman" w:hAnsi="Times New Roman"/>
          <w:lang w:val="en-US" w:eastAsia="zh-CN"/>
        </w:rPr>
        <w:t>。</w:t>
      </w:r>
    </w:p>
    <w:p w14:paraId="0230EC74">
      <w:pPr>
        <w:pStyle w:val="43"/>
        <w:jc w:val="center"/>
        <w:rPr>
          <w:rFonts w:hint="eastAsia" w:eastAsia="宋体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935990</wp:posOffset>
                </wp:positionH>
                <wp:positionV relativeFrom="paragraph">
                  <wp:posOffset>375285</wp:posOffset>
                </wp:positionV>
                <wp:extent cx="209550" cy="25717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BD36E0">
                            <w:pPr>
                              <w:spacing w:line="360" w:lineRule="auto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7pt;margin-top:29.55pt;height:20.25pt;width:16.5pt;z-index:251681792;mso-width-relative:page;mso-height-relative:page;" filled="f" stroked="f" coordsize="21600,21600" o:gfxdata="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mevpNoAAAAJAQAADwAAAAAAAAABACAAAAAiAAAAZHJz&#10;L2Rvd25yZXYueG1sUEsBAhQAFAAAAAgAh07iQJ58d6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BD36E0">
                      <w:pPr>
                        <w:spacing w:line="360" w:lineRule="auto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ragraph">
                  <wp:posOffset>13335</wp:posOffset>
                </wp:positionV>
                <wp:extent cx="209550" cy="25717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E63289">
                            <w:pPr>
                              <w:spacing w:line="360" w:lineRule="auto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0pt;margin-top:1.05pt;height:20.25pt;width:16.5pt;z-index:251682816;mso-width-relative:page;mso-height-relative:page;" filled="f" stroked="f" coordsize="21600,21600" o:gfxdata="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YtJiTbAAAACwEAAA8AAAAAAAAAAQAgAAAAIgAAAGRy&#10;cy9kb3ducmV2LnhtbFBLAQIUABQAAAAIAIdO4kAx+0NL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E63289">
                      <w:pPr>
                        <w:spacing w:line="360" w:lineRule="auto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3205480</wp:posOffset>
                </wp:positionH>
                <wp:positionV relativeFrom="paragraph">
                  <wp:posOffset>890270</wp:posOffset>
                </wp:positionV>
                <wp:extent cx="185420" cy="29845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1A7B7B">
                            <w:pPr>
                              <w:spacing w:line="360" w:lineRule="auto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4pt;margin-top:70.1pt;height:23.5pt;width:14.6pt;z-index:251685888;mso-width-relative:page;mso-height-relative:page;" filled="f" stroked="f" coordsize="21600,21600" o:gfxdata="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wl+d7bAAAACgEAAA8AAAAAAAAAAQAgAAAAIgAAAGRy&#10;cy9kb3ducmV2LnhtbFBLAQIUABQAAAAIAIdO4kDh57L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1A7B7B">
                      <w:pPr>
                        <w:spacing w:line="360" w:lineRule="auto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inline distT="0" distB="0" distL="114300" distR="114300">
            <wp:extent cx="4881245" cy="1595755"/>
            <wp:effectExtent l="0" t="0" r="14605" b="4445"/>
            <wp:docPr id="34" name="图片 34" descr="34e0d9a8-3723-4ad0-b926-cfa2ea2764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34e0d9a8-3723-4ad0-b926-cfa2ea2764a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81245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A634D">
      <w:pPr>
        <w:pStyle w:val="51"/>
        <w:numPr>
          <w:ilvl w:val="1"/>
          <w:numId w:val="0"/>
        </w:numPr>
        <w:spacing w:before="120" w:after="120"/>
        <w:ind w:firstLine="360" w:firstLineChars="200"/>
        <w:jc w:val="center"/>
        <w:outlineLvl w:val="9"/>
        <w:rPr>
          <w:rFonts w:hint="eastAsia" w:ascii="Times New Roman" w:hAnsi="Times New Roman" w:cs="宋体"/>
          <w:sz w:val="18"/>
          <w:szCs w:val="18"/>
          <w:lang w:val="en-US" w:eastAsia="zh-CN"/>
        </w:rPr>
      </w:pPr>
      <w:bookmarkStart w:id="159" w:name="_Toc30772"/>
      <w:bookmarkStart w:id="160" w:name="_Toc12528"/>
      <w:r>
        <w:rPr>
          <w:rFonts w:hint="eastAsia" w:ascii="Times New Roman" w:hAnsi="Times New Roman" w:cs="宋体"/>
          <w:sz w:val="18"/>
          <w:szCs w:val="18"/>
        </w:rPr>
        <w:t xml:space="preserve">图2 </w:t>
      </w: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检测仪</w:t>
      </w:r>
      <w:r>
        <w:rPr>
          <w:rFonts w:hint="eastAsia" w:ascii="Times New Roman" w:hAnsi="Times New Roman" w:cs="宋体"/>
          <w:sz w:val="18"/>
          <w:szCs w:val="18"/>
        </w:rPr>
        <w:t>连接气路图</w:t>
      </w:r>
    </w:p>
    <w:p w14:paraId="5FD51758">
      <w:pPr>
        <w:pStyle w:val="51"/>
        <w:numPr>
          <w:ilvl w:val="1"/>
          <w:numId w:val="0"/>
        </w:numPr>
        <w:spacing w:before="120" w:after="120"/>
        <w:ind w:firstLine="360" w:firstLineChars="200"/>
        <w:jc w:val="center"/>
        <w:outlineLvl w:val="9"/>
        <w:rPr>
          <w:rFonts w:hint="eastAsia" w:ascii="Times New Roman" w:hAnsi="Times New Roman" w:cs="宋体"/>
          <w:sz w:val="18"/>
          <w:szCs w:val="18"/>
          <w:lang w:val="en-US" w:eastAsia="zh-CN"/>
        </w:rPr>
      </w:pPr>
      <w:r>
        <w:rPr>
          <w:rFonts w:hint="eastAsia" w:ascii="Times New Roman" w:hAnsi="Times New Roman" w:cs="宋体"/>
          <w:sz w:val="18"/>
          <w:szCs w:val="18"/>
          <w:lang w:val="en-US" w:eastAsia="zh-CN"/>
        </w:rPr>
        <w:t>1-标准/零点气体；2-气路；3-流量计；4-被校检测仪；5-旁通流量计</w:t>
      </w:r>
      <w:bookmarkStart w:id="343" w:name="_GoBack"/>
      <w:bookmarkEnd w:id="343"/>
    </w:p>
    <w:p w14:paraId="72DA3679">
      <w:pPr>
        <w:pStyle w:val="43"/>
        <w:rPr>
          <w:rFonts w:hint="default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通电</w:t>
      </w:r>
      <w:r>
        <w:rPr>
          <w:rFonts w:hint="eastAsia" w:ascii="Times New Roman" w:hAnsi="Times New Roman"/>
        </w:rPr>
        <w:t>预热</w:t>
      </w:r>
      <w:r>
        <w:rPr>
          <w:rFonts w:hint="eastAsia" w:ascii="Times New Roman" w:hAnsi="Times New Roman"/>
          <w:lang w:val="en-US" w:eastAsia="zh-CN"/>
        </w:rPr>
        <w:t>时间不少于</w:t>
      </w:r>
      <w:r>
        <w:rPr>
          <w:rFonts w:hint="eastAsia" w:ascii="Times New Roman" w:hAnsi="Times New Roman"/>
        </w:rPr>
        <w:t>1h</w:t>
      </w:r>
      <w:r>
        <w:rPr>
          <w:rFonts w:hint="eastAsia" w:ascii="Times New Roman" w:hAnsi="Times New Roman"/>
          <w:lang w:eastAsia="zh-CN"/>
        </w:rPr>
        <w:t>，</w:t>
      </w:r>
      <w:r>
        <w:rPr>
          <w:rFonts w:hint="eastAsia" w:ascii="Times New Roman" w:hAnsi="Times New Roman"/>
        </w:rPr>
        <w:t>按图2所示连接气路。校准吸入式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时，</w:t>
      </w:r>
      <w:r>
        <w:rPr>
          <w:rFonts w:hint="eastAsia" w:ascii="Times New Roman" w:hAnsi="Times New Roman"/>
          <w:lang w:val="en-US" w:eastAsia="zh-CN"/>
        </w:rPr>
        <w:t>流量计流量应不小于检测仪规定流量的110%，并</w:t>
      </w:r>
      <w:r>
        <w:rPr>
          <w:rFonts w:hint="eastAsia" w:ascii="Times New Roman" w:hAnsi="Times New Roman"/>
        </w:rPr>
        <w:t>保证旁通流量计有气体放出</w:t>
      </w:r>
      <w:r>
        <w:rPr>
          <w:rFonts w:hint="eastAsia" w:ascii="Times New Roman" w:hAnsi="Times New Roman"/>
          <w:lang w:eastAsia="zh-CN"/>
        </w:rPr>
        <w:t>；</w:t>
      </w:r>
      <w:r>
        <w:rPr>
          <w:rFonts w:hint="eastAsia" w:ascii="Times New Roman" w:hAnsi="Times New Roman"/>
          <w:lang w:val="en-US" w:eastAsia="zh-CN"/>
        </w:rPr>
        <w:t>校准扩散式检测仪时，流量计流量应稳定在500mL/min，不需连接旁通流量计</w:t>
      </w:r>
      <w:r>
        <w:rPr>
          <w:rFonts w:hint="eastAsia"/>
          <w:lang w:val="en-US" w:eastAsia="zh-CN"/>
        </w:rPr>
        <w:t>。</w:t>
      </w:r>
    </w:p>
    <w:bookmarkEnd w:id="158"/>
    <w:bookmarkEnd w:id="159"/>
    <w:bookmarkEnd w:id="160"/>
    <w:p w14:paraId="2DF079E1">
      <w:pPr>
        <w:pStyle w:val="50"/>
        <w:bidi w:val="0"/>
        <w:ind w:left="0" w:leftChars="0" w:firstLine="0" w:firstLineChars="0"/>
      </w:pPr>
      <w:r>
        <w:rPr>
          <w:rFonts w:hint="eastAsia"/>
        </w:rPr>
        <w:t xml:space="preserve"> </w:t>
      </w:r>
      <w:bookmarkStart w:id="161" w:name="_Toc14708"/>
      <w:r>
        <w:rPr>
          <w:rFonts w:hint="eastAsia"/>
        </w:rPr>
        <w:t>示值误差</w:t>
      </w:r>
      <w:bookmarkEnd w:id="161"/>
      <w:r>
        <w:rPr>
          <w:rFonts w:hint="eastAsia"/>
        </w:rPr>
        <w:t xml:space="preserve"> </w:t>
      </w:r>
    </w:p>
    <w:p w14:paraId="600BAC42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ind w:firstLine="480" w:firstLineChars="200"/>
        <w:textAlignment w:val="auto"/>
        <w:outlineLvl w:val="9"/>
      </w:pPr>
      <w:bookmarkStart w:id="162" w:name="_Toc3288"/>
      <w:bookmarkStart w:id="163" w:name="_Toc7395"/>
      <w:r>
        <w:rPr>
          <w:rFonts w:hint="eastAsia" w:ascii="Times New Roman" w:hAnsi="Times New Roman"/>
        </w:rPr>
        <w:t>分别通入</w:t>
      </w:r>
      <w:r>
        <w:rPr>
          <w:rFonts w:hint="eastAsia" w:ascii="Times New Roman" w:hAnsi="Times New Roman"/>
          <w:lang w:val="en-US" w:eastAsia="zh-CN"/>
        </w:rPr>
        <w:t>检测仪量程</w:t>
      </w:r>
      <w:r>
        <w:rPr>
          <w:rFonts w:hint="eastAsia" w:ascii="Times New Roman" w:hAnsi="Times New Roman"/>
        </w:rPr>
        <w:t>浓度20%、</w:t>
      </w:r>
      <w:r>
        <w:rPr>
          <w:rFonts w:hint="eastAsia" w:ascii="Times New Roman" w:hAnsi="Times New Roman"/>
          <w:lang w:val="en-US" w:eastAsia="zh-CN"/>
        </w:rPr>
        <w:t>5</w:t>
      </w:r>
      <w:r>
        <w:rPr>
          <w:rFonts w:hint="eastAsia" w:ascii="Times New Roman" w:hAnsi="Times New Roman"/>
        </w:rPr>
        <w:t>0%、80%的</w:t>
      </w:r>
      <w:r>
        <w:rPr>
          <w:rFonts w:hint="eastAsia" w:ascii="Times New Roman" w:hAnsi="Times New Roman"/>
          <w:lang w:val="en-US" w:eastAsia="zh-CN"/>
        </w:rPr>
        <w:t>标准气体</w:t>
      </w:r>
      <w:r>
        <w:rPr>
          <w:rFonts w:hint="eastAsia" w:ascii="Times New Roman" w:hAnsi="Times New Roman"/>
        </w:rPr>
        <w:t>，</w:t>
      </w:r>
      <w:r>
        <w:rPr>
          <w:rFonts w:hint="eastAsia" w:ascii="Times New Roman" w:hAnsi="Times New Roman"/>
          <w:lang w:val="en-US" w:eastAsia="zh-CN"/>
        </w:rPr>
        <w:t>待检测仪读数稳定时，</w:t>
      </w:r>
      <w:r>
        <w:rPr>
          <w:rFonts w:hint="eastAsia" w:ascii="Times New Roman" w:hAnsi="Times New Roman"/>
        </w:rPr>
        <w:t>记录</w:t>
      </w:r>
      <w:r>
        <w:rPr>
          <w:rFonts w:hint="eastAsia" w:ascii="Times New Roman" w:hAnsi="Times New Roman"/>
          <w:lang w:val="en-US" w:eastAsia="zh-CN"/>
        </w:rPr>
        <w:t>显示值</w:t>
      </w:r>
      <w:r>
        <w:rPr>
          <w:rFonts w:hint="eastAsia" w:ascii="Times New Roman" w:hAnsi="Times New Roman"/>
        </w:rPr>
        <w:t>。</w:t>
      </w:r>
      <w:r>
        <w:rPr>
          <w:rFonts w:hint="eastAsia" w:ascii="Times New Roman" w:hAnsi="Times New Roman"/>
          <w:lang w:val="en-US" w:eastAsia="zh-CN"/>
        </w:rPr>
        <w:t>切换标准气体浓度时，必须先通入零点气体至检测仪显示值回零，</w:t>
      </w:r>
      <w:r>
        <w:rPr>
          <w:rFonts w:hint="eastAsia" w:ascii="Times New Roman" w:hAnsi="Times New Roman"/>
        </w:rPr>
        <w:t>每点重复测量3次，取3次的算术平均值作为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的示值。</w:t>
      </w:r>
      <w:r>
        <w:rPr>
          <w:rFonts w:hint="eastAsia"/>
        </w:rPr>
        <w:t>按</w:t>
      </w:r>
      <w:r>
        <w:rPr>
          <w:rFonts w:hint="eastAsia"/>
          <w:lang w:val="en-US" w:eastAsia="zh-CN"/>
        </w:rPr>
        <w:t>公</w:t>
      </w:r>
      <w:r>
        <w:rPr>
          <w:rFonts w:hint="eastAsia"/>
        </w:rPr>
        <w:t>式（1）计算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/>
        </w:rPr>
        <w:t>各浓度点的示值误差。</w:t>
      </w:r>
      <w:bookmarkEnd w:id="162"/>
      <w:bookmarkEnd w:id="163"/>
    </w:p>
    <w:p w14:paraId="5891E955">
      <w:pPr>
        <w:pStyle w:val="51"/>
        <w:numPr>
          <w:ilvl w:val="1"/>
          <w:numId w:val="0"/>
        </w:numPr>
        <w:spacing w:before="120" w:after="120"/>
        <w:jc w:val="right"/>
        <w:outlineLvl w:val="9"/>
        <w:rPr>
          <w:rFonts w:ascii="Times New Roman" w:hAnsi="Times New Roman"/>
        </w:rPr>
      </w:pPr>
      <w:bookmarkStart w:id="164" w:name="_Toc11684"/>
      <w:bookmarkStart w:id="165" w:name="_Toc24434"/>
      <w:bookmarkStart w:id="166" w:name="_Toc8989"/>
      <w:r>
        <w:rPr>
          <w:rFonts w:ascii="Times New Roman"/>
          <w:position w:val="-24"/>
          <w:vertAlign w:val="subscript"/>
        </w:rPr>
        <w:object>
          <v:shape id="_x0000_i1025" o:spt="75" type="#_x0000_t75" style="height:34pt;width:102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28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               （1）</w:t>
      </w:r>
      <w:bookmarkEnd w:id="164"/>
      <w:bookmarkEnd w:id="165"/>
      <w:bookmarkEnd w:id="166"/>
    </w:p>
    <w:p w14:paraId="10181D61">
      <w:pPr>
        <w:pStyle w:val="51"/>
        <w:numPr>
          <w:ilvl w:val="1"/>
          <w:numId w:val="0"/>
        </w:numPr>
        <w:spacing w:before="120" w:after="120"/>
        <w:ind w:firstLine="480" w:firstLineChars="200"/>
        <w:outlineLvl w:val="9"/>
        <w:rPr>
          <w:rFonts w:ascii="Times New Roman" w:hAnsi="Times New Roman"/>
        </w:rPr>
      </w:pPr>
      <w:bookmarkStart w:id="167" w:name="_Toc18142"/>
      <w:bookmarkStart w:id="168" w:name="_Toc18559"/>
      <w:bookmarkStart w:id="169" w:name="_Toc2736"/>
      <w:r>
        <w:rPr>
          <w:rFonts w:hint="eastAsia" w:ascii="Times New Roman" w:hAnsi="Times New Roman"/>
        </w:rPr>
        <w:t>式中：</w:t>
      </w:r>
      <w:bookmarkEnd w:id="167"/>
      <w:bookmarkEnd w:id="168"/>
      <w:bookmarkEnd w:id="169"/>
    </w:p>
    <w:p w14:paraId="2266B06F">
      <w:pPr>
        <w:pStyle w:val="43"/>
        <w:spacing w:line="300" w:lineRule="auto"/>
        <w:ind w:firstLine="480"/>
      </w:pPr>
      <w:r>
        <w:rPr>
          <w:position w:val="-6"/>
          <w:vertAlign w:val="subscript"/>
        </w:rPr>
        <w:object>
          <v:shape id="_x0000_i1026" o:spt="75" type="#_x0000_t75" style="height:13.95pt;width:20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3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</w:t>
      </w:r>
      <w:r>
        <w:rPr>
          <w:rFonts w:hint="eastAsia" w:ascii="Times New Roman" w:hAnsi="Times New Roman"/>
          <w:lang w:val="en-US" w:eastAsia="zh-CN"/>
        </w:rPr>
        <w:t>仪</w:t>
      </w:r>
      <w:r>
        <w:rPr>
          <w:rFonts w:hint="eastAsia"/>
        </w:rPr>
        <w:t>示值</w:t>
      </w:r>
      <w:r>
        <w:t>误差；</w:t>
      </w:r>
    </w:p>
    <w:p w14:paraId="240CF4A3">
      <w:pPr>
        <w:pStyle w:val="43"/>
        <w:spacing w:line="300" w:lineRule="auto"/>
        <w:ind w:firstLine="480"/>
      </w:pPr>
      <w:r>
        <w:rPr>
          <w:position w:val="-6"/>
          <w:vertAlign w:val="subscript"/>
        </w:rPr>
        <w:object>
          <v:shape id="_x0000_i1027" o:spt="75" type="#_x0000_t75" style="height:17pt;width:12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32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</w:t>
      </w:r>
      <w:r>
        <w:rPr>
          <w:rFonts w:hint="eastAsia" w:ascii="Times New Roman" w:hAnsi="Times New Roman"/>
          <w:lang w:val="en-US" w:eastAsia="zh-CN"/>
        </w:rPr>
        <w:t>仪</w:t>
      </w:r>
      <w:r>
        <w:rPr>
          <w:rFonts w:hint="eastAsia" w:ascii="宋体" w:hAnsi="宋体" w:cs="宋体"/>
        </w:rPr>
        <w:t>示值的算术平均值，</w:t>
      </w:r>
      <w:r>
        <w:t>mol/mol</w:t>
      </w:r>
      <w:r>
        <w:rPr>
          <w:rFonts w:hint="eastAsia" w:ascii="宋体" w:hAnsi="宋体" w:cs="宋体"/>
        </w:rPr>
        <w:t>；</w:t>
      </w:r>
    </w:p>
    <w:p w14:paraId="0C1F592C">
      <w:pPr>
        <w:pStyle w:val="43"/>
        <w:spacing w:line="300" w:lineRule="auto"/>
        <w:ind w:firstLine="480"/>
      </w:pPr>
      <w:r>
        <w:rPr>
          <w:position w:val="-12"/>
          <w:vertAlign w:val="subscript"/>
        </w:rPr>
        <w:object>
          <v:shape id="_x0000_i1028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3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标准气体</w:t>
      </w:r>
      <w:r>
        <w:rPr>
          <w:rFonts w:hint="eastAsia"/>
        </w:rPr>
        <w:t>的浓度值，</w:t>
      </w:r>
      <w:r>
        <w:t>mol/mol</w:t>
      </w:r>
      <w:r>
        <w:rPr>
          <w:rFonts w:hint="eastAsia"/>
        </w:rPr>
        <w:t>；</w:t>
      </w:r>
    </w:p>
    <w:p w14:paraId="0F409AD8">
      <w:pPr>
        <w:pStyle w:val="43"/>
        <w:spacing w:line="300" w:lineRule="auto"/>
        <w:ind w:firstLine="480"/>
      </w:pPr>
      <w:r>
        <w:rPr>
          <w:position w:val="-4"/>
          <w:vertAlign w:val="subscript"/>
        </w:rPr>
        <w:object>
          <v:shape id="_x0000_i102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36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</w:t>
      </w:r>
      <w:r>
        <w:rPr>
          <w:rFonts w:hint="eastAsia" w:ascii="Times New Roman" w:hAnsi="Times New Roman"/>
          <w:lang w:val="en-US" w:eastAsia="zh-CN"/>
        </w:rPr>
        <w:t>仪</w:t>
      </w:r>
      <w:r>
        <w:rPr>
          <w:rFonts w:hint="eastAsia"/>
        </w:rPr>
        <w:t>量程，</w:t>
      </w:r>
      <w:r>
        <w:t>mol/mol</w:t>
      </w:r>
      <w:r>
        <w:rPr>
          <w:rFonts w:hint="eastAsia"/>
        </w:rPr>
        <w:t>。</w:t>
      </w:r>
    </w:p>
    <w:p w14:paraId="679DF5F9">
      <w:pPr>
        <w:pStyle w:val="43"/>
        <w:ind w:firstLine="42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</w:rPr>
        <w:t>注：对具有RS485、无线传输或总线传输等数字信号传输功能且不带浓度显示的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检测仪</w:t>
      </w:r>
      <w:r>
        <w:rPr>
          <w:rFonts w:hint="eastAsia" w:ascii="仿宋" w:hAnsi="仿宋" w:eastAsia="仿宋" w:cs="仿宋"/>
          <w:sz w:val="21"/>
          <w:szCs w:val="21"/>
        </w:rPr>
        <w:t>，可采用计算机监控软件、报警控制器、制造单位提供的通讯器或专用通讯设备采集的显示读数作为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检测仪</w:t>
      </w:r>
      <w:r>
        <w:rPr>
          <w:rFonts w:hint="eastAsia" w:ascii="仿宋" w:hAnsi="仿宋" w:eastAsia="仿宋" w:cs="仿宋"/>
          <w:sz w:val="21"/>
          <w:szCs w:val="21"/>
        </w:rPr>
        <w:t>浓度示值。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对具有标准电信号变送输出功能且无浓度显示的检测仪，可不进行示值误差校准。</w:t>
      </w:r>
    </w:p>
    <w:p w14:paraId="5767935E">
      <w:pPr>
        <w:pStyle w:val="50"/>
        <w:bidi w:val="0"/>
        <w:ind w:left="0" w:leftChars="0" w:firstLine="0" w:firstLineChars="0"/>
      </w:pPr>
      <w:r>
        <w:rPr>
          <w:rFonts w:hint="eastAsia"/>
        </w:rPr>
        <w:t xml:space="preserve"> </w:t>
      </w:r>
      <w:bookmarkStart w:id="170" w:name="_Toc1954"/>
      <w:bookmarkStart w:id="171" w:name="_Toc20046"/>
      <w:r>
        <w:rPr>
          <w:rFonts w:hint="eastAsia"/>
          <w:lang w:val="en-US" w:eastAsia="zh-CN"/>
        </w:rPr>
        <w:t>示值响应时间</w:t>
      </w:r>
    </w:p>
    <w:p w14:paraId="04E6B6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通入零点气体调零后，再通入满量程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0%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浓度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的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标准气体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，读取稳定示值。然后通入零点气体使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检测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仪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回零，再通入上述浓度的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标准气体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，同时启动秒表，待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检测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仪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示值达到上述稳定值的90%，停止秒表，记录秒表显示的时间。按上述方法重复测量3次，取3次测量结果的算术平均值作为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检测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仪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示值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响应时间。按公式（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）计算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检测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仪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的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示值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响应时间。</w:t>
      </w:r>
    </w:p>
    <w:p w14:paraId="13C1CCFE">
      <w:pPr>
        <w:spacing w:line="360" w:lineRule="auto"/>
        <w:ind w:firstLine="42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Times New Roman" w:hAnsi="Times New Roman"/>
        </w:rPr>
        <w:t xml:space="preserve"> </w:t>
      </w:r>
      <w:r>
        <w:rPr>
          <w:rFonts w:ascii="Times New Roman"/>
          <w:position w:val="-24"/>
          <w:vertAlign w:val="subscript"/>
        </w:rPr>
        <w:object>
          <v:shape id="_x0000_i1030" o:spt="75" type="#_x0000_t75" style="height:53.85pt;width:54.9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38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         </w:t>
      </w:r>
      <w:r>
        <w:rPr>
          <w:rFonts w:hint="eastAsia" w:eastAsia="宋体"/>
          <w:lang w:val="en-US" w:eastAsia="zh-CN"/>
        </w:rPr>
        <w:t xml:space="preserve">    </w:t>
      </w:r>
      <w:r>
        <w:rPr>
          <w:rFonts w:hint="eastAsia" w:ascii="Times New Roman" w:hAnsi="Times New Roman"/>
        </w:rPr>
        <w:t xml:space="preserve"> </w:t>
      </w:r>
      <w:r>
        <w:rPr>
          <w:rFonts w:hint="eastAsia" w:eastAsia="宋体"/>
          <w:lang w:val="en-US" w:eastAsia="zh-CN"/>
        </w:rPr>
        <w:t xml:space="preserve">     </w:t>
      </w:r>
      <w:r>
        <w:rPr>
          <w:rFonts w:hint="eastAsia" w:ascii="Times New Roman" w:hAnsi="Times New Roma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6188D8DE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ind w:firstLine="480" w:firstLineChars="200"/>
        <w:textAlignment w:val="auto"/>
        <w:outlineLvl w:val="9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式中：</w:t>
      </w:r>
    </w:p>
    <w:p w14:paraId="3D237986">
      <w:pPr>
        <w:pStyle w:val="43"/>
        <w:spacing w:line="300" w:lineRule="auto"/>
        <w:ind w:firstLine="480"/>
      </w:pPr>
      <w:r>
        <w:rPr>
          <w:rFonts w:hint="default" w:ascii="Times New Roman" w:hAnsi="Times New Roman" w:cs="Times New Roman"/>
          <w:i/>
          <w:iCs/>
          <w:lang w:val="en-US" w:eastAsia="zh-CN"/>
        </w:rPr>
        <w:t>n</w: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测量次数，</w:t>
      </w:r>
      <w:r>
        <w:rPr>
          <w:rFonts w:hint="default" w:ascii="Times New Roman" w:hAnsi="Times New Roman" w:cs="Times New Roman"/>
          <w:lang w:val="en-US" w:eastAsia="zh-CN"/>
        </w:rPr>
        <w:t>n</w:t>
      </w:r>
      <w:r>
        <w:rPr>
          <w:rFonts w:hint="eastAsia" w:ascii="宋体" w:hAnsi="宋体" w:cs="宋体"/>
          <w:lang w:val="en-US" w:eastAsia="zh-CN"/>
        </w:rPr>
        <w:t>=3</w:t>
      </w:r>
      <w:r>
        <w:rPr>
          <w:rFonts w:hint="eastAsia" w:ascii="宋体" w:hAnsi="宋体" w:cs="宋体"/>
          <w:lang w:eastAsia="zh-CN"/>
        </w:rPr>
        <w:t>；</w:t>
      </w:r>
    </w:p>
    <w:p w14:paraId="569236A3">
      <w:pPr>
        <w:pStyle w:val="43"/>
        <w:spacing w:line="300" w:lineRule="auto"/>
        <w:ind w:firstLine="468" w:firstLineChars="195"/>
      </w:pPr>
      <w:r>
        <w:rPr>
          <w:position w:val="-6"/>
          <w:vertAlign w:val="subscript"/>
        </w:rPr>
        <w:object>
          <v:shape id="_x0000_i1031" o:spt="75" type="#_x0000_t75" style="height:13.95pt;width:11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4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</w:t>
      </w:r>
      <w:r>
        <w:rPr>
          <w:rFonts w:hint="eastAsia" w:ascii="宋体" w:hAnsi="宋体" w:eastAsia="宋体" w:cs="宋体"/>
          <w:lang w:val="en-US" w:eastAsia="zh-CN"/>
        </w:rPr>
        <w:t>仪</w:t>
      </w:r>
      <w:r>
        <w:rPr>
          <w:rFonts w:hint="eastAsia"/>
        </w:rPr>
        <w:t>的</w:t>
      </w:r>
      <w:r>
        <w:rPr>
          <w:rFonts w:hint="eastAsia"/>
          <w:lang w:val="en-US" w:eastAsia="zh-CN"/>
        </w:rPr>
        <w:t>示值响应时间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s</w:t>
      </w:r>
      <w:r>
        <w:t>；</w:t>
      </w:r>
    </w:p>
    <w:p w14:paraId="7A7C95B0">
      <w:pPr>
        <w:pStyle w:val="43"/>
        <w:spacing w:line="300" w:lineRule="auto"/>
        <w:ind w:firstLine="468" w:firstLineChars="195"/>
      </w:pPr>
      <w:r>
        <w:rPr>
          <w:position w:val="-12"/>
          <w:vertAlign w:val="subscript"/>
        </w:rPr>
        <w:object>
          <v:shape id="_x0000_i1032" o:spt="75" type="#_x0000_t75" style="height:18pt;width:12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42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第</w:t>
      </w:r>
      <w:r>
        <w:rPr>
          <w:rFonts w:hint="eastAsia"/>
          <w:i/>
          <w:iCs/>
        </w:rPr>
        <w:t>i</w:t>
      </w:r>
      <w:r>
        <w:rPr>
          <w:rFonts w:hint="eastAsia"/>
        </w:rPr>
        <w:t>次测量的</w:t>
      </w:r>
      <w:r>
        <w:rPr>
          <w:rFonts w:hint="eastAsia"/>
          <w:lang w:val="en-US" w:eastAsia="zh-CN"/>
        </w:rPr>
        <w:t>示值响应时间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>。</w:t>
      </w:r>
    </w:p>
    <w:p w14:paraId="271222CB">
      <w:pPr>
        <w:pStyle w:val="50"/>
        <w:bidi w:val="0"/>
        <w:ind w:left="0" w:leftChars="0" w:firstLine="0" w:firstLineChars="0"/>
      </w:pPr>
      <w:r>
        <w:rPr>
          <w:rFonts w:hint="eastAsia"/>
          <w:lang w:val="en-US" w:eastAsia="zh-CN"/>
        </w:rPr>
        <w:t>报警误差</w:t>
      </w:r>
    </w:p>
    <w:p w14:paraId="34C6A19C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ind w:firstLine="480" w:firstLineChars="200"/>
        <w:textAlignment w:val="auto"/>
        <w:outlineLvl w:val="9"/>
        <w:rPr>
          <w:rFonts w:ascii="Times New Roman" w:hAnsi="Times New Roman"/>
        </w:rPr>
      </w:pPr>
      <w:bookmarkStart w:id="172" w:name="_Toc31453"/>
      <w:bookmarkStart w:id="173" w:name="_Toc11592"/>
      <w:bookmarkStart w:id="174" w:name="_Toc11478"/>
      <w:r>
        <w:rPr>
          <w:rFonts w:hint="eastAsia" w:ascii="Times New Roman" w:hAnsi="Times New Roman"/>
          <w:highlight w:val="none"/>
        </w:rPr>
        <w:t>通入</w:t>
      </w:r>
      <w:r>
        <w:rPr>
          <w:rFonts w:hint="eastAsia" w:ascii="Times New Roman" w:hAnsi="Times New Roman"/>
          <w:highlight w:val="none"/>
          <w:lang w:val="en-US" w:eastAsia="zh-CN"/>
        </w:rPr>
        <w:t>低于报警</w:t>
      </w:r>
      <w:r>
        <w:rPr>
          <w:rFonts w:hint="eastAsia" w:ascii="Times New Roman" w:hAnsi="Times New Roman"/>
          <w:lang w:val="en-US" w:eastAsia="zh-CN"/>
        </w:rPr>
        <w:t>点浓度的标准气体，然后调整配气仪配气比例（每次调节间隔不超过2%），逐渐提高标准气体浓度</w:t>
      </w:r>
      <w:r>
        <w:rPr>
          <w:rFonts w:hint="eastAsia" w:ascii="Times New Roman" w:hAnsi="Times New Roman"/>
        </w:rPr>
        <w:t>，</w:t>
      </w:r>
      <w:r>
        <w:rPr>
          <w:rFonts w:hint="eastAsia" w:ascii="Times New Roman" w:hAnsi="Times New Roman"/>
          <w:lang w:val="en-US" w:eastAsia="zh-CN"/>
        </w:rPr>
        <w:t>直至检测仪发生</w:t>
      </w:r>
      <w:r>
        <w:rPr>
          <w:rFonts w:hint="eastAsia" w:ascii="Times New Roman" w:hAnsi="Times New Roman"/>
        </w:rPr>
        <w:t>报警，记录</w:t>
      </w:r>
      <w:r>
        <w:rPr>
          <w:rFonts w:hint="eastAsia" w:ascii="Times New Roman" w:hAnsi="Times New Roman"/>
          <w:lang w:val="en-US" w:eastAsia="zh-CN"/>
        </w:rPr>
        <w:t>此时</w:t>
      </w:r>
      <w:r>
        <w:rPr>
          <w:rFonts w:hint="eastAsia" w:ascii="Times New Roman" w:hAnsi="Times New Roman"/>
        </w:rPr>
        <w:t>的</w:t>
      </w:r>
      <w:r>
        <w:rPr>
          <w:rFonts w:hint="eastAsia" w:ascii="Times New Roman" w:hAnsi="Times New Roman"/>
          <w:lang w:val="en-US" w:eastAsia="zh-CN"/>
        </w:rPr>
        <w:t>标准气体浓度，即</w:t>
      </w:r>
      <w:r>
        <w:rPr>
          <w:rFonts w:hint="eastAsia" w:ascii="Times New Roman" w:hAnsi="Times New Roman"/>
        </w:rPr>
        <w:t>为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的报警值。</w:t>
      </w:r>
      <w:bookmarkEnd w:id="172"/>
      <w:bookmarkStart w:id="175" w:name="_Toc28981"/>
      <w:r>
        <w:rPr>
          <w:rFonts w:hint="eastAsia" w:ascii="Times New Roman" w:hAnsi="Times New Roman"/>
        </w:rPr>
        <w:t>按</w:t>
      </w:r>
      <w:r>
        <w:rPr>
          <w:rFonts w:hint="eastAsia"/>
          <w:lang w:val="en-US" w:eastAsia="zh-CN"/>
        </w:rPr>
        <w:t>公</w:t>
      </w:r>
      <w:r>
        <w:rPr>
          <w:rFonts w:hint="eastAsia" w:ascii="Times New Roman" w:hAnsi="Times New Roman"/>
        </w:rPr>
        <w:t>式（</w:t>
      </w:r>
      <w:r>
        <w:rPr>
          <w:rFonts w:hint="eastAsia" w:ascii="Times New Roman" w:hAnsi="Times New Roman"/>
          <w:lang w:val="en-US" w:eastAsia="zh-CN"/>
        </w:rPr>
        <w:t>3</w:t>
      </w:r>
      <w:r>
        <w:rPr>
          <w:rFonts w:hint="eastAsia" w:ascii="Times New Roman" w:hAnsi="Times New Roman"/>
        </w:rPr>
        <w:t>）计算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的报警误差。</w:t>
      </w:r>
      <w:bookmarkEnd w:id="173"/>
      <w:bookmarkEnd w:id="174"/>
      <w:bookmarkEnd w:id="175"/>
    </w:p>
    <w:p w14:paraId="0923984D">
      <w:pPr>
        <w:pStyle w:val="51"/>
        <w:numPr>
          <w:ilvl w:val="1"/>
          <w:numId w:val="0"/>
        </w:numPr>
        <w:spacing w:before="120" w:after="120"/>
        <w:jc w:val="right"/>
        <w:outlineLvl w:val="9"/>
        <w:rPr>
          <w:rFonts w:ascii="Times New Roman" w:hAnsi="Times New Roman"/>
        </w:rPr>
      </w:pPr>
      <w:bookmarkStart w:id="176" w:name="_Toc11994"/>
      <w:bookmarkStart w:id="177" w:name="_Toc18218"/>
      <w:r>
        <w:rPr>
          <w:rFonts w:hint="eastAsia" w:ascii="Times New Roman" w:hAnsi="Times New Roman"/>
        </w:rPr>
        <w:t xml:space="preserve"> </w:t>
      </w:r>
      <w:bookmarkStart w:id="178" w:name="_Toc20469"/>
      <w:r>
        <w:rPr>
          <w:rFonts w:ascii="Times New Roman"/>
          <w:position w:val="-30"/>
          <w:vertAlign w:val="subscript"/>
        </w:rPr>
        <w:object>
          <v:shape id="_x0000_i1033" o:spt="75" type="#_x0000_t75" style="height:34pt;width:106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44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                （</w:t>
      </w:r>
      <w:r>
        <w:rPr>
          <w:rFonts w:hint="eastAsia" w:ascii="Times New Roman" w:hAnsi="Times New Roman"/>
          <w:lang w:val="en-US" w:eastAsia="zh-CN"/>
        </w:rPr>
        <w:t>3</w:t>
      </w:r>
      <w:r>
        <w:rPr>
          <w:rFonts w:hint="eastAsia" w:ascii="Times New Roman" w:hAnsi="Times New Roman"/>
        </w:rPr>
        <w:t>）</w:t>
      </w:r>
      <w:bookmarkEnd w:id="176"/>
      <w:bookmarkEnd w:id="177"/>
      <w:bookmarkEnd w:id="178"/>
    </w:p>
    <w:p w14:paraId="0CC6AB9E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ind w:firstLine="480" w:firstLineChars="200"/>
        <w:textAlignment w:val="auto"/>
        <w:outlineLvl w:val="9"/>
        <w:rPr>
          <w:rFonts w:ascii="Times New Roman" w:hAnsi="Times New Roman"/>
        </w:rPr>
      </w:pPr>
      <w:bookmarkStart w:id="179" w:name="_Toc17739"/>
      <w:bookmarkStart w:id="180" w:name="_Toc16839"/>
      <w:bookmarkStart w:id="181" w:name="_Toc18625"/>
      <w:r>
        <w:rPr>
          <w:rFonts w:hint="eastAsia" w:ascii="Times New Roman" w:hAnsi="Times New Roman"/>
        </w:rPr>
        <w:t>式中：</w:t>
      </w:r>
      <w:bookmarkEnd w:id="179"/>
      <w:bookmarkEnd w:id="180"/>
      <w:bookmarkEnd w:id="181"/>
    </w:p>
    <w:p w14:paraId="48E96D4D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pacing w:line="300" w:lineRule="auto"/>
        <w:ind w:firstLine="420" w:firstLineChars="0"/>
        <w:jc w:val="left"/>
        <w:textAlignment w:val="auto"/>
      </w:pPr>
      <w:r>
        <w:rPr>
          <w:position w:val="-12"/>
          <w:vertAlign w:val="subscript"/>
        </w:rPr>
        <w:object>
          <v:shape id="_x0000_i1034" o:spt="75" type="#_x0000_t75" style="height:18pt;width:23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46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报警误差；</w:t>
      </w:r>
    </w:p>
    <w:p w14:paraId="251500D0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pacing w:line="300" w:lineRule="auto"/>
        <w:ind w:firstLine="480"/>
        <w:textAlignment w:val="auto"/>
      </w:pPr>
      <w:r>
        <w:rPr>
          <w:rFonts w:hint="eastAsia"/>
          <w:position w:val="-6"/>
        </w:rPr>
        <w:object>
          <v:shape id="_x0000_i1035" o:spt="75" type="#_x0000_t75" style="height:13.95pt;width:12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48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检测仪报警值</w:t>
      </w:r>
      <w:r>
        <w:rPr>
          <w:rFonts w:hint="eastAsia" w:ascii="宋体" w:hAnsi="宋体" w:cs="宋体"/>
        </w:rPr>
        <w:t>，</w:t>
      </w:r>
      <w:r>
        <w:t>mol/mol</w:t>
      </w:r>
      <w:r>
        <w:rPr>
          <w:rFonts w:hint="eastAsia" w:ascii="宋体" w:hAnsi="宋体" w:cs="宋体"/>
        </w:rPr>
        <w:t>；</w:t>
      </w:r>
    </w:p>
    <w:p w14:paraId="6972F5A8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pacing w:line="300" w:lineRule="auto"/>
        <w:ind w:firstLine="420" w:firstLineChars="0"/>
        <w:jc w:val="left"/>
        <w:textAlignment w:val="auto"/>
      </w:pPr>
      <w:r>
        <w:rPr>
          <w:position w:val="-12"/>
          <w:vertAlign w:val="subscript"/>
        </w:rPr>
        <w:object>
          <v:shape id="_x0000_i1036" o:spt="75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5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报警设定值，</w:t>
      </w:r>
      <w:r>
        <w:t>mol/mol</w:t>
      </w:r>
      <w:r>
        <w:rPr>
          <w:rFonts w:hint="eastAsia"/>
        </w:rPr>
        <w:t>。</w:t>
      </w:r>
    </w:p>
    <w:p w14:paraId="67184733">
      <w:pPr>
        <w:pStyle w:val="50"/>
        <w:bidi w:val="0"/>
        <w:ind w:left="0" w:leftChars="0" w:firstLine="0" w:firstLineChars="0"/>
      </w:pPr>
      <w:r>
        <w:rPr>
          <w:rFonts w:hint="eastAsia"/>
          <w:lang w:val="en-US" w:eastAsia="zh-CN"/>
        </w:rPr>
        <w:t>报警响应时间</w:t>
      </w:r>
    </w:p>
    <w:p w14:paraId="449D6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通入零点气体调零后，再通入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浓度为报警设定值1.5倍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的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标准气体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，同时启动秒表，待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检测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仪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发生报警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，停止秒表，记录秒表显示的时间。按上述方法重复测量3次，取3次测量结果的算术平均值作为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检测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仪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报警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响应时间。按公式（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）计算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检测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仪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</w:rPr>
        <w:t>的</w:t>
      </w:r>
      <w:r>
        <w:rPr>
          <w:rFonts w:hint="eastAsia" w:ascii="Times New Roman" w:hAnsi="Times New Roman" w:eastAsia="宋体" w:cs="Times New Roman"/>
          <w:kern w:val="0"/>
          <w:sz w:val="24"/>
          <w:szCs w:val="20"/>
          <w:lang w:val="en-US" w:eastAsia="zh-CN"/>
        </w:rPr>
        <w:t>报警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响应时间。</w:t>
      </w:r>
    </w:p>
    <w:p w14:paraId="105DB0C8">
      <w:pPr>
        <w:spacing w:line="360" w:lineRule="auto"/>
        <w:ind w:firstLine="42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Times New Roman" w:hAnsi="Times New Roman"/>
        </w:rPr>
        <w:t xml:space="preserve"> </w:t>
      </w:r>
      <w:r>
        <w:rPr>
          <w:rFonts w:ascii="Times New Roman"/>
          <w:position w:val="-24"/>
          <w:vertAlign w:val="subscript"/>
        </w:rPr>
        <w:object>
          <v:shape id="_x0000_i1037" o:spt="75" type="#_x0000_t75" style="height:53.85pt;width:62.8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52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         </w:t>
      </w:r>
      <w:r>
        <w:rPr>
          <w:rFonts w:hint="eastAsia" w:eastAsia="宋体"/>
          <w:lang w:val="en-US" w:eastAsia="zh-CN"/>
        </w:rPr>
        <w:t xml:space="preserve">    </w:t>
      </w:r>
      <w:r>
        <w:rPr>
          <w:rFonts w:hint="eastAsia" w:ascii="Times New Roman" w:hAnsi="Times New Roman"/>
        </w:rPr>
        <w:t xml:space="preserve"> </w:t>
      </w:r>
      <w:r>
        <w:rPr>
          <w:rFonts w:hint="eastAsia" w:eastAsia="宋体"/>
          <w:lang w:val="en-US" w:eastAsia="zh-CN"/>
        </w:rPr>
        <w:t xml:space="preserve">     </w:t>
      </w:r>
      <w:r>
        <w:rPr>
          <w:rFonts w:hint="eastAsia" w:ascii="Times New Roman" w:hAnsi="Times New Roma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2753D628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ind w:firstLine="480" w:firstLineChars="200"/>
        <w:textAlignment w:val="auto"/>
        <w:outlineLvl w:val="9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式中：</w:t>
      </w:r>
    </w:p>
    <w:p w14:paraId="69307254">
      <w:pPr>
        <w:pStyle w:val="43"/>
        <w:spacing w:line="300" w:lineRule="auto"/>
        <w:ind w:firstLine="480"/>
      </w:pPr>
      <w:r>
        <w:rPr>
          <w:rFonts w:hint="default" w:ascii="Times New Roman" w:hAnsi="Times New Roman" w:cs="Times New Roman"/>
          <w:i/>
          <w:iCs/>
          <w:lang w:val="en-US" w:eastAsia="zh-CN"/>
        </w:rPr>
        <w:t>n</w: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测量次数，</w:t>
      </w:r>
      <w:r>
        <w:rPr>
          <w:rFonts w:hint="default" w:ascii="Times New Roman" w:hAnsi="Times New Roman" w:cs="Times New Roman"/>
          <w:lang w:val="en-US" w:eastAsia="zh-CN"/>
        </w:rPr>
        <w:t>n</w:t>
      </w:r>
      <w:r>
        <w:rPr>
          <w:rFonts w:hint="eastAsia" w:ascii="宋体" w:hAnsi="宋体" w:cs="宋体"/>
          <w:lang w:val="en-US" w:eastAsia="zh-CN"/>
        </w:rPr>
        <w:t>=3</w:t>
      </w:r>
      <w:r>
        <w:rPr>
          <w:rFonts w:hint="eastAsia" w:ascii="宋体" w:hAnsi="宋体" w:cs="宋体"/>
          <w:lang w:eastAsia="zh-CN"/>
        </w:rPr>
        <w:t>；</w:t>
      </w:r>
    </w:p>
    <w:p w14:paraId="466B20CC">
      <w:pPr>
        <w:pStyle w:val="43"/>
        <w:spacing w:line="300" w:lineRule="auto"/>
        <w:ind w:firstLine="468" w:firstLineChars="195"/>
      </w:pPr>
      <w:r>
        <w:rPr>
          <w:position w:val="-4"/>
          <w:vertAlign w:val="subscript"/>
        </w:rPr>
        <w:object>
          <v:shape id="_x0000_i1038" o:spt="75" type="#_x0000_t75" style="height:13pt;width:13.95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5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</w:t>
      </w:r>
      <w:r>
        <w:rPr>
          <w:rFonts w:hint="eastAsia" w:ascii="宋体" w:hAnsi="宋体" w:eastAsia="宋体" w:cs="宋体"/>
          <w:lang w:val="en-US" w:eastAsia="zh-CN"/>
        </w:rPr>
        <w:t>仪</w:t>
      </w:r>
      <w:r>
        <w:rPr>
          <w:rFonts w:hint="eastAsia"/>
        </w:rPr>
        <w:t>的</w:t>
      </w:r>
      <w:r>
        <w:rPr>
          <w:rFonts w:hint="eastAsia"/>
          <w:lang w:val="en-US" w:eastAsia="zh-CN"/>
        </w:rPr>
        <w:t>报警响应时间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s</w:t>
      </w:r>
      <w:r>
        <w:t>；</w:t>
      </w:r>
    </w:p>
    <w:p w14:paraId="1197ABE3">
      <w:pPr>
        <w:pStyle w:val="43"/>
        <w:spacing w:line="300" w:lineRule="auto"/>
        <w:ind w:firstLine="468" w:firstLineChars="195"/>
      </w:pPr>
      <w:r>
        <w:rPr>
          <w:position w:val="-12"/>
          <w:vertAlign w:val="subscript"/>
        </w:rPr>
        <w:object>
          <v:shape id="_x0000_i1039" o:spt="75" type="#_x0000_t75" style="height:18pt;width:16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56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第</w:t>
      </w:r>
      <w:r>
        <w:rPr>
          <w:rFonts w:hint="eastAsia"/>
          <w:i/>
          <w:iCs/>
        </w:rPr>
        <w:t>i</w:t>
      </w:r>
      <w:r>
        <w:rPr>
          <w:rFonts w:hint="eastAsia"/>
        </w:rPr>
        <w:t>次测量的</w:t>
      </w:r>
      <w:r>
        <w:rPr>
          <w:rFonts w:hint="eastAsia"/>
          <w:lang w:val="en-US" w:eastAsia="zh-CN"/>
        </w:rPr>
        <w:t>报警响应时间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>。</w:t>
      </w:r>
    </w:p>
    <w:p w14:paraId="19286D62">
      <w:pPr>
        <w:pStyle w:val="50"/>
        <w:bidi w:val="0"/>
        <w:ind w:left="0" w:leftChars="0" w:firstLine="0" w:firstLineChars="0"/>
      </w:pPr>
      <w:r>
        <w:rPr>
          <w:rFonts w:hint="eastAsia"/>
        </w:rPr>
        <w:t>重复性</w:t>
      </w:r>
      <w:bookmarkEnd w:id="170"/>
      <w:bookmarkEnd w:id="171"/>
    </w:p>
    <w:p w14:paraId="7CDA283B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ind w:firstLine="480" w:firstLineChars="200"/>
        <w:textAlignment w:val="auto"/>
        <w:outlineLvl w:val="9"/>
        <w:rPr>
          <w:rFonts w:ascii="Times New Roman" w:hAnsi="Times New Roman"/>
        </w:rPr>
      </w:pPr>
      <w:bookmarkStart w:id="182" w:name="_Toc27188"/>
      <w:bookmarkStart w:id="183" w:name="_Toc25640"/>
      <w:bookmarkStart w:id="184" w:name="_Toc2129"/>
      <w:r>
        <w:rPr>
          <w:rFonts w:hint="eastAsia" w:ascii="Times New Roman" w:hAnsi="Times New Roman"/>
        </w:rPr>
        <w:t>通入浓度为满量程</w:t>
      </w:r>
      <w:r>
        <w:rPr>
          <w:rFonts w:hint="eastAsia" w:ascii="Times New Roman" w:hAnsi="Times New Roman"/>
          <w:lang w:val="en-US" w:eastAsia="zh-CN"/>
        </w:rPr>
        <w:t>浓度5</w:t>
      </w:r>
      <w:r>
        <w:rPr>
          <w:rFonts w:hint="eastAsia" w:ascii="Times New Roman" w:hAnsi="Times New Roman"/>
        </w:rPr>
        <w:t>0%的</w:t>
      </w:r>
      <w:r>
        <w:rPr>
          <w:rFonts w:hint="eastAsia" w:ascii="Times New Roman" w:hAnsi="Times New Roman"/>
          <w:lang w:val="en-US" w:eastAsia="zh-CN"/>
        </w:rPr>
        <w:t>标准气体</w:t>
      </w:r>
      <w:r>
        <w:rPr>
          <w:rFonts w:hint="eastAsia" w:ascii="Times New Roman" w:hAnsi="Times New Roman"/>
        </w:rPr>
        <w:t>，待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示值稳定后，记录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示值。然后通入零点气体使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回零，再通入上述浓度的</w:t>
      </w:r>
      <w:r>
        <w:rPr>
          <w:rFonts w:hint="eastAsia" w:ascii="Times New Roman" w:hAnsi="Times New Roman"/>
          <w:lang w:val="en-US" w:eastAsia="zh-CN"/>
        </w:rPr>
        <w:t>标准气体</w:t>
      </w:r>
      <w:r>
        <w:rPr>
          <w:rFonts w:hint="eastAsia" w:ascii="Times New Roman" w:hAnsi="Times New Roman"/>
        </w:rPr>
        <w:t>，重复测量6次。重复性以单次测量的相对标准偏差来表示。</w:t>
      </w:r>
      <w:bookmarkEnd w:id="182"/>
      <w:bookmarkStart w:id="185" w:name="_Toc15759"/>
      <w:r>
        <w:rPr>
          <w:rFonts w:hint="eastAsia" w:ascii="Times New Roman" w:hAnsi="Times New Roman"/>
        </w:rPr>
        <w:t>按</w:t>
      </w:r>
      <w:r>
        <w:rPr>
          <w:rFonts w:hint="eastAsia"/>
          <w:lang w:val="en-US" w:eastAsia="zh-CN"/>
        </w:rPr>
        <w:t>公</w:t>
      </w:r>
      <w:r>
        <w:rPr>
          <w:rFonts w:hint="eastAsia" w:ascii="Times New Roman" w:hAnsi="Times New Roman"/>
        </w:rPr>
        <w:t>式</w:t>
      </w:r>
      <w:r>
        <w:rPr>
          <w:rFonts w:hint="default" w:ascii="Times New Roman" w:hAnsi="Times New Roman" w:cs="Times New Roma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</w:rPr>
        <w:t>）</w:t>
      </w:r>
      <w:r>
        <w:rPr>
          <w:rFonts w:hint="eastAsia" w:ascii="Times New Roman" w:hAnsi="Times New Roman"/>
        </w:rPr>
        <w:t>计算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的重复性。</w:t>
      </w:r>
      <w:bookmarkEnd w:id="183"/>
      <w:bookmarkEnd w:id="184"/>
      <w:bookmarkEnd w:id="185"/>
    </w:p>
    <w:p w14:paraId="352105E8">
      <w:pPr>
        <w:pStyle w:val="51"/>
        <w:numPr>
          <w:ilvl w:val="1"/>
          <w:numId w:val="0"/>
        </w:numPr>
        <w:spacing w:before="120" w:after="120"/>
        <w:jc w:val="right"/>
        <w:outlineLvl w:val="9"/>
        <w:rPr>
          <w:rFonts w:ascii="Times New Roman" w:hAnsi="Times New Roman"/>
        </w:rPr>
      </w:pPr>
      <w:bookmarkStart w:id="186" w:name="_Toc13756"/>
      <w:bookmarkStart w:id="187" w:name="_Toc328"/>
      <w:bookmarkStart w:id="188" w:name="_Toc31980"/>
      <w:r>
        <w:rPr>
          <w:rFonts w:ascii="Times New Roman"/>
          <w:position w:val="-26"/>
        </w:rPr>
        <w:object>
          <v:shape id="_x0000_i1040" o:spt="75" type="#_x0000_t75" style="height:52pt;width:144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58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               (</w:t>
      </w:r>
      <w:r>
        <w:rPr>
          <w:rFonts w:hint="eastAsia" w:ascii="Times New Roman" w:hAnsi="Times New Roman"/>
          <w:lang w:val="en-US" w:eastAsia="zh-CN"/>
        </w:rPr>
        <w:t>5</w:t>
      </w:r>
      <w:r>
        <w:rPr>
          <w:rFonts w:hint="eastAsia" w:ascii="Times New Roman" w:hAnsi="Times New Roman"/>
        </w:rPr>
        <w:t>)</w:t>
      </w:r>
      <w:bookmarkEnd w:id="186"/>
      <w:bookmarkEnd w:id="187"/>
      <w:bookmarkEnd w:id="188"/>
    </w:p>
    <w:p w14:paraId="220FCAF8">
      <w:pPr>
        <w:pStyle w:val="51"/>
        <w:numPr>
          <w:ilvl w:val="1"/>
          <w:numId w:val="0"/>
        </w:numPr>
        <w:spacing w:before="120" w:after="120"/>
        <w:ind w:firstLine="480" w:firstLineChars="200"/>
        <w:outlineLvl w:val="9"/>
        <w:rPr>
          <w:rFonts w:ascii="Times New Roman" w:hAnsi="Times New Roman"/>
        </w:rPr>
      </w:pPr>
      <w:bookmarkStart w:id="189" w:name="_Toc5677"/>
      <w:bookmarkStart w:id="190" w:name="_Toc14362"/>
      <w:bookmarkStart w:id="191" w:name="_Toc20558"/>
      <w:r>
        <w:rPr>
          <w:rFonts w:hint="eastAsia" w:ascii="Times New Roman" w:hAnsi="Times New Roman"/>
        </w:rPr>
        <w:t>式中：</w:t>
      </w:r>
      <w:bookmarkEnd w:id="189"/>
      <w:bookmarkEnd w:id="190"/>
      <w:bookmarkEnd w:id="191"/>
    </w:p>
    <w:p w14:paraId="3A68BA10">
      <w:pPr>
        <w:pStyle w:val="43"/>
        <w:spacing w:line="300" w:lineRule="auto"/>
        <w:ind w:firstLine="468" w:firstLineChars="195"/>
      </w:pPr>
      <w:r>
        <w:rPr>
          <w:position w:val="-10"/>
          <w:vertAlign w:val="subscript"/>
        </w:rPr>
        <w:object>
          <v:shape id="_x0000_i1041" o:spt="75" type="#_x0000_t75" style="height:17pt;width:13.9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6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</w:t>
      </w:r>
      <w:r>
        <w:rPr>
          <w:rFonts w:hint="eastAsia" w:ascii="宋体" w:hAnsi="宋体" w:eastAsia="宋体" w:cs="宋体"/>
          <w:lang w:val="en-US" w:eastAsia="zh-CN"/>
        </w:rPr>
        <w:t>仪</w:t>
      </w:r>
      <w:r>
        <w:rPr>
          <w:rFonts w:hint="eastAsia"/>
        </w:rPr>
        <w:t>的重复性</w:t>
      </w:r>
      <w:r>
        <w:t>；</w:t>
      </w:r>
    </w:p>
    <w:p w14:paraId="3E15EEE4">
      <w:pPr>
        <w:pStyle w:val="43"/>
        <w:spacing w:line="300" w:lineRule="auto"/>
        <w:ind w:firstLine="480"/>
        <w:rPr>
          <w:rFonts w:hint="eastAsia" w:ascii="宋体" w:hAnsi="宋体" w:cs="宋体"/>
        </w:rPr>
      </w:pPr>
      <w:r>
        <w:rPr>
          <w:position w:val="-6"/>
          <w:vertAlign w:val="subscript"/>
        </w:rPr>
        <w:object>
          <v:shape id="_x0000_i1042" o:spt="75" type="#_x0000_t75" style="height:17pt;width:12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62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检测仪</w:t>
      </w:r>
      <w:r>
        <w:rPr>
          <w:rFonts w:hint="eastAsia" w:ascii="宋体" w:hAnsi="宋体" w:cs="宋体"/>
        </w:rPr>
        <w:t>示值的算术平均值，</w:t>
      </w:r>
      <w:r>
        <w:t>mol/mol</w:t>
      </w:r>
      <w:r>
        <w:rPr>
          <w:rFonts w:hint="eastAsia" w:ascii="宋体" w:hAnsi="宋体" w:cs="宋体"/>
        </w:rPr>
        <w:t>；</w:t>
      </w:r>
    </w:p>
    <w:p w14:paraId="2AEFB876">
      <w:pPr>
        <w:pStyle w:val="43"/>
        <w:spacing w:line="300" w:lineRule="auto"/>
        <w:ind w:firstLine="48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微软雅黑" w:hAnsi="微软雅黑" w:eastAsia="微软雅黑" w:cs="微软雅黑"/>
          <w:position w:val="-6"/>
        </w:rPr>
        <w:object>
          <v:shape id="_x0000_i1043" o:spt="75" type="#_x0000_t75" style="height:11pt;width:10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6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测量次数，</w:t>
      </w:r>
      <w:r>
        <w:rPr>
          <w:rFonts w:hint="default" w:ascii="Times New Roman" w:hAnsi="Times New Roman" w:cs="Times New Roman"/>
          <w:lang w:val="en-US" w:eastAsia="zh-CN"/>
        </w:rPr>
        <w:t>n</w:t>
      </w:r>
      <w:r>
        <w:rPr>
          <w:rFonts w:hint="eastAsia" w:ascii="宋体" w:hAnsi="宋体" w:cs="宋体"/>
          <w:lang w:val="en-US" w:eastAsia="zh-CN"/>
        </w:rPr>
        <w:t>=6</w:t>
      </w:r>
      <w:r>
        <w:rPr>
          <w:rFonts w:hint="eastAsia" w:ascii="宋体" w:hAnsi="宋体" w:cs="宋体"/>
          <w:lang w:eastAsia="zh-CN"/>
        </w:rPr>
        <w:t>；</w:t>
      </w:r>
    </w:p>
    <w:p w14:paraId="07967DC7">
      <w:pPr>
        <w:pStyle w:val="43"/>
        <w:spacing w:line="300" w:lineRule="auto"/>
        <w:ind w:firstLine="468" w:firstLineChars="195"/>
        <w:rPr>
          <w:highlight w:val="none"/>
        </w:rPr>
      </w:pPr>
      <w:r>
        <w:rPr>
          <w:position w:val="-12"/>
          <w:vertAlign w:val="subscript"/>
        </w:rPr>
        <w:object>
          <v:shape id="_x0000_i1044" o:spt="75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KSEE3" ShapeID="_x0000_i1044" DrawAspect="Content" ObjectID="_1468075744" r:id="rId66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检测仪</w:t>
      </w:r>
      <w:r>
        <w:rPr>
          <w:rFonts w:hint="eastAsia"/>
        </w:rPr>
        <w:t>第</w:t>
      </w:r>
      <w:r>
        <w:rPr>
          <w:rFonts w:hint="eastAsia"/>
          <w:i/>
          <w:iCs/>
        </w:rPr>
        <w:t>i</w:t>
      </w:r>
      <w:r>
        <w:rPr>
          <w:rFonts w:hint="eastAsia"/>
        </w:rPr>
        <w:t>次测量的示值，</w:t>
      </w:r>
      <w:r>
        <w:t>mol/mol</w:t>
      </w:r>
      <w:r>
        <w:rPr>
          <w:rFonts w:hint="eastAsia"/>
        </w:rPr>
        <w:t>。</w:t>
      </w:r>
    </w:p>
    <w:p w14:paraId="55E06F34">
      <w:pPr>
        <w:pStyle w:val="50"/>
        <w:bidi w:val="0"/>
        <w:ind w:left="0" w:leftChars="0" w:firstLine="0" w:firstLineChars="0"/>
      </w:pPr>
      <w:r>
        <w:rPr>
          <w:rFonts w:hint="eastAsia"/>
        </w:rPr>
        <w:t xml:space="preserve"> </w:t>
      </w:r>
      <w:bookmarkStart w:id="192" w:name="_Toc10357"/>
      <w:bookmarkStart w:id="193" w:name="_Toc5272"/>
      <w:bookmarkStart w:id="194" w:name="_Toc17481"/>
      <w:r>
        <w:rPr>
          <w:rFonts w:hint="eastAsia"/>
        </w:rPr>
        <w:t>变送输出</w:t>
      </w:r>
      <w:bookmarkEnd w:id="192"/>
      <w:bookmarkEnd w:id="193"/>
      <w:r>
        <w:rPr>
          <w:rFonts w:hint="eastAsia"/>
        </w:rPr>
        <w:t>误差</w:t>
      </w:r>
      <w:bookmarkEnd w:id="194"/>
    </w:p>
    <w:p w14:paraId="1FB053BE">
      <w:pPr>
        <w:pStyle w:val="51"/>
        <w:numPr>
          <w:ilvl w:val="1"/>
          <w:numId w:val="0"/>
        </w:numPr>
        <w:spacing w:before="120" w:after="120"/>
        <w:ind w:firstLine="480" w:firstLineChars="200"/>
        <w:outlineLvl w:val="9"/>
        <w:rPr>
          <w:rFonts w:ascii="Times New Roman" w:hAnsi="Times New Roman"/>
        </w:rPr>
      </w:pPr>
      <w:bookmarkStart w:id="195" w:name="_Toc30984"/>
      <w:bookmarkStart w:id="196" w:name="_Toc7733"/>
      <w:bookmarkStart w:id="197" w:name="_Toc24395"/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变送输出误差的校准可与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示值误差的校准同时进行，按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说明书</w:t>
      </w:r>
      <w:r>
        <w:rPr>
          <w:rFonts w:hint="eastAsia" w:ascii="Times New Roman" w:hAnsi="Times New Roman"/>
          <w:lang w:val="en-US" w:eastAsia="zh-CN"/>
        </w:rPr>
        <w:t>连接电气线路</w:t>
      </w:r>
      <w:r>
        <w:rPr>
          <w:rFonts w:hint="eastAsia" w:ascii="Times New Roman" w:hAnsi="Times New Roman"/>
        </w:rPr>
        <w:t>。进行示值误差校准过程中，读取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稳定示值的同时用</w:t>
      </w:r>
      <w:r>
        <w:rPr>
          <w:rFonts w:hint="eastAsia" w:ascii="Times New Roman" w:hAnsi="Times New Roman"/>
          <w:lang w:val="en-US" w:eastAsia="zh-CN"/>
        </w:rPr>
        <w:t>数字多用表</w:t>
      </w:r>
      <w:r>
        <w:rPr>
          <w:rFonts w:hint="eastAsia" w:ascii="Times New Roman" w:hAnsi="Times New Roman"/>
        </w:rPr>
        <w:t>测量</w:t>
      </w:r>
      <w:r>
        <w:rPr>
          <w:rFonts w:hint="eastAsia" w:ascii="Times New Roman" w:hAnsi="Times New Roman"/>
          <w:lang w:val="en-US" w:eastAsia="zh-CN"/>
        </w:rPr>
        <w:t>检测仪</w:t>
      </w:r>
      <w:r>
        <w:rPr>
          <w:rFonts w:hint="eastAsia" w:ascii="Times New Roman" w:hAnsi="Times New Roman"/>
        </w:rPr>
        <w:t>变送输出接线端的</w:t>
      </w:r>
      <w:r>
        <w:rPr>
          <w:rFonts w:hint="eastAsia" w:ascii="Times New Roman" w:hAnsi="Times New Roman"/>
          <w:lang w:val="en-US" w:eastAsia="zh-CN"/>
        </w:rPr>
        <w:t>标准电信号</w:t>
      </w:r>
      <w:r>
        <w:rPr>
          <w:rFonts w:hint="eastAsia" w:ascii="Times New Roman" w:hAnsi="Times New Roman"/>
        </w:rPr>
        <w:t>值。</w:t>
      </w:r>
      <w:bookmarkEnd w:id="195"/>
      <w:bookmarkStart w:id="198" w:name="_Toc31630"/>
      <w:r>
        <w:rPr>
          <w:rFonts w:hint="eastAsia" w:ascii="Times New Roman" w:hAnsi="Times New Roman"/>
        </w:rPr>
        <w:t>按</w:t>
      </w:r>
      <w:r>
        <w:rPr>
          <w:rFonts w:hint="eastAsia"/>
          <w:lang w:val="en-US" w:eastAsia="zh-CN"/>
        </w:rPr>
        <w:t>公</w:t>
      </w:r>
      <w:r>
        <w:rPr>
          <w:rFonts w:hint="eastAsia" w:ascii="Times New Roman" w:hAnsi="Times New Roman"/>
        </w:rPr>
        <w:t>式（</w:t>
      </w: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eastAsia" w:ascii="Times New Roman" w:hAnsi="Times New Roman"/>
        </w:rPr>
        <w:t>）计算</w:t>
      </w:r>
      <w:r>
        <w:rPr>
          <w:rFonts w:hint="eastAsia" w:ascii="Times New Roman" w:hAnsi="Times New Roman"/>
          <w:lang w:val="en-US" w:eastAsia="zh-CN"/>
        </w:rPr>
        <w:t>报警仪</w:t>
      </w:r>
      <w:r>
        <w:rPr>
          <w:rFonts w:hint="eastAsia" w:ascii="Times New Roman" w:hAnsi="Times New Roman"/>
        </w:rPr>
        <w:t>的变送输出误差。</w:t>
      </w:r>
      <w:bookmarkEnd w:id="196"/>
      <w:bookmarkEnd w:id="197"/>
      <w:bookmarkEnd w:id="198"/>
    </w:p>
    <w:p w14:paraId="688E2CC6">
      <w:pPr>
        <w:pStyle w:val="51"/>
        <w:numPr>
          <w:ilvl w:val="1"/>
          <w:numId w:val="0"/>
        </w:numPr>
        <w:spacing w:before="120" w:after="120"/>
        <w:ind w:firstLine="480" w:firstLineChars="200"/>
        <w:jc w:val="right"/>
        <w:outlineLvl w:val="9"/>
        <w:rPr>
          <w:rFonts w:ascii="Times New Roman" w:hAnsi="Times New Roman"/>
        </w:rPr>
      </w:pPr>
      <w:bookmarkStart w:id="199" w:name="_Toc29919"/>
      <w:bookmarkStart w:id="200" w:name="_Toc10394"/>
      <w:bookmarkStart w:id="201" w:name="_Toc24172"/>
      <w:r>
        <w:rPr>
          <w:rFonts w:ascii="Times New Roman"/>
          <w:position w:val="-30"/>
          <w:vertAlign w:val="subscript"/>
        </w:rPr>
        <w:object>
          <v:shape id="_x0000_i1045" o:spt="75" type="#_x0000_t75" style="height:37pt;width:99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68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             （</w:t>
      </w: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eastAsia" w:ascii="Times New Roman" w:hAnsi="Times New Roman"/>
        </w:rPr>
        <w:t>）</w:t>
      </w:r>
      <w:bookmarkEnd w:id="199"/>
      <w:bookmarkEnd w:id="200"/>
      <w:bookmarkEnd w:id="201"/>
    </w:p>
    <w:p w14:paraId="3F9772A9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/>
        <w:ind w:firstLine="480" w:firstLineChars="200"/>
        <w:textAlignment w:val="auto"/>
        <w:outlineLvl w:val="9"/>
        <w:rPr>
          <w:rFonts w:ascii="Times New Roman" w:hAnsi="Times New Roman"/>
        </w:rPr>
      </w:pPr>
      <w:bookmarkStart w:id="202" w:name="_Toc10842"/>
      <w:bookmarkStart w:id="203" w:name="_Toc18612"/>
      <w:bookmarkStart w:id="204" w:name="_Toc14672"/>
      <w:r>
        <w:rPr>
          <w:rFonts w:hint="eastAsia" w:ascii="Times New Roman" w:hAnsi="Times New Roman"/>
        </w:rPr>
        <w:t>式中：</w:t>
      </w:r>
      <w:bookmarkEnd w:id="202"/>
      <w:bookmarkEnd w:id="203"/>
      <w:bookmarkEnd w:id="204"/>
    </w:p>
    <w:p w14:paraId="0B1B6A3B">
      <w:pPr>
        <w:pStyle w:val="43"/>
        <w:spacing w:line="300" w:lineRule="auto"/>
        <w:ind w:firstLine="480"/>
      </w:pPr>
      <w:r>
        <w:rPr>
          <w:position w:val="-4"/>
          <w:vertAlign w:val="subscript"/>
        </w:rPr>
        <w:object>
          <v:shape id="_x0000_i1046" o:spt="75" type="#_x0000_t75" style="height:13pt;width:18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KSEE3" ShapeID="_x0000_i1046" DrawAspect="Content" ObjectID="_1468075746" r:id="rId7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变送输出</w:t>
      </w:r>
      <w:r>
        <w:t>误差；</w:t>
      </w:r>
    </w:p>
    <w:p w14:paraId="6CAE0752">
      <w:pPr>
        <w:pStyle w:val="43"/>
        <w:spacing w:line="300" w:lineRule="auto"/>
        <w:ind w:firstLine="480"/>
      </w:pPr>
      <w:r>
        <w:rPr>
          <w:position w:val="-4"/>
          <w:vertAlign w:val="baseline"/>
        </w:rPr>
        <w:object>
          <v:shape id="_x0000_i1047" o:spt="75" type="#_x0000_t75" style="height:14.25pt;width:12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KSEE3" ShapeID="_x0000_i1047" DrawAspect="Content" ObjectID="_1468075747" r:id="rId72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变送输出示值的算术平均值，mA或V</w:t>
      </w:r>
      <w:r>
        <w:t>；</w:t>
      </w:r>
    </w:p>
    <w:p w14:paraId="24307C40">
      <w:pPr>
        <w:pStyle w:val="43"/>
        <w:spacing w:line="300" w:lineRule="auto"/>
        <w:ind w:firstLine="480"/>
      </w:pPr>
      <w:r>
        <w:rPr>
          <w:position w:val="-12"/>
          <w:vertAlign w:val="subscript"/>
        </w:rPr>
        <w:object>
          <v:shape id="_x0000_i1048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KSEE3" ShapeID="_x0000_i1048" DrawAspect="Content" ObjectID="_1468075748" r:id="rId7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标准气体浓度值的理论变送输出值，mA或V；</w:t>
      </w:r>
    </w:p>
    <w:p w14:paraId="524A94C6">
      <w:pPr>
        <w:pStyle w:val="43"/>
        <w:spacing w:line="300" w:lineRule="auto"/>
        <w:ind w:firstLine="480"/>
        <w:rPr>
          <w:highlight w:val="none"/>
        </w:rPr>
      </w:pPr>
      <w:r>
        <w:rPr>
          <w:position w:val="-12"/>
          <w:highlight w:val="none"/>
          <w:vertAlign w:val="subscript"/>
        </w:rPr>
        <w:object>
          <v:shape id="_x0000_i1049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76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highlight w:val="none"/>
        </w:rPr>
        <w:t>——</w:t>
      </w:r>
      <w:r>
        <w:rPr>
          <w:rFonts w:hint="eastAsia"/>
          <w:highlight w:val="none"/>
          <w:lang w:val="en-US" w:eastAsia="zh-CN"/>
        </w:rPr>
        <w:t>检测仪</w:t>
      </w:r>
      <w:r>
        <w:rPr>
          <w:rFonts w:hint="eastAsia"/>
          <w:highlight w:val="none"/>
        </w:rPr>
        <w:t>变送输出的满量程，mA或V。</w:t>
      </w:r>
    </w:p>
    <w:p w14:paraId="09150DB9">
      <w:pPr>
        <w:pStyle w:val="50"/>
        <w:bidi w:val="0"/>
        <w:ind w:left="0" w:leftChars="0" w:firstLine="0" w:firstLineChars="0"/>
      </w:pPr>
      <w:r>
        <w:rPr>
          <w:rFonts w:hint="eastAsia"/>
        </w:rPr>
        <w:t xml:space="preserve"> </w:t>
      </w:r>
      <w:bookmarkStart w:id="205" w:name="_Toc6819"/>
      <w:bookmarkStart w:id="206" w:name="_Toc15463"/>
      <w:r>
        <w:rPr>
          <w:rFonts w:hint="eastAsia"/>
          <w:lang w:val="en-US" w:eastAsia="zh-CN"/>
        </w:rPr>
        <w:t>仪器</w:t>
      </w:r>
      <w:r>
        <w:rPr>
          <w:rFonts w:hint="eastAsia"/>
        </w:rPr>
        <w:t>漂移</w:t>
      </w:r>
      <w:bookmarkEnd w:id="205"/>
      <w:bookmarkEnd w:id="206"/>
    </w:p>
    <w:p w14:paraId="2CF9A21D">
      <w:pPr>
        <w:pStyle w:val="51"/>
        <w:numPr>
          <w:ilvl w:val="1"/>
          <w:numId w:val="0"/>
        </w:numPr>
        <w:spacing w:before="0" w:beforeLines="0" w:after="0" w:afterLines="0"/>
        <w:ind w:firstLine="480" w:firstLineChars="200"/>
        <w:outlineLvl w:val="9"/>
        <w:rPr>
          <w:rFonts w:ascii="Times New Roman" w:hAnsi="Times New Roman"/>
          <w:highlight w:val="none"/>
        </w:rPr>
      </w:pPr>
      <w:bookmarkStart w:id="207" w:name="_Toc22069"/>
      <w:bookmarkStart w:id="208" w:name="_Toc27481"/>
      <w:bookmarkStart w:id="209" w:name="_Toc13347"/>
      <w:r>
        <w:rPr>
          <w:rFonts w:hint="eastAsia"/>
          <w:highlight w:val="none"/>
          <w:lang w:val="en-US" w:eastAsia="zh-CN"/>
        </w:rPr>
        <w:t>检测仪</w:t>
      </w:r>
      <w:r>
        <w:rPr>
          <w:rFonts w:hint="eastAsia" w:ascii="Times New Roman" w:hAnsi="Times New Roman"/>
          <w:highlight w:val="none"/>
        </w:rPr>
        <w:t>的</w:t>
      </w:r>
      <w:r>
        <w:rPr>
          <w:rFonts w:hint="eastAsia" w:ascii="Times New Roman" w:hAnsi="Times New Roman"/>
          <w:highlight w:val="none"/>
          <w:lang w:val="en-US" w:eastAsia="zh-CN"/>
        </w:rPr>
        <w:t>仪器</w:t>
      </w:r>
      <w:r>
        <w:rPr>
          <w:rFonts w:hint="eastAsia" w:ascii="Times New Roman" w:hAnsi="Times New Roman"/>
          <w:highlight w:val="none"/>
        </w:rPr>
        <w:t>漂移包括零点漂移和量程漂移</w:t>
      </w:r>
      <w:r>
        <w:rPr>
          <w:rFonts w:hint="eastAsia" w:ascii="Times New Roman" w:hAnsi="Times New Roman"/>
          <w:highlight w:val="none"/>
          <w:lang w:eastAsia="zh-CN"/>
        </w:rPr>
        <w:t>，</w:t>
      </w:r>
      <w:r>
        <w:rPr>
          <w:rFonts w:hint="eastAsia" w:ascii="Times New Roman" w:hAnsi="Times New Roman"/>
          <w:highlight w:val="none"/>
          <w:lang w:val="en-US" w:eastAsia="zh-CN"/>
        </w:rPr>
        <w:t>只有便携式检测仪才需做仪器漂移的校准</w:t>
      </w:r>
      <w:r>
        <w:rPr>
          <w:rFonts w:hint="eastAsia" w:ascii="Times New Roman" w:hAnsi="Times New Roman"/>
          <w:highlight w:val="none"/>
        </w:rPr>
        <w:t>。</w:t>
      </w:r>
      <w:bookmarkEnd w:id="207"/>
      <w:bookmarkEnd w:id="208"/>
      <w:bookmarkEnd w:id="209"/>
    </w:p>
    <w:p w14:paraId="065D6C20">
      <w:pPr>
        <w:pStyle w:val="51"/>
        <w:numPr>
          <w:ilvl w:val="1"/>
          <w:numId w:val="0"/>
        </w:numPr>
        <w:spacing w:before="0" w:beforeLines="0" w:after="0" w:afterLines="0"/>
        <w:ind w:firstLine="480" w:firstLineChars="200"/>
        <w:outlineLvl w:val="9"/>
        <w:rPr>
          <w:rFonts w:ascii="Times New Roman" w:hAnsi="Times New Roman"/>
        </w:rPr>
      </w:pPr>
      <w:bookmarkStart w:id="210" w:name="_Toc14536"/>
      <w:bookmarkStart w:id="211" w:name="_Toc19428"/>
      <w:bookmarkStart w:id="212" w:name="_Toc14115"/>
      <w:r>
        <w:rPr>
          <w:rFonts w:hint="eastAsia" w:ascii="Times New Roman" w:hAnsi="Times New Roman"/>
        </w:rPr>
        <w:t>通入零点气体调零，记录</w:t>
      </w:r>
      <w:r>
        <w:rPr>
          <w:rFonts w:hint="eastAsia"/>
          <w:lang w:val="en-US" w:eastAsia="zh-CN"/>
        </w:rPr>
        <w:t>检测仪首次</w:t>
      </w:r>
      <w:r>
        <w:rPr>
          <w:rFonts w:hint="eastAsia" w:ascii="Times New Roman" w:hAnsi="Times New Roman"/>
          <w:lang w:val="en-US" w:eastAsia="zh-CN"/>
        </w:rPr>
        <w:t>零点</w:t>
      </w:r>
      <w:r>
        <w:rPr>
          <w:rFonts w:hint="eastAsia" w:ascii="Times New Roman" w:hAnsi="Times New Roman"/>
        </w:rPr>
        <w:t>示值</w:t>
      </w:r>
      <w:r>
        <w:rPr>
          <w:rFonts w:ascii="Times New Roman"/>
          <w:position w:val="-12"/>
          <w:vertAlign w:val="subscript"/>
        </w:rPr>
        <w:object>
          <v:shape id="_x0000_i1050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KSEE3" ShapeID="_x0000_i1050" DrawAspect="Content" ObjectID="_1468075750" r:id="rId78">
            <o:LockedField>false</o:LockedField>
          </o:OLEObject>
        </w:object>
      </w:r>
      <w:r>
        <w:rPr>
          <w:rFonts w:hint="eastAsia" w:ascii="Times New Roman" w:hAnsi="Times New Roman"/>
        </w:rPr>
        <w:t>，再通入满量程</w:t>
      </w:r>
      <w:r>
        <w:rPr>
          <w:rFonts w:hint="eastAsia" w:ascii="Times New Roman" w:hAnsi="Times New Roman"/>
          <w:lang w:val="en-US" w:eastAsia="zh-CN"/>
        </w:rPr>
        <w:t>浓度8</w:t>
      </w:r>
      <w:r>
        <w:rPr>
          <w:rFonts w:hint="eastAsia" w:ascii="Times New Roman" w:hAnsi="Times New Roman"/>
        </w:rPr>
        <w:t>0%的</w:t>
      </w:r>
      <w:r>
        <w:rPr>
          <w:rFonts w:hint="eastAsia" w:ascii="Times New Roman" w:hAnsi="Times New Roman"/>
          <w:lang w:val="en-US" w:eastAsia="zh-CN"/>
        </w:rPr>
        <w:t>标准气体</w:t>
      </w:r>
      <w:r>
        <w:rPr>
          <w:rFonts w:hint="eastAsia" w:ascii="Times New Roman" w:hAnsi="Times New Roman"/>
        </w:rPr>
        <w:t>，记录</w:t>
      </w:r>
      <w:r>
        <w:rPr>
          <w:rFonts w:hint="eastAsia" w:ascii="Times New Roman" w:hAnsi="Times New Roman"/>
          <w:lang w:val="en-US" w:eastAsia="zh-CN"/>
        </w:rPr>
        <w:t>检测</w:t>
      </w:r>
      <w:r>
        <w:rPr>
          <w:rFonts w:hint="eastAsia"/>
          <w:lang w:val="en-US" w:eastAsia="zh-CN"/>
        </w:rPr>
        <w:t>仪调零后的</w:t>
      </w:r>
      <w:r>
        <w:rPr>
          <w:rFonts w:hint="eastAsia" w:ascii="Times New Roman" w:hAnsi="Times New Roman"/>
          <w:lang w:val="en-US" w:eastAsia="zh-CN"/>
        </w:rPr>
        <w:t>首次浓度</w:t>
      </w:r>
      <w:r>
        <w:rPr>
          <w:rFonts w:hint="eastAsia" w:ascii="Times New Roman" w:hAnsi="Times New Roman"/>
        </w:rPr>
        <w:t>示值</w:t>
      </w:r>
      <w:r>
        <w:rPr>
          <w:rFonts w:ascii="Times New Roman"/>
          <w:position w:val="-12"/>
          <w:vertAlign w:val="subscript"/>
        </w:rPr>
        <w:object>
          <v:shape id="_x0000_i1051" o:spt="75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KSEE3" ShapeID="_x0000_i1051" DrawAspect="Content" ObjectID="_1468075751" r:id="rId80">
            <o:LockedField>false</o:LockedField>
          </o:OLEObject>
        </w:object>
      </w:r>
      <w:r>
        <w:rPr>
          <w:rFonts w:hint="eastAsia" w:ascii="Times New Roman" w:hAnsi="Times New Roman"/>
          <w:lang w:eastAsia="zh-CN"/>
        </w:rPr>
        <w:t>，</w:t>
      </w:r>
      <w:r>
        <w:rPr>
          <w:rFonts w:hint="eastAsia" w:ascii="Times New Roman" w:hAnsi="Times New Roman"/>
          <w:lang w:val="en-US" w:eastAsia="zh-CN"/>
        </w:rPr>
        <w:t>然后</w:t>
      </w:r>
      <w:r>
        <w:rPr>
          <w:rFonts w:hint="eastAsia" w:ascii="Times New Roman" w:hAnsi="Times New Roman"/>
        </w:rPr>
        <w:t>撤去</w:t>
      </w:r>
      <w:r>
        <w:rPr>
          <w:rFonts w:hint="eastAsia" w:ascii="Times New Roman" w:hAnsi="Times New Roman"/>
          <w:lang w:val="en-US" w:eastAsia="zh-CN"/>
        </w:rPr>
        <w:t>标准气体</w:t>
      </w:r>
      <w:r>
        <w:rPr>
          <w:rFonts w:hint="eastAsia" w:ascii="Times New Roman" w:hAnsi="Times New Roman"/>
        </w:rPr>
        <w:t>，通入零点气体，待</w:t>
      </w:r>
      <w:r>
        <w:rPr>
          <w:rFonts w:hint="eastAsia" w:ascii="Times New Roman" w:hAnsi="Times New Roman"/>
          <w:lang w:val="en-US" w:eastAsia="zh-CN"/>
        </w:rPr>
        <w:t>检测</w:t>
      </w:r>
      <w:r>
        <w:rPr>
          <w:rFonts w:hint="eastAsia"/>
          <w:lang w:val="en-US" w:eastAsia="zh-CN"/>
        </w:rPr>
        <w:t>仪</w:t>
      </w:r>
      <w:r>
        <w:rPr>
          <w:rFonts w:hint="eastAsia" w:ascii="Times New Roman" w:hAnsi="Times New Roman"/>
        </w:rPr>
        <w:t>回零后撤去零点气体</w:t>
      </w:r>
      <w:r>
        <w:rPr>
          <w:rFonts w:hint="eastAsia" w:ascii="Times New Roman" w:hAnsi="Times New Roman"/>
          <w:lang w:eastAsia="zh-CN"/>
        </w:rPr>
        <w:t>，</w:t>
      </w:r>
      <w:r>
        <w:rPr>
          <w:rFonts w:hint="eastAsia" w:ascii="Times New Roman" w:hAnsi="Times New Roman"/>
          <w:lang w:val="en-US" w:eastAsia="zh-CN"/>
        </w:rPr>
        <w:t>此为一个步骤</w:t>
      </w:r>
      <w:r>
        <w:rPr>
          <w:rFonts w:hint="eastAsia" w:ascii="Times New Roman" w:hAnsi="Times New Roman"/>
        </w:rPr>
        <w:t>。</w:t>
      </w:r>
      <w:r>
        <w:rPr>
          <w:rFonts w:hint="eastAsia"/>
          <w:lang w:val="en-US" w:eastAsia="zh-CN"/>
        </w:rPr>
        <w:t>检测仪</w:t>
      </w:r>
      <w:r>
        <w:rPr>
          <w:rFonts w:hint="eastAsia" w:ascii="Times New Roman" w:hAnsi="Times New Roman"/>
        </w:rPr>
        <w:t>连续运行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hint="eastAsia" w:ascii="Times New Roman" w:hAnsi="Times New Roman"/>
        </w:rPr>
        <w:t>h，每隔1</w:t>
      </w:r>
      <w:r>
        <w:rPr>
          <w:rFonts w:hint="eastAsia" w:ascii="Times New Roman" w:hAnsi="Times New Roman"/>
          <w:lang w:val="en-US" w:eastAsia="zh-CN"/>
        </w:rPr>
        <w:t>0min重复上述步骤一次</w:t>
      </w:r>
      <w:r>
        <w:rPr>
          <w:rFonts w:hint="eastAsia" w:ascii="Times New Roman" w:hAnsi="Times New Roman"/>
        </w:rPr>
        <w:t>，</w:t>
      </w:r>
      <w:r>
        <w:rPr>
          <w:rFonts w:hint="eastAsia" w:ascii="Times New Roman" w:hAnsi="Times New Roman"/>
          <w:lang w:val="en-US" w:eastAsia="zh-CN"/>
        </w:rPr>
        <w:t>分别</w:t>
      </w:r>
      <w:r>
        <w:rPr>
          <w:rFonts w:hint="eastAsia" w:ascii="Times New Roman" w:hAnsi="Times New Roman"/>
        </w:rPr>
        <w:t>记录</w:t>
      </w:r>
      <w:r>
        <w:rPr>
          <w:rFonts w:hint="eastAsia"/>
          <w:lang w:val="en-US" w:eastAsia="zh-CN"/>
        </w:rPr>
        <w:t>检测仪</w:t>
      </w:r>
      <w:r>
        <w:rPr>
          <w:rFonts w:hint="eastAsia" w:ascii="Times New Roman" w:hAnsi="Times New Roman"/>
        </w:rPr>
        <w:t>的</w:t>
      </w:r>
      <w:r>
        <w:rPr>
          <w:rFonts w:hint="eastAsia" w:ascii="Times New Roman" w:hAnsi="Times New Roman"/>
          <w:lang w:val="en-US" w:eastAsia="zh-CN"/>
        </w:rPr>
        <w:t>稳定</w:t>
      </w:r>
      <w:r>
        <w:rPr>
          <w:rFonts w:hint="eastAsia" w:ascii="Times New Roman" w:hAnsi="Times New Roman"/>
        </w:rPr>
        <w:t>示值</w:t>
      </w:r>
      <w:r>
        <w:rPr>
          <w:rFonts w:ascii="Times New Roman"/>
          <w:position w:val="-12"/>
          <w:vertAlign w:val="subscript"/>
        </w:rPr>
        <w:object>
          <v:shape id="_x0000_i1052" o:spt="75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KSEE3" ShapeID="_x0000_i1052" DrawAspect="Content" ObjectID="_1468075752" r:id="rId82">
            <o:LockedField>false</o:LockedField>
          </o:OLEObject>
        </w:object>
      </w:r>
      <w:r>
        <w:rPr>
          <w:rFonts w:hint="eastAsia" w:ascii="Times New Roman" w:hAnsi="Times New Roman"/>
          <w:lang w:val="en-US" w:eastAsia="zh-CN"/>
        </w:rPr>
        <w:t>和</w:t>
      </w:r>
      <w:r>
        <w:rPr>
          <w:rFonts w:ascii="Times New Roman"/>
          <w:position w:val="-12"/>
          <w:vertAlign w:val="subscript"/>
        </w:rPr>
        <w:object>
          <v:shape id="_x0000_i1053" o:spt="75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KSEE3" ShapeID="_x0000_i1053" DrawAspect="Content" ObjectID="_1468075753" r:id="rId84">
            <o:LockedField>false</o:LockedField>
          </o:OLEObject>
        </w:object>
      </w:r>
      <w:r>
        <w:rPr>
          <w:rFonts w:hint="eastAsia" w:ascii="Times New Roman" w:hAnsi="Times New Roman"/>
        </w:rPr>
        <w:t>。</w:t>
      </w:r>
      <w:bookmarkEnd w:id="210"/>
      <w:bookmarkStart w:id="213" w:name="_Toc32165"/>
      <w:r>
        <w:rPr>
          <w:rFonts w:hint="eastAsia" w:ascii="Times New Roman" w:hAnsi="Times New Roman"/>
        </w:rPr>
        <w:t>按</w:t>
      </w:r>
      <w:r>
        <w:rPr>
          <w:rFonts w:hint="eastAsia"/>
          <w:lang w:val="en-US" w:eastAsia="zh-CN"/>
        </w:rPr>
        <w:t>公</w:t>
      </w:r>
      <w:r>
        <w:rPr>
          <w:rFonts w:hint="eastAsia" w:ascii="Times New Roman" w:hAnsi="Times New Roman"/>
        </w:rPr>
        <w:t>式（</w:t>
      </w:r>
      <w:r>
        <w:rPr>
          <w:rFonts w:hint="eastAsia" w:ascii="Times New Roman" w:hAnsi="Times New Roman"/>
          <w:lang w:val="en-US" w:eastAsia="zh-CN"/>
        </w:rPr>
        <w:t>7</w:t>
      </w:r>
      <w:r>
        <w:rPr>
          <w:rFonts w:hint="eastAsia" w:ascii="Times New Roman" w:hAnsi="Times New Roman"/>
        </w:rPr>
        <w:t>）计算</w:t>
      </w:r>
      <w:r>
        <w:rPr>
          <w:rFonts w:hint="eastAsia"/>
          <w:lang w:val="en-US" w:eastAsia="zh-CN"/>
        </w:rPr>
        <w:t>检测仪</w:t>
      </w:r>
      <w:r>
        <w:rPr>
          <w:rFonts w:hint="eastAsia" w:ascii="Times New Roman" w:hAnsi="Times New Roman"/>
        </w:rPr>
        <w:t>的零点漂移</w:t>
      </w:r>
      <w:r>
        <w:rPr>
          <w:rFonts w:hint="eastAsia" w:ascii="Times New Roman" w:hAnsi="Times New Roman"/>
          <w:lang w:eastAsia="zh-CN"/>
        </w:rPr>
        <w:t>，</w:t>
      </w:r>
      <w:r>
        <w:rPr>
          <w:rFonts w:hint="eastAsia" w:ascii="Times New Roman" w:hAnsi="Times New Roman"/>
        </w:rPr>
        <w:t>取绝对值最大的</w:t>
      </w:r>
      <w:r>
        <w:rPr>
          <w:rFonts w:ascii="Times New Roman"/>
          <w:position w:val="-12"/>
          <w:vertAlign w:val="subscript"/>
        </w:rPr>
        <w:object>
          <v:shape id="_x0000_i1054" o:spt="75" type="#_x0000_t75" style="height:18pt;width:21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KSEE3" ShapeID="_x0000_i1054" DrawAspect="Content" ObjectID="_1468075754" r:id="rId86">
            <o:LockedField>false</o:LockedField>
          </o:OLEObject>
        </w:object>
      </w:r>
      <w:r>
        <w:rPr>
          <w:rFonts w:hint="eastAsia" w:ascii="Times New Roman" w:hAnsi="Times New Roman"/>
        </w:rPr>
        <w:t>作为</w:t>
      </w:r>
      <w:r>
        <w:rPr>
          <w:rFonts w:hint="eastAsia"/>
          <w:lang w:val="en-US" w:eastAsia="zh-CN"/>
        </w:rPr>
        <w:t>检测仪</w:t>
      </w:r>
      <w:r>
        <w:rPr>
          <w:rFonts w:hint="eastAsia" w:ascii="Times New Roman" w:hAnsi="Times New Roman"/>
        </w:rPr>
        <w:t>的零点漂移。</w:t>
      </w:r>
      <w:bookmarkEnd w:id="211"/>
      <w:bookmarkEnd w:id="212"/>
      <w:bookmarkEnd w:id="213"/>
    </w:p>
    <w:p w14:paraId="1D7AFF8B">
      <w:pPr>
        <w:pStyle w:val="51"/>
        <w:numPr>
          <w:ilvl w:val="1"/>
          <w:numId w:val="0"/>
        </w:numPr>
        <w:spacing w:before="120" w:after="120"/>
        <w:jc w:val="right"/>
        <w:outlineLvl w:val="9"/>
        <w:rPr>
          <w:rFonts w:ascii="Times New Roman" w:hAnsi="Times New Roman"/>
        </w:rPr>
      </w:pPr>
      <w:bookmarkStart w:id="214" w:name="_Toc16852"/>
      <w:bookmarkStart w:id="215" w:name="_Toc29219"/>
      <w:bookmarkStart w:id="216" w:name="_Toc30791"/>
      <w:r>
        <w:rPr>
          <w:rFonts w:hint="eastAsia" w:hAnsi="宋体" w:cs="宋体"/>
          <w:position w:val="-24"/>
        </w:rPr>
        <w:object>
          <v:shape id="_x0000_i1055" o:spt="75" type="#_x0000_t75" style="height:31pt;width:98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KSEE3" ShapeID="_x0000_i1055" DrawAspect="Content" ObjectID="_1468075755" r:id="rId88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                  (</w:t>
      </w:r>
      <w:r>
        <w:rPr>
          <w:rFonts w:hint="eastAsia" w:ascii="Times New Roman" w:hAnsi="Times New Roman"/>
          <w:lang w:val="en-US" w:eastAsia="zh-CN"/>
        </w:rPr>
        <w:t>7</w:t>
      </w:r>
      <w:r>
        <w:rPr>
          <w:rFonts w:hint="eastAsia" w:ascii="Times New Roman" w:hAnsi="Times New Roman"/>
        </w:rPr>
        <w:t>)</w:t>
      </w:r>
      <w:bookmarkEnd w:id="214"/>
      <w:bookmarkEnd w:id="215"/>
      <w:bookmarkEnd w:id="216"/>
    </w:p>
    <w:p w14:paraId="65189D77">
      <w:pPr>
        <w:pStyle w:val="51"/>
        <w:numPr>
          <w:ilvl w:val="1"/>
          <w:numId w:val="0"/>
        </w:numPr>
        <w:spacing w:before="0" w:beforeLines="0" w:after="0" w:afterLines="0"/>
        <w:ind w:firstLine="480" w:firstLineChars="200"/>
        <w:outlineLvl w:val="9"/>
        <w:rPr>
          <w:rFonts w:ascii="Times New Roman" w:hAnsi="Times New Roman"/>
        </w:rPr>
      </w:pPr>
      <w:bookmarkStart w:id="217" w:name="_Toc32763"/>
      <w:bookmarkStart w:id="218" w:name="_Toc5401"/>
      <w:bookmarkStart w:id="219" w:name="_Toc9538"/>
      <w:r>
        <w:rPr>
          <w:rFonts w:hint="eastAsia" w:ascii="Times New Roman" w:hAnsi="Times New Roman"/>
        </w:rPr>
        <w:t>式中：</w:t>
      </w:r>
      <w:bookmarkEnd w:id="217"/>
    </w:p>
    <w:p w14:paraId="4C5E819F">
      <w:pPr>
        <w:pStyle w:val="43"/>
        <w:ind w:firstLine="480"/>
      </w:pPr>
      <w:r>
        <w:rPr>
          <w:position w:val="-12"/>
          <w:vertAlign w:val="subscript"/>
        </w:rPr>
        <w:object>
          <v:shape id="_x0000_i1056" o:spt="75" type="#_x0000_t75" style="height:18pt;width:21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KSEE3" ShapeID="_x0000_i1056" DrawAspect="Content" ObjectID="_1468075756" r:id="rId9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零点漂移；</w:t>
      </w:r>
    </w:p>
    <w:p w14:paraId="60CF5297">
      <w:pPr>
        <w:pStyle w:val="43"/>
        <w:ind w:firstLine="480"/>
      </w:pPr>
      <w:r>
        <w:rPr>
          <w:position w:val="-12"/>
          <w:vertAlign w:val="subscript"/>
        </w:rPr>
        <w:object>
          <v:shape id="_x0000_i1057" o:spt="75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KSEE3" ShapeID="_x0000_i1057" DrawAspect="Content" ObjectID="_1468075757" r:id="rId92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第</w:t>
      </w:r>
      <w:r>
        <w:rPr>
          <w:rFonts w:hint="eastAsia"/>
          <w:i/>
          <w:iCs/>
        </w:rPr>
        <w:t>i</w:t>
      </w:r>
      <w:r>
        <w:rPr>
          <w:rFonts w:hint="eastAsia"/>
        </w:rPr>
        <w:t>次测量的零点示值，</w:t>
      </w:r>
      <w:r>
        <w:t>mol/mol</w:t>
      </w:r>
      <w:r>
        <w:rPr>
          <w:rFonts w:hint="eastAsia"/>
        </w:rPr>
        <w:t>；</w:t>
      </w:r>
    </w:p>
    <w:p w14:paraId="679B902C">
      <w:pPr>
        <w:pStyle w:val="43"/>
        <w:ind w:firstLine="480"/>
        <w:rPr>
          <w:rFonts w:hint="eastAsia"/>
        </w:rPr>
      </w:pPr>
      <w:r>
        <w:rPr>
          <w:position w:val="-12"/>
          <w:vertAlign w:val="subscript"/>
        </w:rPr>
        <w:object>
          <v:shape id="_x0000_i1058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KSEE3" ShapeID="_x0000_i1058" DrawAspect="Content" ObjectID="_1468075758" r:id="rId93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调零后的首次零点示值，</w:t>
      </w:r>
      <w:r>
        <w:t>mol/mol</w:t>
      </w:r>
      <w:r>
        <w:rPr>
          <w:rFonts w:hint="eastAsia"/>
        </w:rPr>
        <w:t>；</w:t>
      </w:r>
    </w:p>
    <w:p w14:paraId="43386792">
      <w:pPr>
        <w:pStyle w:val="51"/>
        <w:numPr>
          <w:ilvl w:val="1"/>
          <w:numId w:val="0"/>
        </w:numPr>
        <w:spacing w:before="0" w:beforeLines="0" w:after="0" w:afterLines="0" w:line="300" w:lineRule="auto"/>
        <w:ind w:firstLine="480" w:firstLineChars="200"/>
        <w:outlineLvl w:val="9"/>
        <w:rPr>
          <w:rFonts w:ascii="Times New Roman" w:hAnsi="Times New Roman"/>
        </w:rPr>
      </w:pPr>
      <w:bookmarkStart w:id="220" w:name="_Toc3100"/>
      <w:r>
        <w:rPr>
          <w:rFonts w:ascii="Times New Roman"/>
          <w:position w:val="-4"/>
          <w:vertAlign w:val="subscript"/>
        </w:rPr>
        <w:object>
          <v:shape id="_x0000_i105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KSEE3" ShapeID="_x0000_i1059" DrawAspect="Content" ObjectID="_1468075759" r:id="rId9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 w:ascii="Times New Roman"/>
        </w:rPr>
        <w:t>满量程</w:t>
      </w:r>
      <w:r>
        <w:rPr>
          <w:rFonts w:hint="eastAsia"/>
        </w:rPr>
        <w:t>，</w:t>
      </w:r>
      <w:r>
        <w:rPr>
          <w:rFonts w:ascii="Times New Roman" w:hAnsi="Times New Roman"/>
        </w:rPr>
        <w:t>mol/mol</w:t>
      </w:r>
      <w:r>
        <w:rPr>
          <w:rFonts w:hint="eastAsia" w:ascii="Times New Roman" w:hAnsi="Times New Roman"/>
        </w:rPr>
        <w:t>。</w:t>
      </w:r>
      <w:bookmarkEnd w:id="218"/>
      <w:bookmarkEnd w:id="219"/>
      <w:bookmarkEnd w:id="220"/>
    </w:p>
    <w:p w14:paraId="1E35EFCD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0" w:beforeLines="0" w:after="0" w:afterLines="0"/>
        <w:ind w:firstLine="480" w:firstLineChars="200"/>
        <w:textAlignment w:val="auto"/>
        <w:outlineLvl w:val="9"/>
        <w:rPr>
          <w:rFonts w:ascii="Times New Roman" w:hAnsi="Times New Roman"/>
        </w:rPr>
      </w:pPr>
      <w:bookmarkStart w:id="221" w:name="_Toc26399"/>
      <w:bookmarkStart w:id="222" w:name="_Toc28273"/>
      <w:bookmarkStart w:id="223" w:name="_Toc30202"/>
      <w:r>
        <w:rPr>
          <w:rFonts w:hint="eastAsia" w:ascii="Times New Roman" w:hAnsi="Times New Roman"/>
        </w:rPr>
        <w:t>按</w:t>
      </w:r>
      <w:r>
        <w:rPr>
          <w:rFonts w:hint="eastAsia"/>
          <w:lang w:val="en-US" w:eastAsia="zh-CN"/>
        </w:rPr>
        <w:t>公</w:t>
      </w:r>
      <w:r>
        <w:rPr>
          <w:rFonts w:hint="eastAsia" w:ascii="Times New Roman" w:hAnsi="Times New Roman"/>
        </w:rPr>
        <w:t>式（</w:t>
      </w:r>
      <w:r>
        <w:rPr>
          <w:rFonts w:hint="eastAsia" w:ascii="Times New Roman" w:hAnsi="Times New Roman"/>
          <w:lang w:val="en-US" w:eastAsia="zh-CN"/>
        </w:rPr>
        <w:t>8</w:t>
      </w:r>
      <w:r>
        <w:rPr>
          <w:rFonts w:hint="eastAsia" w:ascii="Times New Roman" w:hAnsi="Times New Roman"/>
        </w:rPr>
        <w:t>）计算</w:t>
      </w:r>
      <w:r>
        <w:rPr>
          <w:rFonts w:hint="eastAsia" w:ascii="Times New Roman" w:hAnsi="Times New Roman"/>
          <w:lang w:val="en-US" w:eastAsia="zh-CN"/>
        </w:rPr>
        <w:t>检测</w:t>
      </w:r>
      <w:r>
        <w:rPr>
          <w:rFonts w:hint="eastAsia"/>
          <w:lang w:val="en-US" w:eastAsia="zh-CN"/>
        </w:rPr>
        <w:t>仪</w:t>
      </w:r>
      <w:r>
        <w:rPr>
          <w:rFonts w:hint="eastAsia" w:ascii="Times New Roman" w:hAnsi="Times New Roman"/>
        </w:rPr>
        <w:t>的量程漂移</w:t>
      </w:r>
      <w:bookmarkEnd w:id="221"/>
      <w:bookmarkEnd w:id="222"/>
      <w:bookmarkEnd w:id="223"/>
      <w:r>
        <w:rPr>
          <w:rFonts w:hint="eastAsia" w:ascii="Times New Roman" w:hAnsi="Times New Roman"/>
          <w:lang w:eastAsia="zh-CN"/>
        </w:rPr>
        <w:t>，</w:t>
      </w:r>
      <w:r>
        <w:rPr>
          <w:rFonts w:hint="eastAsia" w:ascii="Times New Roman" w:hAnsi="Times New Roman"/>
        </w:rPr>
        <w:t>取绝对值最大的</w:t>
      </w:r>
      <w:r>
        <w:rPr>
          <w:rFonts w:ascii="Times New Roman"/>
          <w:position w:val="-12"/>
          <w:vertAlign w:val="subscript"/>
        </w:rPr>
        <w:object>
          <v:shape id="_x0000_i1060" o:spt="75" type="#_x0000_t75" style="height:18pt;width:20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KSEE3" ShapeID="_x0000_i1060" DrawAspect="Content" ObjectID="_1468075760" r:id="rId96">
            <o:LockedField>false</o:LockedField>
          </o:OLEObject>
        </w:object>
      </w:r>
      <w:r>
        <w:rPr>
          <w:rFonts w:hint="eastAsia" w:ascii="Times New Roman" w:hAnsi="Times New Roman"/>
        </w:rPr>
        <w:t>作为</w:t>
      </w:r>
      <w:r>
        <w:rPr>
          <w:rFonts w:hint="eastAsia" w:ascii="Times New Roman" w:hAnsi="Times New Roman"/>
          <w:lang w:val="en-US" w:eastAsia="zh-CN"/>
        </w:rPr>
        <w:t>检测</w:t>
      </w:r>
      <w:r>
        <w:rPr>
          <w:rFonts w:hint="eastAsia"/>
          <w:lang w:val="en-US" w:eastAsia="zh-CN"/>
        </w:rPr>
        <w:t>仪</w:t>
      </w:r>
      <w:r>
        <w:rPr>
          <w:rFonts w:hint="eastAsia" w:ascii="Times New Roman" w:hAnsi="Times New Roman"/>
        </w:rPr>
        <w:t>的量程漂移。</w:t>
      </w:r>
    </w:p>
    <w:p w14:paraId="4D3C9C37">
      <w:pPr>
        <w:pStyle w:val="51"/>
        <w:numPr>
          <w:ilvl w:val="1"/>
          <w:numId w:val="0"/>
        </w:numPr>
        <w:spacing w:before="120" w:after="120"/>
        <w:jc w:val="right"/>
        <w:outlineLvl w:val="9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         </w:t>
      </w:r>
      <w:bookmarkStart w:id="224" w:name="_Toc5497"/>
      <w:bookmarkStart w:id="225" w:name="_Toc26953"/>
      <w:bookmarkStart w:id="226" w:name="_Toc10450"/>
      <w:r>
        <w:rPr>
          <w:rFonts w:hint="eastAsia" w:hAnsi="宋体" w:cs="宋体"/>
          <w:position w:val="-24"/>
        </w:rPr>
        <w:object>
          <v:shape id="_x0000_i1061" o:spt="75" type="#_x0000_t75" style="height:31pt;width:142pt;" o:ole="t" filled="f" o:preferrelative="t" stroked="f" coordsize="21600,21600">
            <v:path/>
            <v:fill on="f" focussize="0,0"/>
            <v:stroke on="f"/>
            <v:imagedata r:id="rId99" o:title=""/>
            <o:lock v:ext="edit" aspectratio="t"/>
            <w10:wrap type="none"/>
            <w10:anchorlock/>
          </v:shape>
          <o:OLEObject Type="Embed" ProgID="Equation.KSEE3" ShapeID="_x0000_i1061" DrawAspect="Content" ObjectID="_1468075761" r:id="rId98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              (</w:t>
      </w:r>
      <w:r>
        <w:rPr>
          <w:rFonts w:hint="eastAsia" w:ascii="Times New Roman" w:hAnsi="Times New Roman"/>
          <w:lang w:val="en-US" w:eastAsia="zh-CN"/>
        </w:rPr>
        <w:t>8</w:t>
      </w:r>
      <w:r>
        <w:rPr>
          <w:rFonts w:hint="eastAsia" w:ascii="Times New Roman" w:hAnsi="Times New Roman"/>
        </w:rPr>
        <w:t>)</w:t>
      </w:r>
      <w:bookmarkEnd w:id="224"/>
      <w:bookmarkEnd w:id="225"/>
      <w:bookmarkEnd w:id="226"/>
    </w:p>
    <w:p w14:paraId="02BC7A83">
      <w:pPr>
        <w:pStyle w:val="51"/>
        <w:numPr>
          <w:ilvl w:val="1"/>
          <w:numId w:val="0"/>
        </w:numPr>
        <w:spacing w:before="0" w:beforeLines="0" w:after="0" w:afterLines="0"/>
        <w:ind w:firstLine="480" w:firstLineChars="200"/>
        <w:outlineLvl w:val="9"/>
        <w:rPr>
          <w:rFonts w:ascii="Times New Roman" w:hAnsi="Times New Roman"/>
        </w:rPr>
      </w:pPr>
      <w:bookmarkStart w:id="227" w:name="_Toc9992"/>
      <w:bookmarkStart w:id="228" w:name="_Toc30924"/>
      <w:bookmarkStart w:id="229" w:name="_Toc2266"/>
      <w:bookmarkStart w:id="230" w:name="_Toc14850"/>
      <w:bookmarkStart w:id="231" w:name="_Toc26826"/>
      <w:r>
        <w:rPr>
          <w:rFonts w:hint="eastAsia" w:ascii="Times New Roman" w:hAnsi="Times New Roman"/>
        </w:rPr>
        <w:t>式中：</w:t>
      </w:r>
      <w:bookmarkEnd w:id="227"/>
      <w:bookmarkEnd w:id="228"/>
      <w:bookmarkEnd w:id="229"/>
    </w:p>
    <w:p w14:paraId="74F34593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ind w:firstLine="480"/>
        <w:textAlignment w:val="auto"/>
      </w:pPr>
      <w:r>
        <w:rPr>
          <w:position w:val="-12"/>
          <w:vertAlign w:val="subscript"/>
        </w:rPr>
        <w:object>
          <v:shape id="_x0000_i1062" o:spt="75" type="#_x0000_t75" style="height:18pt;width:20pt;" o:ole="t" filled="f" o:preferrelative="t" stroked="f" coordsize="21600,21600">
            <v:path/>
            <v:fill on="f" focussize="0,0"/>
            <v:stroke on="f"/>
            <v:imagedata r:id="rId101" o:title=""/>
            <o:lock v:ext="edit" aspectratio="t"/>
            <w10:wrap type="none"/>
            <w10:anchorlock/>
          </v:shape>
          <o:OLEObject Type="Embed" ProgID="Equation.KSEE3" ShapeID="_x0000_i1062" DrawAspect="Content" ObjectID="_1468075762" r:id="rId10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Times New Roman" w:hAnsi="Times New Roman"/>
          <w:lang w:val="en-US" w:eastAsia="zh-CN"/>
        </w:rPr>
        <w:t>检测</w:t>
      </w:r>
      <w:r>
        <w:rPr>
          <w:rFonts w:hint="eastAsia"/>
          <w:lang w:val="en-US" w:eastAsia="zh-CN"/>
        </w:rPr>
        <w:t>仪</w:t>
      </w:r>
      <w:r>
        <w:rPr>
          <w:rFonts w:hint="eastAsia"/>
        </w:rPr>
        <w:t>量程漂移；</w:t>
      </w:r>
    </w:p>
    <w:p w14:paraId="794232C8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ind w:firstLine="480"/>
        <w:textAlignment w:val="auto"/>
      </w:pPr>
      <w:r>
        <w:rPr>
          <w:position w:val="-12"/>
          <w:vertAlign w:val="subscript"/>
        </w:rPr>
        <w:object>
          <v:shape id="_x0000_i1063" o:spt="75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KSEE3" ShapeID="_x0000_i1063" DrawAspect="Content" ObjectID="_1468075763" r:id="rId102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Times New Roman" w:hAnsi="Times New Roman"/>
          <w:lang w:val="en-US" w:eastAsia="zh-CN"/>
        </w:rPr>
        <w:t>检测</w:t>
      </w:r>
      <w:r>
        <w:rPr>
          <w:rFonts w:hint="eastAsia"/>
          <w:lang w:val="en-US" w:eastAsia="zh-CN"/>
        </w:rPr>
        <w:t>仪</w:t>
      </w:r>
      <w:r>
        <w:rPr>
          <w:rFonts w:hint="eastAsia"/>
        </w:rPr>
        <w:t>第</w:t>
      </w:r>
      <w:r>
        <w:rPr>
          <w:rFonts w:hint="eastAsia"/>
          <w:i/>
          <w:iCs/>
        </w:rPr>
        <w:t>i</w:t>
      </w:r>
      <w:r>
        <w:rPr>
          <w:rFonts w:hint="eastAsia"/>
        </w:rPr>
        <w:t>次测量的浓度示值，</w:t>
      </w:r>
      <w:r>
        <w:t>mol/mol</w:t>
      </w:r>
      <w:r>
        <w:rPr>
          <w:rFonts w:hint="eastAsia"/>
        </w:rPr>
        <w:t>；</w:t>
      </w:r>
    </w:p>
    <w:p w14:paraId="04627AD8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ind w:firstLine="480"/>
        <w:textAlignment w:val="auto"/>
        <w:rPr>
          <w:rFonts w:hint="eastAsia"/>
        </w:rPr>
      </w:pPr>
      <w:r>
        <w:rPr>
          <w:position w:val="-12"/>
          <w:vertAlign w:val="subscript"/>
        </w:rPr>
        <w:object>
          <v:shape id="_x0000_i1064" o:spt="75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KSEE3" ShapeID="_x0000_i1064" DrawAspect="Content" ObjectID="_1468075764" r:id="rId103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Times New Roman" w:hAnsi="Times New Roman"/>
          <w:lang w:val="en-US" w:eastAsia="zh-CN"/>
        </w:rPr>
        <w:t>检测</w:t>
      </w:r>
      <w:r>
        <w:rPr>
          <w:rFonts w:hint="eastAsia"/>
          <w:lang w:val="en-US" w:eastAsia="zh-CN"/>
        </w:rPr>
        <w:t>仪</w:t>
      </w:r>
      <w:r>
        <w:rPr>
          <w:rFonts w:hint="eastAsia"/>
        </w:rPr>
        <w:t>调零后的首次浓度示值，</w:t>
      </w:r>
      <w:r>
        <w:t>mol/mol</w:t>
      </w:r>
      <w:r>
        <w:rPr>
          <w:rFonts w:hint="eastAsia"/>
        </w:rPr>
        <w:t>；</w:t>
      </w:r>
    </w:p>
    <w:p w14:paraId="6AD08FCE">
      <w:pPr>
        <w:pStyle w:val="51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bidi w:val="0"/>
        <w:adjustRightInd/>
        <w:spacing w:before="0" w:beforeLines="0" w:after="0" w:afterLines="0" w:line="300" w:lineRule="auto"/>
        <w:ind w:firstLine="480" w:firstLineChars="200"/>
        <w:textAlignment w:val="auto"/>
        <w:outlineLvl w:val="9"/>
        <w:rPr>
          <w:rFonts w:ascii="Times New Roman" w:hAnsi="Times New Roman"/>
        </w:rPr>
      </w:pPr>
      <w:bookmarkStart w:id="232" w:name="_Toc25861"/>
      <w:bookmarkStart w:id="233" w:name="_Toc9870"/>
      <w:bookmarkStart w:id="234" w:name="_Toc31533"/>
      <w:r>
        <w:rPr>
          <w:rFonts w:ascii="Times New Roman"/>
          <w:position w:val="-4"/>
          <w:vertAlign w:val="subscript"/>
        </w:rPr>
        <w:object>
          <v:shape id="_x0000_i1065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KSEE3" ShapeID="_x0000_i1065" DrawAspect="Content" ObjectID="_1468075765" r:id="rId10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Times New Roman" w:hAnsi="Times New Roman"/>
          <w:lang w:val="en-US" w:eastAsia="zh-CN"/>
        </w:rPr>
        <w:t>检测</w:t>
      </w:r>
      <w:r>
        <w:rPr>
          <w:rFonts w:hint="eastAsia"/>
          <w:lang w:val="en-US" w:eastAsia="zh-CN"/>
        </w:rPr>
        <w:t>仪</w:t>
      </w:r>
      <w:r>
        <w:rPr>
          <w:rFonts w:hint="eastAsia" w:ascii="Times New Roman"/>
        </w:rPr>
        <w:t>满量程</w:t>
      </w:r>
      <w:r>
        <w:rPr>
          <w:rFonts w:hint="eastAsia"/>
        </w:rPr>
        <w:t>，</w:t>
      </w:r>
      <w:r>
        <w:rPr>
          <w:rFonts w:ascii="Times New Roman" w:hAnsi="Times New Roman"/>
        </w:rPr>
        <w:t>mol/mol</w:t>
      </w:r>
      <w:r>
        <w:rPr>
          <w:rFonts w:hint="eastAsia" w:ascii="Times New Roman" w:hAnsi="Times New Roman"/>
        </w:rPr>
        <w:t>。</w:t>
      </w:r>
      <w:bookmarkEnd w:id="232"/>
      <w:bookmarkEnd w:id="233"/>
      <w:bookmarkEnd w:id="234"/>
    </w:p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230"/>
    <w:bookmarkEnd w:id="231"/>
    <w:p w14:paraId="605E4785">
      <w:pPr>
        <w:pStyle w:val="4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Lines="0" w:after="0" w:afterLines="0" w:line="360" w:lineRule="auto"/>
        <w:textAlignment w:val="auto"/>
        <w:outlineLvl w:val="0"/>
      </w:pPr>
      <w:bookmarkStart w:id="235" w:name="_Toc193860219"/>
      <w:bookmarkStart w:id="236" w:name="_Toc193860188"/>
      <w:bookmarkStart w:id="237" w:name="_Toc193860038"/>
      <w:bookmarkStart w:id="238" w:name="_Toc193619101"/>
      <w:bookmarkStart w:id="239" w:name="_Toc193618956"/>
      <w:bookmarkStart w:id="240" w:name="_Toc193619059"/>
      <w:bookmarkStart w:id="241" w:name="_Toc31728"/>
      <w:bookmarkStart w:id="242" w:name="_Toc24685_WPSOffice_Level1"/>
      <w:bookmarkStart w:id="243" w:name="_Toc23784582"/>
      <w:bookmarkStart w:id="244" w:name="_Toc4816"/>
      <w:bookmarkStart w:id="245" w:name="_Toc23785579"/>
      <w:bookmarkStart w:id="246" w:name="_Toc23784681"/>
      <w:r>
        <w:rPr>
          <w:rFonts w:hint="eastAsia"/>
        </w:rPr>
        <w:t xml:space="preserve"> </w:t>
      </w:r>
      <w:bookmarkStart w:id="247" w:name="_Toc21474"/>
      <w:bookmarkStart w:id="248" w:name="_Toc17657"/>
      <w:bookmarkStart w:id="249" w:name="_Toc21497"/>
      <w:bookmarkStart w:id="250" w:name="_Toc25707"/>
      <w:r>
        <w:rPr>
          <w:rFonts w:hint="eastAsia"/>
        </w:rPr>
        <w:t xml:space="preserve"> </w:t>
      </w:r>
      <w:bookmarkStart w:id="251" w:name="_Toc23960"/>
      <w:r>
        <w:t>校准结果</w:t>
      </w:r>
      <w:bookmarkEnd w:id="235"/>
      <w:bookmarkEnd w:id="236"/>
      <w:bookmarkEnd w:id="237"/>
      <w:bookmarkEnd w:id="238"/>
      <w:bookmarkEnd w:id="239"/>
      <w:bookmarkEnd w:id="240"/>
      <w:r>
        <w:t>表达</w:t>
      </w:r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</w:p>
    <w:p w14:paraId="04BA9D1D">
      <w:pPr>
        <w:pStyle w:val="43"/>
        <w:ind w:firstLine="480"/>
        <w:rPr>
          <w:szCs w:val="22"/>
        </w:rPr>
      </w:pPr>
      <w:r>
        <w:rPr>
          <w:szCs w:val="22"/>
        </w:rPr>
        <w:t>经</w:t>
      </w:r>
      <w:r>
        <w:rPr>
          <w:rFonts w:hint="eastAsia" w:ascii="宋体" w:hAnsi="宋体"/>
        </w:rPr>
        <w:t>校准</w:t>
      </w:r>
      <w:r>
        <w:rPr>
          <w:szCs w:val="22"/>
        </w:rPr>
        <w:t>的</w:t>
      </w:r>
      <w:r>
        <w:rPr>
          <w:rFonts w:hint="eastAsia"/>
          <w:szCs w:val="22"/>
          <w:lang w:val="en-US" w:eastAsia="zh-CN"/>
        </w:rPr>
        <w:t>检测</w:t>
      </w:r>
      <w:r>
        <w:rPr>
          <w:rFonts w:hint="eastAsia"/>
          <w:szCs w:val="22"/>
        </w:rPr>
        <w:t>仪</w:t>
      </w:r>
      <w:r>
        <w:rPr>
          <w:szCs w:val="22"/>
        </w:rPr>
        <w:t>出具校准证书，</w:t>
      </w:r>
      <w:r>
        <w:rPr>
          <w:rFonts w:hint="eastAsia"/>
          <w:szCs w:val="22"/>
        </w:rPr>
        <w:t>校准结果应在校准证书上反映，校准证书至少应包括以下信息：</w:t>
      </w:r>
    </w:p>
    <w:p w14:paraId="512437FF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a）</w:t>
      </w:r>
      <w:r>
        <w:rPr>
          <w:rFonts w:ascii="Times New Roman"/>
          <w:sz w:val="24"/>
          <w:szCs w:val="24"/>
        </w:rPr>
        <w:t>标题</w:t>
      </w:r>
      <w:r>
        <w:rPr>
          <w:rFonts w:hint="eastAsia" w:ascii="Times New Roman"/>
          <w:sz w:val="24"/>
          <w:szCs w:val="24"/>
          <w:lang w:eastAsia="zh-CN"/>
        </w:rPr>
        <w:t>：“</w:t>
      </w:r>
      <w:r>
        <w:rPr>
          <w:rFonts w:ascii="Times New Roman"/>
          <w:sz w:val="24"/>
          <w:szCs w:val="24"/>
        </w:rPr>
        <w:t>校准证书</w:t>
      </w:r>
      <w:r>
        <w:rPr>
          <w:rFonts w:hint="eastAsia" w:ascii="Times New Roman"/>
          <w:sz w:val="24"/>
          <w:szCs w:val="24"/>
          <w:lang w:eastAsia="zh-CN"/>
        </w:rPr>
        <w:t>”</w:t>
      </w:r>
      <w:r>
        <w:rPr>
          <w:rFonts w:hint="eastAsia" w:ascii="Times New Roman"/>
          <w:sz w:val="24"/>
          <w:szCs w:val="24"/>
        </w:rPr>
        <w:t>；</w:t>
      </w:r>
    </w:p>
    <w:p w14:paraId="54316FD2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b）</w:t>
      </w:r>
      <w:r>
        <w:rPr>
          <w:rFonts w:ascii="Times New Roman"/>
          <w:sz w:val="24"/>
          <w:szCs w:val="24"/>
        </w:rPr>
        <w:t>实验室的名称和地址</w:t>
      </w:r>
      <w:r>
        <w:rPr>
          <w:rFonts w:hint="eastAsia" w:ascii="Times New Roman"/>
          <w:sz w:val="24"/>
          <w:szCs w:val="24"/>
        </w:rPr>
        <w:t>；</w:t>
      </w:r>
    </w:p>
    <w:p w14:paraId="66DA716E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c）实施校准活动的地点，包括客户设施、实验室固定设施以外的地点；</w:t>
      </w:r>
    </w:p>
    <w:p w14:paraId="3215FD4D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d）</w:t>
      </w:r>
      <w:r>
        <w:rPr>
          <w:rFonts w:ascii="Times New Roman"/>
          <w:sz w:val="24"/>
          <w:szCs w:val="24"/>
        </w:rPr>
        <w:t>证书的唯一性标识（如编号），每页及总页数的标识</w:t>
      </w:r>
      <w:r>
        <w:rPr>
          <w:rFonts w:hint="eastAsia" w:ascii="Times New Roman"/>
          <w:sz w:val="24"/>
          <w:szCs w:val="24"/>
        </w:rPr>
        <w:t>；</w:t>
      </w:r>
    </w:p>
    <w:p w14:paraId="79722BA6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e）客户的</w:t>
      </w:r>
      <w:r>
        <w:rPr>
          <w:rFonts w:ascii="Times New Roman"/>
          <w:sz w:val="24"/>
          <w:szCs w:val="24"/>
        </w:rPr>
        <w:t>名称和</w:t>
      </w:r>
      <w:r>
        <w:rPr>
          <w:rFonts w:hint="eastAsia" w:ascii="Times New Roman"/>
          <w:sz w:val="24"/>
          <w:szCs w:val="24"/>
        </w:rPr>
        <w:t>联络信息；</w:t>
      </w:r>
    </w:p>
    <w:p w14:paraId="0B2BF8C0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f）</w:t>
      </w:r>
      <w:r>
        <w:rPr>
          <w:rFonts w:ascii="Times New Roman"/>
          <w:sz w:val="24"/>
          <w:szCs w:val="24"/>
        </w:rPr>
        <w:t>被校对象的描述和明确标识</w:t>
      </w:r>
      <w:r>
        <w:rPr>
          <w:rFonts w:hint="eastAsia" w:ascii="Times New Roman"/>
          <w:sz w:val="24"/>
          <w:szCs w:val="24"/>
        </w:rPr>
        <w:t>；</w:t>
      </w:r>
    </w:p>
    <w:p w14:paraId="20E605B8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g）</w:t>
      </w:r>
      <w:r>
        <w:rPr>
          <w:rFonts w:ascii="Times New Roman"/>
          <w:sz w:val="24"/>
          <w:szCs w:val="24"/>
        </w:rPr>
        <w:t>进行校准</w:t>
      </w:r>
      <w:r>
        <w:rPr>
          <w:rFonts w:hint="eastAsia" w:ascii="Times New Roman"/>
          <w:sz w:val="24"/>
          <w:szCs w:val="24"/>
        </w:rPr>
        <w:t>活动</w:t>
      </w:r>
      <w:r>
        <w:rPr>
          <w:rFonts w:ascii="Times New Roman"/>
          <w:sz w:val="24"/>
          <w:szCs w:val="24"/>
        </w:rPr>
        <w:t>的日期，如果与校准结果的有效性和应用有关时，应说明被校对象的接</w:t>
      </w:r>
      <w:r>
        <w:rPr>
          <w:rFonts w:hint="eastAsia" w:ascii="Times New Roman"/>
          <w:sz w:val="24"/>
          <w:szCs w:val="24"/>
        </w:rPr>
        <w:t>收</w:t>
      </w:r>
      <w:r>
        <w:rPr>
          <w:rFonts w:ascii="Times New Roman"/>
          <w:sz w:val="24"/>
          <w:szCs w:val="24"/>
        </w:rPr>
        <w:t>日期</w:t>
      </w:r>
      <w:r>
        <w:rPr>
          <w:rFonts w:hint="eastAsia" w:ascii="Times New Roman"/>
          <w:sz w:val="24"/>
          <w:szCs w:val="24"/>
        </w:rPr>
        <w:t>和证书发布日期；</w:t>
      </w:r>
    </w:p>
    <w:p w14:paraId="7176FF64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h）</w:t>
      </w:r>
      <w:r>
        <w:rPr>
          <w:rFonts w:ascii="Times New Roman"/>
          <w:sz w:val="24"/>
          <w:szCs w:val="24"/>
        </w:rPr>
        <w:t>校准所依据的技术规范的标识，包括名称及代号</w:t>
      </w:r>
      <w:r>
        <w:rPr>
          <w:rFonts w:hint="eastAsia" w:ascii="Times New Roman"/>
          <w:sz w:val="24"/>
          <w:szCs w:val="24"/>
        </w:rPr>
        <w:t>；</w:t>
      </w:r>
    </w:p>
    <w:p w14:paraId="57AE941D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i）</w:t>
      </w:r>
      <w:r>
        <w:rPr>
          <w:rFonts w:ascii="Times New Roman"/>
          <w:sz w:val="24"/>
          <w:szCs w:val="24"/>
        </w:rPr>
        <w:t>本次校准所用的测量标准和溯源性及有效性说明</w:t>
      </w:r>
      <w:r>
        <w:rPr>
          <w:rFonts w:hint="eastAsia" w:ascii="Times New Roman"/>
          <w:sz w:val="24"/>
          <w:szCs w:val="24"/>
        </w:rPr>
        <w:t>；</w:t>
      </w:r>
    </w:p>
    <w:p w14:paraId="3A718FC5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j）</w:t>
      </w:r>
      <w:r>
        <w:rPr>
          <w:rFonts w:ascii="Times New Roman"/>
          <w:sz w:val="24"/>
          <w:szCs w:val="24"/>
        </w:rPr>
        <w:t>校准环境的描述</w:t>
      </w:r>
      <w:r>
        <w:rPr>
          <w:rFonts w:hint="eastAsia" w:ascii="Times New Roman"/>
          <w:sz w:val="24"/>
          <w:szCs w:val="24"/>
        </w:rPr>
        <w:t>；</w:t>
      </w:r>
    </w:p>
    <w:p w14:paraId="798FE393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k）</w:t>
      </w:r>
      <w:r>
        <w:rPr>
          <w:rFonts w:ascii="Times New Roman"/>
          <w:sz w:val="24"/>
          <w:szCs w:val="24"/>
        </w:rPr>
        <w:t>校准结果及其测量不确定度的说明（给出整个测量范围校准结果测量不确定度的最大值）</w:t>
      </w:r>
      <w:r>
        <w:rPr>
          <w:rFonts w:hint="eastAsia" w:ascii="Times New Roman"/>
          <w:sz w:val="24"/>
          <w:szCs w:val="24"/>
        </w:rPr>
        <w:t>；</w:t>
      </w:r>
    </w:p>
    <w:p w14:paraId="141A150F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</w:rPr>
        <w:t>l）</w:t>
      </w:r>
      <w:r>
        <w:rPr>
          <w:rFonts w:hint="eastAsia" w:ascii="Times New Roman"/>
          <w:sz w:val="24"/>
          <w:szCs w:val="24"/>
          <w:lang w:val="en-US" w:eastAsia="zh-CN"/>
        </w:rPr>
        <w:t>对校准规范偏离的说明；</w:t>
      </w:r>
    </w:p>
    <w:p w14:paraId="0EF6923D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hint="eastAsia"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m）</w:t>
      </w:r>
      <w:r>
        <w:rPr>
          <w:rFonts w:ascii="Times New Roman"/>
          <w:sz w:val="24"/>
          <w:szCs w:val="24"/>
        </w:rPr>
        <w:t>校准证书签发人的签名、职务或等效标识，以及签发日期</w:t>
      </w:r>
      <w:r>
        <w:rPr>
          <w:rFonts w:hint="eastAsia" w:ascii="Times New Roman"/>
          <w:sz w:val="24"/>
          <w:szCs w:val="24"/>
        </w:rPr>
        <w:t>；</w:t>
      </w:r>
    </w:p>
    <w:p w14:paraId="72B10F19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  <w:lang w:val="en-US" w:eastAsia="zh-CN"/>
        </w:rPr>
        <w:t>n</w:t>
      </w:r>
      <w:r>
        <w:rPr>
          <w:rFonts w:hint="eastAsia" w:ascii="Times New Roman"/>
          <w:sz w:val="24"/>
          <w:szCs w:val="24"/>
        </w:rPr>
        <w:t>）</w:t>
      </w:r>
      <w:r>
        <w:rPr>
          <w:rFonts w:ascii="Times New Roman"/>
          <w:sz w:val="24"/>
          <w:szCs w:val="24"/>
        </w:rPr>
        <w:t>校准人</w:t>
      </w:r>
      <w:r>
        <w:rPr>
          <w:rFonts w:hint="eastAsia" w:ascii="Times New Roman"/>
          <w:sz w:val="24"/>
          <w:szCs w:val="24"/>
        </w:rPr>
        <w:t>和核验人签名；</w:t>
      </w:r>
    </w:p>
    <w:p w14:paraId="2D0815BC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hint="eastAsia" w:ascii="Times New Roman" w:eastAsia="宋体"/>
          <w:sz w:val="24"/>
          <w:szCs w:val="24"/>
          <w:lang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o</w:t>
      </w:r>
      <w:r>
        <w:rPr>
          <w:rFonts w:hint="eastAsia" w:ascii="Times New Roman"/>
          <w:sz w:val="24"/>
          <w:szCs w:val="24"/>
        </w:rPr>
        <w:t>）</w:t>
      </w:r>
      <w:r>
        <w:rPr>
          <w:rFonts w:ascii="Times New Roman"/>
          <w:sz w:val="24"/>
          <w:szCs w:val="24"/>
        </w:rPr>
        <w:t>校准</w:t>
      </w:r>
      <w:r>
        <w:rPr>
          <w:rFonts w:hint="eastAsia" w:ascii="Times New Roman"/>
          <w:sz w:val="24"/>
          <w:szCs w:val="24"/>
          <w:lang w:val="en-US" w:eastAsia="zh-CN"/>
        </w:rPr>
        <w:t>结果</w:t>
      </w:r>
      <w:r>
        <w:rPr>
          <w:rFonts w:ascii="Times New Roman"/>
          <w:sz w:val="24"/>
          <w:szCs w:val="24"/>
        </w:rPr>
        <w:t>仅对被校对象有效</w:t>
      </w:r>
      <w:r>
        <w:rPr>
          <w:rFonts w:hint="eastAsia" w:ascii="Times New Roman"/>
          <w:sz w:val="24"/>
          <w:szCs w:val="24"/>
          <w:lang w:val="en-US" w:eastAsia="zh-CN"/>
        </w:rPr>
        <w:t>的</w:t>
      </w:r>
      <w:r>
        <w:rPr>
          <w:rFonts w:ascii="Times New Roman"/>
          <w:sz w:val="24"/>
          <w:szCs w:val="24"/>
        </w:rPr>
        <w:t>声明</w:t>
      </w:r>
      <w:r>
        <w:rPr>
          <w:rFonts w:hint="eastAsia" w:ascii="Times New Roman"/>
          <w:sz w:val="24"/>
          <w:szCs w:val="24"/>
          <w:lang w:eastAsia="zh-CN"/>
        </w:rPr>
        <w:t>；</w:t>
      </w:r>
    </w:p>
    <w:p w14:paraId="7159595B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hint="eastAsia" w:ascii="Times New Roman" w:eastAsia="宋体"/>
          <w:sz w:val="24"/>
          <w:szCs w:val="24"/>
          <w:lang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p</w:t>
      </w:r>
      <w:r>
        <w:rPr>
          <w:rFonts w:hint="eastAsia" w:ascii="Times New Roman"/>
          <w:sz w:val="24"/>
          <w:szCs w:val="24"/>
        </w:rPr>
        <w:t>）</w:t>
      </w:r>
      <w:r>
        <w:rPr>
          <w:rFonts w:ascii="Times New Roman"/>
          <w:sz w:val="24"/>
          <w:szCs w:val="24"/>
        </w:rPr>
        <w:t>未经</w:t>
      </w:r>
      <w:r>
        <w:rPr>
          <w:rFonts w:hint="eastAsia" w:ascii="Times New Roman"/>
          <w:sz w:val="24"/>
          <w:szCs w:val="24"/>
        </w:rPr>
        <w:t>校准</w:t>
      </w:r>
      <w:r>
        <w:rPr>
          <w:rFonts w:ascii="Times New Roman"/>
          <w:sz w:val="24"/>
          <w:szCs w:val="24"/>
        </w:rPr>
        <w:t>实验室书面批准，不得部分复制</w:t>
      </w:r>
      <w:r>
        <w:rPr>
          <w:rFonts w:hint="eastAsia" w:ascii="Times New Roman"/>
          <w:sz w:val="24"/>
          <w:szCs w:val="24"/>
        </w:rPr>
        <w:t>校准</w:t>
      </w:r>
      <w:r>
        <w:rPr>
          <w:rFonts w:ascii="Times New Roman"/>
          <w:sz w:val="24"/>
          <w:szCs w:val="24"/>
        </w:rPr>
        <w:t>证书</w:t>
      </w:r>
      <w:r>
        <w:rPr>
          <w:rFonts w:hint="eastAsia" w:ascii="Times New Roman"/>
          <w:sz w:val="24"/>
          <w:szCs w:val="24"/>
        </w:rPr>
        <w:t>的声明</w:t>
      </w:r>
      <w:r>
        <w:rPr>
          <w:rFonts w:hint="eastAsia" w:ascii="Times New Roman"/>
          <w:sz w:val="24"/>
          <w:szCs w:val="24"/>
          <w:lang w:eastAsia="zh-CN"/>
        </w:rPr>
        <w:t>。</w:t>
      </w:r>
    </w:p>
    <w:p w14:paraId="71329E15">
      <w:pPr>
        <w:pStyle w:val="4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szCs w:val="22"/>
        </w:rPr>
      </w:pPr>
      <w:r>
        <w:rPr>
          <w:rFonts w:hint="eastAsia" w:ascii="Times New Roman"/>
          <w:sz w:val="24"/>
          <w:szCs w:val="24"/>
        </w:rPr>
        <w:t>校准原始记录参考格式见附录A，校准证书</w:t>
      </w:r>
      <w:r>
        <w:rPr>
          <w:rFonts w:hint="eastAsia" w:ascii="Times New Roman"/>
          <w:sz w:val="24"/>
          <w:szCs w:val="24"/>
          <w:lang w:val="en-US" w:eastAsia="zh-CN"/>
        </w:rPr>
        <w:t>内页</w:t>
      </w:r>
      <w:r>
        <w:rPr>
          <w:rFonts w:hint="eastAsia" w:ascii="Times New Roman"/>
          <w:sz w:val="24"/>
          <w:szCs w:val="24"/>
        </w:rPr>
        <w:t>参考格式见附录B。</w:t>
      </w:r>
    </w:p>
    <w:p w14:paraId="093331EC">
      <w:pPr>
        <w:pStyle w:val="4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425" w:hanging="425"/>
        <w:textAlignment w:val="auto"/>
        <w:outlineLvl w:val="0"/>
      </w:pPr>
      <w:bookmarkStart w:id="252" w:name="_Toc193860220"/>
      <w:bookmarkStart w:id="253" w:name="_Toc5529"/>
      <w:bookmarkStart w:id="254" w:name="_Toc193860189"/>
      <w:bookmarkStart w:id="255" w:name="_Toc23784682"/>
      <w:bookmarkStart w:id="256" w:name="_Toc193860040"/>
      <w:bookmarkStart w:id="257" w:name="_Toc23785580"/>
      <w:bookmarkStart w:id="258" w:name="_Toc23784583"/>
      <w:bookmarkStart w:id="259" w:name="_Toc11814"/>
      <w:bookmarkStart w:id="260" w:name="_Toc6291_WPSOffice_Level1"/>
      <w:r>
        <w:rPr>
          <w:rFonts w:hint="eastAsia"/>
        </w:rPr>
        <w:t xml:space="preserve"> </w:t>
      </w:r>
      <w:bookmarkStart w:id="261" w:name="_Toc7419"/>
      <w:bookmarkStart w:id="262" w:name="_Toc22985"/>
      <w:bookmarkStart w:id="263" w:name="_Toc27825"/>
      <w:bookmarkStart w:id="264" w:name="_Toc5099"/>
      <w:bookmarkStart w:id="265" w:name="_Toc18776"/>
      <w:r>
        <w:t>复校</w:t>
      </w:r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r>
        <w:rPr>
          <w:rFonts w:hint="eastAsia"/>
        </w:rPr>
        <w:t>时间间隔</w:t>
      </w:r>
      <w:bookmarkEnd w:id="261"/>
      <w:bookmarkEnd w:id="262"/>
      <w:bookmarkEnd w:id="263"/>
      <w:bookmarkEnd w:id="264"/>
      <w:bookmarkEnd w:id="265"/>
    </w:p>
    <w:p w14:paraId="7C8DBFC5">
      <w:pPr>
        <w:pStyle w:val="43"/>
        <w:ind w:firstLine="480"/>
      </w:pPr>
      <w:bookmarkStart w:id="266" w:name="_Toc193860041"/>
      <w:r>
        <w:t>建议复校</w:t>
      </w:r>
      <w:r>
        <w:rPr>
          <w:rFonts w:hint="eastAsia"/>
        </w:rPr>
        <w:t>时间间隔</w:t>
      </w:r>
      <w:r>
        <w:t>为1年。</w:t>
      </w:r>
      <w:bookmarkEnd w:id="266"/>
      <w:r>
        <w:rPr>
          <w:rFonts w:hint="eastAsia"/>
        </w:rPr>
        <w:t>送校单位可根据使用情况自主决定复校时间间隔</w:t>
      </w:r>
      <w:r>
        <w:rPr>
          <w:rFonts w:hint="eastAsia"/>
          <w:lang w:eastAsia="zh-CN"/>
        </w:rPr>
        <w:t>，</w:t>
      </w:r>
      <w:r>
        <w:t>在使用过程中经过</w:t>
      </w:r>
      <w:r>
        <w:rPr>
          <w:rFonts w:hint="eastAsia"/>
          <w:lang w:val="en-US" w:eastAsia="zh-CN"/>
        </w:rPr>
        <w:t>调零、</w:t>
      </w:r>
      <w:r>
        <w:t>修理、更换重要部件</w:t>
      </w:r>
      <w:r>
        <w:rPr>
          <w:rFonts w:hint="eastAsia"/>
          <w:lang w:val="en-US" w:eastAsia="zh-CN"/>
        </w:rPr>
        <w:t>的检测</w:t>
      </w:r>
      <w:r>
        <w:rPr>
          <w:rFonts w:hint="eastAsia"/>
        </w:rPr>
        <w:t>仪</w:t>
      </w:r>
      <w:r>
        <w:t>需要重新校准。</w:t>
      </w:r>
    </w:p>
    <w:p w14:paraId="4D223D16">
      <w:pPr>
        <w:spacing w:line="360" w:lineRule="auto"/>
        <w:jc w:val="left"/>
        <w:rPr>
          <w:b/>
          <w:bCs/>
        </w:rPr>
        <w:sectPr>
          <w:headerReference r:id="rId19" w:type="default"/>
          <w:footerReference r:id="rId20" w:type="default"/>
          <w:pgSz w:w="11906" w:h="16838"/>
          <w:pgMar w:top="1418" w:right="1418" w:bottom="1418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linePitch="312" w:charSpace="0"/>
        </w:sectPr>
      </w:pPr>
      <w:bookmarkStart w:id="267" w:name="_Toc13665"/>
      <w:bookmarkStart w:id="268" w:name="_Toc10433"/>
      <w:bookmarkStart w:id="269" w:name="_Toc26000_WPSOffice_Level1"/>
      <w:bookmarkStart w:id="270" w:name="_Toc23785581"/>
      <w:bookmarkStart w:id="271" w:name="_Toc23784584"/>
      <w:bookmarkStart w:id="272" w:name="_Toc23784683"/>
    </w:p>
    <w:p w14:paraId="1F53B845">
      <w:pPr>
        <w:spacing w:before="240" w:after="60" w:line="160" w:lineRule="exact"/>
        <w:jc w:val="left"/>
        <w:outlineLvl w:val="1"/>
        <w:rPr>
          <w:rFonts w:ascii="黑体" w:hAnsi="黑体" w:eastAsia="黑体"/>
          <w:sz w:val="28"/>
          <w:szCs w:val="28"/>
        </w:rPr>
      </w:pPr>
      <w:bookmarkStart w:id="273" w:name="_Toc9729"/>
      <w:bookmarkStart w:id="274" w:name="_Toc29841"/>
      <w:bookmarkStart w:id="275" w:name="_Toc24403"/>
      <w:bookmarkStart w:id="276" w:name="_Toc1489"/>
      <w:bookmarkStart w:id="277" w:name="_Toc5202"/>
      <w:bookmarkStart w:id="278" w:name="_Toc21008"/>
      <w:r>
        <w:rPr>
          <w:rFonts w:ascii="黑体" w:hAnsi="黑体" w:eastAsia="黑体"/>
          <w:sz w:val="28"/>
          <w:szCs w:val="28"/>
        </w:rPr>
        <w:t>附录A</w:t>
      </w:r>
      <w:bookmarkEnd w:id="267"/>
      <w:bookmarkEnd w:id="268"/>
      <w:bookmarkEnd w:id="273"/>
      <w:bookmarkEnd w:id="274"/>
      <w:bookmarkEnd w:id="275"/>
      <w:bookmarkEnd w:id="276"/>
      <w:bookmarkEnd w:id="277"/>
      <w:bookmarkEnd w:id="278"/>
      <w:bookmarkStart w:id="279" w:name="_Toc21898"/>
      <w:bookmarkStart w:id="280" w:name="_Toc2183"/>
      <w:bookmarkStart w:id="281" w:name="_Toc1046"/>
      <w:bookmarkStart w:id="282" w:name="_Toc19962"/>
    </w:p>
    <w:p w14:paraId="1414EF62">
      <w:pPr>
        <w:pStyle w:val="3"/>
        <w:jc w:val="center"/>
        <w:rPr>
          <w:rFonts w:ascii="黑体" w:hAnsi="黑体"/>
          <w:szCs w:val="28"/>
        </w:rPr>
      </w:pPr>
      <w:bookmarkStart w:id="283" w:name="_Toc4774"/>
      <w:bookmarkStart w:id="284" w:name="_Toc21536"/>
      <w:r>
        <w:rPr>
          <w:rFonts w:hint="eastAsia"/>
          <w:bCs w:val="0"/>
          <w:lang w:val="en-US" w:eastAsia="zh-CN"/>
        </w:rPr>
        <w:t>二氧化碳</w:t>
      </w:r>
      <w:r>
        <w:rPr>
          <w:rFonts w:hint="eastAsia"/>
          <w:bCs w:val="0"/>
        </w:rPr>
        <w:t>浓度检测报警仪校准</w:t>
      </w:r>
      <w:r>
        <w:rPr>
          <w:bCs w:val="0"/>
        </w:rPr>
        <w:t>原始记录参考格式</w:t>
      </w:r>
      <w:bookmarkEnd w:id="269"/>
      <w:bookmarkEnd w:id="270"/>
      <w:bookmarkEnd w:id="271"/>
      <w:bookmarkEnd w:id="272"/>
      <w:bookmarkEnd w:id="279"/>
      <w:bookmarkEnd w:id="280"/>
      <w:bookmarkEnd w:id="281"/>
      <w:bookmarkEnd w:id="282"/>
      <w:bookmarkEnd w:id="283"/>
      <w:bookmarkEnd w:id="284"/>
    </w:p>
    <w:tbl>
      <w:tblPr>
        <w:tblStyle w:val="2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228"/>
        <w:gridCol w:w="1595"/>
        <w:gridCol w:w="911"/>
        <w:gridCol w:w="683"/>
        <w:gridCol w:w="683"/>
        <w:gridCol w:w="911"/>
        <w:gridCol w:w="456"/>
        <w:gridCol w:w="1139"/>
        <w:gridCol w:w="228"/>
        <w:gridCol w:w="1371"/>
      </w:tblGrid>
      <w:tr w14:paraId="05D6C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1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0B0A10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rFonts w:ascii="宋体" w:hAnsi="宋体" w:cs="宋体"/>
                <w:color w:val="auto"/>
                <w:szCs w:val="21"/>
              </w:rPr>
            </w:pPr>
            <w:r>
              <w:rPr>
                <w:rStyle w:val="101"/>
                <w:rFonts w:hint="eastAsia" w:ascii="宋体" w:hAnsi="宋体" w:cs="宋体"/>
                <w:color w:val="auto"/>
                <w:szCs w:val="21"/>
              </w:rPr>
              <w:t>记录编号</w:t>
            </w:r>
          </w:p>
        </w:tc>
        <w:tc>
          <w:tcPr>
            <w:tcW w:w="2142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312F28">
            <w:pPr>
              <w:pStyle w:val="43"/>
              <w:widowControl w:val="0"/>
              <w:spacing w:line="240" w:lineRule="auto"/>
              <w:ind w:firstLine="420"/>
              <w:jc w:val="center"/>
              <w:rPr>
                <w:rStyle w:val="101"/>
                <w:rFonts w:ascii="宋体" w:hAnsi="宋体" w:cs="宋体"/>
                <w:color w:val="auto"/>
                <w:szCs w:val="21"/>
              </w:rPr>
            </w:pPr>
          </w:p>
        </w:tc>
        <w:tc>
          <w:tcPr>
            <w:tcW w:w="714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30B577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rFonts w:ascii="宋体" w:hAnsi="宋体" w:cs="宋体"/>
                <w:color w:val="auto"/>
                <w:szCs w:val="21"/>
              </w:rPr>
            </w:pPr>
            <w:r>
              <w:rPr>
                <w:rStyle w:val="101"/>
                <w:rFonts w:hint="eastAsia" w:ascii="宋体" w:hAnsi="宋体" w:cs="宋体"/>
                <w:color w:val="auto"/>
                <w:szCs w:val="21"/>
              </w:rPr>
              <w:t>证书编号</w:t>
            </w:r>
          </w:p>
        </w:tc>
        <w:tc>
          <w:tcPr>
            <w:tcW w:w="142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FFDC4A">
            <w:pPr>
              <w:pStyle w:val="43"/>
              <w:widowControl w:val="0"/>
              <w:spacing w:line="240" w:lineRule="auto"/>
              <w:ind w:firstLine="420"/>
              <w:jc w:val="center"/>
              <w:rPr>
                <w:rStyle w:val="101"/>
                <w:color w:val="auto"/>
                <w:szCs w:val="21"/>
              </w:rPr>
            </w:pPr>
          </w:p>
        </w:tc>
      </w:tr>
      <w:tr w14:paraId="5C7D0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14" w:type="pct"/>
            <w:vAlign w:val="center"/>
          </w:tcPr>
          <w:p w14:paraId="1B00CBA5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送校单位</w:t>
            </w:r>
          </w:p>
        </w:tc>
        <w:tc>
          <w:tcPr>
            <w:tcW w:w="2142" w:type="pct"/>
            <w:gridSpan w:val="5"/>
            <w:vAlign w:val="center"/>
          </w:tcPr>
          <w:p w14:paraId="76F03D61">
            <w:pPr>
              <w:pStyle w:val="43"/>
              <w:widowControl w:val="0"/>
              <w:spacing w:line="240" w:lineRule="auto"/>
              <w:ind w:firstLine="420"/>
              <w:jc w:val="center"/>
              <w:rPr>
                <w:rStyle w:val="101"/>
                <w:color w:val="auto"/>
              </w:rPr>
            </w:pPr>
          </w:p>
        </w:tc>
        <w:tc>
          <w:tcPr>
            <w:tcW w:w="714" w:type="pct"/>
            <w:gridSpan w:val="2"/>
            <w:vAlign w:val="center"/>
          </w:tcPr>
          <w:p w14:paraId="2B924FF4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制造厂</w:t>
            </w:r>
          </w:p>
        </w:tc>
        <w:tc>
          <w:tcPr>
            <w:tcW w:w="1429" w:type="pct"/>
            <w:gridSpan w:val="3"/>
            <w:vAlign w:val="center"/>
          </w:tcPr>
          <w:p w14:paraId="1BEC1E01">
            <w:pPr>
              <w:pStyle w:val="43"/>
              <w:widowControl w:val="0"/>
              <w:spacing w:line="240" w:lineRule="auto"/>
              <w:ind w:firstLine="420"/>
              <w:jc w:val="center"/>
              <w:rPr>
                <w:rStyle w:val="101"/>
                <w:color w:val="auto"/>
              </w:rPr>
            </w:pPr>
          </w:p>
        </w:tc>
      </w:tr>
      <w:tr w14:paraId="3B83A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14" w:type="pct"/>
            <w:vAlign w:val="center"/>
          </w:tcPr>
          <w:p w14:paraId="2D75EE06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仪器名称</w:t>
            </w:r>
          </w:p>
        </w:tc>
        <w:tc>
          <w:tcPr>
            <w:tcW w:w="1428" w:type="pct"/>
            <w:gridSpan w:val="3"/>
            <w:vAlign w:val="center"/>
          </w:tcPr>
          <w:p w14:paraId="43F9E3C7">
            <w:pPr>
              <w:pStyle w:val="43"/>
              <w:widowControl w:val="0"/>
              <w:spacing w:line="240" w:lineRule="auto"/>
              <w:ind w:firstLine="420"/>
              <w:jc w:val="center"/>
              <w:rPr>
                <w:rStyle w:val="101"/>
                <w:color w:val="auto"/>
              </w:rPr>
            </w:pPr>
          </w:p>
        </w:tc>
        <w:tc>
          <w:tcPr>
            <w:tcW w:w="714" w:type="pct"/>
            <w:gridSpan w:val="2"/>
            <w:vAlign w:val="center"/>
          </w:tcPr>
          <w:p w14:paraId="38DE8314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规格型号</w:t>
            </w:r>
          </w:p>
        </w:tc>
        <w:tc>
          <w:tcPr>
            <w:tcW w:w="714" w:type="pct"/>
            <w:gridSpan w:val="2"/>
            <w:vAlign w:val="center"/>
          </w:tcPr>
          <w:p w14:paraId="744BD869">
            <w:pPr>
              <w:pStyle w:val="43"/>
              <w:widowControl w:val="0"/>
              <w:spacing w:line="240" w:lineRule="auto"/>
              <w:ind w:firstLine="420"/>
              <w:jc w:val="center"/>
              <w:rPr>
                <w:rStyle w:val="101"/>
                <w:color w:val="auto"/>
              </w:rPr>
            </w:pPr>
          </w:p>
        </w:tc>
        <w:tc>
          <w:tcPr>
            <w:tcW w:w="714" w:type="pct"/>
            <w:gridSpan w:val="2"/>
            <w:vAlign w:val="center"/>
          </w:tcPr>
          <w:p w14:paraId="7314B840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仪器编号</w:t>
            </w:r>
          </w:p>
        </w:tc>
        <w:tc>
          <w:tcPr>
            <w:tcW w:w="714" w:type="pct"/>
            <w:vAlign w:val="center"/>
          </w:tcPr>
          <w:p w14:paraId="3784B326">
            <w:pPr>
              <w:pStyle w:val="43"/>
              <w:widowControl w:val="0"/>
              <w:spacing w:line="240" w:lineRule="auto"/>
              <w:ind w:firstLine="420"/>
              <w:jc w:val="center"/>
              <w:rPr>
                <w:rStyle w:val="101"/>
                <w:color w:val="auto"/>
              </w:rPr>
            </w:pPr>
          </w:p>
        </w:tc>
      </w:tr>
      <w:tr w14:paraId="4F578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14" w:type="pct"/>
            <w:vAlign w:val="center"/>
          </w:tcPr>
          <w:p w14:paraId="4FAB27F0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校准地点</w:t>
            </w:r>
          </w:p>
        </w:tc>
        <w:tc>
          <w:tcPr>
            <w:tcW w:w="1428" w:type="pct"/>
            <w:gridSpan w:val="3"/>
            <w:vAlign w:val="center"/>
          </w:tcPr>
          <w:p w14:paraId="27ABB7FF">
            <w:pPr>
              <w:pStyle w:val="43"/>
              <w:widowControl w:val="0"/>
              <w:spacing w:line="240" w:lineRule="auto"/>
              <w:ind w:firstLine="420"/>
              <w:jc w:val="center"/>
              <w:rPr>
                <w:rStyle w:val="101"/>
                <w:color w:val="auto"/>
              </w:rPr>
            </w:pPr>
          </w:p>
        </w:tc>
        <w:tc>
          <w:tcPr>
            <w:tcW w:w="714" w:type="pct"/>
            <w:gridSpan w:val="2"/>
            <w:vAlign w:val="center"/>
          </w:tcPr>
          <w:p w14:paraId="7641C6C2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环境温度</w:t>
            </w:r>
          </w:p>
        </w:tc>
        <w:tc>
          <w:tcPr>
            <w:tcW w:w="714" w:type="pct"/>
            <w:gridSpan w:val="2"/>
            <w:vAlign w:val="center"/>
          </w:tcPr>
          <w:p w14:paraId="407DBD8B">
            <w:pPr>
              <w:pStyle w:val="43"/>
              <w:widowControl w:val="0"/>
              <w:spacing w:line="240" w:lineRule="auto"/>
              <w:ind w:firstLine="420"/>
              <w:jc w:val="right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℃</w:t>
            </w:r>
          </w:p>
        </w:tc>
        <w:tc>
          <w:tcPr>
            <w:tcW w:w="714" w:type="pct"/>
            <w:gridSpan w:val="2"/>
            <w:vAlign w:val="center"/>
          </w:tcPr>
          <w:p w14:paraId="60E8D4F7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环境湿度</w:t>
            </w:r>
          </w:p>
        </w:tc>
        <w:tc>
          <w:tcPr>
            <w:tcW w:w="714" w:type="pct"/>
            <w:vAlign w:val="center"/>
          </w:tcPr>
          <w:p w14:paraId="59DD7B5D">
            <w:pPr>
              <w:pStyle w:val="43"/>
              <w:widowControl w:val="0"/>
              <w:spacing w:line="240" w:lineRule="auto"/>
              <w:ind w:firstLine="420"/>
              <w:jc w:val="right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%RH</w:t>
            </w:r>
          </w:p>
        </w:tc>
      </w:tr>
      <w:tr w14:paraId="6209A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14" w:type="pct"/>
            <w:tcBorders>
              <w:bottom w:val="single" w:color="auto" w:sz="4" w:space="0"/>
            </w:tcBorders>
            <w:vAlign w:val="center"/>
          </w:tcPr>
          <w:p w14:paraId="396417E3">
            <w:pPr>
              <w:pStyle w:val="43"/>
              <w:widowControl w:val="0"/>
              <w:spacing w:line="240" w:lineRule="auto"/>
              <w:ind w:firstLine="0" w:firstLineChars="0"/>
              <w:jc w:val="distribute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校准依据</w:t>
            </w:r>
          </w:p>
        </w:tc>
        <w:tc>
          <w:tcPr>
            <w:tcW w:w="4285" w:type="pct"/>
            <w:gridSpan w:val="10"/>
            <w:tcBorders>
              <w:bottom w:val="single" w:color="auto" w:sz="4" w:space="0"/>
            </w:tcBorders>
            <w:vAlign w:val="center"/>
          </w:tcPr>
          <w:p w14:paraId="24FAB058">
            <w:pPr>
              <w:pStyle w:val="43"/>
              <w:widowControl w:val="0"/>
              <w:spacing w:line="240" w:lineRule="auto"/>
              <w:ind w:firstLine="420"/>
              <w:jc w:val="center"/>
              <w:rPr>
                <w:rStyle w:val="101"/>
                <w:color w:val="auto"/>
              </w:rPr>
            </w:pPr>
          </w:p>
        </w:tc>
      </w:tr>
      <w:tr w14:paraId="7A672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C7A7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Style w:val="101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校准用主要测量标准</w:t>
            </w:r>
          </w:p>
        </w:tc>
      </w:tr>
      <w:tr w14:paraId="3368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3" w:type="pct"/>
            <w:gridSpan w:val="2"/>
            <w:tcBorders>
              <w:top w:val="single" w:color="auto" w:sz="4" w:space="0"/>
            </w:tcBorders>
            <w:vAlign w:val="center"/>
          </w:tcPr>
          <w:p w14:paraId="2344D455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名称</w:t>
            </w:r>
          </w:p>
        </w:tc>
        <w:tc>
          <w:tcPr>
            <w:tcW w:w="833" w:type="pct"/>
            <w:tcBorders>
              <w:top w:val="single" w:color="auto" w:sz="4" w:space="0"/>
            </w:tcBorders>
            <w:vAlign w:val="center"/>
          </w:tcPr>
          <w:p w14:paraId="407908B2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型号规格</w:t>
            </w:r>
          </w:p>
        </w:tc>
        <w:tc>
          <w:tcPr>
            <w:tcW w:w="833" w:type="pct"/>
            <w:gridSpan w:val="2"/>
            <w:tcBorders>
              <w:top w:val="single" w:color="auto" w:sz="4" w:space="0"/>
            </w:tcBorders>
            <w:vAlign w:val="center"/>
          </w:tcPr>
          <w:p w14:paraId="54CA43D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技术特征</w:t>
            </w:r>
          </w:p>
        </w:tc>
        <w:tc>
          <w:tcPr>
            <w:tcW w:w="833" w:type="pct"/>
            <w:gridSpan w:val="2"/>
            <w:tcBorders>
              <w:top w:val="single" w:color="auto" w:sz="4" w:space="0"/>
            </w:tcBorders>
            <w:vAlign w:val="center"/>
          </w:tcPr>
          <w:p w14:paraId="3565155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仪器编号</w:t>
            </w:r>
          </w:p>
        </w:tc>
        <w:tc>
          <w:tcPr>
            <w:tcW w:w="833" w:type="pct"/>
            <w:gridSpan w:val="2"/>
            <w:tcBorders>
              <w:top w:val="single" w:color="auto" w:sz="4" w:space="0"/>
            </w:tcBorders>
            <w:vAlign w:val="center"/>
          </w:tcPr>
          <w:p w14:paraId="29BC37A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证书编号</w:t>
            </w:r>
          </w:p>
        </w:tc>
        <w:tc>
          <w:tcPr>
            <w:tcW w:w="833" w:type="pct"/>
            <w:gridSpan w:val="2"/>
            <w:tcBorders>
              <w:top w:val="single" w:color="auto" w:sz="4" w:space="0"/>
            </w:tcBorders>
            <w:vAlign w:val="center"/>
          </w:tcPr>
          <w:p w14:paraId="312CD43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有效期</w:t>
            </w:r>
          </w:p>
        </w:tc>
      </w:tr>
      <w:tr w14:paraId="7D44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3" w:type="pct"/>
            <w:gridSpan w:val="2"/>
            <w:vAlign w:val="center"/>
          </w:tcPr>
          <w:p w14:paraId="628337B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vAlign w:val="center"/>
          </w:tcPr>
          <w:p w14:paraId="216C0D23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gridSpan w:val="2"/>
            <w:vAlign w:val="center"/>
          </w:tcPr>
          <w:p w14:paraId="7D9A1FB9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gridSpan w:val="2"/>
            <w:vAlign w:val="center"/>
          </w:tcPr>
          <w:p w14:paraId="2A4D34DB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gridSpan w:val="2"/>
            <w:vAlign w:val="center"/>
          </w:tcPr>
          <w:p w14:paraId="5B2FE2BC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gridSpan w:val="2"/>
            <w:vAlign w:val="center"/>
          </w:tcPr>
          <w:p w14:paraId="2C5F7C95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</w:tr>
      <w:tr w14:paraId="0885C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3" w:type="pct"/>
            <w:gridSpan w:val="2"/>
            <w:tcBorders>
              <w:bottom w:val="single" w:color="auto" w:sz="4" w:space="0"/>
            </w:tcBorders>
            <w:vAlign w:val="center"/>
          </w:tcPr>
          <w:p w14:paraId="1485307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tcBorders>
              <w:bottom w:val="single" w:color="auto" w:sz="4" w:space="0"/>
            </w:tcBorders>
            <w:vAlign w:val="center"/>
          </w:tcPr>
          <w:p w14:paraId="3A09880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gridSpan w:val="2"/>
            <w:tcBorders>
              <w:bottom w:val="single" w:color="auto" w:sz="4" w:space="0"/>
            </w:tcBorders>
            <w:vAlign w:val="center"/>
          </w:tcPr>
          <w:p w14:paraId="194F5AF7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gridSpan w:val="2"/>
            <w:tcBorders>
              <w:bottom w:val="single" w:color="auto" w:sz="4" w:space="0"/>
            </w:tcBorders>
            <w:vAlign w:val="center"/>
          </w:tcPr>
          <w:p w14:paraId="0BB3988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gridSpan w:val="2"/>
            <w:tcBorders>
              <w:bottom w:val="single" w:color="auto" w:sz="4" w:space="0"/>
            </w:tcBorders>
            <w:vAlign w:val="center"/>
          </w:tcPr>
          <w:p w14:paraId="29F7A93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  <w:tc>
          <w:tcPr>
            <w:tcW w:w="833" w:type="pct"/>
            <w:gridSpan w:val="2"/>
            <w:tcBorders>
              <w:bottom w:val="single" w:color="auto" w:sz="4" w:space="0"/>
            </w:tcBorders>
            <w:vAlign w:val="center"/>
          </w:tcPr>
          <w:p w14:paraId="7E9C5268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101"/>
                <w:color w:val="auto"/>
              </w:rPr>
            </w:pPr>
          </w:p>
        </w:tc>
      </w:tr>
      <w:tr w14:paraId="61FF5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90EFE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Style w:val="101"/>
                <w:color w:val="auto"/>
              </w:rPr>
            </w:pPr>
            <w:r>
              <w:rPr>
                <w:rStyle w:val="101"/>
                <w:rFonts w:hint="eastAsia"/>
                <w:color w:val="auto"/>
              </w:rPr>
              <w:t>校准项目</w:t>
            </w:r>
          </w:p>
        </w:tc>
      </w:tr>
      <w:tr w14:paraId="37C2D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53ED4F7">
            <w:pPr>
              <w:pStyle w:val="43"/>
              <w:widowControl w:val="0"/>
              <w:spacing w:line="240" w:lineRule="auto"/>
              <w:ind w:firstLine="0" w:firstLineChars="0"/>
              <w:jc w:val="left"/>
              <w:rPr>
                <w:rStyle w:val="101"/>
                <w:rFonts w:hint="eastAsia"/>
                <w:color w:val="auto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外观与结构：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z w:val="21"/>
                <w:szCs w:val="21"/>
                <w:u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sz w:val="21"/>
                <w:szCs w:val="21"/>
                <w:u w:val="none"/>
                <w:lang w:val="en-US" w:eastAsia="zh-CN"/>
              </w:rPr>
              <w:t>声光报警</w:t>
            </w:r>
            <w:r>
              <w:rPr>
                <w:rFonts w:hint="eastAsia" w:ascii="宋体" w:hAnsi="宋体" w:cs="宋体"/>
                <w:sz w:val="21"/>
                <w:szCs w:val="21"/>
              </w:rPr>
              <w:t>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控制输出</w:t>
            </w:r>
            <w:r>
              <w:rPr>
                <w:rFonts w:hint="eastAsia" w:ascii="宋体" w:hAnsi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z w:val="21"/>
                <w:szCs w:val="21"/>
                <w:u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sz w:val="21"/>
                <w:szCs w:val="21"/>
                <w:u w:val="none"/>
                <w:lang w:val="en-US" w:eastAsia="zh-CN"/>
              </w:rPr>
              <w:t>通信：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1"/>
                <w:szCs w:val="21"/>
                <w:u w:val="none"/>
                <w:lang w:val="en-US" w:eastAsia="zh-CN"/>
              </w:rPr>
              <w:t>；绝缘耐压：</w:t>
            </w:r>
            <w:r>
              <w:rPr>
                <w:rFonts w:hint="eastAsia" w:ascii="宋体" w:hAnsi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</w:p>
        </w:tc>
      </w:tr>
    </w:tbl>
    <w:tbl>
      <w:tblPr>
        <w:tblStyle w:val="2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43"/>
        <w:gridCol w:w="368"/>
        <w:gridCol w:w="605"/>
        <w:gridCol w:w="149"/>
        <w:gridCol w:w="116"/>
        <w:gridCol w:w="525"/>
        <w:gridCol w:w="183"/>
        <w:gridCol w:w="52"/>
        <w:gridCol w:w="478"/>
        <w:gridCol w:w="398"/>
        <w:gridCol w:w="45"/>
        <w:gridCol w:w="734"/>
        <w:gridCol w:w="61"/>
        <w:gridCol w:w="37"/>
        <w:gridCol w:w="595"/>
        <w:gridCol w:w="375"/>
        <w:gridCol w:w="231"/>
        <w:gridCol w:w="588"/>
        <w:gridCol w:w="3"/>
        <w:gridCol w:w="24"/>
        <w:gridCol w:w="384"/>
        <w:gridCol w:w="239"/>
        <w:gridCol w:w="1243"/>
      </w:tblGrid>
      <w:tr w14:paraId="7F997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5000" w:type="pct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53100">
            <w:pPr>
              <w:pStyle w:val="43"/>
              <w:ind w:firstLine="0" w:firstLineChars="0"/>
              <w:jc w:val="left"/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1"/>
                <w:szCs w:val="21"/>
              </w:rPr>
              <w:t>. 示值误差</w:t>
            </w:r>
          </w:p>
        </w:tc>
      </w:tr>
      <w:tr w14:paraId="6E960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116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1D77">
            <w:pPr>
              <w:pStyle w:val="43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标准气体浓度值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（mol/mol）</w:t>
            </w:r>
          </w:p>
        </w:tc>
        <w:tc>
          <w:tcPr>
            <w:tcW w:w="1524" w:type="pct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B937">
            <w:pPr>
              <w:pStyle w:val="43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仪器示值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mol/mol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745" w:type="pct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F309">
            <w:pPr>
              <w:pStyle w:val="43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平均值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（mol/mol）</w:t>
            </w:r>
          </w:p>
        </w:tc>
        <w:tc>
          <w:tcPr>
            <w:tcW w:w="637" w:type="pct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6206">
            <w:pPr>
              <w:pStyle w:val="43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示值误差</w:t>
            </w:r>
          </w:p>
        </w:tc>
        <w:tc>
          <w:tcPr>
            <w:tcW w:w="974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1D74A">
            <w:pPr>
              <w:pStyle w:val="43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扩展不确定度</w:t>
            </w:r>
          </w:p>
        </w:tc>
      </w:tr>
      <w:tr w14:paraId="7ED77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466F2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F7022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BF18B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3A0F1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74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DF368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3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AB825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9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621C1">
            <w:pPr>
              <w:pStyle w:val="43"/>
              <w:ind w:firstLine="0" w:firstLineChars="0"/>
              <w:jc w:val="left"/>
            </w:pPr>
          </w:p>
        </w:tc>
      </w:tr>
      <w:tr w14:paraId="3CB51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CC135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1553F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6C0AF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D322F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74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700FE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3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E168B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974" w:type="pct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5045B">
            <w:pPr>
              <w:pStyle w:val="43"/>
              <w:ind w:firstLine="0" w:firstLineChars="0"/>
              <w:jc w:val="left"/>
            </w:pPr>
          </w:p>
        </w:tc>
      </w:tr>
      <w:tr w14:paraId="200F3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31384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FF3EA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303A4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4BC4B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74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1E3C0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3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3DE36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9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F0DFF">
            <w:pPr>
              <w:pStyle w:val="43"/>
              <w:ind w:firstLine="0" w:firstLineChars="0"/>
              <w:jc w:val="left"/>
            </w:pPr>
          </w:p>
        </w:tc>
      </w:tr>
      <w:tr w14:paraId="37FAC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5000" w:type="pct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99FCD">
            <w:pPr>
              <w:pStyle w:val="43"/>
              <w:ind w:firstLine="0" w:firstLineChars="0"/>
              <w:jc w:val="left"/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1"/>
                <w:szCs w:val="21"/>
              </w:rPr>
              <w:t>. 重复性</w:t>
            </w:r>
          </w:p>
        </w:tc>
      </w:tr>
      <w:tr w14:paraId="523A8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1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56CC9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仪器示值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（mol/mol）</w:t>
            </w:r>
          </w:p>
        </w:tc>
        <w:tc>
          <w:tcPr>
            <w:tcW w:w="64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36745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4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1CC19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4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5D0C2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4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F8F76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4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E517E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74C60">
            <w:pPr>
              <w:pStyle w:val="43"/>
              <w:ind w:firstLine="0" w:firstLineChars="0"/>
              <w:jc w:val="left"/>
            </w:pPr>
          </w:p>
        </w:tc>
      </w:tr>
      <w:tr w14:paraId="72B61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116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C46F">
            <w:pPr>
              <w:pStyle w:val="43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平均值</w:t>
            </w:r>
            <w:r>
              <w:rPr>
                <w:rFonts w:hint="default"/>
                <w:sz w:val="21"/>
                <w:szCs w:val="21"/>
              </w:rPr>
              <w:t>（mol/mol）</w:t>
            </w:r>
          </w:p>
        </w:tc>
        <w:tc>
          <w:tcPr>
            <w:tcW w:w="646" w:type="pct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4E6AC">
            <w:pPr>
              <w:pStyle w:val="43"/>
              <w:ind w:firstLine="0" w:firstLineChars="0"/>
              <w:jc w:val="left"/>
            </w:pPr>
          </w:p>
        </w:tc>
        <w:tc>
          <w:tcPr>
            <w:tcW w:w="646" w:type="pct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B534">
            <w:pPr>
              <w:pStyle w:val="43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重复性</w:t>
            </w:r>
          </w:p>
        </w:tc>
        <w:tc>
          <w:tcPr>
            <w:tcW w:w="2589" w:type="pct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D49D">
            <w:pPr>
              <w:pStyle w:val="43"/>
              <w:ind w:firstLine="0" w:firstLineChars="0"/>
              <w:jc w:val="left"/>
            </w:pPr>
          </w:p>
        </w:tc>
      </w:tr>
      <w:tr w14:paraId="0492A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5000" w:type="pct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6C485">
            <w:pPr>
              <w:pStyle w:val="43"/>
              <w:ind w:firstLine="0" w:firstLineChars="0"/>
              <w:jc w:val="left"/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. 响应时间</w:t>
            </w:r>
          </w:p>
        </w:tc>
      </w:tr>
      <w:tr w14:paraId="58296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16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DC02">
            <w:pPr>
              <w:pStyle w:val="43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921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2E322">
            <w:pPr>
              <w:pStyle w:val="43"/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87" w:type="pct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479F">
            <w:pPr>
              <w:pStyle w:val="43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85" w:type="pct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0B0F">
            <w:pPr>
              <w:pStyle w:val="43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88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137D9">
            <w:pPr>
              <w:pStyle w:val="43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平均值</w:t>
            </w:r>
          </w:p>
        </w:tc>
      </w:tr>
      <w:tr w14:paraId="2BA56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AB13D">
            <w:pPr>
              <w:pStyle w:val="43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示值</w:t>
            </w:r>
            <w:r>
              <w:rPr>
                <w:rFonts w:hint="eastAsia"/>
                <w:sz w:val="21"/>
                <w:szCs w:val="21"/>
              </w:rPr>
              <w:t>响应时间(s)</w:t>
            </w:r>
          </w:p>
        </w:tc>
        <w:tc>
          <w:tcPr>
            <w:tcW w:w="9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7CBA">
            <w:pPr>
              <w:pStyle w:val="43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98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A3BDE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98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2542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98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0801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</w:tr>
      <w:tr w14:paraId="7D1D0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1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E3C3">
            <w:pPr>
              <w:pStyle w:val="43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报警</w:t>
            </w:r>
            <w:r>
              <w:rPr>
                <w:rFonts w:hint="eastAsia"/>
                <w:sz w:val="21"/>
                <w:szCs w:val="21"/>
              </w:rPr>
              <w:t>响应时间(s)</w:t>
            </w:r>
          </w:p>
        </w:tc>
        <w:tc>
          <w:tcPr>
            <w:tcW w:w="9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5B64">
            <w:pPr>
              <w:pStyle w:val="43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98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BA9F8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98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DF12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98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E2B8">
            <w:pPr>
              <w:pStyle w:val="43"/>
              <w:ind w:firstLine="0" w:firstLineChars="0"/>
              <w:jc w:val="left"/>
              <w:rPr>
                <w:sz w:val="21"/>
                <w:szCs w:val="21"/>
              </w:rPr>
            </w:pPr>
          </w:p>
        </w:tc>
      </w:tr>
      <w:tr w14:paraId="5DC30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5000" w:type="pct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A0E9C">
            <w:pPr>
              <w:pStyle w:val="43"/>
              <w:spacing w:before="156" w:beforeLines="50"/>
              <w:ind w:firstLine="0" w:firstLineChars="0"/>
              <w:jc w:val="left"/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 w:val="21"/>
                <w:szCs w:val="21"/>
              </w:rPr>
              <w:t>. 报警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误差</w:t>
            </w:r>
          </w:p>
        </w:tc>
      </w:tr>
      <w:tr w14:paraId="12DED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309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15F7">
            <w:pPr>
              <w:pStyle w:val="43"/>
              <w:autoSpaceDE/>
              <w:autoSpaceDN/>
              <w:snapToGrid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报警设定值（mol/mol）</w:t>
            </w:r>
          </w:p>
        </w:tc>
        <w:tc>
          <w:tcPr>
            <w:tcW w:w="2078" w:type="pct"/>
            <w:gridSpan w:val="1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5CB58">
            <w:pPr>
              <w:pStyle w:val="43"/>
              <w:autoSpaceDE/>
              <w:autoSpaceDN/>
              <w:snapToGrid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612" w:type="pct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2CD2F">
            <w:pPr>
              <w:pStyle w:val="43"/>
              <w:autoSpaceDE/>
              <w:autoSpaceDN/>
              <w:snapToGrid w:val="0"/>
              <w:spacing w:line="240" w:lineRule="auto"/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报警误差</w:t>
            </w:r>
          </w:p>
        </w:tc>
      </w:tr>
      <w:tr w14:paraId="1E3BE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D3BD">
            <w:pPr>
              <w:pStyle w:val="43"/>
              <w:autoSpaceDE/>
              <w:autoSpaceDN/>
              <w:snapToGrid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实测报警值（mol/mol）</w:t>
            </w:r>
          </w:p>
        </w:tc>
        <w:tc>
          <w:tcPr>
            <w:tcW w:w="2078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C0F6">
            <w:pPr>
              <w:pStyle w:val="43"/>
              <w:autoSpaceDE/>
              <w:autoSpaceDN/>
              <w:snapToGrid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612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EAB2">
            <w:pPr>
              <w:pStyle w:val="43"/>
              <w:autoSpaceDE/>
              <w:autoSpaceDN/>
              <w:snapToGrid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37E9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5000" w:type="pct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A1BAE">
            <w:pPr>
              <w:pStyle w:val="43"/>
              <w:spacing w:before="156" w:beforeLines="50"/>
              <w:ind w:firstLine="0" w:firstLineChars="0"/>
              <w:jc w:val="left"/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1"/>
                <w:szCs w:val="21"/>
              </w:rPr>
              <w:t>. 变送输出误差</w:t>
            </w:r>
          </w:p>
        </w:tc>
      </w:tr>
      <w:tr w14:paraId="6575C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F61D7">
            <w:pPr>
              <w:pStyle w:val="43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标准气体浓度值（mol/mol）</w:t>
            </w:r>
          </w:p>
        </w:tc>
        <w:tc>
          <w:tcPr>
            <w:tcW w:w="66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AEA04">
            <w:pPr>
              <w:pStyle w:val="43"/>
              <w:spacing w:before="0" w:beforeLines="0"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理论</w:t>
            </w:r>
          </w:p>
          <w:p w14:paraId="14190BA4">
            <w:pPr>
              <w:pStyle w:val="43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输出值</w:t>
            </w:r>
          </w:p>
          <w:p w14:paraId="559A3F30">
            <w:pPr>
              <w:pStyle w:val="43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    ）</w:t>
            </w:r>
          </w:p>
        </w:tc>
        <w:tc>
          <w:tcPr>
            <w:tcW w:w="137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F0780">
            <w:pPr>
              <w:pStyle w:val="43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仪器变送输出示值（   ）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B4BE9">
            <w:pPr>
              <w:pStyle w:val="43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平均值</w:t>
            </w:r>
          </w:p>
          <w:p w14:paraId="0BFD767B">
            <w:pPr>
              <w:pStyle w:val="43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    ）</w:t>
            </w:r>
          </w:p>
        </w:tc>
        <w:tc>
          <w:tcPr>
            <w:tcW w:w="64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7D395">
            <w:pPr>
              <w:pStyle w:val="43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变送输出误差</w:t>
            </w:r>
          </w:p>
        </w:tc>
        <w:tc>
          <w:tcPr>
            <w:tcW w:w="7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24563">
            <w:pPr>
              <w:pStyle w:val="43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扩展不确定度</w:t>
            </w:r>
          </w:p>
        </w:tc>
      </w:tr>
      <w:tr w14:paraId="46D7D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E8C2D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6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CC74E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45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301D6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4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8F123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45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7086C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5B18E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4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F25D6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7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80D29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</w:tr>
      <w:tr w14:paraId="7D3E7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4A923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6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5BD55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45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819A5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4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631C9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45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08415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AD7A7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4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A5EA8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7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6D67C">
            <w:pPr>
              <w:pStyle w:val="43"/>
              <w:spacing w:before="156" w:beforeLines="50"/>
              <w:ind w:firstLine="0" w:firstLineChars="0"/>
              <w:jc w:val="left"/>
              <w:rPr>
                <w:sz w:val="21"/>
                <w:szCs w:val="21"/>
              </w:rPr>
            </w:pPr>
          </w:p>
        </w:tc>
      </w:tr>
      <w:tr w14:paraId="4AE47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AB657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6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E020C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45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6D331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4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69FDA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45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1E384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A64BC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64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ABAD2">
            <w:pPr>
              <w:pStyle w:val="43"/>
              <w:spacing w:before="0" w:beforeLines="0"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  <w:tc>
          <w:tcPr>
            <w:tcW w:w="7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0EF62">
            <w:pPr>
              <w:pStyle w:val="43"/>
              <w:spacing w:before="156" w:beforeLines="50"/>
              <w:ind w:firstLine="0" w:firstLineChars="0"/>
              <w:jc w:val="left"/>
              <w:rPr>
                <w:sz w:val="21"/>
                <w:szCs w:val="21"/>
              </w:rPr>
            </w:pPr>
          </w:p>
        </w:tc>
      </w:tr>
      <w:tr w14:paraId="0998E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5000" w:type="pct"/>
            <w:gridSpan w:val="2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772CA">
            <w:pPr>
              <w:pStyle w:val="43"/>
              <w:spacing w:before="156" w:beforeLines="50"/>
              <w:ind w:firstLine="0" w:firstLineChars="0"/>
              <w:jc w:val="left"/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1"/>
                <w:szCs w:val="21"/>
              </w:rPr>
              <w:t xml:space="preserve">.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仪器</w:t>
            </w:r>
            <w:r>
              <w:rPr>
                <w:rFonts w:hint="eastAsia" w:ascii="宋体" w:hAnsi="宋体" w:cs="宋体"/>
                <w:sz w:val="21"/>
                <w:szCs w:val="21"/>
              </w:rPr>
              <w:t>漂移</w:t>
            </w:r>
          </w:p>
        </w:tc>
      </w:tr>
    </w:tbl>
    <w:tbl>
      <w:tblPr>
        <w:tblStyle w:val="25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167"/>
        <w:gridCol w:w="1169"/>
        <w:gridCol w:w="1167"/>
        <w:gridCol w:w="1167"/>
        <w:gridCol w:w="1167"/>
        <w:gridCol w:w="1169"/>
        <w:gridCol w:w="1180"/>
      </w:tblGrid>
      <w:tr w14:paraId="3F82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719" w:type="pct"/>
            <w:vAlign w:val="center"/>
          </w:tcPr>
          <w:p w14:paraId="5AA9134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 (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min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610" w:type="pct"/>
            <w:vAlign w:val="center"/>
          </w:tcPr>
          <w:p w14:paraId="7936B4D5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11" w:type="pct"/>
            <w:vAlign w:val="center"/>
          </w:tcPr>
          <w:p w14:paraId="2C98F17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10" w:type="pct"/>
            <w:vAlign w:val="center"/>
          </w:tcPr>
          <w:p w14:paraId="713C7D3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610" w:type="pct"/>
            <w:vAlign w:val="center"/>
          </w:tcPr>
          <w:p w14:paraId="5D46EA3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610" w:type="pct"/>
            <w:vAlign w:val="center"/>
          </w:tcPr>
          <w:p w14:paraId="4AAAD01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611" w:type="pct"/>
            <w:vAlign w:val="center"/>
          </w:tcPr>
          <w:p w14:paraId="445B0AD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616" w:type="pct"/>
            <w:vAlign w:val="center"/>
          </w:tcPr>
          <w:p w14:paraId="73099AC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60</w:t>
            </w:r>
          </w:p>
        </w:tc>
      </w:tr>
      <w:tr w14:paraId="70DF7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19" w:type="pct"/>
            <w:vAlign w:val="center"/>
          </w:tcPr>
          <w:p w14:paraId="213B639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仪器零点值(mol/mol)</w:t>
            </w:r>
          </w:p>
        </w:tc>
        <w:tc>
          <w:tcPr>
            <w:tcW w:w="610" w:type="pct"/>
            <w:vAlign w:val="center"/>
          </w:tcPr>
          <w:p w14:paraId="3571082C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1" w:type="pct"/>
            <w:vAlign w:val="center"/>
          </w:tcPr>
          <w:p w14:paraId="6B954A55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0" w:type="pct"/>
            <w:vAlign w:val="center"/>
          </w:tcPr>
          <w:p w14:paraId="5D7748A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0" w:type="pct"/>
            <w:vAlign w:val="center"/>
          </w:tcPr>
          <w:p w14:paraId="7F6389C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0" w:type="pct"/>
            <w:vAlign w:val="center"/>
          </w:tcPr>
          <w:p w14:paraId="7E930B59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1" w:type="pct"/>
            <w:vAlign w:val="center"/>
          </w:tcPr>
          <w:p w14:paraId="7B58ACD2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6" w:type="pct"/>
            <w:vAlign w:val="center"/>
          </w:tcPr>
          <w:p w14:paraId="1129C4E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18B6A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9" w:type="pct"/>
            <w:vAlign w:val="center"/>
          </w:tcPr>
          <w:p w14:paraId="591935AD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仪器示值</w:t>
            </w:r>
          </w:p>
          <w:p w14:paraId="0FA78F93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</w:rPr>
              <w:t>mol/mol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10" w:type="pct"/>
            <w:vAlign w:val="center"/>
          </w:tcPr>
          <w:p w14:paraId="3294BCA2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1" w:type="pct"/>
            <w:vAlign w:val="center"/>
          </w:tcPr>
          <w:p w14:paraId="203F38A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0" w:type="pct"/>
            <w:vAlign w:val="center"/>
          </w:tcPr>
          <w:p w14:paraId="2CCF89D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0" w:type="pct"/>
            <w:vAlign w:val="center"/>
          </w:tcPr>
          <w:p w14:paraId="686C7FA9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0" w:type="pct"/>
            <w:vAlign w:val="center"/>
          </w:tcPr>
          <w:p w14:paraId="45969BD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1" w:type="pct"/>
            <w:vAlign w:val="center"/>
          </w:tcPr>
          <w:p w14:paraId="2EF26D15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6" w:type="pct"/>
            <w:vAlign w:val="center"/>
          </w:tcPr>
          <w:p w14:paraId="49D6FBD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1E8F4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719" w:type="pct"/>
            <w:vAlign w:val="center"/>
          </w:tcPr>
          <w:p w14:paraId="71E128D1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零点漂移</w:t>
            </w:r>
          </w:p>
        </w:tc>
        <w:tc>
          <w:tcPr>
            <w:tcW w:w="1221" w:type="pct"/>
            <w:gridSpan w:val="2"/>
            <w:vAlign w:val="center"/>
          </w:tcPr>
          <w:p w14:paraId="4122966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220" w:type="pct"/>
            <w:gridSpan w:val="2"/>
            <w:vAlign w:val="center"/>
          </w:tcPr>
          <w:p w14:paraId="226E1DC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量程漂移</w:t>
            </w:r>
          </w:p>
        </w:tc>
        <w:tc>
          <w:tcPr>
            <w:tcW w:w="1838" w:type="pct"/>
            <w:gridSpan w:val="3"/>
            <w:vAlign w:val="center"/>
          </w:tcPr>
          <w:p w14:paraId="448628BE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 w14:paraId="6B1CBB39">
      <w:pPr>
        <w:spacing w:before="240" w:after="60" w:line="160" w:lineRule="exact"/>
        <w:jc w:val="left"/>
        <w:outlineLvl w:val="9"/>
        <w:rPr>
          <w:rFonts w:ascii="黑体" w:hAnsi="黑体" w:eastAsia="黑体" w:cs="黑体"/>
          <w:sz w:val="28"/>
          <w:szCs w:val="28"/>
        </w:rPr>
      </w:pPr>
      <w:bookmarkStart w:id="285" w:name="_Toc15057"/>
      <w:bookmarkStart w:id="286" w:name="_Toc25254"/>
      <w:bookmarkStart w:id="287" w:name="_Toc32002"/>
      <w:bookmarkStart w:id="288" w:name="_Toc19104"/>
      <w:bookmarkStart w:id="289" w:name="_Toc21627"/>
      <w:bookmarkStart w:id="290" w:name="_Toc28661"/>
      <w:bookmarkStart w:id="291" w:name="_Toc15171"/>
      <w:bookmarkStart w:id="292" w:name="_Toc23784587"/>
      <w:bookmarkStart w:id="293" w:name="_Toc23785584"/>
      <w:bookmarkStart w:id="294" w:name="_Toc31172_WPSOffice_Level1"/>
      <w:bookmarkStart w:id="295" w:name="_Toc23784686"/>
    </w:p>
    <w:p w14:paraId="2BD9E459">
      <w:pPr>
        <w:spacing w:before="240" w:after="60" w:line="160" w:lineRule="exact"/>
        <w:jc w:val="left"/>
        <w:outlineLvl w:val="9"/>
        <w:rPr>
          <w:rFonts w:ascii="黑体" w:hAnsi="黑体" w:eastAsia="黑体" w:cs="黑体"/>
          <w:sz w:val="28"/>
          <w:szCs w:val="28"/>
        </w:rPr>
      </w:pPr>
    </w:p>
    <w:p w14:paraId="527F6160">
      <w:pPr>
        <w:rPr>
          <w:rFonts w:hint="eastAsia" w:ascii="黑体" w:hAnsi="黑体" w:eastAsia="黑体" w:cs="黑体"/>
          <w:sz w:val="28"/>
          <w:szCs w:val="28"/>
        </w:rPr>
      </w:pPr>
      <w:bookmarkStart w:id="296" w:name="_Toc4146"/>
      <w:r>
        <w:rPr>
          <w:rFonts w:hint="eastAsia" w:ascii="黑体" w:hAnsi="黑体" w:eastAsia="黑体" w:cs="黑体"/>
          <w:sz w:val="28"/>
          <w:szCs w:val="28"/>
        </w:rPr>
        <w:br w:type="page"/>
      </w:r>
    </w:p>
    <w:p w14:paraId="10632211">
      <w:pPr>
        <w:jc w:val="lef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附录B</w:t>
      </w:r>
      <w:bookmarkEnd w:id="285"/>
      <w:bookmarkEnd w:id="286"/>
      <w:bookmarkEnd w:id="287"/>
      <w:bookmarkEnd w:id="288"/>
      <w:bookmarkEnd w:id="289"/>
      <w:bookmarkEnd w:id="290"/>
      <w:bookmarkEnd w:id="291"/>
      <w:bookmarkEnd w:id="296"/>
      <w:bookmarkStart w:id="297" w:name="_Toc500258594"/>
    </w:p>
    <w:p w14:paraId="73F58C35">
      <w:pPr>
        <w:pStyle w:val="3"/>
        <w:jc w:val="center"/>
      </w:pPr>
      <w:bookmarkStart w:id="298" w:name="_Toc8704"/>
      <w:bookmarkStart w:id="299" w:name="_Toc10093"/>
      <w:bookmarkStart w:id="300" w:name="_Toc4214"/>
      <w:bookmarkStart w:id="301" w:name="_Toc29738"/>
      <w:bookmarkStart w:id="302" w:name="_Toc31614"/>
      <w:bookmarkStart w:id="303" w:name="_Toc16034"/>
      <w:r>
        <w:rPr>
          <w:rFonts w:hint="eastAsia"/>
          <w:lang w:val="en-US" w:eastAsia="zh-CN"/>
        </w:rPr>
        <w:t>二氧化碳</w:t>
      </w:r>
      <w:r>
        <w:rPr>
          <w:rFonts w:hint="eastAsia"/>
        </w:rPr>
        <w:t>浓度检测报警仪校</w:t>
      </w:r>
      <w:r>
        <w:t>准证书</w:t>
      </w:r>
      <w:r>
        <w:rPr>
          <w:rFonts w:hint="eastAsia"/>
        </w:rPr>
        <w:t>内页</w:t>
      </w:r>
      <w:r>
        <w:t>参考格式</w:t>
      </w:r>
      <w:bookmarkEnd w:id="292"/>
      <w:bookmarkEnd w:id="293"/>
      <w:bookmarkEnd w:id="294"/>
      <w:bookmarkEnd w:id="295"/>
      <w:bookmarkEnd w:id="297"/>
      <w:bookmarkEnd w:id="298"/>
      <w:bookmarkEnd w:id="299"/>
      <w:bookmarkEnd w:id="300"/>
      <w:bookmarkEnd w:id="301"/>
      <w:bookmarkEnd w:id="302"/>
      <w:bookmarkEnd w:id="303"/>
    </w:p>
    <w:tbl>
      <w:tblPr>
        <w:tblStyle w:val="25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028"/>
        <w:gridCol w:w="18"/>
        <w:gridCol w:w="910"/>
        <w:gridCol w:w="100"/>
        <w:gridCol w:w="411"/>
        <w:gridCol w:w="399"/>
        <w:gridCol w:w="220"/>
        <w:gridCol w:w="690"/>
        <w:gridCol w:w="444"/>
        <w:gridCol w:w="712"/>
        <w:gridCol w:w="209"/>
        <w:gridCol w:w="940"/>
        <w:gridCol w:w="425"/>
        <w:gridCol w:w="1370"/>
      </w:tblGrid>
      <w:tr w14:paraId="160FC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000" w:type="pct"/>
            <w:gridSpan w:val="15"/>
            <w:vAlign w:val="center"/>
          </w:tcPr>
          <w:p w14:paraId="10C3D87F"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bookmarkStart w:id="304" w:name="_Toc15728"/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1. 示值误差</w:t>
            </w:r>
          </w:p>
        </w:tc>
      </w:tr>
      <w:tr w14:paraId="315F0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80" w:type="pct"/>
            <w:vAlign w:val="center"/>
          </w:tcPr>
          <w:p w14:paraId="25A12851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标准气体浓度值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（mol/mol）</w:t>
            </w:r>
          </w:p>
        </w:tc>
        <w:tc>
          <w:tcPr>
            <w:tcW w:w="1614" w:type="pct"/>
            <w:gridSpan w:val="7"/>
            <w:vAlign w:val="center"/>
          </w:tcPr>
          <w:p w14:paraId="400E080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仪器示值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mol/mol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965" w:type="pct"/>
            <w:gridSpan w:val="3"/>
            <w:vAlign w:val="center"/>
          </w:tcPr>
          <w:p w14:paraId="41746D4C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平均值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（mol/mol）</w:t>
            </w:r>
          </w:p>
        </w:tc>
        <w:tc>
          <w:tcPr>
            <w:tcW w:w="600" w:type="pct"/>
            <w:gridSpan w:val="2"/>
            <w:vAlign w:val="center"/>
          </w:tcPr>
          <w:p w14:paraId="400E017A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示值误差</w:t>
            </w:r>
          </w:p>
        </w:tc>
        <w:tc>
          <w:tcPr>
            <w:tcW w:w="938" w:type="pct"/>
            <w:gridSpan w:val="2"/>
            <w:vAlign w:val="center"/>
          </w:tcPr>
          <w:p w14:paraId="53FC2411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扩展不确定度</w:t>
            </w:r>
          </w:p>
        </w:tc>
      </w:tr>
      <w:tr w14:paraId="00295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80" w:type="pct"/>
            <w:vAlign w:val="center"/>
          </w:tcPr>
          <w:p w14:paraId="26DB2A87">
            <w:pPr>
              <w:pStyle w:val="43"/>
              <w:widowControl w:val="0"/>
              <w:ind w:firstLine="0" w:firstLineChars="0"/>
              <w:jc w:val="left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537" w:type="pct"/>
            <w:vAlign w:val="center"/>
          </w:tcPr>
          <w:p w14:paraId="3DAC76CF">
            <w:pPr>
              <w:pStyle w:val="43"/>
              <w:widowControl w:val="0"/>
              <w:ind w:firstLine="0" w:firstLineChars="0"/>
              <w:jc w:val="left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537" w:type="pct"/>
            <w:gridSpan w:val="3"/>
            <w:vAlign w:val="center"/>
          </w:tcPr>
          <w:p w14:paraId="1E6BF098">
            <w:pPr>
              <w:pStyle w:val="43"/>
              <w:widowControl w:val="0"/>
              <w:ind w:firstLine="0" w:firstLineChars="0"/>
              <w:jc w:val="left"/>
            </w:pPr>
          </w:p>
        </w:tc>
        <w:tc>
          <w:tcPr>
            <w:tcW w:w="538" w:type="pct"/>
            <w:gridSpan w:val="3"/>
            <w:vAlign w:val="center"/>
          </w:tcPr>
          <w:p w14:paraId="60765587">
            <w:pPr>
              <w:pStyle w:val="43"/>
              <w:widowControl w:val="0"/>
              <w:ind w:firstLine="0" w:firstLineChars="0"/>
              <w:jc w:val="left"/>
            </w:pPr>
          </w:p>
        </w:tc>
        <w:tc>
          <w:tcPr>
            <w:tcW w:w="965" w:type="pct"/>
            <w:gridSpan w:val="3"/>
            <w:vAlign w:val="center"/>
          </w:tcPr>
          <w:p w14:paraId="36A91058">
            <w:pPr>
              <w:pStyle w:val="43"/>
              <w:widowControl w:val="0"/>
              <w:ind w:firstLine="0" w:firstLineChars="0"/>
              <w:jc w:val="left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600" w:type="pct"/>
            <w:gridSpan w:val="2"/>
            <w:vAlign w:val="center"/>
          </w:tcPr>
          <w:p w14:paraId="28EE2A36">
            <w:pPr>
              <w:pStyle w:val="43"/>
              <w:widowControl w:val="0"/>
              <w:ind w:firstLine="0" w:firstLineChars="0"/>
              <w:jc w:val="left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938" w:type="pct"/>
            <w:gridSpan w:val="2"/>
            <w:vAlign w:val="center"/>
          </w:tcPr>
          <w:p w14:paraId="45D04F3C">
            <w:pPr>
              <w:pStyle w:val="43"/>
              <w:widowControl w:val="0"/>
              <w:ind w:firstLine="0" w:firstLineChars="0"/>
              <w:jc w:val="left"/>
              <w:rPr>
                <w:rFonts w:ascii="宋体" w:hAnsi="宋体" w:eastAsia="宋体" w:cs="宋体"/>
                <w:bCs/>
                <w:szCs w:val="21"/>
              </w:rPr>
            </w:pPr>
          </w:p>
        </w:tc>
      </w:tr>
      <w:tr w14:paraId="3C62E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80" w:type="pct"/>
            <w:vAlign w:val="center"/>
          </w:tcPr>
          <w:p w14:paraId="344473CC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  <w:tc>
          <w:tcPr>
            <w:tcW w:w="537" w:type="pct"/>
            <w:vAlign w:val="center"/>
          </w:tcPr>
          <w:p w14:paraId="452D7793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  <w:tc>
          <w:tcPr>
            <w:tcW w:w="537" w:type="pct"/>
            <w:gridSpan w:val="3"/>
            <w:vAlign w:val="center"/>
          </w:tcPr>
          <w:p w14:paraId="4368FDCB">
            <w:pPr>
              <w:pStyle w:val="43"/>
              <w:widowControl w:val="0"/>
              <w:ind w:firstLine="0" w:firstLineChars="0"/>
              <w:jc w:val="left"/>
            </w:pPr>
          </w:p>
        </w:tc>
        <w:tc>
          <w:tcPr>
            <w:tcW w:w="538" w:type="pct"/>
            <w:gridSpan w:val="3"/>
            <w:vAlign w:val="center"/>
          </w:tcPr>
          <w:p w14:paraId="0AA356BA">
            <w:pPr>
              <w:pStyle w:val="43"/>
              <w:widowControl w:val="0"/>
              <w:ind w:firstLine="0" w:firstLineChars="0"/>
              <w:jc w:val="left"/>
            </w:pPr>
          </w:p>
        </w:tc>
        <w:tc>
          <w:tcPr>
            <w:tcW w:w="965" w:type="pct"/>
            <w:gridSpan w:val="3"/>
            <w:vAlign w:val="center"/>
          </w:tcPr>
          <w:p w14:paraId="1E7B7FB4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  <w:tc>
          <w:tcPr>
            <w:tcW w:w="600" w:type="pct"/>
            <w:gridSpan w:val="2"/>
            <w:vAlign w:val="center"/>
          </w:tcPr>
          <w:p w14:paraId="6F62FEE9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  <w:tc>
          <w:tcPr>
            <w:tcW w:w="938" w:type="pct"/>
            <w:gridSpan w:val="2"/>
            <w:vAlign w:val="center"/>
          </w:tcPr>
          <w:p w14:paraId="580AE1EE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</w:tr>
      <w:tr w14:paraId="4AAD2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80" w:type="pct"/>
            <w:vAlign w:val="center"/>
          </w:tcPr>
          <w:p w14:paraId="4C810AED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  <w:tc>
          <w:tcPr>
            <w:tcW w:w="537" w:type="pct"/>
            <w:vAlign w:val="center"/>
          </w:tcPr>
          <w:p w14:paraId="157A26F0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  <w:tc>
          <w:tcPr>
            <w:tcW w:w="537" w:type="pct"/>
            <w:gridSpan w:val="3"/>
            <w:vAlign w:val="center"/>
          </w:tcPr>
          <w:p w14:paraId="4C74D8F8">
            <w:pPr>
              <w:pStyle w:val="43"/>
              <w:widowControl w:val="0"/>
              <w:ind w:firstLine="0" w:firstLineChars="0"/>
              <w:jc w:val="left"/>
            </w:pPr>
          </w:p>
        </w:tc>
        <w:tc>
          <w:tcPr>
            <w:tcW w:w="538" w:type="pct"/>
            <w:gridSpan w:val="3"/>
            <w:vAlign w:val="center"/>
          </w:tcPr>
          <w:p w14:paraId="338DDB2F">
            <w:pPr>
              <w:pStyle w:val="43"/>
              <w:widowControl w:val="0"/>
              <w:ind w:firstLine="0" w:firstLineChars="0"/>
              <w:jc w:val="left"/>
            </w:pPr>
          </w:p>
        </w:tc>
        <w:tc>
          <w:tcPr>
            <w:tcW w:w="965" w:type="pct"/>
            <w:gridSpan w:val="3"/>
            <w:vAlign w:val="center"/>
          </w:tcPr>
          <w:p w14:paraId="622C24DD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  <w:tc>
          <w:tcPr>
            <w:tcW w:w="600" w:type="pct"/>
            <w:gridSpan w:val="2"/>
            <w:vAlign w:val="center"/>
          </w:tcPr>
          <w:p w14:paraId="2985BBC2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  <w:tc>
          <w:tcPr>
            <w:tcW w:w="938" w:type="pct"/>
            <w:gridSpan w:val="2"/>
            <w:vAlign w:val="center"/>
          </w:tcPr>
          <w:p w14:paraId="1F8BD012">
            <w:pPr>
              <w:pStyle w:val="43"/>
              <w:widowControl w:val="0"/>
              <w:ind w:firstLine="0" w:firstLineChars="0"/>
              <w:jc w:val="left"/>
              <w:rPr>
                <w:bCs/>
                <w:sz w:val="24"/>
              </w:rPr>
            </w:pPr>
          </w:p>
        </w:tc>
      </w:tr>
      <w:tr w14:paraId="4C163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80" w:type="pct"/>
            <w:vAlign w:val="center"/>
          </w:tcPr>
          <w:p w14:paraId="0A056EBF">
            <w:pPr>
              <w:spacing w:line="360" w:lineRule="auto"/>
              <w:jc w:val="left"/>
              <w:rPr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2. 重复性</w:t>
            </w:r>
          </w:p>
        </w:tc>
        <w:tc>
          <w:tcPr>
            <w:tcW w:w="4119" w:type="pct"/>
            <w:gridSpan w:val="14"/>
            <w:vAlign w:val="center"/>
          </w:tcPr>
          <w:p w14:paraId="560E8A7F">
            <w:pPr>
              <w:jc w:val="center"/>
              <w:rPr>
                <w:bCs/>
                <w:sz w:val="24"/>
              </w:rPr>
            </w:pPr>
          </w:p>
        </w:tc>
      </w:tr>
      <w:tr w14:paraId="63B27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80" w:type="pct"/>
            <w:vAlign w:val="center"/>
          </w:tcPr>
          <w:p w14:paraId="3235A63A">
            <w:pPr>
              <w:jc w:val="left"/>
              <w:rPr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 xml:space="preserve">3. 响应时间                                    </w:t>
            </w:r>
          </w:p>
        </w:tc>
        <w:tc>
          <w:tcPr>
            <w:tcW w:w="1290" w:type="pct"/>
            <w:gridSpan w:val="5"/>
            <w:vAlign w:val="center"/>
          </w:tcPr>
          <w:p w14:paraId="25130663">
            <w:pPr>
              <w:jc w:val="center"/>
              <w:rPr>
                <w:rFonts w:hint="default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示值响应时间</w:t>
            </w:r>
          </w:p>
        </w:tc>
        <w:tc>
          <w:tcPr>
            <w:tcW w:w="916" w:type="pct"/>
            <w:gridSpan w:val="4"/>
            <w:vAlign w:val="center"/>
          </w:tcPr>
          <w:p w14:paraId="62BDBF63">
            <w:pPr>
              <w:jc w:val="center"/>
              <w:rPr>
                <w:bCs/>
                <w:sz w:val="24"/>
              </w:rPr>
            </w:pPr>
          </w:p>
        </w:tc>
        <w:tc>
          <w:tcPr>
            <w:tcW w:w="973" w:type="pct"/>
            <w:gridSpan w:val="3"/>
            <w:vAlign w:val="center"/>
          </w:tcPr>
          <w:p w14:paraId="00798CF8">
            <w:pPr>
              <w:jc w:val="center"/>
              <w:rPr>
                <w:rFonts w:hint="default"/>
                <w:bCs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报警响应时间</w:t>
            </w:r>
          </w:p>
        </w:tc>
        <w:tc>
          <w:tcPr>
            <w:tcW w:w="938" w:type="pct"/>
            <w:gridSpan w:val="2"/>
            <w:vAlign w:val="center"/>
          </w:tcPr>
          <w:p w14:paraId="36E9733A">
            <w:pPr>
              <w:jc w:val="left"/>
              <w:rPr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 xml:space="preserve">                                    </w:t>
            </w:r>
          </w:p>
        </w:tc>
      </w:tr>
      <w:tr w14:paraId="63713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80" w:type="pct"/>
            <w:vAlign w:val="center"/>
          </w:tcPr>
          <w:p w14:paraId="1E706AE3">
            <w:pPr>
              <w:jc w:val="left"/>
              <w:rPr>
                <w:rFonts w:hint="default"/>
                <w:bCs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4. 报警误差</w:t>
            </w:r>
          </w:p>
        </w:tc>
        <w:tc>
          <w:tcPr>
            <w:tcW w:w="2207" w:type="pct"/>
            <w:gridSpan w:val="9"/>
            <w:vAlign w:val="center"/>
          </w:tcPr>
          <w:p w14:paraId="090AE6DA"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973" w:type="pct"/>
            <w:gridSpan w:val="3"/>
            <w:vAlign w:val="center"/>
          </w:tcPr>
          <w:p w14:paraId="2CF0FA7B">
            <w:pPr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报警设定点</w:t>
            </w:r>
          </w:p>
        </w:tc>
        <w:tc>
          <w:tcPr>
            <w:tcW w:w="938" w:type="pct"/>
            <w:gridSpan w:val="2"/>
            <w:vAlign w:val="center"/>
          </w:tcPr>
          <w:p w14:paraId="160A4505"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</w:tr>
      <w:tr w14:paraId="0CA90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80" w:type="pct"/>
            <w:vAlign w:val="center"/>
          </w:tcPr>
          <w:p w14:paraId="1C9447D0">
            <w:pPr>
              <w:jc w:val="left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 xml:space="preserve">5. 漂移                                    </w:t>
            </w:r>
          </w:p>
        </w:tc>
        <w:tc>
          <w:tcPr>
            <w:tcW w:w="1290" w:type="pct"/>
            <w:gridSpan w:val="5"/>
            <w:vAlign w:val="center"/>
          </w:tcPr>
          <w:p w14:paraId="790FE836"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零点漂移</w:t>
            </w:r>
          </w:p>
        </w:tc>
        <w:tc>
          <w:tcPr>
            <w:tcW w:w="916" w:type="pct"/>
            <w:gridSpan w:val="4"/>
            <w:vAlign w:val="center"/>
          </w:tcPr>
          <w:p w14:paraId="4277B96B"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973" w:type="pct"/>
            <w:gridSpan w:val="3"/>
            <w:vAlign w:val="center"/>
          </w:tcPr>
          <w:p w14:paraId="5BED1604"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量程漂移</w:t>
            </w:r>
          </w:p>
        </w:tc>
        <w:tc>
          <w:tcPr>
            <w:tcW w:w="938" w:type="pct"/>
            <w:gridSpan w:val="2"/>
            <w:vAlign w:val="center"/>
          </w:tcPr>
          <w:p w14:paraId="0821C034"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</w:tr>
      <w:tr w14:paraId="4A433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000" w:type="pct"/>
            <w:gridSpan w:val="15"/>
            <w:vAlign w:val="center"/>
          </w:tcPr>
          <w:p w14:paraId="37A3B5E1"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6.变送输出误差</w:t>
            </w:r>
          </w:p>
        </w:tc>
      </w:tr>
      <w:tr w14:paraId="1BB00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80" w:type="pct"/>
            <w:vAlign w:val="center"/>
          </w:tcPr>
          <w:p w14:paraId="7FDA6E34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标准气体浓度值（mol/mol）</w:t>
            </w:r>
          </w:p>
        </w:tc>
        <w:tc>
          <w:tcPr>
            <w:tcW w:w="547" w:type="pct"/>
            <w:gridSpan w:val="2"/>
            <w:vAlign w:val="center"/>
          </w:tcPr>
          <w:p w14:paraId="1D33FA19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理论</w:t>
            </w:r>
          </w:p>
          <w:p w14:paraId="4DBFF2BD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输出值</w:t>
            </w:r>
          </w:p>
          <w:p w14:paraId="0BFD9E6F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（    ）</w:t>
            </w:r>
          </w:p>
        </w:tc>
        <w:tc>
          <w:tcPr>
            <w:tcW w:w="1427" w:type="pct"/>
            <w:gridSpan w:val="6"/>
            <w:vAlign w:val="center"/>
          </w:tcPr>
          <w:p w14:paraId="16FE8EAE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仪器变送输出示值（   ）</w:t>
            </w:r>
          </w:p>
        </w:tc>
        <w:tc>
          <w:tcPr>
            <w:tcW w:w="713" w:type="pct"/>
            <w:gridSpan w:val="3"/>
            <w:vAlign w:val="center"/>
          </w:tcPr>
          <w:p w14:paraId="1D2E4607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平均值</w:t>
            </w:r>
          </w:p>
          <w:p w14:paraId="35A776C6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（    ）</w:t>
            </w:r>
          </w:p>
        </w:tc>
        <w:tc>
          <w:tcPr>
            <w:tcW w:w="713" w:type="pct"/>
            <w:gridSpan w:val="2"/>
            <w:vAlign w:val="center"/>
          </w:tcPr>
          <w:p w14:paraId="190B236E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变送输出</w:t>
            </w:r>
          </w:p>
          <w:p w14:paraId="5FCAFC4B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误差</w:t>
            </w:r>
          </w:p>
        </w:tc>
        <w:tc>
          <w:tcPr>
            <w:tcW w:w="716" w:type="pct"/>
            <w:vAlign w:val="center"/>
          </w:tcPr>
          <w:p w14:paraId="5F66A719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扩展</w:t>
            </w:r>
          </w:p>
          <w:p w14:paraId="6AE8BF23">
            <w:pPr>
              <w:pStyle w:val="43"/>
              <w:widowControl w:val="0"/>
              <w:spacing w:before="0" w:before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不确定度</w:t>
            </w:r>
          </w:p>
        </w:tc>
      </w:tr>
      <w:tr w14:paraId="25802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80" w:type="pct"/>
            <w:vAlign w:val="center"/>
          </w:tcPr>
          <w:p w14:paraId="42DC5DC8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547" w:type="pct"/>
            <w:gridSpan w:val="2"/>
            <w:vAlign w:val="center"/>
          </w:tcPr>
          <w:p w14:paraId="56F64F6E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475" w:type="pct"/>
            <w:vAlign w:val="center"/>
          </w:tcPr>
          <w:p w14:paraId="59241711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475" w:type="pct"/>
            <w:gridSpan w:val="3"/>
            <w:vAlign w:val="center"/>
          </w:tcPr>
          <w:p w14:paraId="67CED49A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</w:pPr>
          </w:p>
        </w:tc>
        <w:tc>
          <w:tcPr>
            <w:tcW w:w="475" w:type="pct"/>
            <w:gridSpan w:val="2"/>
            <w:vAlign w:val="center"/>
          </w:tcPr>
          <w:p w14:paraId="2C00CB99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713" w:type="pct"/>
            <w:gridSpan w:val="3"/>
            <w:vAlign w:val="center"/>
          </w:tcPr>
          <w:p w14:paraId="25594A87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713" w:type="pct"/>
            <w:gridSpan w:val="2"/>
            <w:vAlign w:val="center"/>
          </w:tcPr>
          <w:p w14:paraId="22E9D5C3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716" w:type="pct"/>
            <w:vAlign w:val="center"/>
          </w:tcPr>
          <w:p w14:paraId="67D4A721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</w:tr>
      <w:tr w14:paraId="5804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80" w:type="pct"/>
            <w:vAlign w:val="center"/>
          </w:tcPr>
          <w:p w14:paraId="2EF84360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547" w:type="pct"/>
            <w:gridSpan w:val="2"/>
            <w:vAlign w:val="center"/>
          </w:tcPr>
          <w:p w14:paraId="36FDB634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475" w:type="pct"/>
            <w:vAlign w:val="center"/>
          </w:tcPr>
          <w:p w14:paraId="7F3387F4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475" w:type="pct"/>
            <w:gridSpan w:val="3"/>
            <w:vAlign w:val="center"/>
          </w:tcPr>
          <w:p w14:paraId="45C27583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</w:pPr>
          </w:p>
        </w:tc>
        <w:tc>
          <w:tcPr>
            <w:tcW w:w="475" w:type="pct"/>
            <w:gridSpan w:val="2"/>
            <w:vAlign w:val="center"/>
          </w:tcPr>
          <w:p w14:paraId="7513DFBF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713" w:type="pct"/>
            <w:gridSpan w:val="3"/>
            <w:vAlign w:val="center"/>
          </w:tcPr>
          <w:p w14:paraId="6529500A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713" w:type="pct"/>
            <w:gridSpan w:val="2"/>
            <w:vAlign w:val="center"/>
          </w:tcPr>
          <w:p w14:paraId="0C80B76E">
            <w:pPr>
              <w:pStyle w:val="43"/>
              <w:widowControl w:val="0"/>
              <w:spacing w:before="156" w:beforeLines="50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716" w:type="pct"/>
            <w:vAlign w:val="center"/>
          </w:tcPr>
          <w:p w14:paraId="29217ADD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</w:tr>
      <w:tr w14:paraId="15DEC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80" w:type="pct"/>
            <w:vAlign w:val="center"/>
          </w:tcPr>
          <w:p w14:paraId="35E5A461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547" w:type="pct"/>
            <w:gridSpan w:val="2"/>
            <w:vAlign w:val="center"/>
          </w:tcPr>
          <w:p w14:paraId="52783FFF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475" w:type="pct"/>
            <w:vAlign w:val="center"/>
          </w:tcPr>
          <w:p w14:paraId="2F4EB154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475" w:type="pct"/>
            <w:gridSpan w:val="3"/>
            <w:vAlign w:val="center"/>
          </w:tcPr>
          <w:p w14:paraId="23828E77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</w:pPr>
          </w:p>
        </w:tc>
        <w:tc>
          <w:tcPr>
            <w:tcW w:w="475" w:type="pct"/>
            <w:gridSpan w:val="2"/>
            <w:vAlign w:val="center"/>
          </w:tcPr>
          <w:p w14:paraId="125C753D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713" w:type="pct"/>
            <w:gridSpan w:val="3"/>
            <w:vAlign w:val="center"/>
          </w:tcPr>
          <w:p w14:paraId="1F0E5344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713" w:type="pct"/>
            <w:gridSpan w:val="2"/>
            <w:vAlign w:val="center"/>
          </w:tcPr>
          <w:p w14:paraId="733E3F9C">
            <w:pPr>
              <w:pStyle w:val="43"/>
              <w:widowControl w:val="0"/>
              <w:spacing w:before="156" w:beforeLines="50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716" w:type="pct"/>
            <w:vAlign w:val="center"/>
          </w:tcPr>
          <w:p w14:paraId="5A878981">
            <w:pPr>
              <w:pStyle w:val="43"/>
              <w:widowControl w:val="0"/>
              <w:spacing w:before="0" w:beforeLines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</w:tr>
      <w:bookmarkEnd w:id="304"/>
    </w:tbl>
    <w:p w14:paraId="46C024F0">
      <w:pPr>
        <w:numPr>
          <w:ilvl w:val="0"/>
          <w:numId w:val="0"/>
        </w:numPr>
        <w:spacing w:line="360" w:lineRule="auto"/>
        <w:ind w:leftChars="0"/>
        <w:rPr>
          <w:rFonts w:ascii="黑体" w:hAnsi="黑体" w:eastAsia="黑体"/>
          <w:sz w:val="28"/>
          <w:szCs w:val="28"/>
        </w:rPr>
      </w:pPr>
      <w:bookmarkStart w:id="305" w:name="_Toc3458"/>
      <w:bookmarkStart w:id="306" w:name="_Toc20526"/>
      <w:bookmarkStart w:id="307" w:name="_Toc16754"/>
      <w:bookmarkStart w:id="308" w:name="_Toc2422"/>
      <w:bookmarkStart w:id="309" w:name="_Toc23339"/>
      <w:bookmarkStart w:id="310" w:name="_Toc8870"/>
      <w:bookmarkStart w:id="311" w:name="_Toc3818"/>
      <w:bookmarkStart w:id="312" w:name="_Toc28237_WPSOffice_Level1"/>
      <w:bookmarkStart w:id="313" w:name="_Toc23784593"/>
      <w:bookmarkStart w:id="314" w:name="_Toc500258835"/>
      <w:bookmarkStart w:id="315" w:name="_Toc23785590"/>
      <w:bookmarkStart w:id="316" w:name="_Toc198433137"/>
      <w:bookmarkStart w:id="317" w:name="_Toc13651"/>
      <w:bookmarkStart w:id="318" w:name="_Toc23784692"/>
    </w:p>
    <w:p w14:paraId="240DA850">
      <w:pPr>
        <w:rPr>
          <w:rFonts w:hint="default" w:ascii="Times New Roman" w:hAnsi="Times New Roman" w:eastAsia="黑体" w:cs="Times New Roman"/>
          <w:sz w:val="28"/>
          <w:szCs w:val="28"/>
        </w:rPr>
      </w:pPr>
      <w:bookmarkStart w:id="319" w:name="_Toc2979"/>
      <w:r>
        <w:rPr>
          <w:rFonts w:hint="default" w:ascii="Times New Roman" w:hAnsi="Times New Roman" w:eastAsia="黑体" w:cs="Times New Roman"/>
          <w:sz w:val="28"/>
          <w:szCs w:val="28"/>
        </w:rPr>
        <w:br w:type="page"/>
      </w:r>
    </w:p>
    <w:p w14:paraId="7711C356">
      <w:pPr>
        <w:spacing w:before="240" w:after="60"/>
        <w:outlineLvl w:val="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附录C</w:t>
      </w:r>
      <w:bookmarkEnd w:id="305"/>
      <w:bookmarkEnd w:id="306"/>
      <w:bookmarkEnd w:id="307"/>
      <w:bookmarkEnd w:id="308"/>
      <w:bookmarkEnd w:id="309"/>
      <w:bookmarkEnd w:id="310"/>
      <w:bookmarkEnd w:id="311"/>
      <w:bookmarkEnd w:id="319"/>
      <w:r>
        <w:rPr>
          <w:rFonts w:hint="default" w:ascii="Times New Roman" w:hAnsi="Times New Roman" w:eastAsia="黑体" w:cs="Times New Roman"/>
          <w:sz w:val="28"/>
          <w:szCs w:val="28"/>
        </w:rPr>
        <w:t xml:space="preserve"> </w:t>
      </w:r>
      <w:bookmarkEnd w:id="312"/>
      <w:bookmarkEnd w:id="313"/>
      <w:bookmarkEnd w:id="314"/>
      <w:bookmarkEnd w:id="315"/>
      <w:bookmarkEnd w:id="316"/>
      <w:bookmarkEnd w:id="317"/>
      <w:bookmarkEnd w:id="318"/>
    </w:p>
    <w:p w14:paraId="78253549">
      <w:pPr>
        <w:pStyle w:val="3"/>
        <w:jc w:val="center"/>
        <w:outlineLvl w:val="0"/>
      </w:pPr>
      <w:bookmarkStart w:id="320" w:name="_Toc26494"/>
      <w:bookmarkStart w:id="321" w:name="_Toc18006"/>
      <w:r>
        <w:rPr>
          <w:rFonts w:hint="eastAsia"/>
          <w:lang w:val="en-US" w:eastAsia="zh-CN"/>
        </w:rPr>
        <w:t>二氧化碳</w:t>
      </w:r>
      <w:r>
        <w:rPr>
          <w:rFonts w:hint="eastAsia"/>
        </w:rPr>
        <w:t>浓度检测报警仪示值误差的</w:t>
      </w:r>
      <w:r>
        <w:rPr>
          <w:rFonts w:hint="eastAsia"/>
          <w:lang w:val="en-US" w:eastAsia="zh-CN"/>
        </w:rPr>
        <w:t>测量</w:t>
      </w:r>
      <w:r>
        <w:rPr>
          <w:rFonts w:hint="eastAsia"/>
        </w:rPr>
        <w:t>不确定度评定示例</w:t>
      </w:r>
      <w:bookmarkEnd w:id="320"/>
      <w:bookmarkEnd w:id="321"/>
    </w:p>
    <w:p w14:paraId="5B161CA9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6" w:beforeLines="50" w:after="157" w:afterLines="50"/>
        <w:ind w:left="105" w:leftChars="50" w:firstLine="0" w:firstLineChars="0"/>
        <w:textAlignment w:val="auto"/>
      </w:pPr>
      <w:r>
        <w:rPr>
          <w:rFonts w:hint="eastAsia"/>
        </w:rPr>
        <w:t xml:space="preserve">C.1 </w:t>
      </w:r>
      <w:r>
        <w:rPr>
          <w:rFonts w:hint="eastAsia" w:ascii="黑体" w:hAnsi="黑体" w:eastAsia="黑体" w:cs="黑体"/>
        </w:rPr>
        <w:t>概述</w:t>
      </w:r>
    </w:p>
    <w:p w14:paraId="2257F34F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105" w:leftChars="5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C</w:t>
      </w:r>
      <w:r>
        <w:t>.1.</w:t>
      </w:r>
      <w:r>
        <w:rPr>
          <w:rFonts w:hint="eastAsia"/>
        </w:rPr>
        <w:t xml:space="preserve">1 </w:t>
      </w:r>
      <w:r>
        <w:rPr>
          <w:rFonts w:hint="eastAsia"/>
          <w:lang w:val="en-US" w:eastAsia="zh-CN"/>
        </w:rPr>
        <w:t>校准依据</w:t>
      </w:r>
    </w:p>
    <w:p w14:paraId="391879A7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105" w:leftChars="50"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本规范。</w:t>
      </w:r>
    </w:p>
    <w:p w14:paraId="7235215E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105" w:leftChars="50" w:firstLine="0" w:firstLineChars="0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</w:rPr>
        <w:t>C</w:t>
      </w:r>
      <w:r>
        <w:t>.1.2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被校对象</w:t>
      </w:r>
    </w:p>
    <w:p w14:paraId="080407DE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480"/>
        <w:textAlignment w:val="auto"/>
        <w:rPr>
          <w:rFonts w:hint="eastAsia"/>
        </w:rPr>
      </w:pPr>
      <w:r>
        <w:rPr>
          <w:rFonts w:hint="eastAsia"/>
          <w:bCs/>
        </w:rPr>
        <w:t>测量范围（0～100%）mol/mol</w:t>
      </w:r>
      <w:r>
        <w:rPr>
          <w:rFonts w:hint="eastAsia"/>
          <w:bCs/>
          <w:lang w:eastAsia="zh-CN"/>
        </w:rPr>
        <w:t>、</w:t>
      </w:r>
      <w:r>
        <w:rPr>
          <w:rFonts w:hint="eastAsia"/>
          <w:bCs/>
          <w:lang w:val="en-US" w:eastAsia="zh-CN"/>
        </w:rPr>
        <w:t>分辨力为1%</w:t>
      </w:r>
      <w:r>
        <w:rPr>
          <w:rFonts w:hint="eastAsia"/>
          <w:bCs/>
        </w:rPr>
        <w:t>mol/mol的</w:t>
      </w:r>
      <w:r>
        <w:rPr>
          <w:rFonts w:hint="eastAsia"/>
          <w:bCs/>
          <w:lang w:val="en-US" w:eastAsia="zh-CN"/>
        </w:rPr>
        <w:t>二氧化碳浓度检测报警仪。</w:t>
      </w:r>
    </w:p>
    <w:p w14:paraId="4A4AF006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105" w:leftChars="50" w:firstLine="0" w:firstLineChars="0"/>
        <w:textAlignment w:val="auto"/>
        <w:rPr>
          <w:rFonts w:hint="eastAsia"/>
        </w:rPr>
      </w:pPr>
      <w:r>
        <w:rPr>
          <w:rFonts w:hint="eastAsia"/>
        </w:rPr>
        <w:t>C</w:t>
      </w:r>
      <w:r>
        <w:t>.1.3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测量标准</w:t>
      </w:r>
    </w:p>
    <w:p w14:paraId="13EEBEDA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480"/>
        <w:textAlignment w:val="auto"/>
      </w:pPr>
      <w:r>
        <w:rPr>
          <w:rFonts w:hint="eastAsia"/>
        </w:rPr>
        <w:t>表C.1中给出了</w:t>
      </w:r>
      <w:r>
        <w:rPr>
          <w:rFonts w:hint="eastAsia"/>
          <w:lang w:val="en-US" w:eastAsia="zh-CN"/>
        </w:rPr>
        <w:t>测量</w:t>
      </w:r>
      <w:r>
        <w:rPr>
          <w:rFonts w:hint="eastAsia"/>
        </w:rPr>
        <w:t>标准及主要技术指标。</w:t>
      </w:r>
    </w:p>
    <w:p w14:paraId="3C76237E">
      <w:pPr>
        <w:spacing w:line="360" w:lineRule="auto"/>
        <w:jc w:val="center"/>
        <w:rPr>
          <w:rFonts w:eastAsia="黑体"/>
        </w:rPr>
      </w:pPr>
      <w:bookmarkStart w:id="322" w:name="_Hlk166233067"/>
      <w:r>
        <w:rPr>
          <w:rStyle w:val="102"/>
          <w:rFonts w:hint="default" w:cs="Times New Roman"/>
          <w:color w:val="auto"/>
        </w:rPr>
        <w:t xml:space="preserve">表C.1 </w:t>
      </w:r>
      <w:r>
        <w:rPr>
          <w:rStyle w:val="102"/>
          <w:rFonts w:hint="eastAsia" w:eastAsia="黑体" w:cs="Times New Roman"/>
          <w:color w:val="auto"/>
          <w:lang w:val="en-US" w:eastAsia="zh-CN"/>
        </w:rPr>
        <w:t>测量</w:t>
      </w:r>
      <w:r>
        <w:rPr>
          <w:rStyle w:val="102"/>
          <w:rFonts w:hint="default" w:cs="Times New Roman"/>
          <w:color w:val="auto"/>
        </w:rPr>
        <w:t>标准技术指标</w:t>
      </w:r>
    </w:p>
    <w:bookmarkEnd w:id="322"/>
    <w:tbl>
      <w:tblPr>
        <w:tblStyle w:val="24"/>
        <w:tblW w:w="499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2"/>
        <w:gridCol w:w="2728"/>
        <w:gridCol w:w="5963"/>
      </w:tblGrid>
      <w:tr w14:paraId="697B9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579A4E0">
            <w:pPr>
              <w:jc w:val="center"/>
              <w:rPr>
                <w:rStyle w:val="101"/>
                <w:color w:val="auto"/>
                <w:lang w:val="zh-TW" w:eastAsia="zh-TW"/>
              </w:rPr>
            </w:pPr>
            <w:r>
              <w:rPr>
                <w:rStyle w:val="101"/>
                <w:color w:val="auto"/>
                <w:lang w:val="zh-TW" w:eastAsia="zh-TW"/>
              </w:rPr>
              <w:t>序号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F83F3F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 w:eastAsia="宋体"/>
                <w:color w:val="auto"/>
                <w:lang w:val="en-US" w:eastAsia="zh-CN"/>
              </w:rPr>
              <w:t>测量的</w:t>
            </w:r>
            <w:r>
              <w:rPr>
                <w:rStyle w:val="101"/>
                <w:color w:val="auto"/>
              </w:rPr>
              <w:t>标准或设备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6E4F7D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主要技术指标</w:t>
            </w:r>
          </w:p>
        </w:tc>
      </w:tr>
      <w:tr w14:paraId="223F0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2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46E8F7">
            <w:pPr>
              <w:jc w:val="center"/>
              <w:rPr>
                <w:rStyle w:val="101"/>
                <w:color w:val="auto"/>
                <w:lang w:val="zh-TW" w:eastAsia="zh-TW"/>
              </w:rPr>
            </w:pPr>
            <w:r>
              <w:rPr>
                <w:rStyle w:val="101"/>
                <w:color w:val="auto"/>
                <w:lang w:val="zh-TW" w:eastAsia="zh-TW"/>
              </w:rPr>
              <w:t>1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7BCDD4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 w:eastAsia="宋体"/>
                <w:color w:val="auto"/>
                <w:lang w:val="en-US" w:eastAsia="zh-CN"/>
              </w:rPr>
              <w:t>氮</w:t>
            </w:r>
            <w:r>
              <w:rPr>
                <w:rStyle w:val="101"/>
                <w:color w:val="auto"/>
              </w:rPr>
              <w:t>中</w:t>
            </w:r>
            <w:r>
              <w:rPr>
                <w:rStyle w:val="101"/>
                <w:rFonts w:hint="eastAsia" w:eastAsia="宋体"/>
                <w:color w:val="auto"/>
                <w:lang w:val="en-US" w:eastAsia="zh-CN"/>
              </w:rPr>
              <w:t>二氧化碳</w:t>
            </w:r>
            <w:r>
              <w:rPr>
                <w:rStyle w:val="101"/>
                <w:color w:val="auto"/>
              </w:rPr>
              <w:t>标准气体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BEEF47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相对扩展不确定度：</w:t>
            </w:r>
            <w:r>
              <w:rPr>
                <w:rStyle w:val="101"/>
                <w:i/>
                <w:iCs/>
                <w:color w:val="auto"/>
              </w:rPr>
              <w:t>U</w:t>
            </w:r>
            <w:r>
              <w:rPr>
                <w:rStyle w:val="101"/>
                <w:rFonts w:hint="eastAsia" w:eastAsia="宋体"/>
                <w:i w:val="0"/>
                <w:iCs w:val="0"/>
                <w:color w:val="auto"/>
                <w:vertAlign w:val="subscript"/>
                <w:lang w:val="en-US" w:eastAsia="zh-CN"/>
              </w:rPr>
              <w:t>rel</w:t>
            </w:r>
            <w:r>
              <w:rPr>
                <w:rStyle w:val="101"/>
                <w:color w:val="auto"/>
              </w:rPr>
              <w:t>=2%，</w:t>
            </w:r>
            <w:r>
              <w:rPr>
                <w:rStyle w:val="101"/>
                <w:i/>
                <w:iCs/>
                <w:color w:val="auto"/>
              </w:rPr>
              <w:t>k</w:t>
            </w:r>
            <w:r>
              <w:rPr>
                <w:rStyle w:val="101"/>
                <w:color w:val="auto"/>
              </w:rPr>
              <w:t>=2</w:t>
            </w:r>
          </w:p>
        </w:tc>
      </w:tr>
      <w:tr w14:paraId="0FDFD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602DBC">
            <w:pPr>
              <w:jc w:val="center"/>
              <w:rPr>
                <w:rStyle w:val="101"/>
                <w:color w:val="auto"/>
                <w:lang w:val="zh-TW" w:eastAsia="zh-TW"/>
              </w:rPr>
            </w:pPr>
            <w:r>
              <w:rPr>
                <w:rStyle w:val="101"/>
                <w:color w:val="auto"/>
                <w:lang w:val="zh-TW" w:eastAsia="zh-TW"/>
              </w:rPr>
              <w:t>2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526E4B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气体质量流量计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922F89">
            <w:pPr>
              <w:jc w:val="center"/>
              <w:rPr>
                <w:rStyle w:val="101"/>
                <w:color w:val="auto"/>
                <w:lang w:val="zh-TW"/>
              </w:rPr>
            </w:pPr>
            <w:r>
              <w:rPr>
                <w:rStyle w:val="101"/>
                <w:color w:val="auto"/>
                <w:lang w:val="zh-TW" w:eastAsia="zh-TW"/>
              </w:rPr>
              <w:t>准确度等级为4级、测量范围（0～2）L/min</w:t>
            </w:r>
          </w:p>
        </w:tc>
      </w:tr>
      <w:tr w14:paraId="75691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E31213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3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89D824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气体质量流量计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D417E3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  <w:lang w:val="zh-TW" w:eastAsia="zh-TW"/>
              </w:rPr>
              <w:t>准确度等级为4级、测量范围（0～2</w:t>
            </w:r>
            <w:r>
              <w:rPr>
                <w:rStyle w:val="101"/>
                <w:color w:val="auto"/>
              </w:rPr>
              <w:t>0</w:t>
            </w:r>
            <w:r>
              <w:rPr>
                <w:rStyle w:val="101"/>
                <w:color w:val="auto"/>
                <w:lang w:val="zh-TW" w:eastAsia="zh-TW"/>
              </w:rPr>
              <w:t>）L/min</w:t>
            </w:r>
          </w:p>
        </w:tc>
      </w:tr>
      <w:tr w14:paraId="24C5B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D0C54B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4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C683DE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气体减压器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EF2751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  <w:lang w:val="zh-TW" w:eastAsia="zh-TW"/>
              </w:rPr>
              <w:t>准确度等级为</w:t>
            </w:r>
            <w:r>
              <w:rPr>
                <w:rStyle w:val="101"/>
                <w:color w:val="auto"/>
              </w:rPr>
              <w:t>2.5</w:t>
            </w:r>
            <w:r>
              <w:rPr>
                <w:rStyle w:val="101"/>
                <w:color w:val="auto"/>
                <w:lang w:val="zh-TW" w:eastAsia="zh-TW"/>
              </w:rPr>
              <w:t>级</w:t>
            </w:r>
          </w:p>
        </w:tc>
      </w:tr>
    </w:tbl>
    <w:p w14:paraId="7A653C0E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105" w:leftChars="50" w:firstLine="0" w:firstLineChars="0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</w:rPr>
        <w:t xml:space="preserve">C.1.4 </w:t>
      </w:r>
      <w:r>
        <w:rPr>
          <w:rFonts w:hint="eastAsia"/>
          <w:lang w:val="en-US" w:eastAsia="zh-CN"/>
        </w:rPr>
        <w:t>校准方法</w:t>
      </w:r>
    </w:p>
    <w:p w14:paraId="38CBBA4D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0" w:leftChars="0" w:firstLine="48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按照本规范6.2的规定进行校准。本示例仅取</w:t>
      </w:r>
      <w:r>
        <w:rPr>
          <w:rFonts w:hint="eastAsia" w:ascii="Times New Roman" w:hAnsi="Times New Roman"/>
        </w:rPr>
        <w:t>浓度为满量程</w:t>
      </w:r>
      <w:r>
        <w:rPr>
          <w:rFonts w:hint="eastAsia"/>
          <w:lang w:val="en-US" w:eastAsia="zh-CN"/>
        </w:rPr>
        <w:t>5</w:t>
      </w:r>
      <w:r>
        <w:rPr>
          <w:rFonts w:hint="eastAsia" w:ascii="Times New Roman" w:hAnsi="Times New Roman"/>
        </w:rPr>
        <w:t>0%的</w:t>
      </w:r>
      <w:r>
        <w:rPr>
          <w:rFonts w:hint="eastAsia"/>
          <w:lang w:val="en-US" w:eastAsia="zh-CN"/>
        </w:rPr>
        <w:t>校准点进行说明，其他校准点参照本示例。</w:t>
      </w:r>
    </w:p>
    <w:p w14:paraId="7E77A193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/>
        <w:ind w:firstLine="0" w:firstLineChars="0"/>
        <w:textAlignment w:val="auto"/>
        <w:rPr>
          <w:rFonts w:hint="eastAsia" w:eastAsia="黑体"/>
        </w:rPr>
      </w:pPr>
      <w:r>
        <w:rPr>
          <w:rFonts w:hint="eastAsia"/>
        </w:rPr>
        <w:t xml:space="preserve">C.2 </w:t>
      </w:r>
      <w:r>
        <w:rPr>
          <w:rFonts w:hint="eastAsia" w:eastAsia="黑体"/>
        </w:rPr>
        <w:t>测量模型</w:t>
      </w:r>
    </w:p>
    <w:p w14:paraId="3A9BB95B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0" w:leftChars="0" w:firstLine="480" w:firstLineChars="200"/>
        <w:textAlignment w:val="auto"/>
        <w:outlineLvl w:val="0"/>
        <w:rPr>
          <w:rFonts w:hint="default" w:ascii="Times New Roman" w:hAnsi="Times New Roman" w:cs="Times New Roman"/>
          <w:lang w:val="en-US" w:eastAsia="zh-CN"/>
        </w:rPr>
      </w:pPr>
      <w:bookmarkStart w:id="323" w:name="_Toc30795"/>
      <w:r>
        <w:rPr>
          <w:rFonts w:hint="eastAsia" w:cs="Times New Roman"/>
          <w:lang w:val="en-US" w:eastAsia="zh-CN"/>
        </w:rPr>
        <w:t>本规范检测仪示值误差用相对误差表示，本示例</w:t>
      </w:r>
      <w:r>
        <w:rPr>
          <w:rFonts w:hint="eastAsia" w:cs="Times New Roman"/>
          <w:highlight w:val="none"/>
          <w:lang w:val="en-US" w:eastAsia="zh-CN"/>
        </w:rPr>
        <w:t>为了便于计算，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采用直接测量方法</w:t>
      </w:r>
      <w:r>
        <w:rPr>
          <w:rFonts w:hint="eastAsia" w:ascii="Times New Roman" w:hAnsi="Times New Roman" w:cs="Times New Roman"/>
          <w:lang w:val="en-US" w:eastAsia="zh-CN"/>
        </w:rPr>
        <w:t>，其测量模型见公式（C.1）</w:t>
      </w:r>
      <w:bookmarkEnd w:id="323"/>
      <w:r>
        <w:rPr>
          <w:rFonts w:hint="eastAsia" w:cs="Times New Roman"/>
          <w:lang w:val="en-US" w:eastAsia="zh-CN"/>
        </w:rPr>
        <w:t>。</w:t>
      </w:r>
    </w:p>
    <w:p w14:paraId="783C433F">
      <w:pPr>
        <w:spacing w:line="360" w:lineRule="auto"/>
        <w:jc w:val="right"/>
        <w:rPr>
          <w:rFonts w:eastAsia="宋体"/>
          <w:sz w:val="24"/>
        </w:rPr>
      </w:pPr>
      <w:r>
        <w:rPr>
          <w:rFonts w:hint="eastAsia" w:hAnsi="宋体" w:cs="宋体"/>
          <w:position w:val="-12"/>
        </w:rPr>
        <w:object>
          <v:shape id="_x0000_i1066" o:spt="75" type="#_x0000_t75" style="height:18pt;width:62pt;" o:ole="t" filled="f" o:preferrelative="t" stroked="f" coordsize="21600,21600">
            <v:path/>
            <v:fill on="f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KSEE3" ShapeID="_x0000_i1066" DrawAspect="Content" ObjectID="_1468075766" r:id="rId106">
            <o:LockedField>false</o:LockedField>
          </o:OLEObject>
        </w:object>
      </w:r>
      <w:r>
        <w:rPr>
          <w:rFonts w:eastAsia="宋体"/>
          <w:sz w:val="24"/>
        </w:rPr>
        <w:t xml:space="preserve"> 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</w:t>
      </w:r>
      <w:r>
        <w:rPr>
          <w:rFonts w:hint="eastAsia" w:eastAsia="宋体"/>
          <w:sz w:val="24"/>
        </w:rPr>
        <w:t xml:space="preserve">                （</w:t>
      </w:r>
      <w:r>
        <w:rPr>
          <w:rFonts w:hint="eastAsia"/>
          <w:sz w:val="24"/>
        </w:rPr>
        <w:t>C.</w:t>
      </w:r>
      <w:r>
        <w:rPr>
          <w:rFonts w:hint="eastAsia" w:eastAsia="宋体"/>
          <w:sz w:val="24"/>
        </w:rPr>
        <w:t xml:space="preserve">1）                                                                                 </w:t>
      </w:r>
    </w:p>
    <w:p w14:paraId="6778C71C">
      <w:pPr>
        <w:pStyle w:val="6"/>
        <w:rPr>
          <w:position w:val="-6"/>
          <w:vertAlign w:val="subscript"/>
        </w:rPr>
      </w:pPr>
      <w:r>
        <w:rPr>
          <w:rFonts w:hint="eastAsia"/>
          <w:sz w:val="24"/>
        </w:rPr>
        <w:t>式中：</w:t>
      </w:r>
    </w:p>
    <w:p w14:paraId="498A4BD6">
      <w:pPr>
        <w:pStyle w:val="6"/>
        <w:rPr>
          <w:position w:val="-6"/>
          <w:vertAlign w:val="subscript"/>
        </w:rPr>
      </w:pPr>
      <w:r>
        <w:rPr>
          <w:rFonts w:hint="default" w:ascii="Times New Roman" w:hAnsi="Times New Roman" w:cs="Times New Roman"/>
          <w:position w:val="-6"/>
          <w:sz w:val="24"/>
          <w:szCs w:val="24"/>
          <w:vertAlign w:val="baseline"/>
        </w:rPr>
        <w:t>Δ</w:t>
      </w:r>
      <w:r>
        <w:rPr>
          <w:rFonts w:hint="eastAsia"/>
          <w:i w:val="0"/>
          <w:iCs w:val="0"/>
          <w:position w:val="-6"/>
          <w:sz w:val="24"/>
          <w:szCs w:val="24"/>
          <w:vertAlign w:val="baseline"/>
          <w:lang w:val="en-US" w:eastAsia="zh-CN"/>
        </w:rPr>
        <w:t>C</w: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示值</w:t>
      </w:r>
      <w:r>
        <w:t>误差</w:t>
      </w:r>
      <w:r>
        <w:rPr>
          <w:rFonts w:hint="eastAsia"/>
        </w:rPr>
        <w:t>，mol/mol</w:t>
      </w:r>
      <w:r>
        <w:t>；</w:t>
      </w:r>
    </w:p>
    <w:p w14:paraId="6652BD4F">
      <w:pPr>
        <w:pStyle w:val="6"/>
      </w:pPr>
      <w:r>
        <w:rPr>
          <w:rFonts w:hint="eastAsia" w:ascii="Times New Roman" w:hAnsi="Times New Roman" w:cs="Times New Roman"/>
          <w:i w:val="0"/>
          <w:iCs w:val="0"/>
          <w:sz w:val="24"/>
          <w:szCs w:val="22"/>
          <w:lang w:val="en-US" w:eastAsia="zh-CN"/>
        </w:rPr>
        <w:t>C</w: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检测仪</w:t>
      </w:r>
      <w:r>
        <w:rPr>
          <w:rFonts w:hint="eastAsia" w:ascii="宋体" w:hAnsi="宋体" w:cs="宋体"/>
        </w:rPr>
        <w:t>示值，</w:t>
      </w:r>
      <w:r>
        <w:rPr>
          <w:rFonts w:hint="eastAsia"/>
        </w:rPr>
        <w:t>mol/mol</w:t>
      </w:r>
      <w:r>
        <w:t>；</w:t>
      </w:r>
    </w:p>
    <w:p w14:paraId="6D0C1BD8">
      <w:pPr>
        <w:pStyle w:val="6"/>
        <w:rPr>
          <w:rFonts w:hint="eastAsia"/>
        </w:rPr>
      </w:pPr>
      <w:r>
        <w:rPr>
          <w:rFonts w:hint="eastAsia"/>
          <w:i w:val="0"/>
          <w:iCs w:val="0"/>
          <w:sz w:val="24"/>
          <w:szCs w:val="22"/>
          <w:lang w:val="en-US" w:eastAsia="zh-CN"/>
        </w:rPr>
        <w:t>C</w:t>
      </w:r>
      <w:r>
        <w:rPr>
          <w:rFonts w:hint="eastAsia"/>
          <w:sz w:val="24"/>
          <w:szCs w:val="22"/>
          <w:vertAlign w:val="subscript"/>
          <w:lang w:val="en-US" w:eastAsia="zh-CN"/>
        </w:rPr>
        <w:t>0</w: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</w:rPr>
        <w:t>标准</w:t>
      </w:r>
      <w:r>
        <w:rPr>
          <w:rFonts w:hint="eastAsia"/>
          <w:lang w:val="en-US" w:eastAsia="zh-CN"/>
        </w:rPr>
        <w:t>气体浓度值</w:t>
      </w:r>
      <w:r>
        <w:rPr>
          <w:rFonts w:hint="eastAsia"/>
        </w:rPr>
        <w:t>，mol/mol。</w:t>
      </w:r>
    </w:p>
    <w:p w14:paraId="3B5CD254">
      <w:pPr>
        <w:pStyle w:val="43"/>
        <w:spacing w:line="300" w:lineRule="auto"/>
        <w:ind w:firstLine="480"/>
        <w:rPr>
          <w:rFonts w:hint="default" w:eastAsia="宋体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由测量模型可知，输入量</w:t>
      </w:r>
      <w:r>
        <w:rPr>
          <w:rFonts w:hint="eastAsia"/>
          <w:i/>
          <w:iCs/>
          <w:lang w:val="en-US" w:eastAsia="zh-CN"/>
        </w:rPr>
        <w:t>C</w:t>
      </w:r>
      <w:r>
        <w:rPr>
          <w:rFonts w:hint="eastAsia"/>
          <w:lang w:val="en-US" w:eastAsia="zh-CN"/>
        </w:rPr>
        <w:t>的灵敏系数</w:t>
      </w:r>
      <w:r>
        <w:rPr>
          <w:rFonts w:hint="eastAsia"/>
          <w:i/>
          <w:iCs/>
          <w:lang w:val="en-US" w:eastAsia="zh-CN"/>
        </w:rPr>
        <w:t>c</w:t>
      </w:r>
      <w:r>
        <w:rPr>
          <w:rFonts w:hint="eastAsia"/>
          <w:vertAlign w:val="subscript"/>
          <w:lang w:val="en-US" w:eastAsia="zh-CN"/>
        </w:rPr>
        <w:t>1</w:t>
      </w:r>
      <w:r>
        <w:rPr>
          <w:rFonts w:hint="eastAsia"/>
          <w:lang w:val="en-US" w:eastAsia="zh-CN"/>
        </w:rPr>
        <w:t>为1，输入量</w:t>
      </w:r>
      <w:r>
        <w:rPr>
          <w:rFonts w:hint="eastAsia"/>
          <w:i/>
          <w:iCs/>
          <w:lang w:val="en-US" w:eastAsia="zh-CN"/>
        </w:rPr>
        <w:t>C</w:t>
      </w:r>
      <w:r>
        <w:rPr>
          <w:rFonts w:hint="eastAsia"/>
          <w:vertAlign w:val="subscript"/>
          <w:lang w:val="en-US" w:eastAsia="zh-CN"/>
        </w:rPr>
        <w:t>0</w:t>
      </w:r>
      <w:r>
        <w:rPr>
          <w:rFonts w:hint="eastAsia"/>
          <w:vertAlign w:val="baseline"/>
          <w:lang w:val="en-US" w:eastAsia="zh-CN"/>
        </w:rPr>
        <w:t>的灵敏系数</w:t>
      </w:r>
      <w:r>
        <w:rPr>
          <w:rFonts w:hint="eastAsia"/>
          <w:i/>
          <w:iCs/>
          <w:lang w:val="en-US" w:eastAsia="zh-CN"/>
        </w:rPr>
        <w:t>c</w:t>
      </w:r>
      <w:r>
        <w:rPr>
          <w:rFonts w:hint="eastAsia"/>
          <w:vertAlign w:val="subscript"/>
          <w:lang w:val="en-US" w:eastAsia="zh-CN"/>
        </w:rPr>
        <w:t>2</w:t>
      </w:r>
      <w:r>
        <w:rPr>
          <w:rFonts w:hint="eastAsia"/>
          <w:vertAlign w:val="baseline"/>
          <w:lang w:val="en-US" w:eastAsia="zh-CN"/>
        </w:rPr>
        <w:t>为-1。</w:t>
      </w:r>
    </w:p>
    <w:p w14:paraId="5C63AC8A">
      <w:pPr>
        <w:pStyle w:val="43"/>
        <w:spacing w:before="156" w:beforeLines="50" w:after="156" w:afterLines="50"/>
        <w:ind w:firstLine="0" w:firstLineChars="0"/>
      </w:pPr>
      <w:r>
        <w:rPr>
          <w:rFonts w:hint="eastAsia"/>
        </w:rPr>
        <w:t xml:space="preserve">C.3 </w:t>
      </w:r>
      <w:r>
        <w:rPr>
          <w:rFonts w:hint="eastAsia" w:eastAsia="黑体"/>
        </w:rPr>
        <w:t>测量不确定度来源分析</w:t>
      </w:r>
    </w:p>
    <w:p w14:paraId="0E01EE4E">
      <w:pPr>
        <w:pStyle w:val="43"/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测量不确定度来源主要有：</w:t>
      </w:r>
    </w:p>
    <w:p w14:paraId="43B1F8D4">
      <w:pPr>
        <w:pStyle w:val="43"/>
        <w:numPr>
          <w:ilvl w:val="0"/>
          <w:numId w:val="5"/>
        </w:num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测量过程引入的不确定度分量</w:t>
      </w:r>
      <w:r>
        <w:rPr>
          <w:position w:val="-10"/>
          <w:vertAlign w:val="subscript"/>
        </w:rPr>
        <w:object>
          <v:shape id="_x0000_i1067" o:spt="75" type="#_x0000_t75" style="height:17pt;width:12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KSEE3" ShapeID="_x0000_i1067" DrawAspect="Content" ObjectID="_1468075767" r:id="rId108">
            <o:LockedField>false</o:LockedField>
          </o:OLEObject>
        </w:object>
      </w:r>
      <w:r>
        <w:rPr>
          <w:rFonts w:hint="eastAsia"/>
          <w:lang w:val="en-US" w:eastAsia="zh-CN"/>
        </w:rPr>
        <w:t>；</w:t>
      </w:r>
    </w:p>
    <w:p w14:paraId="116C49EF">
      <w:pPr>
        <w:pStyle w:val="43"/>
        <w:numPr>
          <w:ilvl w:val="0"/>
          <w:numId w:val="0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1.1）测量重复性引入的不确定度分量</w:t>
      </w:r>
      <w:r>
        <w:rPr>
          <w:position w:val="-10"/>
          <w:vertAlign w:val="subscript"/>
        </w:rPr>
        <w:object>
          <v:shape id="_x0000_i1068" o:spt="75" type="#_x0000_t75" style="height:17pt;width:15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KSEE3" ShapeID="_x0000_i1068" DrawAspect="Content" ObjectID="_1468075768" r:id="rId110">
            <o:LockedField>false</o:LockedField>
          </o:OLEObject>
        </w:object>
      </w:r>
      <w:r>
        <w:rPr>
          <w:rFonts w:hint="eastAsia"/>
          <w:lang w:val="en-US" w:eastAsia="zh-CN"/>
        </w:rPr>
        <w:t>；</w:t>
      </w:r>
    </w:p>
    <w:p w14:paraId="7B9D03DE">
      <w:pPr>
        <w:pStyle w:val="43"/>
        <w:numPr>
          <w:ilvl w:val="0"/>
          <w:numId w:val="0"/>
        </w:num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1.2）检测仪分辨力引入的不确定度分量</w:t>
      </w:r>
      <w:r>
        <w:rPr>
          <w:position w:val="-10"/>
          <w:vertAlign w:val="subscript"/>
        </w:rPr>
        <w:object>
          <v:shape id="_x0000_i1069" o:spt="75" type="#_x0000_t75" style="height:17pt;width:16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KSEE3" ShapeID="_x0000_i1069" DrawAspect="Content" ObjectID="_1468075769" r:id="rId112">
            <o:LockedField>false</o:LockedField>
          </o:OLEObject>
        </w:object>
      </w:r>
      <w:r>
        <w:rPr>
          <w:rFonts w:hint="eastAsia"/>
          <w:lang w:val="en-US" w:eastAsia="zh-CN"/>
        </w:rPr>
        <w:t>；</w:t>
      </w:r>
    </w:p>
    <w:p w14:paraId="3531D8B4">
      <w:pPr>
        <w:pStyle w:val="43"/>
        <w:numPr>
          <w:ilvl w:val="0"/>
          <w:numId w:val="5"/>
        </w:numPr>
        <w:ind w:firstLine="48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标准气体不确定度引入的不确定度分量</w:t>
      </w:r>
      <w:r>
        <w:rPr>
          <w:position w:val="-10"/>
          <w:vertAlign w:val="subscript"/>
        </w:rPr>
        <w:object>
          <v:shape id="_x0000_i1070" o:spt="75" type="#_x0000_t75" style="height:17pt;width:13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KSEE3" ShapeID="_x0000_i1070" DrawAspect="Content" ObjectID="_1468075770" r:id="rId114">
            <o:LockedField>false</o:LockedField>
          </o:OLEObject>
        </w:object>
      </w:r>
      <w:r>
        <w:rPr>
          <w:rFonts w:hint="eastAsia"/>
          <w:lang w:val="en-US" w:eastAsia="zh-CN"/>
        </w:rPr>
        <w:t>。</w:t>
      </w:r>
    </w:p>
    <w:p w14:paraId="68C96666">
      <w:pPr>
        <w:pStyle w:val="43"/>
        <w:spacing w:before="156" w:beforeLines="50" w:after="156" w:afterLines="50"/>
        <w:ind w:firstLine="0" w:firstLineChars="0"/>
        <w:rPr>
          <w:rFonts w:cs="宋体"/>
          <w:szCs w:val="24"/>
        </w:rPr>
      </w:pPr>
      <w:r>
        <w:rPr>
          <w:rFonts w:hint="eastAsia" w:cs="宋体"/>
        </w:rPr>
        <w:t xml:space="preserve">C.4 </w:t>
      </w:r>
      <w:r>
        <w:rPr>
          <w:rFonts w:hint="eastAsia" w:eastAsia="黑体" w:cs="宋体"/>
          <w:szCs w:val="24"/>
          <w:lang w:val="en-US" w:eastAsia="zh-CN"/>
        </w:rPr>
        <w:t>测量</w:t>
      </w:r>
      <w:r>
        <w:rPr>
          <w:rFonts w:hint="eastAsia" w:eastAsia="黑体" w:cs="宋体"/>
          <w:szCs w:val="24"/>
        </w:rPr>
        <w:t>不确定度评定</w:t>
      </w:r>
    </w:p>
    <w:p w14:paraId="4E71D983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textAlignment w:val="auto"/>
        <w:rPr>
          <w:szCs w:val="24"/>
        </w:rPr>
      </w:pPr>
      <w:bookmarkStart w:id="324" w:name="_Toc26732"/>
      <w:r>
        <w:rPr>
          <w:rFonts w:hint="eastAsia"/>
          <w:szCs w:val="24"/>
        </w:rPr>
        <w:t xml:space="preserve">C.4.1 </w:t>
      </w:r>
      <w:r>
        <w:rPr>
          <w:rFonts w:hint="eastAsia"/>
          <w:szCs w:val="24"/>
          <w:lang w:val="en-US" w:eastAsia="zh-CN"/>
        </w:rPr>
        <w:t>测量过程</w:t>
      </w:r>
      <w:r>
        <w:rPr>
          <w:rFonts w:hint="eastAsia"/>
          <w:szCs w:val="24"/>
        </w:rPr>
        <w:t>引</w:t>
      </w:r>
      <w:r>
        <w:rPr>
          <w:rFonts w:hint="eastAsia"/>
          <w:szCs w:val="24"/>
          <w:lang w:val="en-US" w:eastAsia="zh-CN"/>
        </w:rPr>
        <w:t>入</w:t>
      </w:r>
      <w:r>
        <w:rPr>
          <w:rFonts w:hint="eastAsia"/>
          <w:szCs w:val="24"/>
        </w:rPr>
        <w:t>的不确定度分量</w:t>
      </w:r>
      <w:bookmarkEnd w:id="324"/>
      <w:r>
        <w:rPr>
          <w:position w:val="-10"/>
          <w:vertAlign w:val="subscript"/>
        </w:rPr>
        <w:object>
          <v:shape id="_x0000_i1071" o:spt="75" type="#_x0000_t75" style="height:17pt;width:12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KSEE3" ShapeID="_x0000_i1071" DrawAspect="Content" ObjectID="_1468075771" r:id="rId116">
            <o:LockedField>false</o:LockedField>
          </o:OLEObject>
        </w:object>
      </w:r>
    </w:p>
    <w:p w14:paraId="645293BE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textAlignment w:val="auto"/>
        <w:rPr>
          <w:szCs w:val="24"/>
        </w:rPr>
      </w:pPr>
      <w:r>
        <w:rPr>
          <w:rFonts w:hint="eastAsia"/>
          <w:szCs w:val="24"/>
        </w:rPr>
        <w:t>C</w:t>
      </w:r>
      <w:r>
        <w:rPr>
          <w:szCs w:val="24"/>
        </w:rPr>
        <w:t>.4</w:t>
      </w:r>
      <w:r>
        <w:rPr>
          <w:rFonts w:hint="eastAsia"/>
          <w:szCs w:val="24"/>
        </w:rPr>
        <w:t>.1.1 测量重复性引入的不确定度分量</w:t>
      </w:r>
      <w:r>
        <w:rPr>
          <w:position w:val="-10"/>
          <w:vertAlign w:val="subscript"/>
        </w:rPr>
        <w:object>
          <v:shape id="_x0000_i1072" o:spt="75" type="#_x0000_t75" style="height:17pt;width:15pt;" o:ole="t" filled="f" o:preferrelative="t" stroked="f" coordsize="21600,21600">
            <v:path/>
            <v:fill on="f" focussize="0,0"/>
            <v:stroke on="f"/>
            <v:imagedata r:id="rId118" o:title=""/>
            <o:lock v:ext="edit" aspectratio="t"/>
            <w10:wrap type="none"/>
            <w10:anchorlock/>
          </v:shape>
          <o:OLEObject Type="Embed" ProgID="Equation.KSEE3" ShapeID="_x0000_i1072" DrawAspect="Content" ObjectID="_1468075772" r:id="rId117">
            <o:LockedField>false</o:LockedField>
          </o:OLEObject>
        </w:object>
      </w:r>
    </w:p>
    <w:p w14:paraId="640F92DF">
      <w:pPr>
        <w:pStyle w:val="6"/>
        <w:ind w:firstLine="480" w:firstLineChars="200"/>
        <w:jc w:val="left"/>
        <w:rPr>
          <w:rFonts w:hAnsi="Cambria Math"/>
          <w:position w:val="-26"/>
          <w:sz w:val="24"/>
          <w:szCs w:val="24"/>
        </w:rPr>
      </w:pPr>
      <w:r>
        <w:rPr>
          <w:rFonts w:hint="eastAsia" w:hAnsi="Cambria Math"/>
          <w:position w:val="-26"/>
          <w:sz w:val="24"/>
          <w:szCs w:val="24"/>
        </w:rPr>
        <w:t>重复条件下，在</w:t>
      </w:r>
      <w:r>
        <w:rPr>
          <w:rFonts w:hint="eastAsia" w:hAnsi="Cambria Math"/>
          <w:position w:val="-26"/>
          <w:sz w:val="24"/>
          <w:szCs w:val="24"/>
          <w:lang w:val="en-US" w:eastAsia="zh-CN"/>
        </w:rPr>
        <w:t>5</w:t>
      </w:r>
      <w:r>
        <w:rPr>
          <w:rFonts w:hint="eastAsia" w:hAnsi="Cambria Math"/>
          <w:position w:val="-26"/>
          <w:sz w:val="24"/>
          <w:szCs w:val="24"/>
        </w:rPr>
        <w:t>0%mol/mol标准气体浓度点连续测量10次，得到数据见表C.2：</w:t>
      </w:r>
    </w:p>
    <w:p w14:paraId="6B0B881B">
      <w:pPr>
        <w:spacing w:line="360" w:lineRule="auto"/>
        <w:jc w:val="center"/>
        <w:rPr>
          <w:rFonts w:hint="default" w:ascii="Times New Roman" w:hAnsi="Times New Roman" w:eastAsia="黑体" w:cs="Times New Roman"/>
          <w:position w:val="-26"/>
          <w:szCs w:val="21"/>
          <w:lang w:val="en-US" w:eastAsia="zh-CN"/>
        </w:rPr>
      </w:pPr>
      <w:r>
        <w:rPr>
          <w:rStyle w:val="102"/>
          <w:rFonts w:hint="default" w:ascii="Times New Roman" w:hAnsi="Times New Roman" w:cs="Times New Roman"/>
          <w:color w:val="auto"/>
          <w:szCs w:val="21"/>
        </w:rPr>
        <w:t>表C.2 测量</w:t>
      </w:r>
      <w:r>
        <w:rPr>
          <w:rStyle w:val="102"/>
          <w:rFonts w:hint="eastAsia" w:eastAsia="黑体" w:cs="Times New Roman"/>
          <w:color w:val="auto"/>
          <w:szCs w:val="21"/>
          <w:lang w:val="en-US" w:eastAsia="zh-CN"/>
        </w:rPr>
        <w:t>重复性</w:t>
      </w:r>
      <w:r>
        <w:rPr>
          <w:rStyle w:val="102"/>
          <w:rFonts w:hint="default" w:ascii="Times New Roman" w:hAnsi="Times New Roman" w:eastAsia="黑体" w:cs="Times New Roman"/>
          <w:color w:val="auto"/>
          <w:szCs w:val="21"/>
          <w:lang w:val="en-US" w:eastAsia="zh-CN"/>
        </w:rPr>
        <w:t>结果</w:t>
      </w:r>
    </w:p>
    <w:tbl>
      <w:tblPr>
        <w:tblStyle w:val="24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2"/>
        <w:gridCol w:w="804"/>
        <w:gridCol w:w="806"/>
        <w:gridCol w:w="806"/>
        <w:gridCol w:w="807"/>
        <w:gridCol w:w="807"/>
        <w:gridCol w:w="807"/>
        <w:gridCol w:w="807"/>
        <w:gridCol w:w="807"/>
        <w:gridCol w:w="807"/>
        <w:gridCol w:w="791"/>
      </w:tblGrid>
      <w:tr w14:paraId="33C62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95" w:type="pct"/>
            <w:tcBorders>
              <w:tl2br w:val="nil"/>
              <w:tr2bl w:val="nil"/>
            </w:tcBorders>
            <w:vAlign w:val="center"/>
          </w:tcPr>
          <w:p w14:paraId="5777BF15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序号</w:t>
            </w:r>
          </w:p>
        </w:tc>
        <w:tc>
          <w:tcPr>
            <w:tcW w:w="420" w:type="pct"/>
            <w:tcBorders>
              <w:tl2br w:val="nil"/>
              <w:tr2bl w:val="nil"/>
            </w:tcBorders>
            <w:vAlign w:val="center"/>
          </w:tcPr>
          <w:p w14:paraId="3615D56E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1</w:t>
            </w:r>
          </w:p>
        </w:tc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5A60B8D4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2</w:t>
            </w:r>
          </w:p>
        </w:tc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6E5E0517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3</w:t>
            </w:r>
          </w:p>
        </w:tc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76D0B8E8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4</w:t>
            </w:r>
          </w:p>
        </w:tc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7422ECCC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5</w:t>
            </w:r>
          </w:p>
        </w:tc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10B2EBDC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6</w:t>
            </w:r>
          </w:p>
        </w:tc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01C13977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7</w:t>
            </w:r>
          </w:p>
        </w:tc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0654ABD8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8</w:t>
            </w:r>
          </w:p>
        </w:tc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04F50223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9</w:t>
            </w:r>
          </w:p>
        </w:tc>
        <w:tc>
          <w:tcPr>
            <w:tcW w:w="413" w:type="pct"/>
            <w:tcBorders>
              <w:tl2br w:val="nil"/>
              <w:tr2bl w:val="nil"/>
            </w:tcBorders>
            <w:vAlign w:val="center"/>
          </w:tcPr>
          <w:p w14:paraId="6CB3E2F6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10</w:t>
            </w:r>
          </w:p>
        </w:tc>
      </w:tr>
      <w:tr w14:paraId="6A0AC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pct"/>
            <w:tcBorders>
              <w:tl2br w:val="nil"/>
              <w:tr2bl w:val="nil"/>
            </w:tcBorders>
            <w:vAlign w:val="center"/>
          </w:tcPr>
          <w:p w14:paraId="44F2AA87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  <w:t>示值</w:t>
            </w:r>
          </w:p>
          <w:p w14:paraId="6A3264BA">
            <w:pPr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bidi="ar"/>
              </w:rPr>
              <w:t>mol/mol</w:t>
            </w: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 w14:paraId="2B39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  <w:lang w:val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806" w:type="dxa"/>
            <w:tcBorders>
              <w:tl2br w:val="nil"/>
              <w:tr2bl w:val="nil"/>
            </w:tcBorders>
            <w:vAlign w:val="center"/>
          </w:tcPr>
          <w:p w14:paraId="03B8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806" w:type="dxa"/>
            <w:tcBorders>
              <w:tl2br w:val="nil"/>
              <w:tr2bl w:val="nil"/>
            </w:tcBorders>
            <w:vAlign w:val="center"/>
          </w:tcPr>
          <w:p w14:paraId="4466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1%</w:t>
            </w:r>
          </w:p>
        </w:tc>
        <w:tc>
          <w:tcPr>
            <w:tcW w:w="806" w:type="dxa"/>
            <w:tcBorders>
              <w:tl2br w:val="nil"/>
              <w:tr2bl w:val="nil"/>
            </w:tcBorders>
            <w:vAlign w:val="center"/>
          </w:tcPr>
          <w:p w14:paraId="57DF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0%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0C92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1%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458B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745C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0%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685D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4266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0%</w:t>
            </w:r>
          </w:p>
        </w:tc>
        <w:tc>
          <w:tcPr>
            <w:tcW w:w="791" w:type="dxa"/>
            <w:tcBorders>
              <w:tl2br w:val="nil"/>
              <w:tr2bl w:val="nil"/>
            </w:tcBorders>
            <w:vAlign w:val="center"/>
          </w:tcPr>
          <w:p w14:paraId="303F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7"/>
                <w:rFonts w:hint="default" w:ascii="Times New Roman" w:hAnsi="Times New Roman" w:eastAsia="宋体" w:cs="Times New Roman"/>
                <w:b w:val="0"/>
                <w:szCs w:val="21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 w14:paraId="586F7482">
      <w:pPr>
        <w:spacing w:line="360" w:lineRule="auto"/>
        <w:ind w:firstLine="480" w:firstLineChars="200"/>
        <w:jc w:val="left"/>
        <w:rPr>
          <w:rStyle w:val="27"/>
          <w:rFonts w:ascii="宋体" w:hAnsi="宋体" w:eastAsia="宋体" w:cs="宋体"/>
          <w:b w:val="0"/>
          <w:sz w:val="24"/>
        </w:rPr>
      </w:pPr>
      <w:r>
        <w:rPr>
          <w:rStyle w:val="27"/>
          <w:rFonts w:hint="eastAsia" w:ascii="宋体" w:hAnsi="宋体" w:eastAsia="宋体" w:cs="宋体"/>
          <w:b w:val="0"/>
          <w:sz w:val="24"/>
        </w:rPr>
        <w:t>其算术平均值为：</w:t>
      </w:r>
      <w:bookmarkStart w:id="325" w:name="_Hlk104130921"/>
      <w:bookmarkStart w:id="326" w:name="_Hlk104130747"/>
    </w:p>
    <w:bookmarkEnd w:id="325"/>
    <w:bookmarkEnd w:id="326"/>
    <w:p w14:paraId="18151A71">
      <w:pPr>
        <w:spacing w:line="360" w:lineRule="auto"/>
        <w:jc w:val="center"/>
        <w:rPr>
          <w:rFonts w:eastAsia="宋体"/>
          <w:sz w:val="24"/>
        </w:rPr>
      </w:pPr>
      <w:r>
        <w:rPr>
          <w:position w:val="-28"/>
          <w:sz w:val="24"/>
        </w:rPr>
        <w:object>
          <v:shape id="_x0000_i1073" o:spt="75" type="#_x0000_t75" style="height:34pt;width:139.95pt;" o:ole="t" filled="f" o:preferrelative="t" stroked="f" coordsize="21600,21600">
            <v:path/>
            <v:fill on="f" focussize="0,0"/>
            <v:stroke on="f"/>
            <v:imagedata r:id="rId120" o:title=""/>
            <o:lock v:ext="edit" aspectratio="t"/>
            <w10:wrap type="none"/>
            <w10:anchorlock/>
          </v:shape>
          <o:OLEObject Type="Embed" ProgID="Equation.KSEE3" ShapeID="_x0000_i1073" DrawAspect="Content" ObjectID="_1468075773" r:id="rId119">
            <o:LockedField>false</o:LockedField>
          </o:OLEObject>
        </w:object>
      </w:r>
    </w:p>
    <w:p w14:paraId="2AF9EF70">
      <w:pPr>
        <w:spacing w:line="360" w:lineRule="auto"/>
        <w:ind w:firstLine="480" w:firstLineChars="200"/>
        <w:rPr>
          <w:rStyle w:val="27"/>
          <w:rFonts w:ascii="宋体" w:hAnsi="宋体" w:eastAsia="宋体" w:cs="宋体"/>
          <w:b w:val="0"/>
          <w:sz w:val="24"/>
        </w:rPr>
      </w:pPr>
      <w:r>
        <w:rPr>
          <w:rStyle w:val="27"/>
          <w:rFonts w:hint="eastAsia" w:ascii="宋体" w:hAnsi="宋体" w:eastAsia="宋体" w:cs="宋体"/>
          <w:b w:val="0"/>
          <w:sz w:val="24"/>
        </w:rPr>
        <w:t>单次实验标准差为：</w:t>
      </w:r>
    </w:p>
    <w:p w14:paraId="659E5F8D">
      <w:pPr>
        <w:spacing w:line="360" w:lineRule="auto"/>
        <w:jc w:val="center"/>
        <w:rPr>
          <w:rFonts w:eastAsia="宋体"/>
          <w:sz w:val="24"/>
        </w:rPr>
      </w:pPr>
      <w:r>
        <w:rPr>
          <w:rFonts w:hint="eastAsia"/>
          <w:position w:val="-30"/>
          <w:sz w:val="24"/>
        </w:rPr>
        <w:object>
          <v:shape id="_x0000_i1074" o:spt="75" type="#_x0000_t75" style="height:38pt;width:193.95pt;" o:ole="t" filled="f" o:preferrelative="t" stroked="f" coordsize="21600,21600">
            <v:path/>
            <v:fill on="f" focussize="0,0"/>
            <v:stroke on="f"/>
            <v:imagedata r:id="rId122" o:title=""/>
            <o:lock v:ext="edit" aspectratio="t"/>
            <w10:wrap type="none"/>
            <w10:anchorlock/>
          </v:shape>
          <o:OLEObject Type="Embed" ProgID="Equation.KSEE3" ShapeID="_x0000_i1074" DrawAspect="Content" ObjectID="_1468075774" r:id="rId121">
            <o:LockedField>false</o:LockedField>
          </o:OLEObject>
        </w:object>
      </w:r>
    </w:p>
    <w:p w14:paraId="38C9165F">
      <w:pPr>
        <w:spacing w:line="360" w:lineRule="auto"/>
        <w:ind w:firstLine="480" w:firstLineChars="200"/>
        <w:rPr>
          <w:rStyle w:val="27"/>
          <w:rFonts w:eastAsia="宋体"/>
          <w:b w:val="0"/>
          <w:sz w:val="24"/>
        </w:rPr>
      </w:pPr>
      <w:r>
        <w:rPr>
          <w:rStyle w:val="27"/>
          <w:rFonts w:eastAsia="宋体"/>
          <w:b w:val="0"/>
          <w:sz w:val="24"/>
        </w:rPr>
        <w:t>由于实际校准过程中是测量3次取平均值作为误差计算依据，则测量重复性引入的不确定</w:t>
      </w:r>
      <w:r>
        <w:rPr>
          <w:rStyle w:val="27"/>
          <w:rFonts w:hint="eastAsia" w:eastAsia="宋体"/>
          <w:b w:val="0"/>
          <w:sz w:val="24"/>
          <w:lang w:val="en-US" w:eastAsia="zh-CN"/>
        </w:rPr>
        <w:t>度</w:t>
      </w:r>
      <w:r>
        <w:rPr>
          <w:rStyle w:val="27"/>
          <w:rFonts w:eastAsia="宋体"/>
          <w:b w:val="0"/>
          <w:sz w:val="24"/>
        </w:rPr>
        <w:t>为：</w:t>
      </w:r>
    </w:p>
    <w:p w14:paraId="2B531D6B">
      <w:pPr>
        <w:spacing w:line="360" w:lineRule="auto"/>
        <w:ind w:firstLine="480" w:firstLineChars="200"/>
        <w:jc w:val="center"/>
        <w:rPr>
          <w:rFonts w:ascii="宋体" w:hAnsi="宋体" w:eastAsia="宋体" w:cs="宋体"/>
          <w:sz w:val="24"/>
        </w:rPr>
      </w:pPr>
      <w:r>
        <w:rPr>
          <w:rFonts w:eastAsia="宋体"/>
          <w:position w:val="-28"/>
          <w:sz w:val="24"/>
        </w:rPr>
        <w:object>
          <v:shape id="_x0000_i1075" o:spt="75" type="#_x0000_t75" style="height:33pt;width:128pt;" o:ole="t" filled="f" o:preferrelative="t" stroked="f" coordsize="21600,21600">
            <v:path/>
            <v:fill on="f" focussize="0,0"/>
            <v:stroke on="f"/>
            <v:imagedata r:id="rId124" o:title=""/>
            <o:lock v:ext="edit" aspectratio="t"/>
            <w10:wrap type="none"/>
            <w10:anchorlock/>
          </v:shape>
          <o:OLEObject Type="Embed" ProgID="Equation.KSEE3" ShapeID="_x0000_i1075" DrawAspect="Content" ObjectID="_1468075775" r:id="rId123">
            <o:LockedField>false</o:LockedField>
          </o:OLEObject>
        </w:object>
      </w:r>
    </w:p>
    <w:p w14:paraId="757F1604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textAlignment w:val="auto"/>
        <w:rPr>
          <w:szCs w:val="24"/>
        </w:rPr>
      </w:pPr>
      <w:r>
        <w:rPr>
          <w:rFonts w:hint="eastAsia"/>
          <w:szCs w:val="24"/>
        </w:rPr>
        <w:t>C</w:t>
      </w:r>
      <w:r>
        <w:rPr>
          <w:szCs w:val="24"/>
        </w:rPr>
        <w:t>.</w:t>
      </w:r>
      <w:r>
        <w:rPr>
          <w:rFonts w:hint="eastAsia"/>
          <w:szCs w:val="24"/>
        </w:rPr>
        <w:t xml:space="preserve">4.1.2  </w:t>
      </w:r>
      <w:r>
        <w:rPr>
          <w:rFonts w:hint="eastAsia"/>
          <w:szCs w:val="24"/>
          <w:lang w:val="en-US" w:eastAsia="zh-CN"/>
        </w:rPr>
        <w:t>检测仪</w:t>
      </w:r>
      <w:r>
        <w:rPr>
          <w:rFonts w:hint="eastAsia"/>
          <w:szCs w:val="24"/>
        </w:rPr>
        <w:t>分辨力引入的不确定度分量</w:t>
      </w:r>
      <w:r>
        <w:rPr>
          <w:position w:val="-10"/>
          <w:vertAlign w:val="subscript"/>
        </w:rPr>
        <w:object>
          <v:shape id="_x0000_i1076" o:spt="75" type="#_x0000_t75" style="height:17pt;width:16pt;" o:ole="t" filled="f" o:preferrelative="t" stroked="f" coordsize="21600,21600">
            <v:path/>
            <v:fill on="f" focussize="0,0"/>
            <v:stroke on="f"/>
            <v:imagedata r:id="rId126" o:title=""/>
            <o:lock v:ext="edit" aspectratio="t"/>
            <w10:wrap type="none"/>
            <w10:anchorlock/>
          </v:shape>
          <o:OLEObject Type="Embed" ProgID="Equation.KSEE3" ShapeID="_x0000_i1076" DrawAspect="Content" ObjectID="_1468075776" r:id="rId125">
            <o:LockedField>false</o:LockedField>
          </o:OLEObject>
        </w:object>
      </w:r>
    </w:p>
    <w:p w14:paraId="61EF3960">
      <w:pPr>
        <w:ind w:firstLine="480" w:firstLineChars="200"/>
        <w:rPr>
          <w:rStyle w:val="27"/>
          <w:rFonts w:eastAsia="宋体"/>
          <w:b w:val="0"/>
          <w:sz w:val="24"/>
        </w:rPr>
      </w:pPr>
      <w:r>
        <w:rPr>
          <w:rStyle w:val="27"/>
          <w:rFonts w:eastAsia="宋体"/>
          <w:b w:val="0"/>
          <w:sz w:val="24"/>
        </w:rPr>
        <w:t>被</w:t>
      </w:r>
      <w:r>
        <w:rPr>
          <w:rStyle w:val="27"/>
          <w:rFonts w:hint="eastAsia" w:eastAsia="宋体"/>
          <w:b w:val="0"/>
          <w:sz w:val="24"/>
          <w:lang w:val="en-US" w:eastAsia="zh-CN"/>
        </w:rPr>
        <w:t>校检测仪</w:t>
      </w:r>
      <w:r>
        <w:rPr>
          <w:rStyle w:val="27"/>
          <w:rFonts w:eastAsia="宋体"/>
          <w:b w:val="0"/>
          <w:sz w:val="24"/>
        </w:rPr>
        <w:t>的分辨力为1%</w:t>
      </w:r>
      <w:r>
        <w:rPr>
          <w:rFonts w:eastAsia="宋体"/>
          <w:sz w:val="24"/>
        </w:rPr>
        <w:t>mol/mol</w:t>
      </w:r>
      <w:r>
        <w:rPr>
          <w:rStyle w:val="27"/>
          <w:rFonts w:eastAsia="宋体"/>
          <w:b w:val="0"/>
          <w:sz w:val="24"/>
        </w:rPr>
        <w:t>，属B类评定，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区间半宽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=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/2=0.</w:t>
      </w:r>
      <w:r>
        <w:rPr>
          <w:rFonts w:hint="eastAsia" w:eastAsia="宋体" w:cs="Times New Roman"/>
          <w:sz w:val="24"/>
          <w:szCs w:val="24"/>
          <w:lang w:val="en-US" w:eastAsia="zh-CN"/>
        </w:rPr>
        <w:t>5</w:t>
      </w:r>
      <w:r>
        <w:rPr>
          <w:rStyle w:val="27"/>
          <w:rFonts w:eastAsia="宋体"/>
          <w:b w:val="0"/>
          <w:sz w:val="24"/>
        </w:rPr>
        <w:t>%</w:t>
      </w:r>
      <w:r>
        <w:rPr>
          <w:rFonts w:eastAsia="宋体"/>
          <w:sz w:val="24"/>
        </w:rPr>
        <w:t>mol/mol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，</w:t>
      </w:r>
      <w:r>
        <w:rPr>
          <w:rFonts w:hint="eastAsia" w:eastAsia="宋体" w:cs="Times New Roman"/>
          <w:sz w:val="24"/>
          <w:szCs w:val="24"/>
          <w:lang w:val="en-US" w:eastAsia="zh-CN"/>
        </w:rPr>
        <w:t>服从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均匀分布，取</w:t>
      </w:r>
      <w:r>
        <w:rPr>
          <w:rFonts w:hint="eastAsia" w:ascii="Times New Roman" w:hAnsi="Times New Roman" w:eastAsia="宋体" w:cs="Times New Roman"/>
          <w:position w:val="-8"/>
          <w:sz w:val="24"/>
          <w:szCs w:val="24"/>
          <w:lang w:val="en-US" w:eastAsia="zh-CN"/>
        </w:rPr>
        <w:object>
          <v:shape id="_x0000_i1077" o:spt="75" type="#_x0000_t75" style="height:18pt;width:36pt;" o:ole="t" filled="f" o:preferrelative="t" stroked="f" coordsize="21600,21600">
            <v:path/>
            <v:fill on="f" focussize="0,0"/>
            <v:stroke on="f"/>
            <v:imagedata r:id="rId128" o:title=""/>
            <o:lock v:ext="edit" aspectratio="t"/>
            <w10:wrap type="none"/>
            <w10:anchorlock/>
          </v:shape>
          <o:OLEObject Type="Embed" ProgID="Equation.KSEE3" ShapeID="_x0000_i1077" DrawAspect="Content" ObjectID="_1468075777" r:id="rId127">
            <o:LockedField>false</o:LockedField>
          </o:OLEObject>
        </w:object>
      </w:r>
      <w:r>
        <w:rPr>
          <w:rStyle w:val="27"/>
          <w:rFonts w:eastAsia="宋体"/>
          <w:b w:val="0"/>
          <w:sz w:val="24"/>
        </w:rPr>
        <w:t>，则：</w:t>
      </w:r>
    </w:p>
    <w:p w14:paraId="2FE49893">
      <w:pPr>
        <w:ind w:firstLine="480" w:firstLineChars="200"/>
        <w:jc w:val="center"/>
        <w:rPr>
          <w:rFonts w:eastAsia="宋体"/>
          <w:sz w:val="24"/>
        </w:rPr>
      </w:pPr>
      <w:r>
        <w:rPr>
          <w:rFonts w:hint="default" w:ascii="Times New Roman" w:hAnsi="Times New Roman" w:eastAsia="宋体" w:cs="Times New Roman"/>
          <w:position w:val="-24"/>
          <w:sz w:val="24"/>
        </w:rPr>
        <w:object>
          <v:shape id="_x0000_i1078" o:spt="75" type="#_x0000_t75" style="height:31pt;width:120pt;" o:ole="t" filled="f" o:preferrelative="t" stroked="f" coordsize="21600,21600">
            <v:path/>
            <v:fill on="f" focussize="0,0"/>
            <v:stroke on="f"/>
            <v:imagedata r:id="rId130" o:title=""/>
            <o:lock v:ext="edit" aspectratio="t"/>
            <w10:wrap type="none"/>
            <w10:anchorlock/>
          </v:shape>
          <o:OLEObject Type="Embed" ProgID="Equation.KSEE3" ShapeID="_x0000_i1078" DrawAspect="Content" ObjectID="_1468075778" r:id="rId129">
            <o:LockedField>false</o:LockedField>
          </o:OLEObject>
        </w:object>
      </w:r>
    </w:p>
    <w:p w14:paraId="46D8DB52">
      <w:pPr>
        <w:spacing w:line="360" w:lineRule="auto"/>
        <w:ind w:firstLine="480" w:firstLineChars="200"/>
        <w:rPr>
          <w:rStyle w:val="27"/>
          <w:rFonts w:hint="eastAsia" w:eastAsia="宋体"/>
          <w:b w:val="0"/>
          <w:sz w:val="24"/>
          <w:lang w:eastAsia="zh-CN"/>
        </w:rPr>
      </w:pPr>
      <w:r>
        <w:rPr>
          <w:rStyle w:val="27"/>
          <w:rFonts w:eastAsia="宋体"/>
          <w:b w:val="0"/>
          <w:sz w:val="24"/>
        </w:rPr>
        <w:t>重复性引入的不确定度分量与</w:t>
      </w:r>
      <w:r>
        <w:rPr>
          <w:rStyle w:val="27"/>
          <w:rFonts w:hint="eastAsia" w:eastAsia="宋体"/>
          <w:b w:val="0"/>
          <w:sz w:val="24"/>
          <w:lang w:val="en-US" w:eastAsia="zh-CN"/>
        </w:rPr>
        <w:t>检测仪</w:t>
      </w:r>
      <w:r>
        <w:rPr>
          <w:rStyle w:val="27"/>
          <w:rFonts w:eastAsia="宋体"/>
          <w:b w:val="0"/>
          <w:sz w:val="24"/>
        </w:rPr>
        <w:t>分辨力引入的不确定度分量，两者取大值，则</w:t>
      </w:r>
      <w:r>
        <w:rPr>
          <w:rStyle w:val="27"/>
          <w:rFonts w:hint="eastAsia" w:eastAsia="宋体"/>
          <w:b w:val="0"/>
          <w:sz w:val="24"/>
          <w:lang w:eastAsia="zh-CN"/>
        </w:rPr>
        <w:t>：</w:t>
      </w:r>
    </w:p>
    <w:p w14:paraId="27B29F4A">
      <w:pPr>
        <w:spacing w:line="360" w:lineRule="auto"/>
        <w:ind w:firstLine="420" w:firstLineChars="200"/>
        <w:jc w:val="center"/>
        <w:rPr>
          <w:rStyle w:val="27"/>
          <w:rFonts w:eastAsia="宋体"/>
          <w:b w:val="0"/>
          <w:sz w:val="24"/>
        </w:rPr>
      </w:pPr>
      <w:r>
        <w:rPr>
          <w:position w:val="-10"/>
          <w:vertAlign w:val="subscript"/>
        </w:rPr>
        <w:object>
          <v:shape id="_x0000_i1079" o:spt="75" type="#_x0000_t75" style="height:17pt;width:95pt;" o:ole="t" filled="f" o:preferrelative="t" stroked="f" coordsize="21600,21600">
            <v:path/>
            <v:fill on="f" focussize="0,0"/>
            <v:stroke on="f"/>
            <v:imagedata r:id="rId132" o:title=""/>
            <o:lock v:ext="edit" aspectratio="t"/>
            <w10:wrap type="none"/>
            <w10:anchorlock/>
          </v:shape>
          <o:OLEObject Type="Embed" ProgID="Equation.KSEE3" ShapeID="_x0000_i1079" DrawAspect="Content" ObjectID="_1468075779" r:id="rId131">
            <o:LockedField>false</o:LockedField>
          </o:OLEObject>
        </w:object>
      </w:r>
    </w:p>
    <w:p w14:paraId="2FCE616B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textAlignment w:val="auto"/>
        <w:rPr>
          <w:szCs w:val="24"/>
        </w:rPr>
      </w:pPr>
      <w:bookmarkStart w:id="327" w:name="_Toc19857"/>
      <w:r>
        <w:rPr>
          <w:rFonts w:hint="eastAsia"/>
          <w:szCs w:val="24"/>
        </w:rPr>
        <w:t xml:space="preserve">C.4.2  </w:t>
      </w:r>
      <w:r>
        <w:rPr>
          <w:rFonts w:hint="eastAsia"/>
          <w:lang w:val="en-US" w:eastAsia="zh-CN"/>
        </w:rPr>
        <w:t>标准气体不确定度引入</w:t>
      </w:r>
      <w:r>
        <w:rPr>
          <w:rFonts w:hint="eastAsia"/>
          <w:szCs w:val="24"/>
        </w:rPr>
        <w:t>的不确定度分量</w:t>
      </w:r>
      <w:bookmarkEnd w:id="327"/>
      <w:r>
        <w:rPr>
          <w:position w:val="-10"/>
          <w:vertAlign w:val="subscript"/>
        </w:rPr>
        <w:object>
          <v:shape id="_x0000_i1080" o:spt="75" type="#_x0000_t75" style="height:17pt;width:13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KSEE3" ShapeID="_x0000_i1080" DrawAspect="Content" ObjectID="_1468075780" r:id="rId133">
            <o:LockedField>false</o:LockedField>
          </o:OLEObject>
        </w:object>
      </w:r>
    </w:p>
    <w:p w14:paraId="6BA6938C">
      <w:pPr>
        <w:spacing w:line="360" w:lineRule="auto"/>
        <w:ind w:firstLine="480" w:firstLineChars="200"/>
        <w:rPr>
          <w:rFonts w:eastAsia="宋体"/>
          <w:kern w:val="0"/>
          <w:sz w:val="24"/>
          <w:lang w:bidi="ar"/>
        </w:rPr>
      </w:pPr>
      <w:r>
        <w:rPr>
          <w:rStyle w:val="27"/>
          <w:rFonts w:eastAsia="宋体"/>
          <w:b w:val="0"/>
          <w:sz w:val="24"/>
        </w:rPr>
        <w:t>标准气体的</w:t>
      </w:r>
      <w:r>
        <w:rPr>
          <w:rFonts w:eastAsia="宋体"/>
          <w:kern w:val="0"/>
          <w:sz w:val="24"/>
          <w:lang w:bidi="ar"/>
        </w:rPr>
        <w:t>相对扩展不确定度为：</w:t>
      </w:r>
      <w:r>
        <w:rPr>
          <w:rFonts w:eastAsia="宋体"/>
          <w:i/>
          <w:iCs/>
          <w:kern w:val="0"/>
          <w:sz w:val="24"/>
          <w:lang w:bidi="ar"/>
        </w:rPr>
        <w:t>U</w:t>
      </w:r>
      <w:r>
        <w:rPr>
          <w:rFonts w:hint="eastAsia" w:eastAsia="宋体"/>
          <w:i w:val="0"/>
          <w:iCs w:val="0"/>
          <w:kern w:val="0"/>
          <w:sz w:val="24"/>
          <w:vertAlign w:val="subscript"/>
          <w:lang w:val="en-US" w:eastAsia="zh-CN" w:bidi="ar"/>
        </w:rPr>
        <w:t>rel</w:t>
      </w:r>
      <w:r>
        <w:rPr>
          <w:rFonts w:eastAsia="宋体"/>
          <w:kern w:val="0"/>
          <w:sz w:val="24"/>
          <w:lang w:bidi="ar"/>
        </w:rPr>
        <w:t>=2%，</w:t>
      </w:r>
      <w:r>
        <w:rPr>
          <w:rFonts w:eastAsia="宋体"/>
          <w:i/>
          <w:iCs/>
          <w:kern w:val="0"/>
          <w:sz w:val="24"/>
          <w:lang w:bidi="ar"/>
        </w:rPr>
        <w:t>k</w:t>
      </w:r>
      <w:r>
        <w:rPr>
          <w:rFonts w:eastAsia="宋体"/>
          <w:kern w:val="0"/>
          <w:sz w:val="24"/>
          <w:lang w:bidi="ar"/>
        </w:rPr>
        <w:t>=2，则</w:t>
      </w:r>
      <w:r>
        <w:rPr>
          <w:rFonts w:hint="eastAsia" w:eastAsia="宋体"/>
          <w:kern w:val="0"/>
          <w:sz w:val="24"/>
          <w:lang w:bidi="ar"/>
        </w:rPr>
        <w:t>在</w:t>
      </w:r>
      <w:r>
        <w:rPr>
          <w:rFonts w:hint="eastAsia" w:eastAsia="宋体"/>
          <w:kern w:val="0"/>
          <w:sz w:val="24"/>
          <w:lang w:val="en-US" w:eastAsia="zh-CN" w:bidi="ar"/>
        </w:rPr>
        <w:t>5</w:t>
      </w:r>
      <w:r>
        <w:rPr>
          <w:rFonts w:hint="eastAsia" w:eastAsia="宋体"/>
          <w:kern w:val="0"/>
          <w:sz w:val="24"/>
          <w:lang w:bidi="ar"/>
        </w:rPr>
        <w:t>0%mol/mol浓度时</w:t>
      </w:r>
      <w:r>
        <w:rPr>
          <w:rFonts w:eastAsia="宋体"/>
          <w:kern w:val="0"/>
          <w:sz w:val="24"/>
          <w:lang w:bidi="ar"/>
        </w:rPr>
        <w:t>：</w:t>
      </w:r>
    </w:p>
    <w:p w14:paraId="1C97F0B1">
      <w:pPr>
        <w:spacing w:line="360" w:lineRule="auto"/>
        <w:ind w:firstLine="420" w:firstLineChars="200"/>
        <w:jc w:val="center"/>
        <w:rPr>
          <w:rStyle w:val="27"/>
          <w:rFonts w:eastAsia="宋体"/>
          <w:b w:val="0"/>
          <w:sz w:val="24"/>
        </w:rPr>
      </w:pPr>
      <w:r>
        <w:rPr>
          <w:position w:val="-24"/>
          <w:vertAlign w:val="subscript"/>
        </w:rPr>
        <w:object>
          <v:shape id="_x0000_i1081" o:spt="75" type="#_x0000_t75" style="height:31pt;width:215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t"/>
            <w10:wrap type="none"/>
            <w10:anchorlock/>
          </v:shape>
          <o:OLEObject Type="Embed" ProgID="Equation.KSEE3" ShapeID="_x0000_i1081" DrawAspect="Content" ObjectID="_1468075781" r:id="rId134">
            <o:LockedField>false</o:LockedField>
          </o:OLEObject>
        </w:object>
      </w:r>
    </w:p>
    <w:p w14:paraId="18D6C07E">
      <w:pPr>
        <w:pStyle w:val="4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/>
        <w:ind w:firstLine="0" w:firstLineChars="0"/>
        <w:textAlignment w:val="auto"/>
        <w:rPr>
          <w:rFonts w:eastAsia="黑体"/>
          <w:szCs w:val="24"/>
        </w:rPr>
      </w:pPr>
      <w:r>
        <w:rPr>
          <w:rFonts w:hint="eastAsia"/>
          <w:szCs w:val="24"/>
        </w:rPr>
        <w:t xml:space="preserve">C.5  </w:t>
      </w:r>
      <w:r>
        <w:rPr>
          <w:rFonts w:hint="eastAsia" w:eastAsia="黑体"/>
          <w:szCs w:val="24"/>
        </w:rPr>
        <w:t>标准不确定度分量汇总</w:t>
      </w:r>
    </w:p>
    <w:p w14:paraId="5FDA540D">
      <w:pPr>
        <w:pStyle w:val="43"/>
        <w:ind w:firstLine="480"/>
        <w:rPr>
          <w:rFonts w:cs="宋体"/>
          <w:szCs w:val="24"/>
        </w:rPr>
      </w:pPr>
      <w:r>
        <w:rPr>
          <w:rFonts w:hint="eastAsia" w:cs="宋体"/>
          <w:szCs w:val="24"/>
        </w:rPr>
        <w:t>标准不确定度分量汇总见表C.3所示：</w:t>
      </w:r>
    </w:p>
    <w:p w14:paraId="0F85C69E">
      <w:pPr>
        <w:spacing w:line="360" w:lineRule="auto"/>
        <w:jc w:val="center"/>
        <w:rPr>
          <w:rStyle w:val="102"/>
          <w:rFonts w:hint="eastAsia" w:ascii="Times New Roman" w:hAnsi="Times New Roman" w:eastAsia="黑体" w:cs="Times New Roman"/>
          <w:color w:val="auto"/>
          <w:sz w:val="24"/>
          <w:szCs w:val="24"/>
          <w:lang w:val="en-US" w:eastAsia="zh-CN"/>
        </w:rPr>
      </w:pPr>
      <w:r>
        <w:rPr>
          <w:rStyle w:val="102"/>
          <w:rFonts w:hint="default" w:ascii="Times New Roman" w:hAnsi="Times New Roman" w:cs="Times New Roman"/>
          <w:color w:val="auto"/>
          <w:szCs w:val="21"/>
        </w:rPr>
        <w:t>表C.3 标准不确定度</w:t>
      </w:r>
      <w:r>
        <w:rPr>
          <w:rStyle w:val="102"/>
          <w:rFonts w:hint="eastAsia" w:eastAsia="黑体" w:cs="Times New Roman"/>
          <w:color w:val="auto"/>
          <w:szCs w:val="21"/>
          <w:lang w:val="en-US" w:eastAsia="zh-CN"/>
        </w:rPr>
        <w:t>分量</w:t>
      </w:r>
      <w:r>
        <w:rPr>
          <w:rStyle w:val="102"/>
          <w:rFonts w:hint="default" w:ascii="Times New Roman" w:hAnsi="Times New Roman" w:cs="Times New Roman"/>
          <w:color w:val="auto"/>
          <w:szCs w:val="21"/>
        </w:rPr>
        <w:t>汇总</w:t>
      </w:r>
    </w:p>
    <w:tbl>
      <w:tblPr>
        <w:tblStyle w:val="25"/>
        <w:tblW w:w="499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141"/>
        <w:gridCol w:w="844"/>
        <w:gridCol w:w="2367"/>
        <w:gridCol w:w="1282"/>
        <w:gridCol w:w="2184"/>
      </w:tblGrid>
      <w:tr w14:paraId="691CA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88" w:type="pct"/>
            <w:tcBorders>
              <w:tl2br w:val="nil"/>
              <w:tr2bl w:val="nil"/>
            </w:tcBorders>
            <w:vAlign w:val="center"/>
          </w:tcPr>
          <w:p w14:paraId="59C74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Style w:val="101"/>
                <w:rFonts w:hint="eastAsia" w:eastAsia="宋体" w:cs="Times New Roman"/>
                <w:color w:val="auto"/>
                <w:szCs w:val="21"/>
                <w:lang w:val="en-US" w:eastAsia="zh-CN"/>
              </w:rPr>
              <w:t>序号</w:t>
            </w:r>
          </w:p>
        </w:tc>
        <w:tc>
          <w:tcPr>
            <w:tcW w:w="1119" w:type="pct"/>
            <w:tcBorders>
              <w:tl2br w:val="nil"/>
              <w:tr2bl w:val="nil"/>
            </w:tcBorders>
            <w:vAlign w:val="center"/>
          </w:tcPr>
          <w:p w14:paraId="75AAD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Style w:val="101"/>
                <w:rFonts w:hint="default" w:ascii="Times New Roman" w:hAnsi="Times New Roman" w:cs="Times New Roman"/>
                <w:color w:val="auto"/>
                <w:szCs w:val="21"/>
              </w:rPr>
              <w:t>标准不确定度来源</w:t>
            </w:r>
          </w:p>
        </w:tc>
        <w:tc>
          <w:tcPr>
            <w:tcW w:w="441" w:type="pct"/>
            <w:tcBorders>
              <w:tl2br w:val="nil"/>
              <w:tr2bl w:val="nil"/>
            </w:tcBorders>
            <w:vAlign w:val="center"/>
          </w:tcPr>
          <w:p w14:paraId="1FF91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Style w:val="101"/>
                <w:rFonts w:hint="default" w:ascii="Times New Roman" w:hAnsi="Times New Roman" w:cs="Times New Roman"/>
                <w:color w:val="auto"/>
                <w:szCs w:val="21"/>
              </w:rPr>
              <w:t>符号</w:t>
            </w:r>
          </w:p>
        </w:tc>
        <w:tc>
          <w:tcPr>
            <w:tcW w:w="1237" w:type="pct"/>
            <w:tcBorders>
              <w:tl2br w:val="nil"/>
              <w:tr2bl w:val="nil"/>
            </w:tcBorders>
            <w:vAlign w:val="center"/>
          </w:tcPr>
          <w:p w14:paraId="704D6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标准不确定度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mol/mol</w:t>
            </w:r>
          </w:p>
        </w:tc>
        <w:tc>
          <w:tcPr>
            <w:tcW w:w="670" w:type="pct"/>
            <w:tcBorders>
              <w:tl2br w:val="nil"/>
              <w:tr2bl w:val="nil"/>
            </w:tcBorders>
            <w:vAlign w:val="center"/>
          </w:tcPr>
          <w:p w14:paraId="53B84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灵敏系数</w:t>
            </w:r>
            <w:r>
              <w:rPr>
                <w:rStyle w:val="101"/>
                <w:rFonts w:hint="eastAsia" w:eastAsia="宋体" w:cs="Times New Roman"/>
                <w:i/>
                <w:iCs/>
                <w:color w:val="auto"/>
                <w:szCs w:val="21"/>
                <w:lang w:val="en-US" w:eastAsia="zh-CN"/>
              </w:rPr>
              <w:t>c</w:t>
            </w:r>
            <w:r>
              <w:rPr>
                <w:rStyle w:val="101"/>
                <w:rFonts w:hint="eastAsia" w:eastAsia="宋体" w:cs="Times New Roman"/>
                <w:color w:val="auto"/>
                <w:szCs w:val="21"/>
                <w:vertAlign w:val="subscript"/>
                <w:lang w:val="en-US" w:eastAsia="zh-CN"/>
              </w:rPr>
              <w:t>i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50602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不确定度分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mol/mol</w:t>
            </w:r>
          </w:p>
        </w:tc>
      </w:tr>
      <w:tr w14:paraId="2A071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" w:type="pct"/>
            <w:tcBorders>
              <w:tl2br w:val="nil"/>
              <w:tr2bl w:val="nil"/>
            </w:tcBorders>
            <w:vAlign w:val="center"/>
          </w:tcPr>
          <w:p w14:paraId="3BEFC05C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19" w:type="pct"/>
            <w:tcBorders>
              <w:tl2br w:val="nil"/>
              <w:tr2bl w:val="nil"/>
            </w:tcBorders>
            <w:vAlign w:val="center"/>
          </w:tcPr>
          <w:p w14:paraId="75A9A403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测量过程</w:t>
            </w:r>
            <w:r>
              <w:rPr>
                <w:rStyle w:val="27"/>
                <w:rFonts w:hint="eastAsia" w:eastAsia="宋体" w:cs="Times New Roman"/>
                <w:b w:val="0"/>
                <w:sz w:val="21"/>
                <w:szCs w:val="21"/>
                <w:lang w:val="en-US" w:eastAsia="zh-CN"/>
              </w:rPr>
              <w:t>引入的不确定度分量</w:t>
            </w:r>
          </w:p>
        </w:tc>
        <w:tc>
          <w:tcPr>
            <w:tcW w:w="441" w:type="pct"/>
            <w:tcBorders>
              <w:tl2br w:val="nil"/>
              <w:tr2bl w:val="nil"/>
            </w:tcBorders>
            <w:vAlign w:val="center"/>
          </w:tcPr>
          <w:p w14:paraId="0537A07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082" o:spt="75" type="#_x0000_t75" style="height:17pt;width:12pt;" o:ole="t" filled="f" o:preferrelative="t" stroked="f" coordsize="21600,21600">
                  <v:path/>
                  <v:fill on="f" focussize="0,0"/>
                  <v:stroke on="f" joinstyle="miter"/>
                  <v:imagedata r:id="rId109" o:title=""/>
                  <o:lock v:ext="edit" aspectratio="t"/>
                  <w10:wrap type="none"/>
                  <w10:anchorlock/>
                </v:shape>
                <o:OLEObject Type="Embed" ProgID="Equation.KSEE3" ShapeID="_x0000_i1082" DrawAspect="Content" ObjectID="_1468075782" r:id="rId136">
                  <o:LockedField>false</o:LockedField>
                </o:OLEObject>
              </w:object>
            </w:r>
          </w:p>
        </w:tc>
        <w:tc>
          <w:tcPr>
            <w:tcW w:w="1237" w:type="pct"/>
            <w:tcBorders>
              <w:tl2br w:val="nil"/>
              <w:tr2bl w:val="nil"/>
            </w:tcBorders>
            <w:vAlign w:val="center"/>
          </w:tcPr>
          <w:p w14:paraId="4122845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670" w:type="pct"/>
            <w:tcBorders>
              <w:tl2br w:val="nil"/>
              <w:tr2bl w:val="nil"/>
            </w:tcBorders>
            <w:vAlign w:val="center"/>
          </w:tcPr>
          <w:p w14:paraId="433C904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0B19865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0.</w:t>
            </w:r>
            <w:r>
              <w:rPr>
                <w:rFonts w:hint="eastAsia" w:eastAsia="宋体" w:cs="Times New Roman"/>
                <w:szCs w:val="21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%</w:t>
            </w:r>
          </w:p>
        </w:tc>
      </w:tr>
      <w:tr w14:paraId="5852D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" w:type="pct"/>
            <w:tcBorders>
              <w:tl2br w:val="nil"/>
              <w:tr2bl w:val="nil"/>
            </w:tcBorders>
            <w:vAlign w:val="center"/>
          </w:tcPr>
          <w:p w14:paraId="1682F272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1.1</w:t>
            </w:r>
          </w:p>
        </w:tc>
        <w:tc>
          <w:tcPr>
            <w:tcW w:w="1119" w:type="pct"/>
            <w:tcBorders>
              <w:tl2br w:val="nil"/>
              <w:tr2bl w:val="nil"/>
            </w:tcBorders>
            <w:vAlign w:val="center"/>
          </w:tcPr>
          <w:p w14:paraId="5B76970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</w:rPr>
              <w:t>测量重复性</w:t>
            </w:r>
            <w:r>
              <w:rPr>
                <w:rStyle w:val="27"/>
                <w:rFonts w:hint="eastAsia" w:eastAsia="宋体" w:cs="Times New Roman"/>
                <w:b w:val="0"/>
                <w:sz w:val="21"/>
                <w:szCs w:val="21"/>
                <w:lang w:val="en-US" w:eastAsia="zh-CN"/>
              </w:rPr>
              <w:t>引入的不确定度分量</w:t>
            </w:r>
          </w:p>
        </w:tc>
        <w:tc>
          <w:tcPr>
            <w:tcW w:w="441" w:type="pct"/>
            <w:tcBorders>
              <w:tl2br w:val="nil"/>
              <w:tr2bl w:val="nil"/>
            </w:tcBorders>
            <w:vAlign w:val="center"/>
          </w:tcPr>
          <w:p w14:paraId="20F1CD5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083" o:spt="75" type="#_x0000_t75" style="height:17pt;width:15pt;" o:ole="t" filled="f" o:preferrelative="t" stroked="f" coordsize="21600,21600">
                  <v:path/>
                  <v:fill on="f" focussize="0,0"/>
                  <v:stroke on="f"/>
                  <v:imagedata r:id="rId138" o:title=""/>
                  <o:lock v:ext="edit" aspectratio="t"/>
                  <w10:wrap type="none"/>
                  <w10:anchorlock/>
                </v:shape>
                <o:OLEObject Type="Embed" ProgID="Equation.KSEE3" ShapeID="_x0000_i1083" DrawAspect="Content" ObjectID="_1468075783" r:id="rId137">
                  <o:LockedField>false</o:LockedField>
                </o:OLEObject>
              </w:object>
            </w:r>
          </w:p>
        </w:tc>
        <w:tc>
          <w:tcPr>
            <w:tcW w:w="1237" w:type="pct"/>
            <w:tcBorders>
              <w:tl2br w:val="nil"/>
              <w:tr2bl w:val="nil"/>
            </w:tcBorders>
            <w:vAlign w:val="center"/>
          </w:tcPr>
          <w:p w14:paraId="27191B3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0.</w:t>
            </w:r>
            <w:r>
              <w:rPr>
                <w:rFonts w:hint="eastAsia" w:eastAsia="宋体" w:cs="Times New Roman"/>
                <w:szCs w:val="21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%</w:t>
            </w:r>
          </w:p>
        </w:tc>
        <w:tc>
          <w:tcPr>
            <w:tcW w:w="670" w:type="pct"/>
            <w:tcBorders>
              <w:tl2br w:val="nil"/>
              <w:tr2bl w:val="nil"/>
            </w:tcBorders>
            <w:vAlign w:val="center"/>
          </w:tcPr>
          <w:p w14:paraId="2E141EC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3024CA0E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/</w:t>
            </w:r>
          </w:p>
        </w:tc>
      </w:tr>
      <w:tr w14:paraId="35D95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" w:type="pct"/>
            <w:tcBorders>
              <w:tl2br w:val="nil"/>
              <w:tr2bl w:val="nil"/>
            </w:tcBorders>
            <w:vAlign w:val="center"/>
          </w:tcPr>
          <w:p w14:paraId="3A0131E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1.2</w:t>
            </w:r>
          </w:p>
        </w:tc>
        <w:tc>
          <w:tcPr>
            <w:tcW w:w="1119" w:type="pct"/>
            <w:tcBorders>
              <w:tl2br w:val="nil"/>
              <w:tr2bl w:val="nil"/>
            </w:tcBorders>
            <w:vAlign w:val="center"/>
          </w:tcPr>
          <w:p w14:paraId="560373B7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检测</w:t>
            </w:r>
            <w:r>
              <w:rPr>
                <w:rStyle w:val="27"/>
                <w:rFonts w:hint="eastAsia" w:eastAsia="宋体" w:cs="Times New Roman"/>
                <w:b w:val="0"/>
                <w:sz w:val="21"/>
                <w:szCs w:val="21"/>
                <w:lang w:val="en-US" w:eastAsia="zh-CN"/>
              </w:rPr>
              <w:t>仪</w:t>
            </w: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</w:rPr>
              <w:t>分辨力</w:t>
            </w:r>
            <w:r>
              <w:rPr>
                <w:rStyle w:val="27"/>
                <w:rFonts w:hint="eastAsia" w:eastAsia="宋体" w:cs="Times New Roman"/>
                <w:b w:val="0"/>
                <w:sz w:val="21"/>
                <w:szCs w:val="21"/>
                <w:lang w:val="en-US" w:eastAsia="zh-CN"/>
              </w:rPr>
              <w:t>引入的不确定度分量</w:t>
            </w:r>
          </w:p>
        </w:tc>
        <w:tc>
          <w:tcPr>
            <w:tcW w:w="441" w:type="pct"/>
            <w:tcBorders>
              <w:tl2br w:val="nil"/>
              <w:tr2bl w:val="nil"/>
            </w:tcBorders>
            <w:vAlign w:val="center"/>
          </w:tcPr>
          <w:p w14:paraId="580DEAD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084" o:spt="75" type="#_x0000_t75" style="height:17pt;width:16pt;" o:ole="t" filled="f" o:preferrelative="t" stroked="f" coordsize="21600,21600">
                  <v:path/>
                  <v:fill on="f" focussize="0,0"/>
                  <v:stroke on="f"/>
                  <v:imagedata r:id="rId140" o:title=""/>
                  <o:lock v:ext="edit" aspectratio="t"/>
                  <w10:wrap type="none"/>
                  <w10:anchorlock/>
                </v:shape>
                <o:OLEObject Type="Embed" ProgID="Equation.KSEE3" ShapeID="_x0000_i1084" DrawAspect="Content" ObjectID="_1468075784" r:id="rId139">
                  <o:LockedField>false</o:LockedField>
                </o:OLEObject>
              </w:object>
            </w:r>
          </w:p>
        </w:tc>
        <w:tc>
          <w:tcPr>
            <w:tcW w:w="1237" w:type="pct"/>
            <w:tcBorders>
              <w:tl2br w:val="nil"/>
              <w:tr2bl w:val="nil"/>
            </w:tcBorders>
            <w:vAlign w:val="center"/>
          </w:tcPr>
          <w:p w14:paraId="5DCFECE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0.29%</w:t>
            </w:r>
          </w:p>
        </w:tc>
        <w:tc>
          <w:tcPr>
            <w:tcW w:w="670" w:type="pct"/>
            <w:tcBorders>
              <w:tl2br w:val="nil"/>
              <w:tr2bl w:val="nil"/>
            </w:tcBorders>
            <w:vAlign w:val="center"/>
          </w:tcPr>
          <w:p w14:paraId="5E787C2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059268D1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/</w:t>
            </w:r>
          </w:p>
        </w:tc>
      </w:tr>
      <w:tr w14:paraId="0EEC6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" w:type="pct"/>
            <w:tcBorders>
              <w:tl2br w:val="nil"/>
              <w:tr2bl w:val="nil"/>
            </w:tcBorders>
            <w:vAlign w:val="center"/>
          </w:tcPr>
          <w:p w14:paraId="28DB1C94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19" w:type="pct"/>
            <w:tcBorders>
              <w:tl2br w:val="nil"/>
              <w:tr2bl w:val="nil"/>
            </w:tcBorders>
            <w:vAlign w:val="center"/>
          </w:tcPr>
          <w:p w14:paraId="0DE53C41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标准气体不确定度</w:t>
            </w:r>
            <w:r>
              <w:rPr>
                <w:rStyle w:val="27"/>
                <w:rFonts w:hint="eastAsia" w:eastAsia="宋体" w:cs="Times New Roman"/>
                <w:b w:val="0"/>
                <w:sz w:val="21"/>
                <w:szCs w:val="21"/>
                <w:lang w:val="en-US" w:eastAsia="zh-CN"/>
              </w:rPr>
              <w:t>引入的不</w:t>
            </w:r>
            <w:r>
              <w:rPr>
                <w:rStyle w:val="27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确定</w:t>
            </w:r>
            <w:r>
              <w:rPr>
                <w:rStyle w:val="27"/>
                <w:rFonts w:hint="eastAsia" w:eastAsia="宋体" w:cs="Times New Roman"/>
                <w:b w:val="0"/>
                <w:sz w:val="21"/>
                <w:szCs w:val="21"/>
                <w:lang w:val="en-US" w:eastAsia="zh-CN"/>
              </w:rPr>
              <w:t>度分量</w:t>
            </w:r>
          </w:p>
        </w:tc>
        <w:tc>
          <w:tcPr>
            <w:tcW w:w="441" w:type="pct"/>
            <w:tcBorders>
              <w:tl2br w:val="nil"/>
              <w:tr2bl w:val="nil"/>
            </w:tcBorders>
            <w:vAlign w:val="center"/>
          </w:tcPr>
          <w:p w14:paraId="6DE7B1D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085" o:spt="75" type="#_x0000_t75" style="height:17pt;width:13pt;" o:ole="t" filled="f" o:preferrelative="t" stroked="f" coordsize="21600,21600">
                  <v:path/>
                  <v:fill on="f" focussize="0,0"/>
                  <v:stroke on="f" joinstyle="miter"/>
                  <v:imagedata r:id="rId115" o:title=""/>
                  <o:lock v:ext="edit" aspectratio="t"/>
                  <w10:wrap type="none"/>
                  <w10:anchorlock/>
                </v:shape>
                <o:OLEObject Type="Embed" ProgID="Equation.KSEE3" ShapeID="_x0000_i1085" DrawAspect="Content" ObjectID="_1468075785" r:id="rId141">
                  <o:LockedField>false</o:LockedField>
                </o:OLEObject>
              </w:object>
            </w:r>
          </w:p>
        </w:tc>
        <w:tc>
          <w:tcPr>
            <w:tcW w:w="1237" w:type="pct"/>
            <w:tcBorders>
              <w:tl2br w:val="nil"/>
              <w:tr2bl w:val="nil"/>
            </w:tcBorders>
            <w:vAlign w:val="center"/>
          </w:tcPr>
          <w:p w14:paraId="3D7179C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0.</w:t>
            </w:r>
            <w:r>
              <w:rPr>
                <w:rFonts w:hint="eastAsia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%</w:t>
            </w:r>
          </w:p>
        </w:tc>
        <w:tc>
          <w:tcPr>
            <w:tcW w:w="670" w:type="pct"/>
            <w:tcBorders>
              <w:tl2br w:val="nil"/>
              <w:tr2bl w:val="nil"/>
            </w:tcBorders>
            <w:vAlign w:val="center"/>
          </w:tcPr>
          <w:p w14:paraId="1162E2E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-1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53A874D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-0.</w:t>
            </w:r>
            <w:r>
              <w:rPr>
                <w:rFonts w:hint="eastAsia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%</w:t>
            </w:r>
          </w:p>
        </w:tc>
      </w:tr>
    </w:tbl>
    <w:p w14:paraId="4BF5E3DA">
      <w:pPr>
        <w:pStyle w:val="43"/>
        <w:spacing w:before="156" w:beforeLines="50" w:after="156" w:afterLines="50"/>
        <w:ind w:firstLine="0" w:firstLineChars="0"/>
        <w:outlineLvl w:val="0"/>
        <w:rPr>
          <w:rFonts w:eastAsia="黑体" w:cs="宋体"/>
          <w:bCs/>
          <w:szCs w:val="24"/>
        </w:rPr>
      </w:pPr>
      <w:bookmarkStart w:id="328" w:name="_Toc10184"/>
      <w:bookmarkStart w:id="329" w:name="_Toc29016"/>
      <w:bookmarkStart w:id="330" w:name="_Toc1654"/>
      <w:bookmarkStart w:id="331" w:name="_Toc4312"/>
      <w:r>
        <w:rPr>
          <w:rFonts w:hint="eastAsia"/>
          <w:szCs w:val="24"/>
        </w:rPr>
        <w:t>C</w:t>
      </w:r>
      <w:r>
        <w:rPr>
          <w:szCs w:val="24"/>
        </w:rPr>
        <w:t>.</w:t>
      </w:r>
      <w:r>
        <w:rPr>
          <w:rFonts w:hint="eastAsia"/>
          <w:szCs w:val="24"/>
        </w:rPr>
        <w:t xml:space="preserve">6  </w:t>
      </w:r>
      <w:r>
        <w:rPr>
          <w:rFonts w:hint="eastAsia" w:eastAsia="黑体"/>
          <w:szCs w:val="24"/>
        </w:rPr>
        <w:t>合成</w:t>
      </w:r>
      <w:r>
        <w:rPr>
          <w:rFonts w:hint="eastAsia" w:eastAsia="黑体" w:cs="宋体"/>
          <w:bCs/>
          <w:szCs w:val="24"/>
        </w:rPr>
        <w:t>标准不确定度的计算</w:t>
      </w:r>
      <w:bookmarkEnd w:id="328"/>
      <w:bookmarkEnd w:id="329"/>
      <w:bookmarkEnd w:id="330"/>
      <w:bookmarkEnd w:id="331"/>
    </w:p>
    <w:p w14:paraId="15C6489D">
      <w:pPr>
        <w:pStyle w:val="43"/>
        <w:ind w:firstLine="480"/>
        <w:rPr>
          <w:rFonts w:eastAsia="黑体" w:cs="宋体"/>
          <w:bCs/>
          <w:szCs w:val="24"/>
        </w:rPr>
      </w:pPr>
      <w:r>
        <w:rPr>
          <w:rFonts w:hint="eastAsia" w:cs="宋体"/>
          <w:szCs w:val="24"/>
        </w:rPr>
        <w:t>合成标准不确定度</w:t>
      </w:r>
      <w:r>
        <w:rPr>
          <w:position w:val="-12"/>
          <w:vertAlign w:val="subscript"/>
        </w:rPr>
        <w:object>
          <v:shape id="_x0000_i1086" o:spt="75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KSEE3" ShapeID="_x0000_i1086" DrawAspect="Content" ObjectID="_1468075786" r:id="rId142">
            <o:LockedField>false</o:LockedField>
          </o:OLEObject>
        </w:object>
      </w:r>
      <w:r>
        <w:rPr>
          <w:rFonts w:hint="eastAsia" w:cs="宋体"/>
          <w:szCs w:val="24"/>
        </w:rPr>
        <w:t>按下式计算</w:t>
      </w:r>
      <w:r>
        <w:rPr>
          <w:rFonts w:hint="eastAsia" w:ascii="宋体" w:hAnsi="宋体" w:cs="宋体"/>
          <w:bCs/>
          <w:szCs w:val="24"/>
        </w:rPr>
        <w:t>：</w:t>
      </w:r>
    </w:p>
    <w:p w14:paraId="62A2B560">
      <w:pPr>
        <w:spacing w:line="360" w:lineRule="auto"/>
        <w:ind w:firstLine="480" w:firstLineChars="200"/>
        <w:jc w:val="center"/>
        <w:rPr>
          <w:rFonts w:ascii="宋体" w:hAnsi="宋体" w:eastAsia="宋体" w:cs="宋体"/>
          <w:bCs/>
          <w:sz w:val="24"/>
        </w:rPr>
      </w:pPr>
      <w:r>
        <w:rPr>
          <w:rFonts w:hint="default" w:ascii="Times New Roman" w:hAnsi="Times New Roman" w:eastAsia="宋体" w:cs="Times New Roman"/>
          <w:i w:val="0"/>
          <w:iCs/>
          <w:position w:val="-12"/>
          <w:sz w:val="24"/>
        </w:rPr>
        <w:object>
          <v:shape id="_x0000_i1087" o:spt="75" type="#_x0000_t75" style="height:22pt;width:193.95pt;" o:ole="t" filled="f" o:preferrelative="t" stroked="f" coordsize="21600,21600">
            <v:path/>
            <v:fill on="f" focussize="0,0"/>
            <v:stroke on="f"/>
            <v:imagedata r:id="rId145" o:title=""/>
            <o:lock v:ext="edit" aspectratio="t"/>
            <w10:wrap type="none"/>
            <w10:anchorlock/>
          </v:shape>
          <o:OLEObject Type="Embed" ProgID="Equation.KSEE3" ShapeID="_x0000_i1087" DrawAspect="Content" ObjectID="_1468075787" r:id="rId144">
            <o:LockedField>false</o:LockedField>
          </o:OLEObject>
        </w:object>
      </w:r>
    </w:p>
    <w:p w14:paraId="21C4149C">
      <w:pPr>
        <w:pStyle w:val="43"/>
        <w:spacing w:before="156" w:beforeLines="50" w:after="156" w:afterLines="50"/>
        <w:ind w:firstLine="0" w:firstLineChars="0"/>
        <w:rPr>
          <w:szCs w:val="24"/>
        </w:rPr>
      </w:pPr>
      <w:r>
        <w:rPr>
          <w:rFonts w:hint="eastAsia"/>
          <w:szCs w:val="24"/>
        </w:rPr>
        <w:t xml:space="preserve">C.7  </w:t>
      </w:r>
      <w:r>
        <w:rPr>
          <w:rFonts w:hint="eastAsia" w:ascii="黑体" w:hAnsi="黑体" w:eastAsia="黑体" w:cs="黑体"/>
          <w:szCs w:val="24"/>
        </w:rPr>
        <w:t>扩展不确定度的评定</w:t>
      </w:r>
    </w:p>
    <w:p w14:paraId="31EA71E4">
      <w:pPr>
        <w:pStyle w:val="43"/>
        <w:ind w:firstLine="480"/>
        <w:rPr>
          <w:position w:val="-10"/>
          <w:szCs w:val="24"/>
        </w:rPr>
      </w:pPr>
      <w:r>
        <w:rPr>
          <w:rFonts w:hint="eastAsia"/>
          <w:position w:val="-10"/>
          <w:szCs w:val="24"/>
        </w:rPr>
        <w:t>取包含因子</w:t>
      </w:r>
      <w:r>
        <w:rPr>
          <w:rFonts w:hint="eastAsia"/>
          <w:i/>
          <w:iCs/>
          <w:position w:val="-10"/>
          <w:szCs w:val="24"/>
        </w:rPr>
        <w:t>k</w:t>
      </w:r>
      <w:r>
        <w:rPr>
          <w:rFonts w:hint="eastAsia"/>
          <w:position w:val="-10"/>
          <w:szCs w:val="24"/>
        </w:rPr>
        <w:t>=2，示值误差测量结果扩展不确定度为：</w:t>
      </w:r>
    </w:p>
    <w:p w14:paraId="3D6916A7">
      <w:pPr>
        <w:pStyle w:val="43"/>
        <w:ind w:firstLine="480"/>
        <w:jc w:val="center"/>
        <w:rPr>
          <w:rFonts w:ascii="Cambria Math" w:hAnsi="Cambria Math"/>
          <w:i/>
          <w:position w:val="-12"/>
          <w:szCs w:val="24"/>
        </w:rPr>
      </w:pPr>
      <w:r>
        <w:rPr>
          <w:rFonts w:hint="default" w:ascii="Times New Roman" w:hAnsi="Times New Roman" w:cs="Times New Roman"/>
          <w:i w:val="0"/>
          <w:iCs/>
          <w:position w:val="-12"/>
          <w:szCs w:val="24"/>
        </w:rPr>
        <w:object>
          <v:shape id="_x0000_i1088" o:spt="75" type="#_x0000_t75" style="height:18pt;width:125pt;" o:ole="t" filled="f" o:preferrelative="t" stroked="f" coordsize="21600,21600">
            <v:path/>
            <v:fill on="f" focussize="0,0"/>
            <v:stroke on="f"/>
            <v:imagedata r:id="rId147" o:title=""/>
            <o:lock v:ext="edit" aspectratio="t"/>
            <w10:wrap type="none"/>
            <w10:anchorlock/>
          </v:shape>
          <o:OLEObject Type="Embed" ProgID="Equation.KSEE3" ShapeID="_x0000_i1088" DrawAspect="Content" ObjectID="_1468075788" r:id="rId146">
            <o:LockedField>false</o:LockedField>
          </o:OLEObject>
        </w:object>
      </w:r>
    </w:p>
    <w:p w14:paraId="24A81DAA">
      <w:pPr>
        <w:pStyle w:val="43"/>
        <w:ind w:firstLine="480"/>
        <w:jc w:val="left"/>
        <w:rPr>
          <w:iCs/>
          <w:position w:val="-12"/>
          <w:szCs w:val="24"/>
        </w:rPr>
      </w:pPr>
      <w:r>
        <w:rPr>
          <w:iCs/>
          <w:position w:val="-12"/>
          <w:szCs w:val="24"/>
        </w:rPr>
        <w:t>则相对扩展不确定度为：</w:t>
      </w:r>
    </w:p>
    <w:p w14:paraId="49E2A50E">
      <w:pPr>
        <w:pStyle w:val="43"/>
        <w:ind w:firstLine="480"/>
        <w:jc w:val="center"/>
        <w:rPr>
          <w:iCs/>
          <w:position w:val="-12"/>
          <w:szCs w:val="24"/>
        </w:rPr>
      </w:pPr>
      <w:r>
        <w:rPr>
          <w:rFonts w:hint="default" w:ascii="Times New Roman" w:hAnsi="Times New Roman" w:cs="Times New Roman"/>
          <w:i w:val="0"/>
          <w:iCs/>
          <w:position w:val="-12"/>
          <w:szCs w:val="24"/>
        </w:rPr>
        <w:object>
          <v:shape id="_x0000_i1089" o:spt="75" type="#_x0000_t75" style="height:18pt;width:219pt;" o:ole="t" filled="f" o:preferrelative="t" stroked="f" coordsize="21600,21600">
            <v:path/>
            <v:fill on="f" focussize="0,0"/>
            <v:stroke on="f"/>
            <v:imagedata r:id="rId149" o:title=""/>
            <o:lock v:ext="edit" aspectratio="t"/>
            <w10:wrap type="none"/>
            <w10:anchorlock/>
          </v:shape>
          <o:OLEObject Type="Embed" ProgID="Equation.KSEE3" ShapeID="_x0000_i1089" DrawAspect="Content" ObjectID="_1468075789" r:id="rId148">
            <o:LockedField>false</o:LockedField>
          </o:OLEObject>
        </w:object>
      </w:r>
    </w:p>
    <w:p w14:paraId="698216DC">
      <w:pPr>
        <w:pStyle w:val="43"/>
        <w:ind w:firstLine="480"/>
        <w:rPr>
          <w:iCs/>
          <w:position w:val="-12"/>
          <w:szCs w:val="24"/>
        </w:rPr>
      </w:pPr>
      <w:r>
        <w:rPr>
          <w:rFonts w:hint="eastAsia"/>
          <w:iCs/>
          <w:position w:val="-12"/>
          <w:szCs w:val="24"/>
        </w:rPr>
        <w:t>故，该</w:t>
      </w:r>
      <w:r>
        <w:rPr>
          <w:rFonts w:hint="eastAsia"/>
          <w:iCs/>
          <w:position w:val="-12"/>
          <w:szCs w:val="24"/>
          <w:lang w:val="en-US" w:eastAsia="zh-CN"/>
        </w:rPr>
        <w:t>二氧化碳</w:t>
      </w:r>
      <w:r>
        <w:rPr>
          <w:rFonts w:hint="eastAsia"/>
          <w:iCs/>
          <w:position w:val="-12"/>
          <w:szCs w:val="24"/>
        </w:rPr>
        <w:t>浓度检测报警仪在</w:t>
      </w:r>
      <w:r>
        <w:rPr>
          <w:rFonts w:hint="eastAsia"/>
          <w:iCs/>
          <w:position w:val="-12"/>
          <w:szCs w:val="24"/>
          <w:lang w:val="en-US" w:eastAsia="zh-CN"/>
        </w:rPr>
        <w:t>5</w:t>
      </w:r>
      <w:r>
        <w:rPr>
          <w:rFonts w:hint="eastAsia"/>
          <w:iCs/>
          <w:position w:val="-12"/>
          <w:szCs w:val="24"/>
        </w:rPr>
        <w:t>0%mol/mol校准点的</w:t>
      </w:r>
      <w:r>
        <w:rPr>
          <w:rFonts w:hint="eastAsia"/>
          <w:iCs/>
          <w:position w:val="-12"/>
          <w:szCs w:val="24"/>
          <w:lang w:val="en-US" w:eastAsia="zh-CN"/>
        </w:rPr>
        <w:t>校准结果</w:t>
      </w:r>
      <w:r>
        <w:rPr>
          <w:rFonts w:hint="eastAsia"/>
          <w:iCs/>
          <w:position w:val="-12"/>
          <w:szCs w:val="24"/>
        </w:rPr>
        <w:t>为</w:t>
      </w:r>
      <w:r>
        <w:rPr>
          <w:rFonts w:hint="eastAsia"/>
          <w:iCs/>
          <w:position w:val="-12"/>
          <w:szCs w:val="24"/>
          <w:lang w:val="en-US" w:eastAsia="zh-CN"/>
        </w:rPr>
        <w:t>50.7</w:t>
      </w:r>
      <w:r>
        <w:rPr>
          <w:rFonts w:hint="eastAsia"/>
          <w:iCs/>
          <w:position w:val="-12"/>
          <w:szCs w:val="24"/>
        </w:rPr>
        <w:t>%mol/mol，其扩展不确定度为：</w:t>
      </w:r>
      <w:r>
        <w:rPr>
          <w:rFonts w:hint="eastAsia"/>
          <w:i/>
          <w:position w:val="-12"/>
          <w:szCs w:val="24"/>
        </w:rPr>
        <w:t>U</w:t>
      </w:r>
      <w:r>
        <w:rPr>
          <w:rFonts w:hint="eastAsia"/>
          <w:iCs/>
          <w:position w:val="-12"/>
          <w:szCs w:val="24"/>
          <w:vertAlign w:val="subscript"/>
        </w:rPr>
        <w:t>rel</w:t>
      </w:r>
      <w:r>
        <w:rPr>
          <w:rFonts w:hint="eastAsia"/>
          <w:iCs/>
          <w:position w:val="-12"/>
          <w:szCs w:val="24"/>
        </w:rPr>
        <w:t>=</w:t>
      </w:r>
      <w:r>
        <w:rPr>
          <w:rFonts w:hint="eastAsia"/>
          <w:iCs/>
          <w:position w:val="-12"/>
          <w:szCs w:val="24"/>
          <w:lang w:val="en-US" w:eastAsia="zh-CN"/>
        </w:rPr>
        <w:t>3</w:t>
      </w:r>
      <w:r>
        <w:rPr>
          <w:rFonts w:hint="eastAsia"/>
          <w:iCs/>
          <w:position w:val="-12"/>
          <w:szCs w:val="24"/>
        </w:rPr>
        <w:t>%，</w:t>
      </w:r>
      <w:r>
        <w:rPr>
          <w:rFonts w:hint="eastAsia"/>
          <w:i/>
          <w:position w:val="-12"/>
          <w:szCs w:val="24"/>
        </w:rPr>
        <w:t>k</w:t>
      </w:r>
      <w:r>
        <w:rPr>
          <w:rFonts w:hint="eastAsia"/>
          <w:iCs/>
          <w:position w:val="-12"/>
          <w:szCs w:val="24"/>
        </w:rPr>
        <w:t xml:space="preserve">=2。  </w:t>
      </w:r>
    </w:p>
    <w:p w14:paraId="7B528724">
      <w:pPr>
        <w:rPr>
          <w:rFonts w:cs="宋体"/>
          <w:position w:val="-10"/>
          <w:sz w:val="24"/>
        </w:rPr>
      </w:pPr>
      <w:bookmarkStart w:id="332" w:name="_Toc5293"/>
      <w:bookmarkStart w:id="333" w:name="_Toc7812"/>
      <w:bookmarkStart w:id="334" w:name="_Toc13778"/>
    </w:p>
    <w:bookmarkEnd w:id="332"/>
    <w:bookmarkEnd w:id="333"/>
    <w:bookmarkEnd w:id="334"/>
    <w:p w14:paraId="785602D5">
      <w:pPr>
        <w:rPr>
          <w:position w:val="-6"/>
          <w:sz w:val="28"/>
          <w:szCs w:val="28"/>
        </w:rPr>
      </w:pPr>
      <w:r>
        <w:rPr>
          <w:rFonts w:hint="eastAsia"/>
          <w:position w:val="-6"/>
          <w:sz w:val="28"/>
          <w:szCs w:val="28"/>
        </w:rPr>
        <w:br w:type="page"/>
      </w:r>
    </w:p>
    <w:p w14:paraId="3F5FEC3B">
      <w:pPr>
        <w:spacing w:before="240" w:after="60"/>
        <w:outlineLvl w:val="0"/>
        <w:rPr>
          <w:rFonts w:ascii="黑体" w:hAnsi="黑体" w:eastAsia="黑体"/>
          <w:sz w:val="28"/>
          <w:szCs w:val="28"/>
        </w:rPr>
      </w:pPr>
      <w:bookmarkStart w:id="335" w:name="_Toc20808"/>
      <w:r>
        <w:rPr>
          <w:rFonts w:ascii="黑体" w:hAnsi="黑体" w:eastAsia="黑体"/>
          <w:sz w:val="28"/>
          <w:szCs w:val="28"/>
        </w:rPr>
        <w:t>附录</w:t>
      </w:r>
      <w:r>
        <w:rPr>
          <w:rFonts w:hint="eastAsia" w:ascii="黑体" w:hAnsi="黑体" w:eastAsia="黑体"/>
          <w:sz w:val="28"/>
          <w:szCs w:val="28"/>
        </w:rPr>
        <w:t>D</w:t>
      </w:r>
      <w:bookmarkEnd w:id="335"/>
      <w:r>
        <w:rPr>
          <w:rFonts w:ascii="黑体" w:hAnsi="黑体" w:eastAsia="黑体"/>
          <w:sz w:val="28"/>
          <w:szCs w:val="28"/>
        </w:rPr>
        <w:t xml:space="preserve"> </w:t>
      </w:r>
    </w:p>
    <w:p w14:paraId="0B42E50E">
      <w:pPr>
        <w:pStyle w:val="3"/>
        <w:jc w:val="center"/>
        <w:outlineLvl w:val="0"/>
      </w:pPr>
      <w:bookmarkStart w:id="336" w:name="_Toc11400"/>
      <w:r>
        <w:rPr>
          <w:rFonts w:hint="eastAsia"/>
          <w:lang w:val="en-US" w:eastAsia="zh-CN"/>
        </w:rPr>
        <w:t>二氧化碳</w:t>
      </w:r>
      <w:r>
        <w:rPr>
          <w:rFonts w:hint="eastAsia"/>
        </w:rPr>
        <w:t>浓度检测报警仪变送输出误差的</w:t>
      </w:r>
      <w:r>
        <w:rPr>
          <w:rFonts w:hint="eastAsia"/>
          <w:lang w:val="en-US" w:eastAsia="zh-CN"/>
        </w:rPr>
        <w:t>测量</w:t>
      </w:r>
      <w:r>
        <w:rPr>
          <w:rFonts w:hint="eastAsia"/>
        </w:rPr>
        <w:t>不确定度评定示例</w:t>
      </w:r>
      <w:bookmarkEnd w:id="336"/>
    </w:p>
    <w:p w14:paraId="5D957B4A">
      <w:pPr>
        <w:pStyle w:val="43"/>
        <w:spacing w:before="156" w:beforeLines="50" w:after="156" w:afterLines="50"/>
        <w:ind w:firstLine="0" w:firstLineChars="0"/>
      </w:pPr>
      <w:r>
        <w:rPr>
          <w:rFonts w:hint="eastAsia"/>
        </w:rPr>
        <w:t xml:space="preserve">D.1 </w:t>
      </w:r>
      <w:r>
        <w:rPr>
          <w:rFonts w:hint="eastAsia" w:ascii="黑体" w:hAnsi="黑体" w:eastAsia="黑体" w:cs="黑体"/>
        </w:rPr>
        <w:t>概述</w:t>
      </w:r>
    </w:p>
    <w:p w14:paraId="5CFD8C1C">
      <w:pPr>
        <w:pStyle w:val="43"/>
        <w:spacing w:before="156" w:beforeLines="50" w:after="156" w:afterLines="50"/>
        <w:ind w:firstLine="0" w:firstLineChars="0"/>
        <w:rPr>
          <w:rFonts w:hint="eastAsia"/>
          <w:lang w:val="en-US" w:eastAsia="zh-CN"/>
        </w:rPr>
      </w:pPr>
      <w:r>
        <w:rPr>
          <w:rFonts w:hint="eastAsia"/>
        </w:rPr>
        <w:t>D</w:t>
      </w:r>
      <w:r>
        <w:t>.1.</w:t>
      </w:r>
      <w:r>
        <w:rPr>
          <w:rFonts w:hint="eastAsia"/>
        </w:rPr>
        <w:t xml:space="preserve">1 </w:t>
      </w:r>
      <w:r>
        <w:rPr>
          <w:rFonts w:hint="eastAsia"/>
          <w:lang w:val="en-US" w:eastAsia="zh-CN"/>
        </w:rPr>
        <w:t>校准依据</w:t>
      </w:r>
    </w:p>
    <w:p w14:paraId="783B5C3A">
      <w:pPr>
        <w:pStyle w:val="43"/>
        <w:spacing w:before="156" w:beforeLines="50" w:after="156" w:afterLines="50"/>
        <w:ind w:firstLine="480" w:firstLineChars="200"/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本规范</w:t>
      </w:r>
      <w:r>
        <w:rPr>
          <w:rFonts w:hint="eastAsia" w:cs="Times New Roman"/>
          <w:sz w:val="24"/>
          <w:szCs w:val="24"/>
          <w:lang w:val="en-US" w:eastAsia="zh-CN"/>
        </w:rPr>
        <w:t>。</w:t>
      </w:r>
    </w:p>
    <w:p w14:paraId="0529D354">
      <w:pPr>
        <w:pStyle w:val="43"/>
        <w:spacing w:before="156" w:beforeLines="50" w:after="156" w:afterLines="50"/>
        <w:ind w:firstLine="0" w:firstLineChars="0"/>
      </w:pPr>
      <w:r>
        <w:rPr>
          <w:rFonts w:hint="eastAsia"/>
        </w:rPr>
        <w:t>D</w:t>
      </w:r>
      <w:r>
        <w:t xml:space="preserve">.1.2 </w:t>
      </w:r>
      <w:r>
        <w:rPr>
          <w:rFonts w:hint="eastAsia"/>
          <w:lang w:val="en-US" w:eastAsia="zh-CN"/>
        </w:rPr>
        <w:t>被校对象</w:t>
      </w:r>
    </w:p>
    <w:p w14:paraId="3A50F519">
      <w:pPr>
        <w:pStyle w:val="43"/>
        <w:spacing w:before="156" w:beforeLines="50" w:after="156" w:afterLines="50"/>
        <w:ind w:firstLine="480" w:firstLineChars="200"/>
      </w:pPr>
      <w:r>
        <w:rPr>
          <w:rFonts w:hint="eastAsia"/>
          <w:bCs/>
        </w:rPr>
        <w:t>测量范围（0～100%）mol/mol，变送输出信号为（4～20）mA</w:t>
      </w:r>
      <w:r>
        <w:rPr>
          <w:rFonts w:hint="eastAsia"/>
          <w:bCs/>
          <w:lang w:val="en-US" w:eastAsia="zh-CN"/>
        </w:rPr>
        <w:t>的二氧化碳浓度检测报警仪</w:t>
      </w:r>
      <w:r>
        <w:rPr>
          <w:rFonts w:hint="eastAsia"/>
          <w:bCs/>
          <w:lang w:eastAsia="zh-CN"/>
        </w:rPr>
        <w:t>。</w:t>
      </w:r>
    </w:p>
    <w:p w14:paraId="00544445">
      <w:pPr>
        <w:pStyle w:val="43"/>
        <w:spacing w:before="156" w:beforeLines="50" w:after="156" w:afterLines="50"/>
        <w:ind w:firstLine="0" w:firstLineChars="0"/>
      </w:pPr>
      <w:r>
        <w:rPr>
          <w:rFonts w:hint="eastAsia"/>
        </w:rPr>
        <w:t>D</w:t>
      </w:r>
      <w:r>
        <w:t>.1.3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测量</w:t>
      </w:r>
      <w:r>
        <w:t>标准</w:t>
      </w:r>
    </w:p>
    <w:p w14:paraId="2A81ADF5">
      <w:pPr>
        <w:pStyle w:val="43"/>
        <w:ind w:firstLine="638" w:firstLineChars="266"/>
      </w:pPr>
      <w:r>
        <w:rPr>
          <w:rFonts w:hint="eastAsia"/>
        </w:rPr>
        <w:t>表D.1给出了</w:t>
      </w:r>
      <w:r>
        <w:rPr>
          <w:rFonts w:hint="eastAsia"/>
          <w:lang w:val="en-US" w:eastAsia="zh-CN"/>
        </w:rPr>
        <w:t>测量</w:t>
      </w:r>
      <w:r>
        <w:rPr>
          <w:rFonts w:hint="eastAsia"/>
        </w:rPr>
        <w:t>标准及主要技术指标。</w:t>
      </w:r>
    </w:p>
    <w:p w14:paraId="0AC9E79C">
      <w:pPr>
        <w:spacing w:line="360" w:lineRule="auto"/>
        <w:jc w:val="center"/>
        <w:rPr>
          <w:rFonts w:eastAsia="宋体"/>
        </w:rPr>
      </w:pPr>
      <w:r>
        <w:rPr>
          <w:rStyle w:val="102"/>
          <w:rFonts w:hint="default"/>
          <w:color w:val="auto"/>
        </w:rPr>
        <w:t>表D.1 测量标准技术指标</w:t>
      </w:r>
    </w:p>
    <w:tbl>
      <w:tblPr>
        <w:tblStyle w:val="24"/>
        <w:tblW w:w="499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2"/>
        <w:gridCol w:w="2728"/>
        <w:gridCol w:w="5963"/>
      </w:tblGrid>
      <w:tr w14:paraId="1E949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872E08">
            <w:pPr>
              <w:jc w:val="center"/>
              <w:rPr>
                <w:rStyle w:val="101"/>
                <w:color w:val="auto"/>
                <w:lang w:val="zh-TW" w:eastAsia="zh-TW"/>
              </w:rPr>
            </w:pPr>
            <w:r>
              <w:rPr>
                <w:rStyle w:val="101"/>
                <w:color w:val="auto"/>
                <w:lang w:val="zh-TW" w:eastAsia="zh-TW"/>
              </w:rPr>
              <w:t>序号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94D80BF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 w:eastAsia="宋体"/>
                <w:color w:val="auto"/>
                <w:lang w:val="en-US" w:eastAsia="zh-CN"/>
              </w:rPr>
              <w:t>校准</w:t>
            </w:r>
            <w:r>
              <w:rPr>
                <w:rStyle w:val="101"/>
                <w:color w:val="auto"/>
              </w:rPr>
              <w:t>标准或设备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AE4455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主要技术指标</w:t>
            </w:r>
          </w:p>
        </w:tc>
      </w:tr>
      <w:tr w14:paraId="2046E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2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973395">
            <w:pPr>
              <w:jc w:val="center"/>
              <w:rPr>
                <w:rStyle w:val="101"/>
                <w:color w:val="auto"/>
                <w:lang w:val="zh-TW" w:eastAsia="zh-TW"/>
              </w:rPr>
            </w:pPr>
            <w:r>
              <w:rPr>
                <w:rStyle w:val="101"/>
                <w:color w:val="auto"/>
                <w:lang w:val="zh-TW" w:eastAsia="zh-TW"/>
              </w:rPr>
              <w:t>1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52100D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rFonts w:hint="eastAsia" w:eastAsia="宋体"/>
                <w:color w:val="auto"/>
                <w:lang w:val="en-US" w:eastAsia="zh-CN"/>
              </w:rPr>
              <w:t>氮</w:t>
            </w:r>
            <w:r>
              <w:rPr>
                <w:rStyle w:val="101"/>
                <w:color w:val="auto"/>
              </w:rPr>
              <w:t>中</w:t>
            </w:r>
            <w:r>
              <w:rPr>
                <w:rStyle w:val="101"/>
                <w:rFonts w:hint="eastAsia" w:eastAsia="宋体"/>
                <w:color w:val="auto"/>
                <w:lang w:val="en-US" w:eastAsia="zh-CN"/>
              </w:rPr>
              <w:t>二氧化碳</w:t>
            </w:r>
            <w:r>
              <w:rPr>
                <w:rStyle w:val="101"/>
                <w:color w:val="auto"/>
              </w:rPr>
              <w:t>标准气体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0F92A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相对扩展不确定度：</w:t>
            </w:r>
            <w:r>
              <w:rPr>
                <w:rStyle w:val="101"/>
                <w:i/>
                <w:iCs/>
                <w:color w:val="auto"/>
              </w:rPr>
              <w:t>U</w:t>
            </w:r>
            <w:r>
              <w:rPr>
                <w:rStyle w:val="101"/>
                <w:rFonts w:hint="eastAsia" w:eastAsia="宋体"/>
                <w:i w:val="0"/>
                <w:iCs w:val="0"/>
                <w:color w:val="auto"/>
                <w:vertAlign w:val="subscript"/>
                <w:lang w:val="en-US" w:eastAsia="zh-CN"/>
              </w:rPr>
              <w:t>rel</w:t>
            </w:r>
            <w:r>
              <w:rPr>
                <w:rStyle w:val="101"/>
                <w:color w:val="auto"/>
              </w:rPr>
              <w:t>=2%，</w:t>
            </w:r>
            <w:r>
              <w:rPr>
                <w:rStyle w:val="101"/>
                <w:i/>
                <w:iCs/>
                <w:color w:val="auto"/>
              </w:rPr>
              <w:t>k</w:t>
            </w:r>
            <w:r>
              <w:rPr>
                <w:rStyle w:val="101"/>
                <w:color w:val="auto"/>
              </w:rPr>
              <w:t>=2</w:t>
            </w:r>
          </w:p>
        </w:tc>
      </w:tr>
      <w:tr w14:paraId="4A836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3980B8">
            <w:pPr>
              <w:jc w:val="center"/>
              <w:rPr>
                <w:rStyle w:val="101"/>
                <w:color w:val="auto"/>
                <w:lang w:val="zh-TW" w:eastAsia="zh-TW"/>
              </w:rPr>
            </w:pPr>
            <w:r>
              <w:rPr>
                <w:rStyle w:val="101"/>
                <w:color w:val="auto"/>
                <w:lang w:val="zh-TW" w:eastAsia="zh-TW"/>
              </w:rPr>
              <w:t>2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C0EA1B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气体质量流量计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2D758E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  <w:lang w:val="zh-TW" w:eastAsia="zh-TW"/>
              </w:rPr>
              <w:t>准确度等级为4级</w:t>
            </w:r>
            <w:r>
              <w:rPr>
                <w:rStyle w:val="101"/>
                <w:rFonts w:hint="eastAsia" w:eastAsia="宋体"/>
                <w:color w:val="auto"/>
                <w:lang w:eastAsia="zh-CN"/>
              </w:rPr>
              <w:t>，</w:t>
            </w:r>
            <w:r>
              <w:rPr>
                <w:rStyle w:val="101"/>
                <w:color w:val="auto"/>
                <w:lang w:val="zh-TW" w:eastAsia="zh-TW"/>
              </w:rPr>
              <w:t>测量范围（0～2）L/min</w:t>
            </w:r>
            <w:r>
              <w:rPr>
                <w:rStyle w:val="101"/>
                <w:rFonts w:hint="eastAsia" w:eastAsia="宋体"/>
                <w:color w:val="auto"/>
                <w:lang w:eastAsia="zh-CN"/>
              </w:rPr>
              <w:t>，</w:t>
            </w:r>
            <w:r>
              <w:rPr>
                <w:rStyle w:val="101"/>
                <w:color w:val="auto"/>
                <w:lang w:val="zh-TW" w:eastAsia="zh-TW"/>
              </w:rPr>
              <w:t>（0～2</w:t>
            </w:r>
            <w:r>
              <w:rPr>
                <w:rStyle w:val="101"/>
                <w:color w:val="auto"/>
              </w:rPr>
              <w:t>0</w:t>
            </w:r>
            <w:r>
              <w:rPr>
                <w:rStyle w:val="101"/>
                <w:color w:val="auto"/>
                <w:lang w:val="zh-TW" w:eastAsia="zh-TW"/>
              </w:rPr>
              <w:t>）L/min</w:t>
            </w:r>
          </w:p>
        </w:tc>
      </w:tr>
      <w:tr w14:paraId="454D9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4EE0807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3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14CCFF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气体减压器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44E01DC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  <w:lang w:val="zh-TW" w:eastAsia="zh-TW"/>
              </w:rPr>
              <w:t>准确度等级为</w:t>
            </w:r>
            <w:r>
              <w:rPr>
                <w:rStyle w:val="101"/>
                <w:color w:val="auto"/>
              </w:rPr>
              <w:t>2.5</w:t>
            </w:r>
            <w:r>
              <w:rPr>
                <w:rStyle w:val="101"/>
                <w:color w:val="auto"/>
                <w:lang w:val="zh-TW" w:eastAsia="zh-TW"/>
              </w:rPr>
              <w:t>级</w:t>
            </w:r>
          </w:p>
        </w:tc>
      </w:tr>
      <w:tr w14:paraId="08C4E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exact"/>
          <w:jc w:val="center"/>
        </w:trPr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2C5C5A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4</w:t>
            </w:r>
          </w:p>
        </w:tc>
        <w:tc>
          <w:tcPr>
            <w:tcW w:w="1455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5EAEB9">
            <w:pPr>
              <w:jc w:val="center"/>
              <w:rPr>
                <w:rStyle w:val="101"/>
                <w:rFonts w:hint="default" w:eastAsia="宋体"/>
                <w:color w:val="auto"/>
                <w:lang w:val="en-US" w:eastAsia="zh-CN"/>
              </w:rPr>
            </w:pPr>
            <w:r>
              <w:rPr>
                <w:rStyle w:val="101"/>
                <w:rFonts w:hint="eastAsia" w:eastAsia="宋体"/>
                <w:color w:val="auto"/>
                <w:lang w:val="en-US" w:eastAsia="zh-CN"/>
              </w:rPr>
              <w:t>数字多用表</w:t>
            </w:r>
          </w:p>
        </w:tc>
        <w:tc>
          <w:tcPr>
            <w:tcW w:w="318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A42F6A">
            <w:pPr>
              <w:jc w:val="center"/>
              <w:rPr>
                <w:rStyle w:val="101"/>
                <w:color w:val="auto"/>
              </w:rPr>
            </w:pPr>
            <w:r>
              <w:rPr>
                <w:rStyle w:val="101"/>
                <w:color w:val="auto"/>
              </w:rPr>
              <w:t>测量直流电流（4</w:t>
            </w:r>
            <w:r>
              <w:rPr>
                <w:rStyle w:val="101"/>
                <w:color w:val="auto"/>
                <w:lang w:val="zh-TW" w:eastAsia="zh-TW"/>
              </w:rPr>
              <w:t>～</w:t>
            </w:r>
            <w:r>
              <w:rPr>
                <w:rStyle w:val="101"/>
                <w:color w:val="auto"/>
              </w:rPr>
              <w:t>20）mA，准确度等级0.02级</w:t>
            </w:r>
          </w:p>
        </w:tc>
      </w:tr>
    </w:tbl>
    <w:p w14:paraId="4A8651B0">
      <w:pPr>
        <w:pStyle w:val="43"/>
        <w:spacing w:before="156" w:beforeLines="50" w:after="156" w:afterLines="50"/>
        <w:ind w:firstLine="0" w:firstLineChars="0"/>
      </w:pPr>
      <w:r>
        <w:rPr>
          <w:rFonts w:hint="eastAsia"/>
        </w:rPr>
        <w:t xml:space="preserve">D.1.4 </w:t>
      </w:r>
      <w:r>
        <w:rPr>
          <w:rFonts w:hint="eastAsia"/>
          <w:lang w:val="en-US" w:eastAsia="zh-CN"/>
        </w:rPr>
        <w:t>校准</w:t>
      </w:r>
      <w:r>
        <w:rPr>
          <w:rFonts w:hint="eastAsia"/>
        </w:rPr>
        <w:t>方法</w:t>
      </w:r>
    </w:p>
    <w:p w14:paraId="0A3A80BA">
      <w:pPr>
        <w:pStyle w:val="43"/>
        <w:ind w:firstLine="638" w:firstLineChars="266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按照本规范6.7的规定校准。本示例仅取</w:t>
      </w:r>
      <w:r>
        <w:rPr>
          <w:rFonts w:hint="eastAsia" w:ascii="Times New Roman" w:hAnsi="Times New Roman"/>
        </w:rPr>
        <w:t>浓度为满量程</w:t>
      </w:r>
      <w:r>
        <w:rPr>
          <w:rFonts w:hint="eastAsia"/>
          <w:lang w:val="en-US" w:eastAsia="zh-CN"/>
        </w:rPr>
        <w:t>5</w:t>
      </w:r>
      <w:r>
        <w:rPr>
          <w:rFonts w:hint="eastAsia" w:ascii="Times New Roman" w:hAnsi="Times New Roman"/>
        </w:rPr>
        <w:t>0%</w:t>
      </w:r>
      <w:r>
        <w:rPr>
          <w:rFonts w:hint="eastAsia"/>
          <w:lang w:val="en-US" w:eastAsia="zh-CN"/>
        </w:rPr>
        <w:t>对应变送输出12mA</w:t>
      </w:r>
      <w:r>
        <w:rPr>
          <w:rFonts w:hint="eastAsia" w:ascii="Times New Roman" w:hAnsi="Times New Roman"/>
        </w:rPr>
        <w:t>的</w:t>
      </w:r>
      <w:r>
        <w:rPr>
          <w:rFonts w:hint="eastAsia"/>
          <w:lang w:val="en-US" w:eastAsia="zh-CN"/>
        </w:rPr>
        <w:t>校准点进行说明，其他校准点参照本示例。</w:t>
      </w:r>
    </w:p>
    <w:p w14:paraId="0E4AC650">
      <w:pPr>
        <w:pStyle w:val="43"/>
        <w:spacing w:before="156" w:beforeLines="50" w:after="156" w:afterLines="50"/>
        <w:ind w:firstLine="0" w:firstLineChars="0"/>
        <w:rPr>
          <w:rFonts w:hint="eastAsia" w:eastAsia="黑体"/>
        </w:rPr>
      </w:pPr>
      <w:r>
        <w:rPr>
          <w:rFonts w:hint="eastAsia"/>
        </w:rPr>
        <w:t xml:space="preserve">D.2  </w:t>
      </w:r>
      <w:r>
        <w:rPr>
          <w:rFonts w:hint="eastAsia" w:eastAsia="黑体"/>
        </w:rPr>
        <w:t>测量模型</w:t>
      </w:r>
    </w:p>
    <w:p w14:paraId="524F7907">
      <w:pPr>
        <w:pStyle w:val="43"/>
        <w:ind w:left="0" w:leftChars="0" w:firstLine="480" w:firstLineChars="200"/>
        <w:rPr>
          <w:rFonts w:hint="eastAsia" w:eastAsia="黑体"/>
        </w:rPr>
      </w:pPr>
      <w:r>
        <w:rPr>
          <w:rFonts w:hint="eastAsia" w:cs="Times New Roman"/>
          <w:lang w:val="en-US" w:eastAsia="zh-CN"/>
        </w:rPr>
        <w:t>本规范检测仪变送输出误差用相对误差表示，本示例</w:t>
      </w:r>
      <w:r>
        <w:rPr>
          <w:rFonts w:hint="eastAsia" w:cs="Times New Roman"/>
          <w:highlight w:val="none"/>
          <w:lang w:val="en-US" w:eastAsia="zh-CN"/>
        </w:rPr>
        <w:t>为了便于计算，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采用直接测量方法</w:t>
      </w:r>
      <w:r>
        <w:rPr>
          <w:rFonts w:hint="eastAsia" w:cs="Times New Roman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其测量模型见公式（</w:t>
      </w:r>
      <w:r>
        <w:rPr>
          <w:rFonts w:hint="eastAsia" w:cs="Times New Roman"/>
          <w:lang w:val="en-US" w:eastAsia="zh-CN"/>
        </w:rPr>
        <w:t>D</w:t>
      </w:r>
      <w:r>
        <w:rPr>
          <w:rFonts w:hint="eastAsia" w:ascii="Times New Roman" w:hAnsi="Times New Roman" w:cs="Times New Roman"/>
          <w:lang w:val="en-US" w:eastAsia="zh-CN"/>
        </w:rPr>
        <w:t>.1）</w:t>
      </w:r>
    </w:p>
    <w:p w14:paraId="002267A8">
      <w:pPr>
        <w:spacing w:line="360" w:lineRule="auto"/>
        <w:jc w:val="right"/>
        <w:rPr>
          <w:rFonts w:eastAsia="宋体"/>
          <w:sz w:val="24"/>
        </w:rPr>
      </w:pPr>
      <w:r>
        <w:rPr>
          <w:rFonts w:ascii="Cambria Math" w:hAnsi="Cambria Math"/>
          <w:i w:val="0"/>
          <w:iCs w:val="0"/>
          <w:position w:val="-24"/>
          <w:sz w:val="24"/>
        </w:rPr>
        <w:object>
          <v:shape id="_x0000_i1090" o:spt="75" type="#_x0000_t75" style="height:31pt;width:114pt;" o:ole="t" filled="f" o:preferrelative="t" stroked="f" coordsize="21600,21600">
            <v:path/>
            <v:fill on="f" focussize="0,0"/>
            <v:stroke on="f"/>
            <v:imagedata r:id="rId151" o:title=""/>
            <o:lock v:ext="edit" aspectratio="t"/>
            <w10:wrap type="none"/>
            <w10:anchorlock/>
          </v:shape>
          <o:OLEObject Type="Embed" ProgID="Equation.KSEE3" ShapeID="_x0000_i1090" DrawAspect="Content" ObjectID="_1468075790" r:id="rId150">
            <o:LockedField>false</o:LockedField>
          </o:OLEObject>
        </w:object>
      </w:r>
      <w:r>
        <w:rPr>
          <w:rFonts w:hint="eastAsia"/>
          <w:sz w:val="24"/>
        </w:rPr>
        <w:t xml:space="preserve">  </w:t>
      </w:r>
      <w:r>
        <w:rPr>
          <w:rFonts w:hint="eastAsia" w:eastAsia="宋体"/>
          <w:sz w:val="24"/>
        </w:rPr>
        <w:t xml:space="preserve">            </w:t>
      </w:r>
      <w:r>
        <w:rPr>
          <w:rFonts w:hint="eastAsia" w:eastAsia="宋体"/>
          <w:sz w:val="24"/>
          <w:lang w:val="en-US" w:eastAsia="zh-CN"/>
        </w:rPr>
        <w:t xml:space="preserve">       </w:t>
      </w:r>
      <w:r>
        <w:rPr>
          <w:rFonts w:hint="eastAsia" w:eastAsia="宋体"/>
          <w:sz w:val="24"/>
        </w:rPr>
        <w:t xml:space="preserve"> （</w:t>
      </w:r>
      <w:r>
        <w:rPr>
          <w:rFonts w:hint="eastAsia"/>
          <w:sz w:val="24"/>
        </w:rPr>
        <w:t>D.</w:t>
      </w:r>
      <w:r>
        <w:rPr>
          <w:rFonts w:hint="eastAsia" w:eastAsia="宋体"/>
          <w:sz w:val="24"/>
        </w:rPr>
        <w:t xml:space="preserve">1）                                                                                 </w:t>
      </w:r>
    </w:p>
    <w:p w14:paraId="514E90F2">
      <w:pPr>
        <w:pStyle w:val="6"/>
        <w:ind w:firstLine="480" w:firstLineChars="200"/>
        <w:rPr>
          <w:sz w:val="24"/>
        </w:rPr>
      </w:pPr>
      <w:r>
        <w:rPr>
          <w:rFonts w:hint="eastAsia"/>
          <w:sz w:val="24"/>
        </w:rPr>
        <w:t>式中：</w:t>
      </w:r>
    </w:p>
    <w:p w14:paraId="366F5A66">
      <w:pPr>
        <w:pStyle w:val="43"/>
        <w:spacing w:line="300" w:lineRule="auto"/>
        <w:ind w:firstLine="480"/>
      </w:pPr>
      <w:r>
        <w:rPr>
          <w:position w:val="-4"/>
          <w:vertAlign w:val="subscript"/>
        </w:rPr>
        <w:object>
          <v:shape id="_x0000_i1091" o:spt="75" type="#_x0000_t75" style="height:13pt;width:18pt;" o:ole="t" filled="f" o:preferrelative="t" stroked="f" coordsize="21600,21600">
            <v:path/>
            <v:fill on="f" focussize="0,0"/>
            <v:stroke on="f"/>
            <v:imagedata r:id="rId153" o:title=""/>
            <o:lock v:ext="edit" aspectratio="t"/>
            <w10:wrap type="none"/>
            <w10:anchorlock/>
          </v:shape>
          <o:OLEObject Type="Embed" ProgID="Equation.KSEE3" ShapeID="_x0000_i1091" DrawAspect="Content" ObjectID="_1468075791" r:id="rId152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  <w:lang w:val="en-US" w:eastAsia="zh-CN"/>
        </w:rPr>
        <w:t>检测仪</w:t>
      </w:r>
      <w:r>
        <w:rPr>
          <w:rFonts w:hint="eastAsia"/>
        </w:rPr>
        <w:t>变送输出</w:t>
      </w:r>
      <w:r>
        <w:t>误差</w:t>
      </w:r>
      <w:r>
        <w:rPr>
          <w:rFonts w:hint="eastAsia"/>
        </w:rPr>
        <w:t>，mA</w:t>
      </w:r>
      <w:r>
        <w:t>；</w:t>
      </w:r>
    </w:p>
    <w:p w14:paraId="394254D0">
      <w:pPr>
        <w:pStyle w:val="43"/>
        <w:spacing w:line="300" w:lineRule="auto"/>
        <w:ind w:firstLine="480"/>
      </w:pPr>
      <w:r>
        <w:rPr>
          <w:position w:val="-4"/>
          <w:vertAlign w:val="subscript"/>
        </w:rPr>
        <w:object>
          <v:shape id="_x0000_i1092" o:spt="75" type="#_x0000_t75" style="height:13pt;width:12pt;" o:ole="t" filled="f" o:preferrelative="t" stroked="f" coordsize="21600,21600">
            <v:path/>
            <v:fill on="f" focussize="0,0"/>
            <v:stroke on="f"/>
            <v:imagedata r:id="rId155" o:title=""/>
            <o:lock v:ext="edit" aspectratio="t"/>
            <w10:wrap type="none"/>
            <w10:anchorlock/>
          </v:shape>
          <o:OLEObject Type="Embed" ProgID="Equation.KSEE3" ShapeID="_x0000_i1092" DrawAspect="Content" ObjectID="_1468075792" r:id="rId15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检测仪</w:t>
      </w:r>
      <w:r>
        <w:rPr>
          <w:rFonts w:hint="eastAsia" w:ascii="宋体" w:hAnsi="宋体" w:cs="宋体"/>
        </w:rPr>
        <w:t>变送输出示值，</w:t>
      </w:r>
      <w:r>
        <w:rPr>
          <w:rFonts w:hint="eastAsia"/>
        </w:rPr>
        <w:t>mA</w:t>
      </w:r>
      <w:r>
        <w:t>；</w:t>
      </w:r>
    </w:p>
    <w:p w14:paraId="414DEB2C">
      <w:pPr>
        <w:pStyle w:val="43"/>
        <w:spacing w:line="300" w:lineRule="auto"/>
        <w:ind w:firstLine="480"/>
      </w:pPr>
      <w:r>
        <w:rPr>
          <w:position w:val="-12"/>
          <w:vertAlign w:val="subscript"/>
        </w:rPr>
        <w:object>
          <v:shape id="_x0000_i1093" o:spt="75" type="#_x0000_t75" style="height:18pt;width:15pt;" o:ole="t" filled="f" o:preferrelative="t" stroked="f" coordsize="21600,21600">
            <v:path/>
            <v:fill on="f" focussize="0,0"/>
            <v:stroke on="f"/>
            <v:imagedata r:id="rId157" o:title=""/>
            <o:lock v:ext="edit" aspectratio="t"/>
            <w10:wrap type="none"/>
            <w10:anchorlock/>
          </v:shape>
          <o:OLEObject Type="Embed" ProgID="Equation.KSEE3" ShapeID="_x0000_i1093" DrawAspect="Content" ObjectID="_1468075793" r:id="rId156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检测仪</w:t>
      </w:r>
      <w:r>
        <w:rPr>
          <w:rFonts w:hint="eastAsia" w:ascii="宋体" w:hAnsi="宋体" w:cs="宋体"/>
        </w:rPr>
        <w:t>变送输出</w:t>
      </w:r>
      <w:r>
        <w:rPr>
          <w:rFonts w:hint="eastAsia" w:ascii="宋体" w:hAnsi="宋体" w:cs="宋体"/>
          <w:lang w:val="en-US" w:eastAsia="zh-CN"/>
        </w:rPr>
        <w:t>量程</w:t>
      </w:r>
      <w:r>
        <w:rPr>
          <w:rFonts w:hint="eastAsia" w:ascii="宋体" w:hAnsi="宋体" w:cs="宋体"/>
        </w:rPr>
        <w:t>，</w:t>
      </w:r>
      <w:r>
        <w:rPr>
          <w:rFonts w:hint="eastAsia"/>
        </w:rPr>
        <w:t>mA</w:t>
      </w:r>
      <w:r>
        <w:t>；</w:t>
      </w:r>
    </w:p>
    <w:p w14:paraId="7E6428A2">
      <w:pPr>
        <w:pStyle w:val="43"/>
        <w:spacing w:line="300" w:lineRule="auto"/>
        <w:ind w:firstLine="480"/>
      </w:pPr>
      <w:r>
        <w:rPr>
          <w:position w:val="-4"/>
          <w:vertAlign w:val="subscript"/>
        </w:rPr>
        <w:object>
          <v:shape id="_x0000_i1094" o:spt="75" type="#_x0000_t75" style="height:13pt;width:12pt;" o:ole="t" filled="f" o:preferrelative="t" stroked="f" coordsize="21600,21600">
            <v:path/>
            <v:fill on="f" focussize="0,0"/>
            <v:stroke on="f"/>
            <v:imagedata r:id="rId159" o:title=""/>
            <o:lock v:ext="edit" aspectratio="t"/>
            <w10:wrap type="none"/>
            <w10:anchorlock/>
          </v:shape>
          <o:OLEObject Type="Embed" ProgID="Equation.KSEE3" ShapeID="_x0000_i1094" DrawAspect="Content" ObjectID="_1468075794" r:id="rId158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 w:ascii="宋体" w:hAnsi="宋体" w:cs="宋体"/>
          <w:lang w:val="en-US" w:eastAsia="zh-CN"/>
        </w:rPr>
        <w:t>检测仪量程</w:t>
      </w:r>
      <w:r>
        <w:rPr>
          <w:rFonts w:hint="eastAsia" w:ascii="宋体" w:hAnsi="宋体" w:cs="宋体"/>
        </w:rPr>
        <w:t>，</w:t>
      </w:r>
      <w:r>
        <w:rPr>
          <w:rFonts w:hint="eastAsia"/>
        </w:rPr>
        <w:t>mol/mol</w:t>
      </w:r>
      <w:r>
        <w:t>；</w:t>
      </w:r>
    </w:p>
    <w:p w14:paraId="67811B7F">
      <w:pPr>
        <w:pStyle w:val="43"/>
        <w:spacing w:line="360" w:lineRule="auto"/>
        <w:ind w:firstLine="480"/>
        <w:rPr>
          <w:rFonts w:hint="eastAsia"/>
        </w:rPr>
      </w:pPr>
      <w:r>
        <w:rPr>
          <w:position w:val="-12"/>
          <w:vertAlign w:val="subscript"/>
        </w:rPr>
        <w:object>
          <v:shape id="_x0000_i1095" o:spt="75" type="#_x0000_t75" style="height:18pt;width:15pt;" o:ole="t" filled="f" o:preferrelative="t" stroked="f" coordsize="21600,21600">
            <v:path/>
            <v:fill on="f" focussize="0,0"/>
            <v:stroke on="f"/>
            <v:imagedata r:id="rId161" o:title=""/>
            <o:lock v:ext="edit" aspectratio="t"/>
            <w10:wrap type="none"/>
            <w10:anchorlock/>
          </v:shape>
          <o:OLEObject Type="Embed" ProgID="Equation.KSEE3" ShapeID="_x0000_i1095" DrawAspect="Content" ObjectID="_1468075795" r:id="rId16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——</w:t>
      </w:r>
      <w:r>
        <w:rPr>
          <w:rFonts w:hint="eastAsia"/>
        </w:rPr>
        <w:t>标准气体浓度，mol/mol。</w:t>
      </w:r>
    </w:p>
    <w:p w14:paraId="4157405B">
      <w:pPr>
        <w:pStyle w:val="43"/>
        <w:spacing w:line="360" w:lineRule="auto"/>
        <w:ind w:firstLine="480"/>
        <w:rPr>
          <w:rFonts w:hint="eastAsia"/>
        </w:rPr>
      </w:pPr>
      <w:r>
        <w:rPr>
          <w:rFonts w:hint="eastAsia"/>
          <w:lang w:val="en-US" w:eastAsia="zh-CN"/>
        </w:rPr>
        <w:t>由测量模型和被校检测仪信息可知，检测仪变送输出量程</w:t>
      </w:r>
      <w:r>
        <w:rPr>
          <w:rFonts w:hint="eastAsia"/>
          <w:i/>
          <w:iCs/>
          <w:lang w:val="en-US" w:eastAsia="zh-CN"/>
        </w:rPr>
        <w:t>R</w:t>
      </w:r>
      <w:r>
        <w:rPr>
          <w:rFonts w:hint="eastAsia"/>
          <w:vertAlign w:val="subscript"/>
          <w:lang w:val="en-US" w:eastAsia="zh-CN"/>
        </w:rPr>
        <w:t>a</w:t>
      </w:r>
      <w:r>
        <w:rPr>
          <w:rFonts w:hint="eastAsia"/>
          <w:lang w:val="en-US" w:eastAsia="zh-CN"/>
        </w:rPr>
        <w:t>为16mA，检测仪量程为100%mol/mol。通过计算，输入量</w:t>
      </w:r>
      <w:r>
        <w:rPr>
          <w:rFonts w:hint="eastAsia"/>
          <w:i/>
          <w:iCs/>
          <w:lang w:val="en-US" w:eastAsia="zh-CN"/>
        </w:rPr>
        <w:t>A</w:t>
      </w:r>
      <w:r>
        <w:rPr>
          <w:rFonts w:hint="eastAsia"/>
          <w:lang w:val="en-US" w:eastAsia="zh-CN"/>
        </w:rPr>
        <w:t>的灵敏系数</w:t>
      </w:r>
      <w:r>
        <w:rPr>
          <w:rFonts w:hint="eastAsia"/>
          <w:i/>
          <w:iCs/>
          <w:lang w:val="en-US" w:eastAsia="zh-CN"/>
        </w:rPr>
        <w:t>c</w:t>
      </w:r>
      <w:r>
        <w:rPr>
          <w:rFonts w:hint="eastAsia"/>
          <w:vertAlign w:val="subscript"/>
          <w:lang w:val="en-US" w:eastAsia="zh-CN"/>
        </w:rPr>
        <w:t>1</w:t>
      </w:r>
      <w:r>
        <w:rPr>
          <w:rFonts w:hint="eastAsia"/>
          <w:lang w:val="en-US" w:eastAsia="zh-CN"/>
        </w:rPr>
        <w:t>为1，输入量</w:t>
      </w:r>
      <w:r>
        <w:rPr>
          <w:rFonts w:hint="eastAsia"/>
          <w:i/>
          <w:iCs/>
          <w:lang w:val="en-US" w:eastAsia="zh-CN"/>
        </w:rPr>
        <w:t>C</w:t>
      </w:r>
      <w:r>
        <w:rPr>
          <w:rFonts w:hint="eastAsia"/>
          <w:vertAlign w:val="subscript"/>
          <w:lang w:val="en-US" w:eastAsia="zh-CN"/>
        </w:rPr>
        <w:t>0</w:t>
      </w:r>
      <w:r>
        <w:rPr>
          <w:rFonts w:hint="eastAsia"/>
          <w:vertAlign w:val="baseline"/>
          <w:lang w:val="en-US" w:eastAsia="zh-CN"/>
        </w:rPr>
        <w:t>的灵敏系数</w:t>
      </w:r>
      <w:r>
        <w:rPr>
          <w:rFonts w:hint="eastAsia"/>
          <w:i/>
          <w:iCs/>
          <w:vertAlign w:val="baseline"/>
          <w:lang w:val="en-US" w:eastAsia="zh-CN"/>
        </w:rPr>
        <w:t>c</w:t>
      </w:r>
      <w:r>
        <w:rPr>
          <w:rFonts w:hint="eastAsia"/>
          <w:vertAlign w:val="subscript"/>
          <w:lang w:val="en-US" w:eastAsia="zh-CN"/>
        </w:rPr>
        <w:t>2</w:t>
      </w:r>
      <w:r>
        <w:rPr>
          <w:rFonts w:hint="eastAsia"/>
          <w:vertAlign w:val="baseline"/>
          <w:lang w:val="en-US" w:eastAsia="zh-CN"/>
        </w:rPr>
        <w:t>为-0.16mA/(%mol/mol)。</w:t>
      </w:r>
    </w:p>
    <w:p w14:paraId="1FDE4D93">
      <w:pPr>
        <w:pStyle w:val="43"/>
        <w:spacing w:before="156" w:beforeLines="50" w:after="156" w:afterLines="50"/>
        <w:ind w:firstLine="0" w:firstLineChars="0"/>
        <w:rPr>
          <w:rFonts w:hint="eastAsia"/>
          <w:lang w:val="en-US" w:eastAsia="zh-CN"/>
        </w:rPr>
      </w:pPr>
      <w:r>
        <w:rPr>
          <w:rFonts w:hint="eastAsia"/>
        </w:rPr>
        <w:t xml:space="preserve">D.3 </w:t>
      </w:r>
      <w:r>
        <w:rPr>
          <w:rFonts w:hint="eastAsia" w:eastAsia="黑体"/>
        </w:rPr>
        <w:t>测量不确定度</w:t>
      </w:r>
      <w:r>
        <w:rPr>
          <w:rFonts w:hint="eastAsia" w:eastAsia="黑体"/>
          <w:lang w:val="en-US" w:eastAsia="zh-CN"/>
        </w:rPr>
        <w:t>的</w:t>
      </w:r>
      <w:r>
        <w:rPr>
          <w:rFonts w:hint="eastAsia" w:eastAsia="黑体"/>
        </w:rPr>
        <w:t>来源分析</w:t>
      </w:r>
    </w:p>
    <w:p w14:paraId="03DF56AE">
      <w:pPr>
        <w:pStyle w:val="43"/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测量不确定度来源主要有：</w:t>
      </w:r>
    </w:p>
    <w:p w14:paraId="689EBC33">
      <w:pPr>
        <w:pStyle w:val="43"/>
        <w:numPr>
          <w:ilvl w:val="0"/>
          <w:numId w:val="6"/>
        </w:num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测量过程引入的不确定度分量</w:t>
      </w:r>
      <w:r>
        <w:rPr>
          <w:position w:val="-10"/>
          <w:vertAlign w:val="subscript"/>
        </w:rPr>
        <w:object>
          <v:shape id="_x0000_i1096" o:spt="75" type="#_x0000_t75" style="height:17pt;width:12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KSEE3" ShapeID="_x0000_i1096" DrawAspect="Content" ObjectID="_1468075796" r:id="rId162">
            <o:LockedField>false</o:LockedField>
          </o:OLEObject>
        </w:object>
      </w:r>
      <w:r>
        <w:rPr>
          <w:rFonts w:hint="eastAsia"/>
          <w:lang w:val="en-US" w:eastAsia="zh-CN"/>
        </w:rPr>
        <w:t>；</w:t>
      </w:r>
    </w:p>
    <w:p w14:paraId="74FDF3D2">
      <w:pPr>
        <w:pStyle w:val="43"/>
        <w:numPr>
          <w:ilvl w:val="0"/>
          <w:numId w:val="0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1.1）测量重复性引入的不确定度分量</w:t>
      </w:r>
      <w:r>
        <w:rPr>
          <w:position w:val="-10"/>
          <w:vertAlign w:val="subscript"/>
        </w:rPr>
        <w:object>
          <v:shape id="_x0000_i1097" o:spt="75" type="#_x0000_t75" style="height:17pt;width:15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KSEE3" ShapeID="_x0000_i1097" DrawAspect="Content" ObjectID="_1468075797" r:id="rId163">
            <o:LockedField>false</o:LockedField>
          </o:OLEObject>
        </w:object>
      </w:r>
      <w:r>
        <w:rPr>
          <w:rFonts w:hint="eastAsia"/>
          <w:lang w:val="en-US" w:eastAsia="zh-CN"/>
        </w:rPr>
        <w:t>；</w:t>
      </w:r>
    </w:p>
    <w:p w14:paraId="4CD4FA41">
      <w:pPr>
        <w:pStyle w:val="43"/>
        <w:numPr>
          <w:ilvl w:val="0"/>
          <w:numId w:val="0"/>
        </w:num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1.2）数字多用表分辨力引入的不确定度分量</w:t>
      </w:r>
      <w:r>
        <w:rPr>
          <w:position w:val="-10"/>
          <w:vertAlign w:val="subscript"/>
        </w:rPr>
        <w:object>
          <v:shape id="_x0000_i1098" o:spt="75" type="#_x0000_t75" style="height:17pt;width:16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KSEE3" ShapeID="_x0000_i1098" DrawAspect="Content" ObjectID="_1468075798" r:id="rId164">
            <o:LockedField>false</o:LockedField>
          </o:OLEObject>
        </w:object>
      </w:r>
      <w:r>
        <w:rPr>
          <w:rFonts w:hint="eastAsia"/>
          <w:lang w:val="en-US" w:eastAsia="zh-CN"/>
        </w:rPr>
        <w:t>；</w:t>
      </w:r>
    </w:p>
    <w:p w14:paraId="0E994CB7">
      <w:pPr>
        <w:pStyle w:val="43"/>
        <w:numPr>
          <w:ilvl w:val="0"/>
          <w:numId w:val="6"/>
        </w:numPr>
        <w:ind w:firstLine="48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测量标准不确定度引入的不确定度分量</w:t>
      </w:r>
      <w:r>
        <w:rPr>
          <w:position w:val="-10"/>
          <w:vertAlign w:val="subscript"/>
        </w:rPr>
        <w:object>
          <v:shape id="_x0000_i1099" o:spt="75" type="#_x0000_t75" style="height:17pt;width:13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KSEE3" ShapeID="_x0000_i1099" DrawAspect="Content" ObjectID="_1468075799" r:id="rId165">
            <o:LockedField>false</o:LockedField>
          </o:OLEObject>
        </w:object>
      </w:r>
      <w:r>
        <w:rPr>
          <w:rFonts w:hint="eastAsia"/>
          <w:lang w:val="en-US" w:eastAsia="zh-CN"/>
        </w:rPr>
        <w:t>；</w:t>
      </w:r>
    </w:p>
    <w:p w14:paraId="2F3D24DE">
      <w:pPr>
        <w:pStyle w:val="43"/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2.1）标准气体不确定度引入的不确定度分量</w:t>
      </w:r>
      <w:r>
        <w:rPr>
          <w:position w:val="-10"/>
          <w:vertAlign w:val="subscript"/>
        </w:rPr>
        <w:object>
          <v:shape id="_x0000_i1100" o:spt="75" type="#_x0000_t75" style="height:17pt;width:16pt;" o:ole="t" filled="f" o:preferrelative="t" stroked="f" coordsize="21600,21600">
            <v:path/>
            <v:fill on="f" focussize="0,0"/>
            <v:stroke on="f"/>
            <v:imagedata r:id="rId167" o:title=""/>
            <o:lock v:ext="edit" aspectratio="t"/>
            <w10:wrap type="none"/>
            <w10:anchorlock/>
          </v:shape>
          <o:OLEObject Type="Embed" ProgID="Equation.KSEE3" ShapeID="_x0000_i1100" DrawAspect="Content" ObjectID="_1468075800" r:id="rId166">
            <o:LockedField>false</o:LockedField>
          </o:OLEObject>
        </w:object>
      </w:r>
      <w:r>
        <w:rPr>
          <w:rFonts w:hint="eastAsia"/>
          <w:lang w:val="en-US" w:eastAsia="zh-CN"/>
        </w:rPr>
        <w:t>；</w:t>
      </w:r>
    </w:p>
    <w:p w14:paraId="469665B0">
      <w:pPr>
        <w:pStyle w:val="43"/>
        <w:ind w:firstLine="48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2.2）数字多用表准确度引入的不确定度分量</w:t>
      </w:r>
      <w:r>
        <w:rPr>
          <w:position w:val="-10"/>
          <w:vertAlign w:val="subscript"/>
        </w:rPr>
        <w:object>
          <v:shape id="_x0000_i1101" o:spt="75" type="#_x0000_t75" style="height:17pt;width:17pt;" o:ole="t" filled="f" o:preferrelative="t" stroked="f" coordsize="21600,21600">
            <v:path/>
            <v:fill on="f" focussize="0,0"/>
            <v:stroke on="f"/>
            <v:imagedata r:id="rId169" o:title=""/>
            <o:lock v:ext="edit" aspectratio="t"/>
            <w10:wrap type="none"/>
            <w10:anchorlock/>
          </v:shape>
          <o:OLEObject Type="Embed" ProgID="Equation.KSEE3" ShapeID="_x0000_i1101" DrawAspect="Content" ObjectID="_1468075801" r:id="rId168">
            <o:LockedField>false</o:LockedField>
          </o:OLEObject>
        </w:object>
      </w:r>
      <w:r>
        <w:rPr>
          <w:rFonts w:hint="eastAsia"/>
          <w:lang w:val="en-US" w:eastAsia="zh-CN"/>
        </w:rPr>
        <w:t>。</w:t>
      </w:r>
    </w:p>
    <w:p w14:paraId="73FB9D19">
      <w:pPr>
        <w:pStyle w:val="43"/>
        <w:spacing w:before="156" w:beforeLines="50" w:after="156" w:afterLines="50"/>
        <w:ind w:firstLine="0" w:firstLineChars="0"/>
        <w:rPr>
          <w:rFonts w:cs="宋体"/>
          <w:szCs w:val="24"/>
        </w:rPr>
      </w:pPr>
      <w:r>
        <w:rPr>
          <w:rFonts w:hint="eastAsia" w:cs="宋体"/>
        </w:rPr>
        <w:t xml:space="preserve">D.4 </w:t>
      </w:r>
      <w:r>
        <w:rPr>
          <w:rFonts w:hint="eastAsia" w:eastAsia="黑体" w:cs="宋体"/>
          <w:szCs w:val="24"/>
          <w:lang w:val="en-US" w:eastAsia="zh-CN"/>
        </w:rPr>
        <w:t>测量</w:t>
      </w:r>
      <w:r>
        <w:rPr>
          <w:rFonts w:hint="eastAsia" w:eastAsia="黑体" w:cs="宋体"/>
          <w:szCs w:val="24"/>
        </w:rPr>
        <w:t>不确定度评定</w:t>
      </w:r>
    </w:p>
    <w:p w14:paraId="135D9FFD">
      <w:pPr>
        <w:pStyle w:val="43"/>
        <w:spacing w:before="156" w:beforeLines="50" w:after="156" w:afterLines="50"/>
        <w:ind w:firstLine="0" w:firstLineChars="0"/>
        <w:rPr>
          <w:szCs w:val="24"/>
        </w:rPr>
      </w:pPr>
      <w:bookmarkStart w:id="337" w:name="_Toc1466"/>
      <w:r>
        <w:rPr>
          <w:rFonts w:hint="eastAsia"/>
          <w:szCs w:val="24"/>
        </w:rPr>
        <w:t xml:space="preserve">D.4.1 </w:t>
      </w:r>
      <w:r>
        <w:rPr>
          <w:rFonts w:hint="eastAsia"/>
          <w:szCs w:val="24"/>
          <w:lang w:val="en-US" w:eastAsia="zh-CN"/>
        </w:rPr>
        <w:t>测量过程引入</w:t>
      </w:r>
      <w:r>
        <w:rPr>
          <w:rFonts w:hint="eastAsia"/>
          <w:szCs w:val="24"/>
        </w:rPr>
        <w:t>的不确定度分量</w:t>
      </w:r>
      <w:bookmarkEnd w:id="337"/>
      <w:r>
        <w:rPr>
          <w:position w:val="-10"/>
          <w:vertAlign w:val="subscript"/>
        </w:rPr>
        <w:object>
          <v:shape id="_x0000_i1102" o:spt="75" type="#_x0000_t75" style="height:17pt;width:12pt;" o:ole="t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  <w10:wrap type="none"/>
            <w10:anchorlock/>
          </v:shape>
          <o:OLEObject Type="Embed" ProgID="Equation.KSEE3" ShapeID="_x0000_i1102" DrawAspect="Content" ObjectID="_1468075802" r:id="rId170">
            <o:LockedField>false</o:LockedField>
          </o:OLEObject>
        </w:object>
      </w:r>
    </w:p>
    <w:p w14:paraId="714A7F22">
      <w:pPr>
        <w:pStyle w:val="43"/>
        <w:spacing w:before="156" w:beforeLines="50" w:after="156" w:afterLines="50"/>
        <w:ind w:firstLine="0" w:firstLineChars="0"/>
        <w:rPr>
          <w:szCs w:val="24"/>
        </w:rPr>
      </w:pPr>
      <w:r>
        <w:rPr>
          <w:rFonts w:hint="eastAsia"/>
          <w:szCs w:val="24"/>
        </w:rPr>
        <w:t>D</w:t>
      </w:r>
      <w:r>
        <w:rPr>
          <w:szCs w:val="24"/>
        </w:rPr>
        <w:t>.4</w:t>
      </w:r>
      <w:r>
        <w:rPr>
          <w:rFonts w:hint="eastAsia"/>
          <w:szCs w:val="24"/>
        </w:rPr>
        <w:t>.1.1 测量重复性引入的不确定度分量</w:t>
      </w:r>
      <w:r>
        <w:rPr>
          <w:position w:val="-10"/>
          <w:vertAlign w:val="subscript"/>
        </w:rPr>
        <w:object>
          <v:shape id="_x0000_i1103" o:spt="75" type="#_x0000_t75" style="height:17pt;width:15pt;" o:ole="t" filled="f" o:preferrelative="t" stroked="f" coordsize="21600,21600">
            <v:path/>
            <v:fill on="f" focussize="0,0"/>
            <v:stroke on="f"/>
            <v:imagedata r:id="rId173" o:title=""/>
            <o:lock v:ext="edit" aspectratio="t"/>
            <w10:wrap type="none"/>
            <w10:anchorlock/>
          </v:shape>
          <o:OLEObject Type="Embed" ProgID="Equation.KSEE3" ShapeID="_x0000_i1103" DrawAspect="Content" ObjectID="_1468075803" r:id="rId172">
            <o:LockedField>false</o:LockedField>
          </o:OLEObject>
        </w:object>
      </w:r>
    </w:p>
    <w:p w14:paraId="42627D05">
      <w:pPr>
        <w:pStyle w:val="6"/>
        <w:ind w:firstLine="480" w:firstLineChars="200"/>
        <w:jc w:val="left"/>
        <w:rPr>
          <w:rFonts w:hint="default" w:ascii="Times New Roman" w:hAnsi="Times New Roman" w:cs="Times New Roman"/>
          <w:position w:val="-26"/>
          <w:sz w:val="24"/>
          <w:szCs w:val="24"/>
        </w:rPr>
      </w:pPr>
      <w:r>
        <w:rPr>
          <w:rFonts w:hint="default" w:ascii="Times New Roman" w:hAnsi="Times New Roman" w:cs="Times New Roman"/>
          <w:position w:val="-26"/>
          <w:sz w:val="24"/>
          <w:szCs w:val="24"/>
        </w:rPr>
        <w:t>对一台测量范围（0～100%）mol/mol的</w:t>
      </w:r>
      <w:r>
        <w:rPr>
          <w:rFonts w:hint="eastAsia" w:cs="Times New Roman"/>
          <w:position w:val="-26"/>
          <w:sz w:val="24"/>
          <w:szCs w:val="24"/>
          <w:lang w:val="en-US" w:eastAsia="zh-CN"/>
        </w:rPr>
        <w:t>检测</w:t>
      </w:r>
      <w:r>
        <w:rPr>
          <w:rFonts w:hint="default" w:ascii="Times New Roman" w:hAnsi="Times New Roman" w:cs="Times New Roman"/>
          <w:position w:val="-26"/>
          <w:sz w:val="24"/>
          <w:szCs w:val="24"/>
          <w:lang w:val="en-US" w:eastAsia="zh-CN"/>
        </w:rPr>
        <w:t>仪</w:t>
      </w:r>
      <w:r>
        <w:rPr>
          <w:rFonts w:hint="default" w:ascii="Times New Roman" w:hAnsi="Times New Roman" w:cs="Times New Roman"/>
          <w:position w:val="-26"/>
          <w:sz w:val="24"/>
          <w:szCs w:val="24"/>
        </w:rPr>
        <w:t>，变送输出（4～20）mA，</w:t>
      </w:r>
      <w:r>
        <w:rPr>
          <w:rFonts w:hint="eastAsia" w:cs="Times New Roman"/>
          <w:position w:val="-26"/>
          <w:sz w:val="24"/>
          <w:szCs w:val="24"/>
          <w:lang w:val="en-US" w:eastAsia="zh-CN"/>
        </w:rPr>
        <w:t>数字多用表</w:t>
      </w:r>
      <w:r>
        <w:rPr>
          <w:rFonts w:hint="default" w:ascii="Times New Roman" w:hAnsi="Times New Roman" w:cs="Times New Roman"/>
          <w:position w:val="-26"/>
          <w:sz w:val="24"/>
          <w:szCs w:val="24"/>
          <w:lang w:val="en-US" w:eastAsia="zh-CN"/>
        </w:rPr>
        <w:t>的分辨力为0.0001mA，</w:t>
      </w:r>
      <w:r>
        <w:rPr>
          <w:rFonts w:hint="default" w:ascii="Times New Roman" w:hAnsi="Times New Roman" w:cs="Times New Roman"/>
          <w:position w:val="-26"/>
          <w:sz w:val="24"/>
          <w:szCs w:val="24"/>
        </w:rPr>
        <w:t>重复条件下，在</w:t>
      </w:r>
      <w:r>
        <w:rPr>
          <w:rFonts w:hint="eastAsia" w:cs="Times New Roman"/>
          <w:position w:val="-26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position w:val="-26"/>
          <w:sz w:val="24"/>
          <w:szCs w:val="24"/>
        </w:rPr>
        <w:t>0%mol/mol标准气体浓度点（理论变送输出值为</w:t>
      </w:r>
      <w:r>
        <w:rPr>
          <w:rFonts w:hint="eastAsia" w:cs="Times New Roman"/>
          <w:position w:val="-26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cs="Times New Roman"/>
          <w:position w:val="-26"/>
          <w:sz w:val="24"/>
          <w:szCs w:val="24"/>
        </w:rPr>
        <w:t>mA）连续测量10次，得到数据见表D.2：</w:t>
      </w:r>
    </w:p>
    <w:p w14:paraId="2046E938">
      <w:pPr>
        <w:spacing w:line="360" w:lineRule="auto"/>
        <w:jc w:val="center"/>
        <w:rPr>
          <w:rStyle w:val="102"/>
          <w:rFonts w:hint="default" w:ascii="黑体" w:hAnsi="黑体" w:eastAsia="黑体"/>
          <w:color w:val="auto"/>
          <w:szCs w:val="21"/>
          <w:lang w:val="en-US" w:eastAsia="zh-CN"/>
        </w:rPr>
      </w:pPr>
      <w:r>
        <w:rPr>
          <w:rStyle w:val="102"/>
          <w:rFonts w:hint="default" w:ascii="Times New Roman" w:hAnsi="Times New Roman" w:cs="Times New Roman"/>
          <w:color w:val="auto"/>
          <w:szCs w:val="21"/>
        </w:rPr>
        <w:t>表D.2 测量</w:t>
      </w:r>
      <w:r>
        <w:rPr>
          <w:rStyle w:val="102"/>
          <w:rFonts w:hint="eastAsia" w:eastAsia="黑体" w:cs="Times New Roman"/>
          <w:color w:val="auto"/>
          <w:szCs w:val="21"/>
          <w:lang w:val="en-US" w:eastAsia="zh-CN"/>
        </w:rPr>
        <w:t>重复性</w:t>
      </w:r>
      <w:r>
        <w:rPr>
          <w:rStyle w:val="102"/>
          <w:rFonts w:hint="default" w:ascii="Times New Roman" w:hAnsi="Times New Roman" w:eastAsia="黑体" w:cs="Times New Roman"/>
          <w:color w:val="auto"/>
          <w:szCs w:val="21"/>
          <w:lang w:val="en-US" w:eastAsia="zh-CN"/>
        </w:rPr>
        <w:t>结果</w:t>
      </w:r>
    </w:p>
    <w:tbl>
      <w:tblPr>
        <w:tblStyle w:val="25"/>
        <w:tblW w:w="499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745"/>
        <w:gridCol w:w="1745"/>
        <w:gridCol w:w="1468"/>
        <w:gridCol w:w="1468"/>
        <w:gridCol w:w="1468"/>
      </w:tblGrid>
      <w:tr w14:paraId="7B999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pct"/>
            <w:tcBorders>
              <w:tl2br w:val="nil"/>
              <w:tr2bl w:val="nil"/>
            </w:tcBorders>
            <w:vAlign w:val="top"/>
          </w:tcPr>
          <w:p w14:paraId="3F1FF686">
            <w:pPr>
              <w:spacing w:line="360" w:lineRule="auto"/>
              <w:jc w:val="center"/>
              <w:rPr>
                <w:rStyle w:val="102"/>
                <w:rFonts w:hint="default" w:ascii="Times New Roman" w:hAnsi="Times New Roman" w:eastAsia="黑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次数</w:t>
            </w:r>
          </w:p>
        </w:tc>
        <w:tc>
          <w:tcPr>
            <w:tcW w:w="912" w:type="pct"/>
            <w:tcBorders>
              <w:tl2br w:val="nil"/>
              <w:tr2bl w:val="nil"/>
            </w:tcBorders>
            <w:vAlign w:val="top"/>
          </w:tcPr>
          <w:p w14:paraId="0CFB0C0D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12" w:type="pct"/>
            <w:tcBorders>
              <w:tl2br w:val="nil"/>
              <w:tr2bl w:val="nil"/>
            </w:tcBorders>
            <w:vAlign w:val="top"/>
          </w:tcPr>
          <w:p w14:paraId="1C79CBE1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612ACE89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2D55C36F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32A1422F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41EBE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pct"/>
            <w:tcBorders>
              <w:tl2br w:val="nil"/>
              <w:tr2bl w:val="nil"/>
            </w:tcBorders>
            <w:vAlign w:val="top"/>
          </w:tcPr>
          <w:p w14:paraId="38E45635">
            <w:pPr>
              <w:spacing w:line="360" w:lineRule="auto"/>
              <w:jc w:val="center"/>
              <w:rPr>
                <w:rStyle w:val="102"/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示值/mA</w:t>
            </w:r>
          </w:p>
        </w:tc>
        <w:tc>
          <w:tcPr>
            <w:tcW w:w="912" w:type="pct"/>
            <w:tcBorders>
              <w:tl2br w:val="nil"/>
              <w:tr2bl w:val="nil"/>
            </w:tcBorders>
            <w:vAlign w:val="top"/>
          </w:tcPr>
          <w:p w14:paraId="7F6BB1C5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2.0244</w:t>
            </w:r>
          </w:p>
        </w:tc>
        <w:tc>
          <w:tcPr>
            <w:tcW w:w="912" w:type="pct"/>
            <w:tcBorders>
              <w:tl2br w:val="nil"/>
              <w:tr2bl w:val="nil"/>
            </w:tcBorders>
            <w:vAlign w:val="top"/>
          </w:tcPr>
          <w:p w14:paraId="2E6991B2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5A557DB6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2.0152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49FC12CD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2.0188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4B390FF9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2.0312</w:t>
            </w:r>
          </w:p>
        </w:tc>
      </w:tr>
      <w:tr w14:paraId="7441D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pct"/>
            <w:tcBorders>
              <w:tl2br w:val="nil"/>
              <w:tr2bl w:val="nil"/>
            </w:tcBorders>
            <w:vAlign w:val="top"/>
          </w:tcPr>
          <w:p w14:paraId="37EC0DA6">
            <w:pPr>
              <w:spacing w:line="360" w:lineRule="auto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次数</w:t>
            </w:r>
          </w:p>
        </w:tc>
        <w:tc>
          <w:tcPr>
            <w:tcW w:w="912" w:type="pct"/>
            <w:tcBorders>
              <w:tl2br w:val="nil"/>
              <w:tr2bl w:val="nil"/>
            </w:tcBorders>
            <w:vAlign w:val="top"/>
          </w:tcPr>
          <w:p w14:paraId="2E389F1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12" w:type="pct"/>
            <w:tcBorders>
              <w:tl2br w:val="nil"/>
              <w:tr2bl w:val="nil"/>
            </w:tcBorders>
            <w:vAlign w:val="top"/>
          </w:tcPr>
          <w:p w14:paraId="091C593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6F8C42F0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4299B9AD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5160BBC2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10</w:t>
            </w:r>
          </w:p>
        </w:tc>
      </w:tr>
      <w:tr w14:paraId="6D09D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pct"/>
            <w:tcBorders>
              <w:tl2br w:val="nil"/>
              <w:tr2bl w:val="nil"/>
            </w:tcBorders>
            <w:vAlign w:val="top"/>
          </w:tcPr>
          <w:p w14:paraId="4C71BA5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示值/mA</w:t>
            </w:r>
          </w:p>
        </w:tc>
        <w:tc>
          <w:tcPr>
            <w:tcW w:w="912" w:type="pct"/>
            <w:tcBorders>
              <w:tl2br w:val="nil"/>
              <w:tr2bl w:val="nil"/>
            </w:tcBorders>
            <w:vAlign w:val="top"/>
          </w:tcPr>
          <w:p w14:paraId="5D75970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2.0167</w:t>
            </w:r>
          </w:p>
        </w:tc>
        <w:tc>
          <w:tcPr>
            <w:tcW w:w="912" w:type="pct"/>
            <w:tcBorders>
              <w:tl2br w:val="nil"/>
              <w:tr2bl w:val="nil"/>
            </w:tcBorders>
            <w:vAlign w:val="top"/>
          </w:tcPr>
          <w:p w14:paraId="182EAD3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2.0283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278D5A10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2.0141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16043479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2.0277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top"/>
          </w:tcPr>
          <w:p w14:paraId="2953EFD3">
            <w:pPr>
              <w:spacing w:line="360" w:lineRule="auto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2.0305</w:t>
            </w:r>
          </w:p>
        </w:tc>
      </w:tr>
    </w:tbl>
    <w:p w14:paraId="086D57D7">
      <w:pPr>
        <w:spacing w:line="360" w:lineRule="auto"/>
        <w:ind w:firstLine="480" w:firstLineChars="200"/>
        <w:jc w:val="left"/>
        <w:rPr>
          <w:rStyle w:val="27"/>
          <w:rFonts w:ascii="宋体" w:hAnsi="宋体" w:eastAsia="宋体" w:cs="宋体"/>
          <w:b w:val="0"/>
          <w:sz w:val="24"/>
        </w:rPr>
      </w:pPr>
      <w:r>
        <w:rPr>
          <w:rStyle w:val="27"/>
          <w:rFonts w:hint="eastAsia" w:ascii="宋体" w:hAnsi="宋体" w:eastAsia="宋体" w:cs="宋体"/>
          <w:b w:val="0"/>
          <w:sz w:val="24"/>
        </w:rPr>
        <w:t>其算术平均值为：</w:t>
      </w:r>
    </w:p>
    <w:p w14:paraId="0247FBCC">
      <w:pPr>
        <w:spacing w:line="360" w:lineRule="auto"/>
        <w:jc w:val="center"/>
        <w:rPr>
          <w:rFonts w:eastAsia="宋体"/>
          <w:sz w:val="24"/>
        </w:rPr>
      </w:pPr>
      <w:r>
        <w:rPr>
          <w:position w:val="-28"/>
          <w:sz w:val="24"/>
        </w:rPr>
        <w:object>
          <v:shape id="_x0000_i1104" o:spt="75" type="#_x0000_t75" style="height:34pt;width:132.95pt;" o:ole="t" filled="f" o:preferrelative="t" stroked="f" coordsize="21600,21600">
            <v:path/>
            <v:fill on="f" focussize="0,0"/>
            <v:stroke on="f"/>
            <v:imagedata r:id="rId175" o:title=""/>
            <o:lock v:ext="edit" aspectratio="t"/>
            <w10:wrap type="none"/>
            <w10:anchorlock/>
          </v:shape>
          <o:OLEObject Type="Embed" ProgID="Equation.KSEE3" ShapeID="_x0000_i1104" DrawAspect="Content" ObjectID="_1468075804" r:id="rId174">
            <o:LockedField>false</o:LockedField>
          </o:OLEObject>
        </w:object>
      </w:r>
    </w:p>
    <w:p w14:paraId="297CF748">
      <w:pPr>
        <w:spacing w:line="360" w:lineRule="auto"/>
        <w:ind w:firstLine="480" w:firstLineChars="200"/>
        <w:rPr>
          <w:rStyle w:val="27"/>
          <w:rFonts w:ascii="宋体" w:hAnsi="宋体" w:eastAsia="宋体" w:cs="宋体"/>
          <w:b w:val="0"/>
          <w:sz w:val="24"/>
        </w:rPr>
      </w:pPr>
      <w:r>
        <w:rPr>
          <w:rStyle w:val="27"/>
          <w:rFonts w:hint="eastAsia" w:ascii="宋体" w:hAnsi="宋体" w:eastAsia="宋体" w:cs="宋体"/>
          <w:b w:val="0"/>
          <w:sz w:val="24"/>
        </w:rPr>
        <w:t>单次实验标准差为：</w:t>
      </w:r>
    </w:p>
    <w:p w14:paraId="45E1ED1C">
      <w:pPr>
        <w:spacing w:line="360" w:lineRule="auto"/>
        <w:jc w:val="center"/>
        <w:rPr>
          <w:rFonts w:eastAsia="宋体"/>
          <w:sz w:val="24"/>
        </w:rPr>
      </w:pPr>
      <w:r>
        <w:rPr>
          <w:rFonts w:hint="eastAsia"/>
          <w:position w:val="-30"/>
          <w:sz w:val="24"/>
        </w:rPr>
        <w:object>
          <v:shape id="_x0000_i1105" o:spt="75" type="#_x0000_t75" style="height:38pt;width:172pt;" o:ole="t" filled="f" o:preferrelative="t" stroked="f" coordsize="21600,21600">
            <v:path/>
            <v:fill on="f" focussize="0,0"/>
            <v:stroke on="f"/>
            <v:imagedata r:id="rId177" o:title=""/>
            <o:lock v:ext="edit" aspectratio="t"/>
            <w10:wrap type="none"/>
            <w10:anchorlock/>
          </v:shape>
          <o:OLEObject Type="Embed" ProgID="Equation.KSEE3" ShapeID="_x0000_i1105" DrawAspect="Content" ObjectID="_1468075805" r:id="rId176">
            <o:LockedField>false</o:LockedField>
          </o:OLEObject>
        </w:object>
      </w:r>
    </w:p>
    <w:p w14:paraId="1B772788">
      <w:pPr>
        <w:spacing w:line="360" w:lineRule="auto"/>
        <w:ind w:firstLine="480" w:firstLineChars="200"/>
        <w:rPr>
          <w:rStyle w:val="27"/>
          <w:rFonts w:ascii="宋体" w:hAnsi="宋体" w:eastAsia="宋体" w:cs="宋体"/>
          <w:b w:val="0"/>
          <w:sz w:val="24"/>
        </w:rPr>
      </w:pPr>
      <w:r>
        <w:rPr>
          <w:rStyle w:val="27"/>
          <w:rFonts w:hint="eastAsia" w:ascii="宋体" w:hAnsi="宋体" w:eastAsia="宋体" w:cs="宋体"/>
          <w:b w:val="0"/>
          <w:sz w:val="24"/>
        </w:rPr>
        <w:t>由于实际校准过程中是测量3次取平均值作为误差计算依据，则测量重复性引入的不确定为：</w:t>
      </w:r>
    </w:p>
    <w:p w14:paraId="58FEE543">
      <w:pPr>
        <w:spacing w:line="360" w:lineRule="auto"/>
        <w:ind w:firstLine="480" w:firstLineChars="200"/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position w:val="-28"/>
          <w:sz w:val="24"/>
        </w:rPr>
        <w:object>
          <v:shape id="_x0000_i1106" o:spt="75" type="#_x0000_t75" style="height:33pt;width:107pt;" o:ole="t" filled="f" o:preferrelative="t" stroked="f" coordsize="21600,21600">
            <v:path/>
            <v:fill on="f" focussize="0,0"/>
            <v:stroke on="f"/>
            <v:imagedata r:id="rId179" o:title=""/>
            <o:lock v:ext="edit" aspectratio="t"/>
            <w10:wrap type="none"/>
            <w10:anchorlock/>
          </v:shape>
          <o:OLEObject Type="Embed" ProgID="Equation.KSEE3" ShapeID="_x0000_i1106" DrawAspect="Content" ObjectID="_1468075806" r:id="rId178">
            <o:LockedField>false</o:LockedField>
          </o:OLEObject>
        </w:object>
      </w:r>
    </w:p>
    <w:p w14:paraId="440CB852">
      <w:pPr>
        <w:pStyle w:val="43"/>
        <w:spacing w:before="156" w:beforeLines="50" w:after="156" w:afterLines="50"/>
        <w:ind w:firstLine="0" w:firstLineChars="0"/>
        <w:rPr>
          <w:szCs w:val="24"/>
        </w:rPr>
      </w:pPr>
      <w:r>
        <w:rPr>
          <w:rFonts w:hint="eastAsia"/>
          <w:szCs w:val="24"/>
        </w:rPr>
        <w:t>D</w:t>
      </w:r>
      <w:r>
        <w:rPr>
          <w:szCs w:val="24"/>
        </w:rPr>
        <w:t>.</w:t>
      </w:r>
      <w:r>
        <w:rPr>
          <w:rFonts w:hint="eastAsia"/>
          <w:szCs w:val="24"/>
        </w:rPr>
        <w:t xml:space="preserve">4.1.2 </w:t>
      </w:r>
      <w:r>
        <w:rPr>
          <w:rFonts w:hint="eastAsia"/>
          <w:szCs w:val="24"/>
          <w:lang w:val="en-US" w:eastAsia="zh-CN"/>
        </w:rPr>
        <w:t>数字多用表</w:t>
      </w:r>
      <w:r>
        <w:rPr>
          <w:rFonts w:hint="eastAsia"/>
          <w:szCs w:val="24"/>
        </w:rPr>
        <w:t>分辨力引入的不确定度分量</w:t>
      </w:r>
      <w:r>
        <w:rPr>
          <w:position w:val="-10"/>
          <w:vertAlign w:val="subscript"/>
        </w:rPr>
        <w:object>
          <v:shape id="_x0000_i1107" o:spt="75" type="#_x0000_t75" style="height:17pt;width:16pt;" o:ole="t" filled="f" o:preferrelative="t" stroked="f" coordsize="21600,21600">
            <v:path/>
            <v:fill on="f" focussize="0,0"/>
            <v:stroke on="f"/>
            <v:imagedata r:id="rId181" o:title=""/>
            <o:lock v:ext="edit" aspectratio="t"/>
            <w10:wrap type="none"/>
            <w10:anchorlock/>
          </v:shape>
          <o:OLEObject Type="Embed" ProgID="Equation.KSEE3" ShapeID="_x0000_i1107" DrawAspect="Content" ObjectID="_1468075807" r:id="rId180">
            <o:LockedField>false</o:LockedField>
          </o:OLEObject>
        </w:object>
      </w:r>
    </w:p>
    <w:p w14:paraId="2D6A3520">
      <w:pPr>
        <w:ind w:firstLine="480" w:firstLineChars="200"/>
        <w:rPr>
          <w:rStyle w:val="27"/>
          <w:rFonts w:eastAsia="宋体"/>
          <w:b w:val="0"/>
          <w:sz w:val="24"/>
        </w:rPr>
      </w:pPr>
      <w:r>
        <w:rPr>
          <w:rStyle w:val="27"/>
          <w:rFonts w:hint="eastAsia" w:eastAsia="宋体"/>
          <w:b w:val="0"/>
          <w:sz w:val="24"/>
          <w:lang w:val="en-US" w:eastAsia="zh-CN"/>
        </w:rPr>
        <w:t>数字多用表</w:t>
      </w:r>
      <w:r>
        <w:rPr>
          <w:rStyle w:val="27"/>
          <w:rFonts w:eastAsia="宋体"/>
          <w:b w:val="0"/>
          <w:sz w:val="24"/>
        </w:rPr>
        <w:t>的</w:t>
      </w:r>
      <w:r>
        <w:rPr>
          <w:rStyle w:val="27"/>
          <w:rFonts w:hint="eastAsia" w:eastAsia="宋体"/>
          <w:b w:val="0"/>
          <w:sz w:val="24"/>
        </w:rPr>
        <w:t>直流电流测量</w:t>
      </w:r>
      <w:r>
        <w:rPr>
          <w:rStyle w:val="27"/>
          <w:rFonts w:eastAsia="宋体"/>
          <w:b w:val="0"/>
          <w:sz w:val="24"/>
        </w:rPr>
        <w:t>分辨力为</w:t>
      </w:r>
      <w:r>
        <w:rPr>
          <w:rStyle w:val="27"/>
          <w:rFonts w:hint="eastAsia" w:eastAsia="宋体"/>
          <w:b w:val="0"/>
          <w:sz w:val="24"/>
        </w:rPr>
        <w:t>0.0001mA</w:t>
      </w:r>
      <w:r>
        <w:rPr>
          <w:rStyle w:val="27"/>
          <w:rFonts w:eastAsia="宋体"/>
          <w:b w:val="0"/>
          <w:sz w:val="24"/>
        </w:rPr>
        <w:t>，属B类评定，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区间半宽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=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/2=0.00</w:t>
      </w:r>
      <w:r>
        <w:rPr>
          <w:rFonts w:hint="eastAsia" w:eastAsia="宋体" w:cs="Times New Roman"/>
          <w:sz w:val="24"/>
          <w:szCs w:val="24"/>
          <w:lang w:val="en-US" w:eastAsia="zh-CN"/>
        </w:rPr>
        <w:t>005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eastAsia="宋体" w:cs="Times New Roman"/>
          <w:sz w:val="24"/>
          <w:szCs w:val="24"/>
          <w:lang w:val="en-US" w:eastAsia="zh-CN"/>
        </w:rPr>
        <w:t>mA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，满足均匀分布，取</w:t>
      </w:r>
      <w:r>
        <w:rPr>
          <w:rFonts w:hint="eastAsia" w:ascii="Times New Roman" w:hAnsi="Times New Roman" w:eastAsia="宋体" w:cs="Times New Roman"/>
          <w:position w:val="-8"/>
          <w:sz w:val="24"/>
          <w:szCs w:val="24"/>
          <w:lang w:val="en-US" w:eastAsia="zh-CN"/>
        </w:rPr>
        <w:object>
          <v:shape id="_x0000_i1108" o:spt="75" type="#_x0000_t75" style="height:18pt;width:36pt;" o:ole="t" filled="f" o:preferrelative="t" stroked="f" coordsize="21600,21600">
            <v:path/>
            <v:fill on="f" focussize="0,0"/>
            <v:stroke on="f"/>
            <v:imagedata r:id="rId128" o:title=""/>
            <o:lock v:ext="edit" aspectratio="t"/>
            <w10:wrap type="none"/>
            <w10:anchorlock/>
          </v:shape>
          <o:OLEObject Type="Embed" ProgID="Equation.KSEE3" ShapeID="_x0000_i1108" DrawAspect="Content" ObjectID="_1468075808" r:id="rId18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，</w:t>
      </w:r>
      <w:r>
        <w:rPr>
          <w:rStyle w:val="27"/>
          <w:rFonts w:eastAsia="宋体"/>
          <w:b w:val="0"/>
          <w:sz w:val="24"/>
        </w:rPr>
        <w:t>则：</w:t>
      </w:r>
    </w:p>
    <w:p w14:paraId="1DA769F0">
      <w:pPr>
        <w:ind w:firstLine="480" w:firstLineChars="200"/>
        <w:jc w:val="center"/>
        <w:rPr>
          <w:rFonts w:eastAsia="宋体"/>
          <w:sz w:val="24"/>
        </w:rPr>
      </w:pPr>
      <w:r>
        <w:rPr>
          <w:rFonts w:eastAsia="宋体"/>
          <w:position w:val="-24"/>
          <w:sz w:val="24"/>
        </w:rPr>
        <w:object>
          <v:shape id="_x0000_i1109" o:spt="75" type="#_x0000_t75" style="height:31pt;width:112pt;" o:ole="t" filled="f" o:preferrelative="t" stroked="f" coordsize="21600,21600">
            <v:path/>
            <v:fill on="f" focussize="0,0"/>
            <v:stroke on="f"/>
            <v:imagedata r:id="rId184" o:title=""/>
            <o:lock v:ext="edit" aspectratio="t"/>
            <w10:wrap type="none"/>
            <w10:anchorlock/>
          </v:shape>
          <o:OLEObject Type="Embed" ProgID="Equation.KSEE3" ShapeID="_x0000_i1109" DrawAspect="Content" ObjectID="_1468075809" r:id="rId183">
            <o:LockedField>false</o:LockedField>
          </o:OLEObject>
        </w:object>
      </w:r>
    </w:p>
    <w:p w14:paraId="2BF16F48">
      <w:pPr>
        <w:spacing w:line="360" w:lineRule="auto"/>
        <w:ind w:firstLine="480" w:firstLineChars="200"/>
        <w:rPr>
          <w:rStyle w:val="27"/>
          <w:rFonts w:hint="eastAsia" w:eastAsia="宋体"/>
          <w:b w:val="0"/>
          <w:sz w:val="24"/>
          <w:lang w:eastAsia="zh-CN"/>
        </w:rPr>
      </w:pPr>
      <w:r>
        <w:rPr>
          <w:rStyle w:val="27"/>
          <w:rFonts w:eastAsia="宋体"/>
          <w:b w:val="0"/>
          <w:sz w:val="24"/>
        </w:rPr>
        <w:t>重复性引入的不确定度分量与</w:t>
      </w:r>
      <w:r>
        <w:rPr>
          <w:rStyle w:val="27"/>
          <w:rFonts w:hint="eastAsia" w:eastAsia="宋体"/>
          <w:b w:val="0"/>
          <w:sz w:val="24"/>
          <w:lang w:val="en-US" w:eastAsia="zh-CN"/>
        </w:rPr>
        <w:t>数字多用表</w:t>
      </w:r>
      <w:r>
        <w:rPr>
          <w:rStyle w:val="27"/>
          <w:rFonts w:eastAsia="宋体"/>
          <w:b w:val="0"/>
          <w:sz w:val="24"/>
        </w:rPr>
        <w:t>分辨力引入的不确定度分量，两者取大值，则</w:t>
      </w:r>
      <w:r>
        <w:rPr>
          <w:rStyle w:val="27"/>
          <w:rFonts w:hint="eastAsia" w:eastAsia="宋体"/>
          <w:b w:val="0"/>
          <w:sz w:val="24"/>
          <w:lang w:eastAsia="zh-CN"/>
        </w:rPr>
        <w:t>：</w:t>
      </w:r>
    </w:p>
    <w:p w14:paraId="079A3B77">
      <w:pPr>
        <w:spacing w:line="360" w:lineRule="auto"/>
        <w:jc w:val="center"/>
        <w:rPr>
          <w:rStyle w:val="27"/>
          <w:rFonts w:eastAsia="宋体"/>
          <w:b w:val="0"/>
          <w:sz w:val="24"/>
        </w:rPr>
      </w:pPr>
      <w:r>
        <w:rPr>
          <w:position w:val="-10"/>
          <w:vertAlign w:val="subscript"/>
        </w:rPr>
        <w:object>
          <v:shape id="_x0000_i1110" o:spt="75" type="#_x0000_t75" style="height:17pt;width:66pt;" o:ole="t" filled="f" o:preferrelative="t" stroked="f" coordsize="21600,21600">
            <v:path/>
            <v:fill on="f" focussize="0,0"/>
            <v:stroke on="f"/>
            <v:imagedata r:id="rId186" o:title=""/>
            <o:lock v:ext="edit" aspectratio="t"/>
            <w10:wrap type="none"/>
            <w10:anchorlock/>
          </v:shape>
          <o:OLEObject Type="Embed" ProgID="Equation.KSEE3" ShapeID="_x0000_i1110" DrawAspect="Content" ObjectID="_1468075810" r:id="rId185">
            <o:LockedField>false</o:LockedField>
          </o:OLEObject>
        </w:object>
      </w:r>
    </w:p>
    <w:p w14:paraId="04A6A6F9">
      <w:pPr>
        <w:pStyle w:val="43"/>
        <w:spacing w:before="156" w:beforeLines="50" w:after="156" w:afterLines="50"/>
        <w:ind w:firstLine="0" w:firstLineChars="0"/>
        <w:rPr>
          <w:position w:val="-10"/>
          <w:vertAlign w:val="subscript"/>
        </w:rPr>
      </w:pPr>
      <w:bookmarkStart w:id="338" w:name="_Toc18136"/>
      <w:r>
        <w:rPr>
          <w:rFonts w:hint="eastAsia"/>
          <w:szCs w:val="24"/>
        </w:rPr>
        <w:t xml:space="preserve">D.4.2 </w:t>
      </w:r>
      <w:r>
        <w:rPr>
          <w:rFonts w:hint="eastAsia"/>
          <w:szCs w:val="24"/>
          <w:lang w:val="en-US" w:eastAsia="zh-CN"/>
        </w:rPr>
        <w:t>测量标准不确定度</w:t>
      </w:r>
      <w:r>
        <w:rPr>
          <w:rFonts w:hint="eastAsia"/>
          <w:szCs w:val="24"/>
        </w:rPr>
        <w:t>引</w:t>
      </w:r>
      <w:r>
        <w:rPr>
          <w:rFonts w:hint="eastAsia"/>
          <w:szCs w:val="24"/>
          <w:lang w:val="en-US" w:eastAsia="zh-CN"/>
        </w:rPr>
        <w:t>入</w:t>
      </w:r>
      <w:r>
        <w:rPr>
          <w:rFonts w:hint="eastAsia"/>
          <w:szCs w:val="24"/>
        </w:rPr>
        <w:t>的不确定度分量</w:t>
      </w:r>
      <w:bookmarkEnd w:id="338"/>
      <w:r>
        <w:rPr>
          <w:position w:val="-10"/>
          <w:vertAlign w:val="subscript"/>
        </w:rPr>
        <w:object>
          <v:shape id="_x0000_i1111" o:spt="75" type="#_x0000_t75" style="height:17pt;width:13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KSEE3" ShapeID="_x0000_i1111" DrawAspect="Content" ObjectID="_1468075811" r:id="rId187">
            <o:LockedField>false</o:LockedField>
          </o:OLEObject>
        </w:object>
      </w:r>
    </w:p>
    <w:p w14:paraId="32D6E757">
      <w:pPr>
        <w:pStyle w:val="43"/>
        <w:spacing w:before="156" w:beforeLines="50" w:after="156" w:afterLines="50"/>
        <w:ind w:firstLine="0" w:firstLineChars="0"/>
        <w:rPr>
          <w:rFonts w:hint="default" w:eastAsia="宋体"/>
          <w:position w:val="-10"/>
          <w:vertAlign w:val="baseline"/>
          <w:lang w:val="en-US" w:eastAsia="zh-CN"/>
        </w:rPr>
      </w:pPr>
      <w:r>
        <w:rPr>
          <w:rFonts w:hint="eastAsia"/>
          <w:position w:val="-10"/>
          <w:vertAlign w:val="baseline"/>
          <w:lang w:val="en-US" w:eastAsia="zh-CN"/>
        </w:rPr>
        <w:t>D.4.2.1 标准气体不确定度引入的不确定度分量</w:t>
      </w:r>
      <w:r>
        <w:rPr>
          <w:rFonts w:hint="eastAsia"/>
          <w:i/>
          <w:iCs/>
          <w:position w:val="-10"/>
          <w:vertAlign w:val="baseline"/>
          <w:lang w:val="en-US" w:eastAsia="zh-CN"/>
        </w:rPr>
        <w:t>u</w:t>
      </w:r>
      <w:r>
        <w:rPr>
          <w:rFonts w:hint="eastAsia"/>
          <w:position w:val="-10"/>
          <w:vertAlign w:val="subscript"/>
          <w:lang w:val="en-US" w:eastAsia="zh-CN"/>
        </w:rPr>
        <w:t>21</w:t>
      </w:r>
    </w:p>
    <w:p w14:paraId="40BB07B4">
      <w:pPr>
        <w:spacing w:line="360" w:lineRule="auto"/>
        <w:ind w:firstLine="480" w:firstLineChars="200"/>
        <w:rPr>
          <w:rFonts w:eastAsia="宋体"/>
          <w:kern w:val="0"/>
          <w:sz w:val="24"/>
          <w:lang w:bidi="ar"/>
        </w:rPr>
      </w:pPr>
      <w:r>
        <w:rPr>
          <w:rStyle w:val="27"/>
          <w:rFonts w:eastAsia="宋体"/>
          <w:b w:val="0"/>
          <w:sz w:val="24"/>
        </w:rPr>
        <w:t>标准气体的</w:t>
      </w:r>
      <w:r>
        <w:rPr>
          <w:rFonts w:eastAsia="宋体"/>
          <w:kern w:val="0"/>
          <w:sz w:val="24"/>
          <w:lang w:bidi="ar"/>
        </w:rPr>
        <w:t>相对扩展不确定度为：</w:t>
      </w:r>
      <w:r>
        <w:rPr>
          <w:rFonts w:eastAsia="宋体"/>
          <w:i/>
          <w:iCs/>
          <w:kern w:val="0"/>
          <w:sz w:val="24"/>
          <w:lang w:bidi="ar"/>
        </w:rPr>
        <w:t>U</w:t>
      </w:r>
      <w:r>
        <w:rPr>
          <w:rFonts w:hint="eastAsia" w:eastAsia="宋体"/>
          <w:i w:val="0"/>
          <w:iCs w:val="0"/>
          <w:kern w:val="0"/>
          <w:sz w:val="24"/>
          <w:vertAlign w:val="subscript"/>
          <w:lang w:val="en-US" w:eastAsia="zh-CN" w:bidi="ar"/>
        </w:rPr>
        <w:t>rel</w:t>
      </w:r>
      <w:r>
        <w:rPr>
          <w:rFonts w:eastAsia="宋体"/>
          <w:kern w:val="0"/>
          <w:sz w:val="24"/>
          <w:lang w:bidi="ar"/>
        </w:rPr>
        <w:t>=2%，</w:t>
      </w:r>
      <w:r>
        <w:rPr>
          <w:rFonts w:eastAsia="宋体"/>
          <w:i/>
          <w:iCs/>
          <w:kern w:val="0"/>
          <w:sz w:val="24"/>
          <w:lang w:bidi="ar"/>
        </w:rPr>
        <w:t>k</w:t>
      </w:r>
      <w:r>
        <w:rPr>
          <w:rFonts w:eastAsia="宋体"/>
          <w:kern w:val="0"/>
          <w:sz w:val="24"/>
          <w:lang w:bidi="ar"/>
        </w:rPr>
        <w:t>=2，则</w:t>
      </w:r>
      <w:r>
        <w:rPr>
          <w:rFonts w:hint="eastAsia" w:eastAsia="宋体"/>
          <w:kern w:val="0"/>
          <w:sz w:val="24"/>
          <w:lang w:bidi="ar"/>
        </w:rPr>
        <w:t>在</w:t>
      </w:r>
      <w:r>
        <w:rPr>
          <w:rFonts w:hint="eastAsia" w:eastAsia="宋体"/>
          <w:kern w:val="0"/>
          <w:sz w:val="24"/>
          <w:lang w:val="en-US" w:eastAsia="zh-CN" w:bidi="ar"/>
        </w:rPr>
        <w:t>5</w:t>
      </w:r>
      <w:r>
        <w:rPr>
          <w:rFonts w:hint="eastAsia" w:eastAsia="宋体"/>
          <w:kern w:val="0"/>
          <w:sz w:val="24"/>
          <w:lang w:bidi="ar"/>
        </w:rPr>
        <w:t>0%mol/mol浓度时</w:t>
      </w:r>
      <w:r>
        <w:rPr>
          <w:rFonts w:hint="eastAsia" w:eastAsia="宋体"/>
          <w:kern w:val="0"/>
          <w:sz w:val="24"/>
          <w:lang w:eastAsia="zh-CN" w:bidi="ar"/>
        </w:rPr>
        <w:t>，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由标准气体不确定度引入的不确定度分量为</w:t>
      </w:r>
      <w:r>
        <w:rPr>
          <w:rFonts w:eastAsia="宋体"/>
          <w:kern w:val="0"/>
          <w:sz w:val="24"/>
          <w:lang w:bidi="ar"/>
        </w:rPr>
        <w:t>：</w:t>
      </w:r>
    </w:p>
    <w:p w14:paraId="5EB44137">
      <w:pPr>
        <w:spacing w:line="360" w:lineRule="auto"/>
        <w:ind w:firstLine="420" w:firstLineChars="200"/>
        <w:jc w:val="center"/>
        <w:rPr>
          <w:rFonts w:hint="eastAsia" w:hAnsi="Cambria Math"/>
          <w:sz w:val="24"/>
        </w:rPr>
      </w:pPr>
      <w:r>
        <w:rPr>
          <w:position w:val="-24"/>
          <w:vertAlign w:val="subscript"/>
        </w:rPr>
        <w:object>
          <v:shape id="_x0000_i1112" o:spt="75" type="#_x0000_t75" style="height:31pt;width:217pt;" o:ole="t" filled="f" o:preferrelative="t" stroked="f" coordsize="21600,21600">
            <v:path/>
            <v:fill on="f" focussize="0,0"/>
            <v:stroke on="f"/>
            <v:imagedata r:id="rId190" o:title=""/>
            <o:lock v:ext="edit" aspectratio="t"/>
            <w10:wrap type="none"/>
            <w10:anchorlock/>
          </v:shape>
          <o:OLEObject Type="Embed" ProgID="Equation.KSEE3" ShapeID="_x0000_i1112" DrawAspect="Content" ObjectID="_1468075812" r:id="rId189">
            <o:LockedField>false</o:LockedField>
          </o:OLEObject>
        </w:object>
      </w:r>
    </w:p>
    <w:p w14:paraId="6724074F">
      <w:pPr>
        <w:pStyle w:val="43"/>
        <w:spacing w:before="156" w:beforeLines="50" w:after="156" w:afterLines="50"/>
        <w:ind w:firstLine="0" w:firstLineChars="0"/>
        <w:rPr>
          <w:rFonts w:hint="default" w:hAnsi="Cambria Math"/>
          <w:i w:val="0"/>
          <w:position w:val="-10"/>
          <w:vertAlign w:val="baseline"/>
          <w:lang w:val="en-US"/>
        </w:rPr>
      </w:pPr>
      <w:r>
        <w:rPr>
          <w:rFonts w:hint="eastAsia"/>
          <w:position w:val="-10"/>
          <w:vertAlign w:val="baseline"/>
          <w:lang w:val="en-US" w:eastAsia="zh-CN"/>
        </w:rPr>
        <w:t>D.4.2.2 数字多用表准确度引入的不确定度分量</w:t>
      </w:r>
      <w:r>
        <w:rPr>
          <w:rFonts w:hint="eastAsia"/>
          <w:i/>
          <w:iCs/>
          <w:position w:val="-10"/>
          <w:vertAlign w:val="baseline"/>
          <w:lang w:val="en-US" w:eastAsia="zh-CN"/>
        </w:rPr>
        <w:t>u</w:t>
      </w:r>
      <w:r>
        <w:rPr>
          <w:rFonts w:hint="eastAsia"/>
          <w:position w:val="-10"/>
          <w:vertAlign w:val="subscript"/>
          <w:lang w:val="en-US" w:eastAsia="zh-CN"/>
        </w:rPr>
        <w:t>22</w:t>
      </w:r>
    </w:p>
    <w:p w14:paraId="2AC9A5FB">
      <w:pPr>
        <w:pStyle w:val="43"/>
        <w:spacing w:before="156" w:beforeLines="50" w:after="156" w:afterLines="50"/>
        <w:ind w:firstLine="480" w:firstLineChars="200"/>
        <w:rPr>
          <w:rFonts w:hint="eastAsia" w:hAnsi="Cambria Math"/>
          <w:i w:val="0"/>
          <w:position w:val="-10"/>
          <w:vertAlign w:val="baseline"/>
          <w:lang w:val="en-US" w:eastAsia="zh-CN"/>
        </w:rPr>
      </w:pPr>
      <w:r>
        <w:rPr>
          <w:rFonts w:hint="eastAsia" w:hAnsi="Cambria Math"/>
          <w:i w:val="0"/>
          <w:position w:val="-10"/>
          <w:vertAlign w:val="baseline"/>
          <w:lang w:val="en-US" w:eastAsia="zh-CN"/>
        </w:rPr>
        <w:t>数字多用表的准确度等级为0.02级，服从均匀分布，在12mA测量点的不确定度分量为：</w:t>
      </w:r>
    </w:p>
    <w:p w14:paraId="540A25D6">
      <w:pPr>
        <w:pStyle w:val="43"/>
        <w:spacing w:before="156" w:beforeLines="50" w:after="156" w:afterLines="50"/>
        <w:ind w:firstLine="480" w:firstLineChars="200"/>
        <w:jc w:val="center"/>
        <w:rPr>
          <w:position w:val="-28"/>
          <w:vertAlign w:val="subscript"/>
        </w:rPr>
      </w:pPr>
      <w:r>
        <w:rPr>
          <w:position w:val="-28"/>
          <w:vertAlign w:val="subscript"/>
        </w:rPr>
        <w:object>
          <v:shape id="_x0000_i1113" o:spt="75" type="#_x0000_t75" style="height:33pt;width:183pt;" o:ole="t" filled="f" o:preferrelative="t" stroked="f" coordsize="21600,21600">
            <v:path/>
            <v:fill on="f" focussize="0,0"/>
            <v:stroke on="f"/>
            <v:imagedata r:id="rId192" o:title=""/>
            <o:lock v:ext="edit" aspectratio="t"/>
            <w10:wrap type="none"/>
            <w10:anchorlock/>
          </v:shape>
          <o:OLEObject Type="Embed" ProgID="Equation.KSEE3" ShapeID="_x0000_i1113" DrawAspect="Content" ObjectID="_1468075813" r:id="rId191">
            <o:LockedField>false</o:LockedField>
          </o:OLEObject>
        </w:object>
      </w:r>
    </w:p>
    <w:p w14:paraId="6CA15BA6">
      <w:pPr>
        <w:pStyle w:val="43"/>
        <w:ind w:firstLine="480"/>
        <w:rPr>
          <w:rFonts w:hint="eastAsia"/>
          <w:vertAlign w:val="baseline"/>
          <w:lang w:val="en-US" w:eastAsia="zh-CN"/>
        </w:rPr>
      </w:pPr>
      <w:r>
        <w:rPr>
          <w:rFonts w:hint="eastAsia" w:cs="宋体"/>
          <w:szCs w:val="24"/>
          <w:lang w:val="en-US" w:eastAsia="zh-CN"/>
        </w:rPr>
        <w:t>由于</w:t>
      </w:r>
      <w:r>
        <w:rPr>
          <w:rFonts w:hint="eastAsia"/>
          <w:lang w:val="en-US" w:eastAsia="zh-CN"/>
        </w:rPr>
        <w:t>输入量</w:t>
      </w:r>
      <w:r>
        <w:rPr>
          <w:rFonts w:hint="eastAsia"/>
          <w:i/>
          <w:iCs/>
          <w:lang w:val="en-US" w:eastAsia="zh-CN"/>
        </w:rPr>
        <w:t>C</w:t>
      </w:r>
      <w:r>
        <w:rPr>
          <w:rFonts w:hint="eastAsia"/>
          <w:vertAlign w:val="subscript"/>
          <w:lang w:val="en-US" w:eastAsia="zh-CN"/>
        </w:rPr>
        <w:t>0</w:t>
      </w:r>
      <w:r>
        <w:rPr>
          <w:rFonts w:hint="eastAsia"/>
          <w:vertAlign w:val="baseline"/>
          <w:lang w:val="en-US" w:eastAsia="zh-CN"/>
        </w:rPr>
        <w:t>的灵敏系数</w:t>
      </w:r>
      <w:r>
        <w:rPr>
          <w:rFonts w:hint="eastAsia"/>
          <w:i/>
          <w:iCs/>
          <w:vertAlign w:val="baseline"/>
          <w:lang w:val="en-US" w:eastAsia="zh-CN"/>
        </w:rPr>
        <w:t>c</w:t>
      </w:r>
      <w:r>
        <w:rPr>
          <w:rFonts w:hint="eastAsia"/>
          <w:vertAlign w:val="subscript"/>
          <w:lang w:val="en-US" w:eastAsia="zh-CN"/>
        </w:rPr>
        <w:t>2</w:t>
      </w:r>
      <w:r>
        <w:rPr>
          <w:rFonts w:hint="eastAsia"/>
          <w:vertAlign w:val="baseline"/>
          <w:lang w:val="en-US" w:eastAsia="zh-CN"/>
        </w:rPr>
        <w:t>为-0.16mA/(%mol/mol)，则由测量标准不确定度引入的不确定度分量为：</w:t>
      </w:r>
    </w:p>
    <w:p w14:paraId="34E4AE36">
      <w:pPr>
        <w:pStyle w:val="43"/>
        <w:ind w:firstLine="480"/>
        <w:jc w:val="center"/>
        <w:rPr>
          <w:rFonts w:hint="default"/>
          <w:vertAlign w:val="baseline"/>
          <w:lang w:val="en-US" w:eastAsia="zh-CN"/>
        </w:rPr>
      </w:pPr>
      <w:r>
        <w:rPr>
          <w:position w:val="-12"/>
          <w:vertAlign w:val="subscript"/>
        </w:rPr>
        <w:object>
          <v:shape id="_x0000_i1114" o:spt="75" type="#_x0000_t75" style="height:22pt;width:148pt;" o:ole="t" filled="f" o:preferrelative="t" stroked="f" coordsize="21600,21600">
            <v:path/>
            <v:fill on="f" focussize="0,0"/>
            <v:stroke on="f"/>
            <v:imagedata r:id="rId194" o:title=""/>
            <o:lock v:ext="edit" aspectratio="t"/>
            <w10:wrap type="none"/>
            <w10:anchorlock/>
          </v:shape>
          <o:OLEObject Type="Embed" ProgID="Equation.KSEE3" ShapeID="_x0000_i1114" DrawAspect="Content" ObjectID="_1468075814" r:id="rId193">
            <o:LockedField>false</o:LockedField>
          </o:OLEObject>
        </w:object>
      </w:r>
    </w:p>
    <w:p w14:paraId="274A990B">
      <w:pPr>
        <w:pStyle w:val="43"/>
        <w:spacing w:before="156" w:beforeLines="50" w:after="156" w:afterLines="50"/>
        <w:ind w:firstLine="0" w:firstLineChars="0"/>
        <w:rPr>
          <w:rFonts w:eastAsia="黑体"/>
          <w:szCs w:val="24"/>
        </w:rPr>
      </w:pPr>
      <w:r>
        <w:rPr>
          <w:rFonts w:hint="eastAsia"/>
          <w:szCs w:val="24"/>
        </w:rPr>
        <w:t xml:space="preserve">D.5 </w:t>
      </w:r>
      <w:r>
        <w:rPr>
          <w:rFonts w:hint="eastAsia" w:ascii="Times New Roman" w:hAnsi="Times New Roman" w:eastAsia="黑体" w:cs="Times New Roman"/>
          <w:szCs w:val="24"/>
          <w:lang w:val="en-US" w:eastAsia="zh-CN"/>
        </w:rPr>
        <w:t>标准</w:t>
      </w:r>
      <w:r>
        <w:rPr>
          <w:rFonts w:hint="eastAsia" w:eastAsia="黑体"/>
          <w:szCs w:val="24"/>
        </w:rPr>
        <w:t>不确定度分量汇总</w:t>
      </w:r>
    </w:p>
    <w:p w14:paraId="5E153ADE">
      <w:pPr>
        <w:pStyle w:val="43"/>
        <w:ind w:firstLine="480"/>
        <w:rPr>
          <w:rFonts w:hint="eastAsia" w:eastAsia="宋体" w:cs="宋体"/>
          <w:szCs w:val="24"/>
          <w:lang w:eastAsia="zh-CN"/>
        </w:rPr>
      </w:pPr>
      <w:r>
        <w:rPr>
          <w:rFonts w:hint="eastAsia" w:cs="宋体"/>
          <w:szCs w:val="24"/>
          <w:lang w:val="en-US" w:eastAsia="zh-CN"/>
        </w:rPr>
        <w:t>标准</w:t>
      </w:r>
      <w:r>
        <w:rPr>
          <w:rFonts w:hint="eastAsia" w:cs="宋体"/>
          <w:szCs w:val="24"/>
        </w:rPr>
        <w:t>不确定度分量汇总见表D.3</w:t>
      </w:r>
      <w:r>
        <w:rPr>
          <w:rFonts w:hint="eastAsia" w:cs="宋体"/>
          <w:szCs w:val="24"/>
          <w:lang w:eastAsia="zh-CN"/>
        </w:rPr>
        <w:t>。</w:t>
      </w:r>
    </w:p>
    <w:p w14:paraId="632B25FA">
      <w:pPr>
        <w:spacing w:line="360" w:lineRule="auto"/>
        <w:jc w:val="center"/>
        <w:rPr>
          <w:rStyle w:val="102"/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</w:pPr>
      <w:r>
        <w:rPr>
          <w:rStyle w:val="102"/>
          <w:rFonts w:hint="default" w:ascii="Times New Roman" w:hAnsi="Times New Roman" w:cs="Times New Roman"/>
          <w:color w:val="auto"/>
          <w:szCs w:val="21"/>
        </w:rPr>
        <w:t xml:space="preserve">表D.3 </w:t>
      </w:r>
      <w:r>
        <w:rPr>
          <w:rStyle w:val="102"/>
          <w:rFonts w:hint="default" w:ascii="Times New Roman" w:hAnsi="Times New Roman" w:eastAsia="黑体" w:cs="Times New Roman"/>
          <w:color w:val="auto"/>
          <w:szCs w:val="21"/>
          <w:lang w:val="en-US" w:eastAsia="zh-CN"/>
        </w:rPr>
        <w:t>标准</w:t>
      </w:r>
      <w:r>
        <w:rPr>
          <w:rStyle w:val="102"/>
          <w:rFonts w:hint="default" w:ascii="Times New Roman" w:hAnsi="Times New Roman" w:cs="Times New Roman"/>
          <w:color w:val="auto"/>
          <w:szCs w:val="21"/>
        </w:rPr>
        <w:t>不确定度</w:t>
      </w:r>
      <w:r>
        <w:rPr>
          <w:rStyle w:val="102"/>
          <w:rFonts w:hint="eastAsia" w:eastAsia="黑体" w:cs="Times New Roman"/>
          <w:color w:val="auto"/>
          <w:szCs w:val="21"/>
          <w:lang w:val="en-US" w:eastAsia="zh-CN"/>
        </w:rPr>
        <w:t>分量汇总</w:t>
      </w:r>
    </w:p>
    <w:tbl>
      <w:tblPr>
        <w:tblStyle w:val="25"/>
        <w:tblW w:w="499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226"/>
        <w:gridCol w:w="964"/>
        <w:gridCol w:w="1980"/>
        <w:gridCol w:w="2128"/>
        <w:gridCol w:w="1621"/>
      </w:tblGrid>
      <w:tr w14:paraId="4D4706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 w14:paraId="1D01F7AD">
            <w:pPr>
              <w:spacing w:line="240" w:lineRule="auto"/>
              <w:jc w:val="center"/>
              <w:rPr>
                <w:rStyle w:val="101"/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Style w:val="101"/>
                <w:rFonts w:hint="eastAsia" w:eastAsia="宋体" w:cs="Times New Roman"/>
                <w:color w:val="auto"/>
                <w:szCs w:val="21"/>
                <w:lang w:val="en-US" w:eastAsia="zh-CN"/>
              </w:rPr>
              <w:t>序号</w:t>
            </w:r>
          </w:p>
        </w:tc>
        <w:tc>
          <w:tcPr>
            <w:tcW w:w="1164" w:type="pct"/>
            <w:tcBorders>
              <w:tl2br w:val="nil"/>
              <w:tr2bl w:val="nil"/>
            </w:tcBorders>
            <w:vAlign w:val="center"/>
          </w:tcPr>
          <w:p w14:paraId="1727CD7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Style w:val="101"/>
                <w:rFonts w:hint="default" w:ascii="Times New Roman" w:hAnsi="Times New Roman" w:cs="Times New Roman"/>
                <w:color w:val="auto"/>
                <w:szCs w:val="21"/>
              </w:rPr>
              <w:t>标准不确定度来源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43DC59C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Style w:val="101"/>
                <w:rFonts w:hint="default" w:ascii="Times New Roman" w:hAnsi="Times New Roman" w:cs="Times New Roman"/>
                <w:color w:val="auto"/>
                <w:szCs w:val="21"/>
              </w:rPr>
              <w:t>符号</w:t>
            </w:r>
          </w:p>
        </w:tc>
        <w:tc>
          <w:tcPr>
            <w:tcW w:w="1035" w:type="pct"/>
            <w:tcBorders>
              <w:tl2br w:val="nil"/>
              <w:tr2bl w:val="nil"/>
            </w:tcBorders>
            <w:vAlign w:val="center"/>
          </w:tcPr>
          <w:p w14:paraId="55770F8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标准</w:t>
            </w:r>
            <w:r>
              <w:rPr>
                <w:rStyle w:val="101"/>
                <w:rFonts w:hint="default" w:ascii="Times New Roman" w:hAnsi="Times New Roman" w:cs="Times New Roman"/>
                <w:color w:val="auto"/>
                <w:szCs w:val="21"/>
              </w:rPr>
              <w:t>不确定度</w:t>
            </w:r>
          </w:p>
        </w:tc>
        <w:tc>
          <w:tcPr>
            <w:tcW w:w="1112" w:type="pct"/>
            <w:tcBorders>
              <w:tl2br w:val="nil"/>
              <w:tr2bl w:val="nil"/>
            </w:tcBorders>
            <w:vAlign w:val="center"/>
          </w:tcPr>
          <w:p w14:paraId="5AD0BAF9">
            <w:pPr>
              <w:spacing w:line="240" w:lineRule="auto"/>
              <w:jc w:val="center"/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灵敏系数</w:t>
            </w:r>
            <w:r>
              <w:rPr>
                <w:rStyle w:val="101"/>
                <w:rFonts w:hint="eastAsia" w:eastAsia="宋体" w:cs="Times New Roman"/>
                <w:i/>
                <w:iCs/>
                <w:color w:val="auto"/>
                <w:szCs w:val="21"/>
                <w:lang w:val="en-US" w:eastAsia="zh-CN"/>
              </w:rPr>
              <w:t>c</w:t>
            </w:r>
            <w:r>
              <w:rPr>
                <w:rStyle w:val="101"/>
                <w:rFonts w:hint="eastAsia" w:eastAsia="宋体" w:cs="Times New Roman"/>
                <w:color w:val="auto"/>
                <w:szCs w:val="21"/>
                <w:vertAlign w:val="subscript"/>
                <w:lang w:val="en-US" w:eastAsia="zh-CN"/>
              </w:rPr>
              <w:t>i</w:t>
            </w:r>
          </w:p>
        </w:tc>
        <w:tc>
          <w:tcPr>
            <w:tcW w:w="847" w:type="pct"/>
            <w:tcBorders>
              <w:tl2br w:val="nil"/>
              <w:tr2bl w:val="nil"/>
            </w:tcBorders>
            <w:vAlign w:val="center"/>
          </w:tcPr>
          <w:p w14:paraId="676501F5">
            <w:pPr>
              <w:spacing w:line="240" w:lineRule="auto"/>
              <w:jc w:val="center"/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Style w:val="101"/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不确定度分量</w:t>
            </w:r>
          </w:p>
        </w:tc>
      </w:tr>
      <w:tr w14:paraId="71E18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 w14:paraId="75DB0C86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64" w:type="pct"/>
            <w:tcBorders>
              <w:tl2br w:val="nil"/>
              <w:tr2bl w:val="nil"/>
            </w:tcBorders>
            <w:vAlign w:val="center"/>
          </w:tcPr>
          <w:p w14:paraId="03B59749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测量过程引入的不确定度分量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043709F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115" o:spt="75" type="#_x0000_t75" style="height:17pt;width:12pt;" o:ole="t" filled="f" o:preferrelative="t" stroked="f" coordsize="21600,21600">
                  <v:path/>
                  <v:fill on="f" focussize="0,0"/>
                  <v:stroke on="f" joinstyle="miter"/>
                  <v:imagedata r:id="rId196" o:title=""/>
                  <o:lock v:ext="edit" aspectratio="t"/>
                  <w10:wrap type="none"/>
                  <w10:anchorlock/>
                </v:shape>
                <o:OLEObject Type="Embed" ProgID="Equation.KSEE3" ShapeID="_x0000_i1115" DrawAspect="Content" ObjectID="_1468075815" r:id="rId195">
                  <o:LockedField>false</o:LockedField>
                </o:OLEObject>
              </w:object>
            </w:r>
          </w:p>
        </w:tc>
        <w:tc>
          <w:tcPr>
            <w:tcW w:w="1035" w:type="pct"/>
            <w:tcBorders>
              <w:tl2br w:val="nil"/>
              <w:tr2bl w:val="nil"/>
            </w:tcBorders>
            <w:vAlign w:val="center"/>
          </w:tcPr>
          <w:p w14:paraId="66FC63D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112" w:type="pct"/>
            <w:tcBorders>
              <w:tl2br w:val="nil"/>
              <w:tr2bl w:val="nil"/>
            </w:tcBorders>
            <w:vAlign w:val="center"/>
          </w:tcPr>
          <w:p w14:paraId="2F7FD3C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847" w:type="pct"/>
            <w:tcBorders>
              <w:tl2br w:val="nil"/>
              <w:tr2bl w:val="nil"/>
            </w:tcBorders>
            <w:vAlign w:val="center"/>
          </w:tcPr>
          <w:p w14:paraId="4F1DC77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0.00</w:t>
            </w:r>
            <w:r>
              <w:rPr>
                <w:rFonts w:hint="eastAsia" w:eastAsia="宋体" w:cs="Times New Roman"/>
                <w:szCs w:val="21"/>
                <w:lang w:val="en-US" w:eastAsia="zh-CN"/>
              </w:rPr>
              <w:t>38mA</w:t>
            </w:r>
          </w:p>
        </w:tc>
      </w:tr>
      <w:tr w14:paraId="709E3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 w14:paraId="0CF0964D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1.1</w:t>
            </w:r>
          </w:p>
        </w:tc>
        <w:tc>
          <w:tcPr>
            <w:tcW w:w="1164" w:type="pct"/>
            <w:tcBorders>
              <w:tl2br w:val="nil"/>
              <w:tr2bl w:val="nil"/>
            </w:tcBorders>
            <w:vAlign w:val="center"/>
          </w:tcPr>
          <w:p w14:paraId="45F8FAD7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</w:rPr>
              <w:t>测量重复性</w:t>
            </w: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引入的不确定度分量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077F688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116" o:spt="75" type="#_x0000_t75" style="height:17pt;width:15pt;" o:ole="t" filled="f" o:preferrelative="t" stroked="f" coordsize="21600,21600">
                  <v:path/>
                  <v:fill on="f" focussize="0,0"/>
                  <v:stroke on="f"/>
                  <v:imagedata r:id="rId198" o:title=""/>
                  <o:lock v:ext="edit" aspectratio="t"/>
                  <w10:wrap type="none"/>
                  <w10:anchorlock/>
                </v:shape>
                <o:OLEObject Type="Embed" ProgID="Equation.KSEE3" ShapeID="_x0000_i1116" DrawAspect="Content" ObjectID="_1468075816" r:id="rId197">
                  <o:LockedField>false</o:LockedField>
                </o:OLEObject>
              </w:object>
            </w:r>
          </w:p>
        </w:tc>
        <w:tc>
          <w:tcPr>
            <w:tcW w:w="1035" w:type="pct"/>
            <w:tcBorders>
              <w:tl2br w:val="nil"/>
              <w:tr2bl w:val="nil"/>
            </w:tcBorders>
            <w:vAlign w:val="center"/>
          </w:tcPr>
          <w:p w14:paraId="511FE11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0.00</w:t>
            </w:r>
            <w:r>
              <w:rPr>
                <w:rFonts w:hint="eastAsia" w:eastAsia="宋体" w:cs="Times New Roman"/>
                <w:szCs w:val="21"/>
                <w:lang w:val="en-US" w:eastAsia="zh-CN"/>
              </w:rPr>
              <w:t>38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mA</w:t>
            </w:r>
          </w:p>
        </w:tc>
        <w:tc>
          <w:tcPr>
            <w:tcW w:w="1112" w:type="pct"/>
            <w:tcBorders>
              <w:tl2br w:val="nil"/>
              <w:tr2bl w:val="nil"/>
            </w:tcBorders>
            <w:vAlign w:val="center"/>
          </w:tcPr>
          <w:p w14:paraId="29BCD20D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847" w:type="pct"/>
            <w:tcBorders>
              <w:tl2br w:val="nil"/>
              <w:tr2bl w:val="nil"/>
            </w:tcBorders>
            <w:vAlign w:val="center"/>
          </w:tcPr>
          <w:p w14:paraId="5DDCE282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/</w:t>
            </w:r>
          </w:p>
        </w:tc>
      </w:tr>
      <w:tr w14:paraId="1FC13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 w14:paraId="588EA5A5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1.2</w:t>
            </w:r>
          </w:p>
        </w:tc>
        <w:tc>
          <w:tcPr>
            <w:tcW w:w="1164" w:type="pct"/>
            <w:tcBorders>
              <w:tl2br w:val="nil"/>
              <w:tr2bl w:val="nil"/>
            </w:tcBorders>
            <w:vAlign w:val="center"/>
          </w:tcPr>
          <w:p w14:paraId="6EC56B0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数字多用表</w:t>
            </w: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</w:rPr>
              <w:t>分辨力</w:t>
            </w: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引入的不确定度分量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6ED90D2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117" o:spt="75" type="#_x0000_t75" style="height:17pt;width:16pt;" o:ole="t" filled="f" o:preferrelative="t" stroked="f" coordsize="21600,21600">
                  <v:path/>
                  <v:fill on="f" focussize="0,0"/>
                  <v:stroke on="f"/>
                  <v:imagedata r:id="rId200" o:title=""/>
                  <o:lock v:ext="edit" aspectratio="t"/>
                  <w10:wrap type="none"/>
                  <w10:anchorlock/>
                </v:shape>
                <o:OLEObject Type="Embed" ProgID="Equation.KSEE3" ShapeID="_x0000_i1117" DrawAspect="Content" ObjectID="_1468075817" r:id="rId199">
                  <o:LockedField>false</o:LockedField>
                </o:OLEObject>
              </w:object>
            </w:r>
          </w:p>
        </w:tc>
        <w:tc>
          <w:tcPr>
            <w:tcW w:w="1035" w:type="pct"/>
            <w:tcBorders>
              <w:tl2br w:val="nil"/>
              <w:tr2bl w:val="nil"/>
            </w:tcBorders>
            <w:vAlign w:val="center"/>
          </w:tcPr>
          <w:p w14:paraId="253487F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0.000029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mA</w:t>
            </w:r>
          </w:p>
        </w:tc>
        <w:tc>
          <w:tcPr>
            <w:tcW w:w="1112" w:type="pct"/>
            <w:tcBorders>
              <w:tl2br w:val="nil"/>
              <w:tr2bl w:val="nil"/>
            </w:tcBorders>
            <w:vAlign w:val="center"/>
          </w:tcPr>
          <w:p w14:paraId="03C91B08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847" w:type="pct"/>
            <w:tcBorders>
              <w:tl2br w:val="nil"/>
              <w:tr2bl w:val="nil"/>
            </w:tcBorders>
            <w:vAlign w:val="center"/>
          </w:tcPr>
          <w:p w14:paraId="2B1E43BD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/</w:t>
            </w:r>
          </w:p>
        </w:tc>
      </w:tr>
      <w:tr w14:paraId="46296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 w14:paraId="5F1E8D70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64" w:type="pct"/>
            <w:tcBorders>
              <w:tl2br w:val="nil"/>
              <w:tr2bl w:val="nil"/>
            </w:tcBorders>
            <w:vAlign w:val="center"/>
          </w:tcPr>
          <w:p w14:paraId="60805B32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测量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标准不确定度</w:t>
            </w: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引入的不确定度分量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1A2E365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118" o:spt="75" type="#_x0000_t75" style="height:17pt;width:13pt;" o:ole="t" filled="f" o:preferrelative="t" stroked="f" coordsize="21600,21600">
                  <v:path/>
                  <v:fill on="f" focussize="0,0"/>
                  <v:stroke on="f"/>
                  <v:imagedata r:id="rId202" o:title=""/>
                  <o:lock v:ext="edit" aspectratio="t"/>
                  <w10:wrap type="none"/>
                  <w10:anchorlock/>
                </v:shape>
                <o:OLEObject Type="Embed" ProgID="Equation.KSEE3" ShapeID="_x0000_i1118" DrawAspect="Content" ObjectID="_1468075818" r:id="rId201">
                  <o:LockedField>false</o:LockedField>
                </o:OLEObject>
              </w:object>
            </w:r>
          </w:p>
        </w:tc>
        <w:tc>
          <w:tcPr>
            <w:tcW w:w="1035" w:type="pct"/>
            <w:tcBorders>
              <w:tl2br w:val="nil"/>
              <w:tr2bl w:val="nil"/>
            </w:tcBorders>
            <w:vAlign w:val="center"/>
          </w:tcPr>
          <w:p w14:paraId="33C6CAF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112" w:type="pct"/>
            <w:tcBorders>
              <w:tl2br w:val="nil"/>
              <w:tr2bl w:val="nil"/>
            </w:tcBorders>
            <w:vAlign w:val="center"/>
          </w:tcPr>
          <w:p w14:paraId="6D9790F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-1</w:t>
            </w:r>
          </w:p>
        </w:tc>
        <w:tc>
          <w:tcPr>
            <w:tcW w:w="847" w:type="pct"/>
            <w:tcBorders>
              <w:tl2br w:val="nil"/>
              <w:tr2bl w:val="nil"/>
            </w:tcBorders>
            <w:vAlign w:val="center"/>
          </w:tcPr>
          <w:p w14:paraId="75ABF976">
            <w:pPr>
              <w:spacing w:line="240" w:lineRule="auto"/>
              <w:jc w:val="center"/>
              <w:rPr>
                <w:rFonts w:hint="default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-0.0</w:t>
            </w:r>
            <w:r>
              <w:rPr>
                <w:rFonts w:hint="eastAsia" w:eastAsia="宋体" w:cs="Times New Roman"/>
                <w:szCs w:val="21"/>
                <w:lang w:val="en-US" w:eastAsia="zh-CN"/>
              </w:rPr>
              <w:t>8mA</w:t>
            </w:r>
          </w:p>
        </w:tc>
      </w:tr>
      <w:tr w14:paraId="45E0D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 w14:paraId="363EDCBC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2.1</w:t>
            </w:r>
          </w:p>
        </w:tc>
        <w:tc>
          <w:tcPr>
            <w:tcW w:w="1164" w:type="pct"/>
            <w:tcBorders>
              <w:tl2br w:val="nil"/>
              <w:tr2bl w:val="nil"/>
            </w:tcBorders>
            <w:vAlign w:val="center"/>
          </w:tcPr>
          <w:p w14:paraId="14708B85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标准气体不确定度引入的不确定度分量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51F8167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position w:val="-10"/>
                <w:vertAlign w:val="subscript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119" o:spt="75" type="#_x0000_t75" style="height:17pt;width:16pt;" o:ole="t" filled="f" o:preferrelative="t" stroked="f" coordsize="21600,21600">
                  <v:path/>
                  <v:fill on="f" focussize="0,0"/>
                  <v:stroke on="f"/>
                  <v:imagedata r:id="rId204" o:title=""/>
                  <o:lock v:ext="edit" aspectratio="t"/>
                  <w10:wrap type="none"/>
                  <w10:anchorlock/>
                </v:shape>
                <o:OLEObject Type="Embed" ProgID="Equation.KSEE3" ShapeID="_x0000_i1119" DrawAspect="Content" ObjectID="_1468075819" r:id="rId203">
                  <o:LockedField>false</o:LockedField>
                </o:OLEObject>
              </w:object>
            </w:r>
          </w:p>
        </w:tc>
        <w:tc>
          <w:tcPr>
            <w:tcW w:w="1035" w:type="pct"/>
            <w:tcBorders>
              <w:tl2br w:val="nil"/>
              <w:tr2bl w:val="nil"/>
            </w:tcBorders>
            <w:vAlign w:val="center"/>
          </w:tcPr>
          <w:p w14:paraId="6206571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0.</w:t>
            </w:r>
            <w:r>
              <w:rPr>
                <w:rFonts w:hint="eastAsia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%mol/mol</w:t>
            </w:r>
          </w:p>
        </w:tc>
        <w:tc>
          <w:tcPr>
            <w:tcW w:w="1112" w:type="pct"/>
            <w:tcBorders>
              <w:tl2br w:val="nil"/>
              <w:tr2bl w:val="nil"/>
            </w:tcBorders>
            <w:vAlign w:val="center"/>
          </w:tcPr>
          <w:p w14:paraId="717061A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-0.16mA/(%mol/mol)</w:t>
            </w:r>
          </w:p>
        </w:tc>
        <w:tc>
          <w:tcPr>
            <w:tcW w:w="847" w:type="pct"/>
            <w:tcBorders>
              <w:tl2br w:val="nil"/>
              <w:tr2bl w:val="nil"/>
            </w:tcBorders>
            <w:vAlign w:val="center"/>
          </w:tcPr>
          <w:p w14:paraId="46F30D91">
            <w:pPr>
              <w:spacing w:line="24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0C3F9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 w14:paraId="463CE37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2.2</w:t>
            </w:r>
          </w:p>
        </w:tc>
        <w:tc>
          <w:tcPr>
            <w:tcW w:w="1164" w:type="pct"/>
            <w:tcBorders>
              <w:tl2br w:val="nil"/>
              <w:tr2bl w:val="nil"/>
            </w:tcBorders>
            <w:vAlign w:val="center"/>
          </w:tcPr>
          <w:p w14:paraId="2A5FC07F">
            <w:pPr>
              <w:pStyle w:val="43"/>
              <w:widowControl w:val="0"/>
              <w:spacing w:line="240" w:lineRule="auto"/>
              <w:ind w:firstLine="0" w:firstLineChars="0"/>
              <w:jc w:val="center"/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7"/>
                <w:rFonts w:hint="eastAsia" w:cs="Times New Roman"/>
                <w:b w:val="0"/>
                <w:sz w:val="21"/>
                <w:szCs w:val="21"/>
                <w:lang w:val="en-US" w:eastAsia="zh-CN"/>
              </w:rPr>
              <w:t>数字多用表</w:t>
            </w:r>
            <w:r>
              <w:rPr>
                <w:rStyle w:val="27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准确度引入的不确定度分量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6839C0D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position w:val="-10"/>
                <w:vertAlign w:val="subscript"/>
              </w:rPr>
            </w:pPr>
            <w:r>
              <w:rPr>
                <w:rFonts w:hint="default" w:ascii="Times New Roman" w:hAnsi="Times New Roman" w:cs="Times New Roman"/>
                <w:position w:val="-10"/>
                <w:vertAlign w:val="subscript"/>
              </w:rPr>
              <w:object>
                <v:shape id="_x0000_i1120" o:spt="75" type="#_x0000_t75" style="height:17pt;width:17pt;" o:ole="t" filled="f" o:preferrelative="t" stroked="f" coordsize="21600,21600">
                  <v:path/>
                  <v:fill on="f" focussize="0,0"/>
                  <v:stroke on="f"/>
                  <v:imagedata r:id="rId206" o:title=""/>
                  <o:lock v:ext="edit" aspectratio="t"/>
                  <w10:wrap type="none"/>
                  <w10:anchorlock/>
                </v:shape>
                <o:OLEObject Type="Embed" ProgID="Equation.KSEE3" ShapeID="_x0000_i1120" DrawAspect="Content" ObjectID="_1468075820" r:id="rId205">
                  <o:LockedField>false</o:LockedField>
                </o:OLEObject>
              </w:object>
            </w:r>
          </w:p>
        </w:tc>
        <w:tc>
          <w:tcPr>
            <w:tcW w:w="1035" w:type="pct"/>
            <w:tcBorders>
              <w:tl2br w:val="nil"/>
              <w:tr2bl w:val="nil"/>
            </w:tcBorders>
            <w:vAlign w:val="center"/>
          </w:tcPr>
          <w:p w14:paraId="065541F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0.001</w:t>
            </w:r>
            <w:r>
              <w:rPr>
                <w:rFonts w:hint="eastAsia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mA</w:t>
            </w:r>
          </w:p>
        </w:tc>
        <w:tc>
          <w:tcPr>
            <w:tcW w:w="1112" w:type="pct"/>
            <w:tcBorders>
              <w:tl2br w:val="nil"/>
              <w:tr2bl w:val="nil"/>
            </w:tcBorders>
            <w:vAlign w:val="center"/>
          </w:tcPr>
          <w:p w14:paraId="131747D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847" w:type="pct"/>
            <w:tcBorders>
              <w:tl2br w:val="nil"/>
              <w:tr2bl w:val="nil"/>
            </w:tcBorders>
            <w:vAlign w:val="center"/>
          </w:tcPr>
          <w:p w14:paraId="789347BA">
            <w:pPr>
              <w:spacing w:line="24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</w:tbl>
    <w:p w14:paraId="14040118">
      <w:pPr>
        <w:pStyle w:val="43"/>
        <w:spacing w:before="156" w:beforeLines="50" w:after="156" w:afterLines="50"/>
        <w:ind w:firstLine="0" w:firstLineChars="0"/>
        <w:rPr>
          <w:rFonts w:hint="default" w:eastAsia="黑体" w:cs="宋体"/>
          <w:bCs/>
          <w:szCs w:val="24"/>
          <w:lang w:val="en-US" w:eastAsia="zh-CN"/>
        </w:rPr>
      </w:pPr>
      <w:r>
        <w:rPr>
          <w:rFonts w:hint="eastAsia"/>
          <w:szCs w:val="24"/>
        </w:rPr>
        <w:t>D</w:t>
      </w:r>
      <w:r>
        <w:rPr>
          <w:szCs w:val="24"/>
        </w:rPr>
        <w:t>.</w:t>
      </w:r>
      <w:r>
        <w:rPr>
          <w:rFonts w:hint="eastAsia"/>
          <w:szCs w:val="24"/>
        </w:rPr>
        <w:t xml:space="preserve">6 </w:t>
      </w:r>
      <w:r>
        <w:rPr>
          <w:rFonts w:hint="eastAsia" w:eastAsia="黑体"/>
          <w:szCs w:val="24"/>
        </w:rPr>
        <w:t>合成</w:t>
      </w:r>
      <w:r>
        <w:rPr>
          <w:rFonts w:hint="eastAsia" w:eastAsia="黑体" w:cs="宋体"/>
          <w:bCs/>
          <w:szCs w:val="24"/>
        </w:rPr>
        <w:t>标准不确定度</w:t>
      </w:r>
      <w:r>
        <w:rPr>
          <w:rFonts w:hint="eastAsia" w:eastAsia="黑体" w:cs="宋体"/>
          <w:bCs/>
          <w:szCs w:val="24"/>
          <w:lang w:val="en-US" w:eastAsia="zh-CN"/>
        </w:rPr>
        <w:t>的计算</w:t>
      </w:r>
    </w:p>
    <w:p w14:paraId="3C5A3DB8">
      <w:pPr>
        <w:pStyle w:val="43"/>
        <w:ind w:firstLine="480"/>
        <w:rPr>
          <w:rFonts w:eastAsia="黑体" w:cs="宋体"/>
          <w:bCs/>
          <w:szCs w:val="24"/>
        </w:rPr>
      </w:pPr>
      <w:r>
        <w:rPr>
          <w:rFonts w:hint="eastAsia" w:cs="宋体"/>
          <w:szCs w:val="24"/>
        </w:rPr>
        <w:t>合成标准不确定度</w:t>
      </w:r>
      <w:r>
        <w:rPr>
          <w:rFonts w:hint="eastAsia" w:cs="宋体"/>
          <w:position w:val="-12"/>
          <w:szCs w:val="24"/>
        </w:rPr>
        <w:object>
          <v:shape id="_x0000_i1121" o:spt="75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KSEE3" ShapeID="_x0000_i1121" DrawAspect="Content" ObjectID="_1468075821" r:id="rId207">
            <o:LockedField>false</o:LockedField>
          </o:OLEObject>
        </w:object>
      </w:r>
      <w:r>
        <w:rPr>
          <w:rFonts w:hint="eastAsia" w:cs="宋体"/>
          <w:szCs w:val="24"/>
        </w:rPr>
        <w:t>按下式计算</w:t>
      </w:r>
      <w:r>
        <w:rPr>
          <w:rFonts w:hint="eastAsia" w:ascii="宋体" w:hAnsi="宋体" w:cs="宋体"/>
          <w:bCs/>
          <w:szCs w:val="24"/>
        </w:rPr>
        <w:t>：</w:t>
      </w:r>
    </w:p>
    <w:p w14:paraId="68BEFD10">
      <w:pPr>
        <w:spacing w:line="360" w:lineRule="auto"/>
        <w:ind w:firstLine="480" w:firstLineChars="200"/>
        <w:jc w:val="center"/>
        <w:rPr>
          <w:rFonts w:ascii="宋体" w:hAnsi="宋体" w:eastAsia="宋体" w:cs="宋体"/>
          <w:bCs/>
          <w:sz w:val="24"/>
        </w:rPr>
      </w:pPr>
      <w:r>
        <w:rPr>
          <w:rFonts w:hint="default" w:ascii="Times New Roman" w:hAnsi="Times New Roman" w:eastAsia="宋体" w:cs="Times New Roman"/>
          <w:i w:val="0"/>
          <w:iCs/>
          <w:position w:val="-12"/>
          <w:sz w:val="24"/>
        </w:rPr>
        <w:object>
          <v:shape id="_x0000_i1122" o:spt="75" type="#_x0000_t75" style="height:22pt;width:162pt;" o:ole="t" filled="f" o:preferrelative="t" stroked="f" coordsize="21600,21600">
            <v:path/>
            <v:fill on="f" focussize="0,0"/>
            <v:stroke on="f"/>
            <v:imagedata r:id="rId210" o:title=""/>
            <o:lock v:ext="edit" aspectratio="t"/>
            <w10:wrap type="none"/>
            <w10:anchorlock/>
          </v:shape>
          <o:OLEObject Type="Embed" ProgID="Equation.KSEE3" ShapeID="_x0000_i1122" DrawAspect="Content" ObjectID="_1468075822" r:id="rId209">
            <o:LockedField>false</o:LockedField>
          </o:OLEObject>
        </w:object>
      </w:r>
    </w:p>
    <w:p w14:paraId="1DE76708">
      <w:pPr>
        <w:pStyle w:val="43"/>
        <w:spacing w:before="156" w:beforeLines="50" w:after="156" w:afterLines="50"/>
        <w:ind w:firstLine="0" w:firstLineChars="0"/>
        <w:rPr>
          <w:rFonts w:hint="default" w:eastAsia="黑体"/>
          <w:szCs w:val="24"/>
          <w:lang w:val="en-US" w:eastAsia="zh-CN"/>
        </w:rPr>
      </w:pPr>
      <w:r>
        <w:rPr>
          <w:rFonts w:hint="eastAsia"/>
          <w:szCs w:val="24"/>
        </w:rPr>
        <w:t xml:space="preserve">D.7 </w:t>
      </w:r>
      <w:r>
        <w:rPr>
          <w:rFonts w:hint="eastAsia" w:ascii="黑体" w:hAnsi="黑体" w:eastAsia="黑体" w:cs="黑体"/>
          <w:szCs w:val="24"/>
        </w:rPr>
        <w:t>扩展不确定度</w:t>
      </w:r>
      <w:r>
        <w:rPr>
          <w:rFonts w:hint="eastAsia" w:ascii="黑体" w:hAnsi="黑体" w:eastAsia="黑体" w:cs="黑体"/>
          <w:szCs w:val="24"/>
          <w:lang w:val="en-US" w:eastAsia="zh-CN"/>
        </w:rPr>
        <w:t>的评定</w:t>
      </w:r>
    </w:p>
    <w:p w14:paraId="110B8725">
      <w:pPr>
        <w:pStyle w:val="43"/>
        <w:ind w:firstLine="480"/>
        <w:rPr>
          <w:position w:val="-10"/>
          <w:szCs w:val="24"/>
        </w:rPr>
      </w:pPr>
      <w:r>
        <w:rPr>
          <w:rFonts w:hint="eastAsia"/>
          <w:position w:val="-10"/>
          <w:szCs w:val="24"/>
        </w:rPr>
        <w:t>取包含因子</w:t>
      </w:r>
      <w:r>
        <w:rPr>
          <w:rFonts w:hint="eastAsia"/>
          <w:i/>
          <w:iCs/>
          <w:position w:val="-10"/>
          <w:szCs w:val="24"/>
        </w:rPr>
        <w:t>k</w:t>
      </w:r>
      <w:r>
        <w:rPr>
          <w:rFonts w:hint="eastAsia"/>
          <w:position w:val="-10"/>
          <w:szCs w:val="24"/>
        </w:rPr>
        <w:t>=2，</w:t>
      </w:r>
      <w:r>
        <w:rPr>
          <w:rFonts w:hint="eastAsia"/>
          <w:position w:val="-10"/>
          <w:szCs w:val="24"/>
          <w:lang w:val="en-US" w:eastAsia="zh-CN"/>
        </w:rPr>
        <w:t>检测仪变送输出</w:t>
      </w:r>
      <w:r>
        <w:rPr>
          <w:rFonts w:hint="eastAsia"/>
          <w:position w:val="-10"/>
          <w:szCs w:val="24"/>
        </w:rPr>
        <w:t>误差</w:t>
      </w:r>
      <w:r>
        <w:rPr>
          <w:rFonts w:hint="eastAsia"/>
          <w:position w:val="-10"/>
          <w:szCs w:val="24"/>
          <w:lang w:val="en-US" w:eastAsia="zh-CN"/>
        </w:rPr>
        <w:t>的</w:t>
      </w:r>
      <w:r>
        <w:rPr>
          <w:rFonts w:hint="eastAsia"/>
          <w:position w:val="-10"/>
          <w:szCs w:val="24"/>
        </w:rPr>
        <w:t>测量结果扩展不确定度为：</w:t>
      </w:r>
    </w:p>
    <w:p w14:paraId="7813C336">
      <w:pPr>
        <w:pStyle w:val="43"/>
        <w:ind w:firstLine="480"/>
        <w:jc w:val="center"/>
        <w:rPr>
          <w:rFonts w:ascii="Cambria Math" w:hAnsi="Cambria Math"/>
          <w:i/>
          <w:position w:val="-12"/>
          <w:szCs w:val="24"/>
        </w:rPr>
      </w:pPr>
      <w:r>
        <w:rPr>
          <w:rFonts w:hint="default" w:ascii="Times New Roman" w:hAnsi="Times New Roman" w:cs="Times New Roman"/>
          <w:i/>
          <w:position w:val="-12"/>
          <w:szCs w:val="24"/>
        </w:rPr>
        <w:object>
          <v:shape id="_x0000_i1123" o:spt="75" type="#_x0000_t75" style="height:18pt;width:96.95pt;" o:ole="t" filled="f" o:preferrelative="t" stroked="f" coordsize="21600,21600">
            <v:path/>
            <v:fill on="f" focussize="0,0"/>
            <v:stroke on="f"/>
            <v:imagedata r:id="rId212" o:title=""/>
            <o:lock v:ext="edit" aspectratio="t"/>
            <w10:wrap type="none"/>
            <w10:anchorlock/>
          </v:shape>
          <o:OLEObject Type="Embed" ProgID="Equation.KSEE3" ShapeID="_x0000_i1123" DrawAspect="Content" ObjectID="_1468075823" r:id="rId211">
            <o:LockedField>false</o:LockedField>
          </o:OLEObject>
        </w:object>
      </w:r>
    </w:p>
    <w:p w14:paraId="5A6824A8">
      <w:pPr>
        <w:pStyle w:val="43"/>
        <w:ind w:firstLine="480"/>
        <w:jc w:val="center"/>
        <w:rPr>
          <w:iCs/>
          <w:position w:val="-12"/>
          <w:szCs w:val="24"/>
        </w:rPr>
      </w:pPr>
      <w:r>
        <w:rPr>
          <w:rFonts w:hint="eastAsia"/>
          <w:iCs/>
          <w:position w:val="-24"/>
          <w:szCs w:val="24"/>
        </w:rPr>
        <w:object>
          <v:shape id="_x0000_i1124" o:spt="75" type="#_x0000_t75" style="height:31pt;width:144.15pt;" o:ole="t" filled="f" o:preferrelative="t" stroked="f" coordsize="21600,21600">
            <v:path/>
            <v:fill on="f" focussize="0,0"/>
            <v:stroke on="f"/>
            <v:imagedata r:id="rId214" o:title=""/>
            <o:lock v:ext="edit" aspectratio="t"/>
            <w10:wrap type="none"/>
            <w10:anchorlock/>
          </v:shape>
          <o:OLEObject Type="Embed" ProgID="Equation.KSEE3" ShapeID="_x0000_i1124" DrawAspect="Content" ObjectID="_1468075824" r:id="rId213">
            <o:LockedField>false</o:LockedField>
          </o:OLEObject>
        </w:object>
      </w:r>
    </w:p>
    <w:p w14:paraId="439A98E8">
      <w:pPr>
        <w:pStyle w:val="43"/>
        <w:ind w:firstLine="480"/>
        <w:rPr>
          <w:rFonts w:hint="eastAsia"/>
          <w:iCs/>
          <w:position w:val="-12"/>
          <w:szCs w:val="24"/>
        </w:rPr>
      </w:pPr>
      <w:r>
        <w:rPr>
          <w:rFonts w:hint="eastAsia"/>
          <w:iCs/>
          <w:position w:val="-12"/>
          <w:szCs w:val="24"/>
        </w:rPr>
        <w:t>该</w:t>
      </w:r>
      <w:r>
        <w:rPr>
          <w:rFonts w:hint="eastAsia"/>
          <w:iCs/>
          <w:position w:val="-12"/>
          <w:szCs w:val="24"/>
          <w:lang w:val="en-US" w:eastAsia="zh-CN"/>
        </w:rPr>
        <w:t>二氧化碳</w:t>
      </w:r>
      <w:r>
        <w:rPr>
          <w:rFonts w:hint="eastAsia"/>
          <w:iCs/>
          <w:position w:val="-12"/>
          <w:szCs w:val="24"/>
        </w:rPr>
        <w:t>浓度检测报警仪在</w:t>
      </w:r>
      <w:r>
        <w:rPr>
          <w:rFonts w:hint="eastAsia"/>
          <w:iCs/>
          <w:position w:val="-12"/>
          <w:szCs w:val="24"/>
          <w:lang w:val="en-US" w:eastAsia="zh-CN"/>
        </w:rPr>
        <w:t>5</w:t>
      </w:r>
      <w:r>
        <w:rPr>
          <w:rFonts w:hint="eastAsia"/>
          <w:iCs/>
          <w:position w:val="-12"/>
          <w:szCs w:val="24"/>
        </w:rPr>
        <w:t>0%mol/mol校准点的变送输出</w:t>
      </w:r>
      <w:r>
        <w:rPr>
          <w:rFonts w:hint="eastAsia"/>
          <w:iCs/>
          <w:position w:val="-12"/>
          <w:szCs w:val="24"/>
          <w:lang w:val="en-US" w:eastAsia="zh-CN"/>
        </w:rPr>
        <w:t>校准结果</w:t>
      </w:r>
      <w:r>
        <w:rPr>
          <w:rFonts w:hint="eastAsia"/>
          <w:iCs/>
          <w:position w:val="-12"/>
          <w:szCs w:val="24"/>
        </w:rPr>
        <w:t>为1</w:t>
      </w:r>
      <w:r>
        <w:rPr>
          <w:rFonts w:hint="eastAsia"/>
          <w:iCs/>
          <w:position w:val="-12"/>
          <w:szCs w:val="24"/>
          <w:lang w:val="en-US" w:eastAsia="zh-CN"/>
        </w:rPr>
        <w:t>2.02334</w:t>
      </w:r>
      <w:r>
        <w:rPr>
          <w:rFonts w:hint="eastAsia"/>
          <w:iCs/>
          <w:position w:val="-12"/>
          <w:szCs w:val="24"/>
        </w:rPr>
        <w:t>mA，其扩展不确定度为：</w:t>
      </w:r>
    </w:p>
    <w:p w14:paraId="6AF458EA">
      <w:pPr>
        <w:pStyle w:val="43"/>
        <w:ind w:firstLine="480"/>
        <w:jc w:val="center"/>
        <w:rPr>
          <w:rFonts w:hint="eastAsia"/>
          <w:iCs/>
          <w:position w:val="-12"/>
          <w:szCs w:val="24"/>
          <w:lang w:eastAsia="zh-CN"/>
        </w:rPr>
      </w:pPr>
      <w:r>
        <w:rPr>
          <w:rFonts w:hint="eastAsia"/>
          <w:i/>
          <w:position w:val="-12"/>
          <w:szCs w:val="24"/>
        </w:rPr>
        <w:t>U</w:t>
      </w:r>
      <w:r>
        <w:rPr>
          <w:rFonts w:hint="eastAsia"/>
          <w:i w:val="0"/>
          <w:iCs/>
          <w:position w:val="-12"/>
          <w:szCs w:val="24"/>
          <w:vertAlign w:val="subscript"/>
          <w:lang w:val="en-US" w:eastAsia="zh-CN"/>
        </w:rPr>
        <w:t>rel</w:t>
      </w:r>
      <w:r>
        <w:rPr>
          <w:rFonts w:hint="eastAsia"/>
          <w:iCs/>
          <w:position w:val="-12"/>
          <w:szCs w:val="24"/>
        </w:rPr>
        <w:t>=1%，</w:t>
      </w:r>
      <w:r>
        <w:rPr>
          <w:rFonts w:hint="eastAsia"/>
          <w:i/>
          <w:position w:val="-12"/>
          <w:szCs w:val="24"/>
        </w:rPr>
        <w:t>k</w:t>
      </w:r>
      <w:r>
        <w:rPr>
          <w:rFonts w:hint="eastAsia"/>
          <w:iCs/>
          <w:position w:val="-12"/>
          <w:szCs w:val="24"/>
        </w:rPr>
        <w:t>=2</w:t>
      </w:r>
    </w:p>
    <w:p w14:paraId="652ACAB0">
      <w:pPr>
        <w:rPr>
          <w:rFonts w:hint="default" w:ascii="黑体" w:eastAsia="黑体"/>
          <w:sz w:val="28"/>
          <w:szCs w:val="28"/>
          <w:lang w:val="en-US" w:eastAsia="zh-CN"/>
        </w:rPr>
      </w:pPr>
    </w:p>
    <w:p w14:paraId="158541E2">
      <w:pPr>
        <w:rPr>
          <w:rFonts w:hint="default" w:ascii="黑体" w:eastAsia="黑体"/>
          <w:sz w:val="28"/>
          <w:szCs w:val="28"/>
          <w:lang w:val="en-US" w:eastAsia="zh-CN"/>
        </w:rPr>
      </w:pPr>
    </w:p>
    <w:p w14:paraId="086A6A16">
      <w:pPr>
        <w:rPr>
          <w:rFonts w:hint="default" w:ascii="黑体" w:eastAsia="黑体"/>
          <w:sz w:val="28"/>
          <w:szCs w:val="28"/>
          <w:lang w:val="en-US" w:eastAsia="zh-CN"/>
        </w:rPr>
      </w:pPr>
      <w:r>
        <w:rPr>
          <w:rFonts w:hint="eastAsia" w:eastAsia="宋体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818515</wp:posOffset>
                </wp:positionV>
                <wp:extent cx="2700020" cy="635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2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3.2pt;margin-top:64.45pt;height:0.05pt;width:212.6pt;z-index:251674624;mso-width-relative:page;mso-height-relative:page;" filled="f" stroked="t" coordsize="21600,21600" o:gfxdata="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tgW8q1wAAAAsBAAAPAAAAAAAAAAEAIAAAACIAAABkcnMvZG93bnJldi54bWxQSwECFAAU&#10;AAAACACHTuJAlzbFv/IBAADrAwAADgAAAAAAAAABACAAAAAmAQAAZHJzL2Uyb0RvYy54bWxQSwUG&#10;AAAAAAYABgBZAQAAi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headerReference r:id="rId21" w:type="default"/>
      <w:footerReference r:id="rId22" w:type="default"/>
      <w:pgSz w:w="11907" w:h="16839"/>
      <w:pgMar w:top="1417" w:right="1134" w:bottom="1417" w:left="1418" w:header="1021" w:footer="73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81AAE9-6504-4036-8BF0-5BEFF5BFB4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DD45CA2-A9C2-470A-BE45-791C320E227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549F3CE-AACF-48BA-AF3C-D865947097C3}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  <w:embedRegular r:id="rId4" w:fontKey="{B4EC8D5A-B20D-4C41-8508-F4848AE3EEB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84027AB2-D8E4-4C5E-937E-28DB975FA45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792EDB1-4D8B-497F-B56B-A535A69CDB64}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245E39AE-DB6E-4361-8256-0F23CCAECE1E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82172">
    <w:pPr>
      <w:pStyle w:val="66"/>
      <w:rPr>
        <w:rStyle w:val="28"/>
      </w:rPr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217386CB">
                          <w:pPr>
                            <w:pStyle w:val="66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2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cifdr9MAAAAFAQAADwAAAAAAAAABACAAAAAiAAAAZHJzL2Rvd25y&#10;ZXYueG1sUEsBAhQAFAAAAAgAh07iQAUOZOjKAQAAmAMAAA4AAAAAAAAAAQAgAAAAIgEAAGRycy9l&#10;Mm9Eb2MueG1sUEsFBgAAAAAGAAYAWQEAAF4FAAAAAA==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217386CB">
                    <w:pPr>
                      <w:pStyle w:val="66"/>
                    </w:pPr>
                    <w:r>
                      <w:fldChar w:fldCharType="begin"/>
                    </w:r>
                    <w:r>
                      <w:rPr>
                        <w:rStyle w:val="2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79CC1">
    <w:pPr>
      <w:pStyle w:val="75"/>
      <w:rPr>
        <w:rStyle w:val="28"/>
      </w:rPr>
    </w:pPr>
    <w:r>
      <w:fldChar w:fldCharType="begin"/>
    </w:r>
    <w:r>
      <w:rPr>
        <w:rStyle w:val="28"/>
      </w:rPr>
      <w:instrText xml:space="preserve">PAGE  </w:instrTex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8D691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E690C5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E690C5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AE239">
    <w:pPr>
      <w:pStyle w:val="14"/>
      <w:ind w:right="360"/>
      <w:rPr>
        <w:rStyle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3F07A5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7J9wA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0kMUyj4qcf308/&#10;H06/vhGcQaDGhRni7h0iY/vOtmib4TzgMPFuK6/TF4wI/MA6XuQVbSQ8XZpOptMcLg7fsAF+9njd&#10;+RDfC6tJMgrqUb9OVnbYhNiHDiEpm7FrqVRXQ2VIU9Cr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7J9w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3F07A5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B04FC">
    <w:pPr>
      <w:pStyle w:val="14"/>
      <w:framePr w:wrap="around" w:vAnchor="text" w:hAnchor="margin" w:xAlign="center" w:y="1"/>
      <w:rPr>
        <w:rStyle w:val="28"/>
      </w:rPr>
    </w:pPr>
    <w:r>
      <w:fldChar w:fldCharType="begin"/>
    </w:r>
    <w:r>
      <w:rPr>
        <w:rStyle w:val="28"/>
      </w:rPr>
      <w:instrText xml:space="preserve">PAGE  </w:instrText>
    </w:r>
    <w:r>
      <w:fldChar w:fldCharType="separate"/>
    </w:r>
    <w:r>
      <w:rPr>
        <w:rStyle w:val="28"/>
      </w:rPr>
      <w:t>II</w:t>
    </w:r>
    <w:r>
      <w:fldChar w:fldCharType="end"/>
    </w:r>
  </w:p>
  <w:p w14:paraId="0A2481BC">
    <w:pPr>
      <w:pStyle w:val="75"/>
      <w:ind w:right="360"/>
      <w:rPr>
        <w:rStyle w:val="2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48F80">
    <w:pPr>
      <w:pStyle w:val="14"/>
      <w:rPr>
        <w:rStyle w:val="28"/>
      </w:rPr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618F198E">
                          <w:pPr>
                            <w:pStyle w:val="14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 w:eastAsia="宋体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</w:rPr>
                            <w:t>1</w:t>
                          </w:r>
                          <w:r>
                            <w:rPr>
                              <w:rFonts w:hint="eastAsia" w:eastAsia="宋体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HIn3a/TAAAABQEAAA8AAAAAAAAAAQAgAAAAIgAAAGRycy9kb3du&#10;cmV2LnhtbFBLAQIUABQAAAAIAIdO4kDcgOFKywEAAJgDAAAOAAAAAAAAAAEAIAAAACIBAABkcnMv&#10;ZTJvRG9jLnhtbFBLBQYAAAAABgAGAFkBAABfBQAAAAA=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618F198E">
                    <w:pPr>
                      <w:pStyle w:val="14"/>
                      <w:rPr>
                        <w:rFonts w:eastAsia="宋体"/>
                      </w:rPr>
                    </w:pPr>
                    <w:r>
                      <w:rPr>
                        <w:rFonts w:hint="eastAsia" w:eastAsia="宋体"/>
                      </w:rPr>
                      <w:fldChar w:fldCharType="begin"/>
                    </w:r>
                    <w:r>
                      <w:rPr>
                        <w:rFonts w:hint="eastAsia" w:eastAsia="宋体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</w:rPr>
                      <w:fldChar w:fldCharType="separate"/>
                    </w:r>
                    <w:r>
                      <w:rPr>
                        <w:rFonts w:hint="eastAsia" w:eastAsia="宋体"/>
                      </w:rPr>
                      <w:t>1</w:t>
                    </w:r>
                    <w:r>
                      <w:rPr>
                        <w:rFonts w:hint="eastAsia" w:eastAsia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1D0BE">
    <w:pPr>
      <w:pStyle w:val="14"/>
      <w:tabs>
        <w:tab w:val="left" w:pos="436"/>
        <w:tab w:val="right" w:pos="9475"/>
      </w:tabs>
      <w:rPr>
        <w:rStyle w:val="28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262890"/>
              <wp:effectExtent l="0" t="0" r="0" b="0"/>
              <wp:wrapNone/>
              <wp:docPr id="23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26289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32312523">
                          <w:pPr>
                            <w:pStyle w:val="14"/>
                            <w:jc w:val="right"/>
                            <w:textAlignment w:val="bottom"/>
                            <w:rPr>
                              <w:rStyle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2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8"/>
                            </w:rP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20.7pt;width:6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LC5KP0wAAAAMBAAAPAAAAAAAAAAEAIAAAACIAAABkcnMv&#10;ZG93bnJldi54bWxQSwECFAAUAAAACACHTuJAwssORM8BAACWAwAADgAAAAAAAAABACAAAAAiAQAA&#10;ZHJzL2Uyb0RvYy54bWxQSwUGAAAAAAYABgBZAQAAYw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32312523">
                    <w:pPr>
                      <w:pStyle w:val="14"/>
                      <w:jc w:val="right"/>
                      <w:textAlignment w:val="bottom"/>
                      <w:rPr>
                        <w:rStyle w:val="28"/>
                      </w:rPr>
                    </w:pPr>
                    <w:r>
                      <w:fldChar w:fldCharType="begin"/>
                    </w:r>
                    <w:r>
                      <w:rPr>
                        <w:rStyle w:val="2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28"/>
                      </w:rPr>
                      <w:t>III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28"/>
        <w:rFonts w:hint="eastAsia"/>
      </w:rPr>
      <w:tab/>
    </w:r>
    <w:r>
      <w:rPr>
        <w:rStyle w:val="28"/>
        <w:rFonts w:hint="eastAsia"/>
      </w:rPr>
      <w:tab/>
    </w:r>
    <w:r>
      <w:rPr>
        <w:rStyle w:val="28"/>
        <w:rFonts w:hint="eastAsia"/>
      </w:rPr>
      <w:tab/>
    </w:r>
    <w:r>
      <w:rPr>
        <w:rStyle w:val="28"/>
        <w:rFonts w:hint="eastAsia"/>
      </w:rPr>
      <w:tab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1E2A6">
    <w:pPr>
      <w:pStyle w:val="14"/>
      <w:tabs>
        <w:tab w:val="right" w:pos="9475"/>
      </w:tabs>
      <w:rPr>
        <w:rStyle w:val="28"/>
      </w:rPr>
    </w:pP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13D86DE6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0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yJ92v0wAAAAUBAAAPAAAAAAAAAAEAIAAAACIAAABkcnMvZG93bnJl&#10;di54bWxQSwECFAAUAAAACACHTuJAL6kmvckBAACZAwAADgAAAAAAAAABACAAAAAiAQAAZHJzL2Uy&#10;b0RvYy54bWxQSwUGAAAAAAYABgBZAQAAXQ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13D86DE6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4FBE4">
    <w:pPr>
      <w:pStyle w:val="14"/>
      <w:tabs>
        <w:tab w:val="left" w:pos="436"/>
        <w:tab w:val="right" w:pos="9475"/>
      </w:tabs>
      <w:rPr>
        <w:rStyle w:val="28"/>
      </w:rPr>
    </w:pP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262890"/>
              <wp:effectExtent l="0" t="0" r="0" b="0"/>
              <wp:wrapNone/>
              <wp:docPr id="28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26289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58DB7723">
                          <w:pPr>
                            <w:pStyle w:val="14"/>
                            <w:jc w:val="right"/>
                            <w:textAlignment w:val="bottom"/>
                            <w:rPr>
                              <w:rStyle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2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8"/>
                            </w:rP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8" o:spid="_x0000_s1026" o:spt="202" type="#_x0000_t202" style="position:absolute;left:0pt;margin-top:0pt;height:20.7pt;width:6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LC5KP0wAAAAMBAAAPAAAAAAAAAAEAIAAAACIAAABkcnMv&#10;ZG93bnJldi54bWxQSwECFAAUAAAACACHTuJAf0FQ1c8BAACWAwAADgAAAAAAAAABACAAAAAiAQAA&#10;ZHJzL2Uyb0RvYy54bWxQSwUGAAAAAAYABgBZAQAAYw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58DB7723">
                    <w:pPr>
                      <w:pStyle w:val="14"/>
                      <w:jc w:val="right"/>
                      <w:textAlignment w:val="bottom"/>
                      <w:rPr>
                        <w:rStyle w:val="28"/>
                      </w:rPr>
                    </w:pPr>
                    <w:r>
                      <w:fldChar w:fldCharType="begin"/>
                    </w:r>
                    <w:r>
                      <w:rPr>
                        <w:rStyle w:val="2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28"/>
                      </w:rPr>
                      <w:t>III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28"/>
        <w:rFonts w:hint="eastAsia"/>
      </w:rPr>
      <w:tab/>
    </w:r>
    <w:r>
      <w:rPr>
        <w:rStyle w:val="28"/>
        <w:rFonts w:hint="eastAsia"/>
      </w:rPr>
      <w:tab/>
    </w:r>
    <w:r>
      <w:rPr>
        <w:rStyle w:val="28"/>
        <w:rFonts w:hint="eastAsia"/>
      </w:rPr>
      <w:tab/>
    </w:r>
    <w:r>
      <w:rPr>
        <w:rStyle w:val="28"/>
        <w:rFonts w:hint="eastAsia"/>
      </w:rPr>
      <w:tab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E945D">
    <w:pPr>
      <w:tabs>
        <w:tab w:val="left" w:pos="436"/>
        <w:tab w:val="center" w:pos="4153"/>
        <w:tab w:val="right" w:pos="8306"/>
        <w:tab w:val="right" w:pos="9475"/>
      </w:tabs>
      <w:snapToGrid w:val="0"/>
      <w:jc w:val="left"/>
      <w:rPr>
        <w:rFonts w:eastAsia="宋体"/>
        <w:sz w:val="18"/>
        <w:szCs w:val="18"/>
      </w:rPr>
    </w:pPr>
    <w:r>
      <w:rPr>
        <w:rFonts w:eastAsia="宋体"/>
        <w:sz w:val="18"/>
        <w:szCs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262890"/>
              <wp:effectExtent l="0" t="0" r="0" b="0"/>
              <wp:wrapNone/>
              <wp:docPr id="27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26289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10D32630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right"/>
                            <w:textAlignment w:val="bottom"/>
                            <w:rPr>
                              <w:rFonts w:eastAsia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宋体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PAGE  </w:instrText>
                          </w:r>
                          <w:r>
                            <w:rPr>
                              <w:rFonts w:eastAsia="宋体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III</w:t>
                          </w:r>
                          <w:r>
                            <w:rPr>
                              <w:rFonts w:eastAsia="宋体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2" o:spid="_x0000_s1026" o:spt="202" type="#_x0000_t202" style="position:absolute;left:0pt;margin-top:0pt;height:20.7pt;width:6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MsLko/TAAAAAwEAAA8AAAAAAAAAAQAgAAAAIgAAAGRycy9k&#10;b3ducmV2LnhtbFBLAQIUABQAAAAIAIdO4kC1XJmszgEAAJYDAAAOAAAAAAAAAAEAIAAAACIBAABk&#10;cnMvZTJvRG9jLnhtbFBLBQYAAAAABgAGAFkBAABiBQAAAAA=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10D32630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jc w:val="right"/>
                      <w:textAlignment w:val="bottom"/>
                      <w:rPr>
                        <w:rFonts w:eastAsia="宋体"/>
                        <w:sz w:val="18"/>
                        <w:szCs w:val="18"/>
                      </w:rPr>
                    </w:pPr>
                    <w:r>
                      <w:rPr>
                        <w:rFonts w:eastAsia="宋体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PAGE  </w:instrText>
                    </w:r>
                    <w:r>
                      <w:rPr>
                        <w:rFonts w:eastAsia="宋体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III</w:t>
                    </w:r>
                    <w:r>
                      <w:rPr>
                        <w:rFonts w:eastAsia="宋体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szCs w:val="18"/>
      </w:rPr>
      <w:tab/>
    </w:r>
    <w:r>
      <w:rPr>
        <w:rFonts w:hint="eastAsia"/>
        <w:sz w:val="18"/>
        <w:szCs w:val="18"/>
      </w:rPr>
      <w:tab/>
    </w:r>
    <w:r>
      <w:rPr>
        <w:rFonts w:hint="eastAsia"/>
        <w:sz w:val="18"/>
        <w:szCs w:val="18"/>
      </w:rPr>
      <w:tab/>
    </w:r>
    <w:r>
      <w:rPr>
        <w:rFonts w:hint="eastAsia"/>
        <w:sz w:val="18"/>
        <w:szCs w:val="18"/>
      </w:rPr>
      <w:tab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3C520">
    <w:pPr>
      <w:pStyle w:val="66"/>
      <w:jc w:val="both"/>
      <w:rPr>
        <w:rStyle w:val="28"/>
        <w:rFonts w:ascii="仿宋_GB2312" w:eastAsia="仿宋_GB231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1E5C77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xhYO8zAgAAYwQAAA4AAABkcnMvZTJvRG9jLnhtbK1UzY7TMBC+I/EO&#10;lu80aYFVVT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xhYO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1E5C77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8AA00">
    <w:pPr>
      <w:pStyle w:val="80"/>
    </w:pPr>
    <w:r>
      <w:t>JB/T 4278.1—××××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107DD">
    <w:pPr>
      <w:pStyle w:val="92"/>
    </w:pPr>
    <w:r>
      <w:t>JB/T 4278.1—××××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16051">
    <w:pPr>
      <w:pStyle w:val="60"/>
    </w:pPr>
    <w:r>
      <w:t xml:space="preserve"> 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4BC35">
    <w:pPr>
      <w:pStyle w:val="80"/>
      <w:jc w:val="center"/>
      <w:rPr>
        <w:rFonts w:ascii="黑体" w:hAnsi="黑体" w:cs="黑体"/>
        <w:szCs w:val="21"/>
      </w:rPr>
    </w:pPr>
    <w:r>
      <w:rPr>
        <w:rFonts w:hint="eastAsia" w:ascii="黑体" w:hAnsi="黑体" w:cs="黑体"/>
        <w:szCs w:val="21"/>
      </w:rPr>
      <w:t>JJ</w:t>
    </w:r>
    <w:r>
      <w:rPr>
        <w:rFonts w:hint="eastAsia" w:ascii="黑体" w:hAnsi="黑体" w:cs="黑体"/>
        <w:color w:val="000000"/>
        <w:szCs w:val="21"/>
      </w:rPr>
      <w:t>F</w:t>
    </w:r>
    <w:r>
      <w:rPr>
        <w:rFonts w:hint="eastAsia" w:ascii="黑体" w:hAnsi="黑体" w:cs="黑体"/>
        <w:szCs w:val="21"/>
      </w:rPr>
      <w:t>（有色金属）XXX—XXXX</w:t>
    </w:r>
  </w:p>
  <w:p w14:paraId="2F3257DB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0" r="0" b="0"/>
              <wp:wrapNone/>
              <wp:docPr id="20" name="直线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8" o:spid="_x0000_s1026" o:spt="20" style="position:absolute;left:0pt;margin-left:0pt;margin-top:0.05pt;height:0pt;width:468pt;z-index:251659264;mso-width-relative:page;mso-height-relative:page;" filled="f" stroked="t" coordsize="21600,21600" o:gfxdata="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LUWVbRAAAAAgEAAA8AAAAAAAAA&#10;AQAgAAAAIgAAAGRycy9kb3ducmV2LnhtbFBLAQIUABQAAAAIAIdO4kDsHn8H3wEAANEDAAAOAAAA&#10;AAAAAAEAIAAAACABAABkcnMvZTJvRG9jLnhtbFBLBQYAAAAABgAGAFkBAABxBQAAAAA=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38EA3">
    <w:pPr>
      <w:pStyle w:val="80"/>
      <w:jc w:val="center"/>
    </w:pPr>
    <w:r>
      <w:t>J</w:t>
    </w:r>
    <w:r>
      <w:rPr>
        <w:rFonts w:hint="eastAsia"/>
      </w:rPr>
      <w:t>JF</w:t>
    </w:r>
    <w:r>
      <w:t xml:space="preserve"> ××××—××××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3CB9E">
    <w:pPr>
      <w:pStyle w:val="80"/>
      <w:jc w:val="center"/>
      <w:rPr>
        <w:b/>
        <w:bCs/>
        <w:sz w:val="24"/>
      </w:rPr>
    </w:pPr>
    <w:r>
      <w:rPr>
        <w:b/>
        <w:bCs/>
        <w:sz w:val="24"/>
      </w:rPr>
      <w:t>J</w:t>
    </w:r>
    <w:r>
      <w:rPr>
        <w:rFonts w:hint="eastAsia"/>
        <w:b/>
        <w:bCs/>
        <w:sz w:val="24"/>
      </w:rPr>
      <w:t>JFX</w:t>
    </w:r>
    <w:r>
      <w:rPr>
        <w:rFonts w:hint="eastAsia"/>
        <w:b/>
        <w:bCs/>
      </w:rPr>
      <w:t>（机械）</w:t>
    </w:r>
    <w:r>
      <w:rPr>
        <w:rFonts w:hint="eastAsia"/>
        <w:b/>
        <w:bCs/>
        <w:sz w:val="24"/>
      </w:rPr>
      <w:t>0001-2018</w:t>
    </w:r>
  </w:p>
  <w:p w14:paraId="45ED07B3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0" r="0" b="0"/>
              <wp:wrapNone/>
              <wp:docPr id="21" name="直线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9" o:spid="_x0000_s1026" o:spt="20" style="position:absolute;left:0pt;margin-left:0pt;margin-top:0.05pt;height:0pt;width:468pt;z-index:251660288;mso-width-relative:page;mso-height-relative:page;" filled="f" stroked="t" coordsize="21600,21600" o:gfxdata="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C1FlW0QAAAAIBAAAPAAAAAAAA&#10;AAEAIAAAACIAAABkcnMvZG93bnJldi54bWxQSwECFAAUAAAACACHTuJAhUz71uABAADRAwAADgAA&#10;AAAAAAABACAAAAAgAQAAZHJzL2Uyb0RvYy54bWxQSwUGAAAAAAYABgBZAQAAcgUAAAAA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78FB6">
    <w:pPr>
      <w:pStyle w:val="80"/>
      <w:jc w:val="center"/>
      <w:rPr>
        <w:rFonts w:ascii="黑体"/>
        <w:color w:val="000000"/>
        <w:szCs w:val="21"/>
      </w:rPr>
    </w:pPr>
    <w:r>
      <w:rPr>
        <w:rFonts w:hint="eastAsia" w:ascii="黑体"/>
        <w:color w:val="000000"/>
        <w:szCs w:val="21"/>
      </w:rPr>
      <w:t>JJF（有色金属）XXX-XXXX</w:t>
    </w:r>
  </w:p>
  <w:p w14:paraId="029A7C69"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0" r="0" b="0"/>
              <wp:wrapNone/>
              <wp:docPr id="22" name="直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10" o:spid="_x0000_s1026" o:spt="20" style="position:absolute;left:0pt;margin-left:0pt;margin-top:0.05pt;height:0pt;width:468pt;z-index:251661312;mso-width-relative:page;mso-height-relative:page;" filled="f" stroked="t" coordsize="21600,21600" o:gfxdata="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LUWVbRAAAAAgEAAA8AAAAAAAAA&#10;AQAgAAAAIgAAAGRycy9kb3ducmV2LnhtbFBLAQIUABQAAAAIAIdO4kAGoZ8/3wEAANIDAAAOAAAA&#10;AAAAAAEAIAAAACABAABkcnMvZTJvRG9jLnhtbFBLBQYAAAAABgAGAFkBAABxBQAAAAA=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35172">
    <w:pPr>
      <w:pBdr>
        <w:bottom w:val="single" w:color="auto" w:sz="4" w:space="0"/>
      </w:pBdr>
      <w:tabs>
        <w:tab w:val="center" w:pos="4153"/>
        <w:tab w:val="right" w:pos="8306"/>
      </w:tabs>
      <w:snapToGrid w:val="0"/>
      <w:jc w:val="center"/>
      <w:rPr>
        <w:rFonts w:ascii="黑体" w:eastAsia="黑体"/>
        <w:szCs w:val="21"/>
      </w:rPr>
    </w:pPr>
    <w:r>
      <w:rPr>
        <w:rFonts w:hint="eastAsia" w:ascii="黑体" w:eastAsia="黑体"/>
        <w:szCs w:val="21"/>
      </w:rPr>
      <w:t>JJF(有色金属)XXX-XXXX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B9267">
    <w:pPr>
      <w:pStyle w:val="15"/>
      <w:pBdr>
        <w:bottom w:val="single" w:color="auto" w:sz="4" w:space="0"/>
      </w:pBdr>
      <w:rPr>
        <w:rFonts w:ascii="黑体" w:eastAsia="黑体"/>
        <w:sz w:val="21"/>
        <w:szCs w:val="21"/>
      </w:rPr>
    </w:pPr>
    <w:r>
      <w:rPr>
        <w:rFonts w:hint="eastAsia" w:ascii="黑体" w:eastAsia="黑体"/>
        <w:sz w:val="21"/>
        <w:szCs w:val="21"/>
      </w:rPr>
      <w:t>JJF(有色金属)XXX-XXXX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C255D7"/>
    <w:multiLevelType w:val="multilevel"/>
    <w:tmpl w:val="81C255D7"/>
    <w:lvl w:ilvl="0" w:tentative="0">
      <w:start w:val="1"/>
      <w:numFmt w:val="none"/>
      <w:pStyle w:val="83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270" w:hanging="270"/>
      </w:pPr>
      <w:rPr>
        <w:rFonts w:hint="eastAsia" w:ascii="黑体" w:hAnsi="Times New Roman" w:eastAsia="黑体"/>
        <w:b/>
        <w:i w:val="0"/>
        <w:sz w:val="24"/>
        <w:szCs w:val="24"/>
      </w:rPr>
    </w:lvl>
    <w:lvl w:ilvl="2" w:tentative="0">
      <w:start w:val="1"/>
      <w:numFmt w:val="decimal"/>
      <w:suff w:val="nothing"/>
      <w:lvlText w:val="%1%2.%3　"/>
      <w:lvlJc w:val="left"/>
      <w:pPr>
        <w:ind w:left="1418" w:firstLine="0"/>
      </w:pPr>
      <w:rPr>
        <w:rFonts w:hint="eastAsia" w:ascii="宋体" w:hAnsi="宋体" w:eastAsia="宋体"/>
        <w:b w:val="0"/>
        <w:i w:val="0"/>
        <w:color w:val="000000"/>
        <w:sz w:val="24"/>
        <w:szCs w:val="24"/>
      </w:rPr>
    </w:lvl>
    <w:lvl w:ilvl="3" w:tentative="0">
      <w:start w:val="1"/>
      <w:numFmt w:val="decimal"/>
      <w:suff w:val="nothing"/>
      <w:lvlText w:val="%1%2.%3.%4　"/>
      <w:lvlJc w:val="left"/>
      <w:pPr>
        <w:ind w:left="1084" w:firstLine="0"/>
      </w:pPr>
      <w:rPr>
        <w:rFonts w:hint="eastAsia" w:ascii="宋体" w:hAnsi="宋体" w:eastAsia="宋体"/>
        <w:b w:val="0"/>
        <w:i w:val="0"/>
        <w:sz w:val="24"/>
        <w:szCs w:val="24"/>
      </w:rPr>
    </w:lvl>
    <w:lvl w:ilvl="4" w:tentative="0">
      <w:start w:val="1"/>
      <w:numFmt w:val="decimal"/>
      <w:pStyle w:val="49"/>
      <w:suff w:val="nothing"/>
      <w:lvlText w:val="%1%2.%3.%4.%5　"/>
      <w:lvlJc w:val="left"/>
      <w:pPr>
        <w:ind w:left="0" w:firstLine="0"/>
      </w:pPr>
      <w:rPr>
        <w:rFonts w:hint="eastAsia" w:ascii="黑体"/>
        <w:b w:val="0"/>
        <w:i w:val="0"/>
        <w:sz w:val="21"/>
      </w:rPr>
    </w:lvl>
    <w:lvl w:ilvl="5" w:tentative="0">
      <w:start w:val="1"/>
      <w:numFmt w:val="decimal"/>
      <w:pStyle w:val="48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47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93EA20E4"/>
    <w:multiLevelType w:val="singleLevel"/>
    <w:tmpl w:val="93EA20E4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ADA9EF9B"/>
    <w:multiLevelType w:val="multilevel"/>
    <w:tmpl w:val="ADA9EF9B"/>
    <w:lvl w:ilvl="0" w:tentative="0">
      <w:start w:val="1"/>
      <w:numFmt w:val="decimal"/>
      <w:pStyle w:val="42"/>
      <w:suff w:val="space"/>
      <w:lvlText w:val="%1"/>
      <w:lvlJc w:val="left"/>
      <w:pPr>
        <w:ind w:left="425" w:hanging="425"/>
      </w:pPr>
      <w:rPr>
        <w:rFonts w:hint="default" w:ascii="黑体" w:hAnsi="黑体" w:eastAsia="黑体" w:cs="黑体"/>
      </w:rPr>
    </w:lvl>
    <w:lvl w:ilvl="1" w:tentative="0">
      <w:start w:val="1"/>
      <w:numFmt w:val="decimal"/>
      <w:pStyle w:val="51"/>
      <w:suff w:val="space"/>
      <w:lvlText w:val="%1.%2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2" w:tentative="0">
      <w:start w:val="1"/>
      <w:numFmt w:val="decimal"/>
      <w:pStyle w:val="50"/>
      <w:suff w:val="space"/>
      <w:lvlText w:val="%1.%2.%3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Times New Roman" w:hAnsi="Times New Roman" w:eastAsia="宋体" w:cs="Times New Roman"/>
        <w:sz w:val="24"/>
        <w:szCs w:val="24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DED16621"/>
    <w:multiLevelType w:val="singleLevel"/>
    <w:tmpl w:val="DED16621"/>
    <w:lvl w:ilvl="0" w:tentative="0">
      <w:start w:val="1"/>
      <w:numFmt w:val="decimal"/>
      <w:pStyle w:val="88"/>
      <w:lvlText w:val="%1)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>
    <w:nsid w:val="F30D61D2"/>
    <w:multiLevelType w:val="singleLevel"/>
    <w:tmpl w:val="F30D61D2"/>
    <w:lvl w:ilvl="0" w:tentative="0">
      <w:start w:val="1"/>
      <w:numFmt w:val="decimal"/>
      <w:suff w:val="nothing"/>
      <w:lvlText w:val="%1）"/>
      <w:lvlJc w:val="left"/>
    </w:lvl>
  </w:abstractNum>
  <w:abstractNum w:abstractNumId="5">
    <w:nsid w:val="657D3FBC"/>
    <w:multiLevelType w:val="multilevel"/>
    <w:tmpl w:val="657D3FBC"/>
    <w:lvl w:ilvl="0" w:tentative="0">
      <w:start w:val="1"/>
      <w:numFmt w:val="upperLetter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pStyle w:val="68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67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2"/>
  <w:drawingGridVerticalSpacing w:val="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wMjU1MDY0ZmYzNWYzMzY3ZTZiNjMwY2EwMTIzZjkifQ=="/>
  </w:docVars>
  <w:rsids>
    <w:rsidRoot w:val="00172A27"/>
    <w:rsid w:val="00002B4F"/>
    <w:rsid w:val="00003BE5"/>
    <w:rsid w:val="0000454F"/>
    <w:rsid w:val="00006C0B"/>
    <w:rsid w:val="00006EA1"/>
    <w:rsid w:val="00006EF2"/>
    <w:rsid w:val="00013671"/>
    <w:rsid w:val="00015FB7"/>
    <w:rsid w:val="00020191"/>
    <w:rsid w:val="00020C05"/>
    <w:rsid w:val="000229D0"/>
    <w:rsid w:val="000243DA"/>
    <w:rsid w:val="0002555F"/>
    <w:rsid w:val="00026C96"/>
    <w:rsid w:val="00027BBC"/>
    <w:rsid w:val="000324B9"/>
    <w:rsid w:val="00032BE7"/>
    <w:rsid w:val="00033A98"/>
    <w:rsid w:val="0003508D"/>
    <w:rsid w:val="00035BB8"/>
    <w:rsid w:val="00035DA0"/>
    <w:rsid w:val="00041E9A"/>
    <w:rsid w:val="000440D0"/>
    <w:rsid w:val="00045DA8"/>
    <w:rsid w:val="00045DBE"/>
    <w:rsid w:val="0004696E"/>
    <w:rsid w:val="00047FCE"/>
    <w:rsid w:val="00050573"/>
    <w:rsid w:val="00051730"/>
    <w:rsid w:val="00052A1E"/>
    <w:rsid w:val="0005597D"/>
    <w:rsid w:val="00060121"/>
    <w:rsid w:val="00061046"/>
    <w:rsid w:val="000635AA"/>
    <w:rsid w:val="0006638E"/>
    <w:rsid w:val="00070A27"/>
    <w:rsid w:val="00070ACA"/>
    <w:rsid w:val="000713CB"/>
    <w:rsid w:val="0007299A"/>
    <w:rsid w:val="00074700"/>
    <w:rsid w:val="00080051"/>
    <w:rsid w:val="000804B6"/>
    <w:rsid w:val="0008434B"/>
    <w:rsid w:val="00084AF0"/>
    <w:rsid w:val="00085B5F"/>
    <w:rsid w:val="00086130"/>
    <w:rsid w:val="00092C30"/>
    <w:rsid w:val="000945F0"/>
    <w:rsid w:val="00095210"/>
    <w:rsid w:val="0009785B"/>
    <w:rsid w:val="000A3760"/>
    <w:rsid w:val="000A4256"/>
    <w:rsid w:val="000A427E"/>
    <w:rsid w:val="000A4DA3"/>
    <w:rsid w:val="000A5506"/>
    <w:rsid w:val="000A6257"/>
    <w:rsid w:val="000B1F19"/>
    <w:rsid w:val="000B2F4C"/>
    <w:rsid w:val="000C0F00"/>
    <w:rsid w:val="000C1730"/>
    <w:rsid w:val="000C1BE7"/>
    <w:rsid w:val="000C3107"/>
    <w:rsid w:val="000C43F0"/>
    <w:rsid w:val="000D0552"/>
    <w:rsid w:val="000D3D7D"/>
    <w:rsid w:val="000D4BE2"/>
    <w:rsid w:val="000D5F07"/>
    <w:rsid w:val="000D71BF"/>
    <w:rsid w:val="000D736F"/>
    <w:rsid w:val="000D7B3F"/>
    <w:rsid w:val="000D7F6C"/>
    <w:rsid w:val="000E22AB"/>
    <w:rsid w:val="000E24D6"/>
    <w:rsid w:val="000E3E57"/>
    <w:rsid w:val="000E4800"/>
    <w:rsid w:val="000E4A41"/>
    <w:rsid w:val="000E4AA0"/>
    <w:rsid w:val="000E7CBB"/>
    <w:rsid w:val="000F1FC4"/>
    <w:rsid w:val="000F2BA9"/>
    <w:rsid w:val="000F3869"/>
    <w:rsid w:val="000F38DA"/>
    <w:rsid w:val="000F40CE"/>
    <w:rsid w:val="000F6072"/>
    <w:rsid w:val="0010233B"/>
    <w:rsid w:val="00104881"/>
    <w:rsid w:val="00107DEC"/>
    <w:rsid w:val="001112E4"/>
    <w:rsid w:val="001122A7"/>
    <w:rsid w:val="00112373"/>
    <w:rsid w:val="00113286"/>
    <w:rsid w:val="00113B0C"/>
    <w:rsid w:val="00116098"/>
    <w:rsid w:val="00116841"/>
    <w:rsid w:val="0012108E"/>
    <w:rsid w:val="00123340"/>
    <w:rsid w:val="00123996"/>
    <w:rsid w:val="00123FE8"/>
    <w:rsid w:val="00126B52"/>
    <w:rsid w:val="00126D02"/>
    <w:rsid w:val="0012749F"/>
    <w:rsid w:val="0012787F"/>
    <w:rsid w:val="00127906"/>
    <w:rsid w:val="00131A6D"/>
    <w:rsid w:val="00131FC3"/>
    <w:rsid w:val="001336B4"/>
    <w:rsid w:val="00134BA1"/>
    <w:rsid w:val="00141FF8"/>
    <w:rsid w:val="0014220D"/>
    <w:rsid w:val="00144ED3"/>
    <w:rsid w:val="00145631"/>
    <w:rsid w:val="0014613D"/>
    <w:rsid w:val="001478B5"/>
    <w:rsid w:val="001507B0"/>
    <w:rsid w:val="00153045"/>
    <w:rsid w:val="00156084"/>
    <w:rsid w:val="001561E2"/>
    <w:rsid w:val="00160B60"/>
    <w:rsid w:val="00163812"/>
    <w:rsid w:val="00163BE4"/>
    <w:rsid w:val="001650C2"/>
    <w:rsid w:val="00172A27"/>
    <w:rsid w:val="001731B8"/>
    <w:rsid w:val="00174006"/>
    <w:rsid w:val="00174716"/>
    <w:rsid w:val="0017490B"/>
    <w:rsid w:val="001776F7"/>
    <w:rsid w:val="00180ED2"/>
    <w:rsid w:val="001810E8"/>
    <w:rsid w:val="001838C7"/>
    <w:rsid w:val="00184AF2"/>
    <w:rsid w:val="00185AC9"/>
    <w:rsid w:val="0018612C"/>
    <w:rsid w:val="00191D95"/>
    <w:rsid w:val="00196A1F"/>
    <w:rsid w:val="001A0175"/>
    <w:rsid w:val="001A1458"/>
    <w:rsid w:val="001A1710"/>
    <w:rsid w:val="001A3AAE"/>
    <w:rsid w:val="001A44C6"/>
    <w:rsid w:val="001A53C8"/>
    <w:rsid w:val="001A56D3"/>
    <w:rsid w:val="001A5B97"/>
    <w:rsid w:val="001A6050"/>
    <w:rsid w:val="001A752F"/>
    <w:rsid w:val="001B08AE"/>
    <w:rsid w:val="001B3136"/>
    <w:rsid w:val="001B6D25"/>
    <w:rsid w:val="001B70B2"/>
    <w:rsid w:val="001C141C"/>
    <w:rsid w:val="001C169C"/>
    <w:rsid w:val="001C1F36"/>
    <w:rsid w:val="001C2BD4"/>
    <w:rsid w:val="001C2E3F"/>
    <w:rsid w:val="001C3CEB"/>
    <w:rsid w:val="001C5703"/>
    <w:rsid w:val="001C575F"/>
    <w:rsid w:val="001C75B8"/>
    <w:rsid w:val="001C7B9D"/>
    <w:rsid w:val="001D15E4"/>
    <w:rsid w:val="001D16FD"/>
    <w:rsid w:val="001D1F51"/>
    <w:rsid w:val="001D54BD"/>
    <w:rsid w:val="001D637A"/>
    <w:rsid w:val="001D734A"/>
    <w:rsid w:val="001E1A84"/>
    <w:rsid w:val="001E1C24"/>
    <w:rsid w:val="001E20C7"/>
    <w:rsid w:val="001E2EB0"/>
    <w:rsid w:val="001E354B"/>
    <w:rsid w:val="001E3F78"/>
    <w:rsid w:val="001E4014"/>
    <w:rsid w:val="001E4FD2"/>
    <w:rsid w:val="001E55B0"/>
    <w:rsid w:val="001E56BB"/>
    <w:rsid w:val="001E61C4"/>
    <w:rsid w:val="001E6680"/>
    <w:rsid w:val="001E6AB3"/>
    <w:rsid w:val="001E6D6C"/>
    <w:rsid w:val="001F2695"/>
    <w:rsid w:val="001F36BD"/>
    <w:rsid w:val="001F3EBA"/>
    <w:rsid w:val="001F4365"/>
    <w:rsid w:val="001F5920"/>
    <w:rsid w:val="001F72DF"/>
    <w:rsid w:val="00200482"/>
    <w:rsid w:val="00200F26"/>
    <w:rsid w:val="0020238B"/>
    <w:rsid w:val="00203360"/>
    <w:rsid w:val="00204609"/>
    <w:rsid w:val="0020493B"/>
    <w:rsid w:val="00207B7A"/>
    <w:rsid w:val="00210C00"/>
    <w:rsid w:val="0021147E"/>
    <w:rsid w:val="00211522"/>
    <w:rsid w:val="0021199B"/>
    <w:rsid w:val="00213408"/>
    <w:rsid w:val="002165A3"/>
    <w:rsid w:val="00217175"/>
    <w:rsid w:val="002208FD"/>
    <w:rsid w:val="0022298C"/>
    <w:rsid w:val="00223AD8"/>
    <w:rsid w:val="00223F7D"/>
    <w:rsid w:val="00224680"/>
    <w:rsid w:val="00224C1A"/>
    <w:rsid w:val="00226B25"/>
    <w:rsid w:val="00226C26"/>
    <w:rsid w:val="00231AEF"/>
    <w:rsid w:val="00234886"/>
    <w:rsid w:val="0023502D"/>
    <w:rsid w:val="00235948"/>
    <w:rsid w:val="00235E24"/>
    <w:rsid w:val="00236AAD"/>
    <w:rsid w:val="0023799B"/>
    <w:rsid w:val="002402B1"/>
    <w:rsid w:val="00243A7A"/>
    <w:rsid w:val="002476A0"/>
    <w:rsid w:val="00247CE8"/>
    <w:rsid w:val="00250684"/>
    <w:rsid w:val="00252313"/>
    <w:rsid w:val="00254F88"/>
    <w:rsid w:val="00255763"/>
    <w:rsid w:val="00256140"/>
    <w:rsid w:val="00256F41"/>
    <w:rsid w:val="00257E87"/>
    <w:rsid w:val="002607DD"/>
    <w:rsid w:val="00261E03"/>
    <w:rsid w:val="00261E65"/>
    <w:rsid w:val="00264D82"/>
    <w:rsid w:val="00265A44"/>
    <w:rsid w:val="00265F54"/>
    <w:rsid w:val="002677E6"/>
    <w:rsid w:val="00270FF7"/>
    <w:rsid w:val="002721A6"/>
    <w:rsid w:val="00276346"/>
    <w:rsid w:val="00276BDF"/>
    <w:rsid w:val="00280202"/>
    <w:rsid w:val="00281C85"/>
    <w:rsid w:val="00283BD5"/>
    <w:rsid w:val="00284573"/>
    <w:rsid w:val="0028606E"/>
    <w:rsid w:val="00287823"/>
    <w:rsid w:val="00291245"/>
    <w:rsid w:val="00292158"/>
    <w:rsid w:val="0029448A"/>
    <w:rsid w:val="002954F4"/>
    <w:rsid w:val="0029682E"/>
    <w:rsid w:val="00296DDC"/>
    <w:rsid w:val="00297007"/>
    <w:rsid w:val="002975C6"/>
    <w:rsid w:val="002A0A96"/>
    <w:rsid w:val="002A1A10"/>
    <w:rsid w:val="002A4DED"/>
    <w:rsid w:val="002A551B"/>
    <w:rsid w:val="002A5A8B"/>
    <w:rsid w:val="002A7856"/>
    <w:rsid w:val="002B2E27"/>
    <w:rsid w:val="002B42E9"/>
    <w:rsid w:val="002B4741"/>
    <w:rsid w:val="002B51BD"/>
    <w:rsid w:val="002B6FAE"/>
    <w:rsid w:val="002B74EB"/>
    <w:rsid w:val="002B7933"/>
    <w:rsid w:val="002B7A95"/>
    <w:rsid w:val="002C3B18"/>
    <w:rsid w:val="002C4319"/>
    <w:rsid w:val="002C48E1"/>
    <w:rsid w:val="002C6457"/>
    <w:rsid w:val="002C7288"/>
    <w:rsid w:val="002C7743"/>
    <w:rsid w:val="002D0303"/>
    <w:rsid w:val="002D05D7"/>
    <w:rsid w:val="002D3AB7"/>
    <w:rsid w:val="002D4019"/>
    <w:rsid w:val="002D6B04"/>
    <w:rsid w:val="002D7639"/>
    <w:rsid w:val="002E435A"/>
    <w:rsid w:val="002E67DD"/>
    <w:rsid w:val="002E69F9"/>
    <w:rsid w:val="002F1E73"/>
    <w:rsid w:val="002F2A05"/>
    <w:rsid w:val="002F4D77"/>
    <w:rsid w:val="002F5104"/>
    <w:rsid w:val="002F77D2"/>
    <w:rsid w:val="00300578"/>
    <w:rsid w:val="0030096F"/>
    <w:rsid w:val="00300DE7"/>
    <w:rsid w:val="00302EBB"/>
    <w:rsid w:val="00304483"/>
    <w:rsid w:val="00304888"/>
    <w:rsid w:val="003071EE"/>
    <w:rsid w:val="0031039B"/>
    <w:rsid w:val="00311BB2"/>
    <w:rsid w:val="00311F9C"/>
    <w:rsid w:val="00312E6B"/>
    <w:rsid w:val="00314060"/>
    <w:rsid w:val="0031759F"/>
    <w:rsid w:val="00321D85"/>
    <w:rsid w:val="00321DF1"/>
    <w:rsid w:val="00323376"/>
    <w:rsid w:val="00324338"/>
    <w:rsid w:val="0032590F"/>
    <w:rsid w:val="00326690"/>
    <w:rsid w:val="003272CA"/>
    <w:rsid w:val="00327461"/>
    <w:rsid w:val="00330B7E"/>
    <w:rsid w:val="003346E2"/>
    <w:rsid w:val="0033783E"/>
    <w:rsid w:val="0034691A"/>
    <w:rsid w:val="003478AC"/>
    <w:rsid w:val="00347CC5"/>
    <w:rsid w:val="0035075D"/>
    <w:rsid w:val="00350E14"/>
    <w:rsid w:val="00351D3C"/>
    <w:rsid w:val="0035355F"/>
    <w:rsid w:val="00354D7A"/>
    <w:rsid w:val="003572B8"/>
    <w:rsid w:val="00362DFB"/>
    <w:rsid w:val="003641BD"/>
    <w:rsid w:val="00366CD1"/>
    <w:rsid w:val="00367813"/>
    <w:rsid w:val="00370E7E"/>
    <w:rsid w:val="00372D02"/>
    <w:rsid w:val="003737D3"/>
    <w:rsid w:val="00373FC6"/>
    <w:rsid w:val="00382041"/>
    <w:rsid w:val="00382068"/>
    <w:rsid w:val="00382421"/>
    <w:rsid w:val="00382ACE"/>
    <w:rsid w:val="00382C39"/>
    <w:rsid w:val="00383961"/>
    <w:rsid w:val="00383A8F"/>
    <w:rsid w:val="00383AC5"/>
    <w:rsid w:val="0038622E"/>
    <w:rsid w:val="003866E5"/>
    <w:rsid w:val="0039033B"/>
    <w:rsid w:val="00391026"/>
    <w:rsid w:val="0039157F"/>
    <w:rsid w:val="003919D1"/>
    <w:rsid w:val="00391A6A"/>
    <w:rsid w:val="00395E6F"/>
    <w:rsid w:val="003A151C"/>
    <w:rsid w:val="003A5204"/>
    <w:rsid w:val="003A5420"/>
    <w:rsid w:val="003A6FF4"/>
    <w:rsid w:val="003B3013"/>
    <w:rsid w:val="003B41BF"/>
    <w:rsid w:val="003C02EB"/>
    <w:rsid w:val="003C3320"/>
    <w:rsid w:val="003C565B"/>
    <w:rsid w:val="003E1A3C"/>
    <w:rsid w:val="003E4A5F"/>
    <w:rsid w:val="003E609B"/>
    <w:rsid w:val="003F10DE"/>
    <w:rsid w:val="003F1238"/>
    <w:rsid w:val="003F21CC"/>
    <w:rsid w:val="003F621C"/>
    <w:rsid w:val="003F7000"/>
    <w:rsid w:val="004021D0"/>
    <w:rsid w:val="00405AEE"/>
    <w:rsid w:val="00407D33"/>
    <w:rsid w:val="00410301"/>
    <w:rsid w:val="00411C06"/>
    <w:rsid w:val="0041241B"/>
    <w:rsid w:val="00427482"/>
    <w:rsid w:val="004278E4"/>
    <w:rsid w:val="00430F63"/>
    <w:rsid w:val="00434FC1"/>
    <w:rsid w:val="004355BF"/>
    <w:rsid w:val="00436D71"/>
    <w:rsid w:val="004375D6"/>
    <w:rsid w:val="00437BB2"/>
    <w:rsid w:val="0044135C"/>
    <w:rsid w:val="00443040"/>
    <w:rsid w:val="00444240"/>
    <w:rsid w:val="0044700E"/>
    <w:rsid w:val="00450457"/>
    <w:rsid w:val="00451E0C"/>
    <w:rsid w:val="00455452"/>
    <w:rsid w:val="004557AC"/>
    <w:rsid w:val="00455E20"/>
    <w:rsid w:val="00457185"/>
    <w:rsid w:val="0045730B"/>
    <w:rsid w:val="00460DCB"/>
    <w:rsid w:val="00466D50"/>
    <w:rsid w:val="00467A15"/>
    <w:rsid w:val="00467EC1"/>
    <w:rsid w:val="00472B9D"/>
    <w:rsid w:val="00476A32"/>
    <w:rsid w:val="00476B83"/>
    <w:rsid w:val="00476DD5"/>
    <w:rsid w:val="00480B38"/>
    <w:rsid w:val="00481EAD"/>
    <w:rsid w:val="004821B5"/>
    <w:rsid w:val="00482790"/>
    <w:rsid w:val="00487F93"/>
    <w:rsid w:val="004906EA"/>
    <w:rsid w:val="00491516"/>
    <w:rsid w:val="00494177"/>
    <w:rsid w:val="00494C07"/>
    <w:rsid w:val="004966D0"/>
    <w:rsid w:val="0049696E"/>
    <w:rsid w:val="004975B6"/>
    <w:rsid w:val="004A12F9"/>
    <w:rsid w:val="004A4984"/>
    <w:rsid w:val="004A57A5"/>
    <w:rsid w:val="004A6C2F"/>
    <w:rsid w:val="004B3762"/>
    <w:rsid w:val="004B4B1F"/>
    <w:rsid w:val="004B5215"/>
    <w:rsid w:val="004B6B2E"/>
    <w:rsid w:val="004C1D86"/>
    <w:rsid w:val="004C5874"/>
    <w:rsid w:val="004C5B1F"/>
    <w:rsid w:val="004C61EE"/>
    <w:rsid w:val="004C642A"/>
    <w:rsid w:val="004D0CDD"/>
    <w:rsid w:val="004D1B0E"/>
    <w:rsid w:val="004E1885"/>
    <w:rsid w:val="004E2B8B"/>
    <w:rsid w:val="004E3F08"/>
    <w:rsid w:val="004E4618"/>
    <w:rsid w:val="004E4DAB"/>
    <w:rsid w:val="004E563F"/>
    <w:rsid w:val="004E5A85"/>
    <w:rsid w:val="004F0679"/>
    <w:rsid w:val="004F49EA"/>
    <w:rsid w:val="004F60BF"/>
    <w:rsid w:val="004F72B7"/>
    <w:rsid w:val="004F783F"/>
    <w:rsid w:val="004F7D3A"/>
    <w:rsid w:val="005000A1"/>
    <w:rsid w:val="0050399B"/>
    <w:rsid w:val="0050681E"/>
    <w:rsid w:val="005070B9"/>
    <w:rsid w:val="00511ABE"/>
    <w:rsid w:val="005159F6"/>
    <w:rsid w:val="0051798A"/>
    <w:rsid w:val="00517F62"/>
    <w:rsid w:val="0052101A"/>
    <w:rsid w:val="00521BDD"/>
    <w:rsid w:val="00522E87"/>
    <w:rsid w:val="005309D8"/>
    <w:rsid w:val="0053217D"/>
    <w:rsid w:val="00537744"/>
    <w:rsid w:val="0054343E"/>
    <w:rsid w:val="005455BA"/>
    <w:rsid w:val="005458A3"/>
    <w:rsid w:val="00546D7F"/>
    <w:rsid w:val="00547137"/>
    <w:rsid w:val="005504A5"/>
    <w:rsid w:val="00550D0E"/>
    <w:rsid w:val="00550D14"/>
    <w:rsid w:val="00552117"/>
    <w:rsid w:val="00552738"/>
    <w:rsid w:val="0055539D"/>
    <w:rsid w:val="00555857"/>
    <w:rsid w:val="00555A3E"/>
    <w:rsid w:val="005565BC"/>
    <w:rsid w:val="005569B0"/>
    <w:rsid w:val="00560309"/>
    <w:rsid w:val="005624AC"/>
    <w:rsid w:val="00563547"/>
    <w:rsid w:val="00564845"/>
    <w:rsid w:val="00567558"/>
    <w:rsid w:val="00571BAE"/>
    <w:rsid w:val="00571E42"/>
    <w:rsid w:val="00575511"/>
    <w:rsid w:val="00580CF4"/>
    <w:rsid w:val="005810BB"/>
    <w:rsid w:val="00581E46"/>
    <w:rsid w:val="005829B0"/>
    <w:rsid w:val="00582A70"/>
    <w:rsid w:val="005845A7"/>
    <w:rsid w:val="00585822"/>
    <w:rsid w:val="005859B4"/>
    <w:rsid w:val="00586043"/>
    <w:rsid w:val="00587547"/>
    <w:rsid w:val="00591449"/>
    <w:rsid w:val="005928E8"/>
    <w:rsid w:val="00593C50"/>
    <w:rsid w:val="005947C8"/>
    <w:rsid w:val="00596509"/>
    <w:rsid w:val="00597AF9"/>
    <w:rsid w:val="00597FC9"/>
    <w:rsid w:val="005A16B9"/>
    <w:rsid w:val="005A30CB"/>
    <w:rsid w:val="005A3AB9"/>
    <w:rsid w:val="005A4A03"/>
    <w:rsid w:val="005A50D7"/>
    <w:rsid w:val="005B32D2"/>
    <w:rsid w:val="005B7B6C"/>
    <w:rsid w:val="005B7C63"/>
    <w:rsid w:val="005C0928"/>
    <w:rsid w:val="005C4B26"/>
    <w:rsid w:val="005C620C"/>
    <w:rsid w:val="005C7366"/>
    <w:rsid w:val="005D14FF"/>
    <w:rsid w:val="005D163C"/>
    <w:rsid w:val="005D2A8E"/>
    <w:rsid w:val="005D602D"/>
    <w:rsid w:val="005E3E64"/>
    <w:rsid w:val="005E4239"/>
    <w:rsid w:val="005F340F"/>
    <w:rsid w:val="005F488C"/>
    <w:rsid w:val="005F5D60"/>
    <w:rsid w:val="005F6D8D"/>
    <w:rsid w:val="00601A0C"/>
    <w:rsid w:val="00603F40"/>
    <w:rsid w:val="006045D9"/>
    <w:rsid w:val="006067E5"/>
    <w:rsid w:val="00607097"/>
    <w:rsid w:val="00610483"/>
    <w:rsid w:val="0061068C"/>
    <w:rsid w:val="006109CD"/>
    <w:rsid w:val="00612EE1"/>
    <w:rsid w:val="006150DE"/>
    <w:rsid w:val="00615949"/>
    <w:rsid w:val="006166CA"/>
    <w:rsid w:val="006167C8"/>
    <w:rsid w:val="00616CB2"/>
    <w:rsid w:val="00621972"/>
    <w:rsid w:val="00621EF9"/>
    <w:rsid w:val="00623455"/>
    <w:rsid w:val="00627BA2"/>
    <w:rsid w:val="00632876"/>
    <w:rsid w:val="006333E6"/>
    <w:rsid w:val="00634514"/>
    <w:rsid w:val="00634784"/>
    <w:rsid w:val="00634B6E"/>
    <w:rsid w:val="006360D4"/>
    <w:rsid w:val="00636247"/>
    <w:rsid w:val="00640F58"/>
    <w:rsid w:val="00641035"/>
    <w:rsid w:val="0064735F"/>
    <w:rsid w:val="006505DF"/>
    <w:rsid w:val="006507F0"/>
    <w:rsid w:val="00653A57"/>
    <w:rsid w:val="00654AFA"/>
    <w:rsid w:val="0065543B"/>
    <w:rsid w:val="00655769"/>
    <w:rsid w:val="00655A58"/>
    <w:rsid w:val="00656C35"/>
    <w:rsid w:val="00657830"/>
    <w:rsid w:val="00660991"/>
    <w:rsid w:val="00662BA9"/>
    <w:rsid w:val="00663654"/>
    <w:rsid w:val="006659B6"/>
    <w:rsid w:val="00666A77"/>
    <w:rsid w:val="0066708C"/>
    <w:rsid w:val="00667188"/>
    <w:rsid w:val="00673077"/>
    <w:rsid w:val="00674BB4"/>
    <w:rsid w:val="00674E5A"/>
    <w:rsid w:val="00675383"/>
    <w:rsid w:val="00675CDD"/>
    <w:rsid w:val="00676A8F"/>
    <w:rsid w:val="006803D2"/>
    <w:rsid w:val="0068339E"/>
    <w:rsid w:val="00683A25"/>
    <w:rsid w:val="00683DEA"/>
    <w:rsid w:val="00684C9C"/>
    <w:rsid w:val="00684E96"/>
    <w:rsid w:val="006855E9"/>
    <w:rsid w:val="00687642"/>
    <w:rsid w:val="00687B11"/>
    <w:rsid w:val="00687CE5"/>
    <w:rsid w:val="00693915"/>
    <w:rsid w:val="00693EE5"/>
    <w:rsid w:val="00694BE1"/>
    <w:rsid w:val="00696F45"/>
    <w:rsid w:val="006A0D84"/>
    <w:rsid w:val="006A27BE"/>
    <w:rsid w:val="006A28BC"/>
    <w:rsid w:val="006A4993"/>
    <w:rsid w:val="006A58D6"/>
    <w:rsid w:val="006A5D08"/>
    <w:rsid w:val="006A6675"/>
    <w:rsid w:val="006B1B53"/>
    <w:rsid w:val="006B2DBB"/>
    <w:rsid w:val="006B48A1"/>
    <w:rsid w:val="006B50B7"/>
    <w:rsid w:val="006B5796"/>
    <w:rsid w:val="006B72F2"/>
    <w:rsid w:val="006B7864"/>
    <w:rsid w:val="006B787D"/>
    <w:rsid w:val="006B78C5"/>
    <w:rsid w:val="006B7908"/>
    <w:rsid w:val="006C10F0"/>
    <w:rsid w:val="006C130B"/>
    <w:rsid w:val="006C140B"/>
    <w:rsid w:val="006C1472"/>
    <w:rsid w:val="006C4D08"/>
    <w:rsid w:val="006C7C3F"/>
    <w:rsid w:val="006D06F9"/>
    <w:rsid w:val="006D0EC1"/>
    <w:rsid w:val="006D7582"/>
    <w:rsid w:val="006E13FB"/>
    <w:rsid w:val="006E2464"/>
    <w:rsid w:val="006E563E"/>
    <w:rsid w:val="006E5AF6"/>
    <w:rsid w:val="006F32CB"/>
    <w:rsid w:val="006F4DC9"/>
    <w:rsid w:val="006F4F44"/>
    <w:rsid w:val="007001AB"/>
    <w:rsid w:val="007011CF"/>
    <w:rsid w:val="00701BB1"/>
    <w:rsid w:val="00705919"/>
    <w:rsid w:val="007077F7"/>
    <w:rsid w:val="00707E2E"/>
    <w:rsid w:val="00711CB5"/>
    <w:rsid w:val="00714F9C"/>
    <w:rsid w:val="007203CF"/>
    <w:rsid w:val="00721FA6"/>
    <w:rsid w:val="00725F97"/>
    <w:rsid w:val="00730198"/>
    <w:rsid w:val="00730CCB"/>
    <w:rsid w:val="00732820"/>
    <w:rsid w:val="00734C8D"/>
    <w:rsid w:val="0073797C"/>
    <w:rsid w:val="00737D12"/>
    <w:rsid w:val="0074010A"/>
    <w:rsid w:val="007428C1"/>
    <w:rsid w:val="00747DAF"/>
    <w:rsid w:val="00747FF0"/>
    <w:rsid w:val="00751A66"/>
    <w:rsid w:val="00752104"/>
    <w:rsid w:val="00753B68"/>
    <w:rsid w:val="007556F6"/>
    <w:rsid w:val="0075710A"/>
    <w:rsid w:val="00764100"/>
    <w:rsid w:val="007648FF"/>
    <w:rsid w:val="00766D0E"/>
    <w:rsid w:val="00767019"/>
    <w:rsid w:val="00767416"/>
    <w:rsid w:val="00772C90"/>
    <w:rsid w:val="007741E9"/>
    <w:rsid w:val="00774747"/>
    <w:rsid w:val="0077545F"/>
    <w:rsid w:val="007770CC"/>
    <w:rsid w:val="00781D8F"/>
    <w:rsid w:val="00782EBF"/>
    <w:rsid w:val="00784AEA"/>
    <w:rsid w:val="00796458"/>
    <w:rsid w:val="007966E0"/>
    <w:rsid w:val="007A0175"/>
    <w:rsid w:val="007A1378"/>
    <w:rsid w:val="007A1CE1"/>
    <w:rsid w:val="007A7A87"/>
    <w:rsid w:val="007B0AA0"/>
    <w:rsid w:val="007B1D4B"/>
    <w:rsid w:val="007B2DC1"/>
    <w:rsid w:val="007B4EC2"/>
    <w:rsid w:val="007B6DCC"/>
    <w:rsid w:val="007B7337"/>
    <w:rsid w:val="007C1153"/>
    <w:rsid w:val="007C173C"/>
    <w:rsid w:val="007C2839"/>
    <w:rsid w:val="007C3A2D"/>
    <w:rsid w:val="007C6ADC"/>
    <w:rsid w:val="007D07D2"/>
    <w:rsid w:val="007D39FE"/>
    <w:rsid w:val="007D5524"/>
    <w:rsid w:val="007D78E9"/>
    <w:rsid w:val="007E4BB6"/>
    <w:rsid w:val="007E5AF3"/>
    <w:rsid w:val="007E7C78"/>
    <w:rsid w:val="007F3E97"/>
    <w:rsid w:val="007F54E9"/>
    <w:rsid w:val="0080179E"/>
    <w:rsid w:val="00801C41"/>
    <w:rsid w:val="008026C4"/>
    <w:rsid w:val="008028A8"/>
    <w:rsid w:val="00803D3B"/>
    <w:rsid w:val="00804418"/>
    <w:rsid w:val="00804D66"/>
    <w:rsid w:val="00804FB7"/>
    <w:rsid w:val="008056AC"/>
    <w:rsid w:val="00805E55"/>
    <w:rsid w:val="008101F1"/>
    <w:rsid w:val="00812205"/>
    <w:rsid w:val="00812455"/>
    <w:rsid w:val="00812B9C"/>
    <w:rsid w:val="00813036"/>
    <w:rsid w:val="008147E7"/>
    <w:rsid w:val="00814D76"/>
    <w:rsid w:val="008179E6"/>
    <w:rsid w:val="00817CE2"/>
    <w:rsid w:val="008210D7"/>
    <w:rsid w:val="00821630"/>
    <w:rsid w:val="00821D88"/>
    <w:rsid w:val="00823197"/>
    <w:rsid w:val="008241B2"/>
    <w:rsid w:val="0082454A"/>
    <w:rsid w:val="00826E3A"/>
    <w:rsid w:val="0082790B"/>
    <w:rsid w:val="00827D04"/>
    <w:rsid w:val="00831287"/>
    <w:rsid w:val="00832060"/>
    <w:rsid w:val="00832210"/>
    <w:rsid w:val="00833112"/>
    <w:rsid w:val="00834F4A"/>
    <w:rsid w:val="008350D9"/>
    <w:rsid w:val="00835AAC"/>
    <w:rsid w:val="00835B04"/>
    <w:rsid w:val="00836169"/>
    <w:rsid w:val="00836A6B"/>
    <w:rsid w:val="008370E5"/>
    <w:rsid w:val="008373FA"/>
    <w:rsid w:val="00847C81"/>
    <w:rsid w:val="00847CD4"/>
    <w:rsid w:val="0085148D"/>
    <w:rsid w:val="008531F6"/>
    <w:rsid w:val="008541FA"/>
    <w:rsid w:val="00854FC8"/>
    <w:rsid w:val="008568B0"/>
    <w:rsid w:val="00861D62"/>
    <w:rsid w:val="00861FFE"/>
    <w:rsid w:val="008633D7"/>
    <w:rsid w:val="00866651"/>
    <w:rsid w:val="008701A2"/>
    <w:rsid w:val="00872214"/>
    <w:rsid w:val="00872485"/>
    <w:rsid w:val="00873158"/>
    <w:rsid w:val="00875596"/>
    <w:rsid w:val="008768DE"/>
    <w:rsid w:val="00880B9D"/>
    <w:rsid w:val="00880EF6"/>
    <w:rsid w:val="008816F0"/>
    <w:rsid w:val="00881BD9"/>
    <w:rsid w:val="00883636"/>
    <w:rsid w:val="00883A36"/>
    <w:rsid w:val="00883F90"/>
    <w:rsid w:val="00884889"/>
    <w:rsid w:val="0089012F"/>
    <w:rsid w:val="0089039A"/>
    <w:rsid w:val="00891EF2"/>
    <w:rsid w:val="00892A2A"/>
    <w:rsid w:val="00896E28"/>
    <w:rsid w:val="0089786E"/>
    <w:rsid w:val="008A2301"/>
    <w:rsid w:val="008A36F7"/>
    <w:rsid w:val="008A3C89"/>
    <w:rsid w:val="008A6776"/>
    <w:rsid w:val="008A6AC4"/>
    <w:rsid w:val="008A7ACC"/>
    <w:rsid w:val="008B3EC5"/>
    <w:rsid w:val="008B4C4F"/>
    <w:rsid w:val="008B5513"/>
    <w:rsid w:val="008C34A9"/>
    <w:rsid w:val="008C3F4E"/>
    <w:rsid w:val="008C45AA"/>
    <w:rsid w:val="008C5035"/>
    <w:rsid w:val="008C5473"/>
    <w:rsid w:val="008C61E1"/>
    <w:rsid w:val="008C6A1F"/>
    <w:rsid w:val="008C6C05"/>
    <w:rsid w:val="008C7542"/>
    <w:rsid w:val="008C787C"/>
    <w:rsid w:val="008D09EA"/>
    <w:rsid w:val="008D33EE"/>
    <w:rsid w:val="008D4E8E"/>
    <w:rsid w:val="008D56EF"/>
    <w:rsid w:val="008D5A78"/>
    <w:rsid w:val="008D7633"/>
    <w:rsid w:val="008E0628"/>
    <w:rsid w:val="008E0CCA"/>
    <w:rsid w:val="008E170A"/>
    <w:rsid w:val="008E3EEB"/>
    <w:rsid w:val="008E3F47"/>
    <w:rsid w:val="008E432B"/>
    <w:rsid w:val="008E4BB9"/>
    <w:rsid w:val="008E4C30"/>
    <w:rsid w:val="008E73D4"/>
    <w:rsid w:val="008F0824"/>
    <w:rsid w:val="008F22F2"/>
    <w:rsid w:val="008F4C54"/>
    <w:rsid w:val="008F5CAB"/>
    <w:rsid w:val="008F6E34"/>
    <w:rsid w:val="00901623"/>
    <w:rsid w:val="0090526D"/>
    <w:rsid w:val="00911250"/>
    <w:rsid w:val="00912D71"/>
    <w:rsid w:val="00914551"/>
    <w:rsid w:val="00916A57"/>
    <w:rsid w:val="00916E67"/>
    <w:rsid w:val="009177D0"/>
    <w:rsid w:val="0092115E"/>
    <w:rsid w:val="00922D5A"/>
    <w:rsid w:val="00923DA9"/>
    <w:rsid w:val="00925A57"/>
    <w:rsid w:val="0092676E"/>
    <w:rsid w:val="0092755A"/>
    <w:rsid w:val="009306A9"/>
    <w:rsid w:val="00930CC9"/>
    <w:rsid w:val="009336F9"/>
    <w:rsid w:val="00935BE8"/>
    <w:rsid w:val="0093655F"/>
    <w:rsid w:val="00943C8C"/>
    <w:rsid w:val="00946559"/>
    <w:rsid w:val="00947CB1"/>
    <w:rsid w:val="009508FC"/>
    <w:rsid w:val="00951245"/>
    <w:rsid w:val="00951DB9"/>
    <w:rsid w:val="0095381E"/>
    <w:rsid w:val="00955CC6"/>
    <w:rsid w:val="00957736"/>
    <w:rsid w:val="00957F2B"/>
    <w:rsid w:val="00961FE5"/>
    <w:rsid w:val="009640F0"/>
    <w:rsid w:val="00964524"/>
    <w:rsid w:val="00966A0E"/>
    <w:rsid w:val="00966FF7"/>
    <w:rsid w:val="00967301"/>
    <w:rsid w:val="00967702"/>
    <w:rsid w:val="0097005A"/>
    <w:rsid w:val="00971BE3"/>
    <w:rsid w:val="00973DB9"/>
    <w:rsid w:val="009762F7"/>
    <w:rsid w:val="0097680C"/>
    <w:rsid w:val="00976C25"/>
    <w:rsid w:val="00977C40"/>
    <w:rsid w:val="00981A59"/>
    <w:rsid w:val="00982A8E"/>
    <w:rsid w:val="009834C8"/>
    <w:rsid w:val="00983B18"/>
    <w:rsid w:val="00983DA4"/>
    <w:rsid w:val="00986097"/>
    <w:rsid w:val="00986E68"/>
    <w:rsid w:val="009947D2"/>
    <w:rsid w:val="009954CE"/>
    <w:rsid w:val="009961B2"/>
    <w:rsid w:val="009A3E8C"/>
    <w:rsid w:val="009A604A"/>
    <w:rsid w:val="009A73A8"/>
    <w:rsid w:val="009B1440"/>
    <w:rsid w:val="009B14BB"/>
    <w:rsid w:val="009B2927"/>
    <w:rsid w:val="009B2BE7"/>
    <w:rsid w:val="009B45DD"/>
    <w:rsid w:val="009B7454"/>
    <w:rsid w:val="009C4272"/>
    <w:rsid w:val="009C7073"/>
    <w:rsid w:val="009D3F3B"/>
    <w:rsid w:val="009D3FD7"/>
    <w:rsid w:val="009D5A08"/>
    <w:rsid w:val="009D6ED0"/>
    <w:rsid w:val="009E0087"/>
    <w:rsid w:val="009E0205"/>
    <w:rsid w:val="009E1ABD"/>
    <w:rsid w:val="009E1F29"/>
    <w:rsid w:val="009E5C4A"/>
    <w:rsid w:val="009E6947"/>
    <w:rsid w:val="009E6B11"/>
    <w:rsid w:val="009F1BCB"/>
    <w:rsid w:val="009F3C5A"/>
    <w:rsid w:val="009F4504"/>
    <w:rsid w:val="009F624C"/>
    <w:rsid w:val="00A0608F"/>
    <w:rsid w:val="00A11629"/>
    <w:rsid w:val="00A12527"/>
    <w:rsid w:val="00A17672"/>
    <w:rsid w:val="00A178A8"/>
    <w:rsid w:val="00A17A1B"/>
    <w:rsid w:val="00A20BD3"/>
    <w:rsid w:val="00A218AC"/>
    <w:rsid w:val="00A21FF8"/>
    <w:rsid w:val="00A24E7E"/>
    <w:rsid w:val="00A25382"/>
    <w:rsid w:val="00A253D2"/>
    <w:rsid w:val="00A27917"/>
    <w:rsid w:val="00A31BBB"/>
    <w:rsid w:val="00A324F0"/>
    <w:rsid w:val="00A35A0E"/>
    <w:rsid w:val="00A35EBD"/>
    <w:rsid w:val="00A376BE"/>
    <w:rsid w:val="00A4071D"/>
    <w:rsid w:val="00A42258"/>
    <w:rsid w:val="00A46446"/>
    <w:rsid w:val="00A47875"/>
    <w:rsid w:val="00A47897"/>
    <w:rsid w:val="00A605BF"/>
    <w:rsid w:val="00A67AC7"/>
    <w:rsid w:val="00A70695"/>
    <w:rsid w:val="00A73741"/>
    <w:rsid w:val="00A75BA8"/>
    <w:rsid w:val="00A80070"/>
    <w:rsid w:val="00A81A03"/>
    <w:rsid w:val="00A82E4A"/>
    <w:rsid w:val="00A870F5"/>
    <w:rsid w:val="00A87B88"/>
    <w:rsid w:val="00A90382"/>
    <w:rsid w:val="00A927E3"/>
    <w:rsid w:val="00A953B3"/>
    <w:rsid w:val="00A962F4"/>
    <w:rsid w:val="00A96C16"/>
    <w:rsid w:val="00A96E5E"/>
    <w:rsid w:val="00A97C61"/>
    <w:rsid w:val="00AA0EBA"/>
    <w:rsid w:val="00AA1673"/>
    <w:rsid w:val="00AA1CCB"/>
    <w:rsid w:val="00AA2582"/>
    <w:rsid w:val="00AA2771"/>
    <w:rsid w:val="00AA2942"/>
    <w:rsid w:val="00AA2A37"/>
    <w:rsid w:val="00AA3ED1"/>
    <w:rsid w:val="00AA5342"/>
    <w:rsid w:val="00AA6255"/>
    <w:rsid w:val="00AA79CD"/>
    <w:rsid w:val="00AB06E0"/>
    <w:rsid w:val="00AB24E0"/>
    <w:rsid w:val="00AB282E"/>
    <w:rsid w:val="00AB4EF5"/>
    <w:rsid w:val="00AB5871"/>
    <w:rsid w:val="00AB6DC5"/>
    <w:rsid w:val="00AB74B7"/>
    <w:rsid w:val="00AB7A61"/>
    <w:rsid w:val="00AC0DAB"/>
    <w:rsid w:val="00AC341A"/>
    <w:rsid w:val="00AC349E"/>
    <w:rsid w:val="00AC34A6"/>
    <w:rsid w:val="00AC481C"/>
    <w:rsid w:val="00AC4B2E"/>
    <w:rsid w:val="00AC5B88"/>
    <w:rsid w:val="00AC6CC2"/>
    <w:rsid w:val="00AD05F6"/>
    <w:rsid w:val="00AD0643"/>
    <w:rsid w:val="00AD1FFB"/>
    <w:rsid w:val="00AD45FD"/>
    <w:rsid w:val="00AD7A94"/>
    <w:rsid w:val="00AE102A"/>
    <w:rsid w:val="00AE3DD5"/>
    <w:rsid w:val="00AE4344"/>
    <w:rsid w:val="00AE4B8A"/>
    <w:rsid w:val="00AE4C8E"/>
    <w:rsid w:val="00AE6576"/>
    <w:rsid w:val="00AF004F"/>
    <w:rsid w:val="00AF024B"/>
    <w:rsid w:val="00AF0582"/>
    <w:rsid w:val="00AF17EA"/>
    <w:rsid w:val="00AF25A7"/>
    <w:rsid w:val="00AF416E"/>
    <w:rsid w:val="00AF42CC"/>
    <w:rsid w:val="00B019BA"/>
    <w:rsid w:val="00B01E42"/>
    <w:rsid w:val="00B032DC"/>
    <w:rsid w:val="00B03341"/>
    <w:rsid w:val="00B05489"/>
    <w:rsid w:val="00B06DBC"/>
    <w:rsid w:val="00B077D7"/>
    <w:rsid w:val="00B077EE"/>
    <w:rsid w:val="00B10CC0"/>
    <w:rsid w:val="00B17C44"/>
    <w:rsid w:val="00B17D53"/>
    <w:rsid w:val="00B25FE9"/>
    <w:rsid w:val="00B26C37"/>
    <w:rsid w:val="00B35879"/>
    <w:rsid w:val="00B40C89"/>
    <w:rsid w:val="00B4241D"/>
    <w:rsid w:val="00B446B3"/>
    <w:rsid w:val="00B44CB0"/>
    <w:rsid w:val="00B45D27"/>
    <w:rsid w:val="00B46109"/>
    <w:rsid w:val="00B54435"/>
    <w:rsid w:val="00B55AB2"/>
    <w:rsid w:val="00B565CE"/>
    <w:rsid w:val="00B57716"/>
    <w:rsid w:val="00B57838"/>
    <w:rsid w:val="00B60383"/>
    <w:rsid w:val="00B608E1"/>
    <w:rsid w:val="00B63806"/>
    <w:rsid w:val="00B65912"/>
    <w:rsid w:val="00B65B9B"/>
    <w:rsid w:val="00B663E5"/>
    <w:rsid w:val="00B70D09"/>
    <w:rsid w:val="00B71848"/>
    <w:rsid w:val="00B72F87"/>
    <w:rsid w:val="00B746CF"/>
    <w:rsid w:val="00B8008F"/>
    <w:rsid w:val="00B8184D"/>
    <w:rsid w:val="00B83BA9"/>
    <w:rsid w:val="00B83E6E"/>
    <w:rsid w:val="00B8413B"/>
    <w:rsid w:val="00B85297"/>
    <w:rsid w:val="00B861BD"/>
    <w:rsid w:val="00B86D9F"/>
    <w:rsid w:val="00B91B1A"/>
    <w:rsid w:val="00B93371"/>
    <w:rsid w:val="00B93A2F"/>
    <w:rsid w:val="00B97679"/>
    <w:rsid w:val="00BA4D1F"/>
    <w:rsid w:val="00BA4F7F"/>
    <w:rsid w:val="00BA5E5C"/>
    <w:rsid w:val="00BA68E7"/>
    <w:rsid w:val="00BB000C"/>
    <w:rsid w:val="00BB205D"/>
    <w:rsid w:val="00BB263B"/>
    <w:rsid w:val="00BB51D8"/>
    <w:rsid w:val="00BB51E6"/>
    <w:rsid w:val="00BB63C7"/>
    <w:rsid w:val="00BB7362"/>
    <w:rsid w:val="00BB7E8B"/>
    <w:rsid w:val="00BC0216"/>
    <w:rsid w:val="00BC03D9"/>
    <w:rsid w:val="00BC2ED0"/>
    <w:rsid w:val="00BC346D"/>
    <w:rsid w:val="00BC7FC9"/>
    <w:rsid w:val="00BD0B21"/>
    <w:rsid w:val="00BD1C33"/>
    <w:rsid w:val="00BD7E38"/>
    <w:rsid w:val="00BE021F"/>
    <w:rsid w:val="00BE148F"/>
    <w:rsid w:val="00BE3637"/>
    <w:rsid w:val="00BE6A2C"/>
    <w:rsid w:val="00BE7C51"/>
    <w:rsid w:val="00BF0FE6"/>
    <w:rsid w:val="00BF245C"/>
    <w:rsid w:val="00BF495B"/>
    <w:rsid w:val="00BF7A26"/>
    <w:rsid w:val="00C001A2"/>
    <w:rsid w:val="00C034DC"/>
    <w:rsid w:val="00C063E0"/>
    <w:rsid w:val="00C06446"/>
    <w:rsid w:val="00C065FB"/>
    <w:rsid w:val="00C067DE"/>
    <w:rsid w:val="00C071DD"/>
    <w:rsid w:val="00C07990"/>
    <w:rsid w:val="00C10848"/>
    <w:rsid w:val="00C12B41"/>
    <w:rsid w:val="00C1381D"/>
    <w:rsid w:val="00C13BD7"/>
    <w:rsid w:val="00C13D47"/>
    <w:rsid w:val="00C15BBA"/>
    <w:rsid w:val="00C15C86"/>
    <w:rsid w:val="00C15E1F"/>
    <w:rsid w:val="00C200FC"/>
    <w:rsid w:val="00C20919"/>
    <w:rsid w:val="00C21CD4"/>
    <w:rsid w:val="00C23A38"/>
    <w:rsid w:val="00C2557B"/>
    <w:rsid w:val="00C2583A"/>
    <w:rsid w:val="00C2622C"/>
    <w:rsid w:val="00C31A0F"/>
    <w:rsid w:val="00C333F4"/>
    <w:rsid w:val="00C3353C"/>
    <w:rsid w:val="00C3554E"/>
    <w:rsid w:val="00C36EBF"/>
    <w:rsid w:val="00C43908"/>
    <w:rsid w:val="00C45578"/>
    <w:rsid w:val="00C50DBD"/>
    <w:rsid w:val="00C511DC"/>
    <w:rsid w:val="00C51A2F"/>
    <w:rsid w:val="00C51EED"/>
    <w:rsid w:val="00C52D5F"/>
    <w:rsid w:val="00C54037"/>
    <w:rsid w:val="00C546B0"/>
    <w:rsid w:val="00C54B3D"/>
    <w:rsid w:val="00C570DF"/>
    <w:rsid w:val="00C57A7E"/>
    <w:rsid w:val="00C66E4E"/>
    <w:rsid w:val="00C70448"/>
    <w:rsid w:val="00C726FF"/>
    <w:rsid w:val="00C74DEF"/>
    <w:rsid w:val="00C8037C"/>
    <w:rsid w:val="00C81617"/>
    <w:rsid w:val="00C81D58"/>
    <w:rsid w:val="00C81FCC"/>
    <w:rsid w:val="00C83CED"/>
    <w:rsid w:val="00C851EE"/>
    <w:rsid w:val="00C86490"/>
    <w:rsid w:val="00C86F8F"/>
    <w:rsid w:val="00C90B3C"/>
    <w:rsid w:val="00C92A96"/>
    <w:rsid w:val="00C9395B"/>
    <w:rsid w:val="00C939F7"/>
    <w:rsid w:val="00CA04DC"/>
    <w:rsid w:val="00CA23FC"/>
    <w:rsid w:val="00CA44E0"/>
    <w:rsid w:val="00CA6ED9"/>
    <w:rsid w:val="00CA7C82"/>
    <w:rsid w:val="00CB17EE"/>
    <w:rsid w:val="00CB3EF4"/>
    <w:rsid w:val="00CB4577"/>
    <w:rsid w:val="00CB4B4E"/>
    <w:rsid w:val="00CB5C67"/>
    <w:rsid w:val="00CB6E36"/>
    <w:rsid w:val="00CC2A3C"/>
    <w:rsid w:val="00CC4B01"/>
    <w:rsid w:val="00CC6C19"/>
    <w:rsid w:val="00CD0104"/>
    <w:rsid w:val="00CD3BC9"/>
    <w:rsid w:val="00CD5449"/>
    <w:rsid w:val="00CD6DCA"/>
    <w:rsid w:val="00CE014E"/>
    <w:rsid w:val="00CE4C38"/>
    <w:rsid w:val="00CE4C5A"/>
    <w:rsid w:val="00CE6F22"/>
    <w:rsid w:val="00CE793D"/>
    <w:rsid w:val="00CF1CD8"/>
    <w:rsid w:val="00CF6B04"/>
    <w:rsid w:val="00D00853"/>
    <w:rsid w:val="00D00966"/>
    <w:rsid w:val="00D02B68"/>
    <w:rsid w:val="00D03138"/>
    <w:rsid w:val="00D102D8"/>
    <w:rsid w:val="00D13AA9"/>
    <w:rsid w:val="00D14538"/>
    <w:rsid w:val="00D17569"/>
    <w:rsid w:val="00D20DC4"/>
    <w:rsid w:val="00D22765"/>
    <w:rsid w:val="00D2299D"/>
    <w:rsid w:val="00D233A2"/>
    <w:rsid w:val="00D24110"/>
    <w:rsid w:val="00D250C5"/>
    <w:rsid w:val="00D27388"/>
    <w:rsid w:val="00D31357"/>
    <w:rsid w:val="00D34708"/>
    <w:rsid w:val="00D34D3A"/>
    <w:rsid w:val="00D37D6A"/>
    <w:rsid w:val="00D40214"/>
    <w:rsid w:val="00D409E3"/>
    <w:rsid w:val="00D42BA3"/>
    <w:rsid w:val="00D44C0E"/>
    <w:rsid w:val="00D47BEF"/>
    <w:rsid w:val="00D510FF"/>
    <w:rsid w:val="00D51E6B"/>
    <w:rsid w:val="00D51FE2"/>
    <w:rsid w:val="00D52F0C"/>
    <w:rsid w:val="00D53475"/>
    <w:rsid w:val="00D54B94"/>
    <w:rsid w:val="00D551BB"/>
    <w:rsid w:val="00D564E6"/>
    <w:rsid w:val="00D564EB"/>
    <w:rsid w:val="00D568C6"/>
    <w:rsid w:val="00D611C8"/>
    <w:rsid w:val="00D64803"/>
    <w:rsid w:val="00D65B63"/>
    <w:rsid w:val="00D6700C"/>
    <w:rsid w:val="00D676FA"/>
    <w:rsid w:val="00D71D78"/>
    <w:rsid w:val="00D74689"/>
    <w:rsid w:val="00D76B9E"/>
    <w:rsid w:val="00D7731C"/>
    <w:rsid w:val="00D80382"/>
    <w:rsid w:val="00D8084F"/>
    <w:rsid w:val="00D82F43"/>
    <w:rsid w:val="00D842A6"/>
    <w:rsid w:val="00D84D8F"/>
    <w:rsid w:val="00D861AF"/>
    <w:rsid w:val="00D868D2"/>
    <w:rsid w:val="00D87EEF"/>
    <w:rsid w:val="00D92962"/>
    <w:rsid w:val="00D94676"/>
    <w:rsid w:val="00DA326B"/>
    <w:rsid w:val="00DA4EC2"/>
    <w:rsid w:val="00DB147E"/>
    <w:rsid w:val="00DB3779"/>
    <w:rsid w:val="00DB514F"/>
    <w:rsid w:val="00DB6A7D"/>
    <w:rsid w:val="00DB733E"/>
    <w:rsid w:val="00DC32C5"/>
    <w:rsid w:val="00DC3A96"/>
    <w:rsid w:val="00DC3B80"/>
    <w:rsid w:val="00DC5648"/>
    <w:rsid w:val="00DC6406"/>
    <w:rsid w:val="00DC6CF1"/>
    <w:rsid w:val="00DD2BB9"/>
    <w:rsid w:val="00DD3046"/>
    <w:rsid w:val="00DD3671"/>
    <w:rsid w:val="00DD3841"/>
    <w:rsid w:val="00DD462C"/>
    <w:rsid w:val="00DD53F0"/>
    <w:rsid w:val="00DE0BF4"/>
    <w:rsid w:val="00DE161A"/>
    <w:rsid w:val="00DE2E26"/>
    <w:rsid w:val="00DE3A09"/>
    <w:rsid w:val="00DE5F9C"/>
    <w:rsid w:val="00DE7A82"/>
    <w:rsid w:val="00DF0901"/>
    <w:rsid w:val="00DF2CE3"/>
    <w:rsid w:val="00DF36CE"/>
    <w:rsid w:val="00DF5425"/>
    <w:rsid w:val="00DF6AD1"/>
    <w:rsid w:val="00DF6D9A"/>
    <w:rsid w:val="00DF72CA"/>
    <w:rsid w:val="00DF7FF0"/>
    <w:rsid w:val="00E00F2A"/>
    <w:rsid w:val="00E03962"/>
    <w:rsid w:val="00E03B38"/>
    <w:rsid w:val="00E04253"/>
    <w:rsid w:val="00E102D7"/>
    <w:rsid w:val="00E10405"/>
    <w:rsid w:val="00E104BC"/>
    <w:rsid w:val="00E10F67"/>
    <w:rsid w:val="00E14699"/>
    <w:rsid w:val="00E20E7B"/>
    <w:rsid w:val="00E22D06"/>
    <w:rsid w:val="00E31013"/>
    <w:rsid w:val="00E33E81"/>
    <w:rsid w:val="00E342F7"/>
    <w:rsid w:val="00E34AA8"/>
    <w:rsid w:val="00E37FAE"/>
    <w:rsid w:val="00E418BF"/>
    <w:rsid w:val="00E426F8"/>
    <w:rsid w:val="00E4287F"/>
    <w:rsid w:val="00E42FDE"/>
    <w:rsid w:val="00E43048"/>
    <w:rsid w:val="00E43D29"/>
    <w:rsid w:val="00E4456C"/>
    <w:rsid w:val="00E45812"/>
    <w:rsid w:val="00E45871"/>
    <w:rsid w:val="00E458D4"/>
    <w:rsid w:val="00E5096F"/>
    <w:rsid w:val="00E51786"/>
    <w:rsid w:val="00E5220E"/>
    <w:rsid w:val="00E534C5"/>
    <w:rsid w:val="00E53943"/>
    <w:rsid w:val="00E54AC8"/>
    <w:rsid w:val="00E56829"/>
    <w:rsid w:val="00E60719"/>
    <w:rsid w:val="00E64AED"/>
    <w:rsid w:val="00E64C73"/>
    <w:rsid w:val="00E660DE"/>
    <w:rsid w:val="00E6669E"/>
    <w:rsid w:val="00E67105"/>
    <w:rsid w:val="00E72FEF"/>
    <w:rsid w:val="00E75E48"/>
    <w:rsid w:val="00E76A5B"/>
    <w:rsid w:val="00E773D2"/>
    <w:rsid w:val="00E803EA"/>
    <w:rsid w:val="00E80751"/>
    <w:rsid w:val="00E80962"/>
    <w:rsid w:val="00E81093"/>
    <w:rsid w:val="00E83044"/>
    <w:rsid w:val="00E92079"/>
    <w:rsid w:val="00E922A2"/>
    <w:rsid w:val="00E95B33"/>
    <w:rsid w:val="00E97D5E"/>
    <w:rsid w:val="00EA5893"/>
    <w:rsid w:val="00EA67DA"/>
    <w:rsid w:val="00EA68C1"/>
    <w:rsid w:val="00EA7A8E"/>
    <w:rsid w:val="00EB07BB"/>
    <w:rsid w:val="00EB0C4B"/>
    <w:rsid w:val="00EB4040"/>
    <w:rsid w:val="00EC086C"/>
    <w:rsid w:val="00EC0ABA"/>
    <w:rsid w:val="00EC2D6A"/>
    <w:rsid w:val="00EC39ED"/>
    <w:rsid w:val="00EC63EE"/>
    <w:rsid w:val="00EC6990"/>
    <w:rsid w:val="00EC7734"/>
    <w:rsid w:val="00ED0548"/>
    <w:rsid w:val="00ED0ADC"/>
    <w:rsid w:val="00ED1BFC"/>
    <w:rsid w:val="00ED2654"/>
    <w:rsid w:val="00ED2DA9"/>
    <w:rsid w:val="00ED3806"/>
    <w:rsid w:val="00ED40E3"/>
    <w:rsid w:val="00ED4612"/>
    <w:rsid w:val="00ED524A"/>
    <w:rsid w:val="00ED575C"/>
    <w:rsid w:val="00ED7512"/>
    <w:rsid w:val="00EE22D5"/>
    <w:rsid w:val="00EE261B"/>
    <w:rsid w:val="00EE64F3"/>
    <w:rsid w:val="00EF2B0E"/>
    <w:rsid w:val="00EF46E5"/>
    <w:rsid w:val="00EF55DC"/>
    <w:rsid w:val="00EF772B"/>
    <w:rsid w:val="00EF7CBB"/>
    <w:rsid w:val="00F11908"/>
    <w:rsid w:val="00F16992"/>
    <w:rsid w:val="00F16B73"/>
    <w:rsid w:val="00F1792B"/>
    <w:rsid w:val="00F17A07"/>
    <w:rsid w:val="00F17BD9"/>
    <w:rsid w:val="00F2079D"/>
    <w:rsid w:val="00F211B5"/>
    <w:rsid w:val="00F21D93"/>
    <w:rsid w:val="00F236B3"/>
    <w:rsid w:val="00F25D40"/>
    <w:rsid w:val="00F260EC"/>
    <w:rsid w:val="00F3026F"/>
    <w:rsid w:val="00F3064C"/>
    <w:rsid w:val="00F323BB"/>
    <w:rsid w:val="00F3416B"/>
    <w:rsid w:val="00F34D83"/>
    <w:rsid w:val="00F36F32"/>
    <w:rsid w:val="00F40ACF"/>
    <w:rsid w:val="00F435BF"/>
    <w:rsid w:val="00F43A8D"/>
    <w:rsid w:val="00F4438B"/>
    <w:rsid w:val="00F44B38"/>
    <w:rsid w:val="00F44E1F"/>
    <w:rsid w:val="00F455CD"/>
    <w:rsid w:val="00F46010"/>
    <w:rsid w:val="00F51B66"/>
    <w:rsid w:val="00F52426"/>
    <w:rsid w:val="00F542BC"/>
    <w:rsid w:val="00F55209"/>
    <w:rsid w:val="00F563ED"/>
    <w:rsid w:val="00F61B7E"/>
    <w:rsid w:val="00F66515"/>
    <w:rsid w:val="00F73A68"/>
    <w:rsid w:val="00F773F7"/>
    <w:rsid w:val="00F809BF"/>
    <w:rsid w:val="00F81625"/>
    <w:rsid w:val="00F8330E"/>
    <w:rsid w:val="00F841C4"/>
    <w:rsid w:val="00F85636"/>
    <w:rsid w:val="00F86498"/>
    <w:rsid w:val="00F8772E"/>
    <w:rsid w:val="00F87D9A"/>
    <w:rsid w:val="00F914E3"/>
    <w:rsid w:val="00F91F73"/>
    <w:rsid w:val="00F9302F"/>
    <w:rsid w:val="00F93F4A"/>
    <w:rsid w:val="00F94475"/>
    <w:rsid w:val="00F9740C"/>
    <w:rsid w:val="00FA15BA"/>
    <w:rsid w:val="00FA3A9E"/>
    <w:rsid w:val="00FA434D"/>
    <w:rsid w:val="00FA4AE6"/>
    <w:rsid w:val="00FA4F99"/>
    <w:rsid w:val="00FA5B86"/>
    <w:rsid w:val="00FA7390"/>
    <w:rsid w:val="00FA7ADE"/>
    <w:rsid w:val="00FA7E6B"/>
    <w:rsid w:val="00FB06F7"/>
    <w:rsid w:val="00FB14CF"/>
    <w:rsid w:val="00FB2556"/>
    <w:rsid w:val="00FB32E1"/>
    <w:rsid w:val="00FC33DB"/>
    <w:rsid w:val="00FC5372"/>
    <w:rsid w:val="00FD0DD6"/>
    <w:rsid w:val="00FD0FD1"/>
    <w:rsid w:val="00FD373F"/>
    <w:rsid w:val="00FD4EEA"/>
    <w:rsid w:val="00FD6E66"/>
    <w:rsid w:val="00FD6E8D"/>
    <w:rsid w:val="00FE00D9"/>
    <w:rsid w:val="00FE08B0"/>
    <w:rsid w:val="00FE3579"/>
    <w:rsid w:val="00FE3ABE"/>
    <w:rsid w:val="00FE43B3"/>
    <w:rsid w:val="00FE617E"/>
    <w:rsid w:val="00FE639A"/>
    <w:rsid w:val="00FE797E"/>
    <w:rsid w:val="00FF040D"/>
    <w:rsid w:val="00FF2E6E"/>
    <w:rsid w:val="00FF2F71"/>
    <w:rsid w:val="00FF31F6"/>
    <w:rsid w:val="00FF39E8"/>
    <w:rsid w:val="00FF4F15"/>
    <w:rsid w:val="00FF5C28"/>
    <w:rsid w:val="00FF6C8A"/>
    <w:rsid w:val="00FF71C8"/>
    <w:rsid w:val="00FF7409"/>
    <w:rsid w:val="014F49B2"/>
    <w:rsid w:val="017D31AE"/>
    <w:rsid w:val="018B5403"/>
    <w:rsid w:val="01FD6356"/>
    <w:rsid w:val="02097669"/>
    <w:rsid w:val="02E9239C"/>
    <w:rsid w:val="02F97B00"/>
    <w:rsid w:val="030654B3"/>
    <w:rsid w:val="03150FBF"/>
    <w:rsid w:val="03451CC6"/>
    <w:rsid w:val="03520482"/>
    <w:rsid w:val="0357188F"/>
    <w:rsid w:val="0365793C"/>
    <w:rsid w:val="03A03C13"/>
    <w:rsid w:val="03AF0465"/>
    <w:rsid w:val="04037F85"/>
    <w:rsid w:val="04561534"/>
    <w:rsid w:val="046D5102"/>
    <w:rsid w:val="049E13D4"/>
    <w:rsid w:val="04F83A68"/>
    <w:rsid w:val="052E1089"/>
    <w:rsid w:val="05641A97"/>
    <w:rsid w:val="061F0008"/>
    <w:rsid w:val="06D45E42"/>
    <w:rsid w:val="07767825"/>
    <w:rsid w:val="078725A1"/>
    <w:rsid w:val="079F3753"/>
    <w:rsid w:val="07A21AC6"/>
    <w:rsid w:val="07A768F4"/>
    <w:rsid w:val="07B72AF7"/>
    <w:rsid w:val="07C95455"/>
    <w:rsid w:val="07ED7A9D"/>
    <w:rsid w:val="07FD6DB5"/>
    <w:rsid w:val="08312E95"/>
    <w:rsid w:val="090A5322"/>
    <w:rsid w:val="091F4B4B"/>
    <w:rsid w:val="094E2F8E"/>
    <w:rsid w:val="09D220FF"/>
    <w:rsid w:val="09DF25C2"/>
    <w:rsid w:val="0A064F39"/>
    <w:rsid w:val="0A4831C7"/>
    <w:rsid w:val="0AB2218E"/>
    <w:rsid w:val="0AE4560E"/>
    <w:rsid w:val="0AF73A9D"/>
    <w:rsid w:val="0AFC6CA1"/>
    <w:rsid w:val="0B094AB8"/>
    <w:rsid w:val="0B6B1880"/>
    <w:rsid w:val="0B7F03DE"/>
    <w:rsid w:val="0B9C31F5"/>
    <w:rsid w:val="0BB261B4"/>
    <w:rsid w:val="0BBC5B5C"/>
    <w:rsid w:val="0C1A378D"/>
    <w:rsid w:val="0C264442"/>
    <w:rsid w:val="0C4442CF"/>
    <w:rsid w:val="0C9B5551"/>
    <w:rsid w:val="0C9F6ADE"/>
    <w:rsid w:val="0CE265BB"/>
    <w:rsid w:val="0D037ED7"/>
    <w:rsid w:val="0D3276FA"/>
    <w:rsid w:val="0D3F3A0E"/>
    <w:rsid w:val="0D4620C4"/>
    <w:rsid w:val="0D472739"/>
    <w:rsid w:val="0D6C7986"/>
    <w:rsid w:val="0E5D56D6"/>
    <w:rsid w:val="0E8E2E4B"/>
    <w:rsid w:val="0EE875A6"/>
    <w:rsid w:val="0EF200DB"/>
    <w:rsid w:val="0EFC4988"/>
    <w:rsid w:val="0F1265DE"/>
    <w:rsid w:val="0F21682A"/>
    <w:rsid w:val="0F376AE9"/>
    <w:rsid w:val="0FD80E22"/>
    <w:rsid w:val="0FF64098"/>
    <w:rsid w:val="1008458B"/>
    <w:rsid w:val="100E4F4D"/>
    <w:rsid w:val="101B1EBB"/>
    <w:rsid w:val="1079268B"/>
    <w:rsid w:val="107C2364"/>
    <w:rsid w:val="10CF7F6C"/>
    <w:rsid w:val="115D3413"/>
    <w:rsid w:val="119A32D5"/>
    <w:rsid w:val="11B8062E"/>
    <w:rsid w:val="1270150D"/>
    <w:rsid w:val="12844FAC"/>
    <w:rsid w:val="12CB3CCE"/>
    <w:rsid w:val="139C292F"/>
    <w:rsid w:val="13B41F5F"/>
    <w:rsid w:val="14295017"/>
    <w:rsid w:val="14407908"/>
    <w:rsid w:val="14504E56"/>
    <w:rsid w:val="14784274"/>
    <w:rsid w:val="1491347E"/>
    <w:rsid w:val="14AA3D0B"/>
    <w:rsid w:val="14D907C0"/>
    <w:rsid w:val="14EB6229"/>
    <w:rsid w:val="156F3860"/>
    <w:rsid w:val="15C373C0"/>
    <w:rsid w:val="15CD6ACF"/>
    <w:rsid w:val="15DE2DD1"/>
    <w:rsid w:val="16215294"/>
    <w:rsid w:val="16D164BC"/>
    <w:rsid w:val="16FF25C0"/>
    <w:rsid w:val="174C3557"/>
    <w:rsid w:val="17F20816"/>
    <w:rsid w:val="1804388A"/>
    <w:rsid w:val="18100480"/>
    <w:rsid w:val="183D10D6"/>
    <w:rsid w:val="186038F3"/>
    <w:rsid w:val="189A41EE"/>
    <w:rsid w:val="19B27315"/>
    <w:rsid w:val="19CF088F"/>
    <w:rsid w:val="19F71887"/>
    <w:rsid w:val="1A0956AD"/>
    <w:rsid w:val="1A3F549D"/>
    <w:rsid w:val="1B5213BB"/>
    <w:rsid w:val="1B5E76F6"/>
    <w:rsid w:val="1BC7492A"/>
    <w:rsid w:val="1BDC5B53"/>
    <w:rsid w:val="1C093716"/>
    <w:rsid w:val="1CFF2DD8"/>
    <w:rsid w:val="1D520E2A"/>
    <w:rsid w:val="1DD277B8"/>
    <w:rsid w:val="1E0169AC"/>
    <w:rsid w:val="1E2E57E0"/>
    <w:rsid w:val="1E911BEF"/>
    <w:rsid w:val="1F4F40EC"/>
    <w:rsid w:val="1FF03521"/>
    <w:rsid w:val="202E4094"/>
    <w:rsid w:val="204752C1"/>
    <w:rsid w:val="20611842"/>
    <w:rsid w:val="206D21E8"/>
    <w:rsid w:val="208027EC"/>
    <w:rsid w:val="208F31C4"/>
    <w:rsid w:val="210E1006"/>
    <w:rsid w:val="210F7BDE"/>
    <w:rsid w:val="21180F0D"/>
    <w:rsid w:val="216D1447"/>
    <w:rsid w:val="21B22A5A"/>
    <w:rsid w:val="21D723D0"/>
    <w:rsid w:val="21DC3FC8"/>
    <w:rsid w:val="22132232"/>
    <w:rsid w:val="222A43E0"/>
    <w:rsid w:val="22782470"/>
    <w:rsid w:val="229F2B14"/>
    <w:rsid w:val="22C038DF"/>
    <w:rsid w:val="22CC769A"/>
    <w:rsid w:val="2354395B"/>
    <w:rsid w:val="23616679"/>
    <w:rsid w:val="23D3585B"/>
    <w:rsid w:val="23ED1676"/>
    <w:rsid w:val="24245322"/>
    <w:rsid w:val="2448004A"/>
    <w:rsid w:val="247D1660"/>
    <w:rsid w:val="24D26D11"/>
    <w:rsid w:val="24FE1BA3"/>
    <w:rsid w:val="250F6430"/>
    <w:rsid w:val="25CA15FA"/>
    <w:rsid w:val="25EF3CC1"/>
    <w:rsid w:val="268F1C52"/>
    <w:rsid w:val="26956D24"/>
    <w:rsid w:val="26FE6FC9"/>
    <w:rsid w:val="2714000A"/>
    <w:rsid w:val="27215C33"/>
    <w:rsid w:val="27395304"/>
    <w:rsid w:val="274D1514"/>
    <w:rsid w:val="27922449"/>
    <w:rsid w:val="29227C90"/>
    <w:rsid w:val="29424069"/>
    <w:rsid w:val="29443598"/>
    <w:rsid w:val="29BC11D6"/>
    <w:rsid w:val="2A8E79ED"/>
    <w:rsid w:val="2A961C0F"/>
    <w:rsid w:val="2AF74A83"/>
    <w:rsid w:val="2B3C0339"/>
    <w:rsid w:val="2BBF28EA"/>
    <w:rsid w:val="2BC51433"/>
    <w:rsid w:val="2BE0666B"/>
    <w:rsid w:val="2C250B47"/>
    <w:rsid w:val="2CC650DB"/>
    <w:rsid w:val="2DBD29B6"/>
    <w:rsid w:val="2E445076"/>
    <w:rsid w:val="2E4731CC"/>
    <w:rsid w:val="2E5C17B4"/>
    <w:rsid w:val="2E7A1714"/>
    <w:rsid w:val="2EA7143A"/>
    <w:rsid w:val="2ED94018"/>
    <w:rsid w:val="2EF61E24"/>
    <w:rsid w:val="2F071DD4"/>
    <w:rsid w:val="2F1523E9"/>
    <w:rsid w:val="2F324E12"/>
    <w:rsid w:val="300114AB"/>
    <w:rsid w:val="30701118"/>
    <w:rsid w:val="31734AE5"/>
    <w:rsid w:val="31A06ED3"/>
    <w:rsid w:val="31A627B9"/>
    <w:rsid w:val="31BB1982"/>
    <w:rsid w:val="322D0A1D"/>
    <w:rsid w:val="3240150B"/>
    <w:rsid w:val="325F4858"/>
    <w:rsid w:val="32951C1A"/>
    <w:rsid w:val="332A3621"/>
    <w:rsid w:val="334B0336"/>
    <w:rsid w:val="337377F8"/>
    <w:rsid w:val="337A31B1"/>
    <w:rsid w:val="33C608F0"/>
    <w:rsid w:val="33D80DE4"/>
    <w:rsid w:val="343541A1"/>
    <w:rsid w:val="344C0550"/>
    <w:rsid w:val="34923C5E"/>
    <w:rsid w:val="357B6346"/>
    <w:rsid w:val="35A30F5A"/>
    <w:rsid w:val="35F44E13"/>
    <w:rsid w:val="3612365C"/>
    <w:rsid w:val="36346297"/>
    <w:rsid w:val="364129CA"/>
    <w:rsid w:val="36563464"/>
    <w:rsid w:val="36602497"/>
    <w:rsid w:val="3660579E"/>
    <w:rsid w:val="36711403"/>
    <w:rsid w:val="371509AD"/>
    <w:rsid w:val="374411E9"/>
    <w:rsid w:val="37CF28A5"/>
    <w:rsid w:val="37FF0E28"/>
    <w:rsid w:val="38236495"/>
    <w:rsid w:val="384D5E10"/>
    <w:rsid w:val="38C00E28"/>
    <w:rsid w:val="391A61C3"/>
    <w:rsid w:val="39221E2D"/>
    <w:rsid w:val="39285AF2"/>
    <w:rsid w:val="3971346A"/>
    <w:rsid w:val="399C2E5B"/>
    <w:rsid w:val="39BF2699"/>
    <w:rsid w:val="39FB0221"/>
    <w:rsid w:val="3A05707B"/>
    <w:rsid w:val="3A201269"/>
    <w:rsid w:val="3A300F55"/>
    <w:rsid w:val="3AAF434D"/>
    <w:rsid w:val="3AC61694"/>
    <w:rsid w:val="3B2A692E"/>
    <w:rsid w:val="3B330233"/>
    <w:rsid w:val="3B8D1DF5"/>
    <w:rsid w:val="3CDC7E72"/>
    <w:rsid w:val="3CF00E09"/>
    <w:rsid w:val="3CF6765B"/>
    <w:rsid w:val="3D01313C"/>
    <w:rsid w:val="3DF43396"/>
    <w:rsid w:val="3DF62960"/>
    <w:rsid w:val="3ECD0E99"/>
    <w:rsid w:val="3ED56171"/>
    <w:rsid w:val="3FCE45FA"/>
    <w:rsid w:val="400D6DDD"/>
    <w:rsid w:val="402C6700"/>
    <w:rsid w:val="403118EF"/>
    <w:rsid w:val="40674342"/>
    <w:rsid w:val="408F0E48"/>
    <w:rsid w:val="40965E93"/>
    <w:rsid w:val="40F41BE6"/>
    <w:rsid w:val="41547434"/>
    <w:rsid w:val="43552F20"/>
    <w:rsid w:val="43916F36"/>
    <w:rsid w:val="443F507F"/>
    <w:rsid w:val="4441404F"/>
    <w:rsid w:val="44DA5705"/>
    <w:rsid w:val="45211DD2"/>
    <w:rsid w:val="45310096"/>
    <w:rsid w:val="45AA03F8"/>
    <w:rsid w:val="45EE4532"/>
    <w:rsid w:val="462B052A"/>
    <w:rsid w:val="46431DDE"/>
    <w:rsid w:val="46FE218B"/>
    <w:rsid w:val="47C767A2"/>
    <w:rsid w:val="48E327A6"/>
    <w:rsid w:val="49A87567"/>
    <w:rsid w:val="49B001DB"/>
    <w:rsid w:val="49D22F38"/>
    <w:rsid w:val="4A2B4D10"/>
    <w:rsid w:val="4A312D2C"/>
    <w:rsid w:val="4B585A7B"/>
    <w:rsid w:val="4BC9556A"/>
    <w:rsid w:val="4BCF1E76"/>
    <w:rsid w:val="4C212AFC"/>
    <w:rsid w:val="4C577725"/>
    <w:rsid w:val="4D131DAF"/>
    <w:rsid w:val="4E13021E"/>
    <w:rsid w:val="4E423DD5"/>
    <w:rsid w:val="4EE6571E"/>
    <w:rsid w:val="4EF96F8F"/>
    <w:rsid w:val="4F760567"/>
    <w:rsid w:val="4F9F7699"/>
    <w:rsid w:val="4FCE427F"/>
    <w:rsid w:val="502A22E5"/>
    <w:rsid w:val="50837450"/>
    <w:rsid w:val="50B846DA"/>
    <w:rsid w:val="50B90274"/>
    <w:rsid w:val="5111145E"/>
    <w:rsid w:val="513149E8"/>
    <w:rsid w:val="51402E7D"/>
    <w:rsid w:val="517C1FDB"/>
    <w:rsid w:val="517F16E2"/>
    <w:rsid w:val="5188417B"/>
    <w:rsid w:val="518E0D5A"/>
    <w:rsid w:val="52007955"/>
    <w:rsid w:val="52017C7D"/>
    <w:rsid w:val="523D7A9D"/>
    <w:rsid w:val="5258238B"/>
    <w:rsid w:val="525A7653"/>
    <w:rsid w:val="537A62E3"/>
    <w:rsid w:val="53C925BB"/>
    <w:rsid w:val="542E763B"/>
    <w:rsid w:val="54A510DF"/>
    <w:rsid w:val="54BB7C75"/>
    <w:rsid w:val="55240368"/>
    <w:rsid w:val="55C91693"/>
    <w:rsid w:val="562C0C09"/>
    <w:rsid w:val="565004A8"/>
    <w:rsid w:val="56550E39"/>
    <w:rsid w:val="56BB0085"/>
    <w:rsid w:val="56DF18D5"/>
    <w:rsid w:val="5798044E"/>
    <w:rsid w:val="579E2608"/>
    <w:rsid w:val="57B173BB"/>
    <w:rsid w:val="57E46348"/>
    <w:rsid w:val="57F32872"/>
    <w:rsid w:val="5813069E"/>
    <w:rsid w:val="5819504E"/>
    <w:rsid w:val="58844C3D"/>
    <w:rsid w:val="589B364F"/>
    <w:rsid w:val="58CB23F2"/>
    <w:rsid w:val="58E26541"/>
    <w:rsid w:val="58FB2815"/>
    <w:rsid w:val="5944495F"/>
    <w:rsid w:val="59BF5174"/>
    <w:rsid w:val="5A532DAD"/>
    <w:rsid w:val="5A5E276D"/>
    <w:rsid w:val="5AEE2B1C"/>
    <w:rsid w:val="5B481735"/>
    <w:rsid w:val="5B89030C"/>
    <w:rsid w:val="5C14118E"/>
    <w:rsid w:val="5CAF7EA5"/>
    <w:rsid w:val="5D4B4041"/>
    <w:rsid w:val="5D52443D"/>
    <w:rsid w:val="5D617242"/>
    <w:rsid w:val="5DBD054B"/>
    <w:rsid w:val="5DD46B57"/>
    <w:rsid w:val="5E1B2429"/>
    <w:rsid w:val="5E4759B9"/>
    <w:rsid w:val="5E6B63E2"/>
    <w:rsid w:val="5EAE1426"/>
    <w:rsid w:val="5EC543DA"/>
    <w:rsid w:val="5ED219E0"/>
    <w:rsid w:val="5EEF24A4"/>
    <w:rsid w:val="5F6D6725"/>
    <w:rsid w:val="601A1645"/>
    <w:rsid w:val="60654E0A"/>
    <w:rsid w:val="60D16641"/>
    <w:rsid w:val="6118527D"/>
    <w:rsid w:val="61370DEA"/>
    <w:rsid w:val="6159081C"/>
    <w:rsid w:val="616E0D3D"/>
    <w:rsid w:val="617E2844"/>
    <w:rsid w:val="61A553CC"/>
    <w:rsid w:val="61C31521"/>
    <w:rsid w:val="630B04BB"/>
    <w:rsid w:val="632C02D8"/>
    <w:rsid w:val="634D6CB0"/>
    <w:rsid w:val="637A5100"/>
    <w:rsid w:val="63BA66E3"/>
    <w:rsid w:val="63C4726B"/>
    <w:rsid w:val="63D11F8F"/>
    <w:rsid w:val="642665BA"/>
    <w:rsid w:val="64361247"/>
    <w:rsid w:val="645933E5"/>
    <w:rsid w:val="647E189B"/>
    <w:rsid w:val="6483738E"/>
    <w:rsid w:val="64D4441E"/>
    <w:rsid w:val="64EA3589"/>
    <w:rsid w:val="64FB500E"/>
    <w:rsid w:val="65544D98"/>
    <w:rsid w:val="65C717C5"/>
    <w:rsid w:val="66A86653"/>
    <w:rsid w:val="67EC2600"/>
    <w:rsid w:val="680F6AB1"/>
    <w:rsid w:val="688658C7"/>
    <w:rsid w:val="68AD70F9"/>
    <w:rsid w:val="68DB349A"/>
    <w:rsid w:val="68DB5512"/>
    <w:rsid w:val="692F042D"/>
    <w:rsid w:val="69B24044"/>
    <w:rsid w:val="69FA56E9"/>
    <w:rsid w:val="6B5E2426"/>
    <w:rsid w:val="6BB838ED"/>
    <w:rsid w:val="6BDF09F6"/>
    <w:rsid w:val="6BE60A7A"/>
    <w:rsid w:val="6BF6142F"/>
    <w:rsid w:val="6BF81081"/>
    <w:rsid w:val="6C0C6879"/>
    <w:rsid w:val="6C4455E8"/>
    <w:rsid w:val="6C74198C"/>
    <w:rsid w:val="6CA125CA"/>
    <w:rsid w:val="6CC54282"/>
    <w:rsid w:val="6CCA33CF"/>
    <w:rsid w:val="6CE507CD"/>
    <w:rsid w:val="6D3B4B17"/>
    <w:rsid w:val="6DBF6DFB"/>
    <w:rsid w:val="6DE602AC"/>
    <w:rsid w:val="6EB674FE"/>
    <w:rsid w:val="6EC3727D"/>
    <w:rsid w:val="6EEE522A"/>
    <w:rsid w:val="6F5116C9"/>
    <w:rsid w:val="6F752D91"/>
    <w:rsid w:val="7069114B"/>
    <w:rsid w:val="7073427E"/>
    <w:rsid w:val="70A16B63"/>
    <w:rsid w:val="70C35227"/>
    <w:rsid w:val="714D3D36"/>
    <w:rsid w:val="71920ECB"/>
    <w:rsid w:val="71C2631D"/>
    <w:rsid w:val="71E34ABE"/>
    <w:rsid w:val="72145CEC"/>
    <w:rsid w:val="722E35F8"/>
    <w:rsid w:val="72941885"/>
    <w:rsid w:val="72BB322A"/>
    <w:rsid w:val="72CD26F6"/>
    <w:rsid w:val="72ED7B95"/>
    <w:rsid w:val="733F59BC"/>
    <w:rsid w:val="737B0F0F"/>
    <w:rsid w:val="73917B0C"/>
    <w:rsid w:val="73B63354"/>
    <w:rsid w:val="74052600"/>
    <w:rsid w:val="75887905"/>
    <w:rsid w:val="75B15B14"/>
    <w:rsid w:val="75B7545F"/>
    <w:rsid w:val="760E3181"/>
    <w:rsid w:val="76934486"/>
    <w:rsid w:val="76B571DF"/>
    <w:rsid w:val="76C84CA5"/>
    <w:rsid w:val="77346FD1"/>
    <w:rsid w:val="7750356B"/>
    <w:rsid w:val="775A17ED"/>
    <w:rsid w:val="77CC0135"/>
    <w:rsid w:val="78410085"/>
    <w:rsid w:val="78654DF4"/>
    <w:rsid w:val="78B81351"/>
    <w:rsid w:val="78C57641"/>
    <w:rsid w:val="78ED5874"/>
    <w:rsid w:val="796815C7"/>
    <w:rsid w:val="79AA7D1F"/>
    <w:rsid w:val="79B67668"/>
    <w:rsid w:val="79E34704"/>
    <w:rsid w:val="7A1F3A84"/>
    <w:rsid w:val="7A234239"/>
    <w:rsid w:val="7B7E1B70"/>
    <w:rsid w:val="7BA52AE2"/>
    <w:rsid w:val="7BA97D63"/>
    <w:rsid w:val="7BD73063"/>
    <w:rsid w:val="7C3228D0"/>
    <w:rsid w:val="7C4E2E4C"/>
    <w:rsid w:val="7CC53F51"/>
    <w:rsid w:val="7D0844A1"/>
    <w:rsid w:val="7D247928"/>
    <w:rsid w:val="7DD10836"/>
    <w:rsid w:val="7DD65096"/>
    <w:rsid w:val="7E26214D"/>
    <w:rsid w:val="7E4F3982"/>
    <w:rsid w:val="7E7E1F77"/>
    <w:rsid w:val="7E8C4596"/>
    <w:rsid w:val="7EE42F82"/>
    <w:rsid w:val="7F29181D"/>
    <w:rsid w:val="7F411181"/>
    <w:rsid w:val="7F507ACB"/>
    <w:rsid w:val="7F541C4F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weight="1pt" color="#000000" dashstyle="1 1" endcap="round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Batang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Cs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semiHidden/>
    <w:qFormat/>
    <w:uiPriority w:val="0"/>
    <w:pPr>
      <w:ind w:left="1050"/>
      <w:jc w:val="left"/>
    </w:pPr>
  </w:style>
  <w:style w:type="paragraph" w:styleId="6">
    <w:name w:val="Normal Indent"/>
    <w:basedOn w:val="1"/>
    <w:qFormat/>
    <w:uiPriority w:val="99"/>
    <w:pPr>
      <w:spacing w:line="360" w:lineRule="auto"/>
      <w:ind w:firstLine="420"/>
    </w:pPr>
    <w:rPr>
      <w:rFonts w:eastAsia="宋体"/>
      <w:szCs w:val="20"/>
    </w:rPr>
  </w:style>
  <w:style w:type="paragraph" w:styleId="7">
    <w:name w:val="annotation text"/>
    <w:basedOn w:val="1"/>
    <w:link w:val="34"/>
    <w:qFormat/>
    <w:uiPriority w:val="0"/>
    <w:pPr>
      <w:jc w:val="left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toc 5"/>
    <w:basedOn w:val="1"/>
    <w:next w:val="1"/>
    <w:semiHidden/>
    <w:qFormat/>
    <w:uiPriority w:val="0"/>
    <w:pPr>
      <w:ind w:left="630"/>
      <w:jc w:val="left"/>
    </w:pPr>
  </w:style>
  <w:style w:type="paragraph" w:styleId="10">
    <w:name w:val="toc 3"/>
    <w:basedOn w:val="1"/>
    <w:next w:val="1"/>
    <w:qFormat/>
    <w:uiPriority w:val="39"/>
    <w:pPr>
      <w:tabs>
        <w:tab w:val="right" w:leader="dot" w:pos="9345"/>
      </w:tabs>
      <w:spacing w:line="440" w:lineRule="exact"/>
      <w:ind w:left="210" w:leftChars="100"/>
      <w:jc w:val="left"/>
    </w:pPr>
    <w:rPr>
      <w:rFonts w:ascii="宋体" w:hAnsi="宋体"/>
      <w:color w:val="FF0000"/>
      <w:sz w:val="24"/>
    </w:rPr>
  </w:style>
  <w:style w:type="paragraph" w:styleId="11">
    <w:name w:val="toc 8"/>
    <w:basedOn w:val="1"/>
    <w:next w:val="1"/>
    <w:semiHidden/>
    <w:qFormat/>
    <w:uiPriority w:val="0"/>
    <w:pPr>
      <w:ind w:left="1260"/>
      <w:jc w:val="left"/>
    </w:pPr>
  </w:style>
  <w:style w:type="paragraph" w:styleId="12">
    <w:name w:val="Date"/>
    <w:basedOn w:val="1"/>
    <w:next w:val="1"/>
    <w:link w:val="35"/>
    <w:qFormat/>
    <w:uiPriority w:val="0"/>
    <w:pPr>
      <w:ind w:left="100" w:leftChars="2500"/>
    </w:pPr>
  </w:style>
  <w:style w:type="paragraph" w:styleId="13">
    <w:name w:val="Balloon Text"/>
    <w:basedOn w:val="1"/>
    <w:link w:val="36"/>
    <w:qFormat/>
    <w:uiPriority w:val="0"/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next w:val="1"/>
    <w:qFormat/>
    <w:uiPriority w:val="39"/>
    <w:pPr>
      <w:widowControl w:val="0"/>
      <w:tabs>
        <w:tab w:val="right" w:leader="dot" w:pos="9345"/>
      </w:tabs>
      <w:spacing w:line="360" w:lineRule="auto"/>
    </w:pPr>
    <w:rPr>
      <w:rFonts w:ascii="Arial" w:hAnsi="Arial" w:eastAsia="宋体" w:cs="Times New Roman"/>
      <w:bCs/>
      <w:caps/>
      <w:kern w:val="2"/>
      <w:sz w:val="24"/>
      <w:szCs w:val="21"/>
      <w:lang w:val="en-US" w:eastAsia="zh-CN" w:bidi="ar-SA"/>
    </w:rPr>
  </w:style>
  <w:style w:type="paragraph" w:styleId="17">
    <w:name w:val="toc 4"/>
    <w:basedOn w:val="10"/>
    <w:next w:val="1"/>
    <w:semiHidden/>
    <w:qFormat/>
    <w:uiPriority w:val="0"/>
    <w:pPr>
      <w:ind w:left="420"/>
    </w:pPr>
  </w:style>
  <w:style w:type="paragraph" w:styleId="18">
    <w:name w:val="footnote text"/>
    <w:basedOn w:val="1"/>
    <w:link w:val="37"/>
    <w:qFormat/>
    <w:uiPriority w:val="0"/>
    <w:pPr>
      <w:snapToGrid w:val="0"/>
      <w:jc w:val="left"/>
    </w:pPr>
    <w:rPr>
      <w:sz w:val="18"/>
      <w:szCs w:val="18"/>
    </w:rPr>
  </w:style>
  <w:style w:type="paragraph" w:styleId="19">
    <w:name w:val="toc 6"/>
    <w:basedOn w:val="1"/>
    <w:next w:val="1"/>
    <w:semiHidden/>
    <w:qFormat/>
    <w:uiPriority w:val="0"/>
    <w:pPr>
      <w:ind w:left="840"/>
      <w:jc w:val="left"/>
    </w:pPr>
  </w:style>
  <w:style w:type="paragraph" w:styleId="20">
    <w:name w:val="toc 2"/>
    <w:basedOn w:val="1"/>
    <w:next w:val="1"/>
    <w:qFormat/>
    <w:uiPriority w:val="39"/>
    <w:pPr>
      <w:tabs>
        <w:tab w:val="right" w:leader="dot" w:pos="9345"/>
      </w:tabs>
      <w:adjustRightInd w:val="0"/>
      <w:snapToGrid w:val="0"/>
      <w:spacing w:line="360" w:lineRule="auto"/>
      <w:jc w:val="center"/>
    </w:pPr>
    <w:rPr>
      <w:rFonts w:eastAsia="宋体"/>
      <w:bCs/>
      <w:sz w:val="24"/>
    </w:rPr>
  </w:style>
  <w:style w:type="paragraph" w:styleId="21">
    <w:name w:val="toc 9"/>
    <w:basedOn w:val="1"/>
    <w:next w:val="1"/>
    <w:semiHidden/>
    <w:qFormat/>
    <w:uiPriority w:val="0"/>
    <w:pPr>
      <w:ind w:left="1470"/>
      <w:jc w:val="left"/>
    </w:pPr>
  </w:style>
  <w:style w:type="paragraph" w:styleId="22">
    <w:name w:val="Title"/>
    <w:basedOn w:val="1"/>
    <w:next w:val="1"/>
    <w:link w:val="38"/>
    <w:qFormat/>
    <w:uiPriority w:val="0"/>
    <w:pPr>
      <w:spacing w:line="360" w:lineRule="auto"/>
      <w:jc w:val="center"/>
      <w:outlineLvl w:val="0"/>
    </w:pPr>
    <w:rPr>
      <w:rFonts w:eastAsia="黑体"/>
      <w:b/>
      <w:bCs/>
      <w:szCs w:val="32"/>
    </w:rPr>
  </w:style>
  <w:style w:type="paragraph" w:styleId="23">
    <w:name w:val="annotation subject"/>
    <w:basedOn w:val="7"/>
    <w:next w:val="7"/>
    <w:link w:val="39"/>
    <w:qFormat/>
    <w:uiPriority w:val="0"/>
    <w:rPr>
      <w:b/>
      <w:bCs/>
    </w:rPr>
  </w:style>
  <w:style w:type="table" w:styleId="25">
    <w:name w:val="Table Grid"/>
    <w:basedOn w:val="2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qFormat/>
    <w:uiPriority w:val="0"/>
    <w:rPr>
      <w:b/>
    </w:rPr>
  </w:style>
  <w:style w:type="character" w:styleId="28">
    <w:name w:val="page number"/>
    <w:qFormat/>
    <w:uiPriority w:val="0"/>
    <w:rPr>
      <w:rFonts w:ascii="Times New Roman" w:hAnsi="Times New Roman" w:eastAsia="宋体"/>
      <w:sz w:val="18"/>
    </w:rPr>
  </w:style>
  <w:style w:type="character" w:styleId="29">
    <w:name w:val="Emphasis"/>
    <w:qFormat/>
    <w:uiPriority w:val="0"/>
    <w:rPr>
      <w:color w:val="CC0000"/>
    </w:rPr>
  </w:style>
  <w:style w:type="character" w:styleId="30">
    <w:name w:val="Hyperlink"/>
    <w:qFormat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31">
    <w:name w:val="annotation reference"/>
    <w:qFormat/>
    <w:uiPriority w:val="0"/>
    <w:rPr>
      <w:sz w:val="21"/>
      <w:szCs w:val="21"/>
    </w:rPr>
  </w:style>
  <w:style w:type="character" w:styleId="32">
    <w:name w:val="HTML Cite"/>
    <w:qFormat/>
    <w:uiPriority w:val="0"/>
    <w:rPr>
      <w:color w:val="008000"/>
    </w:rPr>
  </w:style>
  <w:style w:type="character" w:styleId="33">
    <w:name w:val="footnote reference"/>
    <w:qFormat/>
    <w:uiPriority w:val="0"/>
    <w:rPr>
      <w:vertAlign w:val="superscript"/>
    </w:rPr>
  </w:style>
  <w:style w:type="character" w:customStyle="1" w:styleId="34">
    <w:name w:val="批注文字 字符"/>
    <w:link w:val="7"/>
    <w:qFormat/>
    <w:uiPriority w:val="0"/>
    <w:rPr>
      <w:kern w:val="2"/>
      <w:sz w:val="21"/>
      <w:szCs w:val="24"/>
    </w:rPr>
  </w:style>
  <w:style w:type="character" w:customStyle="1" w:styleId="35">
    <w:name w:val="日期 字符"/>
    <w:link w:val="12"/>
    <w:qFormat/>
    <w:uiPriority w:val="0"/>
    <w:rPr>
      <w:kern w:val="2"/>
      <w:sz w:val="21"/>
      <w:szCs w:val="24"/>
    </w:rPr>
  </w:style>
  <w:style w:type="character" w:customStyle="1" w:styleId="36">
    <w:name w:val="批注框文本 字符"/>
    <w:link w:val="13"/>
    <w:qFormat/>
    <w:uiPriority w:val="0"/>
    <w:rPr>
      <w:kern w:val="2"/>
      <w:sz w:val="18"/>
      <w:szCs w:val="18"/>
    </w:rPr>
  </w:style>
  <w:style w:type="character" w:customStyle="1" w:styleId="37">
    <w:name w:val="脚注文本 字符"/>
    <w:link w:val="18"/>
    <w:qFormat/>
    <w:uiPriority w:val="0"/>
    <w:rPr>
      <w:kern w:val="2"/>
      <w:sz w:val="18"/>
      <w:szCs w:val="18"/>
    </w:rPr>
  </w:style>
  <w:style w:type="character" w:customStyle="1" w:styleId="38">
    <w:name w:val="标题 字符"/>
    <w:link w:val="22"/>
    <w:qFormat/>
    <w:uiPriority w:val="0"/>
    <w:rPr>
      <w:rFonts w:ascii="Times New Roman" w:hAnsi="Times New Roman" w:eastAsia="黑体" w:cs="Times New Roman"/>
      <w:b/>
      <w:bCs/>
      <w:kern w:val="2"/>
      <w:sz w:val="21"/>
      <w:szCs w:val="32"/>
    </w:rPr>
  </w:style>
  <w:style w:type="character" w:customStyle="1" w:styleId="39">
    <w:name w:val="批注主题 字符"/>
    <w:link w:val="23"/>
    <w:qFormat/>
    <w:uiPriority w:val="0"/>
    <w:rPr>
      <w:b/>
      <w:bCs/>
      <w:kern w:val="2"/>
      <w:sz w:val="21"/>
      <w:szCs w:val="24"/>
    </w:rPr>
  </w:style>
  <w:style w:type="character" w:customStyle="1" w:styleId="40">
    <w:name w:val="hover23"/>
    <w:qFormat/>
    <w:uiPriority w:val="0"/>
  </w:style>
  <w:style w:type="character" w:customStyle="1" w:styleId="41">
    <w:name w:val="章标题 Char"/>
    <w:link w:val="42"/>
    <w:qFormat/>
    <w:uiPriority w:val="0"/>
    <w:rPr>
      <w:rFonts w:ascii="黑体" w:hAnsi="黑体" w:eastAsia="黑体"/>
      <w:sz w:val="24"/>
      <w:lang w:val="en-US" w:eastAsia="zh-CN" w:bidi="ar-SA"/>
    </w:rPr>
  </w:style>
  <w:style w:type="paragraph" w:customStyle="1" w:styleId="42">
    <w:name w:val="章标题"/>
    <w:next w:val="43"/>
    <w:link w:val="41"/>
    <w:qFormat/>
    <w:uiPriority w:val="0"/>
    <w:pPr>
      <w:numPr>
        <w:ilvl w:val="0"/>
        <w:numId w:val="1"/>
      </w:numPr>
      <w:tabs>
        <w:tab w:val="left" w:pos="420"/>
      </w:tabs>
      <w:spacing w:before="50" w:beforeLines="50" w:after="50" w:afterLines="50"/>
      <w:jc w:val="both"/>
      <w:outlineLvl w:val="1"/>
    </w:pPr>
    <w:rPr>
      <w:rFonts w:ascii="黑体" w:hAnsi="黑体" w:eastAsia="黑体" w:cs="Times New Roman"/>
      <w:sz w:val="24"/>
      <w:lang w:val="en-US" w:eastAsia="zh-CN" w:bidi="ar-SA"/>
    </w:rPr>
  </w:style>
  <w:style w:type="paragraph" w:customStyle="1" w:styleId="43">
    <w:name w:val="段"/>
    <w:qFormat/>
    <w:uiPriority w:val="0"/>
    <w:pPr>
      <w:autoSpaceDE w:val="0"/>
      <w:autoSpaceDN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44">
    <w:name w:val="font121"/>
    <w:qFormat/>
    <w:uiPriority w:val="0"/>
    <w:rPr>
      <w:rFonts w:hint="eastAsia" w:ascii="黑体" w:hAnsi="宋体" w:eastAsia="黑体" w:cs="黑体"/>
      <w:b/>
      <w:color w:val="000000"/>
      <w:sz w:val="20"/>
      <w:szCs w:val="20"/>
      <w:u w:val="none"/>
    </w:rPr>
  </w:style>
  <w:style w:type="character" w:customStyle="1" w:styleId="45">
    <w:name w:val="hover1"/>
    <w:qFormat/>
    <w:uiPriority w:val="0"/>
    <w:rPr>
      <w:color w:val="315EFB"/>
    </w:rPr>
  </w:style>
  <w:style w:type="character" w:customStyle="1" w:styleId="46">
    <w:name w:val="五级条标题 Char"/>
    <w:link w:val="47"/>
    <w:qFormat/>
    <w:uiPriority w:val="0"/>
  </w:style>
  <w:style w:type="paragraph" w:customStyle="1" w:styleId="47">
    <w:name w:val="五级条标题"/>
    <w:basedOn w:val="48"/>
    <w:next w:val="43"/>
    <w:link w:val="46"/>
    <w:qFormat/>
    <w:uiPriority w:val="0"/>
    <w:pPr>
      <w:numPr>
        <w:ilvl w:val="6"/>
      </w:numPr>
      <w:tabs>
        <w:tab w:val="left" w:pos="0"/>
        <w:tab w:val="left" w:pos="420"/>
        <w:tab w:val="left" w:pos="3260"/>
      </w:tabs>
      <w:outlineLvl w:val="6"/>
    </w:pPr>
  </w:style>
  <w:style w:type="paragraph" w:customStyle="1" w:styleId="48">
    <w:name w:val="四级条标题"/>
    <w:basedOn w:val="49"/>
    <w:next w:val="43"/>
    <w:qFormat/>
    <w:uiPriority w:val="0"/>
    <w:pPr>
      <w:numPr>
        <w:ilvl w:val="5"/>
      </w:numPr>
      <w:tabs>
        <w:tab w:val="left" w:pos="0"/>
        <w:tab w:val="left" w:pos="420"/>
        <w:tab w:val="left" w:pos="3260"/>
      </w:tabs>
      <w:outlineLvl w:val="5"/>
    </w:pPr>
  </w:style>
  <w:style w:type="paragraph" w:customStyle="1" w:styleId="49">
    <w:name w:val="三级条标题"/>
    <w:basedOn w:val="50"/>
    <w:next w:val="43"/>
    <w:qFormat/>
    <w:uiPriority w:val="0"/>
    <w:pPr>
      <w:numPr>
        <w:ilvl w:val="4"/>
        <w:numId w:val="2"/>
      </w:numPr>
      <w:tabs>
        <w:tab w:val="left" w:pos="0"/>
        <w:tab w:val="left" w:pos="420"/>
        <w:tab w:val="left" w:pos="3260"/>
      </w:tabs>
      <w:outlineLvl w:val="4"/>
    </w:pPr>
  </w:style>
  <w:style w:type="paragraph" w:customStyle="1" w:styleId="50">
    <w:name w:val="二级条标题"/>
    <w:basedOn w:val="51"/>
    <w:next w:val="43"/>
    <w:qFormat/>
    <w:uiPriority w:val="0"/>
    <w:pPr>
      <w:numPr>
        <w:ilvl w:val="2"/>
      </w:numPr>
      <w:tabs>
        <w:tab w:val="left" w:pos="0"/>
        <w:tab w:val="left" w:pos="420"/>
        <w:tab w:val="left" w:pos="3260"/>
      </w:tabs>
      <w:spacing w:line="240" w:lineRule="auto"/>
      <w:outlineLvl w:val="3"/>
    </w:pPr>
    <w:rPr>
      <w:rFonts w:ascii="Times New Roman" w:hAnsi="Times New Roman"/>
    </w:rPr>
  </w:style>
  <w:style w:type="paragraph" w:customStyle="1" w:styleId="51">
    <w:name w:val="一级条标题"/>
    <w:basedOn w:val="42"/>
    <w:next w:val="43"/>
    <w:link w:val="52"/>
    <w:qFormat/>
    <w:uiPriority w:val="0"/>
    <w:pPr>
      <w:numPr>
        <w:ilvl w:val="1"/>
      </w:numPr>
      <w:tabs>
        <w:tab w:val="left" w:pos="0"/>
        <w:tab w:val="left" w:pos="3260"/>
      </w:tabs>
      <w:snapToGrid w:val="0"/>
      <w:spacing w:line="360" w:lineRule="auto"/>
      <w:jc w:val="left"/>
      <w:outlineLvl w:val="0"/>
    </w:pPr>
    <w:rPr>
      <w:rFonts w:eastAsia="宋体"/>
    </w:rPr>
  </w:style>
  <w:style w:type="character" w:customStyle="1" w:styleId="52">
    <w:name w:val="一级条标题 Char"/>
    <w:link w:val="51"/>
    <w:qFormat/>
    <w:uiPriority w:val="0"/>
    <w:rPr>
      <w:rFonts w:hAnsi="黑体" w:eastAsia="宋体"/>
      <w:sz w:val="24"/>
    </w:rPr>
  </w:style>
  <w:style w:type="character" w:customStyle="1" w:styleId="53">
    <w:name w:val="font11"/>
    <w:qFormat/>
    <w:uiPriority w:val="0"/>
    <w:rPr>
      <w:rFonts w:hint="default" w:ascii="Times New Roman" w:hAnsi="Times New Roman" w:cs="Times New Roman"/>
      <w:b/>
      <w:color w:val="000000"/>
      <w:sz w:val="12"/>
      <w:szCs w:val="12"/>
      <w:u w:val="none"/>
    </w:rPr>
  </w:style>
  <w:style w:type="character" w:customStyle="1" w:styleId="54">
    <w:name w:val="font91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55">
    <w:name w:val="font21"/>
    <w:qFormat/>
    <w:uiPriority w:val="0"/>
    <w:rPr>
      <w:rFonts w:hint="eastAsia" w:ascii="黑体" w:hAnsi="宋体" w:eastAsia="黑体" w:cs="黑体"/>
      <w:b/>
      <w:color w:val="000000"/>
      <w:sz w:val="20"/>
      <w:szCs w:val="20"/>
      <w:u w:val="none"/>
    </w:rPr>
  </w:style>
  <w:style w:type="character" w:customStyle="1" w:styleId="56">
    <w:name w:val="font181"/>
    <w:qFormat/>
    <w:uiPriority w:val="0"/>
    <w:rPr>
      <w:rFonts w:hint="eastAsia" w:ascii="黑体" w:hAnsi="宋体" w:eastAsia="黑体" w:cs="黑体"/>
      <w:b/>
      <w:color w:val="000000"/>
      <w:sz w:val="40"/>
      <w:szCs w:val="40"/>
      <w:u w:val="none"/>
    </w:rPr>
  </w:style>
  <w:style w:type="character" w:customStyle="1" w:styleId="57">
    <w:name w:val="font221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58">
    <w:name w:val="c-icon25"/>
    <w:qFormat/>
    <w:uiPriority w:val="0"/>
  </w:style>
  <w:style w:type="character" w:customStyle="1" w:styleId="59">
    <w:name w:val="标准书眉一 Char"/>
    <w:link w:val="60"/>
    <w:qFormat/>
    <w:uiPriority w:val="0"/>
    <w:rPr>
      <w:lang w:val="en-US" w:eastAsia="zh-CN" w:bidi="ar-SA"/>
    </w:rPr>
  </w:style>
  <w:style w:type="paragraph" w:customStyle="1" w:styleId="60">
    <w:name w:val="标准书眉一"/>
    <w:link w:val="59"/>
    <w:qFormat/>
    <w:uiPriority w:val="0"/>
    <w:pPr>
      <w:jc w:val="both"/>
    </w:pPr>
    <w:rPr>
      <w:rFonts w:ascii="Times New Roman" w:hAnsi="Times New Roman" w:eastAsia="Batang" w:cs="Times New Roman"/>
      <w:lang w:val="en-US" w:eastAsia="zh-CN" w:bidi="ar-SA"/>
    </w:rPr>
  </w:style>
  <w:style w:type="character" w:customStyle="1" w:styleId="61">
    <w:name w:val="hover"/>
    <w:qFormat/>
    <w:uiPriority w:val="0"/>
  </w:style>
  <w:style w:type="character" w:customStyle="1" w:styleId="62">
    <w:name w:val="font71"/>
    <w:qFormat/>
    <w:uiPriority w:val="0"/>
    <w:rPr>
      <w:rFonts w:hint="eastAsia" w:ascii="黑体" w:hAnsi="宋体" w:eastAsia="黑体" w:cs="黑体"/>
      <w:b/>
      <w:color w:val="000000"/>
      <w:sz w:val="40"/>
      <w:szCs w:val="40"/>
      <w:u w:val="none"/>
    </w:rPr>
  </w:style>
  <w:style w:type="character" w:customStyle="1" w:styleId="63">
    <w:name w:val="hover24"/>
    <w:qFormat/>
    <w:uiPriority w:val="0"/>
    <w:rPr>
      <w:color w:val="315EFB"/>
    </w:rPr>
  </w:style>
  <w:style w:type="character" w:customStyle="1" w:styleId="64">
    <w:name w:val="c-icon28"/>
    <w:qFormat/>
    <w:uiPriority w:val="0"/>
  </w:style>
  <w:style w:type="paragraph" w:customStyle="1" w:styleId="65">
    <w:name w:val="封面一致性程度标识"/>
    <w:qFormat/>
    <w:uiPriority w:val="0"/>
    <w:pPr>
      <w:spacing w:before="440" w:line="400" w:lineRule="exact"/>
      <w:jc w:val="center"/>
    </w:pPr>
    <w:rPr>
      <w:rFonts w:ascii="宋体" w:hAnsi="Times New Roman" w:eastAsia="Batang" w:cs="Times New Roman"/>
      <w:sz w:val="28"/>
      <w:lang w:val="en-US" w:eastAsia="zh-CN" w:bidi="ar-SA"/>
    </w:rPr>
  </w:style>
  <w:style w:type="paragraph" w:customStyle="1" w:styleId="66">
    <w:name w:val="标准书脚_奇数页"/>
    <w:qFormat/>
    <w:uiPriority w:val="0"/>
    <w:pPr>
      <w:spacing w:before="120"/>
      <w:jc w:val="right"/>
    </w:pPr>
    <w:rPr>
      <w:rFonts w:ascii="Times New Roman" w:hAnsi="Times New Roman" w:eastAsia="Batang" w:cs="Times New Roman"/>
      <w:sz w:val="18"/>
      <w:lang w:val="en-US" w:eastAsia="zh-CN" w:bidi="ar-SA"/>
    </w:rPr>
  </w:style>
  <w:style w:type="paragraph" w:customStyle="1" w:styleId="67">
    <w:name w:val="附录一级条标题"/>
    <w:basedOn w:val="68"/>
    <w:next w:val="43"/>
    <w:qFormat/>
    <w:uiPriority w:val="0"/>
    <w:pPr>
      <w:numPr>
        <w:ilvl w:val="2"/>
      </w:numPr>
      <w:autoSpaceDN w:val="0"/>
      <w:spacing w:before="0" w:beforeLines="0" w:after="0" w:afterLines="0"/>
      <w:outlineLvl w:val="2"/>
    </w:pPr>
  </w:style>
  <w:style w:type="paragraph" w:customStyle="1" w:styleId="68">
    <w:name w:val="附录章标题"/>
    <w:next w:val="43"/>
    <w:qFormat/>
    <w:uiPriority w:val="0"/>
    <w:pPr>
      <w:numPr>
        <w:ilvl w:val="1"/>
        <w:numId w:val="3"/>
      </w:numPr>
      <w:wordWrap w:val="0"/>
      <w:overflowPunct w:val="0"/>
      <w:autoSpaceDE w:val="0"/>
      <w:spacing w:before="156" w:beforeLines="50" w:after="156" w:afterLines="5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69">
    <w:name w:val="其他发布部门"/>
    <w:basedOn w:val="1"/>
    <w:qFormat/>
    <w:uiPriority w:val="0"/>
    <w:pPr>
      <w:framePr w:w="7433" w:h="585" w:hRule="exact" w:hSpace="180" w:vSpace="180" w:wrap="around" w:vAnchor="margin" w:hAnchor="margin" w:xAlign="center" w:y="14401" w:anchorLock="1"/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70">
    <w:name w:val="Body text|1"/>
    <w:basedOn w:val="1"/>
    <w:qFormat/>
    <w:uiPriority w:val="0"/>
    <w:pPr>
      <w:spacing w:after="80" w:line="377" w:lineRule="auto"/>
    </w:pPr>
    <w:rPr>
      <w:rFonts w:ascii="宋体" w:hAnsi="宋体" w:eastAsia="宋体" w:cs="宋体"/>
      <w:sz w:val="20"/>
      <w:szCs w:val="20"/>
      <w:lang w:val="zh-TW" w:eastAsia="zh-TW" w:bidi="zh-TW"/>
    </w:rPr>
  </w:style>
  <w:style w:type="paragraph" w:customStyle="1" w:styleId="71">
    <w:name w:val="_Style 70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5F91"/>
      <w:kern w:val="0"/>
      <w:sz w:val="28"/>
      <w:szCs w:val="28"/>
    </w:rPr>
  </w:style>
  <w:style w:type="paragraph" w:customStyle="1" w:styleId="72">
    <w:name w:val="封面标准英文名称"/>
    <w:qFormat/>
    <w:uiPriority w:val="0"/>
    <w:pPr>
      <w:widowControl w:val="0"/>
      <w:spacing w:before="370" w:line="400" w:lineRule="exact"/>
      <w:jc w:val="center"/>
    </w:pPr>
    <w:rPr>
      <w:rFonts w:ascii="Times New Roman" w:hAnsi="Times New Roman" w:eastAsia="Batang" w:cs="Times New Roman"/>
      <w:sz w:val="28"/>
      <w:lang w:val="en-US" w:eastAsia="zh-CN" w:bidi="ar-SA"/>
    </w:rPr>
  </w:style>
  <w:style w:type="paragraph" w:customStyle="1" w:styleId="73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74">
    <w:name w:val="封面正文"/>
    <w:qFormat/>
    <w:uiPriority w:val="0"/>
    <w:pPr>
      <w:jc w:val="both"/>
    </w:pPr>
    <w:rPr>
      <w:rFonts w:ascii="Times New Roman" w:hAnsi="Times New Roman" w:eastAsia="Batang" w:cs="Times New Roman"/>
      <w:lang w:val="en-US" w:eastAsia="zh-CN" w:bidi="ar-SA"/>
    </w:rPr>
  </w:style>
  <w:style w:type="paragraph" w:customStyle="1" w:styleId="75">
    <w:name w:val="标准书脚_偶数页"/>
    <w:qFormat/>
    <w:uiPriority w:val="0"/>
    <w:pPr>
      <w:spacing w:before="120"/>
    </w:pPr>
    <w:rPr>
      <w:rFonts w:ascii="Times New Roman" w:hAnsi="Times New Roman" w:eastAsia="Batang" w:cs="Times New Roman"/>
      <w:sz w:val="18"/>
      <w:lang w:val="en-US" w:eastAsia="zh-CN" w:bidi="ar-SA"/>
    </w:rPr>
  </w:style>
  <w:style w:type="paragraph" w:customStyle="1" w:styleId="76">
    <w:name w:val="默认段落字体 Para Char Char Char Char Char Char Char Char Char Char"/>
    <w:basedOn w:val="1"/>
    <w:qFormat/>
    <w:uiPriority w:val="0"/>
  </w:style>
  <w:style w:type="paragraph" w:customStyle="1" w:styleId="77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78">
    <w:name w:val="WPSOffice手动目录 2"/>
    <w:qFormat/>
    <w:uiPriority w:val="0"/>
    <w:pPr>
      <w:ind w:left="200" w:leftChars="200"/>
    </w:pPr>
    <w:rPr>
      <w:rFonts w:ascii="Times New Roman" w:hAnsi="Times New Roman" w:eastAsia="Batang" w:cs="Times New Roman"/>
      <w:lang w:val="en-US" w:eastAsia="zh-CN" w:bidi="ar-SA"/>
    </w:rPr>
  </w:style>
  <w:style w:type="paragraph" w:customStyle="1" w:styleId="79">
    <w:name w:val="Char Char"/>
    <w:basedOn w:val="1"/>
    <w:qFormat/>
    <w:uiPriority w:val="0"/>
  </w:style>
  <w:style w:type="paragraph" w:customStyle="1" w:styleId="80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81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Batang" w:cs="Times New Roman"/>
      <w:sz w:val="21"/>
      <w:lang w:val="en-US" w:eastAsia="zh-CN" w:bidi="ar-SA"/>
    </w:rPr>
  </w:style>
  <w:style w:type="paragraph" w:customStyle="1" w:styleId="82">
    <w:name w:val="目次、标准名称标题"/>
    <w:basedOn w:val="83"/>
    <w:next w:val="43"/>
    <w:qFormat/>
    <w:uiPriority w:val="0"/>
    <w:pPr>
      <w:numPr>
        <w:numId w:val="0"/>
      </w:numPr>
      <w:spacing w:line="460" w:lineRule="exact"/>
    </w:pPr>
  </w:style>
  <w:style w:type="paragraph" w:customStyle="1" w:styleId="83">
    <w:name w:val="前言、引言标题"/>
    <w:next w:val="1"/>
    <w:qFormat/>
    <w:uiPriority w:val="0"/>
    <w:pPr>
      <w:numPr>
        <w:ilvl w:val="0"/>
        <w:numId w:val="2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84">
    <w:name w:val="Other|1"/>
    <w:basedOn w:val="1"/>
    <w:qFormat/>
    <w:uiPriority w:val="0"/>
    <w:pPr>
      <w:spacing w:after="80" w:line="377" w:lineRule="auto"/>
    </w:pPr>
    <w:rPr>
      <w:rFonts w:ascii="宋体" w:hAnsi="宋体" w:eastAsia="宋体" w:cs="宋体"/>
      <w:sz w:val="20"/>
      <w:szCs w:val="20"/>
      <w:lang w:val="zh-TW" w:eastAsia="zh-TW" w:bidi="zh-TW"/>
    </w:rPr>
  </w:style>
  <w:style w:type="paragraph" w:customStyle="1" w:styleId="85">
    <w:name w:val="WPSOffice手动目录 1"/>
    <w:qFormat/>
    <w:uiPriority w:val="0"/>
    <w:rPr>
      <w:rFonts w:ascii="Times New Roman" w:hAnsi="Times New Roman" w:eastAsia="Batang" w:cs="Times New Roman"/>
      <w:lang w:val="en-US" w:eastAsia="zh-CN" w:bidi="ar-SA"/>
    </w:rPr>
  </w:style>
  <w:style w:type="paragraph" w:customStyle="1" w:styleId="86">
    <w:name w:val="封面标准号2"/>
    <w:basedOn w:val="1"/>
    <w:qFormat/>
    <w:uiPriority w:val="0"/>
    <w:pPr>
      <w:framePr w:w="9138" w:h="1244" w:hRule="exact" w:wrap="around" w:vAnchor="page" w:hAnchor="margin" w:y="2908" w:anchorLock="1"/>
      <w:kinsoku w:val="0"/>
      <w:overflowPunct w:val="0"/>
      <w:autoSpaceDE w:val="0"/>
      <w:autoSpaceDN w:val="0"/>
      <w:adjustRightInd w:val="0"/>
      <w:spacing w:before="357" w:line="280" w:lineRule="exact"/>
      <w:jc w:val="right"/>
      <w:textAlignment w:val="center"/>
    </w:pPr>
    <w:rPr>
      <w:kern w:val="0"/>
      <w:sz w:val="28"/>
      <w:szCs w:val="20"/>
    </w:rPr>
  </w:style>
  <w:style w:type="paragraph" w:customStyle="1" w:styleId="87">
    <w:name w:val="Body text|2"/>
    <w:basedOn w:val="1"/>
    <w:qFormat/>
    <w:uiPriority w:val="0"/>
    <w:pPr>
      <w:spacing w:line="384" w:lineRule="auto"/>
    </w:pPr>
  </w:style>
  <w:style w:type="paragraph" w:customStyle="1" w:styleId="88">
    <w:name w:val="注"/>
    <w:basedOn w:val="1"/>
    <w:next w:val="8"/>
    <w:qFormat/>
    <w:uiPriority w:val="0"/>
    <w:pPr>
      <w:numPr>
        <w:ilvl w:val="0"/>
        <w:numId w:val="4"/>
      </w:numPr>
      <w:adjustRightInd w:val="0"/>
      <w:spacing w:line="360" w:lineRule="auto"/>
      <w:ind w:firstLine="480" w:firstLineChars="200"/>
      <w:textAlignment w:val="baseline"/>
      <w:outlineLvl w:val="0"/>
    </w:pPr>
    <w:rPr>
      <w:rFonts w:eastAsia="宋体"/>
      <w:kern w:val="0"/>
      <w:sz w:val="24"/>
      <w:szCs w:val="20"/>
    </w:rPr>
  </w:style>
  <w:style w:type="paragraph" w:customStyle="1" w:styleId="89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Batang" w:cs="Times New Roman"/>
      <w:sz w:val="24"/>
      <w:lang w:val="en-US" w:eastAsia="zh-CN" w:bidi="ar-SA"/>
    </w:rPr>
  </w:style>
  <w:style w:type="paragraph" w:customStyle="1" w:styleId="90">
    <w:name w:val="发布日期"/>
    <w:qFormat/>
    <w:uiPriority w:val="0"/>
    <w:pPr>
      <w:framePr w:w="4000" w:h="473" w:hRule="exact" w:hSpace="180" w:vSpace="180" w:wrap="around" w:vAnchor="margin" w:hAnchor="margin" w:y="13511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91">
    <w:name w:val="实施日期"/>
    <w:basedOn w:val="90"/>
    <w:qFormat/>
    <w:uiPriority w:val="0"/>
    <w:pPr>
      <w:framePr w:hSpace="0" w:wrap="around" w:xAlign="right"/>
      <w:jc w:val="right"/>
    </w:pPr>
  </w:style>
  <w:style w:type="paragraph" w:customStyle="1" w:styleId="92">
    <w:name w:val="标准书眉_偶数页"/>
    <w:basedOn w:val="80"/>
    <w:next w:val="1"/>
    <w:qFormat/>
    <w:uiPriority w:val="0"/>
    <w:pPr>
      <w:jc w:val="left"/>
    </w:pPr>
  </w:style>
  <w:style w:type="paragraph" w:customStyle="1" w:styleId="93">
    <w:name w:val="标准标志"/>
    <w:next w:val="1"/>
    <w:qFormat/>
    <w:uiPriority w:val="0"/>
    <w:pPr>
      <w:framePr w:w="2268" w:h="1392" w:hRule="exact" w:wrap="around" w:vAnchor="margin" w:hAnchor="margin" w:x="6748" w:y="171" w:anchorLock="1"/>
      <w:shd w:val="solid" w:color="FFFFFF" w:fill="FFFFFF"/>
      <w:spacing w:line="0" w:lineRule="atLeast"/>
      <w:jc w:val="right"/>
    </w:pPr>
    <w:rPr>
      <w:rFonts w:ascii="Times New Roman" w:hAnsi="Times New Roman" w:eastAsia="Batang" w:cs="Times New Roman"/>
      <w:b/>
      <w:w w:val="130"/>
      <w:sz w:val="96"/>
      <w:lang w:val="en-US" w:eastAsia="zh-CN" w:bidi="ar-SA"/>
    </w:rPr>
  </w:style>
  <w:style w:type="paragraph" w:customStyle="1" w:styleId="94">
    <w:name w:val="Char"/>
    <w:basedOn w:val="1"/>
    <w:qFormat/>
    <w:uiPriority w:val="0"/>
    <w:pPr>
      <w:adjustRightInd w:val="0"/>
      <w:snapToGrid w:val="0"/>
      <w:ind w:firstLine="200" w:firstLineChars="200"/>
    </w:pPr>
    <w:rPr>
      <w:rFonts w:ascii="Tahoma" w:hAnsi="Tahoma" w:eastAsia="仿宋_GB2312"/>
      <w:snapToGrid w:val="0"/>
      <w:kern w:val="0"/>
      <w:sz w:val="24"/>
      <w:szCs w:val="20"/>
    </w:rPr>
  </w:style>
  <w:style w:type="paragraph" w:customStyle="1" w:styleId="95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Batang" w:cs="Times New Roman"/>
      <w:sz w:val="21"/>
      <w:lang w:val="en-US" w:eastAsia="zh-CN" w:bidi="ar-SA"/>
    </w:rPr>
  </w:style>
  <w:style w:type="paragraph" w:customStyle="1" w:styleId="96">
    <w:name w:val="Table caption|1"/>
    <w:basedOn w:val="1"/>
    <w:qFormat/>
    <w:uiPriority w:val="0"/>
    <w:rPr>
      <w:rFonts w:ascii="宋体" w:hAnsi="宋体" w:eastAsia="宋体" w:cs="宋体"/>
      <w:lang w:val="zh-TW" w:eastAsia="zh-TW" w:bidi="zh-TW"/>
    </w:rPr>
  </w:style>
  <w:style w:type="paragraph" w:customStyle="1" w:styleId="97">
    <w:name w:val="Header or footer|2"/>
    <w:basedOn w:val="1"/>
    <w:qFormat/>
    <w:uiPriority w:val="0"/>
    <w:rPr>
      <w:sz w:val="20"/>
      <w:szCs w:val="20"/>
    </w:rPr>
  </w:style>
  <w:style w:type="character" w:customStyle="1" w:styleId="98">
    <w:name w:val="font0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9">
    <w:name w:val="font51"/>
    <w:qFormat/>
    <w:uiPriority w:val="0"/>
    <w:rPr>
      <w:rFonts w:hint="eastAsia" w:ascii="宋体" w:hAnsi="宋体" w:eastAsia="宋体" w:cs="宋体"/>
      <w:i/>
      <w:color w:val="000000"/>
      <w:sz w:val="18"/>
      <w:szCs w:val="18"/>
      <w:u w:val="none"/>
    </w:rPr>
  </w:style>
  <w:style w:type="character" w:customStyle="1" w:styleId="100">
    <w:name w:val="font41"/>
    <w:qFormat/>
    <w:uiPriority w:val="0"/>
    <w:rPr>
      <w:rFonts w:hint="eastAsia" w:ascii="宋体" w:hAnsi="宋体" w:eastAsia="宋体" w:cs="宋体"/>
      <w:i/>
      <w:color w:val="000000"/>
      <w:sz w:val="18"/>
      <w:szCs w:val="18"/>
      <w:u w:val="none"/>
      <w:vertAlign w:val="subscript"/>
    </w:rPr>
  </w:style>
  <w:style w:type="character" w:customStyle="1" w:styleId="101">
    <w:name w:val="图题及表格"/>
    <w:basedOn w:val="26"/>
    <w:qFormat/>
    <w:uiPriority w:val="0"/>
    <w:rPr>
      <w:rFonts w:ascii="Times New Roman" w:hAnsi="Times New Roman" w:eastAsia="宋体"/>
      <w:color w:val="000000" w:themeColor="text1"/>
      <w:sz w:val="21"/>
      <w14:textFill>
        <w14:solidFill>
          <w14:schemeClr w14:val="tx1"/>
        </w14:solidFill>
      </w14:textFill>
    </w:rPr>
  </w:style>
  <w:style w:type="character" w:customStyle="1" w:styleId="102">
    <w:name w:val="表题"/>
    <w:qFormat/>
    <w:uiPriority w:val="0"/>
    <w:rPr>
      <w:rFonts w:hint="eastAsia" w:ascii="Times New Roman" w:hAnsi="Times New Roman" w:eastAsia="黑体" w:cs="黑体"/>
      <w:color w:val="000000"/>
      <w:sz w:val="21"/>
      <w:szCs w:val="20"/>
      <w:u w:val="none"/>
    </w:rPr>
  </w:style>
  <w:style w:type="paragraph" w:styleId="103">
    <w:name w:val="List Paragraph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37.bin"/><Relationship Id="rId97" Type="http://schemas.openxmlformats.org/officeDocument/2006/relationships/image" Target="media/image38.wmf"/><Relationship Id="rId96" Type="http://schemas.openxmlformats.org/officeDocument/2006/relationships/oleObject" Target="embeddings/oleObject36.bin"/><Relationship Id="rId95" Type="http://schemas.openxmlformats.org/officeDocument/2006/relationships/image" Target="media/image37.wmf"/><Relationship Id="rId94" Type="http://schemas.openxmlformats.org/officeDocument/2006/relationships/oleObject" Target="embeddings/oleObject35.bin"/><Relationship Id="rId93" Type="http://schemas.openxmlformats.org/officeDocument/2006/relationships/oleObject" Target="embeddings/oleObject34.bin"/><Relationship Id="rId92" Type="http://schemas.openxmlformats.org/officeDocument/2006/relationships/oleObject" Target="embeddings/oleObject33.bin"/><Relationship Id="rId91" Type="http://schemas.openxmlformats.org/officeDocument/2006/relationships/image" Target="media/image36.wmf"/><Relationship Id="rId90" Type="http://schemas.openxmlformats.org/officeDocument/2006/relationships/oleObject" Target="embeddings/oleObject32.bin"/><Relationship Id="rId9" Type="http://schemas.openxmlformats.org/officeDocument/2006/relationships/header" Target="header4.xml"/><Relationship Id="rId89" Type="http://schemas.openxmlformats.org/officeDocument/2006/relationships/image" Target="media/image35.wmf"/><Relationship Id="rId88" Type="http://schemas.openxmlformats.org/officeDocument/2006/relationships/oleObject" Target="embeddings/oleObject31.bin"/><Relationship Id="rId87" Type="http://schemas.openxmlformats.org/officeDocument/2006/relationships/image" Target="media/image34.wmf"/><Relationship Id="rId86" Type="http://schemas.openxmlformats.org/officeDocument/2006/relationships/oleObject" Target="embeddings/oleObject30.bin"/><Relationship Id="rId85" Type="http://schemas.openxmlformats.org/officeDocument/2006/relationships/image" Target="media/image33.wmf"/><Relationship Id="rId84" Type="http://schemas.openxmlformats.org/officeDocument/2006/relationships/oleObject" Target="embeddings/oleObject29.bin"/><Relationship Id="rId83" Type="http://schemas.openxmlformats.org/officeDocument/2006/relationships/image" Target="media/image32.wmf"/><Relationship Id="rId82" Type="http://schemas.openxmlformats.org/officeDocument/2006/relationships/oleObject" Target="embeddings/oleObject28.bin"/><Relationship Id="rId81" Type="http://schemas.openxmlformats.org/officeDocument/2006/relationships/image" Target="media/image31.wmf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image" Target="media/image30.wmf"/><Relationship Id="rId78" Type="http://schemas.openxmlformats.org/officeDocument/2006/relationships/oleObject" Target="embeddings/oleObject26.bin"/><Relationship Id="rId77" Type="http://schemas.openxmlformats.org/officeDocument/2006/relationships/image" Target="media/image29.wmf"/><Relationship Id="rId76" Type="http://schemas.openxmlformats.org/officeDocument/2006/relationships/oleObject" Target="embeddings/oleObject25.bin"/><Relationship Id="rId75" Type="http://schemas.openxmlformats.org/officeDocument/2006/relationships/image" Target="media/image28.wmf"/><Relationship Id="rId74" Type="http://schemas.openxmlformats.org/officeDocument/2006/relationships/oleObject" Target="embeddings/oleObject24.bin"/><Relationship Id="rId73" Type="http://schemas.openxmlformats.org/officeDocument/2006/relationships/image" Target="media/image27.wmf"/><Relationship Id="rId72" Type="http://schemas.openxmlformats.org/officeDocument/2006/relationships/oleObject" Target="embeddings/oleObject23.bin"/><Relationship Id="rId71" Type="http://schemas.openxmlformats.org/officeDocument/2006/relationships/image" Target="media/image26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25.wmf"/><Relationship Id="rId68" Type="http://schemas.openxmlformats.org/officeDocument/2006/relationships/oleObject" Target="embeddings/oleObject21.bin"/><Relationship Id="rId67" Type="http://schemas.openxmlformats.org/officeDocument/2006/relationships/image" Target="media/image24.wmf"/><Relationship Id="rId66" Type="http://schemas.openxmlformats.org/officeDocument/2006/relationships/oleObject" Target="embeddings/oleObject20.bin"/><Relationship Id="rId65" Type="http://schemas.openxmlformats.org/officeDocument/2006/relationships/image" Target="media/image23.wmf"/><Relationship Id="rId64" Type="http://schemas.openxmlformats.org/officeDocument/2006/relationships/oleObject" Target="embeddings/oleObject19.bin"/><Relationship Id="rId63" Type="http://schemas.openxmlformats.org/officeDocument/2006/relationships/image" Target="media/image22.wmf"/><Relationship Id="rId62" Type="http://schemas.openxmlformats.org/officeDocument/2006/relationships/oleObject" Target="embeddings/oleObject18.bin"/><Relationship Id="rId61" Type="http://schemas.openxmlformats.org/officeDocument/2006/relationships/image" Target="media/image21.wmf"/><Relationship Id="rId60" Type="http://schemas.openxmlformats.org/officeDocument/2006/relationships/oleObject" Target="embeddings/oleObject17.bin"/><Relationship Id="rId6" Type="http://schemas.openxmlformats.org/officeDocument/2006/relationships/footer" Target="footer1.xml"/><Relationship Id="rId59" Type="http://schemas.openxmlformats.org/officeDocument/2006/relationships/image" Target="media/image20.wmf"/><Relationship Id="rId58" Type="http://schemas.openxmlformats.org/officeDocument/2006/relationships/oleObject" Target="embeddings/oleObject16.bin"/><Relationship Id="rId57" Type="http://schemas.openxmlformats.org/officeDocument/2006/relationships/image" Target="media/image19.wmf"/><Relationship Id="rId56" Type="http://schemas.openxmlformats.org/officeDocument/2006/relationships/oleObject" Target="embeddings/oleObject15.bin"/><Relationship Id="rId55" Type="http://schemas.openxmlformats.org/officeDocument/2006/relationships/image" Target="media/image18.wmf"/><Relationship Id="rId54" Type="http://schemas.openxmlformats.org/officeDocument/2006/relationships/oleObject" Target="embeddings/oleObject14.bin"/><Relationship Id="rId53" Type="http://schemas.openxmlformats.org/officeDocument/2006/relationships/image" Target="media/image17.wmf"/><Relationship Id="rId52" Type="http://schemas.openxmlformats.org/officeDocument/2006/relationships/oleObject" Target="embeddings/oleObject13.bin"/><Relationship Id="rId51" Type="http://schemas.openxmlformats.org/officeDocument/2006/relationships/image" Target="media/image16.wmf"/><Relationship Id="rId50" Type="http://schemas.openxmlformats.org/officeDocument/2006/relationships/oleObject" Target="embeddings/oleObject12.bin"/><Relationship Id="rId5" Type="http://schemas.openxmlformats.org/officeDocument/2006/relationships/header" Target="header3.xml"/><Relationship Id="rId49" Type="http://schemas.openxmlformats.org/officeDocument/2006/relationships/image" Target="media/image15.wmf"/><Relationship Id="rId48" Type="http://schemas.openxmlformats.org/officeDocument/2006/relationships/oleObject" Target="embeddings/oleObject11.bin"/><Relationship Id="rId47" Type="http://schemas.openxmlformats.org/officeDocument/2006/relationships/image" Target="media/image14.wmf"/><Relationship Id="rId46" Type="http://schemas.openxmlformats.org/officeDocument/2006/relationships/oleObject" Target="embeddings/oleObject10.bin"/><Relationship Id="rId45" Type="http://schemas.openxmlformats.org/officeDocument/2006/relationships/image" Target="media/image13.wmf"/><Relationship Id="rId44" Type="http://schemas.openxmlformats.org/officeDocument/2006/relationships/oleObject" Target="embeddings/oleObject9.bin"/><Relationship Id="rId43" Type="http://schemas.openxmlformats.org/officeDocument/2006/relationships/image" Target="media/image12.wmf"/><Relationship Id="rId42" Type="http://schemas.openxmlformats.org/officeDocument/2006/relationships/oleObject" Target="embeddings/oleObject8.bin"/><Relationship Id="rId41" Type="http://schemas.openxmlformats.org/officeDocument/2006/relationships/image" Target="media/image11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10.wmf"/><Relationship Id="rId38" Type="http://schemas.openxmlformats.org/officeDocument/2006/relationships/oleObject" Target="embeddings/oleObject6.bin"/><Relationship Id="rId37" Type="http://schemas.openxmlformats.org/officeDocument/2006/relationships/image" Target="media/image9.wmf"/><Relationship Id="rId36" Type="http://schemas.openxmlformats.org/officeDocument/2006/relationships/oleObject" Target="embeddings/oleObject5.bin"/><Relationship Id="rId35" Type="http://schemas.openxmlformats.org/officeDocument/2006/relationships/image" Target="media/image8.wmf"/><Relationship Id="rId34" Type="http://schemas.openxmlformats.org/officeDocument/2006/relationships/oleObject" Target="embeddings/oleObject4.bin"/><Relationship Id="rId33" Type="http://schemas.openxmlformats.org/officeDocument/2006/relationships/image" Target="media/image7.wmf"/><Relationship Id="rId32" Type="http://schemas.openxmlformats.org/officeDocument/2006/relationships/oleObject" Target="embeddings/oleObject3.bin"/><Relationship Id="rId31" Type="http://schemas.openxmlformats.org/officeDocument/2006/relationships/image" Target="media/image6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5.wmf"/><Relationship Id="rId28" Type="http://schemas.openxmlformats.org/officeDocument/2006/relationships/oleObject" Target="embeddings/oleObject1.bin"/><Relationship Id="rId27" Type="http://schemas.openxmlformats.org/officeDocument/2006/relationships/image" Target="media/image4.png"/><Relationship Id="rId26" Type="http://schemas.openxmlformats.org/officeDocument/2006/relationships/image" Target="media/image3.png"/><Relationship Id="rId25" Type="http://schemas.openxmlformats.org/officeDocument/2006/relationships/image" Target="media/image2.emf"/><Relationship Id="rId24" Type="http://schemas.openxmlformats.org/officeDocument/2006/relationships/image" Target="media/image1.emf"/><Relationship Id="rId23" Type="http://schemas.openxmlformats.org/officeDocument/2006/relationships/theme" Target="theme/theme1.xml"/><Relationship Id="rId22" Type="http://schemas.openxmlformats.org/officeDocument/2006/relationships/footer" Target="footer11.xml"/><Relationship Id="rId217" Type="http://schemas.openxmlformats.org/officeDocument/2006/relationships/fontTable" Target="fontTable.xml"/><Relationship Id="rId216" Type="http://schemas.openxmlformats.org/officeDocument/2006/relationships/numbering" Target="numbering.xml"/><Relationship Id="rId215" Type="http://schemas.openxmlformats.org/officeDocument/2006/relationships/customXml" Target="../customXml/item1.xml"/><Relationship Id="rId214" Type="http://schemas.openxmlformats.org/officeDocument/2006/relationships/image" Target="media/image91.wmf"/><Relationship Id="rId213" Type="http://schemas.openxmlformats.org/officeDocument/2006/relationships/oleObject" Target="embeddings/oleObject100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99.bin"/><Relationship Id="rId210" Type="http://schemas.openxmlformats.org/officeDocument/2006/relationships/image" Target="media/image89.wmf"/><Relationship Id="rId21" Type="http://schemas.openxmlformats.org/officeDocument/2006/relationships/header" Target="header9.xml"/><Relationship Id="rId209" Type="http://schemas.openxmlformats.org/officeDocument/2006/relationships/oleObject" Target="embeddings/oleObject98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84.wmf"/><Relationship Id="rId20" Type="http://schemas.openxmlformats.org/officeDocument/2006/relationships/footer" Target="footer10.xml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79.wmf"/><Relationship Id="rId19" Type="http://schemas.openxmlformats.org/officeDocument/2006/relationships/header" Target="header8.xml"/><Relationship Id="rId189" Type="http://schemas.openxmlformats.org/officeDocument/2006/relationships/oleObject" Target="embeddings/oleObject88.bin"/><Relationship Id="rId188" Type="http://schemas.openxmlformats.org/officeDocument/2006/relationships/image" Target="media/image78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77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76.wmf"/><Relationship Id="rId183" Type="http://schemas.openxmlformats.org/officeDocument/2006/relationships/oleObject" Target="embeddings/oleObject85.bin"/><Relationship Id="rId182" Type="http://schemas.openxmlformats.org/officeDocument/2006/relationships/oleObject" Target="embeddings/oleObject84.bin"/><Relationship Id="rId181" Type="http://schemas.openxmlformats.org/officeDocument/2006/relationships/image" Target="media/image75.wmf"/><Relationship Id="rId180" Type="http://schemas.openxmlformats.org/officeDocument/2006/relationships/oleObject" Target="embeddings/oleObject83.bin"/><Relationship Id="rId18" Type="http://schemas.openxmlformats.org/officeDocument/2006/relationships/footer" Target="footer9.xml"/><Relationship Id="rId179" Type="http://schemas.openxmlformats.org/officeDocument/2006/relationships/image" Target="media/image74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72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71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70.wmf"/><Relationship Id="rId170" Type="http://schemas.openxmlformats.org/officeDocument/2006/relationships/oleObject" Target="embeddings/oleObject78.bin"/><Relationship Id="rId17" Type="http://schemas.openxmlformats.org/officeDocument/2006/relationships/footer" Target="footer8.xml"/><Relationship Id="rId169" Type="http://schemas.openxmlformats.org/officeDocument/2006/relationships/image" Target="media/image69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68.wmf"/><Relationship Id="rId166" Type="http://schemas.openxmlformats.org/officeDocument/2006/relationships/oleObject" Target="embeddings/oleObject76.bin"/><Relationship Id="rId165" Type="http://schemas.openxmlformats.org/officeDocument/2006/relationships/oleObject" Target="embeddings/oleObject75.bin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71.bin"/><Relationship Id="rId16" Type="http://schemas.openxmlformats.org/officeDocument/2006/relationships/footer" Target="footer7.xml"/><Relationship Id="rId159" Type="http://schemas.openxmlformats.org/officeDocument/2006/relationships/image" Target="media/image66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66.bin"/><Relationship Id="rId15" Type="http://schemas.openxmlformats.org/officeDocument/2006/relationships/header" Target="header7.xml"/><Relationship Id="rId149" Type="http://schemas.openxmlformats.org/officeDocument/2006/relationships/image" Target="media/image61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60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59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62.bin"/><Relationship Id="rId141" Type="http://schemas.openxmlformats.org/officeDocument/2006/relationships/oleObject" Target="embeddings/oleObject61.bin"/><Relationship Id="rId140" Type="http://schemas.openxmlformats.org/officeDocument/2006/relationships/image" Target="media/image57.wmf"/><Relationship Id="rId14" Type="http://schemas.openxmlformats.org/officeDocument/2006/relationships/footer" Target="footer6.xml"/><Relationship Id="rId139" Type="http://schemas.openxmlformats.org/officeDocument/2006/relationships/oleObject" Target="embeddings/oleObject60.bin"/><Relationship Id="rId138" Type="http://schemas.openxmlformats.org/officeDocument/2006/relationships/image" Target="media/image56.wmf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image" Target="media/image55.wmf"/><Relationship Id="rId134" Type="http://schemas.openxmlformats.org/officeDocument/2006/relationships/oleObject" Target="embeddings/oleObject57.bin"/><Relationship Id="rId133" Type="http://schemas.openxmlformats.org/officeDocument/2006/relationships/oleObject" Target="embeddings/oleObject56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53.wmf"/><Relationship Id="rId13" Type="http://schemas.openxmlformats.org/officeDocument/2006/relationships/header" Target="header6.xml"/><Relationship Id="rId129" Type="http://schemas.openxmlformats.org/officeDocument/2006/relationships/oleObject" Target="embeddings/oleObject54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48.wmf"/><Relationship Id="rId12" Type="http://schemas.openxmlformats.org/officeDocument/2006/relationships/footer" Target="footer5.xml"/><Relationship Id="rId119" Type="http://schemas.openxmlformats.org/officeDocument/2006/relationships/oleObject" Target="embeddings/oleObject49.bin"/><Relationship Id="rId118" Type="http://schemas.openxmlformats.org/officeDocument/2006/relationships/image" Target="media/image47.wmf"/><Relationship Id="rId117" Type="http://schemas.openxmlformats.org/officeDocument/2006/relationships/oleObject" Target="embeddings/oleObject48.bin"/><Relationship Id="rId116" Type="http://schemas.openxmlformats.org/officeDocument/2006/relationships/oleObject" Target="embeddings/oleObject47.bin"/><Relationship Id="rId115" Type="http://schemas.openxmlformats.org/officeDocument/2006/relationships/image" Target="media/image46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45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44.wmf"/><Relationship Id="rId110" Type="http://schemas.openxmlformats.org/officeDocument/2006/relationships/oleObject" Target="embeddings/oleObject44.bin"/><Relationship Id="rId11" Type="http://schemas.openxmlformats.org/officeDocument/2006/relationships/footer" Target="footer4.xml"/><Relationship Id="rId109" Type="http://schemas.openxmlformats.org/officeDocument/2006/relationships/image" Target="media/image43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42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41.wmf"/><Relationship Id="rId104" Type="http://schemas.openxmlformats.org/officeDocument/2006/relationships/oleObject" Target="embeddings/oleObject41.bin"/><Relationship Id="rId103" Type="http://schemas.openxmlformats.org/officeDocument/2006/relationships/oleObject" Target="embeddings/oleObject40.bin"/><Relationship Id="rId102" Type="http://schemas.openxmlformats.org/officeDocument/2006/relationships/oleObject" Target="embeddings/oleObject39.bin"/><Relationship Id="rId101" Type="http://schemas.openxmlformats.org/officeDocument/2006/relationships/image" Target="media/image40.wmf"/><Relationship Id="rId100" Type="http://schemas.openxmlformats.org/officeDocument/2006/relationships/oleObject" Target="embeddings/oleObject38.bin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25</Pages>
  <Words>2829</Words>
  <Characters>3137</Characters>
  <Lines>96</Lines>
  <Paragraphs>27</Paragraphs>
  <TotalTime>13</TotalTime>
  <ScaleCrop>false</ScaleCrop>
  <LinksUpToDate>false</LinksUpToDate>
  <CharactersWithSpaces>3434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2017-12-06T03:12:00Z</dcterms:created>
  <dc:creator>User</dc:creator>
  <cp:lastModifiedBy>Administrator</cp:lastModifiedBy>
  <cp:lastPrinted>2024-03-29T02:09:00Z</cp:lastPrinted>
  <dcterms:modified xsi:type="dcterms:W3CDTF">2026-09-07T01:40:40Z</dcterms:modified>
  <dc:title> 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A678DDAEA30E40909D6B231D70D81693_13</vt:lpwstr>
  </property>
  <property fmtid="{D5CDD505-2E9C-101B-9397-08002B2CF9AE}" pid="4" name="KSOTemplateDocerSaveRecord">
    <vt:lpwstr>eyJoZGlkIjoiYWU0M2M1MGU4ODM5ZWMxYjk2MTQxMzllNDI1ZDRlZDciLCJ1c2VySWQiOiIzNzg3MzIzNjEifQ==</vt:lpwstr>
  </property>
</Properties>
</file>