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8"/>
        <w:jc w:val="center"/>
        <w:rPr>
          <w:rFonts w:ascii="黑体" w:hAnsi="黑体" w:eastAsia="黑体"/>
          <w:b w:val="0"/>
          <w:bCs w:val="0"/>
          <w:sz w:val="24"/>
          <w:szCs w:val="24"/>
        </w:rPr>
      </w:pPr>
      <w:bookmarkStart w:id="0" w:name="_Toc464728891"/>
      <w:bookmarkStart w:id="1" w:name="SectionMark4"/>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59264" behindDoc="0" locked="1" layoutInCell="1" allowOverlap="1">
                <wp:simplePos x="0" y="0"/>
                <wp:positionH relativeFrom="margin">
                  <wp:posOffset>66675</wp:posOffset>
                </wp:positionH>
                <wp:positionV relativeFrom="margin">
                  <wp:posOffset>1544955</wp:posOffset>
                </wp:positionV>
                <wp:extent cx="6120130" cy="2383790"/>
                <wp:effectExtent l="0" t="0" r="0" b="0"/>
                <wp:wrapNone/>
                <wp:docPr id="3" name="文本框 4"/>
                <wp:cNvGraphicFramePr/>
                <a:graphic xmlns:a="http://schemas.openxmlformats.org/drawingml/2006/main">
                  <a:graphicData uri="http://schemas.microsoft.com/office/word/2010/wordprocessingShape">
                    <wps:wsp>
                      <wps:cNvSpPr/>
                      <wps:spPr>
                        <a:xfrm>
                          <a:off x="0" y="0"/>
                          <a:ext cx="6120130" cy="2383790"/>
                        </a:xfrm>
                        <a:prstGeom prst="rect">
                          <a:avLst/>
                        </a:prstGeom>
                        <a:solidFill>
                          <a:srgbClr val="FFFFFF"/>
                        </a:solidFill>
                        <a:ln>
                          <a:noFill/>
                        </a:ln>
                      </wps:spPr>
                      <wps:txbx>
                        <w:txbxContent>
                          <w:p>
                            <w:pPr>
                              <w:pStyle w:val="75"/>
                              <w:rPr>
                                <w:rFonts w:hint="default" w:hAnsi="黑体" w:eastAsia="黑体" w:cs="黑体"/>
                                <w:sz w:val="44"/>
                                <w:szCs w:val="44"/>
                                <w:lang w:val="en-US" w:eastAsia="zh-CN"/>
                              </w:rPr>
                            </w:pPr>
                            <w:bookmarkStart w:id="91" w:name="_Hlk23687263"/>
                            <w:r>
                              <w:rPr>
                                <w:rFonts w:hint="eastAsia" w:hAnsi="黑体" w:cs="黑体"/>
                                <w:sz w:val="44"/>
                                <w:szCs w:val="44"/>
                              </w:rPr>
                              <w:t>JJF</w:t>
                            </w:r>
                            <w:r>
                              <w:rPr>
                                <w:rFonts w:hint="eastAsia" w:hAnsi="黑体" w:cs="黑体"/>
                                <w:sz w:val="44"/>
                                <w:szCs w:val="44"/>
                                <w:lang w:val="en-US" w:eastAsia="zh-CN"/>
                              </w:rPr>
                              <w:t>Z</w:t>
                            </w:r>
                            <w:r>
                              <w:rPr>
                                <w:rFonts w:hint="eastAsia" w:hAnsi="黑体" w:cs="黑体"/>
                                <w:sz w:val="44"/>
                                <w:szCs w:val="44"/>
                              </w:rPr>
                              <w:t>（有色金属）</w:t>
                            </w:r>
                            <w:r>
                              <w:rPr>
                                <w:rFonts w:hint="eastAsia" w:hAnsi="黑体" w:cs="黑体"/>
                                <w:sz w:val="44"/>
                                <w:szCs w:val="44"/>
                                <w:lang w:val="en-US" w:eastAsia="zh-CN"/>
                              </w:rPr>
                              <w:t>012</w:t>
                            </w:r>
                            <w:r>
                              <w:rPr>
                                <w:rFonts w:hint="eastAsia" w:hAnsi="黑体" w:cs="黑体"/>
                                <w:sz w:val="44"/>
                                <w:szCs w:val="44"/>
                              </w:rPr>
                              <w:t>—</w:t>
                            </w:r>
                            <w:r>
                              <w:rPr>
                                <w:rFonts w:hint="eastAsia" w:hAnsi="黑体" w:cs="黑体"/>
                                <w:sz w:val="44"/>
                                <w:szCs w:val="44"/>
                                <w:lang w:val="en-US" w:eastAsia="zh-CN"/>
                              </w:rPr>
                              <w:t>2025</w:t>
                            </w:r>
                          </w:p>
                          <w:bookmarkEnd w:id="91"/>
                          <w:p>
                            <w:pPr>
                              <w:pStyle w:val="75"/>
                              <w:rPr>
                                <w:rFonts w:hAnsi="黑体" w:cs="黑体"/>
                                <w:szCs w:val="52"/>
                              </w:rPr>
                            </w:pPr>
                            <w:r>
                              <w:rPr>
                                <w:rFonts w:hint="eastAsia" w:hAnsi="黑体" w:cs="黑体"/>
                                <w:szCs w:val="52"/>
                                <w:lang w:val="en-US" w:eastAsia="zh-CN"/>
                              </w:rPr>
                              <w:t>动态热机械分析仪校准规范</w:t>
                            </w:r>
                          </w:p>
                          <w:p>
                            <w:pPr>
                              <w:jc w:val="center"/>
                              <w:rPr>
                                <w:rFonts w:ascii="黑体" w:hAnsi="黑体" w:eastAsia="黑体" w:cs="黑体"/>
                                <w:sz w:val="44"/>
                                <w:szCs w:val="44"/>
                              </w:rPr>
                            </w:pPr>
                            <w:r>
                              <w:rPr>
                                <w:rFonts w:hint="eastAsia" w:ascii="黑体" w:hAnsi="黑体" w:eastAsia="黑体" w:cs="黑体"/>
                                <w:sz w:val="44"/>
                                <w:szCs w:val="44"/>
                              </w:rPr>
                              <w:t>(编制说明)</w:t>
                            </w:r>
                          </w:p>
                        </w:txbxContent>
                      </wps:txbx>
                      <wps:bodyPr lIns="0" tIns="0" rIns="0" bIns="0" upright="1"/>
                    </wps:wsp>
                  </a:graphicData>
                </a:graphic>
              </wp:anchor>
            </w:drawing>
          </mc:Choice>
          <mc:Fallback>
            <w:pict>
              <v:rect id="文本框 4" o:spid="_x0000_s1026" o:spt="1" style="position:absolute;left:0pt;margin-left:5.25pt;margin-top:121.65pt;height:187.7pt;width:481.9pt;mso-position-horizontal-relative:margin;mso-position-vertical-relative:margin;z-index:251659264;mso-width-relative:page;mso-height-relative:page;" fillcolor="#FFFFFF" filled="t" stroked="f" coordsize="21600,21600" o:gfxdata="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2vt/d1wAAAAoBAAAPAAAAAAAAAAEAIAAAACIAAABkcnMv&#10;ZG93bnJldi54bWxQSwECFAAUAAAACACHTuJAY/5bKMsBAACSAwAADgAAAAAAAAABACAAAAAmAQAA&#10;ZHJzL2Uyb0RvYy54bWxQSwUGAAAAAAYABgBZAQAAYwUAAAAA&#10;">
                <v:fill on="t" focussize="0,0"/>
                <v:stroke on="f"/>
                <v:imagedata o:title=""/>
                <o:lock v:ext="edit" aspectratio="f"/>
                <v:textbox inset="0mm,0mm,0mm,0mm">
                  <w:txbxContent>
                    <w:p>
                      <w:pPr>
                        <w:pStyle w:val="75"/>
                        <w:rPr>
                          <w:rFonts w:hint="default" w:hAnsi="黑体" w:eastAsia="黑体" w:cs="黑体"/>
                          <w:sz w:val="44"/>
                          <w:szCs w:val="44"/>
                          <w:lang w:val="en-US" w:eastAsia="zh-CN"/>
                        </w:rPr>
                      </w:pPr>
                      <w:bookmarkStart w:id="91" w:name="_Hlk23687263"/>
                      <w:r>
                        <w:rPr>
                          <w:rFonts w:hint="eastAsia" w:hAnsi="黑体" w:cs="黑体"/>
                          <w:sz w:val="44"/>
                          <w:szCs w:val="44"/>
                        </w:rPr>
                        <w:t>JJF</w:t>
                      </w:r>
                      <w:r>
                        <w:rPr>
                          <w:rFonts w:hint="eastAsia" w:hAnsi="黑体" w:cs="黑体"/>
                          <w:sz w:val="44"/>
                          <w:szCs w:val="44"/>
                          <w:lang w:val="en-US" w:eastAsia="zh-CN"/>
                        </w:rPr>
                        <w:t>Z</w:t>
                      </w:r>
                      <w:r>
                        <w:rPr>
                          <w:rFonts w:hint="eastAsia" w:hAnsi="黑体" w:cs="黑体"/>
                          <w:sz w:val="44"/>
                          <w:szCs w:val="44"/>
                        </w:rPr>
                        <w:t>（有色金属）</w:t>
                      </w:r>
                      <w:r>
                        <w:rPr>
                          <w:rFonts w:hint="eastAsia" w:hAnsi="黑体" w:cs="黑体"/>
                          <w:sz w:val="44"/>
                          <w:szCs w:val="44"/>
                          <w:lang w:val="en-US" w:eastAsia="zh-CN"/>
                        </w:rPr>
                        <w:t>012</w:t>
                      </w:r>
                      <w:r>
                        <w:rPr>
                          <w:rFonts w:hint="eastAsia" w:hAnsi="黑体" w:cs="黑体"/>
                          <w:sz w:val="44"/>
                          <w:szCs w:val="44"/>
                        </w:rPr>
                        <w:t>—</w:t>
                      </w:r>
                      <w:r>
                        <w:rPr>
                          <w:rFonts w:hint="eastAsia" w:hAnsi="黑体" w:cs="黑体"/>
                          <w:sz w:val="44"/>
                          <w:szCs w:val="44"/>
                          <w:lang w:val="en-US" w:eastAsia="zh-CN"/>
                        </w:rPr>
                        <w:t>2025</w:t>
                      </w:r>
                    </w:p>
                    <w:bookmarkEnd w:id="91"/>
                    <w:p>
                      <w:pPr>
                        <w:pStyle w:val="75"/>
                        <w:rPr>
                          <w:rFonts w:hAnsi="黑体" w:cs="黑体"/>
                          <w:szCs w:val="52"/>
                        </w:rPr>
                      </w:pPr>
                      <w:r>
                        <w:rPr>
                          <w:rFonts w:hint="eastAsia" w:hAnsi="黑体" w:cs="黑体"/>
                          <w:szCs w:val="52"/>
                          <w:lang w:val="en-US" w:eastAsia="zh-CN"/>
                        </w:rPr>
                        <w:t>动态热机械分析仪校准规范</w:t>
                      </w:r>
                    </w:p>
                    <w:p>
                      <w:pPr>
                        <w:jc w:val="center"/>
                        <w:rPr>
                          <w:rFonts w:ascii="黑体" w:hAnsi="黑体" w:eastAsia="黑体" w:cs="黑体"/>
                          <w:sz w:val="44"/>
                          <w:szCs w:val="44"/>
                        </w:rPr>
                      </w:pPr>
                      <w:r>
                        <w:rPr>
                          <w:rFonts w:hint="eastAsia" w:ascii="黑体" w:hAnsi="黑体" w:eastAsia="黑体" w:cs="黑体"/>
                          <w:sz w:val="44"/>
                          <w:szCs w:val="44"/>
                        </w:rPr>
                        <w:t>(编制说明)</w:t>
                      </w:r>
                    </w:p>
                  </w:txbxContent>
                </v:textbox>
                <w10:anchorlock/>
              </v:rect>
            </w:pict>
          </mc:Fallback>
        </mc:AlternateContent>
      </w: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60288" behindDoc="0" locked="1" layoutInCell="1" allowOverlap="1">
                <wp:simplePos x="0" y="0"/>
                <wp:positionH relativeFrom="margin">
                  <wp:posOffset>153670</wp:posOffset>
                </wp:positionH>
                <wp:positionV relativeFrom="margin">
                  <wp:posOffset>4848860</wp:posOffset>
                </wp:positionV>
                <wp:extent cx="5969000" cy="1779270"/>
                <wp:effectExtent l="0" t="0" r="12700" b="11430"/>
                <wp:wrapNone/>
                <wp:docPr id="2" name="文本框 5"/>
                <wp:cNvGraphicFramePr/>
                <a:graphic xmlns:a="http://schemas.openxmlformats.org/drawingml/2006/main">
                  <a:graphicData uri="http://schemas.microsoft.com/office/word/2010/wordprocessingShape">
                    <wps:wsp>
                      <wps:cNvSpPr/>
                      <wps:spPr>
                        <a:xfrm>
                          <a:off x="0" y="0"/>
                          <a:ext cx="5969000" cy="1779270"/>
                        </a:xfrm>
                        <a:prstGeom prst="rect">
                          <a:avLst/>
                        </a:prstGeom>
                        <a:solidFill>
                          <a:srgbClr val="FFFFFF"/>
                        </a:solidFill>
                        <a:ln>
                          <a:noFill/>
                        </a:ln>
                      </wps:spPr>
                      <wps:txbx>
                        <w:txbxContent>
                          <w:p>
                            <w:pPr>
                              <w:pStyle w:val="67"/>
                              <w:spacing w:before="600"/>
                              <w:rPr>
                                <w:rFonts w:ascii="黑体" w:hAnsi="黑体" w:eastAsia="黑体"/>
                                <w:sz w:val="36"/>
                                <w:szCs w:val="36"/>
                              </w:rPr>
                            </w:pPr>
                            <w:r>
                              <w:rPr>
                                <w:rFonts w:hint="eastAsia" w:ascii="黑体" w:hAnsi="黑体" w:eastAsia="黑体"/>
                                <w:sz w:val="36"/>
                                <w:szCs w:val="36"/>
                                <w:lang w:val="en-US" w:eastAsia="zh-CN"/>
                              </w:rPr>
                              <w:t>预审</w:t>
                            </w:r>
                            <w:r>
                              <w:rPr>
                                <w:rFonts w:hint="eastAsia" w:ascii="黑体" w:hAnsi="黑体" w:eastAsia="黑体"/>
                                <w:sz w:val="36"/>
                                <w:szCs w:val="36"/>
                              </w:rPr>
                              <w:t>稿</w:t>
                            </w:r>
                          </w:p>
                          <w:p>
                            <w:pPr>
                              <w:pStyle w:val="67"/>
                              <w:spacing w:before="600"/>
                              <w:rPr>
                                <w:rFonts w:hint="eastAsia" w:ascii="黑体" w:hAnsi="黑体" w:eastAsia="黑体"/>
                                <w:sz w:val="36"/>
                                <w:szCs w:val="36"/>
                                <w:lang w:val="en-US" w:eastAsia="zh-CN"/>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w:t>
                            </w:r>
                            <w:r>
                              <w:rPr>
                                <w:rFonts w:hint="eastAsia" w:ascii="黑体" w:hAnsi="黑体" w:eastAsia="黑体"/>
                                <w:sz w:val="36"/>
                                <w:szCs w:val="36"/>
                                <w:lang w:val="en-US" w:eastAsia="zh-CN"/>
                              </w:rPr>
                              <w:t>9</w:t>
                            </w:r>
                          </w:p>
                        </w:txbxContent>
                      </wps:txbx>
                      <wps:bodyPr lIns="0" tIns="0" rIns="0" bIns="0" upright="1"/>
                    </wps:wsp>
                  </a:graphicData>
                </a:graphic>
              </wp:anchor>
            </w:drawing>
          </mc:Choice>
          <mc:Fallback>
            <w:pict>
              <v:rect id="文本框 5" o:spid="_x0000_s1026" o:spt="1" style="position:absolute;left:0pt;margin-left:12.1pt;margin-top:381.8pt;height:140.1pt;width:470pt;mso-position-horizontal-relative:margin;mso-position-vertical-relative:margin;z-index:251660288;mso-width-relative:page;mso-height-relative:page;" fillcolor="#FFFFFF" filled="t" stroked="f" coordsize="21600,21600" o:gfxdata="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QgCV/1wAAAAsBAAAPAAAAAAAAAAEAIAAAACIAAABkcnMv&#10;ZG93bnJldi54bWxQSwECFAAUAAAACACHTuJAMTvMIMsBAACSAwAADgAAAAAAAAABACAAAAAmAQAA&#10;ZHJzL2Uyb0RvYy54bWxQSwUGAAAAAAYABgBZAQAAYwUAAAAA&#10;">
                <v:fill on="t" focussize="0,0"/>
                <v:stroke on="f"/>
                <v:imagedata o:title=""/>
                <o:lock v:ext="edit" aspectratio="f"/>
                <v:textbox inset="0mm,0mm,0mm,0mm">
                  <w:txbxContent>
                    <w:p>
                      <w:pPr>
                        <w:pStyle w:val="67"/>
                        <w:spacing w:before="600"/>
                        <w:rPr>
                          <w:rFonts w:ascii="黑体" w:hAnsi="黑体" w:eastAsia="黑体"/>
                          <w:sz w:val="36"/>
                          <w:szCs w:val="36"/>
                        </w:rPr>
                      </w:pPr>
                      <w:r>
                        <w:rPr>
                          <w:rFonts w:hint="eastAsia" w:ascii="黑体" w:hAnsi="黑体" w:eastAsia="黑体"/>
                          <w:sz w:val="36"/>
                          <w:szCs w:val="36"/>
                          <w:lang w:val="en-US" w:eastAsia="zh-CN"/>
                        </w:rPr>
                        <w:t>预审</w:t>
                      </w:r>
                      <w:r>
                        <w:rPr>
                          <w:rFonts w:hint="eastAsia" w:ascii="黑体" w:hAnsi="黑体" w:eastAsia="黑体"/>
                          <w:sz w:val="36"/>
                          <w:szCs w:val="36"/>
                        </w:rPr>
                        <w:t>稿</w:t>
                      </w:r>
                    </w:p>
                    <w:p>
                      <w:pPr>
                        <w:pStyle w:val="67"/>
                        <w:spacing w:before="600"/>
                        <w:rPr>
                          <w:rFonts w:hint="eastAsia" w:ascii="黑体" w:hAnsi="黑体" w:eastAsia="黑体"/>
                          <w:sz w:val="36"/>
                          <w:szCs w:val="36"/>
                          <w:lang w:val="en-US" w:eastAsia="zh-CN"/>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w:t>
                      </w:r>
                      <w:r>
                        <w:rPr>
                          <w:rFonts w:hint="eastAsia" w:ascii="黑体" w:hAnsi="黑体" w:eastAsia="黑体"/>
                          <w:sz w:val="36"/>
                          <w:szCs w:val="36"/>
                          <w:lang w:val="en-US" w:eastAsia="zh-CN"/>
                        </w:rPr>
                        <w:t>9</w:t>
                      </w:r>
                    </w:p>
                  </w:txbxContent>
                </v:textbox>
                <w10:anchorlock/>
              </v:rect>
            </w:pict>
          </mc:Fallback>
        </mc:AlternateContent>
      </w: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61312" behindDoc="0" locked="1" layoutInCell="1" allowOverlap="1">
                <wp:simplePos x="0" y="0"/>
                <wp:positionH relativeFrom="margin">
                  <wp:posOffset>144145</wp:posOffset>
                </wp:positionH>
                <wp:positionV relativeFrom="margin">
                  <wp:posOffset>7559040</wp:posOffset>
                </wp:positionV>
                <wp:extent cx="6120130" cy="1544320"/>
                <wp:effectExtent l="0" t="0" r="13970" b="17780"/>
                <wp:wrapNone/>
                <wp:docPr id="1" name="fmFrame7"/>
                <wp:cNvGraphicFramePr/>
                <a:graphic xmlns:a="http://schemas.openxmlformats.org/drawingml/2006/main">
                  <a:graphicData uri="http://schemas.microsoft.com/office/word/2010/wordprocessingShape">
                    <wps:wsp>
                      <wps:cNvSpPr/>
                      <wps:spPr>
                        <a:xfrm>
                          <a:off x="0" y="0"/>
                          <a:ext cx="6120130" cy="1544320"/>
                        </a:xfrm>
                        <a:prstGeom prst="rect">
                          <a:avLst/>
                        </a:prstGeom>
                        <a:solidFill>
                          <a:srgbClr val="FFFFFF"/>
                        </a:solidFill>
                        <a:ln>
                          <a:noFill/>
                        </a:ln>
                      </wps:spPr>
                      <wps:txbx>
                        <w:txbxContent>
                          <w:p>
                            <w:pPr>
                              <w:pStyle w:val="75"/>
                              <w:rPr>
                                <w:rFonts w:ascii="宋体" w:hAnsi="宋体" w:eastAsia="宋体" w:cs="宋体"/>
                                <w:spacing w:val="58"/>
                                <w:w w:val="120"/>
                                <w:kern w:val="2"/>
                                <w:sz w:val="28"/>
                                <w:szCs w:val="28"/>
                              </w:rPr>
                            </w:pPr>
                          </w:p>
                          <w:p>
                            <w:pPr>
                              <w:jc w:val="center"/>
                              <w:rPr>
                                <w:rFonts w:ascii="宋体" w:hAnsi="宋体" w:cs="宋体"/>
                                <w:spacing w:val="58"/>
                                <w:w w:val="120"/>
                                <w:sz w:val="28"/>
                                <w:szCs w:val="28"/>
                              </w:rPr>
                            </w:pPr>
                            <w:r>
                              <w:rPr>
                                <w:rFonts w:hint="eastAsia" w:ascii="宋体" w:hAnsi="宋体" w:cs="宋体"/>
                                <w:spacing w:val="58"/>
                                <w:w w:val="120"/>
                                <w:sz w:val="28"/>
                                <w:szCs w:val="28"/>
                                <w:lang w:val="en-US" w:eastAsia="zh-CN"/>
                              </w:rPr>
                              <w:t>动态热机械分析仪</w:t>
                            </w:r>
                            <w:r>
                              <w:rPr>
                                <w:rFonts w:hint="eastAsia" w:ascii="宋体" w:hAnsi="宋体" w:cs="宋体"/>
                                <w:spacing w:val="58"/>
                                <w:w w:val="120"/>
                                <w:sz w:val="28"/>
                                <w:szCs w:val="28"/>
                              </w:rPr>
                              <w:t>校准规范</w:t>
                            </w:r>
                          </w:p>
                          <w:p>
                            <w:pPr>
                              <w:jc w:val="center"/>
                              <w:rPr>
                                <w:rFonts w:ascii="宋体" w:hAnsi="宋体" w:cs="宋体"/>
                                <w:sz w:val="28"/>
                                <w:szCs w:val="28"/>
                              </w:rPr>
                            </w:pPr>
                            <w:r>
                              <w:rPr>
                                <w:rFonts w:hint="eastAsia" w:ascii="宋体" w:hAnsi="宋体" w:cs="宋体"/>
                                <w:spacing w:val="58"/>
                                <w:w w:val="120"/>
                                <w:sz w:val="28"/>
                                <w:szCs w:val="28"/>
                              </w:rPr>
                              <w:t>编制组</w:t>
                            </w:r>
                          </w:p>
                          <w:p>
                            <w:pPr>
                              <w:pStyle w:val="114"/>
                              <w:rPr>
                                <w:rFonts w:ascii="宋体" w:hAnsi="宋体" w:eastAsia="宋体" w:cs="宋体"/>
                                <w:sz w:val="28"/>
                                <w:szCs w:val="28"/>
                              </w:rPr>
                            </w:pPr>
                            <w:r>
                              <w:rPr>
                                <w:rFonts w:hint="eastAsia" w:ascii="宋体" w:hAnsi="宋体" w:eastAsia="宋体" w:cs="宋体"/>
                                <w:sz w:val="28"/>
                                <w:szCs w:val="28"/>
                              </w:rPr>
                              <w:t>主编单位：</w:t>
                            </w:r>
                            <w:r>
                              <w:rPr>
                                <w:rFonts w:hint="eastAsia" w:ascii="宋体" w:hAnsi="宋体" w:eastAsia="宋体" w:cs="宋体"/>
                                <w:sz w:val="28"/>
                                <w:szCs w:val="28"/>
                                <w:lang w:val="en-US" w:eastAsia="zh-CN"/>
                              </w:rPr>
                              <w:t>国标（北京）检验认证有限</w:t>
                            </w:r>
                            <w:r>
                              <w:rPr>
                                <w:rFonts w:hint="eastAsia" w:ascii="宋体" w:hAnsi="宋体" w:eastAsia="宋体" w:cs="宋体"/>
                                <w:sz w:val="28"/>
                                <w:szCs w:val="28"/>
                              </w:rPr>
                              <w:t>公司</w:t>
                            </w:r>
                          </w:p>
                        </w:txbxContent>
                      </wps:txbx>
                      <wps:bodyPr lIns="0" tIns="0" rIns="0" bIns="0" upright="1"/>
                    </wps:wsp>
                  </a:graphicData>
                </a:graphic>
              </wp:anchor>
            </w:drawing>
          </mc:Choice>
          <mc:Fallback>
            <w:pict>
              <v:rect id="fmFrame7" o:spid="_x0000_s1026" o:spt="1" style="position:absolute;left:0pt;margin-left:11.35pt;margin-top:595.2pt;height:121.6pt;width:481.9pt;mso-position-horizontal-relative:margin;mso-position-vertical-relative:margin;z-index:251661312;mso-width-relative:page;mso-height-relative:page;" fillcolor="#FFFFFF" filled="t" stroked="f" coordsize="21600,21600" o:gfxdata="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H+TSXYAAAADAEAAA8AAAAAAAAAAQAgAAAAIgAAAGRycy9kb3ducmV2LnhtbFBLAQIU&#10;ABQAAAAIAIdO4kBYM7RfugEAAI8DAAAOAAAAAAAAAAEAIAAAACcBAABkcnMvZTJvRG9jLnhtbFBL&#10;BQYAAAAABgAGAFkBAABTBQAAAAA=&#10;">
                <v:fill on="t" focussize="0,0"/>
                <v:stroke on="f"/>
                <v:imagedata o:title=""/>
                <o:lock v:ext="edit" aspectratio="f"/>
                <v:textbox inset="0mm,0mm,0mm,0mm">
                  <w:txbxContent>
                    <w:p>
                      <w:pPr>
                        <w:pStyle w:val="75"/>
                        <w:rPr>
                          <w:rFonts w:ascii="宋体" w:hAnsi="宋体" w:eastAsia="宋体" w:cs="宋体"/>
                          <w:spacing w:val="58"/>
                          <w:w w:val="120"/>
                          <w:kern w:val="2"/>
                          <w:sz w:val="28"/>
                          <w:szCs w:val="28"/>
                        </w:rPr>
                      </w:pPr>
                    </w:p>
                    <w:p>
                      <w:pPr>
                        <w:jc w:val="center"/>
                        <w:rPr>
                          <w:rFonts w:ascii="宋体" w:hAnsi="宋体" w:cs="宋体"/>
                          <w:spacing w:val="58"/>
                          <w:w w:val="120"/>
                          <w:sz w:val="28"/>
                          <w:szCs w:val="28"/>
                        </w:rPr>
                      </w:pPr>
                      <w:r>
                        <w:rPr>
                          <w:rFonts w:hint="eastAsia" w:ascii="宋体" w:hAnsi="宋体" w:cs="宋体"/>
                          <w:spacing w:val="58"/>
                          <w:w w:val="120"/>
                          <w:sz w:val="28"/>
                          <w:szCs w:val="28"/>
                          <w:lang w:val="en-US" w:eastAsia="zh-CN"/>
                        </w:rPr>
                        <w:t>动态热机械分析仪</w:t>
                      </w:r>
                      <w:r>
                        <w:rPr>
                          <w:rFonts w:hint="eastAsia" w:ascii="宋体" w:hAnsi="宋体" w:cs="宋体"/>
                          <w:spacing w:val="58"/>
                          <w:w w:val="120"/>
                          <w:sz w:val="28"/>
                          <w:szCs w:val="28"/>
                        </w:rPr>
                        <w:t>校准规范</w:t>
                      </w:r>
                    </w:p>
                    <w:p>
                      <w:pPr>
                        <w:jc w:val="center"/>
                        <w:rPr>
                          <w:rFonts w:ascii="宋体" w:hAnsi="宋体" w:cs="宋体"/>
                          <w:sz w:val="28"/>
                          <w:szCs w:val="28"/>
                        </w:rPr>
                      </w:pPr>
                      <w:r>
                        <w:rPr>
                          <w:rFonts w:hint="eastAsia" w:ascii="宋体" w:hAnsi="宋体" w:cs="宋体"/>
                          <w:spacing w:val="58"/>
                          <w:w w:val="120"/>
                          <w:sz w:val="28"/>
                          <w:szCs w:val="28"/>
                        </w:rPr>
                        <w:t>编制组</w:t>
                      </w:r>
                    </w:p>
                    <w:p>
                      <w:pPr>
                        <w:pStyle w:val="114"/>
                        <w:rPr>
                          <w:rFonts w:ascii="宋体" w:hAnsi="宋体" w:eastAsia="宋体" w:cs="宋体"/>
                          <w:sz w:val="28"/>
                          <w:szCs w:val="28"/>
                        </w:rPr>
                      </w:pPr>
                      <w:r>
                        <w:rPr>
                          <w:rFonts w:hint="eastAsia" w:ascii="宋体" w:hAnsi="宋体" w:eastAsia="宋体" w:cs="宋体"/>
                          <w:sz w:val="28"/>
                          <w:szCs w:val="28"/>
                        </w:rPr>
                        <w:t>主编单位：</w:t>
                      </w:r>
                      <w:r>
                        <w:rPr>
                          <w:rFonts w:hint="eastAsia" w:ascii="宋体" w:hAnsi="宋体" w:eastAsia="宋体" w:cs="宋体"/>
                          <w:sz w:val="28"/>
                          <w:szCs w:val="28"/>
                          <w:lang w:val="en-US" w:eastAsia="zh-CN"/>
                        </w:rPr>
                        <w:t>国标（北京）检验认证有限</w:t>
                      </w:r>
                      <w:r>
                        <w:rPr>
                          <w:rFonts w:hint="eastAsia" w:ascii="宋体" w:hAnsi="宋体" w:eastAsia="宋体" w:cs="宋体"/>
                          <w:sz w:val="28"/>
                          <w:szCs w:val="28"/>
                        </w:rPr>
                        <w:t>公司</w:t>
                      </w:r>
                    </w:p>
                  </w:txbxContent>
                </v:textbox>
                <w10:anchorlock/>
              </v:rect>
            </w:pict>
          </mc:Fallback>
        </mc:AlternateContent>
      </w: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98"/>
        <w:jc w:val="center"/>
        <w:rPr>
          <w:rFonts w:ascii="黑体" w:hAnsi="黑体" w:eastAsia="黑体"/>
          <w:b w:val="0"/>
          <w:bCs w:val="0"/>
          <w:sz w:val="24"/>
          <w:szCs w:val="24"/>
        </w:rPr>
      </w:pPr>
    </w:p>
    <w:p>
      <w:pPr>
        <w:pStyle w:val="2"/>
        <w:pageBreakBefore w:val="0"/>
        <w:kinsoku/>
        <w:wordWrap/>
        <w:overflowPunct/>
        <w:topLinePunct w:val="0"/>
        <w:bidi w:val="0"/>
        <w:adjustRightInd w:val="0"/>
        <w:snapToGrid w:val="0"/>
        <w:spacing w:before="156" w:after="156"/>
        <w:textAlignment w:val="auto"/>
        <w:rPr>
          <w:b w:val="0"/>
          <w:bCs w:val="0"/>
        </w:rPr>
      </w:pPr>
      <w:r>
        <w:rPr>
          <w:rFonts w:hint="eastAsia"/>
          <w:b w:val="0"/>
          <w:bCs w:val="0"/>
        </w:rPr>
        <w:t>一、工作简况</w:t>
      </w:r>
      <w:bookmarkEnd w:id="0"/>
      <w:bookmarkStart w:id="2" w:name="_Toc464728896"/>
    </w:p>
    <w:p>
      <w:pPr>
        <w:pStyle w:val="3"/>
        <w:pageBreakBefore w:val="0"/>
        <w:kinsoku/>
        <w:wordWrap/>
        <w:overflowPunct/>
        <w:topLinePunct w:val="0"/>
        <w:bidi w:val="0"/>
        <w:adjustRightInd w:val="0"/>
        <w:snapToGrid w:val="0"/>
        <w:spacing w:before="156" w:after="156"/>
        <w:textAlignment w:val="auto"/>
        <w:rPr>
          <w:b w:val="0"/>
          <w:bCs w:val="0"/>
        </w:rPr>
      </w:pPr>
      <w:r>
        <w:rPr>
          <w:rFonts w:hint="eastAsia"/>
          <w:b w:val="0"/>
          <w:bCs w:val="0"/>
        </w:rPr>
        <w:t>1.立项目的</w:t>
      </w:r>
    </w:p>
    <w:p>
      <w:pPr>
        <w:pageBreakBefore w:val="0"/>
        <w:kinsoku/>
        <w:wordWrap/>
        <w:overflowPunct/>
        <w:topLinePunct w:val="0"/>
        <w:bidi w:val="0"/>
        <w:adjustRightInd w:val="0"/>
        <w:snapToGrid w:val="0"/>
        <w:spacing w:line="400" w:lineRule="exact"/>
        <w:ind w:firstLine="555"/>
        <w:textAlignment w:val="auto"/>
        <w:rPr>
          <w:rFonts w:hint="eastAsia" w:hAnsi="宋体" w:eastAsia="宋体"/>
          <w:b w:val="0"/>
          <w:bCs w:val="0"/>
          <w:szCs w:val="21"/>
          <w:highlight w:val="none"/>
          <w:lang w:eastAsia="zh-CN"/>
        </w:rPr>
      </w:pPr>
      <w:r>
        <w:rPr>
          <w:rFonts w:hAnsi="宋体"/>
          <w:b w:val="0"/>
          <w:bCs w:val="0"/>
          <w:szCs w:val="21"/>
          <w:highlight w:val="none"/>
        </w:rPr>
        <w:t>动态热机械分析仪是测量样品黏弹性能与时间或温度关系的仪器。常用于材料的刚性、黏弹性、玻璃化温度、相转变、软化温度等测量</w:t>
      </w:r>
      <w:r>
        <w:rPr>
          <w:rFonts w:hint="eastAsia" w:hAnsi="宋体"/>
          <w:b w:val="0"/>
          <w:bCs w:val="0"/>
          <w:szCs w:val="21"/>
          <w:highlight w:val="none"/>
          <w:lang w:eastAsia="zh-CN"/>
        </w:rPr>
        <w:t>。</w:t>
      </w:r>
      <w:r>
        <w:rPr>
          <w:rFonts w:hint="eastAsia" w:hAnsi="宋体"/>
          <w:b w:val="0"/>
          <w:bCs w:val="0"/>
          <w:szCs w:val="21"/>
          <w:highlight w:val="none"/>
          <w:lang w:val="en-US" w:eastAsia="zh-CN"/>
        </w:rPr>
        <w:t>随着现代工业的发展，特别是在汽车制造业和航空航天高科技领域，</w:t>
      </w:r>
      <w:r>
        <w:rPr>
          <w:rFonts w:hAnsi="宋体"/>
          <w:b w:val="0"/>
          <w:bCs w:val="0"/>
          <w:szCs w:val="21"/>
          <w:highlight w:val="none"/>
        </w:rPr>
        <w:t>动态热机械分析仪</w:t>
      </w:r>
      <w:r>
        <w:rPr>
          <w:rFonts w:hint="eastAsia" w:hAnsi="宋体"/>
          <w:b w:val="0"/>
          <w:bCs w:val="0"/>
          <w:szCs w:val="21"/>
          <w:highlight w:val="none"/>
          <w:lang w:val="en-US" w:eastAsia="zh-CN"/>
        </w:rPr>
        <w:t>作为测试材料阻尼性能和动态力学性能的关键设备，其测量结果的准确性直接关系到产品质量和安全性。</w:t>
      </w:r>
      <w:r>
        <w:rPr>
          <w:rFonts w:hAnsi="宋体"/>
          <w:b w:val="0"/>
          <w:bCs w:val="0"/>
          <w:szCs w:val="21"/>
          <w:highlight w:val="none"/>
        </w:rPr>
        <w:t>为</w:t>
      </w:r>
      <w:r>
        <w:rPr>
          <w:rFonts w:hint="eastAsia" w:hAnsi="宋体"/>
          <w:b w:val="0"/>
          <w:bCs w:val="0"/>
          <w:szCs w:val="21"/>
          <w:highlight w:val="none"/>
          <w:lang w:val="en-US" w:eastAsia="zh-CN"/>
        </w:rPr>
        <w:t>保证</w:t>
      </w:r>
      <w:r>
        <w:rPr>
          <w:rFonts w:hAnsi="宋体"/>
          <w:b w:val="0"/>
          <w:bCs w:val="0"/>
          <w:szCs w:val="21"/>
          <w:highlight w:val="none"/>
        </w:rPr>
        <w:t>动态热机械分析仪</w:t>
      </w:r>
      <w:r>
        <w:rPr>
          <w:rFonts w:hint="eastAsia" w:hAnsi="宋体"/>
          <w:b w:val="0"/>
          <w:bCs w:val="0"/>
          <w:szCs w:val="21"/>
          <w:highlight w:val="none"/>
          <w:lang w:val="en-US" w:eastAsia="zh-CN"/>
        </w:rPr>
        <w:t>测试结果的</w:t>
      </w:r>
      <w:r>
        <w:rPr>
          <w:rFonts w:hAnsi="宋体"/>
          <w:b w:val="0"/>
          <w:bCs w:val="0"/>
          <w:szCs w:val="21"/>
          <w:highlight w:val="none"/>
        </w:rPr>
        <w:t>准确可靠，需要对其进行</w:t>
      </w:r>
      <w:r>
        <w:rPr>
          <w:rFonts w:hint="eastAsia" w:hAnsi="宋体"/>
          <w:b w:val="0"/>
          <w:bCs w:val="0"/>
          <w:szCs w:val="21"/>
          <w:highlight w:val="none"/>
          <w:lang w:val="en-US" w:eastAsia="zh-CN"/>
        </w:rPr>
        <w:t>校准</w:t>
      </w:r>
      <w:r>
        <w:rPr>
          <w:rFonts w:hAnsi="宋体"/>
          <w:b w:val="0"/>
          <w:bCs w:val="0"/>
          <w:szCs w:val="21"/>
          <w:highlight w:val="none"/>
        </w:rPr>
        <w:t>，保证其量值准确、可靠、有源可溯。</w:t>
      </w:r>
    </w:p>
    <w:p>
      <w:pPr>
        <w:pStyle w:val="21"/>
        <w:pageBreakBefore w:val="0"/>
        <w:kinsoku/>
        <w:wordWrap/>
        <w:overflowPunct/>
        <w:topLinePunct w:val="0"/>
        <w:bidi w:val="0"/>
        <w:adjustRightInd w:val="0"/>
        <w:snapToGrid w:val="0"/>
        <w:spacing w:line="400" w:lineRule="exact"/>
        <w:ind w:firstLine="420" w:firstLineChars="200"/>
        <w:textAlignment w:val="auto"/>
        <w:rPr>
          <w:rFonts w:hAnsi="宋体"/>
          <w:b w:val="0"/>
          <w:bCs w:val="0"/>
          <w:szCs w:val="21"/>
          <w:highlight w:val="none"/>
        </w:rPr>
      </w:pPr>
      <w:r>
        <w:rPr>
          <w:rFonts w:hAnsi="宋体"/>
          <w:b w:val="0"/>
          <w:bCs w:val="0"/>
          <w:szCs w:val="21"/>
          <w:highlight w:val="none"/>
        </w:rPr>
        <w:t>本规范重点解决了</w:t>
      </w:r>
      <w:r>
        <w:rPr>
          <w:rFonts w:hint="eastAsia" w:hAnsi="黑体" w:cs="黑体"/>
          <w:szCs w:val="52"/>
          <w:highlight w:val="none"/>
          <w:lang w:val="en-US" w:eastAsia="zh-CN"/>
        </w:rPr>
        <w:t>动态热机械分析仪无校准方法的问题，</w:t>
      </w:r>
      <w:r>
        <w:rPr>
          <w:rFonts w:hAnsi="宋体"/>
          <w:b w:val="0"/>
          <w:bCs w:val="0"/>
          <w:szCs w:val="21"/>
          <w:highlight w:val="none"/>
        </w:rPr>
        <w:t>弥补</w:t>
      </w:r>
      <w:r>
        <w:rPr>
          <w:rFonts w:hint="eastAsia" w:hAnsi="黑体" w:cs="黑体"/>
          <w:szCs w:val="52"/>
          <w:highlight w:val="none"/>
          <w:lang w:val="en-US" w:eastAsia="zh-CN"/>
        </w:rPr>
        <w:t>动态热机械分析仪</w:t>
      </w:r>
      <w:r>
        <w:rPr>
          <w:rFonts w:hAnsi="宋体"/>
          <w:b w:val="0"/>
          <w:bCs w:val="0"/>
          <w:szCs w:val="21"/>
          <w:highlight w:val="none"/>
        </w:rPr>
        <w:t>校准的空白</w:t>
      </w:r>
      <w:r>
        <w:rPr>
          <w:rFonts w:hint="eastAsia" w:hAnsi="宋体"/>
          <w:b w:val="0"/>
          <w:bCs w:val="0"/>
          <w:szCs w:val="21"/>
          <w:highlight w:val="none"/>
          <w:lang w:eastAsia="zh-CN"/>
        </w:rPr>
        <w:t>。</w:t>
      </w:r>
      <w:r>
        <w:rPr>
          <w:rFonts w:hint="eastAsia" w:hAnsi="宋体"/>
          <w:b w:val="0"/>
          <w:bCs w:val="0"/>
          <w:szCs w:val="21"/>
          <w:highlight w:val="none"/>
          <w:lang w:val="en-US" w:eastAsia="zh-CN"/>
        </w:rPr>
        <w:t>规范针对</w:t>
      </w:r>
      <w:r>
        <w:rPr>
          <w:rFonts w:hAnsi="宋体"/>
          <w:b w:val="0"/>
          <w:bCs w:val="0"/>
          <w:szCs w:val="21"/>
          <w:highlight w:val="none"/>
        </w:rPr>
        <w:t>动态热机械分析仪</w:t>
      </w:r>
      <w:r>
        <w:rPr>
          <w:rFonts w:hint="eastAsia" w:hAnsi="宋体"/>
          <w:b w:val="0"/>
          <w:bCs w:val="0"/>
          <w:szCs w:val="21"/>
          <w:highlight w:val="none"/>
          <w:lang w:val="en-US" w:eastAsia="zh-CN"/>
        </w:rPr>
        <w:t>的动态力学测量特点，明确了温度、位移、模量等核心计量特性的校准方法，将仪器输出量可以溯源。</w:t>
      </w:r>
      <w:r>
        <w:rPr>
          <w:rFonts w:hAnsi="宋体"/>
          <w:b w:val="0"/>
          <w:bCs w:val="0"/>
          <w:szCs w:val="21"/>
          <w:highlight w:val="none"/>
          <w:lang w:val="en-US" w:eastAsia="zh-CN"/>
        </w:rPr>
        <w:t>规范的制定实施，不仅提升了动态热机械分析仪自身输出量值的准确度与实验室间数据可比性，也为高分子材料、复合材料、阻尼减振材料及航天航空结构件的黏弹性评价、失效分析与准入质控提供了可信的量值基础。</w:t>
      </w:r>
    </w:p>
    <w:p>
      <w:pPr>
        <w:pStyle w:val="3"/>
        <w:pageBreakBefore w:val="0"/>
        <w:kinsoku/>
        <w:wordWrap/>
        <w:overflowPunct/>
        <w:topLinePunct w:val="0"/>
        <w:bidi w:val="0"/>
        <w:adjustRightInd w:val="0"/>
        <w:snapToGrid w:val="0"/>
        <w:spacing w:before="156" w:after="156"/>
        <w:textAlignment w:val="auto"/>
        <w:rPr>
          <w:b w:val="0"/>
          <w:bCs w:val="0"/>
        </w:rPr>
      </w:pPr>
      <w:r>
        <w:rPr>
          <w:rFonts w:hint="eastAsia"/>
          <w:b w:val="0"/>
          <w:bCs w:val="0"/>
        </w:rPr>
        <w:t>2.任务来源</w:t>
      </w:r>
      <w:bookmarkEnd w:id="2"/>
    </w:p>
    <w:p>
      <w:pPr>
        <w:pStyle w:val="35"/>
        <w:pageBreakBefore w:val="0"/>
        <w:kinsoku/>
        <w:wordWrap/>
        <w:overflowPunct/>
        <w:topLinePunct w:val="0"/>
        <w:bidi w:val="0"/>
        <w:adjustRightInd w:val="0"/>
        <w:snapToGrid w:val="0"/>
        <w:spacing w:after="0" w:line="400" w:lineRule="exact"/>
        <w:ind w:firstLine="420" w:firstLineChars="200"/>
        <w:textAlignment w:val="auto"/>
        <w:rPr>
          <w:rFonts w:hint="default" w:hAnsi="宋体"/>
          <w:b w:val="0"/>
          <w:bCs w:val="0"/>
          <w:szCs w:val="21"/>
          <w:lang w:val="en-US" w:eastAsia="zh-CN"/>
        </w:rPr>
      </w:pPr>
      <w:r>
        <w:rPr>
          <w:rFonts w:hint="eastAsia" w:hAnsi="宋体"/>
          <w:b w:val="0"/>
          <w:bCs w:val="0"/>
          <w:szCs w:val="21"/>
        </w:rPr>
        <w:t>根据工业和信息化部《关于印发202</w:t>
      </w:r>
      <w:r>
        <w:rPr>
          <w:rFonts w:hint="eastAsia" w:hAnsi="宋体"/>
          <w:b w:val="0"/>
          <w:bCs w:val="0"/>
          <w:szCs w:val="21"/>
          <w:lang w:val="en-US" w:eastAsia="zh-CN"/>
        </w:rPr>
        <w:t>5</w:t>
      </w:r>
      <w:r>
        <w:rPr>
          <w:rFonts w:hint="eastAsia" w:hAnsi="宋体"/>
          <w:b w:val="0"/>
          <w:bCs w:val="0"/>
          <w:szCs w:val="21"/>
        </w:rPr>
        <w:t>年行业计量技术规范制修订计划的通知》（工</w:t>
      </w:r>
      <w:r>
        <w:rPr>
          <w:rFonts w:hint="eastAsia" w:hAnsi="宋体"/>
          <w:b w:val="0"/>
          <w:bCs w:val="0"/>
          <w:szCs w:val="21"/>
          <w:lang w:val="en-US" w:eastAsia="zh-CN"/>
        </w:rPr>
        <w:t>信厅科函</w:t>
      </w:r>
      <w:r>
        <w:rPr>
          <w:rFonts w:hint="eastAsia" w:hAnsi="宋体"/>
          <w:b w:val="0"/>
          <w:bCs w:val="0"/>
          <w:szCs w:val="21"/>
        </w:rPr>
        <w:t>［202</w:t>
      </w:r>
      <w:r>
        <w:rPr>
          <w:rFonts w:hint="eastAsia" w:hAnsi="宋体"/>
          <w:b w:val="0"/>
          <w:bCs w:val="0"/>
          <w:szCs w:val="21"/>
          <w:lang w:val="en-US" w:eastAsia="zh-CN"/>
        </w:rPr>
        <w:t>5</w:t>
      </w:r>
      <w:r>
        <w:rPr>
          <w:rFonts w:hint="eastAsia" w:hAnsi="宋体"/>
          <w:b w:val="0"/>
          <w:bCs w:val="0"/>
          <w:szCs w:val="21"/>
        </w:rPr>
        <w:t>］</w:t>
      </w:r>
      <w:r>
        <w:rPr>
          <w:rFonts w:hint="eastAsia" w:hAnsi="宋体"/>
          <w:b w:val="0"/>
          <w:bCs w:val="0"/>
          <w:szCs w:val="21"/>
          <w:lang w:val="en-US" w:eastAsia="zh-CN"/>
        </w:rPr>
        <w:t>299</w:t>
      </w:r>
      <w:r>
        <w:rPr>
          <w:rFonts w:hint="eastAsia" w:hAnsi="宋体"/>
          <w:b w:val="0"/>
          <w:bCs w:val="0"/>
          <w:szCs w:val="21"/>
        </w:rPr>
        <w:t>号）文的要求，行业计量技术规范《</w:t>
      </w:r>
      <w:r>
        <w:rPr>
          <w:rFonts w:hint="eastAsia" w:hAnsi="宋体"/>
          <w:b w:val="0"/>
          <w:bCs w:val="0"/>
          <w:szCs w:val="21"/>
          <w:lang w:val="en-US" w:eastAsia="zh-CN"/>
        </w:rPr>
        <w:t>动态热机械分析仪</w:t>
      </w:r>
      <w:r>
        <w:rPr>
          <w:rFonts w:hint="eastAsia" w:hAnsi="宋体"/>
          <w:b w:val="0"/>
          <w:bCs w:val="0"/>
          <w:szCs w:val="21"/>
        </w:rPr>
        <w:t>校准规范》由</w:t>
      </w:r>
      <w:r>
        <w:rPr>
          <w:rFonts w:hint="eastAsia" w:hAnsi="宋体"/>
          <w:b w:val="0"/>
          <w:bCs w:val="0"/>
          <w:szCs w:val="21"/>
          <w:lang w:val="en-US" w:eastAsia="zh-CN"/>
        </w:rPr>
        <w:t>国标（北京）检验认证有限</w:t>
      </w:r>
      <w:r>
        <w:rPr>
          <w:rFonts w:hint="eastAsia" w:hAnsi="宋体"/>
          <w:b w:val="0"/>
          <w:bCs w:val="0"/>
          <w:szCs w:val="21"/>
        </w:rPr>
        <w:t>公司负责起草。该项目计划编号为</w:t>
      </w:r>
      <w:r>
        <w:rPr>
          <w:rFonts w:hAnsi="宋体"/>
          <w:b w:val="0"/>
          <w:bCs w:val="0"/>
          <w:szCs w:val="21"/>
        </w:rPr>
        <w:t>JJF</w:t>
      </w:r>
      <w:r>
        <w:rPr>
          <w:rFonts w:hint="eastAsia" w:hAnsi="宋体"/>
          <w:b w:val="0"/>
          <w:bCs w:val="0"/>
          <w:szCs w:val="21"/>
        </w:rPr>
        <w:t>Z（有色金属）</w:t>
      </w:r>
      <w:r>
        <w:rPr>
          <w:rFonts w:hint="eastAsia" w:hAnsi="宋体"/>
          <w:b w:val="0"/>
          <w:bCs w:val="0"/>
          <w:szCs w:val="21"/>
          <w:lang w:val="en-US" w:eastAsia="zh-CN"/>
        </w:rPr>
        <w:t>012</w:t>
      </w:r>
      <w:r>
        <w:rPr>
          <w:rFonts w:hint="eastAsia" w:hAnsi="宋体"/>
          <w:b w:val="0"/>
          <w:bCs w:val="0"/>
          <w:szCs w:val="21"/>
        </w:rPr>
        <w:t>-2</w:t>
      </w:r>
      <w:r>
        <w:rPr>
          <w:rFonts w:hAnsi="宋体"/>
          <w:b w:val="0"/>
          <w:bCs w:val="0"/>
          <w:szCs w:val="21"/>
        </w:rPr>
        <w:t>02</w:t>
      </w:r>
      <w:r>
        <w:rPr>
          <w:rFonts w:hint="eastAsia" w:hAnsi="宋体"/>
          <w:b w:val="0"/>
          <w:bCs w:val="0"/>
          <w:szCs w:val="21"/>
          <w:lang w:val="en-US" w:eastAsia="zh-CN"/>
        </w:rPr>
        <w:t>5。</w:t>
      </w:r>
    </w:p>
    <w:p>
      <w:pPr>
        <w:pStyle w:val="35"/>
        <w:pageBreakBefore w:val="0"/>
        <w:kinsoku/>
        <w:wordWrap/>
        <w:overflowPunct/>
        <w:topLinePunct w:val="0"/>
        <w:bidi w:val="0"/>
        <w:adjustRightInd w:val="0"/>
        <w:snapToGrid w:val="0"/>
        <w:spacing w:after="0" w:line="400" w:lineRule="exact"/>
        <w:ind w:firstLine="420" w:firstLineChars="200"/>
        <w:textAlignment w:val="auto"/>
        <w:rPr>
          <w:rFonts w:hint="eastAsia" w:hAnsi="宋体"/>
          <w:b w:val="0"/>
          <w:bCs w:val="0"/>
          <w:szCs w:val="21"/>
        </w:rPr>
      </w:pPr>
      <w:r>
        <w:rPr>
          <w:rFonts w:hint="eastAsia"/>
          <w:szCs w:val="21"/>
        </w:rPr>
        <w:t>按计划要求，本计量规范应于</w:t>
      </w:r>
      <w:r>
        <w:rPr>
          <w:szCs w:val="21"/>
        </w:rPr>
        <w:t>202</w:t>
      </w:r>
      <w:r>
        <w:rPr>
          <w:rFonts w:hint="eastAsia"/>
          <w:szCs w:val="21"/>
          <w:lang w:val="en-US" w:eastAsia="zh-CN"/>
        </w:rPr>
        <w:t>7</w:t>
      </w:r>
      <w:r>
        <w:rPr>
          <w:rFonts w:hint="eastAsia"/>
          <w:szCs w:val="21"/>
        </w:rPr>
        <w:t>年完成</w:t>
      </w:r>
      <w:r>
        <w:rPr>
          <w:rFonts w:hint="eastAsia"/>
          <w:szCs w:val="21"/>
          <w:lang w:val="en-US" w:eastAsia="zh-CN"/>
        </w:rPr>
        <w:t>制定</w:t>
      </w:r>
      <w:r>
        <w:rPr>
          <w:szCs w:val="21"/>
        </w:rPr>
        <w:t>。</w:t>
      </w:r>
    </w:p>
    <w:p>
      <w:pPr>
        <w:pStyle w:val="3"/>
        <w:pageBreakBefore w:val="0"/>
        <w:kinsoku/>
        <w:wordWrap/>
        <w:overflowPunct/>
        <w:topLinePunct w:val="0"/>
        <w:bidi w:val="0"/>
        <w:adjustRightInd w:val="0"/>
        <w:snapToGrid w:val="0"/>
        <w:spacing w:before="156" w:after="156"/>
        <w:textAlignment w:val="auto"/>
        <w:rPr>
          <w:b w:val="0"/>
          <w:bCs w:val="0"/>
        </w:rPr>
      </w:pPr>
      <w:r>
        <w:rPr>
          <w:rFonts w:hint="eastAsia"/>
          <w:b w:val="0"/>
          <w:bCs w:val="0"/>
        </w:rPr>
        <w:t>3.项目编制组单位简况</w:t>
      </w:r>
    </w:p>
    <w:p>
      <w:pPr>
        <w:pStyle w:val="4"/>
        <w:pageBreakBefore w:val="0"/>
        <w:kinsoku/>
        <w:wordWrap/>
        <w:overflowPunct/>
        <w:topLinePunct w:val="0"/>
        <w:bidi w:val="0"/>
        <w:adjustRightInd w:val="0"/>
        <w:snapToGrid w:val="0"/>
        <w:spacing w:before="156" w:after="156"/>
        <w:textAlignment w:val="auto"/>
        <w:rPr>
          <w:b w:val="0"/>
          <w:bCs w:val="0"/>
        </w:rPr>
      </w:pPr>
      <w:r>
        <w:rPr>
          <w:rFonts w:hint="eastAsia"/>
          <w:b w:val="0"/>
          <w:bCs w:val="0"/>
        </w:rPr>
        <w:t>3.1编制组成员单位</w:t>
      </w:r>
    </w:p>
    <w:p>
      <w:pPr>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default"/>
          <w:b w:val="0"/>
          <w:bCs w:val="0"/>
          <w:szCs w:val="21"/>
        </w:rPr>
      </w:pPr>
      <w:bookmarkStart w:id="3" w:name="_Toc462884344"/>
      <w:bookmarkStart w:id="4" w:name="_Toc464728900"/>
      <w:r>
        <w:rPr>
          <w:rFonts w:hint="eastAsia"/>
          <w:b w:val="0"/>
          <w:bCs w:val="0"/>
          <w:szCs w:val="21"/>
        </w:rPr>
        <w:t>本规范的编制组单位为：</w:t>
      </w:r>
      <w:r>
        <w:rPr>
          <w:rFonts w:hint="eastAsia" w:eastAsia="宋体"/>
          <w:b w:val="0"/>
          <w:bCs w:val="0"/>
          <w:szCs w:val="21"/>
          <w:lang w:val="en-US" w:eastAsia="zh-CN"/>
        </w:rPr>
        <w:t>国标（北京）检验认证有限公司、北京航空航天大学测试中心、耐驰科学仪器商贸（上海）有限公司、</w:t>
      </w:r>
      <w:r>
        <w:rPr>
          <w:rFonts w:hint="eastAsia" w:ascii="Times New Roman" w:hAnsi="Times New Roman" w:eastAsia="宋体" w:cs="Times New Roman"/>
          <w:b w:val="0"/>
          <w:bCs w:val="0"/>
          <w:szCs w:val="21"/>
          <w:lang w:val="en-US" w:eastAsia="zh-CN"/>
        </w:rPr>
        <w:t>沃特世科技（上海）有限公司、</w:t>
      </w:r>
      <w:r>
        <w:rPr>
          <w:rFonts w:hint="eastAsia" w:eastAsia="宋体"/>
          <w:b w:val="0"/>
          <w:bCs w:val="0"/>
          <w:szCs w:val="21"/>
          <w:lang w:val="en-US" w:eastAsia="zh-CN"/>
        </w:rPr>
        <w:t>中国船舶集团有限公司第七二五研究所、中国科学院宁波材料技术与工程研究所、国合通用（青岛）测试评价</w:t>
      </w:r>
      <w:r>
        <w:rPr>
          <w:rFonts w:hint="eastAsia"/>
          <w:b w:val="0"/>
          <w:bCs w:val="0"/>
          <w:szCs w:val="21"/>
          <w:lang w:val="en-US" w:eastAsia="zh-CN"/>
        </w:rPr>
        <w:t>有限公司、中国汽车技术研究中心有限公司</w:t>
      </w:r>
      <w:r>
        <w:rPr>
          <w:rFonts w:hint="eastAsia"/>
          <w:b w:val="0"/>
          <w:bCs w:val="0"/>
          <w:szCs w:val="21"/>
        </w:rPr>
        <w:t>。</w:t>
      </w:r>
    </w:p>
    <w:p>
      <w:pPr>
        <w:pStyle w:val="4"/>
        <w:pageBreakBefore w:val="0"/>
        <w:kinsoku/>
        <w:wordWrap/>
        <w:overflowPunct/>
        <w:topLinePunct w:val="0"/>
        <w:bidi w:val="0"/>
        <w:adjustRightInd w:val="0"/>
        <w:snapToGrid w:val="0"/>
        <w:spacing w:before="156" w:after="156"/>
        <w:textAlignment w:val="auto"/>
        <w:rPr>
          <w:b w:val="0"/>
          <w:bCs w:val="0"/>
        </w:rPr>
      </w:pPr>
      <w:r>
        <w:rPr>
          <w:rFonts w:hint="eastAsia"/>
          <w:b w:val="0"/>
          <w:bCs w:val="0"/>
        </w:rPr>
        <w:t>3.2 主编单位简介</w:t>
      </w:r>
    </w:p>
    <w:bookmarkEnd w:id="3"/>
    <w:bookmarkEnd w:id="4"/>
    <w:p>
      <w:pPr>
        <w:pageBreakBefore w:val="0"/>
        <w:kinsoku/>
        <w:wordWrap/>
        <w:overflowPunct/>
        <w:topLinePunct w:val="0"/>
        <w:bidi w:val="0"/>
        <w:adjustRightInd w:val="0"/>
        <w:snapToGrid w:val="0"/>
        <w:spacing w:line="400" w:lineRule="exact"/>
        <w:ind w:firstLine="420" w:firstLineChars="200"/>
        <w:textAlignment w:val="auto"/>
        <w:rPr>
          <w:rFonts w:hint="eastAsia"/>
          <w:b w:val="0"/>
          <w:bCs w:val="0"/>
          <w:szCs w:val="21"/>
          <w:lang w:val="en-US" w:eastAsia="zh-CN"/>
        </w:rPr>
      </w:pPr>
      <w:r>
        <w:rPr>
          <w:rFonts w:hint="eastAsia"/>
          <w:b w:val="0"/>
          <w:bCs w:val="0"/>
          <w:szCs w:val="21"/>
          <w:lang w:val="en-US" w:eastAsia="zh-CN"/>
        </w:rPr>
        <w:t>国标（北京）检验认证有限公司是我国有色行业的材料研究和材料检测的权威机构。该公司运行着国家有色金属质量监督检验中心，于1985年开始筹建并承担检验任务。1990年通过国家技术质量监督检验检疫总局的审查认可，2001年通过实验室“三合一”认可。是我国有色行业金属材料检测的权威机构。中心拥有雄厚的技术力量，先进的仪器，齐全的分析方法，以及与国际接轨的质量管理体系（ISO/IEC 17025），承接了国家质量监督抽查、实施生产许可证产品的质量检验、方圆产品认证检验、产品质量鉴定、质量评价和仲裁检验等任务。同时，研究开发新的检验技术和方法，承担国家科技重大专项、国际科技支撑计划等国家级科研项目50余项，获得省部级科技成果奖励190余项，拥有授权中国专利和国际专利200余项，制修定国际、国家和行业标准1000余项，研制国家标准物质/标准样品190余个，在国内外期刊发表学术论文1200余篇，撰写学术著作22部。</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rPr>
      </w:pPr>
      <w:r>
        <w:rPr>
          <w:rFonts w:hint="eastAsia"/>
          <w:b w:val="0"/>
          <w:bCs w:val="0"/>
          <w:szCs w:val="21"/>
          <w:lang w:val="en-US" w:eastAsia="zh-CN"/>
        </w:rPr>
        <w:t>该</w:t>
      </w:r>
      <w:r>
        <w:rPr>
          <w:rFonts w:hint="eastAsia"/>
          <w:b w:val="0"/>
          <w:bCs w:val="0"/>
          <w:szCs w:val="21"/>
        </w:rPr>
        <w:t>单位</w:t>
      </w:r>
      <w:r>
        <w:rPr>
          <w:rFonts w:hint="eastAsia"/>
          <w:b w:val="0"/>
          <w:bCs w:val="0"/>
          <w:szCs w:val="21"/>
          <w:lang w:val="en-US" w:eastAsia="zh-CN"/>
        </w:rPr>
        <w:t>主要负责本规范的起草工作</w:t>
      </w:r>
      <w:r>
        <w:rPr>
          <w:rFonts w:hint="eastAsia"/>
          <w:b w:val="0"/>
          <w:bCs w:val="0"/>
          <w:szCs w:val="21"/>
          <w:lang w:eastAsia="zh-CN"/>
        </w:rPr>
        <w:t>，</w:t>
      </w:r>
      <w:r>
        <w:rPr>
          <w:rFonts w:hint="eastAsia"/>
          <w:b w:val="0"/>
          <w:bCs w:val="0"/>
          <w:szCs w:val="21"/>
          <w:lang w:val="en-US" w:eastAsia="zh-CN"/>
        </w:rPr>
        <w:t>成立编制组并根据委员会的工作安排组织编制组成员单位开展相关校准工作</w:t>
      </w:r>
      <w:r>
        <w:rPr>
          <w:rFonts w:hint="eastAsia"/>
          <w:b w:val="0"/>
          <w:bCs w:val="0"/>
          <w:szCs w:val="21"/>
        </w:rPr>
        <w:t>，组织</w:t>
      </w:r>
      <w:r>
        <w:rPr>
          <w:rFonts w:hint="eastAsia"/>
          <w:b w:val="0"/>
          <w:bCs w:val="0"/>
          <w:szCs w:val="21"/>
          <w:lang w:val="en-US" w:eastAsia="zh-CN"/>
        </w:rPr>
        <w:t>各</w:t>
      </w:r>
      <w:r>
        <w:rPr>
          <w:rFonts w:hint="eastAsia"/>
          <w:b w:val="0"/>
          <w:bCs w:val="0"/>
          <w:szCs w:val="21"/>
        </w:rPr>
        <w:t>单位对规范的《征求意见稿》</w:t>
      </w:r>
      <w:r>
        <w:rPr>
          <w:rFonts w:hint="eastAsia"/>
          <w:b w:val="0"/>
          <w:bCs w:val="0"/>
          <w:szCs w:val="21"/>
          <w:lang w:eastAsia="zh-CN"/>
        </w:rPr>
        <w:t>、《</w:t>
      </w:r>
      <w:r>
        <w:rPr>
          <w:rFonts w:hint="eastAsia"/>
          <w:b w:val="0"/>
          <w:bCs w:val="0"/>
          <w:szCs w:val="21"/>
          <w:lang w:val="en-US" w:eastAsia="zh-CN"/>
        </w:rPr>
        <w:t>预审稿</w:t>
      </w:r>
      <w:r>
        <w:rPr>
          <w:rFonts w:hint="eastAsia"/>
          <w:b w:val="0"/>
          <w:bCs w:val="0"/>
          <w:szCs w:val="21"/>
          <w:lang w:eastAsia="zh-CN"/>
        </w:rPr>
        <w:t>》</w:t>
      </w:r>
      <w:r>
        <w:rPr>
          <w:rFonts w:hint="eastAsia"/>
          <w:b w:val="0"/>
          <w:bCs w:val="0"/>
          <w:szCs w:val="21"/>
          <w:lang w:val="en-US" w:eastAsia="zh-CN"/>
        </w:rPr>
        <w:t>及《送审稿》</w:t>
      </w:r>
      <w:r>
        <w:rPr>
          <w:rFonts w:hint="eastAsia"/>
          <w:b w:val="0"/>
          <w:bCs w:val="0"/>
          <w:szCs w:val="21"/>
        </w:rPr>
        <w:t>进行认真的讨论，</w:t>
      </w:r>
      <w:r>
        <w:rPr>
          <w:rFonts w:hint="eastAsia"/>
          <w:b w:val="0"/>
          <w:bCs w:val="0"/>
          <w:szCs w:val="21"/>
          <w:lang w:val="en-US" w:eastAsia="zh-CN"/>
        </w:rPr>
        <w:t>并就</w:t>
      </w:r>
      <w:r>
        <w:rPr>
          <w:rFonts w:hint="eastAsia"/>
          <w:b w:val="0"/>
          <w:bCs w:val="0"/>
          <w:szCs w:val="21"/>
        </w:rPr>
        <w:t>提出的意见和建议</w:t>
      </w:r>
      <w:r>
        <w:rPr>
          <w:rFonts w:hint="eastAsia"/>
          <w:b w:val="0"/>
          <w:bCs w:val="0"/>
          <w:szCs w:val="21"/>
          <w:lang w:val="en-US" w:eastAsia="zh-CN"/>
        </w:rPr>
        <w:t>进行反馈和修改</w:t>
      </w:r>
      <w:r>
        <w:rPr>
          <w:rFonts w:hint="eastAsia"/>
          <w:b w:val="0"/>
          <w:bCs w:val="0"/>
          <w:szCs w:val="21"/>
        </w:rPr>
        <w:t>，在编制组中发挥了</w:t>
      </w:r>
      <w:r>
        <w:rPr>
          <w:rFonts w:hint="eastAsia"/>
          <w:b w:val="0"/>
          <w:bCs w:val="0"/>
          <w:szCs w:val="21"/>
          <w:lang w:val="en-US" w:eastAsia="zh-CN"/>
        </w:rPr>
        <w:t>主要带头</w:t>
      </w:r>
      <w:r>
        <w:rPr>
          <w:rFonts w:hint="eastAsia"/>
          <w:b w:val="0"/>
          <w:bCs w:val="0"/>
          <w:szCs w:val="21"/>
        </w:rPr>
        <w:t>作用。</w:t>
      </w:r>
    </w:p>
    <w:p>
      <w:pPr>
        <w:pStyle w:val="60"/>
        <w:pageBreakBefore w:val="0"/>
        <w:numPr>
          <w:ilvl w:val="0"/>
          <w:numId w:val="0"/>
        </w:numPr>
        <w:kinsoku/>
        <w:wordWrap/>
        <w:overflowPunct/>
        <w:topLinePunct w:val="0"/>
        <w:bidi w:val="0"/>
        <w:adjustRightInd w:val="0"/>
        <w:snapToGrid w:val="0"/>
        <w:spacing w:before="156" w:beforeLines="50" w:after="156" w:afterLines="50"/>
        <w:textAlignment w:val="auto"/>
        <w:rPr>
          <w:b w:val="0"/>
          <w:bCs w:val="0"/>
          <w:color w:val="auto"/>
        </w:rPr>
      </w:pPr>
      <w:bookmarkStart w:id="5" w:name="_Toc462884345"/>
      <w:bookmarkStart w:id="6" w:name="_Toc464728901"/>
      <w:r>
        <w:rPr>
          <w:rFonts w:hint="eastAsia"/>
          <w:b w:val="0"/>
          <w:bCs w:val="0"/>
          <w:color w:val="auto"/>
        </w:rPr>
        <w:t>3.3成员单位简介</w:t>
      </w:r>
      <w:bookmarkEnd w:id="5"/>
      <w:bookmarkEnd w:id="6"/>
    </w:p>
    <w:p>
      <w:pPr>
        <w:pStyle w:val="59"/>
        <w:pageBreakBefore w:val="0"/>
        <w:numPr>
          <w:ilvl w:val="0"/>
          <w:numId w:val="0"/>
        </w:numPr>
        <w:kinsoku/>
        <w:wordWrap/>
        <w:overflowPunct/>
        <w:topLinePunct w:val="0"/>
        <w:bidi w:val="0"/>
        <w:adjustRightInd w:val="0"/>
        <w:snapToGrid w:val="0"/>
        <w:spacing w:before="156" w:beforeLines="50" w:after="156" w:afterLines="50"/>
        <w:contextualSpacing/>
        <w:textAlignment w:val="auto"/>
        <w:rPr>
          <w:rFonts w:hint="eastAsia"/>
          <w:b w:val="0"/>
          <w:bCs w:val="0"/>
          <w:szCs w:val="21"/>
          <w:lang w:val="en-US" w:eastAsia="zh-CN"/>
        </w:rPr>
      </w:pPr>
      <w:r>
        <w:rPr>
          <w:rFonts w:hint="eastAsia"/>
          <w:b w:val="0"/>
          <w:bCs w:val="0"/>
        </w:rPr>
        <w:t>3.3.</w:t>
      </w:r>
      <w:r>
        <w:rPr>
          <w:rFonts w:hint="eastAsia"/>
          <w:b w:val="0"/>
          <w:bCs w:val="0"/>
          <w:lang w:val="en-US" w:eastAsia="zh-CN"/>
        </w:rPr>
        <w:t>1</w:t>
      </w:r>
      <w:r>
        <w:rPr>
          <w:rFonts w:hint="eastAsia" w:ascii="Times New Roman"/>
          <w:b w:val="0"/>
          <w:bCs w:val="0"/>
        </w:rPr>
        <w:t xml:space="preserve">  </w:t>
      </w:r>
      <w:r>
        <w:rPr>
          <w:rFonts w:hint="eastAsia"/>
          <w:b w:val="0"/>
          <w:bCs w:val="0"/>
          <w:szCs w:val="21"/>
          <w:lang w:val="en-US" w:eastAsia="zh-CN"/>
        </w:rPr>
        <w:t>北京航空航天大学</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北京航空航天大学（简称北航）成立于1952年，是新中国第一所航空航天高等学府。北航是首批进入“211工程”，2001年进入“985工程”，2017年入选国家“双一流”建设高校名单，现隶属于工业和信息化部。学校拥有一支高水平的师资队伍，其中包括两院院士27人，以及众多领军人才和青年学者。北航的学科特色鲜明，在航空宇航科学与技术、仪器科学与技术、材料科学与工程、软件工程等学科领域具有领先优势，近年来，学校获国家级教学成果奖12项，其中一等奖4项。学校始终坚持面向国家重大战略需求，强化基础性、前瞻性和战略性技术研究。北航承建3个国家实验室，参与8个国家实验室建设，还建有国家重大科技基础设施及众多省部级重点实验室。建校以来，北航创造了40多项国内第一的科研成果，“十五”以来，共获国家三大科技奖励84项，2004年以来获得15项国家级科技奖励一等奖、4项国家自然科学二等奖，创造了一所大学连续获国家高等级科技奖的纪录，被社会誉为科技创新的“北航模式”。</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rPr>
      </w:pPr>
      <w:r>
        <w:rPr>
          <w:rFonts w:hint="eastAsia"/>
          <w:b w:val="0"/>
          <w:bCs w:val="0"/>
          <w:szCs w:val="21"/>
          <w:lang w:val="en-US" w:eastAsia="zh-CN"/>
        </w:rPr>
        <w:t>该单位积极参与编制组的各项工作会议，对规范的技术指标提出了有效建议，是该规范的验证单位，在编制组中发挥了主要作用。</w:t>
      </w:r>
    </w:p>
    <w:p>
      <w:pPr>
        <w:pStyle w:val="59"/>
        <w:pageBreakBefore w:val="0"/>
        <w:numPr>
          <w:ilvl w:val="0"/>
          <w:numId w:val="0"/>
        </w:numPr>
        <w:kinsoku/>
        <w:wordWrap/>
        <w:overflowPunct/>
        <w:topLinePunct w:val="0"/>
        <w:bidi w:val="0"/>
        <w:adjustRightInd w:val="0"/>
        <w:snapToGrid w:val="0"/>
        <w:spacing w:before="156" w:beforeLines="50" w:after="156" w:afterLines="50"/>
        <w:contextualSpacing/>
        <w:textAlignment w:val="auto"/>
        <w:rPr>
          <w:rFonts w:hint="default"/>
          <w:b w:val="0"/>
          <w:bCs w:val="0"/>
          <w:szCs w:val="21"/>
          <w:lang w:val="en-US" w:eastAsia="zh-CN"/>
        </w:rPr>
      </w:pPr>
      <w:r>
        <w:rPr>
          <w:rFonts w:hint="eastAsia"/>
          <w:b w:val="0"/>
          <w:bCs w:val="0"/>
        </w:rPr>
        <w:t>3.3.</w:t>
      </w:r>
      <w:r>
        <w:rPr>
          <w:rFonts w:hint="eastAsia"/>
          <w:b w:val="0"/>
          <w:bCs w:val="0"/>
          <w:lang w:val="en-US" w:eastAsia="zh-CN"/>
        </w:rPr>
        <w:t>2</w:t>
      </w:r>
      <w:r>
        <w:rPr>
          <w:rFonts w:hint="eastAsia" w:ascii="Times New Roman"/>
          <w:b w:val="0"/>
          <w:bCs w:val="0"/>
        </w:rPr>
        <w:t xml:space="preserve">  </w:t>
      </w:r>
      <w:r>
        <w:rPr>
          <w:rFonts w:hint="eastAsia"/>
          <w:b w:val="0"/>
          <w:bCs w:val="0"/>
          <w:szCs w:val="21"/>
          <w:lang w:val="en-US" w:eastAsia="zh-CN"/>
        </w:rPr>
        <w:t>耐驰科学仪器商贸（上海）有限公司</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eastAsia="zh-CN"/>
        </w:rPr>
      </w:pPr>
      <w:r>
        <w:rPr>
          <w:rFonts w:hint="eastAsia"/>
          <w:b w:val="0"/>
          <w:bCs w:val="0"/>
          <w:szCs w:val="21"/>
          <w:lang w:val="en-US" w:eastAsia="zh-CN"/>
        </w:rPr>
        <w:t>德国耐驰（NETZSCH），总部位于德国Selb，是热分析、热物性测量与旋转流变仪器的专业厂商，致力于研发多功能、高灵敏度、高可靠性的热分析仪器与流变仪，广泛适用于材料研发、质量控制、失效分析等。德国耐驰在全球37个国家设立了130个销售和制造中心，超过3000名员工保证为客户提供及时快捷的专业服务。现拥有多项专利技术，多次获得全球重大科学技术革新大奖。</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进入中国二十多年来，耐驰在上海、北京、广州、成都等多个城市设立了分支机构和技术服务中心，并且在上海设立了应用实验室以及备件仓库，为客户提供强大的技术支持和完善的售后服务。除丰富的产品外，耐驰还为中国用户定制了中文版的操作和分析软件、中文操作说明书以及中文应用资料。耐驰的技术专家每年定期举办用户交流会和技术讲座，并根据用户需求提供定制化高级应用培训。迄今，耐驰仪器在国内已拥有数千家用户，遍布工业领域的研发及质量检验部门，各知名高校研究所，国家权威产品检验部门及国防前沿材料研究领域的国家重点实验室等。</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该单位积极参与新立项校准规范，配合制定校准规范中各项参数、校准方法等内容，并且对校准规范提出修改建议，并承担验证工作。</w:t>
      </w:r>
    </w:p>
    <w:p>
      <w:pPr>
        <w:pStyle w:val="59"/>
        <w:pageBreakBefore w:val="0"/>
        <w:numPr>
          <w:ilvl w:val="0"/>
          <w:numId w:val="0"/>
        </w:numPr>
        <w:kinsoku/>
        <w:wordWrap/>
        <w:overflowPunct/>
        <w:topLinePunct w:val="0"/>
        <w:bidi w:val="0"/>
        <w:adjustRightInd w:val="0"/>
        <w:snapToGrid w:val="0"/>
        <w:spacing w:before="156" w:beforeLines="50" w:after="156" w:afterLines="50"/>
        <w:contextualSpacing/>
        <w:textAlignment w:val="auto"/>
        <w:rPr>
          <w:rFonts w:hint="default"/>
          <w:b w:val="0"/>
          <w:bCs w:val="0"/>
          <w:szCs w:val="21"/>
          <w:lang w:val="en-US" w:eastAsia="zh-CN"/>
        </w:rPr>
      </w:pPr>
      <w:r>
        <w:rPr>
          <w:rFonts w:hint="eastAsia"/>
          <w:b w:val="0"/>
          <w:bCs w:val="0"/>
        </w:rPr>
        <w:t>3.3.</w:t>
      </w:r>
      <w:r>
        <w:rPr>
          <w:rFonts w:hint="eastAsia"/>
          <w:b w:val="0"/>
          <w:bCs w:val="0"/>
          <w:lang w:val="en-US" w:eastAsia="zh-CN"/>
        </w:rPr>
        <w:t>3</w:t>
      </w:r>
      <w:r>
        <w:rPr>
          <w:rFonts w:hint="eastAsia" w:ascii="Times New Roman"/>
          <w:b w:val="0"/>
          <w:bCs w:val="0"/>
        </w:rPr>
        <w:t xml:space="preserve">  </w:t>
      </w:r>
      <w:r>
        <w:rPr>
          <w:rFonts w:hint="eastAsia"/>
          <w:b w:val="0"/>
          <w:bCs w:val="0"/>
          <w:szCs w:val="21"/>
          <w:lang w:val="en-US" w:eastAsia="zh-CN"/>
        </w:rPr>
        <w:t>中国科学院宁波材料技术与工程研究所</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中国科学院宁波材料技术与工程研究所建于2004年4月，围绕“材料研究”，先后布局了材料技术、材料+制造、材料+能源、材料+医工4大领域。经过20多年的努力，已成为新材料及相关领域的重要研究基地和技术提供者。根据研究所科研布局及区域新材料产业分布特点，于2007年建立了公共技术中心（简称中心）。中心于2009年通过了国家计量认证（CMA）和实验室认可（CNAS），现集中了用于材料科学研究的大型精密仪器250余台套，价值5亿元，具备材料成分、结构、性能、使役特性等全方位的评估评价能力。近来年中心承担了国家发改委、工信部、海洋局等重大平台建设项目，以及对区域科技型企业的优秀支持，被评为国家级中小企业服务平台，国家级小巨人公共服务平台，已成为支撑研究所科研和区域科技创新的重要服务平台。</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该单位积极参与编制组的各项工作会议，对规范的校准方法提出了有效建议，是该规范的验证单位，在编制组中发挥了主要作用。</w:t>
      </w:r>
    </w:p>
    <w:p>
      <w:pPr>
        <w:pStyle w:val="59"/>
        <w:pageBreakBefore w:val="0"/>
        <w:numPr>
          <w:ilvl w:val="0"/>
          <w:numId w:val="0"/>
        </w:numPr>
        <w:kinsoku/>
        <w:wordWrap/>
        <w:overflowPunct/>
        <w:topLinePunct w:val="0"/>
        <w:bidi w:val="0"/>
        <w:adjustRightInd w:val="0"/>
        <w:snapToGrid w:val="0"/>
        <w:spacing w:before="156" w:beforeLines="50" w:after="156" w:afterLines="50"/>
        <w:contextualSpacing/>
        <w:textAlignment w:val="auto"/>
        <w:rPr>
          <w:rFonts w:hint="default"/>
          <w:b w:val="0"/>
          <w:bCs w:val="0"/>
          <w:szCs w:val="21"/>
          <w:lang w:val="en-US" w:eastAsia="zh-CN"/>
        </w:rPr>
      </w:pPr>
      <w:r>
        <w:rPr>
          <w:rFonts w:hint="eastAsia"/>
          <w:b w:val="0"/>
          <w:bCs w:val="0"/>
        </w:rPr>
        <w:t>3.3.</w:t>
      </w:r>
      <w:r>
        <w:rPr>
          <w:rFonts w:hint="eastAsia"/>
          <w:b w:val="0"/>
          <w:bCs w:val="0"/>
          <w:lang w:val="en-US" w:eastAsia="zh-CN"/>
        </w:rPr>
        <w:t>4</w:t>
      </w:r>
      <w:r>
        <w:rPr>
          <w:rFonts w:hint="eastAsia" w:ascii="Times New Roman"/>
          <w:b w:val="0"/>
          <w:bCs w:val="0"/>
        </w:rPr>
        <w:t xml:space="preserve">  </w:t>
      </w:r>
      <w:r>
        <w:rPr>
          <w:rFonts w:hint="eastAsia" w:cs="Times New Roman"/>
          <w:b w:val="0"/>
          <w:bCs w:val="0"/>
          <w:szCs w:val="21"/>
          <w:lang w:val="en-US" w:eastAsia="zh-CN"/>
        </w:rPr>
        <w:t>沃特世科技（上海）有限公司</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ascii="Times New Roman" w:hAnsi="Times New Roman" w:eastAsia="宋体" w:cs="Times New Roman"/>
          <w:b w:val="0"/>
          <w:bCs w:val="0"/>
          <w:szCs w:val="21"/>
          <w:lang w:val="en-US" w:eastAsia="zh-CN"/>
        </w:rPr>
      </w:pPr>
      <w:r>
        <w:rPr>
          <w:rFonts w:hint="eastAsia" w:ascii="Times New Roman" w:hAnsi="Times New Roman" w:eastAsia="宋体" w:cs="Times New Roman"/>
          <w:b w:val="0"/>
          <w:bCs w:val="0"/>
          <w:szCs w:val="21"/>
          <w:lang w:val="en-US" w:eastAsia="zh-CN"/>
        </w:rPr>
        <w:t>TA仪器创立于1963年，现隶属于沃特世（Waters）品牌旗下，拥有热分析、流变、热物性、微量热仪及力学性能测试等仪器产品，致力于服务材料科学、医学、电子和其他科学领域的领先发现，提供创新和可靠的仪器产品。TA公司曾作为主要起草单位参与了多项热分析技术国家标准的制定工作。</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ascii="Times New Roman" w:hAnsi="Times New Roman" w:eastAsia="宋体" w:cs="Times New Roman"/>
          <w:b w:val="0"/>
          <w:bCs w:val="0"/>
          <w:szCs w:val="21"/>
          <w:lang w:val="en-US" w:eastAsia="zh-CN"/>
        </w:rPr>
      </w:pPr>
      <w:r>
        <w:rPr>
          <w:rFonts w:hint="eastAsia"/>
          <w:b w:val="0"/>
          <w:bCs w:val="0"/>
          <w:szCs w:val="21"/>
          <w:lang w:val="en-US" w:eastAsia="zh-CN"/>
        </w:rPr>
        <w:t>该单位积极参与编制组的各项工作会议，配合制定校准规范中各项参数、校准方法等内容，是该规范的验证单位，在编制组中发挥了主要作用。</w:t>
      </w:r>
    </w:p>
    <w:p>
      <w:pPr>
        <w:pStyle w:val="59"/>
        <w:pageBreakBefore w:val="0"/>
        <w:numPr>
          <w:ilvl w:val="0"/>
          <w:numId w:val="0"/>
        </w:numPr>
        <w:kinsoku/>
        <w:wordWrap/>
        <w:overflowPunct/>
        <w:topLinePunct w:val="0"/>
        <w:bidi w:val="0"/>
        <w:adjustRightInd w:val="0"/>
        <w:snapToGrid w:val="0"/>
        <w:spacing w:before="156" w:beforeLines="50" w:after="156" w:afterLines="50"/>
        <w:contextualSpacing/>
        <w:textAlignment w:val="auto"/>
        <w:rPr>
          <w:rFonts w:hint="default"/>
          <w:b w:val="0"/>
          <w:bCs w:val="0"/>
          <w:szCs w:val="21"/>
          <w:lang w:val="en-US" w:eastAsia="zh-CN"/>
        </w:rPr>
      </w:pPr>
      <w:r>
        <w:rPr>
          <w:rFonts w:hint="eastAsia"/>
          <w:b w:val="0"/>
          <w:bCs w:val="0"/>
        </w:rPr>
        <w:t>3.3.</w:t>
      </w:r>
      <w:r>
        <w:rPr>
          <w:rFonts w:hint="eastAsia"/>
          <w:b w:val="0"/>
          <w:bCs w:val="0"/>
          <w:lang w:val="en-US" w:eastAsia="zh-CN"/>
        </w:rPr>
        <w:t>5</w:t>
      </w:r>
      <w:r>
        <w:rPr>
          <w:rFonts w:hint="eastAsia" w:ascii="Times New Roman"/>
          <w:b w:val="0"/>
          <w:bCs w:val="0"/>
        </w:rPr>
        <w:t xml:space="preserve">  </w:t>
      </w:r>
      <w:r>
        <w:rPr>
          <w:rFonts w:hint="eastAsia"/>
          <w:b w:val="0"/>
          <w:bCs w:val="0"/>
          <w:szCs w:val="21"/>
          <w:lang w:val="en-US" w:eastAsia="zh-CN"/>
        </w:rPr>
        <w:t>国合通用（青岛）测试评价有限公司</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国合通用（青岛）测试评价有限公司是承担国家新材料测试评价平台-主中心项目的国合通用测试评价认证股份公司（以下简称“国合通测”）的全资子公司，是国务院国资委直属央企有研科技集团有限公司（以下简称“有研集团”）的三级子公司。目前拥有化学分析、性能测试、组织结构和无损检测四个专业实验室，逐步建设汽车整车及零部件实验室、轨道交通实验室、船舶与海洋工程实验室、环境实验室、食品实验室、纺织品实验室等专业实验室，重点对汽车、轨道交通、船舶、海洋工程等行业提供第三方检测服务，同时开展材料失效分析、应用评价、产品认证、专业技能培训等业务。</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该单位积极参与编制组的各项工作会议，对规范的技术指标提出了有效建议，是该规范的验证单位，在编制组中发挥了主要作用。</w:t>
      </w:r>
    </w:p>
    <w:p>
      <w:pPr>
        <w:pStyle w:val="59"/>
        <w:pageBreakBefore w:val="0"/>
        <w:numPr>
          <w:ilvl w:val="0"/>
          <w:numId w:val="0"/>
        </w:numPr>
        <w:kinsoku/>
        <w:wordWrap/>
        <w:overflowPunct/>
        <w:topLinePunct w:val="0"/>
        <w:bidi w:val="0"/>
        <w:adjustRightInd w:val="0"/>
        <w:snapToGrid w:val="0"/>
        <w:spacing w:before="156" w:beforeLines="50" w:after="156" w:afterLines="50"/>
        <w:contextualSpacing/>
        <w:textAlignment w:val="auto"/>
        <w:rPr>
          <w:rFonts w:hint="default"/>
          <w:b w:val="0"/>
          <w:bCs w:val="0"/>
          <w:szCs w:val="21"/>
          <w:lang w:val="en-US" w:eastAsia="zh-CN"/>
        </w:rPr>
      </w:pPr>
      <w:r>
        <w:rPr>
          <w:rFonts w:hint="eastAsia"/>
          <w:b w:val="0"/>
          <w:bCs w:val="0"/>
        </w:rPr>
        <w:t>3.3.</w:t>
      </w:r>
      <w:r>
        <w:rPr>
          <w:rFonts w:hint="eastAsia"/>
          <w:b w:val="0"/>
          <w:bCs w:val="0"/>
          <w:lang w:val="en-US" w:eastAsia="zh-CN"/>
        </w:rPr>
        <w:t>6</w:t>
      </w:r>
      <w:r>
        <w:rPr>
          <w:rFonts w:hint="eastAsia" w:ascii="Times New Roman"/>
          <w:b w:val="0"/>
          <w:bCs w:val="0"/>
        </w:rPr>
        <w:t xml:space="preserve">  </w:t>
      </w:r>
      <w:r>
        <w:rPr>
          <w:rFonts w:hint="eastAsia"/>
          <w:b w:val="0"/>
          <w:bCs w:val="0"/>
          <w:szCs w:val="21"/>
          <w:lang w:val="en-US" w:eastAsia="zh-CN"/>
        </w:rPr>
        <w:t>中国船舶集团有限公司第七二五研究所</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中国船舶集团有限公司第七二五研究所是一个隶属于中国船舶集团有限公司的军工科研事业单位，成立于1961年。该所以专业从事舰船材料与工艺及应用性研究为主，拥有丰富的科研经验和强大的研发能力。七二五所下设8个研究室，包括1个国家级腐蚀与防护国防科技重点实验室和1个国防科技工业大型构件焊接技术中心，以及4个国家级海水环境试验站和11个科技产业公司。其研究领域广泛，包括船体结构材料研究、有色金属研究、非金属材料研究、腐蚀与防护研究、特种材料研究、焊接工艺研究、自然环境试验研究等。</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中国船舶集团有限公司积极参加新立项校准规范，对校准规范提出修改建议，在编制组中发挥了主要作用。</w:t>
      </w:r>
    </w:p>
    <w:p>
      <w:pPr>
        <w:pStyle w:val="59"/>
        <w:pageBreakBefore w:val="0"/>
        <w:numPr>
          <w:ilvl w:val="0"/>
          <w:numId w:val="0"/>
        </w:numPr>
        <w:kinsoku/>
        <w:wordWrap/>
        <w:overflowPunct/>
        <w:topLinePunct w:val="0"/>
        <w:bidi w:val="0"/>
        <w:adjustRightInd w:val="0"/>
        <w:snapToGrid w:val="0"/>
        <w:spacing w:before="156" w:beforeLines="50" w:after="156" w:afterLines="50"/>
        <w:contextualSpacing/>
        <w:textAlignment w:val="auto"/>
        <w:rPr>
          <w:rFonts w:hint="default"/>
          <w:b w:val="0"/>
          <w:bCs w:val="0"/>
          <w:szCs w:val="21"/>
          <w:lang w:val="en-US" w:eastAsia="zh-CN"/>
        </w:rPr>
      </w:pPr>
      <w:r>
        <w:rPr>
          <w:rFonts w:hint="eastAsia"/>
          <w:b w:val="0"/>
          <w:bCs w:val="0"/>
        </w:rPr>
        <w:t>3.3.</w:t>
      </w:r>
      <w:r>
        <w:rPr>
          <w:rFonts w:hint="eastAsia"/>
          <w:b w:val="0"/>
          <w:bCs w:val="0"/>
          <w:lang w:val="en-US" w:eastAsia="zh-CN"/>
        </w:rPr>
        <w:t>7</w:t>
      </w:r>
      <w:r>
        <w:rPr>
          <w:rFonts w:hint="eastAsia" w:ascii="Times New Roman"/>
          <w:b w:val="0"/>
          <w:bCs w:val="0"/>
        </w:rPr>
        <w:t xml:space="preserve"> </w:t>
      </w:r>
      <w:r>
        <w:rPr>
          <w:rFonts w:hint="eastAsia"/>
          <w:b w:val="0"/>
          <w:bCs w:val="0"/>
          <w:szCs w:val="21"/>
          <w:lang w:val="en-US" w:eastAsia="zh-CN"/>
        </w:rPr>
        <w:t>中国汽车技术研究中心有限公司</w:t>
      </w:r>
    </w:p>
    <w:p>
      <w:pPr>
        <w:pageBreakBefore w:val="0"/>
        <w:kinsoku/>
        <w:wordWrap/>
        <w:overflowPunct/>
        <w:topLinePunct w:val="0"/>
        <w:bidi w:val="0"/>
        <w:adjustRightInd w:val="0"/>
        <w:snapToGrid w:val="0"/>
        <w:spacing w:line="400" w:lineRule="exact"/>
        <w:ind w:firstLine="420" w:firstLineChars="200"/>
        <w:contextualSpacing/>
        <w:jc w:val="left"/>
        <w:textAlignment w:val="auto"/>
        <w:rPr>
          <w:rFonts w:hint="eastAsia"/>
          <w:b w:val="0"/>
          <w:bCs w:val="0"/>
          <w:szCs w:val="21"/>
          <w:lang w:val="en-US" w:eastAsia="zh-CN"/>
        </w:rPr>
      </w:pPr>
      <w:r>
        <w:rPr>
          <w:rFonts w:hint="eastAsia"/>
          <w:b w:val="0"/>
          <w:bCs w:val="0"/>
          <w:szCs w:val="21"/>
          <w:lang w:val="en-US" w:eastAsia="zh-CN"/>
        </w:rPr>
        <w:t>中国汽车技术研究中心有限公司</w:t>
      </w:r>
    </w:p>
    <w:p>
      <w:pPr>
        <w:spacing w:line="400" w:lineRule="exact"/>
        <w:contextualSpacing/>
        <w:jc w:val="left"/>
        <w:rPr>
          <w:rFonts w:hint="eastAsia"/>
          <w:b w:val="0"/>
          <w:bCs w:val="0"/>
          <w:szCs w:val="21"/>
          <w:lang w:val="en-US" w:eastAsia="zh-CN"/>
        </w:rPr>
      </w:pPr>
    </w:p>
    <w:p>
      <w:pPr>
        <w:pStyle w:val="60"/>
        <w:keepNext w:val="0"/>
        <w:keepLines w:val="0"/>
        <w:pageBreakBefore w:val="0"/>
        <w:widowControl/>
        <w:numPr>
          <w:ilvl w:val="2"/>
          <w:numId w:val="0"/>
        </w:numPr>
        <w:kinsoku/>
        <w:wordWrap/>
        <w:overflowPunct/>
        <w:topLinePunct w:val="0"/>
        <w:bidi w:val="0"/>
        <w:adjustRightInd w:val="0"/>
        <w:snapToGrid w:val="0"/>
        <w:spacing w:before="156" w:beforeLines="50" w:after="156" w:afterLines="50" w:line="240" w:lineRule="auto"/>
        <w:ind w:leftChars="0"/>
        <w:textAlignment w:val="auto"/>
        <w:rPr>
          <w:rFonts w:hint="default" w:ascii="Times New Roman" w:hAnsi="Times New Roman" w:eastAsia="宋体" w:cs="Times New Roman"/>
          <w:color w:val="auto"/>
          <w:sz w:val="21"/>
          <w:szCs w:val="21"/>
        </w:rPr>
      </w:pPr>
      <w:bookmarkStart w:id="7" w:name="_Toc464728903"/>
      <w:bookmarkStart w:id="8" w:name="_Toc462884347"/>
      <w:r>
        <w:rPr>
          <w:rFonts w:hint="eastAsia"/>
          <w:b w:val="0"/>
          <w:bCs w:val="0"/>
          <w:color w:val="auto"/>
        </w:rPr>
        <w:t>3.</w:t>
      </w:r>
      <w:r>
        <w:rPr>
          <w:rFonts w:hint="eastAsia"/>
          <w:b w:val="0"/>
          <w:bCs w:val="0"/>
          <w:color w:val="auto"/>
          <w:lang w:val="en-US" w:eastAsia="zh-CN"/>
        </w:rPr>
        <w:t>4</w:t>
      </w:r>
      <w:r>
        <w:rPr>
          <w:rFonts w:hint="eastAsia" w:ascii="Times New Roman" w:eastAsia="宋体" w:cs="Times New Roman"/>
          <w:color w:val="auto"/>
          <w:sz w:val="21"/>
          <w:szCs w:val="21"/>
          <w:lang w:eastAsia="zh-CN"/>
        </w:rPr>
        <w:t>各单位分工情况</w:t>
      </w:r>
    </w:p>
    <w:p>
      <w:pPr>
        <w:pStyle w:val="59"/>
        <w:keepNext w:val="0"/>
        <w:keepLines w:val="0"/>
        <w:pageBreakBefore w:val="0"/>
        <w:widowControl/>
        <w:numPr>
          <w:ilvl w:val="3"/>
          <w:numId w:val="0"/>
        </w:numPr>
        <w:kinsoku/>
        <w:wordWrap/>
        <w:overflowPunct/>
        <w:topLinePunct w:val="0"/>
        <w:bidi w:val="0"/>
        <w:adjustRightInd w:val="0"/>
        <w:snapToGrid w:val="0"/>
        <w:spacing w:before="156" w:beforeLines="50" w:after="156" w:afterLines="50"/>
        <w:ind w:left="2" w:leftChars="0" w:firstLine="396" w:firstLineChars="200"/>
        <w:contextualSpacing/>
        <w:textAlignment w:val="auto"/>
        <w:rPr>
          <w:rFonts w:hint="eastAsia" w:ascii="宋体" w:hAnsi="宋体" w:eastAsia="宋体" w:cs="宋体"/>
          <w:b w:val="0"/>
          <w:bCs w:val="0"/>
          <w:color w:val="auto"/>
          <w:kern w:val="2"/>
          <w:sz w:val="21"/>
          <w:szCs w:val="21"/>
          <w:highlight w:val="none"/>
          <w:lang w:val="en-US" w:eastAsia="zh-CN"/>
        </w:rPr>
      </w:pPr>
      <w:r>
        <w:rPr>
          <w:rFonts w:hint="eastAsia" w:ascii="Times New Roman" w:hAnsi="Times New Roman" w:eastAsia="宋体" w:cs="Times New Roman"/>
          <w:sz w:val="21"/>
          <w:szCs w:val="21"/>
          <w:lang w:val="en-US" w:eastAsia="zh-CN"/>
        </w:rPr>
        <w:t>编制组依据各单位情况，对整个规范的起草进行了分工。</w:t>
      </w:r>
      <w:r>
        <w:rPr>
          <w:rFonts w:hint="eastAsia" w:eastAsia="宋体"/>
          <w:b w:val="0"/>
          <w:bCs w:val="0"/>
          <w:szCs w:val="21"/>
          <w:lang w:val="en-US" w:eastAsia="zh-CN"/>
        </w:rPr>
        <w:t>国标（北京）检验认证有限公司</w:t>
      </w:r>
      <w:r>
        <w:rPr>
          <w:rFonts w:hint="default" w:ascii="宋体" w:hAnsi="宋体" w:eastAsia="宋体" w:cs="宋体"/>
          <w:b w:val="0"/>
          <w:bCs w:val="0"/>
          <w:color w:val="auto"/>
          <w:kern w:val="2"/>
          <w:sz w:val="21"/>
          <w:szCs w:val="21"/>
          <w:highlight w:val="none"/>
          <w:lang w:val="en-US" w:eastAsia="zh-CN"/>
        </w:rPr>
        <w:t>负责</w:t>
      </w:r>
      <w:r>
        <w:rPr>
          <w:rFonts w:hint="eastAsia" w:ascii="宋体" w:hAnsi="宋体" w:eastAsia="宋体" w:cs="宋体"/>
          <w:b w:val="0"/>
          <w:bCs w:val="0"/>
          <w:color w:val="auto"/>
          <w:kern w:val="2"/>
          <w:sz w:val="21"/>
          <w:szCs w:val="21"/>
          <w:highlight w:val="none"/>
          <w:lang w:val="en-US" w:eastAsia="zh-CN"/>
        </w:rPr>
        <w:t>资料的调研、</w:t>
      </w:r>
      <w:r>
        <w:rPr>
          <w:rFonts w:hint="default" w:ascii="宋体" w:hAnsi="宋体" w:eastAsia="宋体" w:cs="宋体"/>
          <w:b w:val="0"/>
          <w:bCs w:val="0"/>
          <w:color w:val="auto"/>
          <w:kern w:val="2"/>
          <w:sz w:val="21"/>
          <w:szCs w:val="21"/>
          <w:highlight w:val="none"/>
          <w:lang w:val="en-US" w:eastAsia="zh-CN"/>
        </w:rPr>
        <w:t>收集，完成分析方法研究工作，撰写标准文稿、编制说明和研究报告</w:t>
      </w:r>
      <w:r>
        <w:rPr>
          <w:rFonts w:hint="eastAsia" w:ascii="宋体" w:hAnsi="宋体" w:eastAsia="宋体" w:cs="宋体"/>
          <w:b w:val="0"/>
          <w:bCs w:val="0"/>
          <w:color w:val="auto"/>
          <w:kern w:val="2"/>
          <w:sz w:val="21"/>
          <w:szCs w:val="21"/>
          <w:highlight w:val="none"/>
          <w:lang w:val="en-US" w:eastAsia="zh-CN"/>
        </w:rPr>
        <w:t>。北京航空航天大学测试中心、耐驰科学仪器商贸（上海）有限公司、中国船舶集团有限公司第七二五研究所、中国科学院宁波材料技术与工程研究所、国合通用（青岛）测试评价有限公司、中国汽车技术研究中心有限公司等</w:t>
      </w:r>
      <w:r>
        <w:rPr>
          <w:rFonts w:hint="eastAsia" w:ascii="Times New Roman" w:hAnsi="Times New Roman" w:eastAsia="宋体" w:cs="Times New Roman"/>
          <w:sz w:val="21"/>
          <w:szCs w:val="21"/>
          <w:lang w:val="en-US" w:eastAsia="zh-CN"/>
        </w:rPr>
        <w:t>对规范内容提出具体修改意见，</w:t>
      </w:r>
      <w:r>
        <w:rPr>
          <w:rFonts w:hint="default" w:ascii="宋体" w:hAnsi="宋体" w:eastAsia="宋体" w:cs="宋体"/>
          <w:b w:val="0"/>
          <w:bCs w:val="0"/>
          <w:color w:val="auto"/>
          <w:kern w:val="2"/>
          <w:sz w:val="21"/>
          <w:szCs w:val="21"/>
          <w:highlight w:val="none"/>
          <w:lang w:val="en-US" w:eastAsia="zh-CN"/>
        </w:rPr>
        <w:t>提供</w:t>
      </w:r>
      <w:r>
        <w:rPr>
          <w:rFonts w:hint="eastAsia" w:ascii="宋体" w:hAnsi="宋体" w:eastAsia="宋体" w:cs="宋体"/>
          <w:b w:val="0"/>
          <w:bCs w:val="0"/>
          <w:color w:val="auto"/>
          <w:kern w:val="2"/>
          <w:sz w:val="21"/>
          <w:szCs w:val="21"/>
          <w:highlight w:val="none"/>
          <w:lang w:val="en-US" w:eastAsia="zh-CN"/>
        </w:rPr>
        <w:t>对规范方法的验证工作及完成相应验证报告</w:t>
      </w:r>
      <w:r>
        <w:rPr>
          <w:rFonts w:hint="default" w:ascii="宋体" w:hAnsi="宋体" w:eastAsia="宋体" w:cs="宋体"/>
          <w:b w:val="0"/>
          <w:bCs w:val="0"/>
          <w:color w:val="auto"/>
          <w:kern w:val="2"/>
          <w:sz w:val="21"/>
          <w:szCs w:val="21"/>
          <w:highlight w:val="none"/>
          <w:lang w:val="en-US" w:eastAsia="zh-CN"/>
        </w:rPr>
        <w:t>，并对标准文稿等提出相应修改意见</w:t>
      </w:r>
      <w:r>
        <w:rPr>
          <w:rFonts w:hint="eastAsia" w:ascii="宋体" w:hAnsi="宋体" w:eastAsia="宋体" w:cs="宋体"/>
          <w:b w:val="0"/>
          <w:bCs w:val="0"/>
          <w:color w:val="auto"/>
          <w:kern w:val="2"/>
          <w:sz w:val="21"/>
          <w:szCs w:val="21"/>
          <w:highlight w:val="none"/>
          <w:lang w:val="en-US" w:eastAsia="zh-CN"/>
        </w:rPr>
        <w:t>，分工见表1。</w:t>
      </w:r>
    </w:p>
    <w:p>
      <w:pPr>
        <w:pStyle w:val="58"/>
        <w:keepNext w:val="0"/>
        <w:keepLines w:val="0"/>
        <w:pageBreakBefore w:val="0"/>
        <w:widowControl/>
        <w:kinsoku/>
        <w:wordWrap/>
        <w:overflowPunct/>
        <w:topLinePunct w:val="0"/>
        <w:bidi w:val="0"/>
        <w:adjustRightInd w:val="0"/>
        <w:snapToGrid w:val="0"/>
        <w:ind w:left="0" w:leftChars="0" w:firstLine="0" w:firstLineChars="0"/>
        <w:jc w:val="center"/>
        <w:textAlignment w:val="auto"/>
        <w:rPr>
          <w:rFonts w:hint="default"/>
          <w:lang w:val="en-US" w:eastAsia="zh-CN"/>
        </w:rPr>
      </w:pPr>
      <w:r>
        <w:rPr>
          <w:rFonts w:hint="eastAsia"/>
          <w:lang w:eastAsia="zh-CN"/>
        </w:rPr>
        <w:t>表</w:t>
      </w:r>
      <w:r>
        <w:rPr>
          <w:rFonts w:hint="eastAsia"/>
          <w:lang w:val="en-US" w:eastAsia="zh-CN"/>
        </w:rPr>
        <w:t>1 各单位分工表</w:t>
      </w:r>
    </w:p>
    <w:tbl>
      <w:tblPr>
        <w:tblStyle w:val="42"/>
        <w:tblpPr w:leftFromText="180" w:rightFromText="180" w:vertAnchor="text" w:horzAnchor="page" w:tblpXSpec="center" w:tblpY="245"/>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6"/>
        <w:gridCol w:w="958"/>
        <w:gridCol w:w="1314"/>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pct"/>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单位</w:t>
            </w:r>
          </w:p>
        </w:tc>
        <w:tc>
          <w:tcPr>
            <w:tcW w:w="500" w:type="pct"/>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人员</w:t>
            </w:r>
          </w:p>
        </w:tc>
        <w:tc>
          <w:tcPr>
            <w:tcW w:w="686" w:type="pct"/>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职称</w:t>
            </w:r>
          </w:p>
        </w:tc>
        <w:tc>
          <w:tcPr>
            <w:tcW w:w="2665" w:type="pct"/>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工作分工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宋体" w:hAnsi="宋体" w:cs="宋体"/>
                <w:b w:val="0"/>
                <w:bCs w:val="0"/>
                <w:color w:val="auto"/>
                <w:kern w:val="2"/>
                <w:sz w:val="21"/>
                <w:szCs w:val="21"/>
                <w:lang w:val="en-US" w:eastAsia="zh-CN"/>
              </w:rPr>
              <w:t>国标（北京）检验认证有限公司</w:t>
            </w:r>
          </w:p>
        </w:tc>
        <w:tc>
          <w:tcPr>
            <w:tcW w:w="500"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钟赢葆</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张文梅</w:t>
            </w:r>
          </w:p>
        </w:tc>
        <w:tc>
          <w:tcPr>
            <w:tcW w:w="68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cs="Times New Roman"/>
                <w:b w:val="0"/>
                <w:bCs w:val="0"/>
                <w:color w:val="auto"/>
                <w:kern w:val="2"/>
                <w:sz w:val="21"/>
                <w:szCs w:val="21"/>
                <w:lang w:val="en-US" w:eastAsia="zh-CN"/>
              </w:rPr>
            </w:pPr>
            <w:r>
              <w:rPr>
                <w:rFonts w:hint="default" w:ascii="Times New Roman" w:hAnsi="Times New Roman" w:cs="Times New Roman"/>
                <w:b w:val="0"/>
                <w:bCs w:val="0"/>
                <w:color w:val="auto"/>
                <w:kern w:val="2"/>
                <w:sz w:val="21"/>
                <w:szCs w:val="21"/>
                <w:lang w:val="en-US" w:eastAsia="zh-CN"/>
              </w:rPr>
              <w:t>工程师</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cs="Times New Roman"/>
                <w:b w:val="0"/>
                <w:bCs w:val="0"/>
                <w:color w:val="auto"/>
                <w:kern w:val="2"/>
                <w:sz w:val="21"/>
                <w:szCs w:val="21"/>
                <w:lang w:val="en-US" w:eastAsia="zh-CN"/>
              </w:rPr>
            </w:pPr>
            <w:r>
              <w:rPr>
                <w:rFonts w:hint="eastAsia" w:ascii="Times New Roman" w:hAnsi="Times New Roman" w:cs="Times New Roman"/>
                <w:b w:val="0"/>
                <w:bCs w:val="0"/>
                <w:color w:val="auto"/>
                <w:kern w:val="2"/>
                <w:sz w:val="21"/>
                <w:szCs w:val="21"/>
                <w:lang w:val="en-US" w:eastAsia="zh-CN"/>
              </w:rPr>
              <w:t>高级工程师</w:t>
            </w:r>
          </w:p>
        </w:tc>
        <w:tc>
          <w:tcPr>
            <w:tcW w:w="26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规范</w:t>
            </w:r>
            <w:r>
              <w:rPr>
                <w:rFonts w:hint="eastAsia" w:ascii="Times New Roman" w:hAnsi="Times New Roman" w:cs="Times New Roman"/>
                <w:b w:val="0"/>
                <w:color w:val="auto"/>
                <w:kern w:val="2"/>
                <w:sz w:val="21"/>
                <w:szCs w:val="21"/>
                <w:vertAlign w:val="baseline"/>
                <w:lang w:val="en-US" w:eastAsia="zh-CN" w:bidi="ar-SA"/>
              </w:rPr>
              <w:t>起草编制，</w:t>
            </w:r>
            <w:r>
              <w:rPr>
                <w:rFonts w:hint="eastAsia" w:cs="Times New Roman"/>
                <w:b w:val="0"/>
                <w:color w:val="auto"/>
                <w:kern w:val="2"/>
                <w:sz w:val="21"/>
                <w:szCs w:val="21"/>
                <w:vertAlign w:val="baseline"/>
                <w:lang w:val="en-US" w:eastAsia="zh-CN" w:bidi="ar-SA"/>
              </w:rPr>
              <w:t>试</w:t>
            </w:r>
            <w:r>
              <w:rPr>
                <w:rFonts w:hint="eastAsia" w:ascii="Times New Roman" w:hAnsi="Times New Roman" w:cs="Times New Roman"/>
                <w:b w:val="0"/>
                <w:color w:val="auto"/>
                <w:kern w:val="2"/>
                <w:sz w:val="21"/>
                <w:szCs w:val="21"/>
                <w:vertAlign w:val="baseline"/>
                <w:lang w:val="en-US" w:eastAsia="zh-CN" w:bidi="ar-SA"/>
              </w:rPr>
              <w:t>验方案编订，实验数据分析</w:t>
            </w:r>
            <w:r>
              <w:rPr>
                <w:rFonts w:hint="eastAsia" w:cs="Times New Roman"/>
                <w:b w:val="0"/>
                <w:color w:val="auto"/>
                <w:kern w:val="2"/>
                <w:sz w:val="21"/>
                <w:szCs w:val="21"/>
                <w:vertAlign w:val="baseline"/>
                <w:lang w:val="en-US" w:eastAsia="zh-CN" w:bidi="ar-SA"/>
              </w:rPr>
              <w:t>，编制说明的撰写工作，会议纪要整理及规范的完善。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highlight w:val="yellow"/>
                <w:lang w:val="en-US" w:eastAsia="zh-CN" w:bidi="ar-SA"/>
              </w:rPr>
            </w:pPr>
            <w:r>
              <w:rPr>
                <w:rFonts w:hint="eastAsia"/>
                <w:b w:val="0"/>
                <w:bCs w:val="0"/>
                <w:szCs w:val="21"/>
                <w:lang w:val="en-US" w:eastAsia="zh-CN"/>
              </w:rPr>
              <w:t>北京航空航天大学</w:t>
            </w:r>
          </w:p>
        </w:tc>
        <w:tc>
          <w:tcPr>
            <w:tcW w:w="500"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金雨佳</w:t>
            </w:r>
          </w:p>
        </w:tc>
        <w:tc>
          <w:tcPr>
            <w:tcW w:w="68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p>
        </w:tc>
        <w:tc>
          <w:tcPr>
            <w:tcW w:w="26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ascii="Times New Roman" w:hAnsi="Times New Roman" w:cs="Times New Roman"/>
                <w:b w:val="0"/>
                <w:color w:val="auto"/>
                <w:kern w:val="2"/>
                <w:sz w:val="21"/>
                <w:szCs w:val="21"/>
                <w:highlight w:val="yellow"/>
                <w:vertAlign w:val="baseline"/>
                <w:lang w:val="en-US" w:eastAsia="zh-CN" w:bidi="ar-SA"/>
              </w:rPr>
            </w:pPr>
            <w:r>
              <w:rPr>
                <w:rFonts w:hint="eastAsia" w:cs="Times New Roman"/>
                <w:b w:val="0"/>
                <w:color w:val="auto"/>
                <w:kern w:val="2"/>
                <w:sz w:val="21"/>
                <w:szCs w:val="21"/>
                <w:vertAlign w:val="baseline"/>
                <w:lang w:val="en-US" w:eastAsia="zh-CN" w:bidi="ar-SA"/>
              </w:rPr>
              <w:t>开展试验，规范</w:t>
            </w:r>
            <w:r>
              <w:rPr>
                <w:rFonts w:hint="eastAsia" w:ascii="Times New Roman" w:hAnsi="Times New Roman" w:cs="Times New Roman"/>
                <w:b w:val="0"/>
                <w:color w:val="auto"/>
                <w:kern w:val="2"/>
                <w:sz w:val="21"/>
                <w:szCs w:val="21"/>
                <w:vertAlign w:val="baseline"/>
                <w:lang w:val="en-US" w:eastAsia="zh-CN" w:bidi="ar-SA"/>
              </w:rPr>
              <w:t>实验数据分析</w:t>
            </w:r>
            <w:r>
              <w:rPr>
                <w:rFonts w:hint="eastAsia" w:cs="Times New Roman"/>
                <w:b w:val="0"/>
                <w:color w:val="auto"/>
                <w:kern w:val="2"/>
                <w:sz w:val="21"/>
                <w:szCs w:val="21"/>
                <w:vertAlign w:val="baseline"/>
                <w:lang w:val="en-US" w:eastAsia="zh-CN" w:bidi="ar-SA"/>
              </w:rPr>
              <w:t>及讨论，内容审阅并提出修改意见，会议纪要整理。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ascii="宋体" w:hAnsi="宋体" w:cs="宋体"/>
                <w:b w:val="0"/>
                <w:bCs w:val="0"/>
                <w:color w:val="auto"/>
                <w:kern w:val="2"/>
                <w:sz w:val="21"/>
                <w:szCs w:val="21"/>
                <w:lang w:val="en-US" w:eastAsia="zh-CN"/>
              </w:rPr>
            </w:pPr>
            <w:r>
              <w:rPr>
                <w:rFonts w:hint="eastAsia"/>
                <w:b w:val="0"/>
                <w:bCs w:val="0"/>
                <w:szCs w:val="21"/>
                <w:lang w:val="en-US" w:eastAsia="zh-CN"/>
              </w:rPr>
              <w:t>耐驰科学仪器商贸（上海）有限公司</w:t>
            </w:r>
          </w:p>
        </w:tc>
        <w:tc>
          <w:tcPr>
            <w:tcW w:w="500"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杨阳</w:t>
            </w:r>
          </w:p>
        </w:tc>
        <w:tc>
          <w:tcPr>
            <w:tcW w:w="68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p>
        </w:tc>
        <w:tc>
          <w:tcPr>
            <w:tcW w:w="26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开展试验，规范</w:t>
            </w:r>
            <w:r>
              <w:rPr>
                <w:rFonts w:hint="eastAsia" w:ascii="Times New Roman" w:hAnsi="Times New Roman" w:cs="Times New Roman"/>
                <w:b w:val="0"/>
                <w:color w:val="auto"/>
                <w:kern w:val="2"/>
                <w:sz w:val="21"/>
                <w:szCs w:val="21"/>
                <w:vertAlign w:val="baseline"/>
                <w:lang w:val="en-US" w:eastAsia="zh-CN" w:bidi="ar-SA"/>
              </w:rPr>
              <w:t>实验数据分析</w:t>
            </w:r>
            <w:r>
              <w:rPr>
                <w:rFonts w:hint="eastAsia" w:cs="Times New Roman"/>
                <w:b w:val="0"/>
                <w:color w:val="auto"/>
                <w:kern w:val="2"/>
                <w:sz w:val="21"/>
                <w:szCs w:val="21"/>
                <w:vertAlign w:val="baseline"/>
                <w:lang w:val="en-US" w:eastAsia="zh-CN" w:bidi="ar-SA"/>
              </w:rPr>
              <w:t>及讨论，内容审阅并提出修改意见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147"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eastAsia" w:ascii="宋体" w:hAnsi="宋体" w:cs="宋体"/>
                <w:b w:val="0"/>
                <w:bCs w:val="0"/>
                <w:color w:val="auto"/>
                <w:kern w:val="2"/>
                <w:sz w:val="21"/>
                <w:szCs w:val="21"/>
                <w:lang w:val="en-US" w:eastAsia="zh-CN"/>
              </w:rPr>
              <w:t>中国科学院宁波材料技术与工程研究所</w:t>
            </w:r>
          </w:p>
        </w:tc>
        <w:tc>
          <w:tcPr>
            <w:tcW w:w="500"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俞力栋</w:t>
            </w:r>
          </w:p>
        </w:tc>
        <w:tc>
          <w:tcPr>
            <w:tcW w:w="68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p>
        </w:tc>
        <w:tc>
          <w:tcPr>
            <w:tcW w:w="26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ascii="Times New Roman" w:hAnsi="Times New Roman"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开展试验，规范</w:t>
            </w:r>
            <w:r>
              <w:rPr>
                <w:rFonts w:hint="eastAsia" w:ascii="Times New Roman" w:hAnsi="Times New Roman" w:cs="Times New Roman"/>
                <w:b w:val="0"/>
                <w:color w:val="auto"/>
                <w:kern w:val="2"/>
                <w:sz w:val="21"/>
                <w:szCs w:val="21"/>
                <w:vertAlign w:val="baseline"/>
                <w:lang w:val="en-US" w:eastAsia="zh-CN" w:bidi="ar-SA"/>
              </w:rPr>
              <w:t>实验数据分析</w:t>
            </w:r>
            <w:r>
              <w:rPr>
                <w:rFonts w:hint="eastAsia" w:cs="Times New Roman"/>
                <w:b w:val="0"/>
                <w:color w:val="auto"/>
                <w:kern w:val="2"/>
                <w:sz w:val="21"/>
                <w:szCs w:val="21"/>
                <w:vertAlign w:val="baseline"/>
                <w:lang w:val="en-US" w:eastAsia="zh-CN" w:bidi="ar-SA"/>
              </w:rPr>
              <w:t>及讨论，内容审阅并提出修改意见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147" w:type="pct"/>
            <w:noWrap w:val="0"/>
            <w:vAlign w:val="center"/>
          </w:tcPr>
          <w:p>
            <w:pPr>
              <w:pStyle w:val="59"/>
              <w:keepNext w:val="0"/>
              <w:keepLines w:val="0"/>
              <w:pageBreakBefore w:val="0"/>
              <w:numPr>
                <w:ilvl w:val="0"/>
                <w:numId w:val="0"/>
              </w:numPr>
              <w:kinsoku/>
              <w:wordWrap/>
              <w:overflowPunct/>
              <w:topLinePunct w:val="0"/>
              <w:autoSpaceDE/>
              <w:autoSpaceDN/>
              <w:bidi w:val="0"/>
              <w:adjustRightInd w:val="0"/>
              <w:snapToGrid w:val="0"/>
              <w:spacing w:before="156" w:beforeLines="50" w:after="156" w:afterLines="50"/>
              <w:contextualSpacing/>
              <w:jc w:val="center"/>
              <w:textAlignment w:val="auto"/>
              <w:rPr>
                <w:rFonts w:hint="default" w:ascii="Times New Roman" w:hAnsi="Times New Roman" w:eastAsia="宋体" w:cs="Times New Roman"/>
                <w:b w:val="0"/>
                <w:color w:val="auto"/>
                <w:kern w:val="2"/>
                <w:sz w:val="21"/>
                <w:szCs w:val="21"/>
                <w:lang w:val="en-US" w:eastAsia="zh-CN" w:bidi="ar-SA"/>
              </w:rPr>
            </w:pPr>
            <w:r>
              <w:rPr>
                <w:rFonts w:hint="eastAsia" w:ascii="宋体" w:hAnsi="宋体" w:eastAsia="宋体" w:cs="宋体"/>
                <w:b w:val="0"/>
                <w:bCs w:val="0"/>
                <w:color w:val="auto"/>
                <w:spacing w:val="0"/>
                <w:kern w:val="2"/>
                <w:sz w:val="21"/>
                <w:szCs w:val="21"/>
                <w:lang w:val="en-US" w:eastAsia="zh-CN" w:bidi="ar-SA"/>
              </w:rPr>
              <w:t>沃特世科技（上海）有限公司</w:t>
            </w:r>
          </w:p>
        </w:tc>
        <w:tc>
          <w:tcPr>
            <w:tcW w:w="500"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郭艳霜</w:t>
            </w:r>
          </w:p>
        </w:tc>
        <w:tc>
          <w:tcPr>
            <w:tcW w:w="68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p>
        </w:tc>
        <w:tc>
          <w:tcPr>
            <w:tcW w:w="26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ascii="Times New Roman" w:hAnsi="Times New Roman"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开展试验，规范</w:t>
            </w:r>
            <w:r>
              <w:rPr>
                <w:rFonts w:hint="eastAsia" w:ascii="Times New Roman" w:hAnsi="Times New Roman" w:cs="Times New Roman"/>
                <w:b w:val="0"/>
                <w:color w:val="auto"/>
                <w:kern w:val="2"/>
                <w:sz w:val="21"/>
                <w:szCs w:val="21"/>
                <w:vertAlign w:val="baseline"/>
                <w:lang w:val="en-US" w:eastAsia="zh-CN" w:bidi="ar-SA"/>
              </w:rPr>
              <w:t>实验数据分析</w:t>
            </w:r>
            <w:r>
              <w:rPr>
                <w:rFonts w:hint="eastAsia" w:cs="Times New Roman"/>
                <w:b w:val="0"/>
                <w:color w:val="auto"/>
                <w:kern w:val="2"/>
                <w:sz w:val="21"/>
                <w:szCs w:val="21"/>
                <w:vertAlign w:val="baseline"/>
                <w:lang w:val="en-US" w:eastAsia="zh-CN" w:bidi="ar-SA"/>
              </w:rPr>
              <w:t>及讨论，内容审阅并提出修改意见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sz w:val="21"/>
                <w:szCs w:val="21"/>
                <w:highlight w:val="none"/>
                <w:lang w:val="en-US" w:eastAsia="zh-CN"/>
              </w:rPr>
            </w:pPr>
            <w:r>
              <w:rPr>
                <w:rFonts w:hint="eastAsia"/>
                <w:b w:val="0"/>
                <w:bCs w:val="0"/>
                <w:szCs w:val="21"/>
                <w:lang w:val="en-US" w:eastAsia="zh-CN"/>
              </w:rPr>
              <w:t>国合通用（青岛）测试评价有限公司</w:t>
            </w:r>
          </w:p>
        </w:tc>
        <w:tc>
          <w:tcPr>
            <w:tcW w:w="500"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eastAsia="宋体" w:cs="Times New Roman"/>
                <w:b w:val="0"/>
                <w:color w:val="auto"/>
                <w:kern w:val="2"/>
                <w:sz w:val="21"/>
                <w:szCs w:val="21"/>
                <w:vertAlign w:val="baseline"/>
                <w:lang w:val="en-US" w:eastAsia="zh-CN" w:bidi="ar-SA"/>
              </w:rPr>
              <w:t>王世敏</w:t>
            </w:r>
          </w:p>
        </w:tc>
        <w:tc>
          <w:tcPr>
            <w:tcW w:w="68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p>
        </w:tc>
        <w:tc>
          <w:tcPr>
            <w:tcW w:w="26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开展试验，规范</w:t>
            </w:r>
            <w:r>
              <w:rPr>
                <w:rFonts w:hint="eastAsia" w:ascii="Times New Roman" w:hAnsi="Times New Roman" w:cs="Times New Roman"/>
                <w:b w:val="0"/>
                <w:color w:val="auto"/>
                <w:kern w:val="2"/>
                <w:sz w:val="21"/>
                <w:szCs w:val="21"/>
                <w:vertAlign w:val="baseline"/>
                <w:lang w:val="en-US" w:eastAsia="zh-CN" w:bidi="ar-SA"/>
              </w:rPr>
              <w:t>实验数据分析</w:t>
            </w:r>
            <w:r>
              <w:rPr>
                <w:rFonts w:hint="eastAsia" w:cs="Times New Roman"/>
                <w:b w:val="0"/>
                <w:color w:val="auto"/>
                <w:kern w:val="2"/>
                <w:sz w:val="21"/>
                <w:szCs w:val="21"/>
                <w:vertAlign w:val="baseline"/>
                <w:lang w:val="en-US" w:eastAsia="zh-CN" w:bidi="ar-SA"/>
              </w:rPr>
              <w:t>及讨论，内容审阅并提出修改意见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ascii="宋体" w:hAnsi="宋体" w:cs="宋体"/>
                <w:b w:val="0"/>
                <w:bCs w:val="0"/>
                <w:color w:val="auto"/>
                <w:kern w:val="2"/>
                <w:sz w:val="21"/>
                <w:szCs w:val="21"/>
                <w:lang w:val="en-US" w:eastAsia="zh-CN"/>
              </w:rPr>
            </w:pPr>
            <w:r>
              <w:rPr>
                <w:rFonts w:hint="eastAsia"/>
                <w:b w:val="0"/>
                <w:bCs w:val="0"/>
                <w:szCs w:val="21"/>
                <w:lang w:val="en-US" w:eastAsia="zh-CN"/>
              </w:rPr>
              <w:t>中国船舶集团有限公司第七二五研究所</w:t>
            </w:r>
          </w:p>
        </w:tc>
        <w:tc>
          <w:tcPr>
            <w:tcW w:w="500"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eastAsia="宋体" w:cs="Times New Roman"/>
                <w:b w:val="0"/>
                <w:color w:val="auto"/>
                <w:kern w:val="2"/>
                <w:sz w:val="21"/>
                <w:szCs w:val="21"/>
                <w:vertAlign w:val="baseline"/>
                <w:lang w:val="en-US" w:eastAsia="zh-CN" w:bidi="ar-SA"/>
              </w:rPr>
              <w:t>曹梦圆</w:t>
            </w:r>
          </w:p>
        </w:tc>
        <w:tc>
          <w:tcPr>
            <w:tcW w:w="68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p>
        </w:tc>
        <w:tc>
          <w:tcPr>
            <w:tcW w:w="26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pct"/>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ascii="宋体" w:hAnsi="宋体" w:eastAsia="宋体" w:cs="宋体"/>
                <w:b w:val="0"/>
                <w:bCs w:val="0"/>
                <w:color w:val="auto"/>
                <w:kern w:val="2"/>
                <w:sz w:val="21"/>
                <w:szCs w:val="21"/>
                <w:lang w:val="en-US" w:eastAsia="zh-CN" w:bidi="ar-SA"/>
              </w:rPr>
            </w:pPr>
            <w:r>
              <w:rPr>
                <w:rFonts w:hint="eastAsia"/>
                <w:b w:val="0"/>
                <w:bCs w:val="0"/>
                <w:szCs w:val="21"/>
                <w:lang w:val="en-US" w:eastAsia="zh-CN"/>
              </w:rPr>
              <w:t>中国汽车技术研究中心有限公司</w:t>
            </w:r>
          </w:p>
        </w:tc>
        <w:tc>
          <w:tcPr>
            <w:tcW w:w="500" w:type="pct"/>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default" w:ascii="宋体" w:hAnsi="宋体" w:eastAsia="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孟宪明</w:t>
            </w:r>
          </w:p>
        </w:tc>
        <w:tc>
          <w:tcPr>
            <w:tcW w:w="686" w:type="pct"/>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cs="Times New Roman"/>
                <w:b w:val="0"/>
                <w:color w:val="auto"/>
                <w:kern w:val="2"/>
                <w:sz w:val="21"/>
                <w:szCs w:val="21"/>
                <w:vertAlign w:val="baseline"/>
                <w:lang w:val="en-US" w:eastAsia="zh-CN" w:bidi="ar-SA"/>
              </w:rPr>
            </w:pPr>
          </w:p>
        </w:tc>
        <w:tc>
          <w:tcPr>
            <w:tcW w:w="2665" w:type="pct"/>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right="0" w:rightChars="0"/>
              <w:jc w:val="center"/>
              <w:textAlignment w:val="auto"/>
              <w:outlineLvl w:val="9"/>
              <w:rPr>
                <w:rFonts w:hint="eastAsia" w:ascii="Times New Roman" w:hAnsi="Times New Roman" w:eastAsia="宋体"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w:t>
            </w:r>
          </w:p>
        </w:tc>
      </w:tr>
      <w:bookmarkEnd w:id="7"/>
      <w:bookmarkEnd w:id="8"/>
    </w:tbl>
    <w:p>
      <w:pPr>
        <w:pStyle w:val="4"/>
        <w:pageBreakBefore w:val="0"/>
        <w:kinsoku/>
        <w:wordWrap/>
        <w:overflowPunct/>
        <w:topLinePunct w:val="0"/>
        <w:autoSpaceDE/>
        <w:autoSpaceDN/>
        <w:bidi w:val="0"/>
        <w:adjustRightInd w:val="0"/>
        <w:snapToGrid w:val="0"/>
        <w:spacing w:before="156" w:after="156"/>
        <w:textAlignment w:val="auto"/>
        <w:rPr>
          <w:b w:val="0"/>
          <w:bCs w:val="0"/>
        </w:rPr>
      </w:pPr>
      <w:bookmarkStart w:id="9" w:name="_Toc464728913"/>
      <w:bookmarkStart w:id="10" w:name="_Toc462884357"/>
      <w:r>
        <w:rPr>
          <w:rFonts w:hint="eastAsia"/>
          <w:b w:val="0"/>
          <w:bCs w:val="0"/>
          <w:lang w:val="en-US" w:eastAsia="zh-CN"/>
        </w:rPr>
        <w:t>4.</w:t>
      </w:r>
      <w:r>
        <w:rPr>
          <w:rFonts w:hint="eastAsia"/>
          <w:b w:val="0"/>
          <w:bCs w:val="0"/>
        </w:rPr>
        <w:t>主要工作过程</w:t>
      </w:r>
      <w:bookmarkEnd w:id="9"/>
      <w:bookmarkEnd w:id="10"/>
    </w:p>
    <w:p>
      <w:pPr>
        <w:pageBreakBefore w:val="0"/>
        <w:kinsoku/>
        <w:wordWrap/>
        <w:overflowPunct/>
        <w:topLinePunct w:val="0"/>
        <w:autoSpaceDE/>
        <w:autoSpaceDN/>
        <w:bidi w:val="0"/>
        <w:adjustRightInd w:val="0"/>
        <w:snapToGrid w:val="0"/>
        <w:spacing w:line="400" w:lineRule="exact"/>
        <w:ind w:firstLine="420" w:firstLineChars="200"/>
        <w:textAlignment w:val="auto"/>
        <w:rPr>
          <w:b w:val="0"/>
          <w:bCs w:val="0"/>
        </w:rPr>
      </w:pPr>
      <w:bookmarkStart w:id="11" w:name="_Hlk134448643"/>
      <w:r>
        <w:rPr>
          <w:rFonts w:hint="eastAsia" w:ascii="宋体" w:hAnsi="宋体" w:cs="宋体"/>
          <w:b w:val="0"/>
          <w:bCs w:val="0"/>
          <w:color w:val="auto"/>
          <w:kern w:val="2"/>
          <w:sz w:val="21"/>
          <w:szCs w:val="21"/>
          <w:lang w:val="en-US" w:eastAsia="zh-CN"/>
        </w:rPr>
        <w:t>国标（北京）检验认证有限公司</w:t>
      </w:r>
      <w:r>
        <w:rPr>
          <w:rFonts w:hint="eastAsia"/>
          <w:b w:val="0"/>
          <w:bCs w:val="0"/>
          <w:lang w:val="en-US" w:eastAsia="zh-CN"/>
        </w:rPr>
        <w:t>于2025年7月</w:t>
      </w:r>
      <w:r>
        <w:rPr>
          <w:rFonts w:hint="eastAsia"/>
          <w:b w:val="0"/>
          <w:bCs w:val="0"/>
        </w:rPr>
        <w:t>接到有色金属行业计量技术委员会转发</w:t>
      </w:r>
      <w:r>
        <w:rPr>
          <w:rFonts w:hint="eastAsia"/>
          <w:b w:val="0"/>
          <w:bCs w:val="0"/>
          <w:lang w:val="en-US" w:eastAsia="zh-CN"/>
        </w:rPr>
        <w:t>的</w:t>
      </w:r>
      <w:r>
        <w:rPr>
          <w:rFonts w:hint="eastAsia"/>
          <w:b w:val="0"/>
          <w:bCs w:val="0"/>
        </w:rPr>
        <w:t>下达的制定任务后，成立了计量规范编制组，对计量技术规范编写工作进行了部署和分工，制定了</w:t>
      </w:r>
      <w:r>
        <w:rPr>
          <w:rFonts w:hint="eastAsia"/>
          <w:b w:val="0"/>
          <w:bCs w:val="0"/>
          <w:lang w:val="en-US" w:eastAsia="zh-CN"/>
        </w:rPr>
        <w:t>本规范的</w:t>
      </w:r>
      <w:r>
        <w:rPr>
          <w:rFonts w:hint="eastAsia"/>
          <w:b w:val="0"/>
          <w:bCs w:val="0"/>
        </w:rPr>
        <w:t>制定原则及工作计划。本项目主要工作过程经过了以下几个阶段：</w:t>
      </w:r>
    </w:p>
    <w:p>
      <w:pPr>
        <w:pageBreakBefore w:val="0"/>
        <w:kinsoku/>
        <w:wordWrap/>
        <w:overflowPunct/>
        <w:topLinePunct w:val="0"/>
        <w:autoSpaceDE/>
        <w:autoSpaceDN/>
        <w:bidi w:val="0"/>
        <w:adjustRightInd w:val="0"/>
        <w:snapToGrid w:val="0"/>
        <w:spacing w:line="400" w:lineRule="exact"/>
        <w:ind w:firstLine="420" w:firstLineChars="200"/>
        <w:textAlignment w:val="auto"/>
        <w:rPr>
          <w:b w:val="0"/>
          <w:bCs w:val="0"/>
        </w:rPr>
      </w:pPr>
      <w:r>
        <w:rPr>
          <w:b w:val="0"/>
          <w:bCs w:val="0"/>
        </w:rPr>
        <w:t>1</w:t>
      </w:r>
      <w:r>
        <w:rPr>
          <w:rFonts w:hint="eastAsia"/>
          <w:b w:val="0"/>
          <w:bCs w:val="0"/>
        </w:rPr>
        <w:t>）</w:t>
      </w:r>
      <w:r>
        <w:rPr>
          <w:b w:val="0"/>
          <w:bCs w:val="0"/>
        </w:rPr>
        <w:t>20</w:t>
      </w:r>
      <w:r>
        <w:rPr>
          <w:rFonts w:hint="eastAsia"/>
          <w:b w:val="0"/>
          <w:bCs w:val="0"/>
        </w:rPr>
        <w:t>2</w:t>
      </w:r>
      <w:r>
        <w:rPr>
          <w:rFonts w:hint="eastAsia"/>
          <w:b w:val="0"/>
          <w:bCs w:val="0"/>
          <w:lang w:val="en-US" w:eastAsia="zh-CN"/>
        </w:rPr>
        <w:t>5</w:t>
      </w:r>
      <w:r>
        <w:rPr>
          <w:rFonts w:hint="eastAsia"/>
          <w:b w:val="0"/>
          <w:bCs w:val="0"/>
        </w:rPr>
        <w:t>年</w:t>
      </w:r>
      <w:r>
        <w:rPr>
          <w:rFonts w:hint="eastAsia"/>
          <w:b w:val="0"/>
          <w:bCs w:val="0"/>
          <w:lang w:val="en-US" w:eastAsia="zh-CN"/>
        </w:rPr>
        <w:t>9</w:t>
      </w:r>
      <w:r>
        <w:rPr>
          <w:rFonts w:hint="eastAsia"/>
          <w:b w:val="0"/>
          <w:bCs w:val="0"/>
        </w:rPr>
        <w:t>月成立了计量规范编制组，明确了编制组成员各自的工作内容和任务。</w:t>
      </w:r>
    </w:p>
    <w:p>
      <w:pPr>
        <w:pageBreakBefore w:val="0"/>
        <w:kinsoku/>
        <w:wordWrap/>
        <w:overflowPunct/>
        <w:topLinePunct w:val="0"/>
        <w:autoSpaceDE/>
        <w:autoSpaceDN/>
        <w:bidi w:val="0"/>
        <w:adjustRightInd w:val="0"/>
        <w:snapToGrid w:val="0"/>
        <w:spacing w:line="400" w:lineRule="exact"/>
        <w:ind w:firstLine="420" w:firstLineChars="200"/>
        <w:textAlignment w:val="auto"/>
        <w:rPr>
          <w:b w:val="0"/>
          <w:bCs w:val="0"/>
        </w:rPr>
      </w:pPr>
      <w:r>
        <w:rPr>
          <w:b w:val="0"/>
          <w:bCs w:val="0"/>
        </w:rPr>
        <w:t>2</w:t>
      </w:r>
      <w:r>
        <w:rPr>
          <w:rFonts w:hint="eastAsia"/>
          <w:b w:val="0"/>
          <w:bCs w:val="0"/>
        </w:rPr>
        <w:t>）</w:t>
      </w:r>
      <w:r>
        <w:rPr>
          <w:b w:val="0"/>
          <w:bCs w:val="0"/>
        </w:rPr>
        <w:t>20</w:t>
      </w:r>
      <w:r>
        <w:rPr>
          <w:rFonts w:hint="eastAsia"/>
          <w:b w:val="0"/>
          <w:bCs w:val="0"/>
        </w:rPr>
        <w:t>2</w:t>
      </w:r>
      <w:r>
        <w:rPr>
          <w:rFonts w:hint="eastAsia"/>
          <w:b w:val="0"/>
          <w:bCs w:val="0"/>
          <w:lang w:val="en-US" w:eastAsia="zh-CN"/>
        </w:rPr>
        <w:t>5</w:t>
      </w:r>
      <w:r>
        <w:rPr>
          <w:rFonts w:hint="eastAsia"/>
          <w:b w:val="0"/>
          <w:bCs w:val="0"/>
        </w:rPr>
        <w:t>年</w:t>
      </w:r>
      <w:r>
        <w:rPr>
          <w:rFonts w:hint="eastAsia"/>
          <w:b w:val="0"/>
          <w:bCs w:val="0"/>
          <w:lang w:val="en-US" w:eastAsia="zh-CN"/>
        </w:rPr>
        <w:t>10</w:t>
      </w:r>
      <w:r>
        <w:rPr>
          <w:rFonts w:hint="eastAsia"/>
          <w:b w:val="0"/>
          <w:bCs w:val="0"/>
        </w:rPr>
        <w:t>月～202</w:t>
      </w:r>
      <w:r>
        <w:rPr>
          <w:rFonts w:hint="eastAsia"/>
          <w:b w:val="0"/>
          <w:bCs w:val="0"/>
          <w:lang w:val="en-US" w:eastAsia="zh-CN"/>
        </w:rPr>
        <w:t>6</w:t>
      </w:r>
      <w:r>
        <w:rPr>
          <w:rFonts w:hint="eastAsia"/>
          <w:b w:val="0"/>
          <w:bCs w:val="0"/>
        </w:rPr>
        <w:t>年</w:t>
      </w:r>
      <w:r>
        <w:rPr>
          <w:rFonts w:hint="eastAsia"/>
          <w:b w:val="0"/>
          <w:bCs w:val="0"/>
          <w:lang w:val="en-US" w:eastAsia="zh-CN"/>
        </w:rPr>
        <w:t>1</w:t>
      </w:r>
      <w:r>
        <w:rPr>
          <w:rFonts w:hint="eastAsia"/>
          <w:b w:val="0"/>
          <w:bCs w:val="0"/>
        </w:rPr>
        <w:t>月</w:t>
      </w:r>
      <w:r>
        <w:rPr>
          <w:rFonts w:hint="eastAsia"/>
          <w:b w:val="0"/>
          <w:bCs w:val="0"/>
          <w:lang w:eastAsia="zh-CN"/>
        </w:rPr>
        <w:t>，</w:t>
      </w:r>
      <w:r>
        <w:rPr>
          <w:rFonts w:hint="eastAsia"/>
          <w:b w:val="0"/>
          <w:bCs w:val="0"/>
          <w:lang w:val="en-US" w:eastAsia="zh-CN"/>
        </w:rPr>
        <w:t>计量规范</w:t>
      </w:r>
      <w:r>
        <w:rPr>
          <w:rFonts w:hint="eastAsia"/>
          <w:b w:val="0"/>
          <w:bCs w:val="0"/>
        </w:rPr>
        <w:t>编制组成员对</w:t>
      </w:r>
      <w:r>
        <w:rPr>
          <w:rFonts w:hint="eastAsia"/>
          <w:b w:val="0"/>
          <w:bCs w:val="0"/>
          <w:lang w:eastAsia="zh-CN"/>
        </w:rPr>
        <w:t>《</w:t>
      </w:r>
      <w:r>
        <w:rPr>
          <w:rFonts w:hint="eastAsia"/>
          <w:b w:val="0"/>
          <w:bCs w:val="0"/>
          <w:lang w:val="en-US" w:eastAsia="zh-CN"/>
        </w:rPr>
        <w:t>动态热机械分析仪</w:t>
      </w:r>
      <w:r>
        <w:rPr>
          <w:rFonts w:hint="eastAsia"/>
          <w:b w:val="0"/>
          <w:bCs w:val="0"/>
        </w:rPr>
        <w:t>校准规范</w:t>
      </w:r>
      <w:r>
        <w:rPr>
          <w:rFonts w:hint="eastAsia"/>
          <w:b w:val="0"/>
          <w:bCs w:val="0"/>
          <w:lang w:eastAsia="zh-CN"/>
        </w:rPr>
        <w:t>》</w:t>
      </w:r>
      <w:r>
        <w:rPr>
          <w:rFonts w:hint="eastAsia"/>
          <w:b w:val="0"/>
          <w:bCs w:val="0"/>
        </w:rPr>
        <w:t>中的计量特性及校准方法进行了讨论，确定了校准项目和方法，在</w:t>
      </w:r>
      <w:r>
        <w:rPr>
          <w:b w:val="0"/>
          <w:bCs w:val="0"/>
        </w:rPr>
        <w:t>202</w:t>
      </w:r>
      <w:r>
        <w:rPr>
          <w:rFonts w:hint="eastAsia"/>
          <w:b w:val="0"/>
          <w:bCs w:val="0"/>
          <w:lang w:val="en-US" w:eastAsia="zh-CN"/>
        </w:rPr>
        <w:t>6</w:t>
      </w:r>
      <w:r>
        <w:rPr>
          <w:rFonts w:hint="eastAsia"/>
          <w:b w:val="0"/>
          <w:bCs w:val="0"/>
        </w:rPr>
        <w:t>年</w:t>
      </w:r>
      <w:r>
        <w:rPr>
          <w:rFonts w:hint="eastAsia"/>
          <w:b w:val="0"/>
          <w:bCs w:val="0"/>
          <w:lang w:val="en-US" w:eastAsia="zh-CN"/>
        </w:rPr>
        <w:t>1</w:t>
      </w:r>
      <w:r>
        <w:rPr>
          <w:rFonts w:hint="eastAsia"/>
          <w:b w:val="0"/>
          <w:bCs w:val="0"/>
        </w:rPr>
        <w:t>月形成了计量规范讨论稿。</w:t>
      </w:r>
    </w:p>
    <w:p>
      <w:pPr>
        <w:pageBreakBefore w:val="0"/>
        <w:kinsoku/>
        <w:wordWrap/>
        <w:overflowPunct/>
        <w:topLinePunct w:val="0"/>
        <w:autoSpaceDE/>
        <w:autoSpaceDN/>
        <w:bidi w:val="0"/>
        <w:adjustRightInd w:val="0"/>
        <w:snapToGrid w:val="0"/>
        <w:spacing w:line="400" w:lineRule="exact"/>
        <w:ind w:firstLine="420" w:firstLineChars="200"/>
        <w:textAlignment w:val="auto"/>
        <w:rPr>
          <w:rFonts w:hint="eastAsia"/>
          <w:b w:val="0"/>
          <w:bCs w:val="0"/>
          <w:szCs w:val="21"/>
          <w:lang w:eastAsia="zh-CN"/>
        </w:rPr>
      </w:pPr>
      <w:r>
        <w:rPr>
          <w:rFonts w:hint="eastAsia"/>
          <w:b w:val="0"/>
          <w:bCs w:val="0"/>
        </w:rPr>
        <w:t>3）202</w:t>
      </w:r>
      <w:r>
        <w:rPr>
          <w:rFonts w:hint="eastAsia"/>
          <w:b w:val="0"/>
          <w:bCs w:val="0"/>
          <w:lang w:val="en-US" w:eastAsia="zh-CN"/>
        </w:rPr>
        <w:t>6</w:t>
      </w:r>
      <w:r>
        <w:rPr>
          <w:rFonts w:hint="eastAsia"/>
          <w:b w:val="0"/>
          <w:bCs w:val="0"/>
        </w:rPr>
        <w:t>年</w:t>
      </w:r>
      <w:r>
        <w:rPr>
          <w:rFonts w:hint="eastAsia"/>
          <w:b w:val="0"/>
          <w:bCs w:val="0"/>
          <w:lang w:val="en-US" w:eastAsia="zh-CN"/>
        </w:rPr>
        <w:t>1</w:t>
      </w:r>
      <w:r>
        <w:rPr>
          <w:rFonts w:hint="eastAsia"/>
          <w:b w:val="0"/>
          <w:bCs w:val="0"/>
        </w:rPr>
        <w:t>月</w:t>
      </w:r>
      <w:r>
        <w:rPr>
          <w:rFonts w:hint="eastAsia"/>
          <w:b w:val="0"/>
          <w:bCs w:val="0"/>
          <w:lang w:val="en-US" w:eastAsia="zh-CN"/>
        </w:rPr>
        <w:t>22</w:t>
      </w:r>
      <w:r>
        <w:rPr>
          <w:rFonts w:hint="eastAsia"/>
          <w:b w:val="0"/>
          <w:bCs w:val="0"/>
        </w:rPr>
        <w:t>日~</w:t>
      </w:r>
      <w:r>
        <w:rPr>
          <w:rFonts w:hint="eastAsia"/>
          <w:b w:val="0"/>
          <w:bCs w:val="0"/>
          <w:lang w:val="en-US" w:eastAsia="zh-CN"/>
        </w:rPr>
        <w:t>23</w:t>
      </w:r>
      <w:r>
        <w:rPr>
          <w:rFonts w:hint="eastAsia"/>
          <w:b w:val="0"/>
          <w:bCs w:val="0"/>
        </w:rPr>
        <w:t>日，在</w:t>
      </w:r>
      <w:r>
        <w:rPr>
          <w:rFonts w:hint="eastAsia"/>
          <w:b w:val="0"/>
          <w:bCs w:val="0"/>
          <w:lang w:val="en-US" w:eastAsia="zh-CN"/>
        </w:rPr>
        <w:t>汕头</w:t>
      </w:r>
      <w:r>
        <w:rPr>
          <w:rFonts w:hint="eastAsia"/>
          <w:b w:val="0"/>
          <w:bCs w:val="0"/>
        </w:rPr>
        <w:t>市召开有色金属计量技术规范研讨会，</w:t>
      </w:r>
      <w:r>
        <w:rPr>
          <w:rFonts w:hint="eastAsia"/>
          <w:b w:val="0"/>
          <w:bCs w:val="0"/>
          <w:szCs w:val="21"/>
        </w:rPr>
        <w:t>会上对《</w:t>
      </w:r>
      <w:r>
        <w:rPr>
          <w:rFonts w:hint="eastAsia"/>
          <w:b w:val="0"/>
          <w:bCs w:val="0"/>
          <w:lang w:val="en-US" w:eastAsia="zh-CN"/>
        </w:rPr>
        <w:t>动态热机械分析仪</w:t>
      </w:r>
      <w:r>
        <w:rPr>
          <w:rFonts w:hint="eastAsia" w:hAnsi="宋体"/>
          <w:b w:val="0"/>
          <w:bCs w:val="0"/>
          <w:szCs w:val="21"/>
        </w:rPr>
        <w:t>校准规范</w:t>
      </w:r>
      <w:r>
        <w:rPr>
          <w:rFonts w:hint="eastAsia"/>
          <w:b w:val="0"/>
          <w:bCs w:val="0"/>
          <w:szCs w:val="21"/>
        </w:rPr>
        <w:t>-讨论稿》进行了讨论，会上有来自不同单位的计量委员会委员、专家、代表</w:t>
      </w:r>
      <w:r>
        <w:rPr>
          <w:rFonts w:hint="eastAsia"/>
          <w:b w:val="0"/>
          <w:bCs w:val="0"/>
          <w:szCs w:val="21"/>
          <w:lang w:val="en-US" w:eastAsia="zh-CN"/>
        </w:rPr>
        <w:t>对</w:t>
      </w:r>
      <w:r>
        <w:rPr>
          <w:rFonts w:hint="eastAsia"/>
          <w:b w:val="0"/>
          <w:bCs w:val="0"/>
          <w:szCs w:val="21"/>
        </w:rPr>
        <w:t>《</w:t>
      </w:r>
      <w:r>
        <w:rPr>
          <w:rFonts w:hint="eastAsia"/>
          <w:b w:val="0"/>
          <w:bCs w:val="0"/>
          <w:lang w:val="en-US" w:eastAsia="zh-CN"/>
        </w:rPr>
        <w:t>动态热机械分析仪</w:t>
      </w:r>
      <w:r>
        <w:rPr>
          <w:rFonts w:hint="eastAsia" w:hAnsi="宋体"/>
          <w:b w:val="0"/>
          <w:bCs w:val="0"/>
          <w:szCs w:val="21"/>
        </w:rPr>
        <w:t>校准规范</w:t>
      </w:r>
      <w:r>
        <w:rPr>
          <w:rFonts w:hint="eastAsia"/>
          <w:b w:val="0"/>
          <w:bCs w:val="0"/>
          <w:szCs w:val="21"/>
        </w:rPr>
        <w:t>-讨论稿》</w:t>
      </w:r>
      <w:r>
        <w:rPr>
          <w:rFonts w:hint="eastAsia"/>
          <w:b w:val="0"/>
          <w:bCs w:val="0"/>
          <w:szCs w:val="21"/>
          <w:lang w:val="en-US" w:eastAsia="zh-CN"/>
        </w:rPr>
        <w:t>中的校准技术指标的表达形式等提出了修改建议和意见，具体内容见表2</w:t>
      </w:r>
      <w:r>
        <w:rPr>
          <w:rFonts w:hint="eastAsia"/>
          <w:b w:val="0"/>
          <w:bCs w:val="0"/>
          <w:szCs w:val="21"/>
          <w:lang w:eastAsia="zh-CN"/>
        </w:rPr>
        <w:t>。</w:t>
      </w:r>
      <w:r>
        <w:rPr>
          <w:rFonts w:hint="eastAsia"/>
          <w:b w:val="0"/>
          <w:bCs w:val="0"/>
          <w:szCs w:val="21"/>
          <w:lang w:val="en-US" w:eastAsia="zh-CN"/>
        </w:rPr>
        <w:t>同时，</w:t>
      </w:r>
      <w:r>
        <w:rPr>
          <w:rFonts w:hint="eastAsia"/>
          <w:b w:val="0"/>
          <w:bCs w:val="0"/>
        </w:rPr>
        <w:t>会上确定了项目</w:t>
      </w:r>
      <w:r>
        <w:rPr>
          <w:rFonts w:hint="eastAsia"/>
          <w:b w:val="0"/>
          <w:bCs w:val="0"/>
          <w:lang w:val="en-US" w:eastAsia="zh-CN"/>
        </w:rPr>
        <w:t>的参编</w:t>
      </w:r>
      <w:r>
        <w:rPr>
          <w:rFonts w:hint="eastAsia"/>
          <w:b w:val="0"/>
          <w:bCs w:val="0"/>
        </w:rPr>
        <w:t>单位及一验、二验单位，明确了各项工作时间进度要求</w:t>
      </w:r>
      <w:r>
        <w:rPr>
          <w:rFonts w:hint="eastAsia"/>
          <w:b w:val="0"/>
          <w:bCs w:val="0"/>
          <w:highlight w:val="none"/>
          <w:lang w:eastAsia="zh-CN"/>
        </w:rPr>
        <w:t>，</w:t>
      </w:r>
      <w:r>
        <w:rPr>
          <w:rFonts w:hint="eastAsia"/>
          <w:b w:val="0"/>
          <w:bCs w:val="0"/>
          <w:highlight w:val="none"/>
          <w:lang w:val="en-US" w:eastAsia="zh-CN"/>
        </w:rPr>
        <w:t>具体内容见表3</w:t>
      </w:r>
      <w:r>
        <w:rPr>
          <w:rFonts w:hint="eastAsia"/>
          <w:b w:val="0"/>
          <w:bCs w:val="0"/>
          <w:highlight w:val="none"/>
        </w:rPr>
        <w:t>。修改</w:t>
      </w:r>
      <w:r>
        <w:rPr>
          <w:rFonts w:hint="eastAsia"/>
          <w:b w:val="0"/>
          <w:bCs w:val="0"/>
          <w:highlight w:val="none"/>
          <w:lang w:val="en-US" w:eastAsia="zh-CN"/>
        </w:rPr>
        <w:t>后</w:t>
      </w:r>
      <w:r>
        <w:rPr>
          <w:rFonts w:hint="eastAsia"/>
          <w:b w:val="0"/>
          <w:bCs w:val="0"/>
          <w:highlight w:val="none"/>
        </w:rPr>
        <w:t>形成</w:t>
      </w:r>
      <w:r>
        <w:rPr>
          <w:rFonts w:hint="eastAsia"/>
          <w:b w:val="0"/>
          <w:bCs w:val="0"/>
          <w:highlight w:val="none"/>
          <w:lang w:val="en-US" w:eastAsia="zh-CN"/>
        </w:rPr>
        <w:t>了</w:t>
      </w:r>
      <w:r>
        <w:rPr>
          <w:rFonts w:hint="eastAsia"/>
          <w:b w:val="0"/>
          <w:bCs w:val="0"/>
          <w:szCs w:val="21"/>
          <w:highlight w:val="none"/>
        </w:rPr>
        <w:t>《</w:t>
      </w:r>
      <w:r>
        <w:rPr>
          <w:rFonts w:hint="eastAsia"/>
          <w:b w:val="0"/>
          <w:bCs w:val="0"/>
          <w:lang w:val="en-US" w:eastAsia="zh-CN"/>
        </w:rPr>
        <w:t>动态热机械分析仪</w:t>
      </w:r>
      <w:r>
        <w:rPr>
          <w:rFonts w:hint="eastAsia" w:hAnsi="宋体"/>
          <w:b w:val="0"/>
          <w:bCs w:val="0"/>
          <w:szCs w:val="21"/>
          <w:highlight w:val="none"/>
        </w:rPr>
        <w:t>校准规范</w:t>
      </w:r>
      <w:r>
        <w:rPr>
          <w:rFonts w:hint="eastAsia"/>
          <w:b w:val="0"/>
          <w:bCs w:val="0"/>
          <w:szCs w:val="21"/>
          <w:highlight w:val="none"/>
        </w:rPr>
        <w:t>-</w:t>
      </w:r>
      <w:r>
        <w:rPr>
          <w:rFonts w:hint="eastAsia"/>
          <w:b w:val="0"/>
          <w:bCs w:val="0"/>
          <w:highlight w:val="none"/>
        </w:rPr>
        <w:t>征求意见稿</w:t>
      </w:r>
      <w:r>
        <w:rPr>
          <w:rFonts w:hint="eastAsia"/>
          <w:b w:val="0"/>
          <w:bCs w:val="0"/>
          <w:szCs w:val="21"/>
          <w:highlight w:val="none"/>
        </w:rPr>
        <w:t>》</w:t>
      </w:r>
      <w:r>
        <w:rPr>
          <w:rFonts w:hint="eastAsia"/>
          <w:b w:val="0"/>
          <w:bCs w:val="0"/>
          <w:szCs w:val="21"/>
          <w:highlight w:val="none"/>
          <w:lang w:eastAsia="zh-CN"/>
        </w:rPr>
        <w:t>。</w:t>
      </w:r>
    </w:p>
    <w:p>
      <w:pPr>
        <w:pageBreakBefore w:val="0"/>
        <w:kinsoku/>
        <w:wordWrap/>
        <w:overflowPunct/>
        <w:topLinePunct w:val="0"/>
        <w:autoSpaceDE/>
        <w:autoSpaceDN/>
        <w:bidi w:val="0"/>
        <w:adjustRightInd w:val="0"/>
        <w:snapToGrid w:val="0"/>
        <w:spacing w:line="400" w:lineRule="exact"/>
        <w:ind w:firstLine="420" w:firstLineChars="200"/>
        <w:jc w:val="center"/>
        <w:textAlignment w:val="auto"/>
        <w:rPr>
          <w:rFonts w:hint="default" w:eastAsia="宋体"/>
          <w:b w:val="0"/>
          <w:bCs w:val="0"/>
          <w:szCs w:val="21"/>
          <w:lang w:val="en-US" w:eastAsia="zh-CN"/>
        </w:rPr>
      </w:pPr>
      <w:r>
        <w:rPr>
          <w:rFonts w:hint="eastAsia"/>
          <w:b w:val="0"/>
          <w:bCs w:val="0"/>
          <w:highlight w:val="none"/>
        </w:rPr>
        <w:t>表</w:t>
      </w:r>
      <w:r>
        <w:rPr>
          <w:rFonts w:hint="eastAsia"/>
          <w:b w:val="0"/>
          <w:bCs w:val="0"/>
          <w:highlight w:val="none"/>
          <w:lang w:val="en-US" w:eastAsia="zh-CN"/>
        </w:rPr>
        <w:t>2</w:t>
      </w:r>
      <w:r>
        <w:rPr>
          <w:rFonts w:hint="eastAsia"/>
          <w:b w:val="0"/>
          <w:bCs w:val="0"/>
          <w:highlight w:val="none"/>
        </w:rPr>
        <w:t xml:space="preserve"> </w:t>
      </w:r>
      <w:r>
        <w:rPr>
          <w:rFonts w:hint="eastAsia"/>
          <w:b w:val="0"/>
          <w:bCs w:val="0"/>
          <w:highlight w:val="none"/>
          <w:lang w:val="en-US" w:eastAsia="zh-CN"/>
        </w:rPr>
        <w:t>有色金属计量技术规范研讨会会议纪要（讨论稿）</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1618"/>
        <w:gridCol w:w="2796"/>
        <w:gridCol w:w="2454"/>
        <w:gridCol w:w="1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序号</w:t>
            </w:r>
          </w:p>
        </w:tc>
        <w:tc>
          <w:tcPr>
            <w:tcW w:w="1618" w:type="dxa"/>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标准章条编号</w:t>
            </w:r>
          </w:p>
        </w:tc>
        <w:tc>
          <w:tcPr>
            <w:tcW w:w="2796" w:type="dxa"/>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意见内容</w:t>
            </w:r>
          </w:p>
        </w:tc>
        <w:tc>
          <w:tcPr>
            <w:tcW w:w="2454" w:type="dxa"/>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提出单位</w:t>
            </w:r>
          </w:p>
        </w:tc>
        <w:tc>
          <w:tcPr>
            <w:tcW w:w="1965" w:type="dxa"/>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处理意见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1</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3</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概述中设备结构文本顺序应与图1编号顺序保持一致</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有色金属技经院-闫艳楠</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采纳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2</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5.2</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用途与校准项目分开写</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国标（北京）-李成</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eastAsia"/>
                <w:b w:val="0"/>
                <w:bCs w:val="0"/>
                <w:szCs w:val="21"/>
                <w:vertAlign w:val="baseline"/>
                <w:lang w:eastAsia="zh-CN"/>
              </w:rPr>
            </w:pPr>
            <w:r>
              <w:rPr>
                <w:rFonts w:hint="eastAsia"/>
                <w:b w:val="0"/>
                <w:bCs w:val="0"/>
                <w:szCs w:val="21"/>
                <w:vertAlign w:val="baseline"/>
                <w:lang w:val="en-US" w:eastAsia="zh-CN"/>
              </w:rPr>
              <w:t>采纳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3</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6.1</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列明校准项目</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b w:val="0"/>
                <w:bCs w:val="0"/>
                <w:szCs w:val="21"/>
                <w:vertAlign w:val="baseline"/>
                <w:lang w:val="en-US" w:eastAsia="zh-CN"/>
              </w:rPr>
              <w:t>有色金属技经院-闫艳楠</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b w:val="0"/>
                <w:bCs w:val="0"/>
                <w:szCs w:val="21"/>
                <w:vertAlign w:val="baseline"/>
                <w:lang w:val="en-US" w:eastAsia="zh-CN"/>
              </w:rPr>
              <w:t>采纳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4</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6.2.3</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删除通入保护性气氛</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ascii="宋体" w:hAnsi="宋体" w:eastAsia="宋体" w:cs="宋体"/>
                <w:b w:val="0"/>
                <w:bCs w:val="0"/>
                <w:color w:val="auto"/>
                <w:kern w:val="2"/>
                <w:sz w:val="21"/>
                <w:szCs w:val="21"/>
                <w:highlight w:val="none"/>
                <w:lang w:val="en-US" w:eastAsia="zh-CN"/>
              </w:rPr>
              <w:t>宁波材料研究所</w:t>
            </w:r>
            <w:r>
              <w:rPr>
                <w:rFonts w:hint="eastAsia" w:ascii="宋体" w:hAnsi="宋体" w:cs="宋体"/>
                <w:b w:val="0"/>
                <w:bCs w:val="0"/>
                <w:color w:val="auto"/>
                <w:kern w:val="2"/>
                <w:sz w:val="21"/>
                <w:szCs w:val="21"/>
                <w:highlight w:val="none"/>
                <w:lang w:val="en-US" w:eastAsia="zh-CN"/>
              </w:rPr>
              <w:t>-俞力栋</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eastAsia"/>
                <w:b w:val="0"/>
                <w:bCs w:val="0"/>
                <w:szCs w:val="21"/>
                <w:vertAlign w:val="baseline"/>
                <w:lang w:eastAsia="zh-CN"/>
              </w:rPr>
            </w:pPr>
            <w:r>
              <w:rPr>
                <w:rFonts w:hint="eastAsia"/>
                <w:b w:val="0"/>
                <w:bCs w:val="0"/>
                <w:szCs w:val="21"/>
                <w:vertAlign w:val="baseline"/>
                <w:lang w:val="en-US" w:eastAsia="zh-CN"/>
              </w:rPr>
              <w:t>采纳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5</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6.2.4.1</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熔化温度的标注方式在编制说明中写明</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b w:val="0"/>
                <w:bCs w:val="0"/>
                <w:szCs w:val="21"/>
                <w:vertAlign w:val="baseline"/>
                <w:lang w:val="en-US" w:eastAsia="zh-CN"/>
              </w:rPr>
              <w:t>有色金属技经院-闫艳楠</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b w:val="0"/>
                <w:bCs w:val="0"/>
                <w:szCs w:val="21"/>
                <w:vertAlign w:val="baseline"/>
                <w:lang w:val="en-US" w:eastAsia="zh-CN"/>
              </w:rPr>
              <w:t>采纳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6</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6.2.4.1</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增加标准物质取样量</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宋体" w:hAnsi="宋体" w:eastAsia="宋体" w:cs="宋体"/>
                <w:b w:val="0"/>
                <w:bCs w:val="0"/>
                <w:color w:val="auto"/>
                <w:kern w:val="2"/>
                <w:sz w:val="21"/>
                <w:szCs w:val="21"/>
                <w:highlight w:val="none"/>
                <w:lang w:val="en-US" w:eastAsia="zh-CN"/>
              </w:rPr>
              <w:t>宁波材料研究所</w:t>
            </w:r>
            <w:r>
              <w:rPr>
                <w:rFonts w:hint="eastAsia" w:ascii="宋体" w:hAnsi="宋体" w:cs="宋体"/>
                <w:b w:val="0"/>
                <w:bCs w:val="0"/>
                <w:color w:val="auto"/>
                <w:kern w:val="2"/>
                <w:sz w:val="21"/>
                <w:szCs w:val="21"/>
                <w:highlight w:val="none"/>
                <w:lang w:val="en-US" w:eastAsia="zh-CN"/>
              </w:rPr>
              <w:t>-俞力栋</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b w:val="0"/>
                <w:bCs w:val="0"/>
                <w:kern w:val="2"/>
                <w:sz w:val="21"/>
                <w:szCs w:val="21"/>
                <w:vertAlign w:val="baseline"/>
                <w:lang w:val="en-US" w:eastAsia="zh-CN" w:bidi="ar-SA"/>
              </w:rPr>
            </w:pPr>
            <w:r>
              <w:rPr>
                <w:rFonts w:hint="eastAsia"/>
                <w:b w:val="0"/>
                <w:bCs w:val="0"/>
                <w:szCs w:val="21"/>
                <w:vertAlign w:val="baseline"/>
                <w:lang w:val="en-US" w:eastAsia="zh-CN"/>
              </w:rPr>
              <w:t>采纳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7</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eastAsia"/>
                <w:b w:val="0"/>
                <w:bCs w:val="0"/>
                <w:szCs w:val="21"/>
                <w:vertAlign w:val="baseline"/>
                <w:lang w:eastAsia="zh-CN"/>
              </w:rPr>
            </w:pPr>
            <w:r>
              <w:rPr>
                <w:rFonts w:hint="eastAsia"/>
                <w:b w:val="0"/>
                <w:bCs w:val="0"/>
                <w:szCs w:val="21"/>
                <w:vertAlign w:val="baseline"/>
                <w:lang w:val="en-US" w:eastAsia="zh-CN"/>
              </w:rPr>
              <w:t>6.2.4.1</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规定通入保护性气氛的温度</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国标（北京）-樊志罡</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eastAsia"/>
                <w:b w:val="0"/>
                <w:bCs w:val="0"/>
                <w:szCs w:val="21"/>
                <w:vertAlign w:val="baseline"/>
                <w:lang w:eastAsia="zh-CN"/>
              </w:rPr>
            </w:pPr>
            <w:r>
              <w:rPr>
                <w:rFonts w:hint="eastAsia"/>
                <w:b w:val="0"/>
                <w:bCs w:val="0"/>
                <w:szCs w:val="21"/>
                <w:vertAlign w:val="baseline"/>
                <w:lang w:val="en-US" w:eastAsia="zh-CN"/>
              </w:rPr>
              <w:t>采纳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8</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6.2.5</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写明卡尺的用途</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b w:val="0"/>
                <w:bCs w:val="0"/>
                <w:szCs w:val="21"/>
                <w:vertAlign w:val="baseline"/>
                <w:lang w:val="en-US" w:eastAsia="zh-CN"/>
              </w:rPr>
              <w:t>有色金属技经院-闫艳楠</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b w:val="0"/>
                <w:bCs w:val="0"/>
                <w:szCs w:val="21"/>
                <w:vertAlign w:val="baseline"/>
                <w:lang w:val="en-US" w:eastAsia="zh-CN"/>
              </w:rPr>
              <w:t>采纳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9</w:t>
            </w:r>
          </w:p>
        </w:tc>
        <w:tc>
          <w:tcPr>
            <w:tcW w:w="1618"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附录A</w:t>
            </w:r>
          </w:p>
        </w:tc>
        <w:tc>
          <w:tcPr>
            <w:tcW w:w="2796"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r>
              <w:rPr>
                <w:rFonts w:hint="eastAsia"/>
                <w:b w:val="0"/>
                <w:bCs w:val="0"/>
                <w:szCs w:val="21"/>
                <w:vertAlign w:val="baseline"/>
                <w:lang w:val="en-US" w:eastAsia="zh-CN"/>
              </w:rPr>
              <w:t>删除标准物质镓</w:t>
            </w:r>
          </w:p>
        </w:tc>
        <w:tc>
          <w:tcPr>
            <w:tcW w:w="2454" w:type="dxa"/>
            <w:vAlign w:val="center"/>
          </w:tcPr>
          <w:p>
            <w:pPr>
              <w:pageBreakBefore w:val="0"/>
              <w:kinsoku/>
              <w:wordWrap/>
              <w:overflowPunct/>
              <w:topLinePunct w:val="0"/>
              <w:autoSpaceDE/>
              <w:autoSpaceDN/>
              <w:bidi w:val="0"/>
              <w:adjustRightInd w:val="0"/>
              <w:snapToGrid w:val="0"/>
              <w:spacing w:line="400" w:lineRule="exact"/>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宋体" w:hAnsi="宋体" w:eastAsia="宋体" w:cs="宋体"/>
                <w:b w:val="0"/>
                <w:bCs w:val="0"/>
                <w:color w:val="auto"/>
                <w:kern w:val="2"/>
                <w:sz w:val="21"/>
                <w:szCs w:val="21"/>
                <w:highlight w:val="none"/>
                <w:lang w:val="en-US" w:eastAsia="zh-CN"/>
              </w:rPr>
              <w:t>宁波材料研究所</w:t>
            </w:r>
            <w:r>
              <w:rPr>
                <w:rFonts w:hint="eastAsia" w:ascii="宋体" w:hAnsi="宋体" w:cs="宋体"/>
                <w:b w:val="0"/>
                <w:bCs w:val="0"/>
                <w:color w:val="auto"/>
                <w:kern w:val="2"/>
                <w:sz w:val="21"/>
                <w:szCs w:val="21"/>
                <w:highlight w:val="none"/>
                <w:lang w:val="en-US" w:eastAsia="zh-CN"/>
              </w:rPr>
              <w:t>-俞力栋</w:t>
            </w:r>
          </w:p>
        </w:tc>
        <w:tc>
          <w:tcPr>
            <w:tcW w:w="1965" w:type="dxa"/>
            <w:vAlign w:val="center"/>
          </w:tcPr>
          <w:p>
            <w:pPr>
              <w:pageBreakBefore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采纳</w:t>
            </w:r>
          </w:p>
        </w:tc>
      </w:tr>
    </w:tbl>
    <w:p>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210" w:firstLineChars="100"/>
        <w:jc w:val="center"/>
        <w:textAlignment w:val="auto"/>
        <w:rPr>
          <w:b w:val="0"/>
          <w:bCs w:val="0"/>
        </w:rPr>
      </w:pPr>
      <w:r>
        <w:rPr>
          <w:rFonts w:hint="eastAsia"/>
          <w:b w:val="0"/>
          <w:bCs w:val="0"/>
          <w:highlight w:val="none"/>
        </w:rPr>
        <w:t>表</w:t>
      </w:r>
      <w:r>
        <w:rPr>
          <w:rFonts w:hint="eastAsia"/>
          <w:b w:val="0"/>
          <w:bCs w:val="0"/>
          <w:highlight w:val="none"/>
          <w:lang w:val="en-US" w:eastAsia="zh-CN"/>
        </w:rPr>
        <w:t>3</w:t>
      </w:r>
      <w:r>
        <w:rPr>
          <w:rFonts w:hint="eastAsia"/>
          <w:b w:val="0"/>
          <w:bCs w:val="0"/>
          <w:highlight w:val="none"/>
        </w:rPr>
        <w:t xml:space="preserve"> 《</w:t>
      </w:r>
      <w:r>
        <w:rPr>
          <w:rFonts w:hint="eastAsia"/>
          <w:b w:val="0"/>
          <w:bCs w:val="0"/>
          <w:lang w:val="en-US" w:eastAsia="zh-CN"/>
        </w:rPr>
        <w:t>动态热机械分析仪</w:t>
      </w:r>
      <w:r>
        <w:rPr>
          <w:rFonts w:hint="eastAsia"/>
          <w:b w:val="0"/>
          <w:bCs w:val="0"/>
        </w:rPr>
        <w:t>校准规范-讨论稿》</w:t>
      </w:r>
      <w:r>
        <w:rPr>
          <w:rFonts w:hint="eastAsia"/>
          <w:b w:val="0"/>
          <w:bCs w:val="0"/>
          <w:lang w:val="en-US" w:eastAsia="zh-CN"/>
        </w:rPr>
        <w:t>工作安排</w:t>
      </w:r>
    </w:p>
    <w:tbl>
      <w:tblPr>
        <w:tblStyle w:val="41"/>
        <w:tblW w:w="5000" w:type="pct"/>
        <w:jc w:val="center"/>
        <w:tblLayout w:type="fixed"/>
        <w:tblCellMar>
          <w:top w:w="0" w:type="dxa"/>
          <w:left w:w="108" w:type="dxa"/>
          <w:bottom w:w="0" w:type="dxa"/>
          <w:right w:w="108" w:type="dxa"/>
        </w:tblCellMar>
      </w:tblPr>
      <w:tblGrid>
        <w:gridCol w:w="1788"/>
        <w:gridCol w:w="7783"/>
      </w:tblGrid>
      <w:tr>
        <w:tblPrEx>
          <w:tblCellMar>
            <w:top w:w="0" w:type="dxa"/>
            <w:left w:w="108" w:type="dxa"/>
            <w:bottom w:w="0" w:type="dxa"/>
            <w:right w:w="108" w:type="dxa"/>
          </w:tblCellMar>
        </w:tblPrEx>
        <w:trPr>
          <w:trHeight w:val="567" w:hRule="atLeast"/>
          <w:jc w:val="center"/>
        </w:trPr>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overflowPunct/>
              <w:topLinePunct w:val="0"/>
              <w:autoSpaceDE/>
              <w:autoSpaceDN/>
              <w:bidi w:val="0"/>
              <w:adjustRightInd w:val="0"/>
              <w:snapToGrid w:val="0"/>
              <w:spacing w:line="360" w:lineRule="auto"/>
              <w:jc w:val="center"/>
              <w:textAlignment w:val="auto"/>
              <w:rPr>
                <w:b w:val="0"/>
                <w:bCs w:val="0"/>
              </w:rPr>
            </w:pPr>
            <w:r>
              <w:rPr>
                <w:rFonts w:hint="eastAsia"/>
                <w:b w:val="0"/>
                <w:bCs w:val="0"/>
              </w:rPr>
              <w:t>拟参与编制单位</w:t>
            </w:r>
          </w:p>
        </w:tc>
        <w:tc>
          <w:tcPr>
            <w:tcW w:w="4065" w:type="pct"/>
            <w:tcBorders>
              <w:top w:val="single" w:color="auto" w:sz="4" w:space="0"/>
              <w:left w:val="nil"/>
              <w:bottom w:val="single" w:color="auto" w:sz="4" w:space="0"/>
              <w:right w:val="single" w:color="auto" w:sz="4" w:space="0"/>
            </w:tcBorders>
            <w:shd w:val="clear" w:color="auto" w:fill="auto"/>
            <w:noWrap/>
            <w:vAlign w:val="center"/>
          </w:tcPr>
          <w:p>
            <w:pPr>
              <w:pageBreakBefore w:val="0"/>
              <w:widowControl/>
              <w:kinsoku/>
              <w:wordWrap/>
              <w:overflowPunct/>
              <w:topLinePunct w:val="0"/>
              <w:autoSpaceDE/>
              <w:autoSpaceDN/>
              <w:bidi w:val="0"/>
              <w:adjustRightInd w:val="0"/>
              <w:snapToGrid w:val="0"/>
              <w:spacing w:line="240" w:lineRule="auto"/>
              <w:jc w:val="center"/>
              <w:textAlignment w:val="auto"/>
              <w:rPr>
                <w:rFonts w:hint="eastAsia" w:eastAsia="宋体"/>
                <w:b w:val="0"/>
                <w:bCs w:val="0"/>
                <w:highlight w:val="none"/>
                <w:lang w:eastAsia="zh-CN"/>
              </w:rPr>
            </w:pPr>
            <w:r>
              <w:rPr>
                <w:rFonts w:hint="eastAsia" w:cs="宋体"/>
                <w:b w:val="0"/>
                <w:bCs w:val="0"/>
                <w:color w:val="000000"/>
                <w:kern w:val="0"/>
                <w:szCs w:val="21"/>
                <w:highlight w:val="none"/>
                <w:lang w:val="en-US" w:eastAsia="zh-CN"/>
              </w:rPr>
              <w:t>国标（北京）检验认证有限公司、北京航空航天大学、耐驰科学仪器商贸（上海）有限公司、沃特世科技（上海）有限公司、中国船舶集团有限公司第七二五研究所、中国科学院宁波材料技术与工程研究所、国合通用（青岛）测试评价有限公司、中国汽车技术研究中心有限公司</w:t>
            </w:r>
            <w:r>
              <w:rPr>
                <w:rFonts w:cs="宋体"/>
                <w:b w:val="0"/>
                <w:bCs w:val="0"/>
                <w:color w:val="000000"/>
                <w:kern w:val="0"/>
                <w:szCs w:val="21"/>
                <w:highlight w:val="none"/>
              </w:rPr>
              <w:t>等</w:t>
            </w:r>
          </w:p>
        </w:tc>
      </w:tr>
      <w:tr>
        <w:tblPrEx>
          <w:tblCellMar>
            <w:top w:w="0" w:type="dxa"/>
            <w:left w:w="108" w:type="dxa"/>
            <w:bottom w:w="0" w:type="dxa"/>
            <w:right w:w="108" w:type="dxa"/>
          </w:tblCellMar>
        </w:tblPrEx>
        <w:trPr>
          <w:trHeight w:val="567" w:hRule="atLeast"/>
          <w:jc w:val="center"/>
        </w:trPr>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overflowPunct/>
              <w:topLinePunct w:val="0"/>
              <w:autoSpaceDE/>
              <w:autoSpaceDN/>
              <w:bidi w:val="0"/>
              <w:adjustRightInd w:val="0"/>
              <w:snapToGrid w:val="0"/>
              <w:spacing w:line="360" w:lineRule="auto"/>
              <w:jc w:val="center"/>
              <w:textAlignment w:val="auto"/>
              <w:rPr>
                <w:rFonts w:hint="eastAsia"/>
                <w:b w:val="0"/>
                <w:bCs w:val="0"/>
              </w:rPr>
            </w:pPr>
            <w:r>
              <w:rPr>
                <w:rFonts w:hint="eastAsia"/>
                <w:b w:val="0"/>
                <w:bCs w:val="0"/>
              </w:rPr>
              <w:t>一验单位</w:t>
            </w:r>
          </w:p>
        </w:tc>
        <w:tc>
          <w:tcPr>
            <w:tcW w:w="4065" w:type="pct"/>
            <w:tcBorders>
              <w:top w:val="single" w:color="auto" w:sz="4" w:space="0"/>
              <w:left w:val="nil"/>
              <w:bottom w:val="single" w:color="auto" w:sz="4" w:space="0"/>
              <w:right w:val="single" w:color="auto" w:sz="4" w:space="0"/>
            </w:tcBorders>
            <w:shd w:val="clear" w:color="auto" w:fill="auto"/>
            <w:noWrap/>
            <w:vAlign w:val="center"/>
          </w:tcPr>
          <w:p>
            <w:pPr>
              <w:pageBreakBefore w:val="0"/>
              <w:kinsoku/>
              <w:wordWrap/>
              <w:overflowPunct/>
              <w:topLinePunct w:val="0"/>
              <w:autoSpaceDE/>
              <w:autoSpaceDN/>
              <w:bidi w:val="0"/>
              <w:adjustRightInd w:val="0"/>
              <w:snapToGrid w:val="0"/>
              <w:spacing w:line="360" w:lineRule="auto"/>
              <w:jc w:val="center"/>
              <w:textAlignment w:val="auto"/>
              <w:rPr>
                <w:rFonts w:hint="default" w:eastAsia="宋体"/>
                <w:b w:val="0"/>
                <w:bCs w:val="0"/>
                <w:highlight w:val="yellow"/>
                <w:lang w:val="en-US" w:eastAsia="zh-CN"/>
              </w:rPr>
            </w:pPr>
            <w:r>
              <w:rPr>
                <w:rFonts w:hint="eastAsia" w:cs="宋体"/>
                <w:b w:val="0"/>
                <w:bCs w:val="0"/>
                <w:color w:val="000000"/>
                <w:kern w:val="0"/>
                <w:szCs w:val="21"/>
                <w:highlight w:val="none"/>
                <w:lang w:val="en-US" w:eastAsia="zh-CN"/>
              </w:rPr>
              <w:t>北京航空航天大学、中国科学院宁波材料技术与工程研究所</w:t>
            </w:r>
          </w:p>
        </w:tc>
      </w:tr>
      <w:tr>
        <w:tblPrEx>
          <w:tblCellMar>
            <w:top w:w="0" w:type="dxa"/>
            <w:left w:w="108" w:type="dxa"/>
            <w:bottom w:w="0" w:type="dxa"/>
            <w:right w:w="108" w:type="dxa"/>
          </w:tblCellMar>
        </w:tblPrEx>
        <w:trPr>
          <w:trHeight w:val="567" w:hRule="atLeast"/>
          <w:jc w:val="center"/>
        </w:trPr>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overflowPunct/>
              <w:topLinePunct w:val="0"/>
              <w:autoSpaceDE/>
              <w:autoSpaceDN/>
              <w:bidi w:val="0"/>
              <w:adjustRightInd w:val="0"/>
              <w:snapToGrid w:val="0"/>
              <w:spacing w:line="360" w:lineRule="auto"/>
              <w:jc w:val="center"/>
              <w:textAlignment w:val="auto"/>
              <w:rPr>
                <w:rFonts w:hint="eastAsia"/>
                <w:b w:val="0"/>
                <w:bCs w:val="0"/>
              </w:rPr>
            </w:pPr>
            <w:r>
              <w:rPr>
                <w:rFonts w:hint="eastAsia"/>
                <w:b w:val="0"/>
                <w:bCs w:val="0"/>
              </w:rPr>
              <w:t>二验单位</w:t>
            </w:r>
          </w:p>
        </w:tc>
        <w:tc>
          <w:tcPr>
            <w:tcW w:w="4065" w:type="pct"/>
            <w:tcBorders>
              <w:top w:val="single" w:color="auto" w:sz="4" w:space="0"/>
              <w:left w:val="nil"/>
              <w:bottom w:val="single" w:color="auto" w:sz="4" w:space="0"/>
              <w:right w:val="single" w:color="auto" w:sz="4" w:space="0"/>
            </w:tcBorders>
            <w:shd w:val="clear" w:color="auto" w:fill="auto"/>
            <w:noWrap/>
            <w:vAlign w:val="center"/>
          </w:tcPr>
          <w:p>
            <w:pPr>
              <w:pageBreakBefore w:val="0"/>
              <w:kinsoku/>
              <w:wordWrap/>
              <w:overflowPunct/>
              <w:topLinePunct w:val="0"/>
              <w:autoSpaceDE/>
              <w:autoSpaceDN/>
              <w:bidi w:val="0"/>
              <w:adjustRightInd w:val="0"/>
              <w:snapToGrid w:val="0"/>
              <w:spacing w:line="360" w:lineRule="auto"/>
              <w:jc w:val="center"/>
              <w:textAlignment w:val="auto"/>
              <w:rPr>
                <w:rFonts w:hint="eastAsia" w:cs="宋体"/>
                <w:b w:val="0"/>
                <w:bCs w:val="0"/>
                <w:color w:val="000000"/>
                <w:kern w:val="0"/>
                <w:szCs w:val="21"/>
                <w:highlight w:val="none"/>
                <w:lang w:val="en-US" w:eastAsia="zh-CN"/>
              </w:rPr>
            </w:pPr>
            <w:r>
              <w:rPr>
                <w:rFonts w:hint="eastAsia" w:cs="宋体"/>
                <w:b w:val="0"/>
                <w:bCs w:val="0"/>
                <w:color w:val="000000"/>
                <w:kern w:val="0"/>
                <w:szCs w:val="21"/>
                <w:highlight w:val="none"/>
                <w:lang w:val="en-US" w:eastAsia="zh-CN"/>
              </w:rPr>
              <w:t>耐驰科学仪器商贸（上海）有限公司、沃特世科技（上海）有限公司、</w:t>
            </w:r>
          </w:p>
          <w:p>
            <w:pPr>
              <w:pageBreakBefore w:val="0"/>
              <w:kinsoku/>
              <w:wordWrap/>
              <w:overflowPunct/>
              <w:topLinePunct w:val="0"/>
              <w:autoSpaceDE/>
              <w:autoSpaceDN/>
              <w:bidi w:val="0"/>
              <w:adjustRightInd w:val="0"/>
              <w:snapToGrid w:val="0"/>
              <w:spacing w:line="360" w:lineRule="auto"/>
              <w:jc w:val="center"/>
              <w:textAlignment w:val="auto"/>
              <w:rPr>
                <w:rFonts w:hint="eastAsia"/>
                <w:b w:val="0"/>
                <w:bCs w:val="0"/>
                <w:highlight w:val="yellow"/>
              </w:rPr>
            </w:pPr>
            <w:r>
              <w:rPr>
                <w:rFonts w:hint="eastAsia" w:cs="宋体"/>
                <w:b w:val="0"/>
                <w:bCs w:val="0"/>
                <w:color w:val="000000"/>
                <w:kern w:val="0"/>
                <w:szCs w:val="21"/>
                <w:highlight w:val="none"/>
                <w:lang w:val="en-US" w:eastAsia="zh-CN"/>
              </w:rPr>
              <w:t>国合通用（青岛）测试评价有限公司</w:t>
            </w:r>
          </w:p>
        </w:tc>
      </w:tr>
      <w:tr>
        <w:tblPrEx>
          <w:tblCellMar>
            <w:top w:w="0" w:type="dxa"/>
            <w:left w:w="108" w:type="dxa"/>
            <w:bottom w:w="0" w:type="dxa"/>
            <w:right w:w="108" w:type="dxa"/>
          </w:tblCellMar>
        </w:tblPrEx>
        <w:trPr>
          <w:trHeight w:val="567" w:hRule="atLeast"/>
          <w:jc w:val="center"/>
        </w:trPr>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overflowPunct/>
              <w:topLinePunct w:val="0"/>
              <w:autoSpaceDE/>
              <w:autoSpaceDN/>
              <w:bidi w:val="0"/>
              <w:adjustRightInd w:val="0"/>
              <w:snapToGrid w:val="0"/>
              <w:spacing w:line="360" w:lineRule="auto"/>
              <w:jc w:val="center"/>
              <w:textAlignment w:val="auto"/>
              <w:rPr>
                <w:b w:val="0"/>
                <w:bCs w:val="0"/>
              </w:rPr>
            </w:pPr>
            <w:r>
              <w:rPr>
                <w:rFonts w:hint="eastAsia"/>
                <w:b w:val="0"/>
                <w:bCs w:val="0"/>
              </w:rPr>
              <w:t>时间节点安排</w:t>
            </w:r>
          </w:p>
        </w:tc>
        <w:tc>
          <w:tcPr>
            <w:tcW w:w="4065" w:type="pct"/>
            <w:tcBorders>
              <w:top w:val="single" w:color="auto" w:sz="4" w:space="0"/>
              <w:left w:val="nil"/>
              <w:bottom w:val="single" w:color="auto" w:sz="4" w:space="0"/>
              <w:right w:val="single" w:color="auto" w:sz="4" w:space="0"/>
            </w:tcBorders>
            <w:shd w:val="clear" w:color="auto" w:fill="auto"/>
            <w:noWrap/>
            <w:vAlign w:val="center"/>
          </w:tcPr>
          <w:p>
            <w:pPr>
              <w:pageBreakBefore w:val="0"/>
              <w:kinsoku/>
              <w:wordWrap/>
              <w:overflowPunct/>
              <w:topLinePunct w:val="0"/>
              <w:autoSpaceDE/>
              <w:autoSpaceDN/>
              <w:bidi w:val="0"/>
              <w:adjustRightInd w:val="0"/>
              <w:snapToGrid w:val="0"/>
              <w:spacing w:line="360" w:lineRule="auto"/>
              <w:jc w:val="center"/>
              <w:textAlignment w:val="auto"/>
              <w:rPr>
                <w:rFonts w:hint="default" w:eastAsia="宋体"/>
                <w:b w:val="0"/>
                <w:bCs w:val="0"/>
                <w:lang w:val="en-US" w:eastAsia="zh-CN"/>
              </w:rPr>
            </w:pPr>
            <w:r>
              <w:rPr>
                <w:rFonts w:hint="eastAsia"/>
                <w:b w:val="0"/>
                <w:bCs w:val="0"/>
                <w:lang w:val="en-US" w:eastAsia="zh-CN"/>
              </w:rPr>
              <w:t>2026年9月完成试验验证，2027年4月完成规范报批</w:t>
            </w:r>
          </w:p>
        </w:tc>
      </w:tr>
      <w:bookmarkEnd w:id="11"/>
    </w:tbl>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b w:val="0"/>
          <w:bCs w:val="0"/>
          <w:highlight w:val="none"/>
        </w:rPr>
      </w:pPr>
      <w:r>
        <w:rPr>
          <w:rFonts w:hint="eastAsia" w:ascii="Times New Roman" w:hAnsi="Times New Roman" w:eastAsia="宋体" w:cs="Times New Roman"/>
          <w:b w:val="0"/>
          <w:bCs w:val="0"/>
          <w:szCs w:val="21"/>
          <w:lang w:val="en-US" w:eastAsia="zh-CN"/>
        </w:rPr>
        <w:t>4</w:t>
      </w:r>
      <w:r>
        <w:rPr>
          <w:rFonts w:hint="eastAsia"/>
          <w:b w:val="0"/>
          <w:bCs w:val="0"/>
        </w:rPr>
        <w:t>）</w:t>
      </w:r>
      <w:r>
        <w:rPr>
          <w:rFonts w:hint="eastAsia"/>
          <w:b w:val="0"/>
          <w:bCs w:val="0"/>
          <w:highlight w:val="none"/>
        </w:rPr>
        <w:t>202</w:t>
      </w:r>
      <w:r>
        <w:rPr>
          <w:rFonts w:hint="eastAsia"/>
          <w:b w:val="0"/>
          <w:bCs w:val="0"/>
          <w:highlight w:val="none"/>
          <w:lang w:val="en-US" w:eastAsia="zh-CN"/>
        </w:rPr>
        <w:t>6</w:t>
      </w:r>
      <w:r>
        <w:rPr>
          <w:rFonts w:hint="eastAsia"/>
          <w:b w:val="0"/>
          <w:bCs w:val="0"/>
          <w:highlight w:val="none"/>
        </w:rPr>
        <w:t>年</w:t>
      </w:r>
      <w:r>
        <w:rPr>
          <w:rFonts w:hint="eastAsia"/>
          <w:b w:val="0"/>
          <w:bCs w:val="0"/>
          <w:highlight w:val="none"/>
          <w:lang w:val="en-US" w:eastAsia="zh-CN"/>
        </w:rPr>
        <w:t>2</w:t>
      </w:r>
      <w:r>
        <w:rPr>
          <w:rFonts w:hint="eastAsia"/>
          <w:b w:val="0"/>
          <w:bCs w:val="0"/>
          <w:highlight w:val="none"/>
        </w:rPr>
        <w:t>月</w:t>
      </w:r>
      <w:r>
        <w:rPr>
          <w:rFonts w:hint="eastAsia"/>
          <w:b w:val="0"/>
          <w:bCs w:val="0"/>
          <w:highlight w:val="none"/>
          <w:lang w:eastAsia="zh-CN"/>
        </w:rPr>
        <w:t>，</w:t>
      </w:r>
      <w:r>
        <w:rPr>
          <w:rFonts w:hint="eastAsia"/>
          <w:b w:val="0"/>
          <w:bCs w:val="0"/>
          <w:highlight w:val="none"/>
          <w:lang w:val="en-US" w:eastAsia="zh-CN"/>
        </w:rPr>
        <w:t>有色金属行业计量技术委员会发文《关于对&lt;全自动高温水解-离子色谱联用仪校准规范&gt;等5项有色金属行业计量技术规范征求意见的函》（有色计量委字〔2026〕2号），其中包含《</w:t>
      </w:r>
      <w:r>
        <w:rPr>
          <w:rFonts w:hint="eastAsia"/>
          <w:b w:val="0"/>
          <w:bCs w:val="0"/>
          <w:lang w:val="en-US" w:eastAsia="zh-CN"/>
        </w:rPr>
        <w:t>动态热机械分析仪</w:t>
      </w:r>
      <w:r>
        <w:rPr>
          <w:rFonts w:hint="eastAsia"/>
          <w:b w:val="0"/>
          <w:bCs w:val="0"/>
          <w:highlight w:val="none"/>
        </w:rPr>
        <w:t>校准规范</w:t>
      </w:r>
      <w:r>
        <w:rPr>
          <w:rFonts w:hint="eastAsia"/>
          <w:b w:val="0"/>
          <w:bCs w:val="0"/>
          <w:highlight w:val="none"/>
          <w:lang w:val="en-US" w:eastAsia="zh-CN"/>
        </w:rPr>
        <w:t>》，并向社会广泛征求意见</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b w:val="0"/>
          <w:bCs w:val="0"/>
          <w:szCs w:val="21"/>
          <w:lang w:val="en-US" w:eastAsia="zh-CN"/>
        </w:rPr>
      </w:pPr>
      <w:r>
        <w:rPr>
          <w:rFonts w:hint="eastAsia" w:ascii="Times New Roman" w:hAnsi="Times New Roman" w:eastAsia="宋体" w:cs="Times New Roman"/>
          <w:b w:val="0"/>
          <w:bCs w:val="0"/>
          <w:szCs w:val="21"/>
          <w:lang w:val="en-US" w:eastAsia="zh-CN"/>
        </w:rPr>
        <w:t>5）2026年9月在深圳召开有色金属计量技术规范研讨会，会上对《</w:t>
      </w:r>
      <w:r>
        <w:rPr>
          <w:rFonts w:hint="eastAsia"/>
          <w:b w:val="0"/>
          <w:bCs w:val="0"/>
          <w:lang w:val="en-US" w:eastAsia="zh-CN"/>
        </w:rPr>
        <w:t>动态热机械分析仪</w:t>
      </w:r>
      <w:r>
        <w:rPr>
          <w:rFonts w:hint="eastAsia" w:hAnsi="宋体"/>
          <w:b w:val="0"/>
          <w:bCs w:val="0"/>
          <w:szCs w:val="21"/>
        </w:rPr>
        <w:t>校准规范</w:t>
      </w:r>
      <w:r>
        <w:rPr>
          <w:rFonts w:hint="eastAsia" w:ascii="Times New Roman" w:hAnsi="Times New Roman" w:eastAsia="宋体" w:cs="Times New Roman"/>
          <w:b w:val="0"/>
          <w:bCs w:val="0"/>
          <w:szCs w:val="21"/>
          <w:lang w:val="en-US" w:eastAsia="zh-CN"/>
        </w:rPr>
        <w:t>》进行了预审，会上有来自不同单位的计量委员会委员、专家、代表对《</w:t>
      </w:r>
      <w:r>
        <w:rPr>
          <w:rFonts w:hint="eastAsia"/>
          <w:b w:val="0"/>
          <w:bCs w:val="0"/>
          <w:lang w:val="en-US" w:eastAsia="zh-CN"/>
        </w:rPr>
        <w:t>动态热机械分析仪</w:t>
      </w:r>
      <w:r>
        <w:rPr>
          <w:rFonts w:hint="eastAsia" w:hAnsi="宋体"/>
          <w:b w:val="0"/>
          <w:bCs w:val="0"/>
          <w:szCs w:val="21"/>
        </w:rPr>
        <w:t>校准规范</w:t>
      </w:r>
      <w:r>
        <w:rPr>
          <w:rFonts w:hint="eastAsia" w:ascii="Times New Roman" w:hAnsi="Times New Roman" w:eastAsia="宋体" w:cs="Times New Roman"/>
          <w:b w:val="0"/>
          <w:bCs w:val="0"/>
          <w:szCs w:val="21"/>
          <w:lang w:val="en-US" w:eastAsia="zh-CN"/>
        </w:rPr>
        <w:t>》提出了修改建议和意见，具体内容见表4。修改后形成《</w:t>
      </w:r>
      <w:r>
        <w:rPr>
          <w:rFonts w:hint="eastAsia"/>
          <w:b w:val="0"/>
          <w:bCs w:val="0"/>
          <w:lang w:val="en-US" w:eastAsia="zh-CN"/>
        </w:rPr>
        <w:t>动态热机械分析仪</w:t>
      </w:r>
      <w:r>
        <w:rPr>
          <w:rFonts w:hint="eastAsia" w:hAnsi="宋体"/>
          <w:b w:val="0"/>
          <w:bCs w:val="0"/>
          <w:szCs w:val="21"/>
        </w:rPr>
        <w:t>校准规范</w:t>
      </w:r>
      <w:r>
        <w:rPr>
          <w:rFonts w:hint="eastAsia" w:ascii="Times New Roman" w:hAnsi="Times New Roman" w:eastAsia="宋体" w:cs="Times New Roman"/>
          <w:b w:val="0"/>
          <w:bCs w:val="0"/>
          <w:szCs w:val="21"/>
          <w:lang w:val="en-US" w:eastAsia="zh-CN"/>
        </w:rPr>
        <w:t>-</w:t>
      </w:r>
      <w:r>
        <w:rPr>
          <w:rFonts w:hint="eastAsia" w:hAnsi="宋体"/>
          <w:b w:val="0"/>
          <w:bCs w:val="0"/>
          <w:szCs w:val="21"/>
          <w:lang w:val="en-US" w:eastAsia="zh-CN"/>
        </w:rPr>
        <w:t>送审</w:t>
      </w:r>
      <w:r>
        <w:rPr>
          <w:rFonts w:hint="eastAsia" w:ascii="Times New Roman" w:hAnsi="Times New Roman" w:eastAsia="宋体" w:cs="Times New Roman"/>
          <w:b w:val="0"/>
          <w:bCs w:val="0"/>
          <w:szCs w:val="21"/>
          <w:lang w:val="en-US" w:eastAsia="zh-CN"/>
        </w:rPr>
        <w:t>稿》。</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center"/>
        <w:textAlignment w:val="auto"/>
        <w:rPr>
          <w:rFonts w:hint="eastAsia" w:ascii="Times New Roman" w:hAnsi="Times New Roman" w:eastAsia="宋体" w:cs="Times New Roman"/>
          <w:b w:val="0"/>
          <w:bCs w:val="0"/>
          <w:szCs w:val="21"/>
          <w:lang w:val="en-US" w:eastAsia="zh-CN"/>
        </w:rPr>
      </w:pPr>
      <w:r>
        <w:rPr>
          <w:rFonts w:hint="eastAsia"/>
          <w:b w:val="0"/>
          <w:bCs w:val="0"/>
          <w:highlight w:val="none"/>
        </w:rPr>
        <w:t>表</w:t>
      </w:r>
      <w:r>
        <w:rPr>
          <w:rFonts w:hint="eastAsia"/>
          <w:b w:val="0"/>
          <w:bCs w:val="0"/>
          <w:highlight w:val="none"/>
          <w:lang w:val="en-US" w:eastAsia="zh-CN"/>
        </w:rPr>
        <w:t>4</w:t>
      </w:r>
      <w:r>
        <w:rPr>
          <w:rFonts w:hint="eastAsia"/>
          <w:b w:val="0"/>
          <w:bCs w:val="0"/>
          <w:highlight w:val="none"/>
        </w:rPr>
        <w:t xml:space="preserve"> </w:t>
      </w:r>
      <w:r>
        <w:rPr>
          <w:rFonts w:hint="eastAsia"/>
          <w:b w:val="0"/>
          <w:bCs w:val="0"/>
          <w:highlight w:val="none"/>
          <w:lang w:val="en-US" w:eastAsia="zh-CN"/>
        </w:rPr>
        <w:t>有色金属计量技术规范研讨会会议纪要（预审稿）</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490"/>
        <w:gridCol w:w="2796"/>
        <w:gridCol w:w="2454"/>
        <w:gridCol w:w="1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序号</w:t>
            </w:r>
          </w:p>
        </w:tc>
        <w:tc>
          <w:tcPr>
            <w:tcW w:w="1490" w:type="dxa"/>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标准章条编号</w:t>
            </w:r>
          </w:p>
        </w:tc>
        <w:tc>
          <w:tcPr>
            <w:tcW w:w="2796" w:type="dxa"/>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意见内容</w:t>
            </w:r>
          </w:p>
        </w:tc>
        <w:tc>
          <w:tcPr>
            <w:tcW w:w="2454" w:type="dxa"/>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提出单位</w:t>
            </w:r>
          </w:p>
        </w:tc>
        <w:tc>
          <w:tcPr>
            <w:tcW w:w="1965" w:type="dxa"/>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处理意见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1</w:t>
            </w:r>
          </w:p>
        </w:tc>
        <w:tc>
          <w:tcPr>
            <w:tcW w:w="1490"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p>
        </w:tc>
        <w:tc>
          <w:tcPr>
            <w:tcW w:w="2796"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p>
        </w:tc>
        <w:tc>
          <w:tcPr>
            <w:tcW w:w="2454"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p>
        </w:tc>
        <w:tc>
          <w:tcPr>
            <w:tcW w:w="196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2</w:t>
            </w:r>
          </w:p>
        </w:tc>
        <w:tc>
          <w:tcPr>
            <w:tcW w:w="1490"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p>
        </w:tc>
        <w:tc>
          <w:tcPr>
            <w:tcW w:w="2796"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p>
        </w:tc>
        <w:tc>
          <w:tcPr>
            <w:tcW w:w="2454"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p>
        </w:tc>
        <w:tc>
          <w:tcPr>
            <w:tcW w:w="196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b w:val="0"/>
                <w:bCs w:val="0"/>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3</w:t>
            </w:r>
          </w:p>
        </w:tc>
        <w:tc>
          <w:tcPr>
            <w:tcW w:w="1490"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p>
        </w:tc>
        <w:tc>
          <w:tcPr>
            <w:tcW w:w="2796"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p>
        </w:tc>
        <w:tc>
          <w:tcPr>
            <w:tcW w:w="2454"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p>
        </w:tc>
        <w:tc>
          <w:tcPr>
            <w:tcW w:w="196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b w:val="0"/>
                <w:bCs w:val="0"/>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r>
              <w:rPr>
                <w:rFonts w:hint="eastAsia"/>
                <w:b w:val="0"/>
                <w:bCs w:val="0"/>
                <w:szCs w:val="21"/>
                <w:vertAlign w:val="baseline"/>
                <w:lang w:val="en-US" w:eastAsia="zh-CN"/>
              </w:rPr>
              <w:t>4</w:t>
            </w:r>
          </w:p>
        </w:tc>
        <w:tc>
          <w:tcPr>
            <w:tcW w:w="1490"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b w:val="0"/>
                <w:bCs w:val="0"/>
                <w:szCs w:val="21"/>
                <w:vertAlign w:val="baseline"/>
                <w:lang w:val="en-US" w:eastAsia="zh-CN"/>
              </w:rPr>
            </w:pPr>
          </w:p>
        </w:tc>
        <w:tc>
          <w:tcPr>
            <w:tcW w:w="2796"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p>
        </w:tc>
        <w:tc>
          <w:tcPr>
            <w:tcW w:w="2454"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b w:val="0"/>
                <w:bCs w:val="0"/>
                <w:szCs w:val="21"/>
                <w:vertAlign w:val="baseline"/>
                <w:lang w:val="en-US" w:eastAsia="zh-CN"/>
              </w:rPr>
            </w:pPr>
          </w:p>
        </w:tc>
        <w:tc>
          <w:tcPr>
            <w:tcW w:w="196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b w:val="0"/>
                <w:bCs w:val="0"/>
                <w:szCs w:val="21"/>
                <w:vertAlign w:val="baseline"/>
                <w:lang w:eastAsia="zh-CN"/>
              </w:rPr>
            </w:pPr>
          </w:p>
        </w:tc>
      </w:tr>
    </w:tbl>
    <w:p>
      <w:pPr>
        <w:pStyle w:val="2"/>
        <w:pageBreakBefore w:val="0"/>
        <w:widowControl w:val="0"/>
        <w:kinsoku/>
        <w:wordWrap/>
        <w:overflowPunct/>
        <w:topLinePunct w:val="0"/>
        <w:autoSpaceDE/>
        <w:autoSpaceDN/>
        <w:bidi w:val="0"/>
        <w:adjustRightInd w:val="0"/>
        <w:snapToGrid w:val="0"/>
        <w:spacing w:before="156" w:after="156"/>
        <w:textAlignment w:val="auto"/>
        <w:rPr>
          <w:b w:val="0"/>
          <w:bCs w:val="0"/>
        </w:rPr>
      </w:pPr>
      <w:r>
        <w:rPr>
          <w:rFonts w:hint="eastAsia"/>
          <w:b w:val="0"/>
          <w:bCs w:val="0"/>
        </w:rPr>
        <w:t>二、编制原则和依据</w:t>
      </w:r>
    </w:p>
    <w:p>
      <w:pPr>
        <w:pStyle w:val="3"/>
        <w:pageBreakBefore w:val="0"/>
        <w:widowControl w:val="0"/>
        <w:kinsoku/>
        <w:wordWrap/>
        <w:overflowPunct/>
        <w:topLinePunct w:val="0"/>
        <w:autoSpaceDE/>
        <w:autoSpaceDN/>
        <w:bidi w:val="0"/>
        <w:adjustRightInd w:val="0"/>
        <w:snapToGrid w:val="0"/>
        <w:spacing w:before="156" w:after="156"/>
        <w:textAlignment w:val="auto"/>
        <w:rPr>
          <w:b w:val="0"/>
          <w:bCs w:val="0"/>
        </w:rPr>
      </w:pPr>
      <w:bookmarkStart w:id="12" w:name="_Toc464728925"/>
      <w:r>
        <w:rPr>
          <w:rFonts w:hint="eastAsia"/>
          <w:b w:val="0"/>
          <w:bCs w:val="0"/>
        </w:rPr>
        <w:t>（一）编制原则</w:t>
      </w:r>
      <w:bookmarkEnd w:id="12"/>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b w:val="0"/>
          <w:bCs w:val="0"/>
          <w:szCs w:val="21"/>
        </w:rPr>
      </w:pPr>
      <w:bookmarkStart w:id="13" w:name="_Toc464728926"/>
      <w:r>
        <w:rPr>
          <w:rFonts w:hint="eastAsia"/>
          <w:b w:val="0"/>
          <w:bCs w:val="0"/>
          <w:szCs w:val="21"/>
        </w:rPr>
        <w:t>JJF 1071</w:t>
      </w:r>
      <w:r>
        <w:rPr>
          <w:rFonts w:hint="eastAsia"/>
          <w:b w:val="0"/>
          <w:bCs w:val="0"/>
          <w:szCs w:val="21"/>
          <w:lang w:val="en-US" w:eastAsia="zh-CN"/>
        </w:rPr>
        <w:t>-2010</w:t>
      </w:r>
      <w:r>
        <w:rPr>
          <w:rFonts w:hint="eastAsia"/>
          <w:b w:val="0"/>
          <w:bCs w:val="0"/>
          <w:szCs w:val="21"/>
        </w:rPr>
        <w:t>《国家计量校准规范编写规则》、JJF 1001-</w:t>
      </w:r>
      <w:r>
        <w:rPr>
          <w:rFonts w:hint="eastAsia"/>
          <w:b w:val="0"/>
          <w:bCs w:val="0"/>
          <w:szCs w:val="21"/>
          <w:lang w:val="en-US" w:eastAsia="zh-CN"/>
        </w:rPr>
        <w:t>2011</w:t>
      </w:r>
      <w:r>
        <w:rPr>
          <w:rFonts w:hint="eastAsia"/>
          <w:b w:val="0"/>
          <w:bCs w:val="0"/>
          <w:szCs w:val="21"/>
        </w:rPr>
        <w:t>《通用计量术语及定义》和JJF 1059.1</w:t>
      </w:r>
      <w:r>
        <w:rPr>
          <w:rFonts w:hint="eastAsia"/>
          <w:b w:val="0"/>
          <w:bCs w:val="0"/>
          <w:szCs w:val="21"/>
          <w:lang w:val="en-US" w:eastAsia="zh-CN"/>
        </w:rPr>
        <w:t>-</w:t>
      </w:r>
      <w:r>
        <w:rPr>
          <w:rFonts w:hint="eastAsia"/>
          <w:b w:val="0"/>
          <w:bCs w:val="0"/>
          <w:szCs w:val="21"/>
        </w:rPr>
        <w:t>《测量不确定度评定与表示》</w:t>
      </w:r>
      <w:r>
        <w:rPr>
          <w:rFonts w:hint="eastAsia"/>
          <w:b w:val="0"/>
          <w:bCs w:val="0"/>
          <w:szCs w:val="21"/>
          <w:lang w:val="en-US" w:eastAsia="zh-CN"/>
        </w:rPr>
        <w:t>共同构成</w:t>
      </w:r>
      <w:r>
        <w:rPr>
          <w:rFonts w:hint="eastAsia"/>
          <w:b w:val="0"/>
          <w:bCs w:val="0"/>
          <w:lang w:val="en-US" w:eastAsia="zh-CN"/>
        </w:rPr>
        <w:t>动态热机械分析仪</w:t>
      </w:r>
      <w:r>
        <w:rPr>
          <w:rFonts w:hint="eastAsia"/>
          <w:b w:val="0"/>
          <w:bCs w:val="0"/>
        </w:rPr>
        <w:t>校准规范</w:t>
      </w:r>
      <w:r>
        <w:rPr>
          <w:rFonts w:hint="eastAsia"/>
          <w:b w:val="0"/>
          <w:bCs w:val="0"/>
          <w:szCs w:val="21"/>
        </w:rPr>
        <w:t>。</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b w:val="0"/>
          <w:bCs w:val="0"/>
          <w:szCs w:val="21"/>
        </w:rPr>
      </w:pPr>
      <w:r>
        <w:rPr>
          <w:rFonts w:hint="eastAsia"/>
          <w:b w:val="0"/>
          <w:bCs w:val="0"/>
          <w:szCs w:val="21"/>
        </w:rPr>
        <w:t>本规范</w:t>
      </w:r>
      <w:r>
        <w:rPr>
          <w:rFonts w:hint="eastAsia"/>
          <w:b w:val="0"/>
          <w:bCs w:val="0"/>
          <w:szCs w:val="21"/>
          <w:lang w:val="en-US" w:eastAsia="zh-CN"/>
        </w:rPr>
        <w:t>参考了JJG 936-2012《示差扫描热量计》、</w:t>
      </w:r>
      <w:bookmarkStart w:id="14" w:name="OLE_LINK2"/>
      <w:r>
        <w:rPr>
          <w:rFonts w:hint="eastAsia"/>
          <w:b w:val="0"/>
          <w:bCs w:val="0"/>
          <w:szCs w:val="21"/>
          <w:lang w:val="en-US" w:eastAsia="zh-CN"/>
        </w:rPr>
        <w:t>JJF 2069-2023《静态热机械分析仪校准规范》、ASTM E1867-22</w:t>
      </w:r>
      <w:bookmarkEnd w:id="14"/>
      <w:r>
        <w:rPr>
          <w:rFonts w:hint="eastAsia"/>
          <w:b w:val="0"/>
          <w:bCs w:val="0"/>
          <w:szCs w:val="21"/>
          <w:lang w:val="en-US" w:eastAsia="zh-CN"/>
        </w:rPr>
        <w:t>《动态热机械分析仪温度校准的标准试验方法》（Standard Test Methods for Temperature Calibration of Dynamic Mechanical Analyzers）、GB/T 40396-2021《聚合物基复合材料玻璃化转变温度试验方法 动态力学分析法（DMA）》</w:t>
      </w:r>
      <w:r>
        <w:rPr>
          <w:rFonts w:hint="eastAsia"/>
          <w:b w:val="0"/>
          <w:bCs w:val="0"/>
          <w:szCs w:val="21"/>
        </w:rPr>
        <w:t>等</w:t>
      </w:r>
      <w:r>
        <w:rPr>
          <w:rFonts w:hint="eastAsia"/>
          <w:b w:val="0"/>
          <w:bCs w:val="0"/>
          <w:szCs w:val="21"/>
          <w:lang w:val="en-US" w:eastAsia="zh-CN"/>
        </w:rPr>
        <w:t>相关技术</w:t>
      </w:r>
      <w:r>
        <w:rPr>
          <w:rFonts w:hint="eastAsia"/>
          <w:b w:val="0"/>
          <w:bCs w:val="0"/>
          <w:szCs w:val="21"/>
        </w:rPr>
        <w:t>内容</w:t>
      </w:r>
      <w:r>
        <w:rPr>
          <w:rFonts w:hint="eastAsia"/>
          <w:b w:val="0"/>
          <w:bCs w:val="0"/>
          <w:szCs w:val="21"/>
          <w:lang w:eastAsia="zh-CN"/>
        </w:rPr>
        <w:t>。</w:t>
      </w:r>
      <w:r>
        <w:rPr>
          <w:rFonts w:hint="eastAsia"/>
          <w:b w:val="0"/>
          <w:bCs w:val="0"/>
          <w:szCs w:val="21"/>
        </w:rPr>
        <w:t>提出了对</w:t>
      </w:r>
      <w:r>
        <w:rPr>
          <w:rFonts w:hint="eastAsia"/>
          <w:b w:val="0"/>
          <w:bCs w:val="0"/>
          <w:lang w:val="en-US" w:eastAsia="zh-CN"/>
        </w:rPr>
        <w:t>动态热机械分析仪</w:t>
      </w:r>
      <w:r>
        <w:rPr>
          <w:rFonts w:hint="eastAsia"/>
          <w:b w:val="0"/>
          <w:bCs w:val="0"/>
          <w:szCs w:val="21"/>
        </w:rPr>
        <w:t>计量特性的要求，制定了基本原则和编制依据，可对</w:t>
      </w:r>
      <w:r>
        <w:rPr>
          <w:rFonts w:hint="eastAsia"/>
          <w:b w:val="0"/>
          <w:bCs w:val="0"/>
          <w:szCs w:val="21"/>
          <w:lang w:val="en-US" w:eastAsia="zh-CN"/>
        </w:rPr>
        <w:t>动态热机械分析仪</w:t>
      </w:r>
      <w:r>
        <w:rPr>
          <w:rFonts w:hint="eastAsia"/>
          <w:b w:val="0"/>
          <w:bCs w:val="0"/>
          <w:szCs w:val="21"/>
        </w:rPr>
        <w:t>进行校准，解决了目前没有</w:t>
      </w:r>
      <w:r>
        <w:rPr>
          <w:rFonts w:hint="eastAsia"/>
          <w:b w:val="0"/>
          <w:bCs w:val="0"/>
          <w:lang w:val="en-US" w:eastAsia="zh-CN"/>
        </w:rPr>
        <w:t>动态热机械分析仪</w:t>
      </w:r>
      <w:r>
        <w:rPr>
          <w:rFonts w:hint="eastAsia"/>
          <w:b w:val="0"/>
          <w:bCs w:val="0"/>
          <w:szCs w:val="21"/>
        </w:rPr>
        <w:t>校准方法的难题。</w:t>
      </w:r>
    </w:p>
    <w:p>
      <w:pPr>
        <w:pStyle w:val="3"/>
        <w:pageBreakBefore w:val="0"/>
        <w:widowControl w:val="0"/>
        <w:kinsoku/>
        <w:wordWrap/>
        <w:overflowPunct/>
        <w:topLinePunct w:val="0"/>
        <w:autoSpaceDE/>
        <w:autoSpaceDN/>
        <w:bidi w:val="0"/>
        <w:adjustRightInd w:val="0"/>
        <w:snapToGrid w:val="0"/>
        <w:spacing w:before="156" w:after="156"/>
        <w:textAlignment w:val="auto"/>
        <w:rPr>
          <w:rFonts w:ascii="宋体" w:hAnsi="宋体"/>
          <w:b w:val="0"/>
          <w:bCs w:val="0"/>
        </w:rPr>
      </w:pPr>
      <w:r>
        <w:rPr>
          <w:rFonts w:hint="eastAsia"/>
          <w:b w:val="0"/>
          <w:bCs w:val="0"/>
        </w:rPr>
        <w:t>（二）确定主要内</w:t>
      </w:r>
      <w:bookmarkEnd w:id="13"/>
      <w:r>
        <w:rPr>
          <w:rFonts w:hint="eastAsia"/>
          <w:b w:val="0"/>
          <w:bCs w:val="0"/>
        </w:rPr>
        <w:t>容</w:t>
      </w:r>
    </w:p>
    <w:p>
      <w:pPr>
        <w:pStyle w:val="4"/>
        <w:pageBreakBefore w:val="0"/>
        <w:widowControl w:val="0"/>
        <w:kinsoku/>
        <w:wordWrap/>
        <w:overflowPunct/>
        <w:topLinePunct w:val="0"/>
        <w:autoSpaceDE/>
        <w:autoSpaceDN/>
        <w:bidi w:val="0"/>
        <w:adjustRightInd w:val="0"/>
        <w:snapToGrid w:val="0"/>
        <w:spacing w:before="156" w:after="156"/>
        <w:textAlignment w:val="auto"/>
        <w:rPr>
          <w:b w:val="0"/>
          <w:bCs w:val="0"/>
        </w:rPr>
      </w:pPr>
      <w:bookmarkStart w:id="15" w:name="_Toc500258929"/>
      <w:bookmarkStart w:id="16" w:name="_Toc193860027"/>
      <w:bookmarkStart w:id="17" w:name="_Toc193860177"/>
      <w:bookmarkStart w:id="18" w:name="_Toc193860208"/>
      <w:bookmarkStart w:id="19" w:name="_Toc23837_WPSOffice_Level1"/>
      <w:bookmarkStart w:id="20" w:name="_Toc464728964"/>
      <w:r>
        <w:rPr>
          <w:rFonts w:hint="eastAsia"/>
          <w:b w:val="0"/>
          <w:bCs w:val="0"/>
        </w:rPr>
        <w:t>1范围</w:t>
      </w:r>
      <w:bookmarkEnd w:id="15"/>
      <w:bookmarkEnd w:id="16"/>
      <w:bookmarkEnd w:id="17"/>
      <w:bookmarkEnd w:id="18"/>
      <w:bookmarkEnd w:id="19"/>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Theme="minorEastAsia"/>
          <w:b w:val="0"/>
          <w:bCs w:val="0"/>
          <w:kern w:val="0"/>
          <w:szCs w:val="21"/>
          <w:lang w:val="en-US" w:eastAsia="zh-CN"/>
        </w:rPr>
      </w:pPr>
      <w:r>
        <w:rPr>
          <w:rFonts w:hint="eastAsia" w:eastAsiaTheme="minorEastAsia"/>
          <w:b w:val="0"/>
          <w:bCs w:val="0"/>
          <w:kern w:val="0"/>
          <w:szCs w:val="21"/>
          <w:lang w:val="en-US" w:eastAsia="zh-CN"/>
        </w:rPr>
        <w:t>本规范适用于温度范围从室温到800℃的动态热机械分</w:t>
      </w:r>
      <w:bookmarkStart w:id="92" w:name="_GoBack"/>
      <w:bookmarkEnd w:id="92"/>
      <w:r>
        <w:rPr>
          <w:rFonts w:hint="eastAsia" w:eastAsiaTheme="minorEastAsia"/>
          <w:b w:val="0"/>
          <w:bCs w:val="0"/>
          <w:kern w:val="0"/>
          <w:szCs w:val="21"/>
          <w:lang w:val="en-US" w:eastAsia="zh-CN"/>
        </w:rPr>
        <w:t>析仪（Dynamic Mechanical Analyzers，简称DMA）的校准，其他温度测量范围的也可参考本规范。</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center"/>
        <w:textAlignment w:val="auto"/>
        <w:rPr>
          <w:rFonts w:hint="eastAsia" w:eastAsiaTheme="minorEastAsia"/>
          <w:b w:val="0"/>
          <w:bCs w:val="0"/>
          <w:kern w:val="0"/>
          <w:szCs w:val="21"/>
          <w:lang w:val="en-US" w:eastAsia="zh-CN"/>
        </w:rPr>
      </w:pPr>
      <w:r>
        <w:rPr>
          <w:rFonts w:hint="eastAsia" w:eastAsiaTheme="minorEastAsia"/>
          <w:b w:val="0"/>
          <w:bCs w:val="0"/>
          <w:kern w:val="0"/>
          <w:szCs w:val="21"/>
          <w:lang w:val="en-US" w:eastAsia="zh-CN"/>
        </w:rPr>
        <w:t>表4 设备调研信息</w:t>
      </w:r>
    </w:p>
    <w:tbl>
      <w:tblPr>
        <w:tblStyle w:val="4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5"/>
        <w:gridCol w:w="2841"/>
        <w:gridCol w:w="2057"/>
        <w:gridCol w:w="1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eastAsia" w:eastAsiaTheme="minorEastAsia"/>
                <w:b w:val="0"/>
                <w:bCs w:val="0"/>
                <w:kern w:val="0"/>
                <w:szCs w:val="21"/>
                <w:vertAlign w:val="baseline"/>
                <w:lang w:val="en-US" w:eastAsia="zh-CN"/>
              </w:rPr>
              <w:t>设备厂家</w:t>
            </w:r>
          </w:p>
        </w:tc>
        <w:tc>
          <w:tcPr>
            <w:tcW w:w="148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eastAsia" w:eastAsiaTheme="minorEastAsia"/>
                <w:b w:val="0"/>
                <w:bCs w:val="0"/>
                <w:kern w:val="0"/>
                <w:szCs w:val="21"/>
                <w:vertAlign w:val="baseline"/>
                <w:lang w:val="en-US" w:eastAsia="zh-CN"/>
              </w:rPr>
              <w:t>设备型号</w:t>
            </w:r>
          </w:p>
        </w:tc>
        <w:tc>
          <w:tcPr>
            <w:tcW w:w="107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eastAsia" w:eastAsiaTheme="minorEastAsia"/>
                <w:b w:val="0"/>
                <w:bCs w:val="0"/>
                <w:kern w:val="0"/>
                <w:szCs w:val="21"/>
                <w:vertAlign w:val="baseline"/>
                <w:lang w:val="en-US" w:eastAsia="zh-CN"/>
              </w:rPr>
              <w:t>温度范围</w:t>
            </w:r>
          </w:p>
        </w:tc>
        <w:tc>
          <w:tcPr>
            <w:tcW w:w="88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动态位移范围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eastAsia" w:eastAsiaTheme="minorEastAsia"/>
                <w:b w:val="0"/>
                <w:bCs w:val="0"/>
                <w:kern w:val="0"/>
                <w:szCs w:val="21"/>
                <w:vertAlign w:val="baseline"/>
                <w:lang w:val="en-US" w:eastAsia="zh-CN"/>
              </w:rPr>
              <w:t>美国沃特世（TA）</w:t>
            </w:r>
          </w:p>
        </w:tc>
        <w:tc>
          <w:tcPr>
            <w:tcW w:w="148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DMA 850</w:t>
            </w:r>
          </w:p>
        </w:tc>
        <w:tc>
          <w:tcPr>
            <w:tcW w:w="107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-150</w:t>
            </w:r>
            <w:r>
              <w:rPr>
                <w:rFonts w:hint="eastAsia" w:eastAsiaTheme="minorEastAsia"/>
                <w:b w:val="0"/>
                <w:bCs w:val="0"/>
                <w:kern w:val="0"/>
                <w:szCs w:val="21"/>
                <w:vertAlign w:val="baseline"/>
                <w:lang w:val="en-US" w:eastAsia="zh-CN"/>
              </w:rPr>
              <w:t>～</w:t>
            </w:r>
            <w:r>
              <w:rPr>
                <w:rFonts w:hint="default" w:eastAsiaTheme="minorEastAsia"/>
                <w:b w:val="0"/>
                <w:bCs w:val="0"/>
                <w:kern w:val="0"/>
                <w:szCs w:val="21"/>
                <w:vertAlign w:val="baseline"/>
                <w:lang w:val="en-US" w:eastAsia="zh-CN"/>
              </w:rPr>
              <w:t>600℃</w:t>
            </w:r>
          </w:p>
        </w:tc>
        <w:tc>
          <w:tcPr>
            <w:tcW w:w="88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0-10000 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eastAsia" w:eastAsiaTheme="minorEastAsia"/>
                <w:b w:val="0"/>
                <w:bCs w:val="0"/>
                <w:kern w:val="0"/>
                <w:szCs w:val="21"/>
                <w:vertAlign w:val="baseline"/>
                <w:lang w:val="en-US" w:eastAsia="zh-CN"/>
              </w:rPr>
              <w:t>德国耐驰（</w:t>
            </w:r>
            <w:r>
              <w:rPr>
                <w:rFonts w:hint="default" w:eastAsiaTheme="minorEastAsia"/>
                <w:b w:val="0"/>
                <w:bCs w:val="0"/>
                <w:kern w:val="0"/>
                <w:szCs w:val="21"/>
                <w:vertAlign w:val="baseline"/>
                <w:lang w:val="en-US" w:eastAsia="zh-CN"/>
              </w:rPr>
              <w:t>Ne</w:t>
            </w:r>
            <w:r>
              <w:rPr>
                <w:rFonts w:hint="eastAsia" w:eastAsiaTheme="minorEastAsia"/>
                <w:b w:val="0"/>
                <w:bCs w:val="0"/>
                <w:kern w:val="0"/>
                <w:szCs w:val="21"/>
                <w:vertAlign w:val="baseline"/>
                <w:lang w:val="en-US" w:eastAsia="zh-CN"/>
              </w:rPr>
              <w:t>tzsch）</w:t>
            </w:r>
          </w:p>
        </w:tc>
        <w:tc>
          <w:tcPr>
            <w:tcW w:w="148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DMA</w:t>
            </w:r>
            <w:r>
              <w:rPr>
                <w:rFonts w:hint="eastAsia" w:eastAsiaTheme="minorEastAsia"/>
                <w:b w:val="0"/>
                <w:bCs w:val="0"/>
                <w:kern w:val="0"/>
                <w:szCs w:val="21"/>
                <w:vertAlign w:val="baseline"/>
                <w:lang w:val="en-US" w:eastAsia="zh-CN"/>
              </w:rPr>
              <w:t xml:space="preserve"> </w:t>
            </w:r>
            <w:r>
              <w:rPr>
                <w:rFonts w:hint="default" w:eastAsiaTheme="minorEastAsia"/>
                <w:b w:val="0"/>
                <w:bCs w:val="0"/>
                <w:kern w:val="0"/>
                <w:szCs w:val="21"/>
                <w:vertAlign w:val="baseline"/>
                <w:lang w:val="en-US" w:eastAsia="zh-CN"/>
              </w:rPr>
              <w:t>303</w:t>
            </w:r>
          </w:p>
        </w:tc>
        <w:tc>
          <w:tcPr>
            <w:tcW w:w="107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-170</w:t>
            </w:r>
            <w:r>
              <w:rPr>
                <w:rFonts w:hint="eastAsia" w:eastAsiaTheme="minorEastAsia"/>
                <w:b w:val="0"/>
                <w:bCs w:val="0"/>
                <w:kern w:val="0"/>
                <w:szCs w:val="21"/>
                <w:vertAlign w:val="baseline"/>
                <w:lang w:val="en-US" w:eastAsia="zh-CN"/>
              </w:rPr>
              <w:t>～</w:t>
            </w:r>
            <w:r>
              <w:rPr>
                <w:rFonts w:hint="default" w:eastAsiaTheme="minorEastAsia"/>
                <w:b w:val="0"/>
                <w:bCs w:val="0"/>
                <w:kern w:val="0"/>
                <w:szCs w:val="21"/>
                <w:vertAlign w:val="baseline"/>
                <w:lang w:val="en-US" w:eastAsia="zh-CN"/>
              </w:rPr>
              <w:t>800℃</w:t>
            </w:r>
          </w:p>
        </w:tc>
        <w:tc>
          <w:tcPr>
            <w:tcW w:w="88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0-30000 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eastAsia" w:eastAsiaTheme="minorEastAsia"/>
                <w:b w:val="0"/>
                <w:bCs w:val="0"/>
                <w:kern w:val="0"/>
                <w:szCs w:val="21"/>
                <w:vertAlign w:val="baseline"/>
                <w:lang w:val="en-US" w:eastAsia="zh-CN"/>
              </w:rPr>
              <w:t>珀金埃尔默（</w:t>
            </w:r>
            <w:r>
              <w:rPr>
                <w:rFonts w:hint="default" w:eastAsiaTheme="minorEastAsia"/>
                <w:b w:val="0"/>
                <w:bCs w:val="0"/>
                <w:kern w:val="0"/>
                <w:szCs w:val="21"/>
                <w:vertAlign w:val="baseline"/>
                <w:lang w:val="en-US" w:eastAsia="zh-CN"/>
              </w:rPr>
              <w:t>P</w:t>
            </w:r>
            <w:r>
              <w:rPr>
                <w:rFonts w:hint="eastAsia" w:eastAsiaTheme="minorEastAsia"/>
                <w:b w:val="0"/>
                <w:bCs w:val="0"/>
                <w:kern w:val="0"/>
                <w:szCs w:val="21"/>
                <w:vertAlign w:val="baseline"/>
                <w:lang w:val="en-US" w:eastAsia="zh-CN"/>
              </w:rPr>
              <w:t xml:space="preserve">erkin </w:t>
            </w:r>
            <w:r>
              <w:rPr>
                <w:rFonts w:hint="default" w:eastAsiaTheme="minorEastAsia"/>
                <w:b w:val="0"/>
                <w:bCs w:val="0"/>
                <w:kern w:val="0"/>
                <w:szCs w:val="21"/>
                <w:vertAlign w:val="baseline"/>
                <w:lang w:val="en-US" w:eastAsia="zh-CN"/>
              </w:rPr>
              <w:t>E</w:t>
            </w:r>
            <w:r>
              <w:rPr>
                <w:rFonts w:hint="eastAsia" w:eastAsiaTheme="minorEastAsia"/>
                <w:b w:val="0"/>
                <w:bCs w:val="0"/>
                <w:kern w:val="0"/>
                <w:szCs w:val="21"/>
                <w:vertAlign w:val="baseline"/>
                <w:lang w:val="en-US" w:eastAsia="zh-CN"/>
              </w:rPr>
              <w:t>lmer）</w:t>
            </w:r>
          </w:p>
        </w:tc>
        <w:tc>
          <w:tcPr>
            <w:tcW w:w="148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DMA</w:t>
            </w:r>
            <w:r>
              <w:rPr>
                <w:rFonts w:hint="eastAsia" w:eastAsiaTheme="minorEastAsia"/>
                <w:b w:val="0"/>
                <w:bCs w:val="0"/>
                <w:kern w:val="0"/>
                <w:szCs w:val="21"/>
                <w:vertAlign w:val="baseline"/>
                <w:lang w:val="en-US" w:eastAsia="zh-CN"/>
              </w:rPr>
              <w:t xml:space="preserve"> </w:t>
            </w:r>
            <w:r>
              <w:rPr>
                <w:rFonts w:hint="default" w:eastAsiaTheme="minorEastAsia"/>
                <w:b w:val="0"/>
                <w:bCs w:val="0"/>
                <w:kern w:val="0"/>
                <w:szCs w:val="21"/>
                <w:vertAlign w:val="baseline"/>
                <w:lang w:val="en-US" w:eastAsia="zh-CN"/>
              </w:rPr>
              <w:t>8000</w:t>
            </w:r>
          </w:p>
        </w:tc>
        <w:tc>
          <w:tcPr>
            <w:tcW w:w="107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-100</w:t>
            </w:r>
            <w:r>
              <w:rPr>
                <w:rFonts w:hint="eastAsia" w:eastAsiaTheme="minorEastAsia"/>
                <w:b w:val="0"/>
                <w:bCs w:val="0"/>
                <w:kern w:val="0"/>
                <w:szCs w:val="21"/>
                <w:vertAlign w:val="baseline"/>
                <w:lang w:val="en-US" w:eastAsia="zh-CN"/>
              </w:rPr>
              <w:t>～</w:t>
            </w:r>
            <w:r>
              <w:rPr>
                <w:rFonts w:hint="default" w:eastAsiaTheme="minorEastAsia"/>
                <w:b w:val="0"/>
                <w:bCs w:val="0"/>
                <w:kern w:val="0"/>
                <w:szCs w:val="21"/>
                <w:vertAlign w:val="baseline"/>
                <w:lang w:val="en-US" w:eastAsia="zh-CN"/>
              </w:rPr>
              <w:t>400℃</w:t>
            </w:r>
          </w:p>
        </w:tc>
        <w:tc>
          <w:tcPr>
            <w:tcW w:w="88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0-1000 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eastAsia" w:eastAsiaTheme="minorEastAsia"/>
                <w:b w:val="0"/>
                <w:bCs w:val="0"/>
                <w:kern w:val="0"/>
                <w:szCs w:val="21"/>
                <w:vertAlign w:val="baseline"/>
                <w:lang w:val="en-US" w:eastAsia="zh-CN"/>
              </w:rPr>
              <w:t>梅特勒托利多（</w:t>
            </w:r>
            <w:r>
              <w:rPr>
                <w:rFonts w:hint="default" w:eastAsiaTheme="minorEastAsia"/>
                <w:b w:val="0"/>
                <w:bCs w:val="0"/>
                <w:kern w:val="0"/>
                <w:szCs w:val="21"/>
                <w:vertAlign w:val="baseline"/>
                <w:lang w:val="en-US" w:eastAsia="zh-CN"/>
              </w:rPr>
              <w:t>Mettler</w:t>
            </w:r>
            <w:r>
              <w:rPr>
                <w:rFonts w:hint="eastAsia" w:eastAsiaTheme="minorEastAsia"/>
                <w:b w:val="0"/>
                <w:bCs w:val="0"/>
                <w:kern w:val="0"/>
                <w:szCs w:val="21"/>
                <w:vertAlign w:val="baseline"/>
                <w:lang w:val="en-US" w:eastAsia="zh-CN"/>
              </w:rPr>
              <w:t xml:space="preserve"> Toledo）</w:t>
            </w:r>
          </w:p>
        </w:tc>
        <w:tc>
          <w:tcPr>
            <w:tcW w:w="148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DMA SDTA</w:t>
            </w:r>
            <w:r>
              <w:rPr>
                <w:rFonts w:hint="eastAsia" w:eastAsiaTheme="minorEastAsia"/>
                <w:b w:val="0"/>
                <w:bCs w:val="0"/>
                <w:kern w:val="0"/>
                <w:szCs w:val="21"/>
                <w:vertAlign w:val="baseline"/>
                <w:lang w:val="en-US" w:eastAsia="zh-CN"/>
              </w:rPr>
              <w:t>861e</w:t>
            </w:r>
          </w:p>
        </w:tc>
        <w:tc>
          <w:tcPr>
            <w:tcW w:w="107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-150</w:t>
            </w:r>
            <w:r>
              <w:rPr>
                <w:rFonts w:hint="eastAsia" w:eastAsiaTheme="minorEastAsia"/>
                <w:b w:val="0"/>
                <w:bCs w:val="0"/>
                <w:kern w:val="0"/>
                <w:szCs w:val="21"/>
                <w:vertAlign w:val="baseline"/>
                <w:lang w:val="en-US" w:eastAsia="zh-CN"/>
              </w:rPr>
              <w:t>～</w:t>
            </w:r>
            <w:r>
              <w:rPr>
                <w:rFonts w:hint="default" w:eastAsiaTheme="minorEastAsia"/>
                <w:b w:val="0"/>
                <w:bCs w:val="0"/>
                <w:kern w:val="0"/>
                <w:szCs w:val="21"/>
                <w:vertAlign w:val="baseline"/>
                <w:lang w:val="en-US" w:eastAsia="zh-CN"/>
              </w:rPr>
              <w:t>500℃</w:t>
            </w:r>
          </w:p>
        </w:tc>
        <w:tc>
          <w:tcPr>
            <w:tcW w:w="88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0-1600 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eastAsia" w:eastAsiaTheme="minorEastAsia"/>
                <w:b w:val="0"/>
                <w:bCs w:val="0"/>
                <w:kern w:val="0"/>
                <w:szCs w:val="21"/>
                <w:vertAlign w:val="baseline"/>
                <w:lang w:val="en-US" w:eastAsia="zh-CN"/>
              </w:rPr>
              <w:t>法国麦特韦伯（</w:t>
            </w:r>
            <w:r>
              <w:rPr>
                <w:rFonts w:hint="default" w:eastAsiaTheme="minorEastAsia"/>
                <w:b w:val="0"/>
                <w:bCs w:val="0"/>
                <w:kern w:val="0"/>
                <w:szCs w:val="21"/>
                <w:vertAlign w:val="baseline"/>
                <w:lang w:val="en-US" w:eastAsia="zh-CN"/>
              </w:rPr>
              <w:t>M</w:t>
            </w:r>
            <w:r>
              <w:rPr>
                <w:rFonts w:hint="eastAsia" w:eastAsiaTheme="minorEastAsia"/>
                <w:b w:val="0"/>
                <w:bCs w:val="0"/>
                <w:kern w:val="0"/>
                <w:szCs w:val="21"/>
                <w:vertAlign w:val="baseline"/>
                <w:lang w:val="en-US" w:eastAsia="zh-CN"/>
              </w:rPr>
              <w:t>etravib）</w:t>
            </w:r>
          </w:p>
        </w:tc>
        <w:tc>
          <w:tcPr>
            <w:tcW w:w="148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DMA</w:t>
            </w:r>
            <w:r>
              <w:rPr>
                <w:rFonts w:hint="eastAsia" w:eastAsiaTheme="minorEastAsia"/>
                <w:b w:val="0"/>
                <w:bCs w:val="0"/>
                <w:kern w:val="0"/>
                <w:szCs w:val="21"/>
                <w:vertAlign w:val="baseline"/>
                <w:lang w:val="en-US" w:eastAsia="zh-CN"/>
              </w:rPr>
              <w:t>+ 450</w:t>
            </w:r>
          </w:p>
        </w:tc>
        <w:tc>
          <w:tcPr>
            <w:tcW w:w="1075"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-150</w:t>
            </w:r>
            <w:r>
              <w:rPr>
                <w:rFonts w:hint="eastAsia" w:eastAsiaTheme="minorEastAsia"/>
                <w:b w:val="0"/>
                <w:bCs w:val="0"/>
                <w:kern w:val="0"/>
                <w:szCs w:val="21"/>
                <w:vertAlign w:val="baseline"/>
                <w:lang w:val="en-US" w:eastAsia="zh-CN"/>
              </w:rPr>
              <w:t>～</w:t>
            </w:r>
            <w:r>
              <w:rPr>
                <w:rFonts w:hint="default" w:eastAsiaTheme="minorEastAsia"/>
                <w:b w:val="0"/>
                <w:bCs w:val="0"/>
                <w:kern w:val="0"/>
                <w:szCs w:val="21"/>
                <w:vertAlign w:val="baseline"/>
                <w:lang w:val="en-US" w:eastAsia="zh-CN"/>
              </w:rPr>
              <w:t>450℃</w:t>
            </w:r>
          </w:p>
        </w:tc>
        <w:tc>
          <w:tcPr>
            <w:tcW w:w="88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eastAsiaTheme="minorEastAsia"/>
                <w:b w:val="0"/>
                <w:bCs w:val="0"/>
                <w:kern w:val="0"/>
                <w:szCs w:val="21"/>
                <w:vertAlign w:val="baseline"/>
                <w:lang w:val="en-US" w:eastAsia="zh-CN"/>
              </w:rPr>
            </w:pPr>
            <w:r>
              <w:rPr>
                <w:rFonts w:hint="default" w:eastAsiaTheme="minorEastAsia"/>
                <w:b w:val="0"/>
                <w:bCs w:val="0"/>
                <w:kern w:val="0"/>
                <w:szCs w:val="21"/>
                <w:vertAlign w:val="baseline"/>
                <w:lang w:val="en-US" w:eastAsia="zh-CN"/>
              </w:rPr>
              <w:t>0-3000 μm</w:t>
            </w:r>
          </w:p>
        </w:tc>
      </w:tr>
    </w:tbl>
    <w:p>
      <w:pPr>
        <w:pStyle w:val="4"/>
        <w:pageBreakBefore w:val="0"/>
        <w:kinsoku/>
        <w:wordWrap/>
        <w:overflowPunct/>
        <w:topLinePunct w:val="0"/>
        <w:bidi w:val="0"/>
        <w:adjustRightInd w:val="0"/>
        <w:snapToGrid w:val="0"/>
        <w:spacing w:before="156" w:after="156"/>
        <w:textAlignment w:val="auto"/>
        <w:rPr>
          <w:rFonts w:hint="eastAsia" w:eastAsiaTheme="minorEastAsia"/>
          <w:b w:val="0"/>
          <w:bCs w:val="0"/>
          <w:kern w:val="0"/>
          <w:szCs w:val="21"/>
          <w:highlight w:val="none"/>
        </w:rPr>
      </w:pPr>
      <w:bookmarkStart w:id="21" w:name="_Toc193860209"/>
      <w:bookmarkStart w:id="22" w:name="_Toc193860028"/>
      <w:bookmarkStart w:id="23" w:name="_Toc193860178"/>
      <w:bookmarkStart w:id="24" w:name="_Toc500258930"/>
      <w:bookmarkStart w:id="25" w:name="_Toc7848_WPSOffice_Level1"/>
      <w:r>
        <w:rPr>
          <w:rFonts w:hint="eastAsia"/>
          <w:b w:val="0"/>
          <w:bCs w:val="0"/>
        </w:rPr>
        <w:t>2 引用文</w:t>
      </w:r>
      <w:bookmarkEnd w:id="21"/>
      <w:bookmarkEnd w:id="22"/>
      <w:bookmarkEnd w:id="23"/>
      <w:r>
        <w:rPr>
          <w:rFonts w:hint="eastAsia"/>
          <w:b w:val="0"/>
          <w:bCs w:val="0"/>
        </w:rPr>
        <w:t>件</w:t>
      </w:r>
      <w:bookmarkEnd w:id="24"/>
      <w:bookmarkEnd w:id="25"/>
    </w:p>
    <w:p>
      <w:pPr>
        <w:pageBreakBefore w:val="0"/>
        <w:kinsoku/>
        <w:wordWrap/>
        <w:overflowPunct/>
        <w:topLinePunct w:val="0"/>
        <w:bidi w:val="0"/>
        <w:adjustRightInd w:val="0"/>
        <w:snapToGrid w:val="0"/>
        <w:spacing w:line="400" w:lineRule="exact"/>
        <w:ind w:firstLine="420" w:firstLineChars="200"/>
        <w:textAlignment w:val="auto"/>
        <w:rPr>
          <w:rFonts w:hint="eastAsia" w:eastAsiaTheme="minorEastAsia"/>
          <w:b w:val="0"/>
          <w:bCs w:val="0"/>
          <w:kern w:val="0"/>
          <w:szCs w:val="21"/>
          <w:highlight w:val="none"/>
        </w:rPr>
      </w:pPr>
      <w:r>
        <w:rPr>
          <w:rFonts w:hint="eastAsia" w:eastAsiaTheme="minorEastAsia"/>
          <w:b w:val="0"/>
          <w:bCs w:val="0"/>
          <w:kern w:val="0"/>
          <w:szCs w:val="21"/>
          <w:highlight w:val="none"/>
          <w:lang w:val="en-US" w:eastAsia="zh-CN"/>
        </w:rPr>
        <w:t>本规范无引用文件。</w:t>
      </w:r>
    </w:p>
    <w:p>
      <w:pPr>
        <w:pStyle w:val="4"/>
        <w:pageBreakBefore w:val="0"/>
        <w:kinsoku/>
        <w:wordWrap/>
        <w:overflowPunct/>
        <w:topLinePunct w:val="0"/>
        <w:bidi w:val="0"/>
        <w:adjustRightInd w:val="0"/>
        <w:snapToGrid w:val="0"/>
        <w:spacing w:before="156" w:after="156"/>
        <w:textAlignment w:val="auto"/>
        <w:rPr>
          <w:b w:val="0"/>
          <w:bCs w:val="0"/>
        </w:rPr>
      </w:pPr>
      <w:bookmarkStart w:id="26" w:name="_Toc193860180"/>
      <w:bookmarkStart w:id="27" w:name="_Toc193860211"/>
      <w:bookmarkStart w:id="28" w:name="_Toc500258937"/>
      <w:bookmarkStart w:id="29" w:name="_Toc193860030"/>
      <w:bookmarkStart w:id="30" w:name="_Toc193619055"/>
      <w:bookmarkStart w:id="31" w:name="_Toc13054_WPSOffice_Level1"/>
      <w:bookmarkStart w:id="32" w:name="_Toc193618952"/>
      <w:bookmarkStart w:id="33" w:name="_Toc193619097"/>
      <w:r>
        <w:rPr>
          <w:rFonts w:hint="eastAsia"/>
          <w:b w:val="0"/>
          <w:bCs w:val="0"/>
        </w:rPr>
        <w:t>3 概述</w:t>
      </w:r>
      <w:bookmarkEnd w:id="26"/>
      <w:bookmarkEnd w:id="27"/>
      <w:bookmarkEnd w:id="28"/>
      <w:bookmarkEnd w:id="29"/>
      <w:bookmarkEnd w:id="30"/>
      <w:bookmarkEnd w:id="31"/>
      <w:bookmarkEnd w:id="32"/>
      <w:bookmarkEnd w:id="33"/>
    </w:p>
    <w:p>
      <w:pPr>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default"/>
          <w:b w:val="0"/>
          <w:bCs w:val="0"/>
          <w:lang w:val="en-US"/>
        </w:rPr>
      </w:pPr>
      <w:r>
        <w:rPr>
          <w:rFonts w:hint="eastAsia"/>
          <w:b w:val="0"/>
          <w:bCs w:val="0"/>
          <w:lang w:val="en-US" w:eastAsia="zh-CN"/>
        </w:rPr>
        <w:t>动态热机械分析仪是测量样品黏弹性能与时间或温度关系的仪器。常用于材料的刚性、黏弹性、玻璃化温度、相转变、软化温度、应力与应变等测量。动态热机械分析仪通常由加热炉、样品支架、活动推杆、位移传感器、振荡马达构成。动态热机械分析仪的测量模式有单双悬臂梁、三点弯曲、拉伸、压缩和穿刺等。测量时需要根据样品的形态与模量选择相对应的夹具类型。其结构示意图见正文图1。</w:t>
      </w:r>
    </w:p>
    <w:p>
      <w:pPr>
        <w:pStyle w:val="4"/>
        <w:pageBreakBefore w:val="0"/>
        <w:kinsoku/>
        <w:wordWrap/>
        <w:overflowPunct/>
        <w:topLinePunct w:val="0"/>
        <w:bidi w:val="0"/>
        <w:adjustRightInd w:val="0"/>
        <w:snapToGrid w:val="0"/>
        <w:spacing w:before="156" w:after="156"/>
        <w:textAlignment w:val="auto"/>
        <w:rPr>
          <w:rFonts w:hint="eastAsia"/>
          <w:b w:val="0"/>
          <w:bCs w:val="0"/>
        </w:rPr>
      </w:pPr>
      <w:bookmarkStart w:id="34" w:name="_Toc193860181"/>
      <w:bookmarkStart w:id="35" w:name="_Toc193619056"/>
      <w:bookmarkStart w:id="36" w:name="_Toc193618953"/>
      <w:bookmarkStart w:id="37" w:name="_Toc193619098"/>
      <w:bookmarkStart w:id="38" w:name="_Toc19851_WPSOffice_Level1"/>
      <w:bookmarkStart w:id="39" w:name="_Toc193860031"/>
      <w:bookmarkStart w:id="40" w:name="_Toc500258938"/>
      <w:bookmarkStart w:id="41" w:name="_Toc193860212"/>
      <w:r>
        <w:rPr>
          <w:rFonts w:hint="eastAsia"/>
          <w:b w:val="0"/>
          <w:bCs w:val="0"/>
        </w:rPr>
        <w:t>4计量特性</w:t>
      </w:r>
      <w:bookmarkEnd w:id="34"/>
      <w:bookmarkEnd w:id="35"/>
      <w:bookmarkEnd w:id="36"/>
      <w:bookmarkEnd w:id="37"/>
      <w:bookmarkEnd w:id="38"/>
      <w:bookmarkEnd w:id="39"/>
      <w:bookmarkEnd w:id="40"/>
      <w:bookmarkEnd w:id="41"/>
      <w:bookmarkStart w:id="42" w:name="_Toc25829_WPSOffice_Level1"/>
    </w:p>
    <w:p>
      <w:pPr>
        <w:pageBreakBefore w:val="0"/>
        <w:kinsoku/>
        <w:wordWrap/>
        <w:overflowPunct/>
        <w:topLinePunct w:val="0"/>
        <w:autoSpaceDE w:val="0"/>
        <w:autoSpaceDN w:val="0"/>
        <w:bidi w:val="0"/>
        <w:adjustRightInd w:val="0"/>
        <w:snapToGrid w:val="0"/>
        <w:spacing w:line="400" w:lineRule="exact"/>
        <w:jc w:val="center"/>
        <w:textAlignment w:val="auto"/>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表1 计量特性</w:t>
      </w:r>
    </w:p>
    <w:tbl>
      <w:tblPr>
        <w:tblStyle w:val="42"/>
        <w:tblW w:w="9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3"/>
        <w:gridCol w:w="5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3"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项目</w:t>
            </w:r>
          </w:p>
        </w:tc>
        <w:tc>
          <w:tcPr>
            <w:tcW w:w="5320"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eastAsia"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3"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bookmarkStart w:id="43" w:name="OLE_LINK1"/>
            <w:r>
              <w:rPr>
                <w:rFonts w:hint="eastAsia" w:ascii="Times New Roman" w:hAnsi="Times New Roman" w:eastAsia="宋体" w:cs="Times New Roman"/>
                <w:b w:val="0"/>
                <w:bCs w:val="0"/>
                <w:kern w:val="2"/>
                <w:sz w:val="21"/>
                <w:szCs w:val="24"/>
                <w:lang w:val="en-US" w:eastAsia="zh-CN" w:bidi="ar-SA"/>
              </w:rPr>
              <w:t>位移示值误差</w:t>
            </w:r>
            <w:bookmarkEnd w:id="43"/>
            <w:r>
              <w:rPr>
                <w:rFonts w:hint="eastAsia" w:ascii="Times New Roman" w:hAnsi="Times New Roman" w:eastAsia="宋体" w:cs="Times New Roman"/>
                <w:b w:val="0"/>
                <w:bCs w:val="0"/>
                <w:kern w:val="2"/>
                <w:sz w:val="21"/>
                <w:szCs w:val="24"/>
                <w:lang w:val="en-US" w:eastAsia="zh-CN" w:bidi="ar-SA"/>
              </w:rPr>
              <w:t>/</w:t>
            </w:r>
            <w:r>
              <w:rPr>
                <w:rFonts w:hint="default" w:ascii="Times New Roman" w:hAnsi="Times New Roman" w:eastAsia="宋体" w:cs="Times New Roman"/>
                <w:b w:val="0"/>
                <w:bCs w:val="0"/>
                <w:kern w:val="2"/>
                <w:sz w:val="21"/>
                <w:szCs w:val="24"/>
                <w:lang w:val="en-US" w:eastAsia="zh-CN" w:bidi="ar-SA"/>
              </w:rPr>
              <w:t>mm</w:t>
            </w:r>
          </w:p>
        </w:tc>
        <w:tc>
          <w:tcPr>
            <w:tcW w:w="5320"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不超过±0.05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3"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程序升温速率偏差/</w:t>
            </w:r>
            <w:r>
              <w:rPr>
                <w:rFonts w:hint="default" w:ascii="Times New Roman" w:hAnsi="Times New Roman" w:eastAsia="宋体" w:cs="Times New Roman"/>
                <w:b w:val="0"/>
                <w:bCs w:val="0"/>
                <w:kern w:val="2"/>
                <w:sz w:val="21"/>
                <w:szCs w:val="24"/>
                <w:lang w:val="en-US" w:eastAsia="zh-CN" w:bidi="ar-SA"/>
              </w:rPr>
              <w:t>%</w:t>
            </w:r>
          </w:p>
        </w:tc>
        <w:tc>
          <w:tcPr>
            <w:tcW w:w="5320"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不超过±5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3"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default" w:ascii="Times New Roman" w:hAnsi="Times New Roman" w:eastAsia="宋体" w:cs="Times New Roman"/>
                <w:b w:val="0"/>
                <w:bCs w:val="0"/>
                <w:kern w:val="2"/>
                <w:sz w:val="21"/>
                <w:szCs w:val="24"/>
                <w:lang w:val="en-US" w:eastAsia="zh-CN" w:bidi="ar-SA"/>
              </w:rPr>
              <w:t>温度示值误差</w:t>
            </w:r>
            <w:r>
              <w:rPr>
                <w:rFonts w:hint="eastAsia" w:ascii="Times New Roman" w:hAnsi="Times New Roman" w:eastAsia="宋体" w:cs="Times New Roman"/>
                <w:b w:val="0"/>
                <w:bCs w:val="0"/>
                <w:kern w:val="2"/>
                <w:sz w:val="21"/>
                <w:szCs w:val="24"/>
                <w:lang w:val="en-US" w:eastAsia="zh-CN" w:bidi="ar-SA"/>
              </w:rPr>
              <w:t>/</w:t>
            </w:r>
            <w:r>
              <w:rPr>
                <w:rFonts w:hint="default" w:ascii="Times New Roman" w:hAnsi="Times New Roman" w:eastAsia="宋体" w:cs="Times New Roman"/>
                <w:b w:val="0"/>
                <w:bCs w:val="0"/>
                <w:kern w:val="2"/>
                <w:sz w:val="21"/>
                <w:szCs w:val="24"/>
                <w:lang w:val="en-US" w:eastAsia="zh-CN" w:bidi="ar-SA"/>
              </w:rPr>
              <w:t>℃</w:t>
            </w:r>
          </w:p>
        </w:tc>
        <w:tc>
          <w:tcPr>
            <w:tcW w:w="5320"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不超过±6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3"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default" w:ascii="Times New Roman" w:hAnsi="Times New Roman" w:eastAsia="宋体" w:cs="Times New Roman"/>
                <w:b w:val="0"/>
                <w:bCs w:val="0"/>
                <w:kern w:val="2"/>
                <w:sz w:val="21"/>
                <w:szCs w:val="24"/>
                <w:lang w:val="en-US" w:eastAsia="zh-CN" w:bidi="ar-SA"/>
              </w:rPr>
              <w:t>温度重复性</w:t>
            </w:r>
            <w:r>
              <w:rPr>
                <w:rFonts w:hint="eastAsia" w:ascii="Times New Roman" w:hAnsi="Times New Roman" w:eastAsia="宋体" w:cs="Times New Roman"/>
                <w:b w:val="0"/>
                <w:bCs w:val="0"/>
                <w:kern w:val="2"/>
                <w:sz w:val="21"/>
                <w:szCs w:val="24"/>
                <w:lang w:val="en-US" w:eastAsia="zh-CN" w:bidi="ar-SA"/>
              </w:rPr>
              <w:t>/</w:t>
            </w:r>
            <w:r>
              <w:rPr>
                <w:rFonts w:hint="default" w:ascii="Times New Roman" w:hAnsi="Times New Roman" w:eastAsia="宋体" w:cs="Times New Roman"/>
                <w:b w:val="0"/>
                <w:bCs w:val="0"/>
                <w:kern w:val="2"/>
                <w:sz w:val="21"/>
                <w:szCs w:val="24"/>
                <w:lang w:val="en-US" w:eastAsia="zh-CN" w:bidi="ar-SA"/>
              </w:rPr>
              <w:t>℃</w:t>
            </w:r>
          </w:p>
        </w:tc>
        <w:tc>
          <w:tcPr>
            <w:tcW w:w="5320"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3"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default" w:ascii="Times New Roman" w:hAnsi="Times New Roman" w:eastAsia="宋体" w:cs="Times New Roman"/>
                <w:b w:val="0"/>
                <w:bCs w:val="0"/>
                <w:kern w:val="2"/>
                <w:sz w:val="21"/>
                <w:szCs w:val="24"/>
                <w:lang w:val="en-US" w:eastAsia="zh-CN" w:bidi="ar-SA"/>
              </w:rPr>
              <w:t>储能模量示值误差</w:t>
            </w:r>
            <w:r>
              <w:rPr>
                <w:rFonts w:hint="eastAsia" w:ascii="Times New Roman" w:hAnsi="Times New Roman" w:eastAsia="宋体" w:cs="Times New Roman"/>
                <w:b w:val="0"/>
                <w:bCs w:val="0"/>
                <w:kern w:val="2"/>
                <w:sz w:val="21"/>
                <w:szCs w:val="24"/>
                <w:lang w:val="en-US" w:eastAsia="zh-CN" w:bidi="ar-SA"/>
              </w:rPr>
              <w:t>/</w:t>
            </w:r>
            <w:r>
              <w:rPr>
                <w:rFonts w:hint="default" w:ascii="Times New Roman" w:hAnsi="Times New Roman" w:eastAsia="宋体" w:cs="Times New Roman"/>
                <w:b w:val="0"/>
                <w:bCs w:val="0"/>
                <w:kern w:val="2"/>
                <w:sz w:val="21"/>
                <w:szCs w:val="24"/>
                <w:lang w:val="en-US" w:eastAsia="zh-CN" w:bidi="ar-SA"/>
              </w:rPr>
              <w:t>%</w:t>
            </w:r>
          </w:p>
        </w:tc>
        <w:tc>
          <w:tcPr>
            <w:tcW w:w="5320"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不超过±15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3"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b w:val="0"/>
                <w:bCs w:val="0"/>
                <w:kern w:val="2"/>
                <w:sz w:val="21"/>
                <w:szCs w:val="24"/>
                <w:lang w:val="en-US" w:eastAsia="zh-CN" w:bidi="ar-SA"/>
              </w:rPr>
            </w:pPr>
            <w:r>
              <w:rPr>
                <w:rFonts w:hint="default" w:ascii="Times New Roman" w:hAnsi="Times New Roman" w:eastAsia="宋体" w:cs="Times New Roman"/>
                <w:b w:val="0"/>
                <w:bCs w:val="0"/>
                <w:kern w:val="2"/>
                <w:sz w:val="21"/>
                <w:szCs w:val="24"/>
                <w:lang w:val="en-US" w:eastAsia="zh-CN" w:bidi="ar-SA"/>
              </w:rPr>
              <w:t>储能模量重复性</w:t>
            </w:r>
            <w:r>
              <w:rPr>
                <w:rFonts w:hint="eastAsia" w:ascii="Times New Roman" w:hAnsi="Times New Roman" w:eastAsia="宋体" w:cs="Times New Roman"/>
                <w:b w:val="0"/>
                <w:bCs w:val="0"/>
                <w:kern w:val="2"/>
                <w:sz w:val="21"/>
                <w:szCs w:val="24"/>
                <w:lang w:val="en-US" w:eastAsia="zh-CN" w:bidi="ar-SA"/>
              </w:rPr>
              <w:t>/</w:t>
            </w:r>
            <w:r>
              <w:rPr>
                <w:rFonts w:hint="default" w:ascii="Times New Roman" w:hAnsi="Times New Roman" w:eastAsia="宋体" w:cs="Times New Roman"/>
                <w:b w:val="0"/>
                <w:bCs w:val="0"/>
                <w:kern w:val="2"/>
                <w:sz w:val="21"/>
                <w:szCs w:val="24"/>
                <w:lang w:val="en-US" w:eastAsia="zh-CN" w:bidi="ar-SA"/>
              </w:rPr>
              <w:t>%</w:t>
            </w:r>
          </w:p>
        </w:tc>
        <w:tc>
          <w:tcPr>
            <w:tcW w:w="5320" w:type="dxa"/>
            <w:vAlign w:val="center"/>
          </w:tcPr>
          <w:p>
            <w:pPr>
              <w:pStyle w:val="58"/>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eastAsia"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21"/>
                <w:szCs w:val="24"/>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23" w:type="dxa"/>
            <w:gridSpan w:val="2"/>
            <w:vAlign w:val="center"/>
          </w:tcPr>
          <w:p>
            <w:pPr>
              <w:pStyle w:val="58"/>
              <w:keepNext w:val="0"/>
              <w:keepLines w:val="0"/>
              <w:pageBreakBefore w:val="0"/>
              <w:widowControl/>
              <w:kinsoku/>
              <w:wordWrap/>
              <w:overflowPunct/>
              <w:topLinePunct w:val="0"/>
              <w:autoSpaceDE w:val="0"/>
              <w:autoSpaceDN w:val="0"/>
              <w:bidi w:val="0"/>
              <w:adjustRightInd w:val="0"/>
              <w:snapToGrid w:val="0"/>
              <w:ind w:firstLine="360" w:firstLineChars="200"/>
              <w:jc w:val="left"/>
              <w:textAlignment w:val="auto"/>
              <w:rPr>
                <w:rFonts w:hint="eastAsia" w:ascii="Times New Roman" w:hAnsi="Times New Roman" w:eastAsia="宋体" w:cs="Times New Roman"/>
                <w:b w:val="0"/>
                <w:bCs w:val="0"/>
                <w:kern w:val="2"/>
                <w:sz w:val="21"/>
                <w:szCs w:val="24"/>
                <w:lang w:val="en-US" w:eastAsia="zh-CN" w:bidi="ar-SA"/>
              </w:rPr>
            </w:pPr>
            <w:r>
              <w:rPr>
                <w:rFonts w:hint="eastAsia" w:ascii="Times New Roman" w:hAnsi="Times New Roman" w:eastAsia="宋体" w:cs="Times New Roman"/>
                <w:b w:val="0"/>
                <w:bCs w:val="0"/>
                <w:kern w:val="2"/>
                <w:sz w:val="18"/>
                <w:szCs w:val="18"/>
                <w:lang w:val="en-US" w:eastAsia="zh-CN" w:bidi="ar-SA"/>
              </w:rPr>
              <w:t>注：如果仪器本身不具备样品测长功能，则不需要进行位移示值误差校准。</w:t>
            </w:r>
          </w:p>
        </w:tc>
      </w:tr>
    </w:tbl>
    <w:p>
      <w:pPr>
        <w:keepNext w:val="0"/>
        <w:keepLines w:val="0"/>
        <w:pageBreakBefore w:val="0"/>
        <w:widowControl w:val="0"/>
        <w:kinsoku/>
        <w:wordWrap/>
        <w:overflowPunct/>
        <w:topLinePunct w:val="0"/>
        <w:autoSpaceDE/>
        <w:autoSpaceDN/>
        <w:bidi w:val="0"/>
        <w:adjustRightInd w:val="0"/>
        <w:snapToGrid w:val="0"/>
        <w:spacing w:before="157" w:beforeLines="50"/>
        <w:ind w:leftChars="200"/>
        <w:textAlignment w:val="auto"/>
        <w:rPr>
          <w:rFonts w:hint="eastAsia"/>
          <w:lang w:val="en-US" w:eastAsia="zh-CN"/>
        </w:rPr>
      </w:pPr>
      <w:r>
        <w:rPr>
          <w:rFonts w:hint="eastAsia" w:eastAsiaTheme="minorEastAsia"/>
          <w:b w:val="0"/>
          <w:bCs w:val="0"/>
          <w:szCs w:val="21"/>
          <w:lang w:val="en-US" w:eastAsia="zh-CN"/>
        </w:rPr>
        <w:t>编写理由：</w:t>
      </w:r>
    </w:p>
    <w:p>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0" w:leftChars="0" w:firstLine="420" w:firstLineChars="200"/>
        <w:textAlignment w:val="auto"/>
        <w:rPr>
          <w:rFonts w:hint="default" w:eastAsia="宋体" w:cstheme="majorBidi"/>
          <w:b w:val="0"/>
          <w:bCs w:val="0"/>
          <w:kern w:val="44"/>
          <w:lang w:val="en-US" w:eastAsia="zh-CN"/>
        </w:rPr>
      </w:pPr>
      <w:r>
        <w:rPr>
          <w:rFonts w:hint="eastAsia" w:cs="Times New Roman"/>
          <w:sz w:val="21"/>
          <w:szCs w:val="21"/>
          <w:lang w:val="en-US" w:eastAsia="zh-CN" w:bidi="ar-SA"/>
        </w:rPr>
        <w:t>依据</w:t>
      </w:r>
      <w:r>
        <w:rPr>
          <w:rFonts w:hint="eastAsia"/>
          <w:b w:val="0"/>
          <w:bCs w:val="0"/>
          <w:szCs w:val="21"/>
          <w:lang w:val="en-US" w:eastAsia="zh-CN"/>
        </w:rPr>
        <w:t>JJG 936-2012《示差扫描热量计》第4条仪器计量性能要求，本规范规定</w:t>
      </w:r>
      <w:r>
        <w:rPr>
          <w:rFonts w:hint="eastAsia" w:cstheme="majorBidi"/>
          <w:b w:val="0"/>
          <w:bCs w:val="0"/>
          <w:kern w:val="44"/>
          <w:lang w:val="en-US" w:eastAsia="zh-CN"/>
        </w:rPr>
        <w:t>温度示值误差不超过</w:t>
      </w:r>
      <w:r>
        <w:rPr>
          <w:rFonts w:hint="eastAsia" w:ascii="Times New Roman" w:hAnsi="Times New Roman" w:cs="Times New Roman"/>
          <w:vertAlign w:val="baseline"/>
          <w:lang w:val="en-US" w:eastAsia="zh-CN"/>
        </w:rPr>
        <w:t>±6</w:t>
      </w:r>
      <w:r>
        <w:rPr>
          <w:rFonts w:hint="default" w:ascii="Times New Roman" w:hAnsi="Times New Roman" w:cs="Times New Roman"/>
          <w:vertAlign w:val="baseline"/>
          <w:lang w:val="en-US" w:eastAsia="zh-CN"/>
        </w:rPr>
        <w:t>℃</w:t>
      </w:r>
      <w:r>
        <w:rPr>
          <w:rFonts w:hint="eastAsia" w:cs="Times New Roman"/>
          <w:vertAlign w:val="baseline"/>
          <w:lang w:val="en-US" w:eastAsia="zh-CN"/>
        </w:rPr>
        <w:t>。</w:t>
      </w:r>
    </w:p>
    <w:p>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0" w:leftChars="0" w:firstLine="420" w:firstLineChars="200"/>
        <w:textAlignment w:val="auto"/>
        <w:rPr>
          <w:rFonts w:hint="default" w:eastAsia="宋体" w:cstheme="majorBidi"/>
          <w:b w:val="0"/>
          <w:bCs w:val="0"/>
          <w:kern w:val="44"/>
          <w:lang w:val="en-US" w:eastAsia="zh-CN"/>
        </w:rPr>
      </w:pPr>
      <w:r>
        <w:rPr>
          <w:rFonts w:hint="eastAsia" w:cs="Times New Roman"/>
          <w:sz w:val="21"/>
          <w:szCs w:val="21"/>
          <w:lang w:val="en-US" w:eastAsia="zh-CN" w:bidi="ar-SA"/>
        </w:rPr>
        <w:t>依据</w:t>
      </w:r>
      <w:r>
        <w:rPr>
          <w:rFonts w:hint="eastAsia"/>
          <w:b w:val="0"/>
          <w:bCs w:val="0"/>
          <w:szCs w:val="21"/>
          <w:lang w:val="en-US" w:eastAsia="zh-CN"/>
        </w:rPr>
        <w:t>JJG 936-2012《示差扫描热量计》第4条仪器计量性能要求，本规范规定</w:t>
      </w:r>
      <w:r>
        <w:rPr>
          <w:rFonts w:hint="eastAsia" w:cs="Times New Roman"/>
          <w:vertAlign w:val="baseline"/>
          <w:lang w:val="en-US" w:eastAsia="zh-CN"/>
        </w:rPr>
        <w:t>温度重复性</w:t>
      </w:r>
      <w:r>
        <w:rPr>
          <w:rFonts w:hint="eastAsia" w:cstheme="majorBidi"/>
          <w:b w:val="0"/>
          <w:bCs w:val="0"/>
          <w:kern w:val="44"/>
          <w:lang w:val="en-US" w:eastAsia="zh-CN"/>
        </w:rPr>
        <w:t>不超过</w:t>
      </w:r>
      <w:r>
        <w:rPr>
          <w:rFonts w:hint="eastAsia" w:cs="Times New Roman"/>
          <w:vertAlign w:val="baseline"/>
          <w:lang w:val="en-US" w:eastAsia="zh-CN"/>
        </w:rPr>
        <w:t>3</w:t>
      </w:r>
      <w:r>
        <w:rPr>
          <w:rFonts w:hint="default" w:ascii="Times New Roman" w:hAnsi="Times New Roman" w:cs="Times New Roman"/>
          <w:vertAlign w:val="baseline"/>
          <w:lang w:val="en-US" w:eastAsia="zh-CN"/>
        </w:rPr>
        <w:t>℃</w:t>
      </w:r>
      <w:r>
        <w:rPr>
          <w:rFonts w:hint="eastAsia" w:cs="Times New Roman"/>
          <w:vertAlign w:val="baseline"/>
          <w:lang w:val="en-US" w:eastAsia="zh-CN"/>
        </w:rPr>
        <w:t>。</w:t>
      </w:r>
    </w:p>
    <w:p>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0" w:leftChars="0" w:firstLine="420" w:firstLineChars="200"/>
        <w:textAlignment w:val="auto"/>
        <w:rPr>
          <w:rFonts w:hint="default" w:eastAsia="宋体" w:cstheme="majorBidi"/>
          <w:b w:val="0"/>
          <w:bCs w:val="0"/>
          <w:kern w:val="44"/>
          <w:lang w:val="en-US" w:eastAsia="zh-CN"/>
        </w:rPr>
      </w:pPr>
      <w:r>
        <w:rPr>
          <w:rFonts w:hint="eastAsia" w:ascii="Times New Roman" w:hAnsi="Times New Roman" w:cs="Times New Roman"/>
          <w:b w:val="0"/>
          <w:bCs w:val="0"/>
          <w:lang w:val="en-US" w:eastAsia="zh-CN"/>
        </w:rPr>
        <w:t>其他指标</w:t>
      </w:r>
      <w:r>
        <w:rPr>
          <w:rFonts w:hint="eastAsia" w:ascii="Times New Roman" w:hAnsi="Times New Roman" w:eastAsia="宋体" w:cs="Times New Roman"/>
          <w:b w:val="0"/>
          <w:bCs w:val="0"/>
          <w:lang w:val="en-US" w:eastAsia="zh-CN"/>
        </w:rPr>
        <w:t>根据实际使用情况，并于参与单位沟通确定</w:t>
      </w:r>
      <w:r>
        <w:rPr>
          <w:rFonts w:hint="eastAsia" w:ascii="Times New Roman" w:hAnsi="Times New Roman" w:cs="Times New Roman"/>
          <w:b w:val="0"/>
          <w:bCs w:val="0"/>
          <w:lang w:val="en-US" w:eastAsia="zh-CN"/>
        </w:rPr>
        <w:t>。</w:t>
      </w:r>
    </w:p>
    <w:p>
      <w:pPr>
        <w:pStyle w:val="4"/>
        <w:pageBreakBefore w:val="0"/>
        <w:kinsoku/>
        <w:wordWrap/>
        <w:overflowPunct/>
        <w:topLinePunct w:val="0"/>
        <w:bidi w:val="0"/>
        <w:adjustRightInd w:val="0"/>
        <w:snapToGrid w:val="0"/>
        <w:spacing w:before="156" w:after="156"/>
        <w:textAlignment w:val="auto"/>
        <w:rPr>
          <w:b w:val="0"/>
          <w:bCs w:val="0"/>
        </w:rPr>
      </w:pPr>
      <w:r>
        <w:rPr>
          <w:rFonts w:hint="eastAsia"/>
          <w:b w:val="0"/>
          <w:bCs w:val="0"/>
        </w:rPr>
        <w:t>5 校准条件</w:t>
      </w:r>
      <w:bookmarkEnd w:id="42"/>
      <w:bookmarkStart w:id="44" w:name="_Toc500258942"/>
      <w:bookmarkStart w:id="45" w:name="_Toc193860183"/>
      <w:bookmarkStart w:id="46" w:name="_Toc193860214"/>
      <w:bookmarkStart w:id="47" w:name="_Toc193860033"/>
    </w:p>
    <w:p>
      <w:pPr>
        <w:pageBreakBefore w:val="0"/>
        <w:kinsoku/>
        <w:wordWrap/>
        <w:overflowPunct/>
        <w:topLinePunct w:val="0"/>
        <w:bidi w:val="0"/>
        <w:adjustRightInd w:val="0"/>
        <w:snapToGrid w:val="0"/>
        <w:spacing w:line="400" w:lineRule="exact"/>
        <w:textAlignment w:val="auto"/>
        <w:rPr>
          <w:rFonts w:cstheme="majorBidi"/>
          <w:kern w:val="44"/>
        </w:rPr>
      </w:pPr>
      <w:bookmarkStart w:id="48" w:name="_Toc161838411"/>
      <w:bookmarkStart w:id="49" w:name="_Toc533963948"/>
      <w:r>
        <w:rPr>
          <w:rFonts w:cstheme="majorBidi"/>
          <w:kern w:val="44"/>
        </w:rPr>
        <w:t>5.1 环境条件</w:t>
      </w:r>
      <w:bookmarkEnd w:id="48"/>
      <w:bookmarkEnd w:id="49"/>
    </w:p>
    <w:p>
      <w:pPr>
        <w:pageBreakBefore w:val="0"/>
        <w:kinsoku/>
        <w:wordWrap/>
        <w:overflowPunct/>
        <w:topLinePunct w:val="0"/>
        <w:bidi w:val="0"/>
        <w:adjustRightInd w:val="0"/>
        <w:snapToGrid w:val="0"/>
        <w:spacing w:line="360" w:lineRule="auto"/>
        <w:ind w:firstLine="420" w:firstLineChars="200"/>
        <w:textAlignment w:val="auto"/>
        <w:rPr>
          <w:rFonts w:hint="eastAsia" w:eastAsiaTheme="minorEastAsia"/>
          <w:b w:val="0"/>
          <w:bCs w:val="0"/>
          <w:szCs w:val="21"/>
        </w:rPr>
      </w:pPr>
      <w:r>
        <w:rPr>
          <w:rFonts w:hint="eastAsia" w:eastAsiaTheme="minorEastAsia"/>
          <w:b w:val="0"/>
          <w:bCs w:val="0"/>
          <w:szCs w:val="21"/>
          <w:lang w:val="en-US" w:eastAsia="zh-CN"/>
        </w:rPr>
        <w:t xml:space="preserve">5.1.1 环境温度；(15～30)℃。 </w:t>
      </w:r>
    </w:p>
    <w:p>
      <w:pPr>
        <w:pageBreakBefore w:val="0"/>
        <w:kinsoku/>
        <w:wordWrap/>
        <w:overflowPunct/>
        <w:topLinePunct w:val="0"/>
        <w:bidi w:val="0"/>
        <w:adjustRightInd w:val="0"/>
        <w:snapToGrid w:val="0"/>
        <w:spacing w:line="360" w:lineRule="auto"/>
        <w:ind w:firstLine="420" w:firstLineChars="200"/>
        <w:textAlignment w:val="auto"/>
        <w:rPr>
          <w:rFonts w:hint="eastAsia" w:eastAsiaTheme="minorEastAsia"/>
          <w:b w:val="0"/>
          <w:bCs w:val="0"/>
          <w:szCs w:val="21"/>
        </w:rPr>
      </w:pPr>
      <w:r>
        <w:rPr>
          <w:rFonts w:hint="eastAsia" w:eastAsiaTheme="minorEastAsia"/>
          <w:b w:val="0"/>
          <w:bCs w:val="0"/>
          <w:szCs w:val="21"/>
          <w:lang w:val="en-US" w:eastAsia="zh-CN"/>
        </w:rPr>
        <w:t xml:space="preserve">5.1.2 相对湿度：≤85%。 </w:t>
      </w:r>
    </w:p>
    <w:p>
      <w:pPr>
        <w:pageBreakBefore w:val="0"/>
        <w:kinsoku/>
        <w:wordWrap/>
        <w:overflowPunct/>
        <w:topLinePunct w:val="0"/>
        <w:bidi w:val="0"/>
        <w:adjustRightInd w:val="0"/>
        <w:snapToGrid w:val="0"/>
        <w:spacing w:line="360" w:lineRule="auto"/>
        <w:ind w:firstLine="420" w:firstLineChars="200"/>
        <w:textAlignment w:val="auto"/>
        <w:rPr>
          <w:rFonts w:hint="eastAsia" w:eastAsiaTheme="minorEastAsia"/>
          <w:b w:val="0"/>
          <w:bCs w:val="0"/>
          <w:szCs w:val="21"/>
          <w:lang w:val="en-US" w:eastAsia="zh-CN"/>
        </w:rPr>
      </w:pPr>
      <w:r>
        <w:rPr>
          <w:rFonts w:hint="eastAsia" w:eastAsiaTheme="minorEastAsia"/>
          <w:b w:val="0"/>
          <w:bCs w:val="0"/>
          <w:szCs w:val="21"/>
          <w:lang w:val="en-US" w:eastAsia="zh-CN"/>
        </w:rPr>
        <w:t>5.1.3 仪器应置于平稳且牢固的工作台上，并调至水平状态，校准环境周围不应有腐蚀性介质与影响仪器正常工作的震源。在校准过程中避免触碰实验台，以消除震动干扰。</w:t>
      </w:r>
    </w:p>
    <w:p>
      <w:pPr>
        <w:pageBreakBefore w:val="0"/>
        <w:kinsoku/>
        <w:wordWrap/>
        <w:overflowPunct/>
        <w:topLinePunct w:val="0"/>
        <w:bidi w:val="0"/>
        <w:adjustRightInd w:val="0"/>
        <w:snapToGrid w:val="0"/>
        <w:spacing w:line="360" w:lineRule="auto"/>
        <w:ind w:firstLine="420" w:firstLineChars="200"/>
        <w:textAlignment w:val="auto"/>
        <w:rPr>
          <w:rFonts w:hint="eastAsia" w:eastAsiaTheme="minorEastAsia"/>
          <w:b w:val="0"/>
          <w:bCs w:val="0"/>
          <w:szCs w:val="21"/>
          <w:lang w:val="en-US" w:eastAsia="zh-CN"/>
        </w:rPr>
      </w:pPr>
      <w:r>
        <w:rPr>
          <w:rFonts w:hint="eastAsia" w:eastAsiaTheme="minorEastAsia"/>
          <w:b w:val="0"/>
          <w:bCs w:val="0"/>
          <w:szCs w:val="21"/>
          <w:lang w:val="en-US" w:eastAsia="zh-CN"/>
        </w:rPr>
        <w:t>编写理由：</w:t>
      </w:r>
    </w:p>
    <w:p>
      <w:pPr>
        <w:pageBreakBefore w:val="0"/>
        <w:numPr>
          <w:ilvl w:val="0"/>
          <w:numId w:val="12"/>
        </w:numPr>
        <w:kinsoku/>
        <w:wordWrap/>
        <w:overflowPunct/>
        <w:topLinePunct w:val="0"/>
        <w:bidi w:val="0"/>
        <w:adjustRightInd w:val="0"/>
        <w:snapToGrid w:val="0"/>
        <w:spacing w:line="360" w:lineRule="auto"/>
        <w:ind w:left="845" w:leftChars="0" w:hanging="425" w:firstLineChars="0"/>
        <w:textAlignment w:val="auto"/>
        <w:rPr>
          <w:rFonts w:hint="default" w:eastAsiaTheme="minorEastAsia"/>
          <w:b w:val="0"/>
          <w:bCs w:val="0"/>
          <w:szCs w:val="21"/>
          <w:lang w:val="en-US" w:eastAsia="zh-CN"/>
        </w:rPr>
      </w:pPr>
      <w:r>
        <w:rPr>
          <w:rFonts w:hint="eastAsia" w:eastAsiaTheme="minorEastAsia"/>
          <w:b w:val="0"/>
          <w:bCs w:val="0"/>
          <w:szCs w:val="21"/>
          <w:lang w:val="en-US" w:eastAsia="zh-CN"/>
        </w:rPr>
        <w:t>环境温度和相对湿度的要求，根据市场上90%以上的仪器制造商规定的环境条件确定。</w:t>
      </w:r>
    </w:p>
    <w:p>
      <w:pPr>
        <w:pageBreakBefore w:val="0"/>
        <w:numPr>
          <w:ilvl w:val="0"/>
          <w:numId w:val="12"/>
        </w:numPr>
        <w:kinsoku/>
        <w:wordWrap/>
        <w:overflowPunct/>
        <w:topLinePunct w:val="0"/>
        <w:bidi w:val="0"/>
        <w:adjustRightInd w:val="0"/>
        <w:snapToGrid w:val="0"/>
        <w:spacing w:line="360" w:lineRule="auto"/>
        <w:ind w:left="845" w:leftChars="0" w:hanging="425" w:firstLineChars="0"/>
        <w:textAlignment w:val="auto"/>
        <w:rPr>
          <w:rFonts w:hint="default" w:eastAsiaTheme="minorEastAsia"/>
          <w:b w:val="0"/>
          <w:bCs w:val="0"/>
          <w:szCs w:val="21"/>
          <w:lang w:val="en-US" w:eastAsia="zh-CN"/>
        </w:rPr>
      </w:pPr>
      <w:r>
        <w:rPr>
          <w:rFonts w:hint="eastAsia" w:eastAsiaTheme="minorEastAsia"/>
          <w:b w:val="0"/>
          <w:bCs w:val="0"/>
          <w:szCs w:val="21"/>
          <w:lang w:val="en-US" w:eastAsia="zh-CN"/>
        </w:rPr>
        <w:t>仪器应置于平稳且牢固的工作台上，并调至水平状态，校准环境周围不应有腐蚀性介质与影响仪器正常工作的震源。在校准过程中避免触碰实验台，以消除震动干扰的要求，是为了避免振动仪器的测量精度，同时规避环境对设备元器件的损坏，从源头排除各类环境干扰因素，确保校准结果的溯源性与准确性。</w:t>
      </w:r>
    </w:p>
    <w:p>
      <w:pPr>
        <w:pageBreakBefore w:val="0"/>
        <w:kinsoku/>
        <w:wordWrap/>
        <w:overflowPunct/>
        <w:topLinePunct w:val="0"/>
        <w:bidi w:val="0"/>
        <w:adjustRightInd w:val="0"/>
        <w:snapToGrid w:val="0"/>
        <w:spacing w:line="360" w:lineRule="auto"/>
        <w:textAlignment w:val="auto"/>
        <w:rPr>
          <w:rFonts w:cstheme="majorBidi"/>
          <w:kern w:val="44"/>
        </w:rPr>
      </w:pPr>
      <w:bookmarkStart w:id="50" w:name="_Toc533963949"/>
      <w:bookmarkStart w:id="51" w:name="_Toc161838412"/>
      <w:r>
        <w:rPr>
          <w:rFonts w:cstheme="majorBidi"/>
          <w:kern w:val="44"/>
        </w:rPr>
        <w:t>5.2</w:t>
      </w:r>
      <w:bookmarkEnd w:id="50"/>
      <w:r>
        <w:rPr>
          <w:rFonts w:cstheme="majorBidi"/>
          <w:kern w:val="44"/>
        </w:rPr>
        <w:t xml:space="preserve"> 测量标准</w:t>
      </w:r>
      <w:bookmarkEnd w:id="51"/>
      <w:r>
        <w:rPr>
          <w:rFonts w:hint="eastAsia"/>
          <w:szCs w:val="21"/>
          <w:highlight w:val="none"/>
        </w:rPr>
        <w:t>及其他</w:t>
      </w:r>
      <w:r>
        <w:rPr>
          <w:rFonts w:hint="eastAsia"/>
          <w:szCs w:val="21"/>
          <w:highlight w:val="none"/>
          <w:lang w:val="en-US" w:eastAsia="zh-CN"/>
        </w:rPr>
        <w:t>辅助</w:t>
      </w:r>
      <w:r>
        <w:rPr>
          <w:rFonts w:hint="eastAsia"/>
          <w:szCs w:val="21"/>
          <w:highlight w:val="none"/>
        </w:rPr>
        <w:t>设备</w:t>
      </w:r>
    </w:p>
    <w:p>
      <w:pPr>
        <w:pageBreakBefore w:val="0"/>
        <w:kinsoku/>
        <w:wordWrap/>
        <w:overflowPunct/>
        <w:topLinePunct w:val="0"/>
        <w:bidi w:val="0"/>
        <w:adjustRightInd w:val="0"/>
        <w:snapToGrid w:val="0"/>
        <w:spacing w:line="324" w:lineRule="auto"/>
        <w:ind w:firstLine="420" w:firstLineChars="200"/>
        <w:textAlignment w:val="auto"/>
        <w:outlineLvl w:val="1"/>
        <w:rPr>
          <w:rFonts w:hint="eastAsia"/>
          <w:szCs w:val="21"/>
          <w:highlight w:val="yellow"/>
        </w:rPr>
      </w:pPr>
      <w:r>
        <w:rPr>
          <w:rFonts w:hint="eastAsia"/>
          <w:szCs w:val="21"/>
        </w:rPr>
        <w:t>测</w:t>
      </w:r>
      <w:r>
        <w:rPr>
          <w:rFonts w:hint="eastAsia"/>
          <w:szCs w:val="21"/>
          <w:highlight w:val="none"/>
        </w:rPr>
        <w:t>量标准及其他</w:t>
      </w:r>
      <w:r>
        <w:rPr>
          <w:rFonts w:hint="eastAsia"/>
          <w:szCs w:val="21"/>
          <w:highlight w:val="none"/>
          <w:lang w:val="en-US" w:eastAsia="zh-CN"/>
        </w:rPr>
        <w:t>辅助</w:t>
      </w:r>
      <w:r>
        <w:rPr>
          <w:rFonts w:hint="eastAsia"/>
          <w:szCs w:val="21"/>
          <w:highlight w:val="none"/>
        </w:rPr>
        <w:t>设备</w:t>
      </w:r>
      <w:r>
        <w:rPr>
          <w:rFonts w:hint="eastAsia"/>
          <w:szCs w:val="21"/>
          <w:highlight w:val="none"/>
          <w:lang w:eastAsia="zh-CN"/>
        </w:rPr>
        <w:t>，</w:t>
      </w:r>
      <w:r>
        <w:rPr>
          <w:rFonts w:hint="eastAsia"/>
          <w:szCs w:val="21"/>
          <w:highlight w:val="none"/>
        </w:rPr>
        <w:t>包括</w:t>
      </w:r>
      <w:r>
        <w:rPr>
          <w:rFonts w:hint="eastAsia"/>
          <w:szCs w:val="21"/>
          <w:highlight w:val="none"/>
          <w:lang w:val="en-US" w:eastAsia="zh-CN"/>
        </w:rPr>
        <w:t>卡尺、量</w:t>
      </w:r>
      <w:r>
        <w:rPr>
          <w:rFonts w:hint="eastAsia"/>
          <w:szCs w:val="21"/>
          <w:highlight w:val="none"/>
        </w:rPr>
        <w:t>块、</w:t>
      </w:r>
      <w:bookmarkStart w:id="52" w:name="_Toc32032"/>
      <w:r>
        <w:rPr>
          <w:rFonts w:hint="eastAsia" w:ascii="Times New Roman" w:hAnsi="Times New Roman" w:cs="Times New Roman"/>
          <w:b w:val="0"/>
          <w:bCs w:val="0"/>
          <w:sz w:val="21"/>
          <w:szCs w:val="21"/>
          <w:highlight w:val="none"/>
          <w:lang w:val="en-US" w:eastAsia="zh-CN"/>
        </w:rPr>
        <w:t>电子秒表</w:t>
      </w:r>
      <w:bookmarkEnd w:id="52"/>
      <w:r>
        <w:rPr>
          <w:rFonts w:hint="eastAsia"/>
          <w:szCs w:val="21"/>
          <w:highlight w:val="none"/>
        </w:rPr>
        <w:t>、</w:t>
      </w:r>
      <w:bookmarkStart w:id="53" w:name="_Toc8161"/>
      <w:r>
        <w:rPr>
          <w:rFonts w:hint="eastAsia" w:ascii="Times New Roman" w:hAnsi="Times New Roman" w:cs="Times New Roman"/>
          <w:b w:val="0"/>
          <w:bCs w:val="0"/>
          <w:sz w:val="21"/>
          <w:szCs w:val="21"/>
          <w:highlight w:val="none"/>
          <w:lang w:val="en-US" w:eastAsia="zh-CN"/>
        </w:rPr>
        <w:t>热分析标准物质</w:t>
      </w:r>
      <w:bookmarkEnd w:id="53"/>
      <w:r>
        <w:rPr>
          <w:rFonts w:hint="eastAsia"/>
          <w:szCs w:val="21"/>
          <w:highlight w:val="none"/>
        </w:rPr>
        <w:t>、</w:t>
      </w:r>
      <w:bookmarkStart w:id="54" w:name="_Toc19079"/>
      <w:r>
        <w:rPr>
          <w:rFonts w:hint="eastAsia" w:ascii="Times New Roman" w:hAnsi="Times New Roman" w:cs="Times New Roman"/>
          <w:b w:val="0"/>
          <w:bCs w:val="0"/>
          <w:sz w:val="21"/>
          <w:szCs w:val="21"/>
          <w:highlight w:val="none"/>
          <w:lang w:val="en-US" w:eastAsia="zh-CN"/>
        </w:rPr>
        <w:t>玻璃化转变温度标准物质</w:t>
      </w:r>
      <w:bookmarkEnd w:id="54"/>
      <w:r>
        <w:rPr>
          <w:rFonts w:hint="eastAsia"/>
          <w:szCs w:val="21"/>
          <w:highlight w:val="none"/>
        </w:rPr>
        <w:t>、</w:t>
      </w:r>
      <w:bookmarkStart w:id="55" w:name="_Toc14797"/>
      <w:r>
        <w:rPr>
          <w:rFonts w:hint="eastAsia" w:ascii="Times New Roman" w:hAnsi="Times New Roman" w:cs="Times New Roman"/>
          <w:b w:val="0"/>
          <w:bCs w:val="0"/>
          <w:sz w:val="21"/>
          <w:szCs w:val="21"/>
          <w:highlight w:val="none"/>
          <w:lang w:val="en-US" w:eastAsia="zh-CN"/>
        </w:rPr>
        <w:t>储能模量标块</w:t>
      </w:r>
      <w:bookmarkEnd w:id="55"/>
      <w:r>
        <w:rPr>
          <w:rFonts w:hint="eastAsia" w:cs="Times New Roman"/>
          <w:b w:val="0"/>
          <w:bCs w:val="0"/>
          <w:sz w:val="21"/>
          <w:szCs w:val="21"/>
          <w:highlight w:val="none"/>
          <w:lang w:val="en-US" w:eastAsia="zh-CN"/>
        </w:rPr>
        <w:t>。</w:t>
      </w:r>
      <w:r>
        <w:rPr>
          <w:rFonts w:hint="eastAsia"/>
          <w:szCs w:val="21"/>
        </w:rPr>
        <w:t>测</w:t>
      </w:r>
      <w:r>
        <w:rPr>
          <w:rFonts w:hint="eastAsia"/>
          <w:szCs w:val="21"/>
          <w:highlight w:val="none"/>
        </w:rPr>
        <w:t>量标准及其他</w:t>
      </w:r>
      <w:r>
        <w:rPr>
          <w:rFonts w:hint="eastAsia"/>
          <w:szCs w:val="21"/>
          <w:highlight w:val="none"/>
          <w:lang w:val="en-US" w:eastAsia="zh-CN"/>
        </w:rPr>
        <w:t>辅助</w:t>
      </w:r>
      <w:r>
        <w:rPr>
          <w:rFonts w:hint="eastAsia"/>
          <w:szCs w:val="21"/>
          <w:highlight w:val="none"/>
        </w:rPr>
        <w:t>设备</w:t>
      </w:r>
      <w:r>
        <w:rPr>
          <w:bCs/>
          <w:color w:val="000000" w:themeColor="text1"/>
          <w14:textFill>
            <w14:solidFill>
              <w14:schemeClr w14:val="tx1"/>
            </w14:solidFill>
          </w14:textFill>
        </w:rPr>
        <w:t>技术要求应符合</w:t>
      </w:r>
      <w:r>
        <w:rPr>
          <w:rFonts w:hint="eastAsia"/>
          <w:bCs/>
          <w:color w:val="000000" w:themeColor="text1"/>
          <w:lang w:val="en-US" w:eastAsia="zh-CN"/>
          <w14:textFill>
            <w14:solidFill>
              <w14:schemeClr w14:val="tx1"/>
            </w14:solidFill>
          </w14:textFill>
        </w:rPr>
        <w:t>正文中</w:t>
      </w:r>
      <w:r>
        <w:rPr>
          <w:bCs/>
          <w:color w:val="000000" w:themeColor="text1"/>
          <w14:textFill>
            <w14:solidFill>
              <w14:schemeClr w14:val="tx1"/>
            </w14:solidFill>
          </w14:textFill>
        </w:rPr>
        <w:t>表</w:t>
      </w:r>
      <w:r>
        <w:rPr>
          <w:rFonts w:hint="eastAsia"/>
          <w:bCs/>
          <w:color w:val="000000" w:themeColor="text1"/>
          <w:lang w:val="en-US" w:eastAsia="zh-CN"/>
          <w14:textFill>
            <w14:solidFill>
              <w14:schemeClr w14:val="tx1"/>
            </w14:solidFill>
          </w14:textFill>
        </w:rPr>
        <w:t>2</w:t>
      </w:r>
      <w:r>
        <w:rPr>
          <w:bCs/>
          <w:color w:val="000000" w:themeColor="text1"/>
          <w14:textFill>
            <w14:solidFill>
              <w14:schemeClr w14:val="tx1"/>
            </w14:solidFill>
          </w14:textFill>
        </w:rPr>
        <w:t>的规定</w:t>
      </w:r>
      <w:r>
        <w:rPr>
          <w:rFonts w:hint="eastAsia"/>
          <w:szCs w:val="21"/>
          <w:highlight w:val="none"/>
        </w:rPr>
        <w:t>。</w:t>
      </w:r>
      <w:r>
        <w:rPr>
          <w:rFonts w:hint="eastAsia"/>
          <w:kern w:val="0"/>
          <w:lang w:val="en-US" w:eastAsia="zh-CN"/>
        </w:rPr>
        <w:t>为保证计量溯源性，测量标准需使用有证标准物质或标准样品，并尽可能覆盖</w:t>
      </w:r>
      <w:r>
        <w:rPr>
          <w:rFonts w:hint="eastAsia" w:ascii="宋体" w:hAnsi="宋体" w:eastAsia="宋体" w:cs="宋体"/>
          <w:sz w:val="21"/>
          <w:szCs w:val="21"/>
        </w:rPr>
        <w:t>动态热机械分析仪</w:t>
      </w:r>
      <w:r>
        <w:rPr>
          <w:rFonts w:hint="eastAsia" w:ascii="宋体" w:hAnsi="宋体" w:eastAsia="宋体" w:cs="宋体"/>
          <w:sz w:val="21"/>
          <w:szCs w:val="21"/>
          <w:lang w:val="en-US" w:eastAsia="zh-CN"/>
        </w:rPr>
        <w:t>使用范围。</w:t>
      </w:r>
    </w:p>
    <w:bookmarkEnd w:id="44"/>
    <w:bookmarkEnd w:id="45"/>
    <w:bookmarkEnd w:id="46"/>
    <w:bookmarkEnd w:id="47"/>
    <w:p>
      <w:pPr>
        <w:pStyle w:val="4"/>
        <w:pageBreakBefore w:val="0"/>
        <w:kinsoku/>
        <w:wordWrap/>
        <w:overflowPunct/>
        <w:topLinePunct w:val="0"/>
        <w:bidi w:val="0"/>
        <w:adjustRightInd w:val="0"/>
        <w:snapToGrid w:val="0"/>
        <w:spacing w:before="156" w:after="156"/>
        <w:textAlignment w:val="auto"/>
        <w:rPr>
          <w:rFonts w:hint="eastAsia"/>
        </w:rPr>
      </w:pPr>
      <w:bookmarkStart w:id="56" w:name="_Toc193860185"/>
      <w:bookmarkStart w:id="57" w:name="_Toc193860035"/>
      <w:bookmarkStart w:id="58" w:name="_Toc500258944"/>
      <w:bookmarkStart w:id="59" w:name="_Toc193619058"/>
      <w:bookmarkStart w:id="60" w:name="_Toc2741_WPSOffice_Level1"/>
      <w:bookmarkStart w:id="61" w:name="_Toc193860216"/>
      <w:bookmarkStart w:id="62" w:name="_Toc193619100"/>
      <w:bookmarkStart w:id="63" w:name="_Toc193618955"/>
      <w:r>
        <w:rPr>
          <w:rFonts w:hint="eastAsia"/>
          <w:b w:val="0"/>
          <w:bCs w:val="0"/>
        </w:rPr>
        <w:t>6 校准项目和校准方法</w:t>
      </w:r>
      <w:bookmarkEnd w:id="56"/>
      <w:bookmarkEnd w:id="57"/>
      <w:bookmarkEnd w:id="58"/>
      <w:bookmarkEnd w:id="59"/>
      <w:bookmarkEnd w:id="60"/>
      <w:bookmarkEnd w:id="61"/>
      <w:bookmarkEnd w:id="62"/>
      <w:bookmarkEnd w:id="63"/>
    </w:p>
    <w:p>
      <w:pPr>
        <w:pStyle w:val="58"/>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auto"/>
        <w:outlineLvl w:val="2"/>
        <w:rPr>
          <w:rFonts w:hint="eastAsia" w:ascii="宋体" w:hAnsi="宋体" w:eastAsia="宋体" w:cs="宋体"/>
          <w:sz w:val="21"/>
          <w:szCs w:val="21"/>
          <w:lang w:eastAsia="zh-CN"/>
        </w:rPr>
      </w:pPr>
      <w:bookmarkStart w:id="64" w:name="_Toc23104"/>
      <w:bookmarkStart w:id="65" w:name="_Toc10967"/>
      <w:bookmarkStart w:id="66" w:name="_Toc15625"/>
      <w:bookmarkStart w:id="67" w:name="_Toc14936"/>
      <w:bookmarkStart w:id="68" w:name="_Toc193860188"/>
      <w:bookmarkStart w:id="69" w:name="_Toc193618956"/>
      <w:bookmarkStart w:id="70" w:name="_Toc193619101"/>
      <w:bookmarkStart w:id="71" w:name="_Toc193860038"/>
      <w:bookmarkStart w:id="72" w:name="_Toc193619059"/>
      <w:bookmarkStart w:id="73" w:name="_Toc193860219"/>
      <w:bookmarkStart w:id="74" w:name="_Toc500258947"/>
      <w:bookmarkStart w:id="75" w:name="_Toc25466_WPSOffice_Level1"/>
      <w:r>
        <w:rPr>
          <w:rFonts w:hint="eastAsia" w:ascii="Times New Roman"/>
          <w:sz w:val="21"/>
          <w:szCs w:val="21"/>
        </w:rPr>
        <w:t>校准项目</w:t>
      </w:r>
      <w:bookmarkEnd w:id="64"/>
      <w:bookmarkEnd w:id="65"/>
      <w:bookmarkEnd w:id="66"/>
      <w:bookmarkEnd w:id="67"/>
      <w:r>
        <w:rPr>
          <w:rFonts w:hint="eastAsia" w:ascii="Times New Roman"/>
          <w:sz w:val="21"/>
          <w:szCs w:val="21"/>
          <w:lang w:val="en-US" w:eastAsia="zh-CN"/>
        </w:rPr>
        <w:t>为</w:t>
      </w:r>
      <w:r>
        <w:rPr>
          <w:rFonts w:hint="eastAsia" w:ascii="Times New Roman" w:cs="Times New Roman"/>
          <w:sz w:val="21"/>
          <w:szCs w:val="21"/>
          <w:highlight w:val="none"/>
          <w:lang w:val="en-US" w:eastAsia="zh-CN"/>
        </w:rPr>
        <w:t>位移示值误差、程序升温速率偏差、</w:t>
      </w:r>
      <w:r>
        <w:rPr>
          <w:rFonts w:hint="eastAsia" w:ascii="Times New Roman" w:cs="Times New Roman"/>
          <w:i w:val="0"/>
          <w:iCs w:val="0"/>
          <w:sz w:val="21"/>
          <w:szCs w:val="21"/>
          <w:highlight w:val="none"/>
          <w:lang w:val="en-US" w:eastAsia="zh-CN"/>
        </w:rPr>
        <w:t>温度示值误差、温度重复性、</w:t>
      </w:r>
      <w:r>
        <w:rPr>
          <w:rFonts w:ascii="宋体" w:hAnsi="宋体" w:eastAsia="宋体" w:cs="宋体"/>
          <w:sz w:val="21"/>
          <w:szCs w:val="21"/>
        </w:rPr>
        <w:t>储能模量示值误差</w:t>
      </w:r>
      <w:r>
        <w:rPr>
          <w:rFonts w:hint="eastAsia" w:cs="宋体"/>
          <w:sz w:val="21"/>
          <w:szCs w:val="21"/>
          <w:lang w:val="en-US" w:eastAsia="zh-CN"/>
        </w:rPr>
        <w:t>和</w:t>
      </w:r>
      <w:r>
        <w:rPr>
          <w:rFonts w:ascii="宋体" w:hAnsi="宋体" w:eastAsia="宋体" w:cs="宋体"/>
          <w:sz w:val="21"/>
          <w:szCs w:val="21"/>
        </w:rPr>
        <w:t>储能模量重复性</w:t>
      </w:r>
      <w:r>
        <w:rPr>
          <w:rFonts w:hint="eastAsia" w:ascii="宋体" w:hAnsi="宋体" w:eastAsia="宋体" w:cs="宋体"/>
          <w:sz w:val="21"/>
          <w:szCs w:val="21"/>
          <w:lang w:eastAsia="zh-CN"/>
        </w:rPr>
        <w:t>。</w:t>
      </w:r>
    </w:p>
    <w:p>
      <w:pPr>
        <w:keepNext w:val="0"/>
        <w:keepLines w:val="0"/>
        <w:pageBreakBefore w:val="0"/>
        <w:kinsoku/>
        <w:wordWrap/>
        <w:overflowPunct/>
        <w:topLinePunct w:val="0"/>
        <w:bidi w:val="0"/>
        <w:adjustRightInd w:val="0"/>
        <w:snapToGrid w:val="0"/>
        <w:spacing w:line="360" w:lineRule="auto"/>
        <w:ind w:firstLine="420" w:firstLineChars="200"/>
        <w:textAlignment w:val="auto"/>
        <w:rPr>
          <w:rFonts w:hint="eastAsia" w:ascii="Times New Roman" w:hAnsi="宋体" w:eastAsia="宋体" w:cs="Times New Roman"/>
          <w:kern w:val="0"/>
          <w:sz w:val="21"/>
          <w:szCs w:val="21"/>
          <w:lang w:val="en-US" w:eastAsia="zh-CN" w:bidi="ar-SA"/>
        </w:rPr>
      </w:pPr>
      <w:r>
        <w:rPr>
          <w:rFonts w:hint="eastAsia" w:eastAsiaTheme="minorEastAsia"/>
          <w:b w:val="0"/>
          <w:bCs w:val="0"/>
          <w:szCs w:val="21"/>
          <w:lang w:val="en-US" w:eastAsia="zh-CN"/>
        </w:rPr>
        <w:t>编写理由</w:t>
      </w:r>
      <w:r>
        <w:rPr>
          <w:rFonts w:hint="eastAsia" w:ascii="Times New Roman" w:hAnsi="宋体" w:eastAsia="宋体" w:cs="Times New Roman"/>
          <w:kern w:val="0"/>
          <w:sz w:val="21"/>
          <w:szCs w:val="21"/>
          <w:lang w:val="en-US" w:eastAsia="zh-CN" w:bidi="ar-SA"/>
        </w:rPr>
        <w:t>：</w:t>
      </w:r>
    </w:p>
    <w:p>
      <w:pPr>
        <w:keepNext w:val="0"/>
        <w:keepLines w:val="0"/>
        <w:pageBreakBefore w:val="0"/>
        <w:kinsoku/>
        <w:wordWrap/>
        <w:overflowPunct/>
        <w:topLinePunct w:val="0"/>
        <w:bidi w:val="0"/>
        <w:adjustRightInd w:val="0"/>
        <w:snapToGrid w:val="0"/>
        <w:spacing w:line="360" w:lineRule="auto"/>
        <w:ind w:firstLine="420" w:firstLineChars="200"/>
        <w:textAlignment w:val="auto"/>
        <w:rPr>
          <w:rFonts w:hint="default" w:ascii="宋体" w:hAnsi="宋体" w:eastAsia="宋体" w:cs="宋体"/>
          <w:sz w:val="21"/>
          <w:szCs w:val="21"/>
          <w:lang w:val="en-US" w:eastAsia="zh-CN"/>
        </w:rPr>
      </w:pPr>
      <w:r>
        <w:rPr>
          <w:rFonts w:hint="eastAsia" w:ascii="Times New Roman" w:hAnsi="宋体" w:eastAsia="宋体" w:cs="Times New Roman"/>
          <w:kern w:val="0"/>
          <w:sz w:val="21"/>
          <w:szCs w:val="21"/>
          <w:lang w:val="en-US" w:eastAsia="zh-CN" w:bidi="ar-SA"/>
        </w:rPr>
        <w:t>位移、</w:t>
      </w:r>
      <w:r>
        <w:rPr>
          <w:rFonts w:hint="eastAsia" w:ascii="Times New Roman" w:hAnsi="Times New Roman" w:eastAsia="宋体" w:cs="Times New Roman"/>
          <w:b w:val="0"/>
          <w:bCs w:val="0"/>
          <w:kern w:val="2"/>
          <w:sz w:val="21"/>
          <w:szCs w:val="24"/>
          <w:lang w:val="en-US" w:eastAsia="zh-CN" w:bidi="ar-SA"/>
        </w:rPr>
        <w:t>程序升温速率</w:t>
      </w:r>
      <w:r>
        <w:rPr>
          <w:rFonts w:hint="eastAsia" w:ascii="Times New Roman" w:hAnsi="宋体" w:eastAsia="宋体" w:cs="Times New Roman"/>
          <w:kern w:val="0"/>
          <w:sz w:val="21"/>
          <w:szCs w:val="21"/>
          <w:lang w:val="en-US" w:eastAsia="zh-CN" w:bidi="ar-SA"/>
        </w:rPr>
        <w:t>、温度、储能模量为核心校准项目。可有效表征该仪器的量值准确性与测量</w:t>
      </w:r>
      <w:r>
        <w:rPr>
          <w:rFonts w:hint="eastAsia" w:ascii="宋体" w:hAnsi="宋体" w:eastAsia="宋体" w:cs="宋体"/>
          <w:sz w:val="21"/>
          <w:szCs w:val="21"/>
          <w:lang w:val="en-US" w:eastAsia="zh-CN"/>
        </w:rPr>
        <w:t>稳定性。</w:t>
      </w:r>
    </w:p>
    <w:p>
      <w:pPr>
        <w:pStyle w:val="58"/>
        <w:keepNext w:val="0"/>
        <w:keepLines w:val="0"/>
        <w:pageBreakBefore w:val="0"/>
        <w:widowControl/>
        <w:numPr>
          <w:ilvl w:val="0"/>
          <w:numId w:val="13"/>
        </w:numPr>
        <w:kinsoku/>
        <w:wordWrap/>
        <w:overflowPunct/>
        <w:topLinePunct w:val="0"/>
        <w:autoSpaceDE w:val="0"/>
        <w:autoSpaceDN w:val="0"/>
        <w:bidi w:val="0"/>
        <w:adjustRightInd w:val="0"/>
        <w:snapToGrid w:val="0"/>
        <w:spacing w:line="360" w:lineRule="auto"/>
        <w:ind w:left="0" w:leftChars="0" w:firstLine="420" w:firstLineChars="200"/>
        <w:textAlignment w:val="auto"/>
        <w:outlineLvl w:val="2"/>
        <w:rPr>
          <w:rFonts w:hint="default" w:ascii="Times New Roman"/>
          <w:sz w:val="21"/>
          <w:szCs w:val="21"/>
          <w:lang w:val="en-US" w:eastAsia="zh-CN"/>
        </w:rPr>
      </w:pPr>
      <w:r>
        <w:rPr>
          <w:rFonts w:ascii="宋体" w:hAnsi="宋体" w:eastAsia="宋体" w:cs="宋体"/>
          <w:sz w:val="21"/>
          <w:szCs w:val="21"/>
        </w:rPr>
        <w:t>外观检查</w:t>
      </w:r>
    </w:p>
    <w:p>
      <w:pPr>
        <w:pStyle w:val="58"/>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auto"/>
        <w:outlineLvl w:val="9"/>
        <w:rPr>
          <w:rFonts w:hint="default" w:ascii="Times New Roman"/>
          <w:sz w:val="21"/>
          <w:szCs w:val="21"/>
          <w:lang w:val="en-US" w:eastAsia="zh-CN"/>
        </w:rPr>
      </w:pPr>
      <w:r>
        <w:rPr>
          <w:rFonts w:hint="eastAsia" w:ascii="Times New Roman"/>
          <w:sz w:val="21"/>
          <w:szCs w:val="21"/>
          <w:lang w:val="en-US" w:eastAsia="zh-CN"/>
        </w:rPr>
        <w:t>用目视的方法检查仪器中各夹具无锈蚀且连接牢固</w:t>
      </w:r>
      <w:r>
        <w:rPr>
          <w:rFonts w:hint="default" w:ascii="Times New Roman"/>
          <w:sz w:val="21"/>
          <w:szCs w:val="21"/>
          <w:lang w:val="en-US" w:eastAsia="zh-CN"/>
        </w:rPr>
        <w:t>。</w:t>
      </w:r>
    </w:p>
    <w:p>
      <w:pPr>
        <w:pStyle w:val="58"/>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auto"/>
        <w:outlineLvl w:val="9"/>
        <w:rPr>
          <w:rFonts w:hint="default" w:ascii="Times New Roman"/>
          <w:sz w:val="21"/>
          <w:szCs w:val="21"/>
          <w:lang w:val="en-US" w:eastAsia="zh-CN"/>
        </w:rPr>
      </w:pPr>
      <w:r>
        <w:rPr>
          <w:rFonts w:hint="default" w:ascii="Times New Roman"/>
          <w:sz w:val="21"/>
          <w:szCs w:val="21"/>
          <w:lang w:val="en-US" w:eastAsia="zh-CN"/>
        </w:rPr>
        <w:t>编写理由：</w:t>
      </w:r>
    </w:p>
    <w:p>
      <w:pPr>
        <w:pStyle w:val="58"/>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auto"/>
        <w:outlineLvl w:val="9"/>
        <w:rPr>
          <w:rFonts w:hint="default" w:ascii="Times New Roman"/>
          <w:sz w:val="21"/>
          <w:szCs w:val="21"/>
          <w:lang w:val="en-US" w:eastAsia="zh-CN"/>
        </w:rPr>
      </w:pPr>
      <w:r>
        <w:rPr>
          <w:rFonts w:hint="default" w:ascii="Times New Roman"/>
          <w:sz w:val="21"/>
          <w:szCs w:val="21"/>
          <w:lang w:val="en-US" w:eastAsia="zh-CN"/>
        </w:rPr>
        <w:t>为了避免</w:t>
      </w:r>
      <w:r>
        <w:rPr>
          <w:rFonts w:hint="eastAsia" w:ascii="Times New Roman"/>
          <w:sz w:val="21"/>
          <w:szCs w:val="21"/>
          <w:lang w:val="en-US" w:eastAsia="zh-CN"/>
        </w:rPr>
        <w:t>各夹具间松动及夹具腐蚀影响测量结果</w:t>
      </w:r>
      <w:r>
        <w:rPr>
          <w:rFonts w:hint="default" w:ascii="Times New Roman"/>
          <w:sz w:val="21"/>
          <w:szCs w:val="21"/>
          <w:lang w:val="en-US" w:eastAsia="zh-CN"/>
        </w:rPr>
        <w:t>，从源头排除干扰因素，确保校准结果的溯源性与准确性。</w:t>
      </w:r>
    </w:p>
    <w:p>
      <w:pPr>
        <w:pStyle w:val="58"/>
        <w:keepNext w:val="0"/>
        <w:keepLines w:val="0"/>
        <w:pageBreakBefore w:val="0"/>
        <w:widowControl/>
        <w:numPr>
          <w:ilvl w:val="0"/>
          <w:numId w:val="13"/>
        </w:numPr>
        <w:kinsoku/>
        <w:wordWrap/>
        <w:overflowPunct/>
        <w:topLinePunct w:val="0"/>
        <w:autoSpaceDE w:val="0"/>
        <w:autoSpaceDN w:val="0"/>
        <w:bidi w:val="0"/>
        <w:adjustRightInd w:val="0"/>
        <w:snapToGrid w:val="0"/>
        <w:spacing w:line="360" w:lineRule="auto"/>
        <w:ind w:left="0" w:leftChars="0" w:firstLine="420" w:firstLineChars="200"/>
        <w:textAlignment w:val="auto"/>
        <w:outlineLvl w:val="9"/>
        <w:rPr>
          <w:rFonts w:hint="eastAsia" w:ascii="Times New Roman" w:cs="Times New Roman"/>
          <w:sz w:val="21"/>
          <w:szCs w:val="21"/>
          <w:highlight w:val="none"/>
          <w:lang w:val="en-US" w:eastAsia="zh-CN"/>
        </w:rPr>
      </w:pPr>
      <w:r>
        <w:rPr>
          <w:rFonts w:hint="eastAsia" w:ascii="Times New Roman" w:cs="Times New Roman"/>
          <w:sz w:val="21"/>
          <w:szCs w:val="21"/>
          <w:highlight w:val="none"/>
          <w:lang w:val="en-US" w:eastAsia="zh-CN"/>
        </w:rPr>
        <w:t>位移示值误差</w:t>
      </w:r>
    </w:p>
    <w:p>
      <w:pPr>
        <w:pStyle w:val="58"/>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20" w:firstLineChars="200"/>
        <w:jc w:val="both"/>
        <w:textAlignment w:val="auto"/>
        <w:rPr>
          <w:rFonts w:hint="default" w:ascii="Times New Roman" w:cs="Times New Roman"/>
          <w:sz w:val="21"/>
          <w:szCs w:val="21"/>
          <w:highlight w:val="none"/>
          <w:lang w:val="en-US" w:eastAsia="zh-CN"/>
        </w:rPr>
      </w:pPr>
      <w:r>
        <w:rPr>
          <w:rFonts w:hint="default" w:ascii="Times New Roman" w:cs="Times New Roman"/>
          <w:sz w:val="21"/>
          <w:szCs w:val="21"/>
          <w:highlight w:val="none"/>
          <w:lang w:val="en-US" w:eastAsia="zh-CN"/>
        </w:rPr>
        <w:t>选择压缩夹具并完成夹具校正，使DMA夹具保持空载状态、加热炉保持关闭状态，负载力设为2N，待设备稳定后开始测试。打开加热炉，将量块置于样品支架的测量位置后关闭炉体，待数值稳定后记录该量块长度的测量值，按相同步骤重复测量两次，取三次测量值的平均值作为该量块长度的测量值</w:t>
      </w:r>
      <w:r>
        <w:rPr>
          <w:rFonts w:hint="default" w:ascii="Times New Roman" w:cs="Times New Roman"/>
          <w:position w:val="-10"/>
          <w:sz w:val="21"/>
          <w:szCs w:val="21"/>
          <w:highlight w:val="none"/>
          <w:lang w:val="en-US" w:eastAsia="zh-CN"/>
        </w:rPr>
        <w:object>
          <v:shape id="_x0000_i1025" o:spt="75" type="#_x0000_t75" style="height:17pt;width:13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w:r>
        <w:rPr>
          <w:rFonts w:hint="default" w:ascii="Times New Roman" w:cs="Times New Roman"/>
          <w:sz w:val="21"/>
          <w:szCs w:val="21"/>
          <w:highlight w:val="none"/>
          <w:lang w:val="en-US" w:eastAsia="zh-CN"/>
        </w:rPr>
        <w:t>，按相同的操作步骤测量另一量块，</w:t>
      </w:r>
      <w:r>
        <w:rPr>
          <w:rFonts w:hint="eastAsia" w:ascii="Times New Roman" w:cs="Times New Roman"/>
          <w:sz w:val="21"/>
          <w:szCs w:val="21"/>
          <w:highlight w:val="none"/>
          <w:lang w:val="en-US" w:eastAsia="zh-CN"/>
        </w:rPr>
        <w:t>其测量平均值记为</w:t>
      </w:r>
      <w:r>
        <w:rPr>
          <w:rFonts w:hint="default" w:ascii="Times New Roman" w:cs="Times New Roman"/>
          <w:position w:val="-10"/>
          <w:sz w:val="21"/>
          <w:szCs w:val="21"/>
          <w:highlight w:val="none"/>
          <w:lang w:val="en-US" w:eastAsia="zh-CN"/>
        </w:rPr>
        <w:object>
          <v:shape id="_x0000_i1026" o:spt="75" type="#_x0000_t75" style="height:17pt;width:13.95pt;" o:ole="t" filled="f" o:preferrelative="t" stroked="f" coordsize="21600,21600">
            <v:path/>
            <v:fill on="f" focussize="0,0"/>
            <v:stroke on="f"/>
            <v:imagedata r:id="rId10" o:title=""/>
            <o:lock v:ext="edit" aspectratio="t"/>
            <w10:wrap type="none"/>
            <w10:anchorlock/>
          </v:shape>
          <o:OLEObject Type="Embed" ProgID="Equation.KSEE3" ShapeID="_x0000_i1026" DrawAspect="Content" ObjectID="_1468075726" r:id="rId9">
            <o:LockedField>false</o:LockedField>
          </o:OLEObject>
        </w:object>
      </w:r>
      <w:r>
        <w:rPr>
          <w:rFonts w:hint="eastAsia" w:ascii="Times New Roman" w:cs="Times New Roman"/>
          <w:sz w:val="21"/>
          <w:szCs w:val="21"/>
          <w:highlight w:val="none"/>
          <w:lang w:val="en-US" w:eastAsia="zh-CN"/>
        </w:rPr>
        <w:t>，按正文公式（1）和（2）</w:t>
      </w:r>
      <w:r>
        <w:rPr>
          <w:rFonts w:hint="default" w:ascii="Times New Roman" w:cs="Times New Roman"/>
          <w:sz w:val="21"/>
          <w:szCs w:val="21"/>
          <w:highlight w:val="none"/>
          <w:lang w:val="en-US" w:eastAsia="zh-CN"/>
        </w:rPr>
        <w:t>计算量块长度的测量平均值，按</w:t>
      </w:r>
      <w:r>
        <w:rPr>
          <w:rFonts w:hint="eastAsia" w:ascii="Times New Roman" w:cs="Times New Roman"/>
          <w:sz w:val="21"/>
          <w:szCs w:val="21"/>
          <w:highlight w:val="none"/>
          <w:lang w:val="en-US" w:eastAsia="zh-CN"/>
        </w:rPr>
        <w:t>正文</w:t>
      </w:r>
      <w:r>
        <w:rPr>
          <w:rFonts w:hint="default" w:ascii="Times New Roman" w:cs="Times New Roman"/>
          <w:sz w:val="21"/>
          <w:szCs w:val="21"/>
          <w:highlight w:val="none"/>
          <w:lang w:val="en-US" w:eastAsia="zh-CN"/>
        </w:rPr>
        <w:t>公式</w:t>
      </w:r>
      <w:r>
        <w:rPr>
          <w:rFonts w:hint="eastAsia" w:ascii="Times New Roman" w:cs="Times New Roman"/>
          <w:sz w:val="21"/>
          <w:szCs w:val="21"/>
          <w:highlight w:val="none"/>
          <w:lang w:val="en-US" w:eastAsia="zh-CN"/>
        </w:rPr>
        <w:t>（3）</w:t>
      </w:r>
      <w:r>
        <w:rPr>
          <w:rFonts w:hint="default" w:ascii="Times New Roman" w:cs="Times New Roman"/>
          <w:sz w:val="21"/>
          <w:szCs w:val="21"/>
          <w:highlight w:val="none"/>
          <w:lang w:val="en-US" w:eastAsia="zh-CN"/>
        </w:rPr>
        <w:t>计算位移示值误差。</w:t>
      </w:r>
    </w:p>
    <w:p>
      <w:pPr>
        <w:pStyle w:val="58"/>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20" w:firstLineChars="200"/>
        <w:jc w:val="both"/>
        <w:textAlignment w:val="auto"/>
        <w:rPr>
          <w:rFonts w:hint="eastAsia" w:ascii="Times New Roman"/>
          <w:sz w:val="21"/>
          <w:szCs w:val="21"/>
          <w:lang w:val="en-US" w:eastAsia="zh-CN"/>
        </w:rPr>
      </w:pPr>
      <w:r>
        <w:rPr>
          <w:rFonts w:hint="default" w:ascii="Times New Roman"/>
          <w:sz w:val="21"/>
          <w:szCs w:val="21"/>
          <w:lang w:val="en-US" w:eastAsia="zh-CN"/>
        </w:rPr>
        <w:t>编写理由</w:t>
      </w:r>
      <w:r>
        <w:rPr>
          <w:rFonts w:hint="eastAsia" w:ascii="Times New Roman"/>
          <w:sz w:val="21"/>
          <w:szCs w:val="21"/>
          <w:lang w:val="en-US" w:eastAsia="zh-CN"/>
        </w:rPr>
        <w:t>：</w:t>
      </w:r>
    </w:p>
    <w:p>
      <w:pPr>
        <w:pStyle w:val="58"/>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20" w:firstLineChars="200"/>
        <w:jc w:val="both"/>
        <w:textAlignment w:val="auto"/>
        <w:rPr>
          <w:rFonts w:hint="default" w:ascii="Times New Roman" w:cs="Times New Roman"/>
          <w:sz w:val="21"/>
          <w:szCs w:val="21"/>
          <w:highlight w:val="none"/>
          <w:lang w:val="en-US" w:eastAsia="zh-CN"/>
        </w:rPr>
      </w:pPr>
      <w:r>
        <w:rPr>
          <w:rFonts w:hint="eastAsia" w:ascii="Times New Roman" w:cs="Times New Roman"/>
          <w:sz w:val="21"/>
          <w:szCs w:val="21"/>
          <w:highlight w:val="none"/>
          <w:lang w:val="en-US" w:eastAsia="zh-CN"/>
        </w:rPr>
        <w:t xml:space="preserve">动态热机械分析仪示值误差校准方法是参考了JJF 2069-2023《静态热机械分析仪校准规范》7.1位移示值误差的校准方法，对位移示值误差的校准方法进行编写。                </w:t>
      </w:r>
    </w:p>
    <w:p>
      <w:pPr>
        <w:pStyle w:val="58"/>
        <w:keepNext w:val="0"/>
        <w:keepLines w:val="0"/>
        <w:pageBreakBefore w:val="0"/>
        <w:widowControl/>
        <w:numPr>
          <w:ilvl w:val="0"/>
          <w:numId w:val="13"/>
        </w:numPr>
        <w:kinsoku/>
        <w:wordWrap/>
        <w:overflowPunct/>
        <w:topLinePunct w:val="0"/>
        <w:autoSpaceDE w:val="0"/>
        <w:autoSpaceDN w:val="0"/>
        <w:bidi w:val="0"/>
        <w:adjustRightInd w:val="0"/>
        <w:snapToGrid w:val="0"/>
        <w:spacing w:line="360" w:lineRule="auto"/>
        <w:ind w:left="0" w:leftChars="0" w:firstLine="420" w:firstLineChars="200"/>
        <w:textAlignment w:val="auto"/>
        <w:outlineLvl w:val="2"/>
        <w:rPr>
          <w:rFonts w:hint="default" w:ascii="Times New Roman" w:hAnsi="Times New Roman" w:eastAsia="宋体" w:cs="Times New Roman"/>
          <w:sz w:val="21"/>
          <w:szCs w:val="21"/>
          <w:lang w:val="en-US" w:eastAsia="zh-CN"/>
        </w:rPr>
      </w:pPr>
      <w:r>
        <w:rPr>
          <w:rFonts w:hint="eastAsia" w:ascii="Times New Roman" w:cs="Times New Roman"/>
          <w:sz w:val="21"/>
          <w:szCs w:val="21"/>
          <w:lang w:val="en-US" w:eastAsia="zh-CN"/>
        </w:rPr>
        <w:t>程序升温速率偏差</w:t>
      </w:r>
    </w:p>
    <w:p>
      <w:pPr>
        <w:pStyle w:val="58"/>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textAlignment w:val="auto"/>
        <w:outlineLvl w:val="9"/>
        <w:rPr>
          <w:rFonts w:hint="eastAsia" w:ascii="Times New Roman" w:eastAsiaTheme="minorEastAsia"/>
          <w:sz w:val="21"/>
          <w:szCs w:val="21"/>
          <w:highlight w:val="none"/>
          <w:lang w:val="en-US" w:eastAsia="zh-CN"/>
        </w:rPr>
      </w:pPr>
      <w:bookmarkStart w:id="76" w:name="_Toc126"/>
      <w:r>
        <w:rPr>
          <w:rFonts w:hint="eastAsia" w:ascii="Times New Roman" w:eastAsiaTheme="minorEastAsia"/>
          <w:sz w:val="21"/>
          <w:szCs w:val="21"/>
          <w:highlight w:val="none"/>
          <w:lang w:val="en-US" w:eastAsia="zh-CN"/>
        </w:rPr>
        <w:t>支架上放置一个高熔点热分析标物，关闭加热炉，以</w:t>
      </w:r>
      <w:r>
        <w:rPr>
          <w:rFonts w:hint="eastAsia" w:ascii="Times New Roman" w:hAnsi="Times New Roman" w:eastAsia="宋体" w:cs="Times New Roman"/>
          <w:sz w:val="21"/>
          <w:szCs w:val="21"/>
          <w:lang w:val="en-US" w:eastAsia="zh-CN"/>
        </w:rPr>
        <w:t>3℃/min</w:t>
      </w:r>
      <w:r>
        <w:rPr>
          <w:rFonts w:hint="eastAsia" w:ascii="Times New Roman" w:eastAsiaTheme="minorEastAsia"/>
          <w:sz w:val="21"/>
          <w:szCs w:val="21"/>
          <w:highlight w:val="none"/>
          <w:lang w:val="en-US" w:eastAsia="zh-CN"/>
        </w:rPr>
        <w:t>的升温速率进行加热，待升温稳定后用秒表开始计时，此时炉内环境温度为</w:t>
      </w:r>
      <w:r>
        <w:rPr>
          <w:rFonts w:hint="default" w:ascii="Times New Roman" w:cs="Times New Roman"/>
          <w:position w:val="-12"/>
          <w:sz w:val="21"/>
          <w:szCs w:val="21"/>
          <w:highlight w:val="none"/>
          <w:lang w:val="en-US" w:eastAsia="zh-CN"/>
        </w:rPr>
        <w:object>
          <v:shape id="_x0000_i1027" o:spt="75" type="#_x0000_t75" style="height:18pt;width:13pt;" o:ole="t" filled="f" o:preferrelative="t" stroked="f" coordsize="21600,21600">
            <v:path/>
            <v:fill on="f" focussize="0,0"/>
            <v:stroke on="f"/>
            <v:imagedata r:id="rId12" o:title=""/>
            <o:lock v:ext="edit" aspectratio="t"/>
            <w10:wrap type="none"/>
            <w10:anchorlock/>
          </v:shape>
          <o:OLEObject Type="Embed" ProgID="Equation.KSEE3" ShapeID="_x0000_i1027" DrawAspect="Content" ObjectID="_1468075727" r:id="rId11">
            <o:LockedField>false</o:LockedField>
          </o:OLEObject>
        </w:object>
      </w:r>
      <w:r>
        <w:rPr>
          <w:rFonts w:hint="eastAsia" w:ascii="Times New Roman" w:eastAsiaTheme="minorEastAsia"/>
          <w:sz w:val="21"/>
          <w:szCs w:val="21"/>
          <w:highlight w:val="none"/>
          <w:lang w:val="en-US" w:eastAsia="zh-CN"/>
        </w:rPr>
        <w:t>，</w:t>
      </w:r>
      <w:r>
        <w:rPr>
          <w:rFonts w:hint="eastAsia" w:ascii="Times New Roman" w:hAnsi="Times New Roman" w:eastAsia="宋体" w:cs="Times New Roman"/>
          <w:sz w:val="21"/>
          <w:szCs w:val="21"/>
          <w:lang w:val="en-US" w:eastAsia="zh-CN"/>
        </w:rPr>
        <w:t>10</w:t>
      </w:r>
      <w:r>
        <w:rPr>
          <w:rFonts w:hint="eastAsia" w:ascii="Times New Roman" w:eastAsiaTheme="minorEastAsia"/>
          <w:sz w:val="21"/>
          <w:szCs w:val="21"/>
          <w:highlight w:val="none"/>
          <w:lang w:val="en-US" w:eastAsia="zh-CN"/>
        </w:rPr>
        <w:t>分钟后记录炉内环境温度</w:t>
      </w:r>
      <w:r>
        <w:rPr>
          <w:rFonts w:hint="default" w:ascii="Times New Roman" w:cs="Times New Roman"/>
          <w:position w:val="-12"/>
          <w:sz w:val="21"/>
          <w:szCs w:val="21"/>
          <w:highlight w:val="none"/>
          <w:lang w:val="en-US" w:eastAsia="zh-CN"/>
        </w:rPr>
        <w:object>
          <v:shape id="_x0000_i1028" o:spt="75" type="#_x0000_t75" style="height:18pt;width:16pt;" o:ole="t" filled="f" o:preferrelative="t" stroked="f" coordsize="21600,21600">
            <v:path/>
            <v:fill on="f" focussize="0,0"/>
            <v:stroke on="f"/>
            <v:imagedata r:id="rId14" o:title=""/>
            <o:lock v:ext="edit" aspectratio="t"/>
            <w10:wrap type="none"/>
            <w10:anchorlock/>
          </v:shape>
          <o:OLEObject Type="Embed" ProgID="Equation.KSEE3" ShapeID="_x0000_i1028" DrawAspect="Content" ObjectID="_1468075728" r:id="rId13">
            <o:LockedField>false</o:LockedField>
          </o:OLEObject>
        </w:object>
      </w:r>
      <w:r>
        <w:rPr>
          <w:rFonts w:hint="eastAsia" w:ascii="Times New Roman" w:eastAsiaTheme="minorEastAsia"/>
          <w:sz w:val="21"/>
          <w:szCs w:val="21"/>
          <w:highlight w:val="none"/>
          <w:lang w:val="en-US" w:eastAsia="zh-CN"/>
        </w:rPr>
        <w:t>，</w:t>
      </w:r>
      <w:r>
        <w:rPr>
          <w:rFonts w:hint="eastAsia" w:ascii="Times New Roman" w:cs="Times New Roman"/>
          <w:sz w:val="21"/>
          <w:szCs w:val="21"/>
          <w:highlight w:val="none"/>
          <w:lang w:val="en-US" w:eastAsia="zh-CN"/>
        </w:rPr>
        <w:t>按正文公式（4）</w:t>
      </w:r>
      <w:r>
        <w:rPr>
          <w:rFonts w:hint="eastAsia" w:ascii="Times New Roman" w:eastAsiaTheme="minorEastAsia"/>
          <w:sz w:val="21"/>
          <w:szCs w:val="21"/>
          <w:highlight w:val="none"/>
          <w:lang w:val="en-US" w:eastAsia="zh-CN"/>
        </w:rPr>
        <w:t xml:space="preserve">计算程序升温速率示值误差。 </w:t>
      </w:r>
      <w:bookmarkEnd w:id="76"/>
    </w:p>
    <w:p>
      <w:pPr>
        <w:pStyle w:val="58"/>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20" w:firstLineChars="200"/>
        <w:jc w:val="both"/>
        <w:textAlignment w:val="auto"/>
        <w:rPr>
          <w:rFonts w:hint="eastAsia" w:ascii="Times New Roman" w:eastAsiaTheme="minorEastAsia"/>
          <w:sz w:val="21"/>
          <w:szCs w:val="21"/>
          <w:highlight w:val="none"/>
          <w:lang w:val="en-US" w:eastAsia="zh-CN"/>
        </w:rPr>
      </w:pPr>
      <w:r>
        <w:rPr>
          <w:rFonts w:hint="default" w:ascii="Times New Roman"/>
          <w:sz w:val="21"/>
          <w:szCs w:val="21"/>
          <w:lang w:val="en-US" w:eastAsia="zh-CN"/>
        </w:rPr>
        <w:t>编写理由</w:t>
      </w:r>
      <w:r>
        <w:rPr>
          <w:rFonts w:hint="eastAsia" w:ascii="Times New Roman"/>
          <w:sz w:val="21"/>
          <w:szCs w:val="21"/>
          <w:lang w:val="en-US" w:eastAsia="zh-CN"/>
        </w:rPr>
        <w:t>：</w:t>
      </w:r>
    </w:p>
    <w:p>
      <w:pPr>
        <w:pStyle w:val="58"/>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left="0" w:leftChars="0" w:firstLine="420" w:firstLineChars="200"/>
        <w:jc w:val="both"/>
        <w:textAlignment w:val="auto"/>
        <w:outlineLvl w:val="2"/>
        <w:rPr>
          <w:rFonts w:hint="eastAsia" w:ascii="宋体" w:hAnsi="宋体" w:eastAsia="宋体" w:cs="宋体"/>
          <w:sz w:val="21"/>
          <w:szCs w:val="21"/>
          <w:lang w:val="en-US" w:eastAsia="zh-CN"/>
        </w:rPr>
      </w:pPr>
      <w:r>
        <w:rPr>
          <w:rFonts w:hint="eastAsia" w:ascii="Times New Roman" w:cs="Times New Roman"/>
          <w:sz w:val="21"/>
          <w:szCs w:val="21"/>
          <w:highlight w:val="none"/>
          <w:lang w:val="en-US" w:eastAsia="zh-CN"/>
        </w:rPr>
        <w:t xml:space="preserve">动态热机械分析仪程序升温速率偏差校准方法是参考了JJG 936-2012《示差扫描量热计》6.3.4程序升温速率偏差的校准方法，对程序升温速率偏差校准方法进行编写。  </w:t>
      </w:r>
    </w:p>
    <w:p>
      <w:pPr>
        <w:pStyle w:val="58"/>
        <w:keepNext w:val="0"/>
        <w:keepLines w:val="0"/>
        <w:pageBreakBefore w:val="0"/>
        <w:widowControl/>
        <w:numPr>
          <w:ilvl w:val="0"/>
          <w:numId w:val="13"/>
        </w:numPr>
        <w:kinsoku/>
        <w:wordWrap/>
        <w:overflowPunct/>
        <w:topLinePunct w:val="0"/>
        <w:autoSpaceDE w:val="0"/>
        <w:autoSpaceDN w:val="0"/>
        <w:bidi w:val="0"/>
        <w:adjustRightInd w:val="0"/>
        <w:snapToGrid w:val="0"/>
        <w:spacing w:line="360" w:lineRule="auto"/>
        <w:ind w:left="0" w:leftChars="0" w:firstLine="420" w:firstLineChars="200"/>
        <w:textAlignment w:val="auto"/>
        <w:outlineLvl w:val="2"/>
        <w:rPr>
          <w:rFonts w:hint="eastAsia" w:ascii="Times New Roman" w:hAnsi="宋体" w:eastAsia="宋体" w:cs="Times New Roman"/>
          <w:sz w:val="21"/>
          <w:szCs w:val="21"/>
          <w:lang w:val="en-US" w:eastAsia="zh-CN"/>
        </w:rPr>
      </w:pPr>
      <w:r>
        <w:rPr>
          <w:rFonts w:hint="default" w:ascii="Times New Roman" w:hAnsi="宋体" w:eastAsia="宋体" w:cs="Times New Roman"/>
          <w:sz w:val="21"/>
          <w:szCs w:val="21"/>
          <w:lang w:val="en-US" w:eastAsia="zh-CN"/>
        </w:rPr>
        <w:t>穿刺</w:t>
      </w:r>
      <w:r>
        <w:rPr>
          <w:rFonts w:hint="eastAsia" w:ascii="Times New Roman" w:hAnsi="宋体" w:eastAsia="宋体" w:cs="Times New Roman"/>
          <w:sz w:val="21"/>
          <w:szCs w:val="21"/>
          <w:lang w:val="en-US" w:eastAsia="zh-CN"/>
        </w:rPr>
        <w:t>或压缩</w:t>
      </w:r>
      <w:r>
        <w:rPr>
          <w:rFonts w:hint="default" w:ascii="Times New Roman" w:hAnsi="宋体" w:eastAsia="宋体" w:cs="Times New Roman"/>
          <w:sz w:val="21"/>
          <w:szCs w:val="21"/>
          <w:lang w:val="en-US" w:eastAsia="zh-CN"/>
        </w:rPr>
        <w:t>夹具校准温度重复性</w:t>
      </w:r>
      <w:r>
        <w:rPr>
          <w:rFonts w:hint="eastAsia" w:ascii="Times New Roman" w:hAnsi="宋体" w:eastAsia="宋体" w:cs="Times New Roman"/>
          <w:sz w:val="21"/>
          <w:szCs w:val="21"/>
          <w:lang w:val="en-US" w:eastAsia="zh-CN"/>
        </w:rPr>
        <w:t>及</w:t>
      </w:r>
      <w:r>
        <w:rPr>
          <w:rFonts w:hint="default" w:ascii="Times New Roman" w:hAnsi="宋体" w:eastAsia="宋体" w:cs="Times New Roman"/>
          <w:sz w:val="21"/>
          <w:szCs w:val="21"/>
          <w:lang w:val="en-US" w:eastAsia="zh-CN"/>
        </w:rPr>
        <w:t>示值误差</w:t>
      </w:r>
    </w:p>
    <w:p>
      <w:pPr>
        <w:pStyle w:val="58"/>
        <w:keepNext w:val="0"/>
        <w:keepLines w:val="0"/>
        <w:pageBreakBefore w:val="0"/>
        <w:widowControl/>
        <w:kinsoku/>
        <w:wordWrap/>
        <w:overflowPunct/>
        <w:topLinePunct w:val="0"/>
        <w:autoSpaceDE w:val="0"/>
        <w:autoSpaceDN w:val="0"/>
        <w:bidi w:val="0"/>
        <w:adjustRightInd w:val="0"/>
        <w:snapToGrid w:val="0"/>
        <w:spacing w:line="360" w:lineRule="auto"/>
        <w:jc w:val="both"/>
        <w:textAlignment w:val="auto"/>
        <w:rPr>
          <w:rFonts w:hint="default" w:ascii="Times New Roman" w:cs="Times New Roman"/>
          <w:sz w:val="21"/>
          <w:szCs w:val="21"/>
          <w:highlight w:val="none"/>
          <w:lang w:val="en-US" w:eastAsia="zh-CN"/>
        </w:rPr>
      </w:pPr>
      <w:r>
        <w:rPr>
          <w:rFonts w:hint="eastAsia" w:ascii="Times New Roman" w:cs="Times New Roman"/>
          <w:i w:val="0"/>
          <w:iCs w:val="0"/>
          <w:sz w:val="21"/>
          <w:szCs w:val="21"/>
          <w:highlight w:val="none"/>
          <w:lang w:val="en-US" w:eastAsia="zh-CN"/>
        </w:rPr>
        <w:t>设备穿刺或压缩模式支持采用热分析标准物质开展温度校准时，可采用穿刺或压缩夹具使用热分析标准物质进行校准。选择穿刺或压缩夹具并完成夹具校正，根据DMA实际使用的温度范围，从附录A选取两种热分析标准物质，每种标准物质取样量可根据设备情况进行选择。将其中一个热分析标准物质放置在支架测量位置（若待测温度高于350℃，通入保护气氛，并调节保护气氛流量至仪器说明书推荐的流量值），升温速率设定为3℃/min，初始力0.01N，参照附录A设定温度程序。实验结束后，获得温度—位移变化曲线（如图2所示），计算标准物质的熔化温度。依据上述测量方法，更换样品，重复测量1次，共计测量2次。按正文公式（5）计算温度平均值、按正文公式（6）计算温度重复性按，正文公式（7）计算温度示值误差。</w:t>
      </w:r>
      <w:r>
        <w:rPr>
          <w:rFonts w:hint="default" w:ascii="Times New Roman" w:cs="Times New Roman"/>
          <w:sz w:val="21"/>
          <w:szCs w:val="21"/>
          <w:highlight w:val="none"/>
          <w:lang w:val="en-US" w:eastAsia="zh-CN"/>
        </w:rPr>
        <w:t>选取另一种</w:t>
      </w:r>
      <w:r>
        <w:rPr>
          <w:rFonts w:hint="eastAsia" w:ascii="Times New Roman" w:cs="Times New Roman"/>
          <w:i w:val="0"/>
          <w:iCs w:val="0"/>
          <w:sz w:val="21"/>
          <w:szCs w:val="21"/>
          <w:highlight w:val="none"/>
          <w:lang w:val="en-US" w:eastAsia="zh-CN"/>
        </w:rPr>
        <w:t>热分析标准物质</w:t>
      </w:r>
      <w:r>
        <w:rPr>
          <w:rFonts w:hint="default" w:ascii="Times New Roman" w:cs="Times New Roman"/>
          <w:sz w:val="21"/>
          <w:szCs w:val="21"/>
          <w:highlight w:val="none"/>
          <w:lang w:val="en-US" w:eastAsia="zh-CN"/>
        </w:rPr>
        <w:t>，参考上述测量方法和附录A的温度程序，重复测量2次。</w:t>
      </w:r>
      <w:r>
        <w:rPr>
          <w:rFonts w:hint="default" w:ascii="Times New Roman" w:cs="Times New Roman"/>
          <w:i w:val="0"/>
          <w:iCs w:val="0"/>
          <w:sz w:val="21"/>
          <w:szCs w:val="21"/>
          <w:highlight w:val="none"/>
          <w:lang w:val="en-US" w:eastAsia="zh-CN"/>
        </w:rPr>
        <w:t>按</w:t>
      </w:r>
      <w:r>
        <w:rPr>
          <w:rFonts w:hint="eastAsia" w:ascii="Times New Roman" w:cs="Times New Roman"/>
          <w:i w:val="0"/>
          <w:iCs w:val="0"/>
          <w:sz w:val="21"/>
          <w:szCs w:val="21"/>
          <w:highlight w:val="none"/>
          <w:lang w:val="en-US" w:eastAsia="zh-CN"/>
        </w:rPr>
        <w:t>正文</w:t>
      </w:r>
      <w:r>
        <w:rPr>
          <w:rFonts w:hint="default" w:ascii="Times New Roman" w:cs="Times New Roman"/>
          <w:i w:val="0"/>
          <w:iCs w:val="0"/>
          <w:sz w:val="21"/>
          <w:szCs w:val="21"/>
          <w:highlight w:val="none"/>
          <w:lang w:val="en-US" w:eastAsia="zh-CN"/>
        </w:rPr>
        <w:t>公式计算温度</w:t>
      </w:r>
      <w:r>
        <w:rPr>
          <w:rFonts w:hint="eastAsia" w:ascii="Times New Roman" w:cs="Times New Roman"/>
          <w:i w:val="0"/>
          <w:iCs w:val="0"/>
          <w:sz w:val="21"/>
          <w:szCs w:val="21"/>
          <w:highlight w:val="none"/>
          <w:lang w:val="en-US" w:eastAsia="zh-CN"/>
        </w:rPr>
        <w:t>平均值，温度</w:t>
      </w:r>
      <w:r>
        <w:rPr>
          <w:rFonts w:hint="default" w:ascii="Times New Roman" w:cs="Times New Roman"/>
          <w:i w:val="0"/>
          <w:iCs w:val="0"/>
          <w:sz w:val="21"/>
          <w:szCs w:val="21"/>
          <w:highlight w:val="none"/>
          <w:lang w:val="en-US" w:eastAsia="zh-CN"/>
        </w:rPr>
        <w:t>重复性</w:t>
      </w:r>
      <w:r>
        <w:rPr>
          <w:rFonts w:hint="eastAsia" w:ascii="Times New Roman" w:cs="Times New Roman"/>
          <w:i w:val="0"/>
          <w:iCs w:val="0"/>
          <w:sz w:val="21"/>
          <w:szCs w:val="21"/>
          <w:highlight w:val="none"/>
          <w:lang w:val="en-US" w:eastAsia="zh-CN"/>
        </w:rPr>
        <w:t>，温度</w:t>
      </w:r>
      <w:r>
        <w:rPr>
          <w:rFonts w:hint="default" w:ascii="Times New Roman" w:cs="Times New Roman"/>
          <w:i w:val="0"/>
          <w:iCs w:val="0"/>
          <w:sz w:val="21"/>
          <w:szCs w:val="21"/>
          <w:highlight w:val="none"/>
          <w:lang w:val="en-US" w:eastAsia="zh-CN"/>
        </w:rPr>
        <w:t>示值误差</w:t>
      </w:r>
      <w:r>
        <w:rPr>
          <w:rFonts w:hint="default" w:ascii="Times New Roman" w:cs="Times New Roman"/>
          <w:sz w:val="21"/>
          <w:szCs w:val="21"/>
          <w:highlight w:val="none"/>
          <w:lang w:val="en-US" w:eastAsia="zh-CN"/>
        </w:rPr>
        <w:t>。</w:t>
      </w:r>
    </w:p>
    <w:p>
      <w:pPr>
        <w:pStyle w:val="58"/>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20" w:firstLineChars="200"/>
        <w:jc w:val="both"/>
        <w:textAlignment w:val="auto"/>
        <w:rPr>
          <w:rFonts w:hint="eastAsia" w:ascii="Times New Roman" w:eastAsiaTheme="minorEastAsia"/>
          <w:sz w:val="21"/>
          <w:szCs w:val="21"/>
          <w:highlight w:val="none"/>
          <w:lang w:val="en-US" w:eastAsia="zh-CN"/>
        </w:rPr>
      </w:pPr>
      <w:r>
        <w:rPr>
          <w:rFonts w:hint="default" w:ascii="Times New Roman"/>
          <w:sz w:val="21"/>
          <w:szCs w:val="21"/>
          <w:lang w:val="en-US" w:eastAsia="zh-CN"/>
        </w:rPr>
        <w:t>编写理由</w:t>
      </w:r>
      <w:r>
        <w:rPr>
          <w:rFonts w:hint="eastAsia" w:ascii="Times New Roman"/>
          <w:sz w:val="21"/>
          <w:szCs w:val="21"/>
          <w:lang w:val="en-US" w:eastAsia="zh-CN"/>
        </w:rPr>
        <w:t>：</w:t>
      </w:r>
    </w:p>
    <w:p>
      <w:pPr>
        <w:pStyle w:val="58"/>
        <w:keepNext w:val="0"/>
        <w:keepLines w:val="0"/>
        <w:pageBreakBefore w:val="0"/>
        <w:widowControl/>
        <w:numPr>
          <w:ilvl w:val="0"/>
          <w:numId w:val="14"/>
        </w:numPr>
        <w:kinsoku/>
        <w:wordWrap/>
        <w:overflowPunct/>
        <w:topLinePunct w:val="0"/>
        <w:autoSpaceDE w:val="0"/>
        <w:autoSpaceDN w:val="0"/>
        <w:bidi w:val="0"/>
        <w:adjustRightInd w:val="0"/>
        <w:snapToGrid w:val="0"/>
        <w:spacing w:line="360" w:lineRule="auto"/>
        <w:ind w:left="0" w:leftChars="0" w:firstLine="420" w:firstLineChars="200"/>
        <w:jc w:val="both"/>
        <w:textAlignment w:val="auto"/>
        <w:outlineLvl w:val="2"/>
        <w:rPr>
          <w:rFonts w:hint="eastAsia" w:ascii="Times New Roman" w:cs="Times New Roman"/>
          <w:i w:val="0"/>
          <w:iCs w:val="0"/>
          <w:sz w:val="21"/>
          <w:szCs w:val="21"/>
          <w:highlight w:val="none"/>
          <w:lang w:val="en-US" w:eastAsia="zh-CN"/>
        </w:rPr>
      </w:pPr>
      <w:r>
        <w:rPr>
          <w:rFonts w:hint="eastAsia" w:ascii="Times New Roman" w:cs="Times New Roman"/>
          <w:sz w:val="21"/>
          <w:szCs w:val="21"/>
          <w:highlight w:val="none"/>
          <w:lang w:val="en-US" w:eastAsia="zh-CN"/>
        </w:rPr>
        <w:t>动态热机械分析仪</w:t>
      </w:r>
      <w:r>
        <w:rPr>
          <w:rFonts w:hint="eastAsia" w:ascii="Times New Roman" w:cs="Times New Roman"/>
          <w:i w:val="0"/>
          <w:iCs w:val="0"/>
          <w:sz w:val="21"/>
          <w:szCs w:val="21"/>
          <w:highlight w:val="none"/>
          <w:lang w:val="en-US" w:eastAsia="zh-CN"/>
        </w:rPr>
        <w:t>选取两种热分析标准物质测量</w:t>
      </w:r>
      <w:r>
        <w:rPr>
          <w:rFonts w:hint="default" w:ascii="Times New Roman" w:hAnsi="宋体" w:eastAsia="宋体" w:cs="Times New Roman"/>
          <w:sz w:val="21"/>
          <w:szCs w:val="21"/>
          <w:lang w:val="en-US" w:eastAsia="zh-CN"/>
        </w:rPr>
        <w:t>温度重复性</w:t>
      </w:r>
      <w:r>
        <w:rPr>
          <w:rFonts w:hint="eastAsia" w:ascii="Times New Roman" w:hAnsi="宋体" w:eastAsia="宋体" w:cs="Times New Roman"/>
          <w:sz w:val="21"/>
          <w:szCs w:val="21"/>
          <w:lang w:val="en-US" w:eastAsia="zh-CN"/>
        </w:rPr>
        <w:t>及</w:t>
      </w:r>
      <w:r>
        <w:rPr>
          <w:rFonts w:hint="default" w:ascii="Times New Roman" w:hAnsi="宋体" w:eastAsia="宋体" w:cs="Times New Roman"/>
          <w:sz w:val="21"/>
          <w:szCs w:val="21"/>
          <w:lang w:val="en-US" w:eastAsia="zh-CN"/>
        </w:rPr>
        <w:t>示值误差</w:t>
      </w:r>
      <w:r>
        <w:rPr>
          <w:rFonts w:hint="eastAsia" w:ascii="Times New Roman" w:cs="Times New Roman"/>
          <w:sz w:val="21"/>
          <w:szCs w:val="21"/>
          <w:highlight w:val="none"/>
          <w:lang w:val="en-US" w:eastAsia="zh-CN"/>
        </w:rPr>
        <w:t>校准方法是参考了JJF 2069-2023《静态热机械分析仪校准规范》7.3温度示值误差和重复性的校准方法，对</w:t>
      </w:r>
      <w:r>
        <w:rPr>
          <w:rFonts w:hint="default" w:ascii="Times New Roman" w:hAnsi="宋体" w:eastAsia="宋体" w:cs="Times New Roman"/>
          <w:sz w:val="21"/>
          <w:szCs w:val="21"/>
          <w:lang w:val="en-US" w:eastAsia="zh-CN"/>
        </w:rPr>
        <w:t>温度重复性</w:t>
      </w:r>
      <w:r>
        <w:rPr>
          <w:rFonts w:hint="eastAsia" w:ascii="Times New Roman" w:hAnsi="宋体" w:eastAsia="宋体" w:cs="Times New Roman"/>
          <w:sz w:val="21"/>
          <w:szCs w:val="21"/>
          <w:lang w:val="en-US" w:eastAsia="zh-CN"/>
        </w:rPr>
        <w:t>及</w:t>
      </w:r>
      <w:r>
        <w:rPr>
          <w:rFonts w:hint="default" w:ascii="Times New Roman" w:hAnsi="宋体" w:eastAsia="宋体" w:cs="Times New Roman"/>
          <w:sz w:val="21"/>
          <w:szCs w:val="21"/>
          <w:lang w:val="en-US" w:eastAsia="zh-CN"/>
        </w:rPr>
        <w:t>示值误差</w:t>
      </w:r>
      <w:r>
        <w:rPr>
          <w:rFonts w:hint="eastAsia" w:ascii="Times New Roman" w:cs="Times New Roman"/>
          <w:sz w:val="21"/>
          <w:szCs w:val="21"/>
          <w:highlight w:val="none"/>
          <w:lang w:val="en-US" w:eastAsia="zh-CN"/>
        </w:rPr>
        <w:t xml:space="preserve">的校准方法进行编写。 </w:t>
      </w:r>
    </w:p>
    <w:p>
      <w:pPr>
        <w:pStyle w:val="58"/>
        <w:keepNext w:val="0"/>
        <w:keepLines w:val="0"/>
        <w:pageBreakBefore w:val="0"/>
        <w:widowControl/>
        <w:numPr>
          <w:ilvl w:val="0"/>
          <w:numId w:val="14"/>
        </w:numPr>
        <w:kinsoku/>
        <w:wordWrap/>
        <w:overflowPunct/>
        <w:topLinePunct w:val="0"/>
        <w:autoSpaceDE w:val="0"/>
        <w:autoSpaceDN w:val="0"/>
        <w:bidi w:val="0"/>
        <w:adjustRightInd w:val="0"/>
        <w:snapToGrid w:val="0"/>
        <w:spacing w:line="360" w:lineRule="auto"/>
        <w:ind w:left="0" w:leftChars="0" w:firstLine="420" w:firstLineChars="200"/>
        <w:jc w:val="both"/>
        <w:textAlignment w:val="auto"/>
        <w:outlineLvl w:val="2"/>
        <w:rPr>
          <w:rFonts w:hint="eastAsia" w:ascii="Times New Roman" w:cs="Times New Roman"/>
          <w:i w:val="0"/>
          <w:iCs w:val="0"/>
          <w:sz w:val="21"/>
          <w:szCs w:val="21"/>
          <w:highlight w:val="none"/>
          <w:lang w:val="en-US" w:eastAsia="zh-CN"/>
        </w:rPr>
      </w:pPr>
      <w:r>
        <w:rPr>
          <w:rFonts w:hint="eastAsia" w:ascii="Times New Roman" w:cs="Times New Roman"/>
          <w:i w:val="0"/>
          <w:iCs w:val="0"/>
          <w:sz w:val="21"/>
          <w:szCs w:val="21"/>
          <w:highlight w:val="none"/>
          <w:lang w:val="en-US" w:eastAsia="zh-CN"/>
        </w:rPr>
        <w:t>确定标准物质的熔化温度：即从温度—位移变化曲线的拐点处做切线，与熔化完成后温度—位移变化曲线的延长线相交，交点的横坐标即为熔点Tm，单位为℃。</w:t>
      </w:r>
    </w:p>
    <w:p>
      <w:pPr>
        <w:pStyle w:val="58"/>
        <w:keepNext w:val="0"/>
        <w:keepLines w:val="0"/>
        <w:pageBreakBefore w:val="0"/>
        <w:widowControl/>
        <w:numPr>
          <w:ilvl w:val="0"/>
          <w:numId w:val="14"/>
        </w:numPr>
        <w:kinsoku/>
        <w:wordWrap/>
        <w:overflowPunct/>
        <w:topLinePunct w:val="0"/>
        <w:autoSpaceDE w:val="0"/>
        <w:autoSpaceDN w:val="0"/>
        <w:bidi w:val="0"/>
        <w:adjustRightInd w:val="0"/>
        <w:snapToGrid w:val="0"/>
        <w:spacing w:line="360" w:lineRule="auto"/>
        <w:ind w:left="0" w:leftChars="0" w:firstLine="420" w:firstLineChars="200"/>
        <w:jc w:val="both"/>
        <w:textAlignment w:val="auto"/>
        <w:outlineLvl w:val="2"/>
        <w:rPr>
          <w:rFonts w:hint="eastAsia" w:ascii="Times New Roman" w:cs="Times New Roman"/>
          <w:i w:val="0"/>
          <w:iCs w:val="0"/>
          <w:sz w:val="21"/>
          <w:szCs w:val="21"/>
          <w:highlight w:val="none"/>
          <w:lang w:val="en-US" w:eastAsia="zh-CN"/>
        </w:rPr>
      </w:pPr>
      <w:r>
        <w:rPr>
          <w:rFonts w:hint="default" w:ascii="Times New Roman" w:hAnsi="Times New Roman" w:cs="Times New Roman"/>
          <w:sz w:val="21"/>
          <w:szCs w:val="21"/>
          <w:lang w:val="en-US" w:eastAsia="zh-CN"/>
        </w:rPr>
        <w:t>校准温度重复性</w:t>
      </w:r>
      <w:r>
        <w:rPr>
          <w:rFonts w:hint="eastAsia" w:ascii="Times New Roman" w:hAnsi="Times New Roman" w:cs="Times New Roman"/>
          <w:sz w:val="21"/>
          <w:szCs w:val="21"/>
          <w:lang w:val="en-US" w:eastAsia="zh-CN"/>
        </w:rPr>
        <w:t>及</w:t>
      </w:r>
      <w:r>
        <w:rPr>
          <w:rFonts w:hint="default" w:ascii="Times New Roman" w:hAnsi="Times New Roman" w:cs="Times New Roman"/>
          <w:sz w:val="21"/>
          <w:szCs w:val="21"/>
          <w:lang w:val="en-US" w:eastAsia="zh-CN"/>
        </w:rPr>
        <w:t>示值误差</w:t>
      </w:r>
      <w:r>
        <w:rPr>
          <w:rFonts w:hint="eastAsia" w:ascii="Times New Roman" w:cs="Times New Roman"/>
          <w:i w:val="0"/>
          <w:iCs w:val="0"/>
          <w:sz w:val="21"/>
          <w:szCs w:val="21"/>
          <w:highlight w:val="none"/>
          <w:lang w:val="en-US" w:eastAsia="zh-CN"/>
        </w:rPr>
        <w:t>为了验证设备温度准确性，最大程度保证样品温度测试的真实性及重复性。若待测温度高于350℃，通入保护气氛的目的是尽量防止样品表面氧化，导致测量温度与真实温度偏离，保证校准准确性。</w:t>
      </w:r>
    </w:p>
    <w:p>
      <w:pPr>
        <w:pStyle w:val="58"/>
        <w:keepNext w:val="0"/>
        <w:keepLines w:val="0"/>
        <w:pageBreakBefore w:val="0"/>
        <w:widowControl/>
        <w:numPr>
          <w:ilvl w:val="0"/>
          <w:numId w:val="13"/>
        </w:numPr>
        <w:kinsoku/>
        <w:wordWrap/>
        <w:overflowPunct/>
        <w:topLinePunct w:val="0"/>
        <w:autoSpaceDE w:val="0"/>
        <w:autoSpaceDN w:val="0"/>
        <w:bidi w:val="0"/>
        <w:adjustRightInd w:val="0"/>
        <w:snapToGrid w:val="0"/>
        <w:spacing w:line="360" w:lineRule="auto"/>
        <w:ind w:left="0" w:leftChars="0" w:firstLine="420" w:firstLineChars="200"/>
        <w:jc w:val="both"/>
        <w:textAlignment w:val="auto"/>
        <w:outlineLvl w:val="2"/>
        <w:rPr>
          <w:rFonts w:hint="eastAsia" w:ascii="Times New Roman" w:cs="Times New Roman"/>
          <w:i w:val="0"/>
          <w:iCs w:val="0"/>
          <w:sz w:val="21"/>
          <w:szCs w:val="21"/>
          <w:highlight w:val="none"/>
          <w:lang w:val="en-US" w:eastAsia="zh-CN"/>
        </w:rPr>
      </w:pPr>
      <w:r>
        <w:rPr>
          <w:rFonts w:hint="eastAsia" w:ascii="Times New Roman" w:cs="Times New Roman"/>
          <w:i w:val="0"/>
          <w:iCs w:val="0"/>
          <w:sz w:val="21"/>
          <w:szCs w:val="21"/>
          <w:highlight w:val="none"/>
          <w:lang w:val="en-US" w:eastAsia="zh-CN"/>
        </w:rPr>
        <w:t>单悬臂夹具校准温度重复性及示值误差</w:t>
      </w:r>
    </w:p>
    <w:p>
      <w:pPr>
        <w:pStyle w:val="58"/>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left"/>
        <w:textAlignment w:val="auto"/>
        <w:rPr>
          <w:rFonts w:hint="default" w:ascii="Times New Roman" w:cs="Times New Roman"/>
          <w:sz w:val="21"/>
          <w:szCs w:val="21"/>
          <w:highlight w:val="none"/>
          <w:lang w:val="en-US" w:eastAsia="zh-CN"/>
        </w:rPr>
      </w:pPr>
      <w:r>
        <w:rPr>
          <w:rFonts w:hint="default" w:ascii="Times New Roman" w:cs="Times New Roman"/>
          <w:i w:val="0"/>
          <w:iCs w:val="0"/>
          <w:sz w:val="21"/>
          <w:szCs w:val="21"/>
          <w:highlight w:val="none"/>
          <w:lang w:val="en-US" w:eastAsia="zh-CN"/>
        </w:rPr>
        <w:t>设备穿刺或压缩模式不支持采用热分析标准物质进行温度校准时，可采用单悬臂夹具使用玻璃化转变温度标准物质进行校准。选择单悬臂夹具并完成夹具校正，将其中一个玻璃化转变温度标准物质放置在支架测量位置，在起始温度30℃下恒温5min，升温速率设定为3℃/min，振幅设为25µm，频率设为1Hz，参照附录A设定温度程序。实验结束后，获得温度—储能模量变化曲线（如图3所示），计算标准物质的玻璃化转变温度。依据上述测量方法，更换样品，重复测量1次，共计测量2次。按</w:t>
      </w:r>
      <w:r>
        <w:rPr>
          <w:rFonts w:hint="eastAsia" w:ascii="Times New Roman" w:cs="Times New Roman"/>
          <w:i w:val="0"/>
          <w:iCs w:val="0"/>
          <w:sz w:val="21"/>
          <w:szCs w:val="21"/>
          <w:highlight w:val="none"/>
          <w:lang w:val="en-US" w:eastAsia="zh-CN"/>
        </w:rPr>
        <w:t>正文</w:t>
      </w:r>
      <w:r>
        <w:rPr>
          <w:rFonts w:hint="default" w:ascii="Times New Roman" w:cs="Times New Roman"/>
          <w:i w:val="0"/>
          <w:iCs w:val="0"/>
          <w:sz w:val="21"/>
          <w:szCs w:val="21"/>
          <w:highlight w:val="none"/>
          <w:lang w:val="en-US" w:eastAsia="zh-CN"/>
        </w:rPr>
        <w:t>公式</w:t>
      </w:r>
      <w:r>
        <w:rPr>
          <w:rFonts w:hint="eastAsia" w:ascii="Times New Roman" w:cs="Times New Roman"/>
          <w:i w:val="0"/>
          <w:iCs w:val="0"/>
          <w:sz w:val="21"/>
          <w:szCs w:val="21"/>
          <w:highlight w:val="none"/>
          <w:lang w:val="en-US" w:eastAsia="zh-CN"/>
        </w:rPr>
        <w:t>（8）</w:t>
      </w:r>
      <w:r>
        <w:rPr>
          <w:rFonts w:hint="default" w:ascii="Times New Roman" w:cs="Times New Roman"/>
          <w:i w:val="0"/>
          <w:iCs w:val="0"/>
          <w:sz w:val="21"/>
          <w:szCs w:val="21"/>
          <w:highlight w:val="none"/>
          <w:lang w:val="en-US" w:eastAsia="zh-CN"/>
        </w:rPr>
        <w:t>计算温度平均值</w:t>
      </w:r>
      <w:r>
        <w:rPr>
          <w:rFonts w:hint="eastAsia" w:ascii="Times New Roman" w:cs="Times New Roman"/>
          <w:i w:val="0"/>
          <w:iCs w:val="0"/>
          <w:sz w:val="21"/>
          <w:szCs w:val="21"/>
          <w:highlight w:val="none"/>
          <w:lang w:val="en-US" w:eastAsia="zh-CN"/>
        </w:rPr>
        <w:t>、</w:t>
      </w:r>
      <w:r>
        <w:rPr>
          <w:rFonts w:hint="default" w:ascii="Times New Roman" w:cs="Times New Roman"/>
          <w:i w:val="0"/>
          <w:iCs w:val="0"/>
          <w:sz w:val="21"/>
          <w:szCs w:val="21"/>
          <w:highlight w:val="none"/>
          <w:lang w:val="en-US" w:eastAsia="zh-CN"/>
        </w:rPr>
        <w:t>按</w:t>
      </w:r>
      <w:r>
        <w:rPr>
          <w:rFonts w:hint="eastAsia" w:ascii="Times New Roman" w:cs="Times New Roman"/>
          <w:i w:val="0"/>
          <w:iCs w:val="0"/>
          <w:sz w:val="21"/>
          <w:szCs w:val="21"/>
          <w:highlight w:val="none"/>
          <w:lang w:val="en-US" w:eastAsia="zh-CN"/>
        </w:rPr>
        <w:t>正文</w:t>
      </w:r>
      <w:r>
        <w:rPr>
          <w:rFonts w:hint="default" w:ascii="Times New Roman" w:cs="Times New Roman"/>
          <w:i w:val="0"/>
          <w:iCs w:val="0"/>
          <w:sz w:val="21"/>
          <w:szCs w:val="21"/>
          <w:highlight w:val="none"/>
          <w:lang w:val="en-US" w:eastAsia="zh-CN"/>
        </w:rPr>
        <w:t>公式</w:t>
      </w:r>
      <w:r>
        <w:rPr>
          <w:rFonts w:hint="eastAsia" w:ascii="Times New Roman" w:cs="Times New Roman"/>
          <w:i w:val="0"/>
          <w:iCs w:val="0"/>
          <w:sz w:val="21"/>
          <w:szCs w:val="21"/>
          <w:highlight w:val="none"/>
          <w:lang w:val="en-US" w:eastAsia="zh-CN"/>
        </w:rPr>
        <w:t>（9）</w:t>
      </w:r>
      <w:r>
        <w:rPr>
          <w:rFonts w:hint="default" w:ascii="Times New Roman" w:cs="Times New Roman"/>
          <w:i w:val="0"/>
          <w:iCs w:val="0"/>
          <w:sz w:val="21"/>
          <w:szCs w:val="21"/>
          <w:highlight w:val="none"/>
          <w:lang w:val="en-US" w:eastAsia="zh-CN"/>
        </w:rPr>
        <w:t>计算温度重复性</w:t>
      </w:r>
      <w:r>
        <w:rPr>
          <w:rFonts w:hint="eastAsia" w:ascii="Times New Roman" w:cs="Times New Roman"/>
          <w:i w:val="0"/>
          <w:iCs w:val="0"/>
          <w:sz w:val="21"/>
          <w:szCs w:val="21"/>
          <w:highlight w:val="none"/>
          <w:lang w:val="en-US" w:eastAsia="zh-CN"/>
        </w:rPr>
        <w:t>，</w:t>
      </w:r>
      <w:r>
        <w:rPr>
          <w:rFonts w:hint="default" w:ascii="Times New Roman" w:cs="Times New Roman"/>
          <w:i w:val="0"/>
          <w:iCs w:val="0"/>
          <w:sz w:val="21"/>
          <w:szCs w:val="21"/>
          <w:highlight w:val="none"/>
          <w:lang w:val="en-US" w:eastAsia="zh-CN"/>
        </w:rPr>
        <w:t>按</w:t>
      </w:r>
      <w:r>
        <w:rPr>
          <w:rFonts w:hint="eastAsia" w:ascii="Times New Roman" w:cs="Times New Roman"/>
          <w:i w:val="0"/>
          <w:iCs w:val="0"/>
          <w:sz w:val="21"/>
          <w:szCs w:val="21"/>
          <w:highlight w:val="none"/>
          <w:lang w:val="en-US" w:eastAsia="zh-CN"/>
        </w:rPr>
        <w:t>正文</w:t>
      </w:r>
      <w:r>
        <w:rPr>
          <w:rFonts w:hint="default" w:ascii="Times New Roman" w:cs="Times New Roman"/>
          <w:i w:val="0"/>
          <w:iCs w:val="0"/>
          <w:sz w:val="21"/>
          <w:szCs w:val="21"/>
          <w:highlight w:val="none"/>
          <w:lang w:val="en-US" w:eastAsia="zh-CN"/>
        </w:rPr>
        <w:t>公式</w:t>
      </w:r>
      <w:r>
        <w:rPr>
          <w:rFonts w:hint="eastAsia" w:ascii="Times New Roman" w:cs="Times New Roman"/>
          <w:i w:val="0"/>
          <w:iCs w:val="0"/>
          <w:sz w:val="21"/>
          <w:szCs w:val="21"/>
          <w:highlight w:val="none"/>
          <w:lang w:val="en-US" w:eastAsia="zh-CN"/>
        </w:rPr>
        <w:t>（10）</w:t>
      </w:r>
      <w:r>
        <w:rPr>
          <w:rFonts w:hint="default" w:ascii="Times New Roman" w:cs="Times New Roman"/>
          <w:i w:val="0"/>
          <w:iCs w:val="0"/>
          <w:sz w:val="21"/>
          <w:szCs w:val="21"/>
          <w:highlight w:val="none"/>
          <w:lang w:val="en-US" w:eastAsia="zh-CN"/>
        </w:rPr>
        <w:t>计算温度示值误差。</w:t>
      </w:r>
      <w:r>
        <w:rPr>
          <w:rFonts w:hint="default" w:ascii="Times New Roman" w:cs="Times New Roman"/>
          <w:sz w:val="21"/>
          <w:szCs w:val="21"/>
          <w:highlight w:val="none"/>
          <w:lang w:val="en-US" w:eastAsia="zh-CN"/>
        </w:rPr>
        <w:t>选取另一种玻璃化转变温度标准物质，参考上述测量方法和附录A的温度程序，重复测量2次。</w:t>
      </w:r>
      <w:r>
        <w:rPr>
          <w:rFonts w:hint="default" w:ascii="Times New Roman" w:cs="Times New Roman"/>
          <w:i w:val="0"/>
          <w:iCs w:val="0"/>
          <w:sz w:val="21"/>
          <w:szCs w:val="21"/>
          <w:highlight w:val="none"/>
          <w:lang w:val="en-US" w:eastAsia="zh-CN"/>
        </w:rPr>
        <w:t>计算温度</w:t>
      </w:r>
      <w:r>
        <w:rPr>
          <w:rFonts w:hint="eastAsia" w:ascii="Times New Roman" w:cs="Times New Roman"/>
          <w:i w:val="0"/>
          <w:iCs w:val="0"/>
          <w:sz w:val="21"/>
          <w:szCs w:val="21"/>
          <w:highlight w:val="none"/>
          <w:lang w:val="en-US" w:eastAsia="zh-CN"/>
        </w:rPr>
        <w:t>平均值，温度</w:t>
      </w:r>
      <w:r>
        <w:rPr>
          <w:rFonts w:hint="default" w:ascii="Times New Roman" w:cs="Times New Roman"/>
          <w:i w:val="0"/>
          <w:iCs w:val="0"/>
          <w:sz w:val="21"/>
          <w:szCs w:val="21"/>
          <w:highlight w:val="none"/>
          <w:lang w:val="en-US" w:eastAsia="zh-CN"/>
        </w:rPr>
        <w:t>重复性</w:t>
      </w:r>
      <w:r>
        <w:rPr>
          <w:rFonts w:hint="eastAsia" w:ascii="Times New Roman" w:cs="Times New Roman"/>
          <w:i w:val="0"/>
          <w:iCs w:val="0"/>
          <w:sz w:val="21"/>
          <w:szCs w:val="21"/>
          <w:highlight w:val="none"/>
          <w:lang w:val="en-US" w:eastAsia="zh-CN"/>
        </w:rPr>
        <w:t>，</w:t>
      </w:r>
      <w:r>
        <w:rPr>
          <w:rFonts w:hint="default" w:ascii="Times New Roman" w:cs="Times New Roman"/>
          <w:i w:val="0"/>
          <w:iCs w:val="0"/>
          <w:sz w:val="21"/>
          <w:szCs w:val="21"/>
          <w:highlight w:val="none"/>
          <w:lang w:val="en-US" w:eastAsia="zh-CN"/>
        </w:rPr>
        <w:t>温度示值误差</w:t>
      </w:r>
      <w:r>
        <w:rPr>
          <w:rFonts w:hint="default" w:ascii="Times New Roman" w:cs="Times New Roman"/>
          <w:sz w:val="21"/>
          <w:szCs w:val="21"/>
          <w:highlight w:val="none"/>
          <w:lang w:val="en-US" w:eastAsia="zh-CN"/>
        </w:rPr>
        <w:t>。</w:t>
      </w:r>
    </w:p>
    <w:p>
      <w:pPr>
        <w:pStyle w:val="58"/>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20" w:firstLineChars="200"/>
        <w:jc w:val="both"/>
        <w:textAlignment w:val="auto"/>
        <w:rPr>
          <w:rFonts w:hint="eastAsia" w:ascii="Times New Roman"/>
          <w:sz w:val="21"/>
          <w:szCs w:val="21"/>
          <w:lang w:val="en-US" w:eastAsia="zh-CN"/>
        </w:rPr>
      </w:pPr>
      <w:r>
        <w:rPr>
          <w:rFonts w:hint="default" w:ascii="Times New Roman"/>
          <w:sz w:val="21"/>
          <w:szCs w:val="21"/>
          <w:lang w:val="en-US" w:eastAsia="zh-CN"/>
        </w:rPr>
        <w:t>编写理由</w:t>
      </w:r>
      <w:r>
        <w:rPr>
          <w:rFonts w:hint="eastAsia" w:ascii="Times New Roman"/>
          <w:sz w:val="21"/>
          <w:szCs w:val="21"/>
          <w:lang w:val="en-US" w:eastAsia="zh-CN"/>
        </w:rPr>
        <w:t>：</w:t>
      </w:r>
    </w:p>
    <w:p>
      <w:pPr>
        <w:pStyle w:val="58"/>
        <w:keepNext w:val="0"/>
        <w:keepLines w:val="0"/>
        <w:pageBreakBefore w:val="0"/>
        <w:widowControl/>
        <w:numPr>
          <w:ilvl w:val="0"/>
          <w:numId w:val="15"/>
        </w:numPr>
        <w:suppressLineNumbers w:val="0"/>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default" w:ascii="Times New Roman" w:cs="Times New Roman"/>
          <w:sz w:val="21"/>
          <w:szCs w:val="21"/>
          <w:highlight w:val="none"/>
          <w:lang w:val="en-US" w:eastAsia="zh-CN"/>
        </w:rPr>
      </w:pPr>
      <w:r>
        <w:rPr>
          <w:rFonts w:hint="default" w:ascii="Times New Roman" w:hAnsi="Times New Roman" w:cs="Times New Roman"/>
          <w:sz w:val="21"/>
          <w:szCs w:val="21"/>
          <w:lang w:val="en-US" w:eastAsia="zh-CN"/>
        </w:rPr>
        <w:t>校准温度重复性</w:t>
      </w:r>
      <w:r>
        <w:rPr>
          <w:rFonts w:hint="eastAsia" w:ascii="Times New Roman" w:hAnsi="Times New Roman" w:cs="Times New Roman"/>
          <w:sz w:val="21"/>
          <w:szCs w:val="21"/>
          <w:lang w:val="en-US" w:eastAsia="zh-CN"/>
        </w:rPr>
        <w:t>及</w:t>
      </w:r>
      <w:r>
        <w:rPr>
          <w:rFonts w:hint="default" w:ascii="Times New Roman" w:hAnsi="Times New Roman" w:cs="Times New Roman"/>
          <w:sz w:val="21"/>
          <w:szCs w:val="21"/>
          <w:lang w:val="en-US" w:eastAsia="zh-CN"/>
        </w:rPr>
        <w:t>示值误差</w:t>
      </w:r>
      <w:r>
        <w:rPr>
          <w:rFonts w:hint="eastAsia" w:ascii="Times New Roman" w:cs="Times New Roman"/>
          <w:i w:val="0"/>
          <w:iCs w:val="0"/>
          <w:sz w:val="21"/>
          <w:szCs w:val="21"/>
          <w:highlight w:val="none"/>
          <w:lang w:val="en-US" w:eastAsia="zh-CN"/>
        </w:rPr>
        <w:t>为了验证设备温度准确性，最大程度保证样品温度测试的真实性及重复性。</w:t>
      </w:r>
    </w:p>
    <w:p>
      <w:pPr>
        <w:pStyle w:val="58"/>
        <w:keepNext w:val="0"/>
        <w:keepLines w:val="0"/>
        <w:pageBreakBefore w:val="0"/>
        <w:widowControl/>
        <w:numPr>
          <w:ilvl w:val="0"/>
          <w:numId w:val="15"/>
        </w:numPr>
        <w:suppressLineNumbers w:val="0"/>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default" w:ascii="Times New Roman" w:cs="Times New Roman"/>
          <w:sz w:val="21"/>
          <w:szCs w:val="21"/>
          <w:highlight w:val="none"/>
          <w:lang w:val="en-US" w:eastAsia="zh-CN"/>
        </w:rPr>
      </w:pPr>
      <w:r>
        <w:rPr>
          <w:rFonts w:hint="eastAsia" w:ascii="Times New Roman" w:cs="Times New Roman"/>
          <w:sz w:val="21"/>
          <w:szCs w:val="21"/>
          <w:highlight w:val="none"/>
          <w:lang w:val="en-US" w:eastAsia="zh-CN"/>
        </w:rPr>
        <w:t>动态热机械分析仪</w:t>
      </w:r>
      <w:r>
        <w:rPr>
          <w:rFonts w:hint="eastAsia" w:ascii="Times New Roman" w:cs="Times New Roman"/>
          <w:i w:val="0"/>
          <w:iCs w:val="0"/>
          <w:sz w:val="21"/>
          <w:szCs w:val="21"/>
          <w:highlight w:val="none"/>
          <w:lang w:val="en-US" w:eastAsia="zh-CN"/>
        </w:rPr>
        <w:t>选取</w:t>
      </w:r>
      <w:r>
        <w:rPr>
          <w:rFonts w:hint="default" w:ascii="Times New Roman" w:cs="Times New Roman"/>
          <w:i w:val="0"/>
          <w:iCs w:val="0"/>
          <w:sz w:val="21"/>
          <w:szCs w:val="21"/>
          <w:highlight w:val="none"/>
          <w:lang w:val="en-US" w:eastAsia="zh-CN"/>
        </w:rPr>
        <w:t>玻璃化转变温度</w:t>
      </w:r>
      <w:r>
        <w:rPr>
          <w:rFonts w:hint="eastAsia" w:ascii="Times New Roman" w:cs="Times New Roman"/>
          <w:i w:val="0"/>
          <w:iCs w:val="0"/>
          <w:sz w:val="21"/>
          <w:szCs w:val="21"/>
          <w:highlight w:val="none"/>
          <w:lang w:val="en-US" w:eastAsia="zh-CN"/>
        </w:rPr>
        <w:t>测量</w:t>
      </w:r>
      <w:r>
        <w:rPr>
          <w:rFonts w:hint="default" w:ascii="Times New Roman" w:hAnsi="宋体" w:eastAsia="宋体" w:cs="Times New Roman"/>
          <w:sz w:val="21"/>
          <w:szCs w:val="21"/>
          <w:lang w:val="en-US" w:eastAsia="zh-CN"/>
        </w:rPr>
        <w:t>温度重复性</w:t>
      </w:r>
      <w:r>
        <w:rPr>
          <w:rFonts w:hint="eastAsia" w:ascii="Times New Roman" w:hAnsi="宋体" w:eastAsia="宋体" w:cs="Times New Roman"/>
          <w:sz w:val="21"/>
          <w:szCs w:val="21"/>
          <w:lang w:val="en-US" w:eastAsia="zh-CN"/>
        </w:rPr>
        <w:t>及</w:t>
      </w:r>
      <w:r>
        <w:rPr>
          <w:rFonts w:hint="default" w:ascii="Times New Roman" w:hAnsi="宋体" w:eastAsia="宋体" w:cs="Times New Roman"/>
          <w:sz w:val="21"/>
          <w:szCs w:val="21"/>
          <w:lang w:val="en-US" w:eastAsia="zh-CN"/>
        </w:rPr>
        <w:t>示值误差</w:t>
      </w:r>
      <w:r>
        <w:rPr>
          <w:rFonts w:hint="eastAsia" w:ascii="Times New Roman" w:cs="Times New Roman"/>
          <w:sz w:val="21"/>
          <w:szCs w:val="21"/>
          <w:highlight w:val="none"/>
          <w:lang w:val="en-US" w:eastAsia="zh-CN"/>
        </w:rPr>
        <w:t>校准方法</w:t>
      </w:r>
      <w:r>
        <w:rPr>
          <w:rFonts w:hint="default" w:ascii="Times New Roman" w:cs="Times New Roman"/>
          <w:sz w:val="21"/>
          <w:szCs w:val="21"/>
          <w:highlight w:val="none"/>
          <w:lang w:val="en-US" w:eastAsia="zh-CN"/>
        </w:rPr>
        <w:t>参考</w:t>
      </w:r>
      <w:r>
        <w:rPr>
          <w:rFonts w:hint="eastAsia" w:ascii="Times New Roman" w:cs="Times New Roman"/>
          <w:i w:val="0"/>
          <w:iCs w:val="0"/>
          <w:sz w:val="21"/>
          <w:szCs w:val="21"/>
          <w:highlight w:val="none"/>
          <w:lang w:val="en-US" w:eastAsia="zh-CN"/>
        </w:rPr>
        <w:t>ASTM E1867-22</w:t>
      </w:r>
      <w:r>
        <w:rPr>
          <w:rFonts w:hint="default" w:ascii="Times New Roman" w:cs="Times New Roman"/>
          <w:sz w:val="21"/>
          <w:szCs w:val="21"/>
          <w:highlight w:val="none"/>
          <w:lang w:val="en-US" w:eastAsia="zh-CN"/>
        </w:rPr>
        <w:t>《</w:t>
      </w:r>
      <w:r>
        <w:rPr>
          <w:rFonts w:hint="eastAsia" w:ascii="Times New Roman" w:cs="Times New Roman"/>
          <w:i w:val="0"/>
          <w:iCs w:val="0"/>
          <w:sz w:val="21"/>
          <w:szCs w:val="21"/>
          <w:highlight w:val="none"/>
          <w:lang w:val="en-US" w:eastAsia="zh-CN"/>
        </w:rPr>
        <w:t>Standard Test Methods for Temperature Calibration of Dynamic Mechanical Analyzers</w:t>
      </w:r>
      <w:r>
        <w:rPr>
          <w:rFonts w:hint="default" w:ascii="Times New Roman" w:cs="Times New Roman"/>
          <w:sz w:val="21"/>
          <w:szCs w:val="21"/>
          <w:highlight w:val="none"/>
          <w:lang w:val="en-US" w:eastAsia="zh-CN"/>
        </w:rPr>
        <w:t>》</w:t>
      </w:r>
      <w:r>
        <w:rPr>
          <w:rFonts w:hint="eastAsia" w:ascii="Times New Roman" w:cs="Times New Roman"/>
          <w:sz w:val="21"/>
          <w:szCs w:val="21"/>
          <w:highlight w:val="none"/>
          <w:lang w:val="en-US" w:eastAsia="zh-CN"/>
        </w:rPr>
        <w:t>12.1</w:t>
      </w:r>
      <w:r>
        <w:rPr>
          <w:rFonts w:hint="eastAsia" w:ascii="Times New Roman" w:cs="Times New Roman"/>
          <w:i w:val="0"/>
          <w:iCs w:val="0"/>
          <w:sz w:val="21"/>
          <w:szCs w:val="21"/>
          <w:highlight w:val="none"/>
          <w:lang w:val="en-US" w:eastAsia="zh-CN"/>
        </w:rPr>
        <w:t>玻璃化转变标注方式，计算标准物质的玻璃化转变温度。即从温度—储能模量曲线的拐点做切线，与玻璃化转变温度完成后温度—储能模量曲线的延长线相交，交点的横坐标即为玻璃化转变温度Tg，单位为℃。</w:t>
      </w:r>
    </w:p>
    <w:p>
      <w:pPr>
        <w:pStyle w:val="58"/>
        <w:keepNext w:val="0"/>
        <w:keepLines w:val="0"/>
        <w:pageBreakBefore w:val="0"/>
        <w:widowControl/>
        <w:numPr>
          <w:ilvl w:val="0"/>
          <w:numId w:val="15"/>
        </w:numPr>
        <w:suppressLineNumbers w:val="0"/>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default" w:ascii="Times New Roman" w:cs="Times New Roman"/>
          <w:sz w:val="21"/>
          <w:szCs w:val="21"/>
          <w:highlight w:val="none"/>
          <w:lang w:val="en-US" w:eastAsia="zh-CN"/>
        </w:rPr>
      </w:pPr>
      <w:r>
        <w:rPr>
          <w:rFonts w:hint="eastAsia" w:ascii="Times New Roman" w:cs="Times New Roman"/>
          <w:sz w:val="21"/>
          <w:szCs w:val="21"/>
          <w:highlight w:val="none"/>
          <w:lang w:val="en-US" w:eastAsia="zh-CN"/>
        </w:rPr>
        <w:t>动态热机械分析仪</w:t>
      </w:r>
      <w:r>
        <w:rPr>
          <w:rFonts w:hint="eastAsia" w:ascii="Times New Roman" w:cs="Times New Roman"/>
          <w:i w:val="0"/>
          <w:iCs w:val="0"/>
          <w:sz w:val="21"/>
          <w:szCs w:val="21"/>
          <w:highlight w:val="none"/>
          <w:lang w:val="en-US" w:eastAsia="zh-CN"/>
        </w:rPr>
        <w:t>选取</w:t>
      </w:r>
      <w:r>
        <w:rPr>
          <w:rFonts w:hint="default" w:ascii="Times New Roman" w:cs="Times New Roman"/>
          <w:i w:val="0"/>
          <w:iCs w:val="0"/>
          <w:sz w:val="21"/>
          <w:szCs w:val="21"/>
          <w:highlight w:val="none"/>
          <w:lang w:val="en-US" w:eastAsia="zh-CN"/>
        </w:rPr>
        <w:t>玻璃化转变温度</w:t>
      </w:r>
      <w:r>
        <w:rPr>
          <w:rFonts w:hint="eastAsia" w:ascii="Times New Roman" w:cs="Times New Roman"/>
          <w:i w:val="0"/>
          <w:iCs w:val="0"/>
          <w:sz w:val="21"/>
          <w:szCs w:val="21"/>
          <w:highlight w:val="none"/>
          <w:lang w:val="en-US" w:eastAsia="zh-CN"/>
        </w:rPr>
        <w:t>测量</w:t>
      </w:r>
      <w:r>
        <w:rPr>
          <w:rFonts w:hint="default" w:ascii="Times New Roman" w:hAnsi="宋体" w:eastAsia="宋体" w:cs="Times New Roman"/>
          <w:sz w:val="21"/>
          <w:szCs w:val="21"/>
          <w:lang w:val="en-US" w:eastAsia="zh-CN"/>
        </w:rPr>
        <w:t>温度重复性</w:t>
      </w:r>
      <w:r>
        <w:rPr>
          <w:rFonts w:hint="eastAsia" w:ascii="Times New Roman" w:hAnsi="宋体" w:eastAsia="宋体" w:cs="Times New Roman"/>
          <w:sz w:val="21"/>
          <w:szCs w:val="21"/>
          <w:lang w:val="en-US" w:eastAsia="zh-CN"/>
        </w:rPr>
        <w:t>及</w:t>
      </w:r>
      <w:r>
        <w:rPr>
          <w:rFonts w:hint="default" w:ascii="Times New Roman" w:hAnsi="宋体" w:eastAsia="宋体" w:cs="Times New Roman"/>
          <w:sz w:val="21"/>
          <w:szCs w:val="21"/>
          <w:lang w:val="en-US" w:eastAsia="zh-CN"/>
        </w:rPr>
        <w:t>示值误差</w:t>
      </w:r>
      <w:r>
        <w:rPr>
          <w:rFonts w:hint="eastAsia" w:ascii="Times New Roman" w:cs="Times New Roman"/>
          <w:sz w:val="21"/>
          <w:szCs w:val="21"/>
          <w:highlight w:val="none"/>
          <w:lang w:val="en-US" w:eastAsia="zh-CN"/>
        </w:rPr>
        <w:t>校准方法</w:t>
      </w:r>
      <w:r>
        <w:rPr>
          <w:rFonts w:hint="default" w:ascii="Times New Roman" w:cs="Times New Roman"/>
          <w:sz w:val="21"/>
          <w:szCs w:val="21"/>
          <w:highlight w:val="none"/>
          <w:lang w:val="en-US" w:eastAsia="zh-CN"/>
        </w:rPr>
        <w:t>参考</w:t>
      </w:r>
      <w:r>
        <w:rPr>
          <w:rFonts w:hint="eastAsia"/>
          <w:b w:val="0"/>
          <w:bCs w:val="0"/>
          <w:szCs w:val="21"/>
          <w:lang w:val="en-US" w:eastAsia="zh-CN"/>
        </w:rPr>
        <w:t>GB/T 40396-2021《聚合物基复合材料玻璃化转变温度试验方法 动态力学分析法（DMA）》8.3试验参数，</w:t>
      </w:r>
      <w:r>
        <w:rPr>
          <w:rFonts w:hint="eastAsia" w:ascii="Times New Roman" w:cs="Times New Roman"/>
          <w:sz w:val="21"/>
          <w:szCs w:val="21"/>
          <w:highlight w:val="none"/>
          <w:lang w:val="en-US" w:eastAsia="zh-CN"/>
        </w:rPr>
        <w:t>对</w:t>
      </w:r>
      <w:r>
        <w:rPr>
          <w:rFonts w:hint="eastAsia" w:ascii="Times New Roman" w:cs="Times New Roman"/>
          <w:i w:val="0"/>
          <w:iCs w:val="0"/>
          <w:sz w:val="21"/>
          <w:szCs w:val="21"/>
          <w:highlight w:val="none"/>
          <w:lang w:val="en-US" w:eastAsia="zh-CN"/>
        </w:rPr>
        <w:t>玻璃化转变温度测量</w:t>
      </w:r>
      <w:r>
        <w:rPr>
          <w:rFonts w:hint="default" w:ascii="Times New Roman" w:hAnsi="宋体" w:eastAsia="宋体" w:cs="Times New Roman"/>
          <w:sz w:val="21"/>
          <w:szCs w:val="21"/>
          <w:lang w:val="en-US" w:eastAsia="zh-CN"/>
        </w:rPr>
        <w:t>温度重复性</w:t>
      </w:r>
      <w:r>
        <w:rPr>
          <w:rFonts w:hint="eastAsia" w:ascii="Times New Roman" w:hAnsi="宋体" w:eastAsia="宋体" w:cs="Times New Roman"/>
          <w:sz w:val="21"/>
          <w:szCs w:val="21"/>
          <w:lang w:val="en-US" w:eastAsia="zh-CN"/>
        </w:rPr>
        <w:t>及</w:t>
      </w:r>
      <w:r>
        <w:rPr>
          <w:rFonts w:hint="default" w:ascii="Times New Roman" w:hAnsi="宋体" w:eastAsia="宋体" w:cs="Times New Roman"/>
          <w:sz w:val="21"/>
          <w:szCs w:val="21"/>
          <w:lang w:val="en-US" w:eastAsia="zh-CN"/>
        </w:rPr>
        <w:t>示值误差</w:t>
      </w:r>
      <w:r>
        <w:rPr>
          <w:rFonts w:hint="eastAsia" w:ascii="Times New Roman" w:cs="Times New Roman"/>
          <w:sz w:val="21"/>
          <w:szCs w:val="21"/>
          <w:highlight w:val="none"/>
          <w:lang w:val="en-US" w:eastAsia="zh-CN"/>
        </w:rPr>
        <w:t>的校准方法进行编写。</w:t>
      </w:r>
    </w:p>
    <w:p>
      <w:pPr>
        <w:pStyle w:val="58"/>
        <w:keepNext w:val="0"/>
        <w:keepLines w:val="0"/>
        <w:pageBreakBefore w:val="0"/>
        <w:widowControl/>
        <w:numPr>
          <w:ilvl w:val="0"/>
          <w:numId w:val="13"/>
        </w:numPr>
        <w:kinsoku/>
        <w:wordWrap/>
        <w:overflowPunct/>
        <w:topLinePunct w:val="0"/>
        <w:autoSpaceDE w:val="0"/>
        <w:autoSpaceDN w:val="0"/>
        <w:bidi w:val="0"/>
        <w:adjustRightInd w:val="0"/>
        <w:snapToGrid w:val="0"/>
        <w:spacing w:line="360" w:lineRule="auto"/>
        <w:ind w:left="0" w:leftChars="0" w:firstLine="420" w:firstLineChars="200"/>
        <w:textAlignment w:val="auto"/>
        <w:outlineLvl w:val="2"/>
        <w:rPr>
          <w:rFonts w:hint="default" w:ascii="Times New Roman"/>
          <w:sz w:val="21"/>
          <w:szCs w:val="21"/>
          <w:lang w:val="en-US" w:eastAsia="zh-CN"/>
        </w:rPr>
      </w:pPr>
      <w:r>
        <w:rPr>
          <w:rFonts w:ascii="宋体" w:hAnsi="宋体" w:eastAsia="宋体" w:cs="宋体"/>
          <w:sz w:val="21"/>
          <w:szCs w:val="21"/>
        </w:rPr>
        <w:t>储能模量示值误差</w:t>
      </w:r>
      <w:r>
        <w:rPr>
          <w:rFonts w:hint="eastAsia" w:ascii="宋体" w:hAnsi="宋体" w:eastAsia="宋体" w:cs="宋体"/>
          <w:sz w:val="21"/>
          <w:szCs w:val="21"/>
          <w:lang w:val="en-US" w:eastAsia="zh-CN"/>
        </w:rPr>
        <w:t>及</w:t>
      </w:r>
      <w:r>
        <w:rPr>
          <w:rFonts w:ascii="宋体" w:hAnsi="宋体" w:eastAsia="宋体" w:cs="宋体"/>
          <w:sz w:val="21"/>
          <w:szCs w:val="21"/>
        </w:rPr>
        <w:t>重复性</w:t>
      </w:r>
    </w:p>
    <w:p>
      <w:pPr>
        <w:pStyle w:val="4"/>
        <w:keepNext/>
        <w:keepLines/>
        <w:pageBreakBefore w:val="0"/>
        <w:widowControl w:val="0"/>
        <w:kinsoku/>
        <w:wordWrap/>
        <w:overflowPunct/>
        <w:topLinePunct w:val="0"/>
        <w:autoSpaceDE/>
        <w:autoSpaceDN/>
        <w:bidi w:val="0"/>
        <w:adjustRightInd w:val="0"/>
        <w:snapToGrid w:val="0"/>
        <w:spacing w:before="0" w:beforeLines="0" w:after="0" w:afterLines="0" w:line="360" w:lineRule="auto"/>
        <w:ind w:firstLine="420" w:firstLineChars="200"/>
        <w:textAlignment w:val="auto"/>
        <w:rPr>
          <w:rFonts w:hint="eastAsia" w:ascii="Times New Roman" w:hAnsi="宋体" w:eastAsia="宋体" w:cs="Times New Roman"/>
          <w:b w:val="0"/>
          <w:bCs w:val="0"/>
          <w:sz w:val="21"/>
          <w:szCs w:val="21"/>
          <w:highlight w:val="none"/>
          <w:lang w:val="en-US" w:eastAsia="zh-CN" w:bidi="ar-SA"/>
        </w:rPr>
      </w:pPr>
      <w:r>
        <w:rPr>
          <w:rFonts w:hint="eastAsia" w:ascii="Times New Roman" w:hAnsi="宋体" w:eastAsia="宋体" w:cs="Times New Roman"/>
          <w:b w:val="0"/>
          <w:bCs w:val="0"/>
          <w:sz w:val="21"/>
          <w:szCs w:val="21"/>
          <w:highlight w:val="none"/>
          <w:lang w:val="en-US" w:eastAsia="zh-CN" w:bidi="ar-SA"/>
        </w:rPr>
        <w:t>选择单悬臂夹具并完成夹具校正，</w:t>
      </w:r>
      <w:r>
        <w:rPr>
          <w:rFonts w:hint="eastAsia" w:hAnsi="宋体" w:eastAsia="宋体" w:cs="Times New Roman"/>
          <w:b w:val="0"/>
          <w:bCs w:val="0"/>
          <w:sz w:val="21"/>
          <w:szCs w:val="21"/>
          <w:highlight w:val="none"/>
          <w:lang w:val="en-US" w:eastAsia="zh-CN" w:bidi="ar-SA"/>
        </w:rPr>
        <w:t>用卡尺</w:t>
      </w:r>
      <w:r>
        <w:rPr>
          <w:rFonts w:hint="eastAsia" w:ascii="Times New Roman" w:hAnsi="宋体" w:eastAsia="宋体" w:cs="Times New Roman"/>
          <w:b w:val="0"/>
          <w:bCs w:val="0"/>
          <w:sz w:val="21"/>
          <w:szCs w:val="21"/>
          <w:highlight w:val="none"/>
          <w:lang w:val="en-US" w:eastAsia="zh-CN" w:bidi="ar-SA"/>
        </w:rPr>
        <w:t>测量储能模量标块的宽度和厚度，待设备稳定后将储能模量标块置于样品支架的测量位置，关闭加热炉。程序温度设为30℃，振幅设为30µm，频率设为1Hz，在30℃稳定10min后记录储能模量标块的示值。按相同的步骤重复测量1次，共计测量2次，按</w:t>
      </w:r>
      <w:r>
        <w:rPr>
          <w:rFonts w:hint="eastAsia" w:hAnsi="宋体" w:eastAsia="宋体" w:cs="Times New Roman"/>
          <w:b w:val="0"/>
          <w:bCs w:val="0"/>
          <w:sz w:val="21"/>
          <w:szCs w:val="21"/>
          <w:highlight w:val="none"/>
          <w:lang w:val="en-US" w:eastAsia="zh-CN" w:bidi="ar-SA"/>
        </w:rPr>
        <w:t>正文</w:t>
      </w:r>
      <w:r>
        <w:rPr>
          <w:rFonts w:hint="eastAsia" w:ascii="Times New Roman" w:hAnsi="宋体" w:eastAsia="宋体" w:cs="Times New Roman"/>
          <w:b w:val="0"/>
          <w:bCs w:val="0"/>
          <w:sz w:val="21"/>
          <w:szCs w:val="21"/>
          <w:highlight w:val="none"/>
          <w:lang w:val="en-US" w:eastAsia="zh-CN" w:bidi="ar-SA"/>
        </w:rPr>
        <w:t>公式</w:t>
      </w:r>
      <w:r>
        <w:rPr>
          <w:rFonts w:hint="eastAsia" w:hAnsi="宋体" w:eastAsia="宋体" w:cs="Times New Roman"/>
          <w:b w:val="0"/>
          <w:bCs w:val="0"/>
          <w:sz w:val="21"/>
          <w:szCs w:val="21"/>
          <w:highlight w:val="none"/>
          <w:lang w:val="en-US" w:eastAsia="zh-CN" w:bidi="ar-SA"/>
        </w:rPr>
        <w:t>（13）</w:t>
      </w:r>
      <w:r>
        <w:rPr>
          <w:rFonts w:hint="eastAsia" w:ascii="Times New Roman" w:hAnsi="宋体" w:eastAsia="宋体" w:cs="Times New Roman"/>
          <w:b w:val="0"/>
          <w:bCs w:val="0"/>
          <w:sz w:val="21"/>
          <w:szCs w:val="21"/>
          <w:highlight w:val="none"/>
          <w:lang w:val="en-US" w:eastAsia="zh-CN" w:bidi="ar-SA"/>
        </w:rPr>
        <w:t>计算储能模量示值误差。</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sz w:val="21"/>
          <w:szCs w:val="21"/>
          <w:lang w:val="en-US" w:eastAsia="zh-CN"/>
        </w:rPr>
      </w:pPr>
      <w:r>
        <w:rPr>
          <w:rFonts w:hint="default" w:ascii="Times New Roman"/>
          <w:sz w:val="21"/>
          <w:szCs w:val="21"/>
          <w:lang w:val="en-US" w:eastAsia="zh-CN"/>
        </w:rPr>
        <w:t>编写理由</w:t>
      </w:r>
      <w:r>
        <w:rPr>
          <w:rFonts w:hint="eastAsia"/>
          <w:sz w:val="21"/>
          <w:szCs w:val="21"/>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lang w:val="en-US" w:eastAsia="zh-CN"/>
        </w:rPr>
      </w:pPr>
      <w:r>
        <w:rPr>
          <w:rFonts w:hint="eastAsia" w:cs="Times New Roman"/>
          <w:i w:val="0"/>
          <w:iCs w:val="0"/>
          <w:sz w:val="21"/>
          <w:szCs w:val="21"/>
          <w:highlight w:val="none"/>
          <w:lang w:val="en-US" w:eastAsia="zh-CN"/>
        </w:rPr>
        <w:t>储能模量作为</w:t>
      </w:r>
      <w:r>
        <w:rPr>
          <w:rFonts w:hint="default" w:cs="Times New Roman"/>
          <w:i w:val="0"/>
          <w:iCs w:val="0"/>
          <w:sz w:val="21"/>
          <w:szCs w:val="21"/>
          <w:highlight w:val="none"/>
          <w:lang w:val="en-US" w:eastAsia="zh-CN"/>
        </w:rPr>
        <w:t>DMA</w:t>
      </w:r>
      <w:r>
        <w:rPr>
          <w:rFonts w:hint="eastAsia" w:cs="Times New Roman"/>
          <w:i w:val="0"/>
          <w:iCs w:val="0"/>
          <w:sz w:val="21"/>
          <w:szCs w:val="21"/>
          <w:highlight w:val="none"/>
          <w:lang w:val="en-US" w:eastAsia="zh-CN"/>
        </w:rPr>
        <w:t>测试的主要测量参数，校准储能模量示值误差及重复性可以验证设备的准确性及可靠性。</w:t>
      </w:r>
    </w:p>
    <w:p>
      <w:pPr>
        <w:pStyle w:val="4"/>
        <w:pageBreakBefore w:val="0"/>
        <w:kinsoku/>
        <w:wordWrap/>
        <w:overflowPunct/>
        <w:topLinePunct w:val="0"/>
        <w:bidi w:val="0"/>
        <w:adjustRightInd w:val="0"/>
        <w:snapToGrid w:val="0"/>
        <w:spacing w:before="156" w:after="156"/>
        <w:textAlignment w:val="auto"/>
        <w:rPr>
          <w:b w:val="0"/>
          <w:bCs w:val="0"/>
        </w:rPr>
      </w:pPr>
      <w:r>
        <w:rPr>
          <w:rFonts w:hint="eastAsia"/>
          <w:b w:val="0"/>
          <w:bCs w:val="0"/>
        </w:rPr>
        <w:t>7 校准结果</w:t>
      </w:r>
      <w:bookmarkEnd w:id="68"/>
      <w:bookmarkEnd w:id="69"/>
      <w:bookmarkEnd w:id="70"/>
      <w:bookmarkEnd w:id="71"/>
      <w:bookmarkEnd w:id="72"/>
      <w:bookmarkEnd w:id="73"/>
      <w:r>
        <w:rPr>
          <w:rFonts w:hint="eastAsia"/>
          <w:b w:val="0"/>
          <w:bCs w:val="0"/>
        </w:rPr>
        <w:t>表达</w:t>
      </w:r>
      <w:bookmarkEnd w:id="74"/>
      <w:bookmarkEnd w:id="75"/>
    </w:p>
    <w:p>
      <w:pPr>
        <w:pStyle w:val="58"/>
        <w:pageBreakBefore w:val="0"/>
        <w:kinsoku/>
        <w:wordWrap/>
        <w:overflowPunct/>
        <w:topLinePunct w:val="0"/>
        <w:bidi w:val="0"/>
        <w:adjustRightInd w:val="0"/>
        <w:snapToGrid w:val="0"/>
        <w:spacing w:line="360" w:lineRule="auto"/>
        <w:ind w:firstLine="420"/>
        <w:textAlignment w:val="auto"/>
        <w:rPr>
          <w:rFonts w:ascii="Times New Roman" w:hAnsi="Times New Roman" w:eastAsiaTheme="minorEastAsia"/>
          <w:b w:val="0"/>
          <w:bCs w:val="0"/>
          <w:kern w:val="2"/>
          <w:szCs w:val="21"/>
        </w:rPr>
      </w:pPr>
      <w:r>
        <w:rPr>
          <w:rFonts w:hint="eastAsia" w:ascii="Times New Roman" w:hAnsi="Times New Roman" w:eastAsiaTheme="minorEastAsia"/>
          <w:b w:val="0"/>
          <w:bCs w:val="0"/>
          <w:kern w:val="2"/>
          <w:szCs w:val="21"/>
        </w:rPr>
        <w:t>根据实验室环境要求、校准项目校准结果、测量不确定度评定结果等，按照</w:t>
      </w:r>
      <w:r>
        <w:rPr>
          <w:rFonts w:hint="eastAsia" w:ascii="Times New Roman" w:hAnsi="Times New Roman" w:eastAsiaTheme="minorEastAsia"/>
          <w:b w:val="0"/>
          <w:bCs w:val="0"/>
          <w:kern w:val="2"/>
          <w:szCs w:val="21"/>
          <w:lang w:val="en-US" w:eastAsia="zh-CN"/>
        </w:rPr>
        <w:t>JJF 1071-2010</w:t>
      </w:r>
      <w:r>
        <w:rPr>
          <w:rFonts w:hint="eastAsia" w:ascii="Times New Roman" w:hAnsi="Times New Roman" w:eastAsiaTheme="minorEastAsia"/>
          <w:b w:val="0"/>
          <w:bCs w:val="0"/>
          <w:kern w:val="2"/>
          <w:szCs w:val="21"/>
        </w:rPr>
        <w:t>推荐的校准报告格式，出具校准证书。</w:t>
      </w:r>
    </w:p>
    <w:p>
      <w:pPr>
        <w:pStyle w:val="4"/>
        <w:pageBreakBefore w:val="0"/>
        <w:kinsoku/>
        <w:wordWrap/>
        <w:overflowPunct/>
        <w:topLinePunct w:val="0"/>
        <w:bidi w:val="0"/>
        <w:adjustRightInd w:val="0"/>
        <w:snapToGrid w:val="0"/>
        <w:spacing w:before="156" w:after="156"/>
        <w:textAlignment w:val="auto"/>
        <w:rPr>
          <w:b w:val="0"/>
          <w:bCs w:val="0"/>
        </w:rPr>
      </w:pPr>
      <w:bookmarkStart w:id="77" w:name="_Toc193860040"/>
      <w:bookmarkStart w:id="78" w:name="_Toc14803_WPSOffice_Level1"/>
      <w:bookmarkStart w:id="79" w:name="_Toc193860220"/>
      <w:bookmarkStart w:id="80" w:name="_Toc193860189"/>
      <w:bookmarkStart w:id="81" w:name="_Toc5529"/>
      <w:bookmarkStart w:id="82" w:name="_Toc193860041"/>
      <w:r>
        <w:rPr>
          <w:rFonts w:hint="eastAsia"/>
          <w:b w:val="0"/>
          <w:bCs w:val="0"/>
        </w:rPr>
        <w:t>8 复校</w:t>
      </w:r>
      <w:bookmarkEnd w:id="77"/>
      <w:bookmarkEnd w:id="78"/>
      <w:bookmarkEnd w:id="79"/>
      <w:bookmarkEnd w:id="80"/>
      <w:bookmarkEnd w:id="81"/>
      <w:r>
        <w:rPr>
          <w:rFonts w:hint="eastAsia"/>
          <w:b w:val="0"/>
          <w:bCs w:val="0"/>
        </w:rPr>
        <w:t>时间间隔</w:t>
      </w:r>
    </w:p>
    <w:bookmarkEnd w:id="82"/>
    <w:p>
      <w:pPr>
        <w:pStyle w:val="58"/>
        <w:pageBreakBefore w:val="0"/>
        <w:kinsoku/>
        <w:wordWrap/>
        <w:overflowPunct/>
        <w:topLinePunct w:val="0"/>
        <w:bidi w:val="0"/>
        <w:adjustRightInd w:val="0"/>
        <w:snapToGrid w:val="0"/>
        <w:spacing w:line="360" w:lineRule="auto"/>
        <w:ind w:firstLine="420"/>
        <w:textAlignment w:val="auto"/>
        <w:rPr>
          <w:rFonts w:hint="eastAsia" w:ascii="Times New Roman" w:hAnsi="Times New Roman" w:eastAsiaTheme="minorEastAsia"/>
          <w:b w:val="0"/>
          <w:bCs w:val="0"/>
          <w:kern w:val="2"/>
          <w:szCs w:val="21"/>
        </w:rPr>
      </w:pPr>
      <w:r>
        <w:rPr>
          <w:rFonts w:hint="eastAsia" w:ascii="Times New Roman" w:hAnsi="Times New Roman" w:eastAsiaTheme="minorEastAsia"/>
          <w:b w:val="0"/>
          <w:bCs w:val="0"/>
          <w:kern w:val="2"/>
          <w:szCs w:val="21"/>
          <w:lang w:val="en-US" w:eastAsia="zh-CN"/>
        </w:rPr>
        <w:t>建议复校时间间隔最长不超过12个月，使用单位也可根据实际使用情况选择复校的时间间隔。</w:t>
      </w:r>
    </w:p>
    <w:p>
      <w:pPr>
        <w:pStyle w:val="4"/>
        <w:pageBreakBefore w:val="0"/>
        <w:kinsoku/>
        <w:wordWrap/>
        <w:overflowPunct/>
        <w:topLinePunct w:val="0"/>
        <w:bidi w:val="0"/>
        <w:adjustRightInd w:val="0"/>
        <w:snapToGrid w:val="0"/>
        <w:spacing w:before="156" w:after="156"/>
        <w:textAlignment w:val="auto"/>
        <w:rPr>
          <w:b w:val="0"/>
          <w:bCs w:val="0"/>
        </w:rPr>
      </w:pPr>
      <w:r>
        <w:rPr>
          <w:rFonts w:hint="eastAsia"/>
          <w:b w:val="0"/>
          <w:bCs w:val="0"/>
        </w:rPr>
        <w:t>9附录</w:t>
      </w:r>
    </w:p>
    <w:p>
      <w:pPr>
        <w:pStyle w:val="58"/>
        <w:keepNext w:val="0"/>
        <w:keepLines w:val="0"/>
        <w:pageBreakBefore w:val="0"/>
        <w:kinsoku/>
        <w:wordWrap/>
        <w:overflowPunct/>
        <w:topLinePunct w:val="0"/>
        <w:bidi w:val="0"/>
        <w:adjustRightInd w:val="0"/>
        <w:snapToGrid w:val="0"/>
        <w:spacing w:line="360" w:lineRule="auto"/>
        <w:ind w:firstLine="420"/>
        <w:textAlignment w:val="auto"/>
        <w:rPr>
          <w:rFonts w:ascii="Times New Roman" w:hAnsi="Times New Roman" w:eastAsiaTheme="minorEastAsia"/>
          <w:b w:val="0"/>
          <w:bCs w:val="0"/>
          <w:kern w:val="2"/>
          <w:szCs w:val="21"/>
        </w:rPr>
      </w:pPr>
      <w:r>
        <w:rPr>
          <w:rFonts w:hint="eastAsia" w:ascii="Times New Roman" w:hAnsi="Times New Roman" w:eastAsiaTheme="minorEastAsia"/>
          <w:b w:val="0"/>
          <w:bCs w:val="0"/>
          <w:kern w:val="2"/>
          <w:szCs w:val="21"/>
        </w:rPr>
        <w:t>附录主要包含</w:t>
      </w:r>
      <w:r>
        <w:rPr>
          <w:rFonts w:hint="eastAsia" w:ascii="Times New Roman" w:hAnsi="Times New Roman" w:eastAsiaTheme="minorEastAsia"/>
          <w:b w:val="0"/>
          <w:bCs w:val="0"/>
          <w:kern w:val="2"/>
          <w:szCs w:val="21"/>
          <w:lang w:val="en-US" w:eastAsia="zh-CN"/>
        </w:rPr>
        <w:t>参考使用的标准物质认定值和升温范围、动态热机械分析仪</w:t>
      </w:r>
      <w:r>
        <w:rPr>
          <w:rFonts w:hint="eastAsia" w:ascii="Times New Roman" w:hAnsi="Times New Roman" w:eastAsiaTheme="minorEastAsia"/>
          <w:b w:val="0"/>
          <w:bCs w:val="0"/>
          <w:kern w:val="2"/>
          <w:szCs w:val="21"/>
        </w:rPr>
        <w:t>校准记录参考格式、</w:t>
      </w:r>
      <w:r>
        <w:rPr>
          <w:rFonts w:hint="eastAsia" w:ascii="Times New Roman" w:hAnsi="Times New Roman" w:eastAsiaTheme="minorEastAsia"/>
          <w:b w:val="0"/>
          <w:bCs w:val="0"/>
          <w:kern w:val="2"/>
          <w:szCs w:val="21"/>
          <w:lang w:val="en-US" w:eastAsia="zh-CN"/>
        </w:rPr>
        <w:t>动态热机械分析仪校准</w:t>
      </w:r>
      <w:r>
        <w:rPr>
          <w:rFonts w:hint="eastAsia" w:ascii="Times New Roman" w:hAnsi="Times New Roman" w:eastAsiaTheme="minorEastAsia"/>
          <w:b w:val="0"/>
          <w:bCs w:val="0"/>
          <w:kern w:val="2"/>
          <w:szCs w:val="21"/>
        </w:rPr>
        <w:t>证书内页参考格式、</w:t>
      </w:r>
      <w:r>
        <w:rPr>
          <w:rFonts w:hint="eastAsia" w:ascii="Times New Roman" w:hAnsi="Times New Roman" w:eastAsiaTheme="minorEastAsia"/>
          <w:b w:val="0"/>
          <w:bCs w:val="0"/>
          <w:kern w:val="2"/>
          <w:szCs w:val="21"/>
          <w:lang w:val="en-US" w:eastAsia="zh-CN"/>
        </w:rPr>
        <w:t>动态热机械分析仪温度示值误差</w:t>
      </w:r>
      <w:r>
        <w:rPr>
          <w:rFonts w:hint="eastAsia" w:ascii="Times New Roman" w:hAnsi="Times New Roman" w:eastAsiaTheme="minorEastAsia"/>
          <w:b w:val="0"/>
          <w:bCs w:val="0"/>
          <w:kern w:val="2"/>
          <w:szCs w:val="21"/>
        </w:rPr>
        <w:t>测量不确定度评定示例。</w:t>
      </w:r>
    </w:p>
    <w:p>
      <w:pPr>
        <w:keepNext w:val="0"/>
        <w:keepLines w:val="0"/>
        <w:pageBreakBefore w:val="0"/>
        <w:kinsoku/>
        <w:wordWrap/>
        <w:overflowPunct/>
        <w:topLinePunct w:val="0"/>
        <w:bidi w:val="0"/>
        <w:adjustRightInd w:val="0"/>
        <w:snapToGrid w:val="0"/>
        <w:spacing w:line="360" w:lineRule="auto"/>
        <w:ind w:firstLine="420" w:firstLineChars="200"/>
        <w:textAlignment w:val="auto"/>
        <w:rPr>
          <w:b w:val="0"/>
          <w:bCs w:val="0"/>
        </w:rPr>
      </w:pPr>
      <w:r>
        <w:rPr>
          <w:rFonts w:hint="eastAsia"/>
          <w:b w:val="0"/>
          <w:bCs w:val="0"/>
          <w:lang w:val="en-US" w:eastAsia="zh-CN"/>
        </w:rPr>
        <w:t>本规范</w:t>
      </w:r>
      <w:r>
        <w:rPr>
          <w:rFonts w:hint="eastAsia"/>
          <w:b w:val="0"/>
          <w:bCs w:val="0"/>
        </w:rPr>
        <w:t>设置了</w:t>
      </w:r>
      <w:r>
        <w:rPr>
          <w:rFonts w:hint="eastAsia"/>
          <w:b w:val="0"/>
          <w:bCs w:val="0"/>
          <w:lang w:val="en-US" w:eastAsia="zh-CN"/>
        </w:rPr>
        <w:t>4</w:t>
      </w:r>
      <w:r>
        <w:rPr>
          <w:rFonts w:hint="eastAsia"/>
          <w:b w:val="0"/>
          <w:bCs w:val="0"/>
        </w:rPr>
        <w:t>个附录，便于校准时参考和规范。</w:t>
      </w:r>
    </w:p>
    <w:p>
      <w:pPr>
        <w:keepNext w:val="0"/>
        <w:keepLines w:val="0"/>
        <w:pageBreakBefore w:val="0"/>
        <w:kinsoku/>
        <w:wordWrap/>
        <w:overflowPunct/>
        <w:topLinePunct w:val="0"/>
        <w:bidi w:val="0"/>
        <w:adjustRightInd w:val="0"/>
        <w:snapToGrid w:val="0"/>
        <w:spacing w:line="360" w:lineRule="auto"/>
        <w:ind w:firstLine="420" w:firstLineChars="200"/>
        <w:textAlignment w:val="auto"/>
        <w:rPr>
          <w:rFonts w:hint="eastAsia"/>
          <w:b w:val="0"/>
          <w:bCs w:val="0"/>
        </w:rPr>
      </w:pPr>
      <w:r>
        <w:rPr>
          <w:rFonts w:hint="eastAsia"/>
          <w:b w:val="0"/>
          <w:bCs w:val="0"/>
        </w:rPr>
        <w:t xml:space="preserve">附录A </w:t>
      </w:r>
      <w:bookmarkStart w:id="83" w:name="_Toc831661992"/>
      <w:bookmarkStart w:id="84" w:name="_Toc798313278"/>
      <w:bookmarkStart w:id="85" w:name="_Toc1027037846"/>
      <w:r>
        <w:rPr>
          <w:rFonts w:hint="eastAsia"/>
          <w:b w:val="0"/>
          <w:bCs w:val="0"/>
          <w:lang w:val="en-US" w:eastAsia="zh-CN"/>
        </w:rPr>
        <w:t>参考使用的标准物质认定值和升温范围</w:t>
      </w:r>
      <w:bookmarkEnd w:id="83"/>
      <w:bookmarkEnd w:id="84"/>
      <w:bookmarkEnd w:id="85"/>
    </w:p>
    <w:p>
      <w:pPr>
        <w:keepNext w:val="0"/>
        <w:keepLines w:val="0"/>
        <w:pageBreakBefore w:val="0"/>
        <w:kinsoku/>
        <w:wordWrap/>
        <w:overflowPunct/>
        <w:topLinePunct w:val="0"/>
        <w:bidi w:val="0"/>
        <w:adjustRightInd w:val="0"/>
        <w:snapToGrid w:val="0"/>
        <w:spacing w:line="360" w:lineRule="auto"/>
        <w:ind w:firstLine="420" w:firstLineChars="200"/>
        <w:textAlignment w:val="auto"/>
        <w:rPr>
          <w:b w:val="0"/>
          <w:bCs w:val="0"/>
        </w:rPr>
      </w:pPr>
      <w:r>
        <w:rPr>
          <w:rFonts w:hint="eastAsia"/>
          <w:b w:val="0"/>
          <w:bCs w:val="0"/>
        </w:rPr>
        <w:t>附录</w:t>
      </w:r>
      <w:r>
        <w:rPr>
          <w:rFonts w:hint="default"/>
          <w:b w:val="0"/>
          <w:bCs w:val="0"/>
          <w:lang w:val="en-US"/>
        </w:rPr>
        <w:t>B</w:t>
      </w:r>
      <w:r>
        <w:rPr>
          <w:rFonts w:hint="eastAsia"/>
          <w:b w:val="0"/>
          <w:bCs w:val="0"/>
        </w:rPr>
        <w:t xml:space="preserve"> </w:t>
      </w:r>
      <w:r>
        <w:rPr>
          <w:rFonts w:hint="eastAsia"/>
          <w:b w:val="0"/>
          <w:bCs w:val="0"/>
          <w:lang w:val="en-US" w:eastAsia="zh-CN"/>
        </w:rPr>
        <w:t>动态热机械分析仪</w:t>
      </w:r>
      <w:r>
        <w:rPr>
          <w:rFonts w:hint="eastAsia"/>
          <w:b w:val="0"/>
          <w:bCs w:val="0"/>
        </w:rPr>
        <w:t>校准记录参考格式</w:t>
      </w:r>
    </w:p>
    <w:p>
      <w:pPr>
        <w:keepNext w:val="0"/>
        <w:keepLines w:val="0"/>
        <w:pageBreakBefore w:val="0"/>
        <w:kinsoku/>
        <w:wordWrap/>
        <w:overflowPunct/>
        <w:topLinePunct w:val="0"/>
        <w:bidi w:val="0"/>
        <w:adjustRightInd w:val="0"/>
        <w:snapToGrid w:val="0"/>
        <w:spacing w:line="360" w:lineRule="auto"/>
        <w:ind w:firstLine="420" w:firstLineChars="200"/>
        <w:textAlignment w:val="auto"/>
        <w:rPr>
          <w:b w:val="0"/>
          <w:bCs w:val="0"/>
        </w:rPr>
      </w:pPr>
      <w:r>
        <w:rPr>
          <w:rFonts w:hint="eastAsia"/>
          <w:b w:val="0"/>
          <w:bCs w:val="0"/>
        </w:rPr>
        <w:t>附录</w:t>
      </w:r>
      <w:r>
        <w:rPr>
          <w:rFonts w:hint="default"/>
          <w:b w:val="0"/>
          <w:bCs w:val="0"/>
          <w:lang w:val="en-US"/>
        </w:rPr>
        <w:t>C</w:t>
      </w:r>
      <w:r>
        <w:rPr>
          <w:rFonts w:hint="eastAsia"/>
          <w:b w:val="0"/>
          <w:bCs w:val="0"/>
        </w:rPr>
        <w:t xml:space="preserve"> </w:t>
      </w:r>
      <w:r>
        <w:rPr>
          <w:rFonts w:hint="eastAsia"/>
          <w:b w:val="0"/>
          <w:bCs w:val="0"/>
          <w:lang w:val="en-US" w:eastAsia="zh-CN"/>
        </w:rPr>
        <w:t>动态热机械分析仪</w:t>
      </w:r>
      <w:r>
        <w:rPr>
          <w:rFonts w:hint="eastAsia"/>
          <w:b w:val="0"/>
          <w:bCs w:val="0"/>
        </w:rPr>
        <w:t>校准证书内页参考格式</w:t>
      </w:r>
    </w:p>
    <w:p>
      <w:pPr>
        <w:keepNext w:val="0"/>
        <w:keepLines w:val="0"/>
        <w:pageBreakBefore w:val="0"/>
        <w:kinsoku/>
        <w:wordWrap/>
        <w:overflowPunct/>
        <w:topLinePunct w:val="0"/>
        <w:bidi w:val="0"/>
        <w:adjustRightInd w:val="0"/>
        <w:snapToGrid w:val="0"/>
        <w:spacing w:line="360" w:lineRule="auto"/>
        <w:ind w:firstLine="420" w:firstLineChars="200"/>
        <w:textAlignment w:val="auto"/>
        <w:rPr>
          <w:rFonts w:hint="eastAsia"/>
          <w:b w:val="0"/>
          <w:bCs w:val="0"/>
        </w:rPr>
      </w:pPr>
      <w:r>
        <w:rPr>
          <w:rFonts w:hint="eastAsia"/>
          <w:b w:val="0"/>
          <w:bCs w:val="0"/>
        </w:rPr>
        <w:t>附录</w:t>
      </w:r>
      <w:r>
        <w:rPr>
          <w:rFonts w:hint="default"/>
          <w:b w:val="0"/>
          <w:bCs w:val="0"/>
          <w:lang w:val="en-US"/>
        </w:rPr>
        <w:t>D</w:t>
      </w:r>
      <w:r>
        <w:rPr>
          <w:rFonts w:hint="eastAsia"/>
          <w:b w:val="0"/>
          <w:bCs w:val="0"/>
        </w:rPr>
        <w:t xml:space="preserve"> </w:t>
      </w:r>
      <w:r>
        <w:rPr>
          <w:rFonts w:hint="eastAsia"/>
          <w:b w:val="0"/>
          <w:bCs w:val="0"/>
          <w:lang w:val="en-US" w:eastAsia="zh-CN"/>
        </w:rPr>
        <w:t>动态热机械分析仪温度</w:t>
      </w:r>
      <w:r>
        <w:rPr>
          <w:rFonts w:hint="eastAsia"/>
          <w:b w:val="0"/>
          <w:bCs w:val="0"/>
        </w:rPr>
        <w:t>示值误差测量不确定度评定示例</w:t>
      </w:r>
    </w:p>
    <w:bookmarkEnd w:id="1"/>
    <w:bookmarkEnd w:id="20"/>
    <w:p>
      <w:pPr>
        <w:pStyle w:val="2"/>
        <w:pageBreakBefore w:val="0"/>
        <w:kinsoku/>
        <w:wordWrap/>
        <w:overflowPunct/>
        <w:topLinePunct w:val="0"/>
        <w:bidi w:val="0"/>
        <w:adjustRightInd w:val="0"/>
        <w:snapToGrid w:val="0"/>
        <w:spacing w:before="156" w:after="156"/>
        <w:textAlignment w:val="auto"/>
        <w:rPr>
          <w:rFonts w:hint="eastAsia"/>
          <w:b w:val="0"/>
          <w:bCs w:val="0"/>
        </w:rPr>
      </w:pPr>
      <w:bookmarkStart w:id="86" w:name="_Toc464728965"/>
      <w:r>
        <w:rPr>
          <w:rFonts w:hint="eastAsia"/>
          <w:b w:val="0"/>
          <w:bCs w:val="0"/>
        </w:rPr>
        <w:t>三、实践检测情况</w:t>
      </w:r>
    </w:p>
    <w:p>
      <w:pPr>
        <w:pageBreakBefore w:val="0"/>
        <w:kinsoku/>
        <w:wordWrap/>
        <w:overflowPunct/>
        <w:topLinePunct w:val="0"/>
        <w:bidi w:val="0"/>
        <w:adjustRightInd w:val="0"/>
        <w:snapToGrid w:val="0"/>
        <w:spacing w:line="360" w:lineRule="auto"/>
        <w:ind w:firstLine="420" w:firstLineChars="200"/>
        <w:textAlignment w:val="auto"/>
        <w:rPr>
          <w:rFonts w:hint="default"/>
          <w:b w:val="0"/>
          <w:bCs w:val="0"/>
          <w:color w:val="0000FF"/>
          <w:sz w:val="21"/>
          <w:szCs w:val="24"/>
        </w:rPr>
      </w:pPr>
      <w:r>
        <w:rPr>
          <w:rFonts w:hint="default"/>
          <w:b w:val="0"/>
          <w:bCs w:val="0"/>
          <w:color w:val="auto"/>
          <w:sz w:val="21"/>
          <w:szCs w:val="24"/>
          <w:lang w:val="en-US" w:eastAsia="zh-CN"/>
        </w:rPr>
        <w:t>国标（北京）检验认证有限公司、耐驰科学仪器商贸（上海）有限公司、沃特世科技（上海）有限公司、中国科学院宁波材料技术与工程研究所</w:t>
      </w:r>
      <w:r>
        <w:rPr>
          <w:rFonts w:hint="eastAsia"/>
          <w:b w:val="0"/>
          <w:bCs w:val="0"/>
          <w:color w:val="auto"/>
          <w:sz w:val="21"/>
          <w:szCs w:val="24"/>
          <w:lang w:val="en-US" w:eastAsia="zh-CN"/>
        </w:rPr>
        <w:t>、</w:t>
      </w:r>
      <w:r>
        <w:rPr>
          <w:rFonts w:hint="default"/>
          <w:b w:val="0"/>
          <w:bCs w:val="0"/>
          <w:color w:val="auto"/>
          <w:sz w:val="21"/>
          <w:szCs w:val="24"/>
          <w:lang w:val="en-US" w:eastAsia="zh-CN"/>
        </w:rPr>
        <w:t>北京航空航天大学、国合通用（青岛）测试评价有限公司根据本规范的校准项目对</w:t>
      </w:r>
      <w:r>
        <w:rPr>
          <w:rFonts w:hint="eastAsia"/>
          <w:b w:val="0"/>
          <w:bCs w:val="0"/>
          <w:lang w:val="en-US" w:eastAsia="zh-CN"/>
        </w:rPr>
        <w:t>动态热机械分析仪</w:t>
      </w:r>
      <w:r>
        <w:rPr>
          <w:rFonts w:hint="default"/>
          <w:b w:val="0"/>
          <w:bCs w:val="0"/>
          <w:color w:val="auto"/>
          <w:sz w:val="21"/>
          <w:szCs w:val="24"/>
          <w:lang w:val="en-US" w:eastAsia="zh-CN"/>
        </w:rPr>
        <w:t>进行了计量特性的校准，内容详见校准报告。</w:t>
      </w:r>
    </w:p>
    <w:p>
      <w:pPr>
        <w:pStyle w:val="2"/>
        <w:pageBreakBefore w:val="0"/>
        <w:kinsoku/>
        <w:wordWrap/>
        <w:overflowPunct/>
        <w:topLinePunct w:val="0"/>
        <w:bidi w:val="0"/>
        <w:adjustRightInd w:val="0"/>
        <w:snapToGrid w:val="0"/>
        <w:spacing w:before="156" w:after="156"/>
        <w:textAlignment w:val="auto"/>
        <w:rPr>
          <w:b w:val="0"/>
          <w:bCs w:val="0"/>
        </w:rPr>
      </w:pPr>
      <w:r>
        <w:rPr>
          <w:rFonts w:hint="eastAsia"/>
          <w:b w:val="0"/>
          <w:bCs w:val="0"/>
          <w:lang w:val="en-US" w:eastAsia="zh-CN"/>
        </w:rPr>
        <w:t>四</w:t>
      </w:r>
      <w:r>
        <w:rPr>
          <w:rFonts w:hint="eastAsia"/>
          <w:b w:val="0"/>
          <w:bCs w:val="0"/>
        </w:rPr>
        <w:t>、规范水平分析</w:t>
      </w:r>
      <w:bookmarkEnd w:id="86"/>
    </w:p>
    <w:p>
      <w:pPr>
        <w:pageBreakBefore w:val="0"/>
        <w:kinsoku/>
        <w:wordWrap/>
        <w:overflowPunct/>
        <w:topLinePunct w:val="0"/>
        <w:bidi w:val="0"/>
        <w:adjustRightInd w:val="0"/>
        <w:snapToGrid w:val="0"/>
        <w:spacing w:line="360" w:lineRule="auto"/>
        <w:ind w:firstLine="420" w:firstLineChars="200"/>
        <w:textAlignment w:val="auto"/>
        <w:rPr>
          <w:rFonts w:hint="eastAsia"/>
          <w:b w:val="0"/>
          <w:bCs w:val="0"/>
          <w:sz w:val="21"/>
          <w:szCs w:val="21"/>
          <w:lang w:val="en-US" w:eastAsia="zh-CN"/>
        </w:rPr>
      </w:pPr>
      <w:r>
        <w:rPr>
          <w:rFonts w:hint="eastAsia" w:ascii="宋体" w:hAnsi="宋体"/>
          <w:b w:val="0"/>
          <w:bCs w:val="0"/>
          <w:sz w:val="21"/>
          <w:szCs w:val="21"/>
        </w:rPr>
        <w:t>目前国外没有相关技术规范，本规范水平达到国</w:t>
      </w:r>
      <w:r>
        <w:rPr>
          <w:rFonts w:hint="eastAsia" w:ascii="宋体" w:hAnsi="宋体"/>
          <w:b w:val="0"/>
          <w:bCs w:val="0"/>
          <w:sz w:val="21"/>
          <w:szCs w:val="21"/>
          <w:lang w:val="en-US" w:eastAsia="zh-CN"/>
        </w:rPr>
        <w:t>内</w:t>
      </w:r>
      <w:r>
        <w:rPr>
          <w:rFonts w:hint="eastAsia" w:ascii="宋体" w:hAnsi="宋体"/>
          <w:b w:val="0"/>
          <w:bCs w:val="0"/>
          <w:sz w:val="21"/>
          <w:szCs w:val="21"/>
        </w:rPr>
        <w:t>先进水平。</w:t>
      </w:r>
      <w:r>
        <w:rPr>
          <w:rFonts w:hint="eastAsia"/>
          <w:b w:val="0"/>
          <w:bCs w:val="0"/>
          <w:sz w:val="21"/>
          <w:szCs w:val="21"/>
        </w:rPr>
        <w:t>本</w:t>
      </w:r>
      <w:r>
        <w:rPr>
          <w:rFonts w:hint="eastAsia"/>
          <w:b w:val="0"/>
          <w:bCs w:val="0"/>
          <w:sz w:val="21"/>
          <w:szCs w:val="21"/>
          <w:lang w:eastAsia="zh-CN"/>
        </w:rPr>
        <w:t>规范</w:t>
      </w:r>
      <w:r>
        <w:rPr>
          <w:rFonts w:hint="eastAsia"/>
          <w:b w:val="0"/>
          <w:bCs w:val="0"/>
          <w:sz w:val="21"/>
          <w:szCs w:val="21"/>
        </w:rPr>
        <w:t>的制定填补了有色金属行业</w:t>
      </w:r>
      <w:r>
        <w:rPr>
          <w:rFonts w:hint="eastAsia"/>
          <w:b w:val="0"/>
          <w:bCs w:val="0"/>
          <w:sz w:val="21"/>
          <w:szCs w:val="21"/>
          <w:lang w:val="en-US" w:eastAsia="zh-CN"/>
        </w:rPr>
        <w:t>动态热机械分析仪</w:t>
      </w:r>
      <w:r>
        <w:rPr>
          <w:rFonts w:hint="eastAsia"/>
          <w:b w:val="0"/>
          <w:bCs w:val="0"/>
          <w:sz w:val="21"/>
          <w:szCs w:val="21"/>
        </w:rPr>
        <w:t>的校准空白，属于国内首创，水平达到国内领先</w:t>
      </w:r>
      <w:r>
        <w:rPr>
          <w:rFonts w:hint="eastAsia"/>
          <w:b w:val="0"/>
          <w:bCs w:val="0"/>
          <w:sz w:val="21"/>
          <w:szCs w:val="21"/>
          <w:lang w:val="en-US" w:eastAsia="zh-CN"/>
        </w:rPr>
        <w:t>。</w:t>
      </w:r>
    </w:p>
    <w:p>
      <w:pPr>
        <w:pStyle w:val="2"/>
        <w:pageBreakBefore w:val="0"/>
        <w:kinsoku/>
        <w:wordWrap/>
        <w:overflowPunct/>
        <w:topLinePunct w:val="0"/>
        <w:bidi w:val="0"/>
        <w:adjustRightInd w:val="0"/>
        <w:snapToGrid w:val="0"/>
        <w:spacing w:before="156" w:after="156"/>
        <w:textAlignment w:val="auto"/>
        <w:rPr>
          <w:b w:val="0"/>
          <w:bCs w:val="0"/>
        </w:rPr>
      </w:pPr>
      <w:r>
        <w:rPr>
          <w:rFonts w:hint="eastAsia"/>
          <w:b w:val="0"/>
          <w:bCs w:val="0"/>
        </w:rPr>
        <w:t>五、与有关的现行法律、法规和强制性国家标准的关系</w:t>
      </w:r>
    </w:p>
    <w:p>
      <w:pPr>
        <w:pStyle w:val="58"/>
        <w:pageBreakBefore w:val="0"/>
        <w:kinsoku/>
        <w:wordWrap/>
        <w:overflowPunct/>
        <w:topLinePunct w:val="0"/>
        <w:bidi w:val="0"/>
        <w:adjustRightInd w:val="0"/>
        <w:snapToGrid w:val="0"/>
        <w:spacing w:line="360" w:lineRule="auto"/>
        <w:ind w:firstLine="0"/>
        <w:textAlignment w:val="auto"/>
        <w:rPr>
          <w:b w:val="0"/>
          <w:bCs w:val="0"/>
        </w:rPr>
      </w:pPr>
      <w:r>
        <w:rPr>
          <w:rFonts w:hint="eastAsia"/>
          <w:b w:val="0"/>
          <w:bCs w:val="0"/>
        </w:rPr>
        <w:t>本规范所引用的规程</w:t>
      </w:r>
      <w:r>
        <w:rPr>
          <w:rFonts w:hint="eastAsia"/>
          <w:b w:val="0"/>
          <w:bCs w:val="0"/>
          <w:lang w:eastAsia="zh-CN"/>
        </w:rPr>
        <w:t>、</w:t>
      </w:r>
      <w:r>
        <w:rPr>
          <w:rFonts w:hint="eastAsia"/>
          <w:b w:val="0"/>
          <w:bCs w:val="0"/>
        </w:rPr>
        <w:t>规范</w:t>
      </w:r>
      <w:r>
        <w:rPr>
          <w:rFonts w:hint="eastAsia"/>
          <w:b w:val="0"/>
          <w:bCs w:val="0"/>
          <w:lang w:val="en-US" w:eastAsia="zh-CN"/>
        </w:rPr>
        <w:t>及标准</w:t>
      </w:r>
      <w:r>
        <w:rPr>
          <w:rFonts w:hint="eastAsia"/>
          <w:b w:val="0"/>
          <w:bCs w:val="0"/>
        </w:rPr>
        <w:t>均为我国现行有效的计量规程及规范，是本规范的一部分，引用这些</w:t>
      </w:r>
      <w:r>
        <w:rPr>
          <w:rFonts w:hint="eastAsia"/>
          <w:b w:val="0"/>
          <w:bCs w:val="0"/>
          <w:lang w:val="en-US" w:eastAsia="zh-CN"/>
        </w:rPr>
        <w:t>文件</w:t>
      </w:r>
      <w:r>
        <w:rPr>
          <w:rFonts w:hint="eastAsia"/>
          <w:b w:val="0"/>
          <w:bCs w:val="0"/>
        </w:rPr>
        <w:t>后，使本规范的要求与现行的相关法律、法规、规章及相关规程规范的关系不矛盾、不冲突，相互关系协调。</w:t>
      </w:r>
    </w:p>
    <w:p>
      <w:pPr>
        <w:pStyle w:val="2"/>
        <w:pageBreakBefore w:val="0"/>
        <w:kinsoku/>
        <w:wordWrap/>
        <w:overflowPunct/>
        <w:topLinePunct w:val="0"/>
        <w:bidi w:val="0"/>
        <w:adjustRightInd w:val="0"/>
        <w:snapToGrid w:val="0"/>
        <w:spacing w:before="156" w:after="156"/>
        <w:textAlignment w:val="auto"/>
        <w:rPr>
          <w:b w:val="0"/>
          <w:bCs w:val="0"/>
        </w:rPr>
      </w:pPr>
      <w:bookmarkStart w:id="87" w:name="_Toc464728973"/>
      <w:r>
        <w:rPr>
          <w:rFonts w:hint="eastAsia"/>
          <w:b w:val="0"/>
          <w:bCs w:val="0"/>
        </w:rPr>
        <w:t>六、规范中涉及的专利或知识产权说明</w:t>
      </w:r>
      <w:bookmarkEnd w:id="87"/>
    </w:p>
    <w:p>
      <w:pPr>
        <w:pStyle w:val="58"/>
        <w:pageBreakBefore w:val="0"/>
        <w:kinsoku/>
        <w:wordWrap/>
        <w:overflowPunct/>
        <w:topLinePunct w:val="0"/>
        <w:bidi w:val="0"/>
        <w:adjustRightInd w:val="0"/>
        <w:snapToGrid w:val="0"/>
        <w:spacing w:line="300" w:lineRule="auto"/>
        <w:ind w:firstLineChars="0"/>
        <w:contextualSpacing/>
        <w:textAlignment w:val="auto"/>
        <w:rPr>
          <w:rFonts w:hint="eastAsia" w:eastAsia="宋体"/>
          <w:b w:val="0"/>
          <w:bCs w:val="0"/>
          <w:szCs w:val="21"/>
          <w:lang w:eastAsia="zh-CN"/>
        </w:rPr>
      </w:pPr>
      <w:bookmarkStart w:id="88" w:name="_Toc464728974"/>
      <w:r>
        <w:rPr>
          <w:rFonts w:hint="eastAsia"/>
          <w:b w:val="0"/>
          <w:bCs w:val="0"/>
          <w:szCs w:val="21"/>
        </w:rPr>
        <w:t>无</w:t>
      </w:r>
      <w:r>
        <w:rPr>
          <w:rFonts w:hint="eastAsia"/>
          <w:b w:val="0"/>
          <w:bCs w:val="0"/>
          <w:szCs w:val="21"/>
          <w:lang w:eastAsia="zh-CN"/>
        </w:rPr>
        <w:t>。</w:t>
      </w:r>
    </w:p>
    <w:p>
      <w:pPr>
        <w:pStyle w:val="2"/>
        <w:pageBreakBefore w:val="0"/>
        <w:kinsoku/>
        <w:wordWrap/>
        <w:overflowPunct/>
        <w:topLinePunct w:val="0"/>
        <w:bidi w:val="0"/>
        <w:adjustRightInd w:val="0"/>
        <w:snapToGrid w:val="0"/>
        <w:spacing w:before="156" w:after="156"/>
        <w:textAlignment w:val="auto"/>
        <w:rPr>
          <w:b w:val="0"/>
          <w:bCs w:val="0"/>
        </w:rPr>
      </w:pPr>
      <w:r>
        <w:rPr>
          <w:rFonts w:hint="eastAsia"/>
          <w:b w:val="0"/>
          <w:bCs w:val="0"/>
        </w:rPr>
        <w:t>七、重大分歧意见的处理经过和依据</w:t>
      </w:r>
      <w:bookmarkEnd w:id="88"/>
    </w:p>
    <w:p>
      <w:pPr>
        <w:pStyle w:val="58"/>
        <w:pageBreakBefore w:val="0"/>
        <w:kinsoku/>
        <w:wordWrap/>
        <w:overflowPunct/>
        <w:topLinePunct w:val="0"/>
        <w:bidi w:val="0"/>
        <w:adjustRightInd w:val="0"/>
        <w:snapToGrid w:val="0"/>
        <w:spacing w:line="300" w:lineRule="auto"/>
        <w:ind w:firstLine="420"/>
        <w:contextualSpacing/>
        <w:textAlignment w:val="auto"/>
        <w:rPr>
          <w:rFonts w:hint="eastAsia" w:eastAsia="宋体"/>
          <w:b w:val="0"/>
          <w:bCs w:val="0"/>
          <w:szCs w:val="21"/>
          <w:lang w:eastAsia="zh-CN"/>
        </w:rPr>
      </w:pPr>
      <w:r>
        <w:rPr>
          <w:rFonts w:hint="eastAsia"/>
          <w:b w:val="0"/>
          <w:bCs w:val="0"/>
          <w:szCs w:val="21"/>
        </w:rPr>
        <w:t>无</w:t>
      </w:r>
      <w:r>
        <w:rPr>
          <w:rFonts w:hint="eastAsia"/>
          <w:b w:val="0"/>
          <w:bCs w:val="0"/>
          <w:szCs w:val="21"/>
          <w:lang w:eastAsia="zh-CN"/>
        </w:rPr>
        <w:t>。</w:t>
      </w:r>
    </w:p>
    <w:p>
      <w:pPr>
        <w:pStyle w:val="2"/>
        <w:pageBreakBefore w:val="0"/>
        <w:kinsoku/>
        <w:wordWrap/>
        <w:overflowPunct/>
        <w:topLinePunct w:val="0"/>
        <w:bidi w:val="0"/>
        <w:adjustRightInd w:val="0"/>
        <w:snapToGrid w:val="0"/>
        <w:spacing w:before="156" w:after="156"/>
        <w:textAlignment w:val="auto"/>
        <w:rPr>
          <w:b w:val="0"/>
          <w:bCs w:val="0"/>
        </w:rPr>
      </w:pPr>
      <w:r>
        <w:rPr>
          <w:rFonts w:hint="eastAsia"/>
          <w:b w:val="0"/>
          <w:bCs w:val="0"/>
        </w:rPr>
        <w:t>八、规范作为国家（或行业）</w:t>
      </w:r>
      <w:r>
        <w:rPr>
          <w:rFonts w:hint="eastAsia"/>
          <w:b w:val="0"/>
          <w:bCs w:val="0"/>
          <w:lang w:val="en-US" w:eastAsia="zh-CN"/>
        </w:rPr>
        <w:t>计量技术规范</w:t>
      </w:r>
      <w:r>
        <w:rPr>
          <w:rFonts w:hint="eastAsia"/>
          <w:b w:val="0"/>
          <w:bCs w:val="0"/>
        </w:rPr>
        <w:t>的建议</w:t>
      </w:r>
    </w:p>
    <w:p>
      <w:pPr>
        <w:pageBreakBefore w:val="0"/>
        <w:kinsoku/>
        <w:wordWrap/>
        <w:overflowPunct/>
        <w:topLinePunct w:val="0"/>
        <w:bidi w:val="0"/>
        <w:adjustRightInd w:val="0"/>
        <w:snapToGrid w:val="0"/>
        <w:spacing w:line="360" w:lineRule="auto"/>
        <w:ind w:firstLine="420" w:firstLineChars="200"/>
        <w:textAlignment w:val="auto"/>
        <w:rPr>
          <w:rFonts w:hint="default" w:hAnsi="宋体"/>
          <w:b w:val="0"/>
          <w:bCs w:val="0"/>
          <w:szCs w:val="21"/>
        </w:rPr>
      </w:pPr>
      <w:r>
        <w:rPr>
          <w:rFonts w:hint="eastAsia" w:hAnsi="宋体"/>
          <w:b w:val="0"/>
          <w:bCs w:val="0"/>
          <w:szCs w:val="21"/>
        </w:rPr>
        <w:t>建议本规范作为行业计量技术规范，供行业</w:t>
      </w:r>
      <w:r>
        <w:rPr>
          <w:rFonts w:hint="eastAsia" w:hAnsi="宋体"/>
          <w:b w:val="0"/>
          <w:bCs w:val="0"/>
          <w:szCs w:val="21"/>
          <w:lang w:val="en-US" w:eastAsia="zh-CN"/>
        </w:rPr>
        <w:t>企业</w:t>
      </w:r>
      <w:r>
        <w:rPr>
          <w:rFonts w:hint="eastAsia" w:hAnsi="宋体"/>
          <w:b w:val="0"/>
          <w:bCs w:val="0"/>
          <w:szCs w:val="21"/>
        </w:rPr>
        <w:t>参考</w:t>
      </w:r>
      <w:r>
        <w:rPr>
          <w:rFonts w:hint="eastAsia" w:hAnsi="宋体"/>
          <w:b w:val="0"/>
          <w:bCs w:val="0"/>
          <w:szCs w:val="21"/>
          <w:lang w:val="en-US" w:eastAsia="zh-CN"/>
        </w:rPr>
        <w:t>使用</w:t>
      </w:r>
      <w:r>
        <w:rPr>
          <w:rFonts w:hint="eastAsia" w:hAnsi="宋体"/>
          <w:b w:val="0"/>
          <w:bCs w:val="0"/>
          <w:szCs w:val="21"/>
        </w:rPr>
        <w:t>。</w:t>
      </w:r>
      <w:r>
        <w:rPr>
          <w:rFonts w:hint="eastAsia" w:hAnsi="宋体"/>
          <w:b w:val="0"/>
          <w:bCs w:val="0"/>
          <w:szCs w:val="21"/>
          <w:lang w:val="en-US" w:eastAsia="zh-CN"/>
        </w:rPr>
        <w:t>必要时可根据实际需要，结合其他行业使用要求，申报国家计量技术规范，以满足校准需要。</w:t>
      </w:r>
    </w:p>
    <w:p>
      <w:pPr>
        <w:pStyle w:val="2"/>
        <w:pageBreakBefore w:val="0"/>
        <w:kinsoku/>
        <w:wordWrap/>
        <w:overflowPunct/>
        <w:topLinePunct w:val="0"/>
        <w:bidi w:val="0"/>
        <w:adjustRightInd w:val="0"/>
        <w:snapToGrid w:val="0"/>
        <w:spacing w:before="156" w:after="156"/>
        <w:textAlignment w:val="auto"/>
        <w:rPr>
          <w:b w:val="0"/>
          <w:bCs w:val="0"/>
        </w:rPr>
      </w:pPr>
      <w:bookmarkStart w:id="89" w:name="_Toc464728976"/>
      <w:r>
        <w:rPr>
          <w:rFonts w:hint="eastAsia"/>
          <w:b w:val="0"/>
          <w:bCs w:val="0"/>
        </w:rPr>
        <w:t>九、贯彻规范的要求和措施建议</w:t>
      </w:r>
      <w:bookmarkEnd w:id="89"/>
    </w:p>
    <w:p>
      <w:pPr>
        <w:pStyle w:val="58"/>
        <w:pageBreakBefore w:val="0"/>
        <w:kinsoku/>
        <w:wordWrap/>
        <w:overflowPunct/>
        <w:topLinePunct w:val="0"/>
        <w:bidi w:val="0"/>
        <w:adjustRightInd w:val="0"/>
        <w:snapToGrid w:val="0"/>
        <w:spacing w:line="360" w:lineRule="auto"/>
        <w:ind w:firstLine="420"/>
        <w:contextualSpacing/>
        <w:textAlignment w:val="auto"/>
        <w:rPr>
          <w:b w:val="0"/>
          <w:bCs w:val="0"/>
          <w:szCs w:val="21"/>
        </w:rPr>
      </w:pPr>
      <w:r>
        <w:rPr>
          <w:rFonts w:hint="eastAsia"/>
          <w:b w:val="0"/>
          <w:bCs w:val="0"/>
          <w:szCs w:val="21"/>
        </w:rPr>
        <w:t>本规范发布后，中国有色金属行业协会和有色金属行业计量技术委员会应加强本规范的宣传力度，以促进我国企业的技术进步和产品质量上档次，提高我国产品在国际国内市场的竞争能力。</w:t>
      </w:r>
    </w:p>
    <w:p>
      <w:pPr>
        <w:pStyle w:val="2"/>
        <w:pageBreakBefore w:val="0"/>
        <w:kinsoku/>
        <w:wordWrap/>
        <w:overflowPunct/>
        <w:topLinePunct w:val="0"/>
        <w:bidi w:val="0"/>
        <w:adjustRightInd w:val="0"/>
        <w:snapToGrid w:val="0"/>
        <w:spacing w:before="156" w:after="156"/>
        <w:textAlignment w:val="auto"/>
        <w:rPr>
          <w:b w:val="0"/>
          <w:bCs w:val="0"/>
        </w:rPr>
      </w:pPr>
      <w:bookmarkStart w:id="90" w:name="_Toc464728977"/>
      <w:r>
        <w:rPr>
          <w:rFonts w:hint="eastAsia"/>
          <w:b w:val="0"/>
          <w:bCs w:val="0"/>
        </w:rPr>
        <w:t>十、废止现行有关规范的建议</w:t>
      </w:r>
      <w:bookmarkEnd w:id="90"/>
    </w:p>
    <w:p>
      <w:pPr>
        <w:pStyle w:val="58"/>
        <w:pageBreakBefore w:val="0"/>
        <w:kinsoku/>
        <w:wordWrap/>
        <w:overflowPunct/>
        <w:topLinePunct w:val="0"/>
        <w:bidi w:val="0"/>
        <w:adjustRightInd w:val="0"/>
        <w:snapToGrid w:val="0"/>
        <w:spacing w:line="300" w:lineRule="auto"/>
        <w:ind w:firstLine="420"/>
        <w:contextualSpacing/>
        <w:textAlignment w:val="auto"/>
        <w:rPr>
          <w:b w:val="0"/>
          <w:bCs w:val="0"/>
          <w:szCs w:val="21"/>
        </w:rPr>
      </w:pPr>
      <w:r>
        <w:rPr>
          <w:rFonts w:hint="eastAsia"/>
          <w:b w:val="0"/>
          <w:bCs w:val="0"/>
          <w:szCs w:val="21"/>
        </w:rPr>
        <w:t>无。</w:t>
      </w:r>
    </w:p>
    <w:p>
      <w:pPr>
        <w:pStyle w:val="2"/>
        <w:pageBreakBefore w:val="0"/>
        <w:kinsoku/>
        <w:wordWrap/>
        <w:overflowPunct/>
        <w:topLinePunct w:val="0"/>
        <w:bidi w:val="0"/>
        <w:adjustRightInd w:val="0"/>
        <w:snapToGrid w:val="0"/>
        <w:spacing w:before="156" w:after="156"/>
        <w:textAlignment w:val="auto"/>
        <w:rPr>
          <w:b w:val="0"/>
          <w:bCs w:val="0"/>
        </w:rPr>
      </w:pPr>
      <w:r>
        <w:rPr>
          <w:rFonts w:hint="eastAsia"/>
          <w:b w:val="0"/>
          <w:bCs w:val="0"/>
          <w:lang w:val="en-US" w:eastAsia="zh-CN"/>
        </w:rPr>
        <w:t>十一</w:t>
      </w:r>
      <w:r>
        <w:rPr>
          <w:rFonts w:hint="eastAsia"/>
          <w:b w:val="0"/>
          <w:bCs w:val="0"/>
        </w:rPr>
        <w:t>、预期效果</w:t>
      </w:r>
    </w:p>
    <w:p>
      <w:pPr>
        <w:pageBreakBefore w:val="0"/>
        <w:kinsoku/>
        <w:wordWrap/>
        <w:overflowPunct/>
        <w:topLinePunct w:val="0"/>
        <w:bidi w:val="0"/>
        <w:adjustRightInd w:val="0"/>
        <w:snapToGrid w:val="0"/>
        <w:spacing w:line="360" w:lineRule="auto"/>
        <w:ind w:firstLine="420" w:firstLineChars="200"/>
        <w:textAlignment w:val="auto"/>
        <w:rPr>
          <w:rFonts w:ascii="宋体" w:hAnsi="宋体"/>
          <w:b w:val="0"/>
          <w:bCs w:val="0"/>
          <w:kern w:val="0"/>
          <w:szCs w:val="21"/>
        </w:rPr>
      </w:pPr>
      <w:r>
        <w:rPr>
          <w:rFonts w:hint="eastAsia" w:ascii="宋体" w:hAnsi="宋体"/>
          <w:b w:val="0"/>
          <w:bCs w:val="0"/>
          <w:kern w:val="0"/>
          <w:szCs w:val="21"/>
          <w:lang w:val="en-US" w:eastAsia="zh-CN"/>
        </w:rPr>
        <w:t>本</w:t>
      </w:r>
      <w:r>
        <w:rPr>
          <w:rFonts w:ascii="宋体" w:hAnsi="宋体"/>
          <w:b w:val="0"/>
          <w:bCs w:val="0"/>
          <w:kern w:val="0"/>
          <w:szCs w:val="21"/>
        </w:rPr>
        <w:t>规范</w:t>
      </w:r>
      <w:r>
        <w:rPr>
          <w:rFonts w:hint="eastAsia" w:ascii="宋体" w:hAnsi="宋体"/>
          <w:b w:val="0"/>
          <w:bCs w:val="0"/>
          <w:kern w:val="0"/>
          <w:szCs w:val="21"/>
          <w:lang w:val="en-US" w:eastAsia="zh-CN"/>
        </w:rPr>
        <w:t>发布后，能</w:t>
      </w:r>
      <w:r>
        <w:rPr>
          <w:rFonts w:ascii="宋体" w:hAnsi="宋体"/>
          <w:b w:val="0"/>
          <w:bCs w:val="0"/>
          <w:kern w:val="0"/>
          <w:szCs w:val="21"/>
        </w:rPr>
        <w:t>解决</w:t>
      </w:r>
      <w:r>
        <w:rPr>
          <w:rFonts w:hint="eastAsia" w:ascii="宋体" w:hAnsi="宋体"/>
          <w:b w:val="0"/>
          <w:bCs w:val="0"/>
          <w:kern w:val="0"/>
          <w:szCs w:val="21"/>
          <w:lang w:val="en-US" w:eastAsia="zh-CN"/>
        </w:rPr>
        <w:t>动态热机械分析仪</w:t>
      </w:r>
      <w:r>
        <w:rPr>
          <w:rFonts w:ascii="宋体" w:hAnsi="宋体"/>
          <w:b w:val="0"/>
          <w:bCs w:val="0"/>
          <w:kern w:val="0"/>
          <w:szCs w:val="21"/>
        </w:rPr>
        <w:t>校准方法不统一、校准方法差异化、计量标准技术指标不明确、校准点的选择不统一、</w:t>
      </w:r>
      <w:r>
        <w:rPr>
          <w:rFonts w:hint="eastAsia"/>
          <w:b w:val="0"/>
          <w:bCs w:val="0"/>
          <w:lang w:val="en-US" w:eastAsia="zh-CN"/>
        </w:rPr>
        <w:t>动态热机械分析仪</w:t>
      </w:r>
      <w:r>
        <w:rPr>
          <w:rFonts w:ascii="宋体" w:hAnsi="宋体"/>
          <w:b w:val="0"/>
          <w:bCs w:val="0"/>
          <w:kern w:val="0"/>
          <w:szCs w:val="21"/>
        </w:rPr>
        <w:t>的校准方法未规定等问题，弥补</w:t>
      </w:r>
      <w:r>
        <w:rPr>
          <w:rFonts w:hint="eastAsia"/>
          <w:b w:val="0"/>
          <w:bCs w:val="0"/>
          <w:lang w:val="en-US" w:eastAsia="zh-CN"/>
        </w:rPr>
        <w:t>动态热机械分析仪</w:t>
      </w:r>
      <w:r>
        <w:rPr>
          <w:rFonts w:ascii="宋体" w:hAnsi="宋体"/>
          <w:b w:val="0"/>
          <w:bCs w:val="0"/>
          <w:kern w:val="0"/>
          <w:szCs w:val="21"/>
        </w:rPr>
        <w:t>校准的空白，</w:t>
      </w:r>
      <w:r>
        <w:rPr>
          <w:rFonts w:hint="eastAsia" w:ascii="宋体" w:hAnsi="宋体"/>
          <w:b w:val="0"/>
          <w:bCs w:val="0"/>
          <w:kern w:val="0"/>
          <w:szCs w:val="21"/>
        </w:rPr>
        <w:t>为保证</w:t>
      </w:r>
      <w:r>
        <w:rPr>
          <w:rFonts w:hint="eastAsia"/>
          <w:b w:val="0"/>
          <w:bCs w:val="0"/>
          <w:lang w:val="en-US" w:eastAsia="zh-CN"/>
        </w:rPr>
        <w:t>动态热机械分析仪</w:t>
      </w:r>
      <w:r>
        <w:rPr>
          <w:rFonts w:hint="eastAsia" w:ascii="宋体" w:hAnsi="宋体"/>
          <w:b w:val="0"/>
          <w:bCs w:val="0"/>
          <w:kern w:val="0"/>
          <w:szCs w:val="21"/>
        </w:rPr>
        <w:t>测试结果的准确可靠</w:t>
      </w:r>
      <w:r>
        <w:rPr>
          <w:rFonts w:ascii="宋体" w:hAnsi="宋体"/>
          <w:b w:val="0"/>
          <w:bCs w:val="0"/>
          <w:kern w:val="0"/>
          <w:szCs w:val="21"/>
        </w:rPr>
        <w:t>提供保证，从而提高刻线精度的准确性。</w:t>
      </w:r>
    </w:p>
    <w:p>
      <w:pPr>
        <w:pStyle w:val="2"/>
        <w:pageBreakBefore w:val="0"/>
        <w:kinsoku/>
        <w:wordWrap/>
        <w:overflowPunct/>
        <w:topLinePunct w:val="0"/>
        <w:bidi w:val="0"/>
        <w:adjustRightInd w:val="0"/>
        <w:snapToGrid w:val="0"/>
        <w:spacing w:before="156" w:after="156"/>
        <w:textAlignment w:val="auto"/>
        <w:rPr>
          <w:b w:val="0"/>
          <w:bCs w:val="0"/>
        </w:rPr>
      </w:pPr>
      <w:r>
        <w:rPr>
          <w:rFonts w:hint="eastAsia"/>
          <w:b w:val="0"/>
          <w:bCs w:val="0"/>
        </w:rPr>
        <w:t>十一、其他应予说明的事项</w:t>
      </w:r>
    </w:p>
    <w:p>
      <w:pPr>
        <w:pStyle w:val="58"/>
        <w:pageBreakBefore w:val="0"/>
        <w:kinsoku/>
        <w:wordWrap/>
        <w:overflowPunct/>
        <w:topLinePunct w:val="0"/>
        <w:bidi w:val="0"/>
        <w:adjustRightInd w:val="0"/>
        <w:snapToGrid w:val="0"/>
        <w:spacing w:line="300" w:lineRule="auto"/>
        <w:ind w:firstLineChars="0"/>
        <w:contextualSpacing/>
        <w:textAlignment w:val="auto"/>
        <w:rPr>
          <w:rFonts w:hint="eastAsia"/>
          <w:b w:val="0"/>
          <w:bCs w:val="0"/>
          <w:szCs w:val="21"/>
        </w:rPr>
      </w:pPr>
      <w:r>
        <w:rPr>
          <w:rFonts w:hint="eastAsia"/>
          <w:b w:val="0"/>
          <w:bCs w:val="0"/>
          <w:szCs w:val="21"/>
        </w:rPr>
        <w:t>无。</w:t>
      </w:r>
    </w:p>
    <w:p>
      <w:pPr>
        <w:pStyle w:val="58"/>
        <w:spacing w:line="300" w:lineRule="auto"/>
        <w:ind w:firstLineChars="0"/>
        <w:contextualSpacing/>
        <w:rPr>
          <w:rFonts w:hint="eastAsia"/>
          <w:b w:val="0"/>
          <w:bCs w:val="0"/>
          <w:szCs w:val="21"/>
        </w:rPr>
      </w:pPr>
    </w:p>
    <w:p>
      <w:pPr>
        <w:pStyle w:val="58"/>
        <w:spacing w:line="300" w:lineRule="auto"/>
        <w:ind w:firstLineChars="0"/>
        <w:contextualSpacing/>
        <w:jc w:val="right"/>
        <w:rPr>
          <w:rFonts w:ascii="Times New Roman" w:hAnsi="Times New Roman" w:eastAsia="黑体"/>
          <w:b w:val="0"/>
          <w:bCs w:val="0"/>
        </w:rPr>
      </w:pPr>
      <w:r>
        <w:rPr>
          <w:rFonts w:ascii="Times New Roman" w:hAnsi="Times New Roman" w:eastAsia="黑体"/>
          <w:b w:val="0"/>
          <w:bCs w:val="0"/>
        </w:rPr>
        <w:t xml:space="preserve"> </w:t>
      </w:r>
    </w:p>
    <w:p>
      <w:pPr>
        <w:pStyle w:val="58"/>
        <w:spacing w:line="300" w:lineRule="auto"/>
        <w:ind w:firstLineChars="0"/>
        <w:contextualSpacing/>
        <w:jc w:val="right"/>
        <w:rPr>
          <w:rFonts w:ascii="Times New Roman" w:hAnsi="Times New Roman" w:eastAsia="黑体"/>
          <w:b w:val="0"/>
          <w:bCs w:val="0"/>
        </w:rPr>
      </w:pPr>
    </w:p>
    <w:p>
      <w:pPr>
        <w:pStyle w:val="58"/>
        <w:spacing w:line="300" w:lineRule="auto"/>
        <w:ind w:firstLineChars="0"/>
        <w:contextualSpacing/>
        <w:jc w:val="right"/>
        <w:rPr>
          <w:rFonts w:ascii="Times New Roman" w:hAnsi="Times New Roman" w:eastAsia="方正行楷简体"/>
          <w:b w:val="0"/>
          <w:bCs w:val="0"/>
          <w:szCs w:val="21"/>
        </w:rPr>
      </w:pPr>
      <w:r>
        <w:rPr>
          <w:rFonts w:ascii="宋体" w:hAnsi="宋体" w:eastAsia="宋体" w:cs="Times New Roman"/>
          <w:b w:val="0"/>
          <w:bCs w:val="0"/>
          <w:kern w:val="0"/>
          <w:sz w:val="21"/>
          <w:szCs w:val="21"/>
          <w:lang w:val="en-US" w:eastAsia="zh-CN" w:bidi="ar-SA"/>
        </w:rPr>
        <w:t>《</w:t>
      </w:r>
      <w:r>
        <w:rPr>
          <w:rFonts w:hint="eastAsia" w:ascii="宋体" w:hAnsi="宋体" w:eastAsia="宋体" w:cs="Times New Roman"/>
          <w:b w:val="0"/>
          <w:bCs w:val="0"/>
          <w:kern w:val="0"/>
          <w:sz w:val="21"/>
          <w:szCs w:val="21"/>
          <w:lang w:val="en-US" w:eastAsia="zh-CN" w:bidi="ar-SA"/>
        </w:rPr>
        <w:t>动态热机械分析仪</w:t>
      </w:r>
      <w:r>
        <w:rPr>
          <w:rFonts w:ascii="宋体" w:hAnsi="宋体" w:eastAsia="宋体" w:cs="Times New Roman"/>
          <w:b w:val="0"/>
          <w:bCs w:val="0"/>
          <w:kern w:val="0"/>
          <w:sz w:val="21"/>
          <w:szCs w:val="21"/>
          <w:lang w:val="en-US" w:eastAsia="zh-CN" w:bidi="ar-SA"/>
        </w:rPr>
        <w:t xml:space="preserve">校准规范》编制组 </w:t>
      </w:r>
      <w:r>
        <w:rPr>
          <w:rFonts w:ascii="Times New Roman" w:hAnsi="Times New Roman" w:eastAsia="方正行楷简体"/>
          <w:b w:val="0"/>
          <w:bCs w:val="0"/>
          <w:szCs w:val="21"/>
        </w:rPr>
        <w:t xml:space="preserve"> </w:t>
      </w:r>
    </w:p>
    <w:p>
      <w:pPr>
        <w:pStyle w:val="58"/>
        <w:spacing w:line="300" w:lineRule="auto"/>
        <w:ind w:firstLineChars="0"/>
        <w:contextualSpacing/>
        <w:jc w:val="right"/>
        <w:rPr>
          <w:b w:val="0"/>
          <w:bCs w:val="0"/>
          <w:szCs w:val="21"/>
        </w:rPr>
      </w:pPr>
      <w:r>
        <w:rPr>
          <w:rFonts w:ascii="Times New Roman" w:hAnsi="Times New Roman" w:eastAsia="方正行楷简体"/>
          <w:b w:val="0"/>
          <w:bCs w:val="0"/>
          <w:szCs w:val="21"/>
        </w:rPr>
        <w:t>202</w:t>
      </w:r>
      <w:r>
        <w:rPr>
          <w:rFonts w:hint="eastAsia" w:ascii="Times New Roman" w:hAnsi="Times New Roman" w:eastAsia="方正行楷简体"/>
          <w:b w:val="0"/>
          <w:bCs w:val="0"/>
          <w:szCs w:val="21"/>
          <w:lang w:val="en-US" w:eastAsia="zh-CN"/>
        </w:rPr>
        <w:t>6</w:t>
      </w:r>
      <w:r>
        <w:rPr>
          <w:rFonts w:ascii="宋体" w:hAnsi="宋体" w:eastAsia="宋体" w:cs="Times New Roman"/>
          <w:b w:val="0"/>
          <w:bCs w:val="0"/>
          <w:kern w:val="0"/>
          <w:sz w:val="21"/>
          <w:szCs w:val="21"/>
          <w:lang w:val="en-US" w:eastAsia="zh-CN" w:bidi="ar-SA"/>
        </w:rPr>
        <w:t>年</w:t>
      </w:r>
      <w:r>
        <w:rPr>
          <w:rFonts w:hint="eastAsia" w:ascii="Times New Roman" w:hAnsi="Times New Roman" w:eastAsia="方正行楷简体"/>
          <w:b w:val="0"/>
          <w:bCs w:val="0"/>
          <w:szCs w:val="21"/>
          <w:lang w:val="en-US" w:eastAsia="zh-CN"/>
        </w:rPr>
        <w:t>9</w:t>
      </w:r>
      <w:r>
        <w:rPr>
          <w:rFonts w:ascii="宋体" w:hAnsi="宋体" w:eastAsia="宋体" w:cs="Times New Roman"/>
          <w:b w:val="0"/>
          <w:bCs w:val="0"/>
          <w:kern w:val="0"/>
          <w:sz w:val="21"/>
          <w:szCs w:val="21"/>
          <w:lang w:val="en-US" w:eastAsia="zh-CN" w:bidi="ar-SA"/>
        </w:rPr>
        <w:t>月</w:t>
      </w:r>
      <w:r>
        <w:rPr>
          <w:rFonts w:hint="eastAsia" w:cs="Times New Roman"/>
          <w:b w:val="0"/>
          <w:bCs w:val="0"/>
          <w:kern w:val="0"/>
          <w:sz w:val="21"/>
          <w:szCs w:val="21"/>
          <w:lang w:val="en-US" w:eastAsia="zh-CN" w:bidi="ar-SA"/>
        </w:rPr>
        <w:t>2</w:t>
      </w:r>
      <w:r>
        <w:rPr>
          <w:rFonts w:ascii="宋体" w:hAnsi="宋体" w:eastAsia="宋体" w:cs="Times New Roman"/>
          <w:b w:val="0"/>
          <w:bCs w:val="0"/>
          <w:kern w:val="0"/>
          <w:sz w:val="21"/>
          <w:szCs w:val="21"/>
          <w:lang w:val="en-US" w:eastAsia="zh-CN" w:bidi="ar-SA"/>
        </w:rPr>
        <w:t>日</w:t>
      </w:r>
    </w:p>
    <w:sectPr>
      <w:footerReference r:id="rId5" w:type="first"/>
      <w:headerReference r:id="rId3" w:type="default"/>
      <w:footerReference r:id="rId4" w:type="default"/>
      <w:pgSz w:w="11907" w:h="16839"/>
      <w:pgMar w:top="1418" w:right="1134" w:bottom="1134" w:left="1418" w:header="1418"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Segoe Print"/>
    <w:panose1 w:val="00000000000000000000"/>
    <w:charset w:val="00"/>
    <w:family w:val="auto"/>
    <w:pitch w:val="default"/>
    <w:sig w:usb0="00000000" w:usb1="00000000" w:usb2="00000000" w:usb3="00000000" w:csb0="2000019F" w:csb1="4F010000"/>
  </w:font>
  <w:font w:name="Segoe Print">
    <w:panose1 w:val="02000600000000000000"/>
    <w:charset w:val="00"/>
    <w:family w:val="auto"/>
    <w:pitch w:val="default"/>
    <w:sig w:usb0="0000028F" w:usb1="00000000" w:usb2="00000000" w:usb3="00000000" w:csb0="2000009F" w:csb1="47010000"/>
  </w:font>
  <w:font w:name="方正行楷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3"/>
      <w:jc w:val="center"/>
      <w:rPr>
        <w:rStyle w:val="45"/>
      </w:rPr>
    </w:pPr>
    <w:r>
      <w:fldChar w:fldCharType="begin"/>
    </w:r>
    <w:r>
      <w:rPr>
        <w:rStyle w:val="45"/>
      </w:rPr>
      <w:instrText xml:space="preserve">PAGE  </w:instrText>
    </w:r>
    <w:r>
      <w:fldChar w:fldCharType="separate"/>
    </w:r>
    <w:r>
      <w:rPr>
        <w:rStyle w:val="45"/>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both"/>
    </w:pPr>
  </w:p>
  <w:p>
    <w:pPr>
      <w:pStyle w:val="30"/>
      <w:jc w:val="center"/>
      <w:rPr>
        <w:rFonts w:ascii="宋体" w:hAnsi="宋体"/>
        <w:sz w:val="21"/>
      </w:rPr>
    </w:pPr>
    <w:r>
      <w:rPr>
        <w:rFonts w:hint="eastAsia" w:ascii="宋体" w:hAnsi="宋体"/>
        <w:sz w:val="21"/>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widowControl w:val="0"/>
      <w:numPr>
        <w:ilvl w:val="1"/>
        <w:numId w:val="0"/>
      </w:numPr>
      <w:adjustRightInd w:val="0"/>
      <w:snapToGrid w:val="0"/>
      <w:spacing w:beforeLines="0" w:after="120"/>
      <w:outlineLvl w:val="9"/>
      <w:rPr>
        <w:rFonts w:ascii="Times New Roman" w:eastAsia="宋体"/>
        <w:kern w:val="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599311"/>
    <w:multiLevelType w:val="singleLevel"/>
    <w:tmpl w:val="9B599311"/>
    <w:lvl w:ilvl="0" w:tentative="0">
      <w:start w:val="1"/>
      <w:numFmt w:val="lowerLetter"/>
      <w:lvlText w:val="%1."/>
      <w:lvlJc w:val="left"/>
      <w:pPr>
        <w:tabs>
          <w:tab w:val="left" w:pos="420"/>
        </w:tabs>
        <w:ind w:left="845" w:hanging="425"/>
      </w:pPr>
      <w:rPr>
        <w:rFonts w:hint="default"/>
      </w:rPr>
    </w:lvl>
  </w:abstractNum>
  <w:abstractNum w:abstractNumId="1">
    <w:nsid w:val="DF412A50"/>
    <w:multiLevelType w:val="singleLevel"/>
    <w:tmpl w:val="DF412A50"/>
    <w:lvl w:ilvl="0" w:tentative="0">
      <w:start w:val="1"/>
      <w:numFmt w:val="lowerLetter"/>
      <w:lvlText w:val="%1."/>
      <w:lvlJc w:val="left"/>
      <w:pPr>
        <w:ind w:left="425" w:hanging="425"/>
      </w:pPr>
      <w:rPr>
        <w:rFonts w:hint="default"/>
      </w:rPr>
    </w:lvl>
  </w:abstractNum>
  <w:abstractNum w:abstractNumId="2">
    <w:nsid w:val="E6A8B753"/>
    <w:multiLevelType w:val="singleLevel"/>
    <w:tmpl w:val="E6A8B753"/>
    <w:lvl w:ilvl="0" w:tentative="0">
      <w:start w:val="1"/>
      <w:numFmt w:val="decimal"/>
      <w:lvlText w:val="%1)"/>
      <w:lvlJc w:val="left"/>
      <w:pPr>
        <w:ind w:left="425" w:hanging="425"/>
      </w:pPr>
      <w:rPr>
        <w:rFonts w:hint="default"/>
      </w:rPr>
    </w:lvl>
  </w:abstractNum>
  <w:abstractNum w:abstractNumId="3">
    <w:nsid w:val="EE7BBE53"/>
    <w:multiLevelType w:val="singleLevel"/>
    <w:tmpl w:val="EE7BBE53"/>
    <w:lvl w:ilvl="0" w:tentative="0">
      <w:start w:val="1"/>
      <w:numFmt w:val="decimal"/>
      <w:lvlText w:val="%1)"/>
      <w:lvlJc w:val="left"/>
      <w:pPr>
        <w:ind w:left="425" w:hanging="425"/>
      </w:pPr>
      <w:rPr>
        <w:rFonts w:hint="default"/>
      </w:rPr>
    </w:lvl>
  </w:abstractNum>
  <w:abstractNum w:abstractNumId="4">
    <w:nsid w:val="00000007"/>
    <w:multiLevelType w:val="multilevel"/>
    <w:tmpl w:val="00000007"/>
    <w:lvl w:ilvl="0" w:tentative="0">
      <w:start w:val="1"/>
      <w:numFmt w:val="none"/>
      <w:pStyle w:val="80"/>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C"/>
    <w:multiLevelType w:val="multilevel"/>
    <w:tmpl w:val="0000000C"/>
    <w:lvl w:ilvl="0" w:tentative="0">
      <w:start w:val="1"/>
      <w:numFmt w:val="none"/>
      <w:pStyle w:val="108"/>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0"/>
    <w:multiLevelType w:val="multilevel"/>
    <w:tmpl w:val="00000010"/>
    <w:lvl w:ilvl="0" w:tentative="0">
      <w:start w:val="1"/>
      <w:numFmt w:val="none"/>
      <w:pStyle w:val="91"/>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3"/>
    <w:multiLevelType w:val="multilevel"/>
    <w:tmpl w:val="00000013"/>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118"/>
      <w:suff w:val="nothing"/>
      <w:lvlText w:val="%1%2.%3　"/>
      <w:lvlJc w:val="left"/>
      <w:pPr>
        <w:ind w:left="0" w:firstLine="0"/>
      </w:pPr>
      <w:rPr>
        <w:rFonts w:hint="eastAsia" w:ascii="黑体" w:hAnsi="Times New Roman" w:eastAsia="黑体"/>
        <w:b w:val="0"/>
        <w:i w:val="0"/>
        <w:sz w:val="21"/>
      </w:rPr>
    </w:lvl>
    <w:lvl w:ilvl="3" w:tentative="0">
      <w:start w:val="1"/>
      <w:numFmt w:val="decimal"/>
      <w:pStyle w:val="94"/>
      <w:suff w:val="nothing"/>
      <w:lvlText w:val="%1%2.%3.%4　"/>
      <w:lvlJc w:val="left"/>
      <w:pPr>
        <w:ind w:left="0" w:firstLine="0"/>
      </w:pPr>
      <w:rPr>
        <w:rFonts w:hint="eastAsia" w:ascii="黑体" w:hAnsi="Times New Roman" w:eastAsia="黑体"/>
        <w:b w:val="0"/>
        <w:i w:val="0"/>
        <w:sz w:val="21"/>
      </w:rPr>
    </w:lvl>
    <w:lvl w:ilvl="4" w:tentative="0">
      <w:start w:val="1"/>
      <w:numFmt w:val="decimal"/>
      <w:pStyle w:val="116"/>
      <w:suff w:val="nothing"/>
      <w:lvlText w:val="%1%2.%3.%4.%5　"/>
      <w:lvlJc w:val="left"/>
      <w:pPr>
        <w:ind w:left="0" w:firstLine="0"/>
      </w:pPr>
      <w:rPr>
        <w:rFonts w:hint="eastAsia" w:ascii="黑体" w:hAnsi="Times New Roman" w:eastAsia="黑体"/>
        <w:b w:val="0"/>
        <w:i w:val="0"/>
        <w:sz w:val="21"/>
      </w:rPr>
    </w:lvl>
    <w:lvl w:ilvl="5" w:tentative="0">
      <w:start w:val="1"/>
      <w:numFmt w:val="decimal"/>
      <w:pStyle w:val="110"/>
      <w:suff w:val="nothing"/>
      <w:lvlText w:val="%1%2.%3.%4.%5.%6　"/>
      <w:lvlJc w:val="left"/>
      <w:pPr>
        <w:ind w:left="0" w:firstLine="0"/>
      </w:pPr>
      <w:rPr>
        <w:rFonts w:hint="eastAsia" w:ascii="黑体" w:hAnsi="Times New Roman" w:eastAsia="黑体"/>
        <w:b w:val="0"/>
        <w:i w:val="0"/>
        <w:sz w:val="21"/>
      </w:rPr>
    </w:lvl>
    <w:lvl w:ilvl="6" w:tentative="0">
      <w:start w:val="1"/>
      <w:numFmt w:val="decimal"/>
      <w:pStyle w:val="8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00000014"/>
    <w:multiLevelType w:val="multilevel"/>
    <w:tmpl w:val="00000014"/>
    <w:lvl w:ilvl="0" w:tentative="0">
      <w:start w:val="1"/>
      <w:numFmt w:val="none"/>
      <w:pStyle w:val="115"/>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0000015"/>
    <w:multiLevelType w:val="multilevel"/>
    <w:tmpl w:val="00000015"/>
    <w:lvl w:ilvl="0" w:tentative="0">
      <w:start w:val="1"/>
      <w:numFmt w:val="upperLetter"/>
      <w:pStyle w:val="65"/>
      <w:suff w:val="nothing"/>
      <w:lvlText w:val="附　录　%1"/>
      <w:lvlJc w:val="left"/>
      <w:pPr>
        <w:ind w:left="0" w:firstLine="0"/>
      </w:pPr>
      <w:rPr>
        <w:rFonts w:hint="eastAsia" w:ascii="黑体" w:hAnsi="Times New Roman" w:eastAsia="黑体"/>
        <w:b w:val="0"/>
        <w:i w:val="0"/>
        <w:sz w:val="21"/>
      </w:rPr>
    </w:lvl>
    <w:lvl w:ilvl="1" w:tentative="0">
      <w:start w:val="1"/>
      <w:numFmt w:val="japaneseCounting"/>
      <w:pStyle w:val="79"/>
      <w:lvlText w:val="（%2）"/>
      <w:lvlJc w:val="left"/>
      <w:pPr>
        <w:ind w:left="0" w:firstLine="0"/>
      </w:pPr>
      <w:rPr>
        <w:rFonts w:hint="default"/>
        <w:b w:val="0"/>
        <w:i w:val="0"/>
        <w:spacing w:val="0"/>
        <w:w w:val="100"/>
        <w:kern w:val="21"/>
        <w:sz w:val="21"/>
      </w:rPr>
    </w:lvl>
    <w:lvl w:ilvl="2" w:tentative="0">
      <w:start w:val="1"/>
      <w:numFmt w:val="decimal"/>
      <w:pStyle w:val="103"/>
      <w:suff w:val="nothing"/>
      <w:lvlText w:val="%1.%2.%3　"/>
      <w:lvlJc w:val="left"/>
      <w:pPr>
        <w:ind w:left="0" w:firstLine="0"/>
      </w:pPr>
      <w:rPr>
        <w:rFonts w:hint="eastAsia" w:ascii="黑体" w:hAnsi="Times New Roman" w:eastAsia="黑体"/>
        <w:b w:val="0"/>
        <w:i w:val="0"/>
        <w:sz w:val="21"/>
      </w:rPr>
    </w:lvl>
    <w:lvl w:ilvl="3" w:tentative="0">
      <w:start w:val="1"/>
      <w:numFmt w:val="decimal"/>
      <w:pStyle w:val="102"/>
      <w:suff w:val="nothing"/>
      <w:lvlText w:val="%1.%2.%3.%4　"/>
      <w:lvlJc w:val="left"/>
      <w:pPr>
        <w:ind w:left="0" w:firstLine="0"/>
      </w:pPr>
      <w:rPr>
        <w:rFonts w:hint="eastAsia" w:ascii="黑体" w:hAnsi="Times New Roman" w:eastAsia="黑体"/>
        <w:b w:val="0"/>
        <w:i w:val="0"/>
        <w:sz w:val="21"/>
      </w:rPr>
    </w:lvl>
    <w:lvl w:ilvl="4" w:tentative="0">
      <w:start w:val="1"/>
      <w:numFmt w:val="decimal"/>
      <w:pStyle w:val="101"/>
      <w:suff w:val="nothing"/>
      <w:lvlText w:val="%1.%2.%3.%4.%5　"/>
      <w:lvlJc w:val="left"/>
      <w:pPr>
        <w:ind w:left="0" w:firstLine="0"/>
      </w:pPr>
      <w:rPr>
        <w:rFonts w:hint="eastAsia" w:ascii="黑体" w:hAnsi="Times New Roman" w:eastAsia="黑体"/>
        <w:b w:val="0"/>
        <w:i w:val="0"/>
        <w:sz w:val="21"/>
      </w:rPr>
    </w:lvl>
    <w:lvl w:ilvl="5" w:tentative="0">
      <w:start w:val="1"/>
      <w:numFmt w:val="decimal"/>
      <w:pStyle w:val="100"/>
      <w:suff w:val="nothing"/>
      <w:lvlText w:val="%1.%2.%3.%4.%5.%6　"/>
      <w:lvlJc w:val="left"/>
      <w:pPr>
        <w:ind w:left="0" w:firstLine="0"/>
      </w:pPr>
      <w:rPr>
        <w:rFonts w:hint="eastAsia" w:ascii="黑体" w:hAnsi="Times New Roman" w:eastAsia="黑体"/>
        <w:b w:val="0"/>
        <w:i w:val="0"/>
        <w:sz w:val="21"/>
      </w:rPr>
    </w:lvl>
    <w:lvl w:ilvl="6" w:tentative="0">
      <w:start w:val="1"/>
      <w:numFmt w:val="decimal"/>
      <w:pStyle w:val="9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00000019"/>
    <w:multiLevelType w:val="multilevel"/>
    <w:tmpl w:val="00000019"/>
    <w:lvl w:ilvl="0" w:tentative="0">
      <w:start w:val="1"/>
      <w:numFmt w:val="decimal"/>
      <w:pStyle w:val="107"/>
      <w:suff w:val="nothing"/>
      <w:lvlText w:val="表%1　"/>
      <w:lvlJc w:val="left"/>
      <w:pPr>
        <w:ind w:left="3403" w:firstLine="0"/>
      </w:pPr>
      <w:rPr>
        <w:rFonts w:hint="eastAsia" w:ascii="黑体" w:hAnsi="Times New Roman" w:eastAsia="黑体"/>
        <w:b w:val="0"/>
        <w:i w:val="0"/>
        <w:sz w:val="21"/>
      </w:rPr>
    </w:lvl>
    <w:lvl w:ilvl="1" w:tentative="0">
      <w:start w:val="1"/>
      <w:numFmt w:val="decimal"/>
      <w:lvlText w:val="%1.%2"/>
      <w:lvlJc w:val="left"/>
      <w:pPr>
        <w:tabs>
          <w:tab w:val="left" w:pos="1202"/>
        </w:tabs>
        <w:ind w:left="1202" w:hanging="567"/>
      </w:pPr>
      <w:rPr>
        <w:rFonts w:hint="eastAsia"/>
      </w:rPr>
    </w:lvl>
    <w:lvl w:ilvl="2" w:tentative="0">
      <w:start w:val="1"/>
      <w:numFmt w:val="decimal"/>
      <w:lvlText w:val="%1.%2.%3"/>
      <w:lvlJc w:val="left"/>
      <w:pPr>
        <w:tabs>
          <w:tab w:val="left" w:pos="1628"/>
        </w:tabs>
        <w:ind w:left="1628" w:hanging="567"/>
      </w:pPr>
      <w:rPr>
        <w:rFonts w:hint="eastAsia"/>
      </w:rPr>
    </w:lvl>
    <w:lvl w:ilvl="3" w:tentative="0">
      <w:start w:val="1"/>
      <w:numFmt w:val="decimal"/>
      <w:lvlText w:val="%1.%2.%3.%4"/>
      <w:lvlJc w:val="left"/>
      <w:pPr>
        <w:tabs>
          <w:tab w:val="left" w:pos="2194"/>
        </w:tabs>
        <w:ind w:left="2194" w:hanging="708"/>
      </w:pPr>
      <w:rPr>
        <w:rFonts w:hint="eastAsia"/>
      </w:rPr>
    </w:lvl>
    <w:lvl w:ilvl="4" w:tentative="0">
      <w:start w:val="1"/>
      <w:numFmt w:val="decimal"/>
      <w:lvlText w:val="%1.%2.%3.%4.%5"/>
      <w:lvlJc w:val="left"/>
      <w:pPr>
        <w:tabs>
          <w:tab w:val="left" w:pos="2761"/>
        </w:tabs>
        <w:ind w:left="2761" w:hanging="850"/>
      </w:pPr>
      <w:rPr>
        <w:rFonts w:hint="eastAsia"/>
      </w:rPr>
    </w:lvl>
    <w:lvl w:ilvl="5" w:tentative="0">
      <w:start w:val="1"/>
      <w:numFmt w:val="decimal"/>
      <w:lvlText w:val="%1.%2.%3.%4.%5.%6"/>
      <w:lvlJc w:val="left"/>
      <w:pPr>
        <w:tabs>
          <w:tab w:val="left" w:pos="3470"/>
        </w:tabs>
        <w:ind w:left="3470" w:hanging="1134"/>
      </w:pPr>
      <w:rPr>
        <w:rFonts w:hint="eastAsia"/>
      </w:rPr>
    </w:lvl>
    <w:lvl w:ilvl="6" w:tentative="0">
      <w:start w:val="1"/>
      <w:numFmt w:val="decimal"/>
      <w:lvlText w:val="%1.%2.%3.%4.%5.%6.%7"/>
      <w:lvlJc w:val="left"/>
      <w:pPr>
        <w:tabs>
          <w:tab w:val="left" w:pos="4037"/>
        </w:tabs>
        <w:ind w:left="4037" w:hanging="1276"/>
      </w:pPr>
      <w:rPr>
        <w:rFonts w:hint="eastAsia"/>
      </w:rPr>
    </w:lvl>
    <w:lvl w:ilvl="7" w:tentative="0">
      <w:start w:val="1"/>
      <w:numFmt w:val="decimal"/>
      <w:lvlText w:val="%1.%2.%3.%4.%5.%6.%7.%8"/>
      <w:lvlJc w:val="left"/>
      <w:pPr>
        <w:tabs>
          <w:tab w:val="left" w:pos="4604"/>
        </w:tabs>
        <w:ind w:left="4604" w:hanging="1418"/>
      </w:pPr>
      <w:rPr>
        <w:rFonts w:hint="eastAsia"/>
      </w:rPr>
    </w:lvl>
    <w:lvl w:ilvl="8" w:tentative="0">
      <w:start w:val="1"/>
      <w:numFmt w:val="decimal"/>
      <w:lvlText w:val="%1.%2.%3.%4.%5.%6.%7.%8.%9"/>
      <w:lvlJc w:val="left"/>
      <w:pPr>
        <w:tabs>
          <w:tab w:val="left" w:pos="5312"/>
        </w:tabs>
        <w:ind w:left="5312" w:hanging="1700"/>
      </w:pPr>
      <w:rPr>
        <w:rFonts w:hint="eastAsia"/>
      </w:rPr>
    </w:lvl>
  </w:abstractNum>
  <w:abstractNum w:abstractNumId="11">
    <w:nsid w:val="00000022"/>
    <w:multiLevelType w:val="multilevel"/>
    <w:tmpl w:val="00000022"/>
    <w:lvl w:ilvl="0" w:tentative="0">
      <w:start w:val="1"/>
      <w:numFmt w:val="decimal"/>
      <w:pStyle w:val="90"/>
      <w:suff w:val="nothing"/>
      <w:lvlText w:val="图%1　"/>
      <w:lvlJc w:val="left"/>
      <w:pPr>
        <w:ind w:left="0" w:firstLine="0"/>
      </w:pPr>
      <w:rPr>
        <w:rFonts w:hint="eastAsia" w:ascii="黑体" w:hAnsi="Times New Roman" w:eastAsia="黑体"/>
        <w:b w:val="0"/>
        <w:i w:val="0"/>
        <w:color w:val="auto"/>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00000025"/>
    <w:multiLevelType w:val="multilevel"/>
    <w:tmpl w:val="00000025"/>
    <w:lvl w:ilvl="0" w:tentative="0">
      <w:start w:val="1"/>
      <w:numFmt w:val="none"/>
      <w:pStyle w:val="66"/>
      <w:suff w:val="nothing"/>
      <w:lvlText w:val="%1"/>
      <w:lvlJc w:val="left"/>
      <w:pPr>
        <w:ind w:left="0" w:firstLine="0"/>
      </w:pPr>
      <w:rPr>
        <w:rFonts w:hint="default" w:ascii="Times New Roman" w:hAnsi="Times New Roman"/>
        <w:b/>
        <w:i w:val="0"/>
        <w:sz w:val="21"/>
      </w:rPr>
    </w:lvl>
    <w:lvl w:ilvl="1" w:tentative="0">
      <w:start w:val="1"/>
      <w:numFmt w:val="decimal"/>
      <w:pStyle w:val="61"/>
      <w:suff w:val="nothing"/>
      <w:lvlText w:val="%1%2　"/>
      <w:lvlJc w:val="left"/>
      <w:pPr>
        <w:ind w:left="0" w:firstLine="0"/>
      </w:pPr>
      <w:rPr>
        <w:rFonts w:hint="default" w:ascii="Times New Roman" w:hAnsi="Times New Roman" w:eastAsia="黑体" w:cs="Times New Roman"/>
        <w:b w:val="0"/>
        <w:i w:val="0"/>
        <w:sz w:val="21"/>
      </w:rPr>
    </w:lvl>
    <w:lvl w:ilvl="2" w:tentative="0">
      <w:start w:val="1"/>
      <w:numFmt w:val="decimal"/>
      <w:pStyle w:val="60"/>
      <w:suff w:val="nothing"/>
      <w:lvlText w:val="%1%2.%3　"/>
      <w:lvlJc w:val="left"/>
      <w:pPr>
        <w:ind w:left="0" w:firstLine="0"/>
      </w:pPr>
      <w:rPr>
        <w:rFonts w:hint="eastAsia" w:ascii="黑体" w:hAnsi="Times New Roman" w:eastAsia="黑体"/>
        <w:b w:val="0"/>
        <w:i w:val="0"/>
        <w:sz w:val="21"/>
      </w:rPr>
    </w:lvl>
    <w:lvl w:ilvl="3" w:tentative="0">
      <w:start w:val="1"/>
      <w:numFmt w:val="decimal"/>
      <w:pStyle w:val="59"/>
      <w:suff w:val="nothing"/>
      <w:lvlText w:val="%1%2.%3.%4　"/>
      <w:lvlJc w:val="left"/>
      <w:pPr>
        <w:ind w:left="284" w:firstLine="0"/>
      </w:pPr>
      <w:rPr>
        <w:rFonts w:hint="eastAsia" w:ascii="黑体" w:hAnsi="Times New Roman" w:eastAsia="黑体"/>
        <w:b w:val="0"/>
        <w:i w:val="0"/>
        <w:sz w:val="21"/>
      </w:rPr>
    </w:lvl>
    <w:lvl w:ilvl="4" w:tentative="0">
      <w:start w:val="1"/>
      <w:numFmt w:val="decimal"/>
      <w:pStyle w:val="71"/>
      <w:suff w:val="nothing"/>
      <w:lvlText w:val="%1%2.%3.%4.%5　"/>
      <w:lvlJc w:val="left"/>
      <w:pPr>
        <w:ind w:left="0" w:firstLine="0"/>
      </w:pPr>
      <w:rPr>
        <w:rFonts w:hint="eastAsia" w:ascii="黑体" w:hAnsi="Times New Roman" w:eastAsia="黑体"/>
        <w:b w:val="0"/>
        <w:i w:val="0"/>
        <w:color w:val="auto"/>
        <w:sz w:val="21"/>
        <w:lang w:val="en-US"/>
      </w:rPr>
    </w:lvl>
    <w:lvl w:ilvl="5" w:tentative="0">
      <w:start w:val="1"/>
      <w:numFmt w:val="decimal"/>
      <w:pStyle w:val="70"/>
      <w:suff w:val="nothing"/>
      <w:lvlText w:val="%1%2.%3.%4.%5.%6　"/>
      <w:lvlJc w:val="left"/>
      <w:pPr>
        <w:ind w:left="0" w:firstLine="0"/>
      </w:pPr>
      <w:rPr>
        <w:rFonts w:hint="eastAsia" w:ascii="黑体" w:hAnsi="Times New Roman" w:eastAsia="黑体"/>
        <w:b w:val="0"/>
        <w:i w:val="0"/>
        <w:sz w:val="21"/>
      </w:rPr>
    </w:lvl>
    <w:lvl w:ilvl="6" w:tentative="0">
      <w:start w:val="1"/>
      <w:numFmt w:val="decimal"/>
      <w:pStyle w:val="8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3">
    <w:nsid w:val="00000027"/>
    <w:multiLevelType w:val="multilevel"/>
    <w:tmpl w:val="00000027"/>
    <w:lvl w:ilvl="0" w:tentative="0">
      <w:start w:val="1"/>
      <w:numFmt w:val="none"/>
      <w:pStyle w:val="7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6647DF50"/>
    <w:multiLevelType w:val="singleLevel"/>
    <w:tmpl w:val="6647DF50"/>
    <w:lvl w:ilvl="0" w:tentative="0">
      <w:start w:val="1"/>
      <w:numFmt w:val="lowerLetter"/>
      <w:lvlText w:val="%1."/>
      <w:lvlJc w:val="left"/>
      <w:pPr>
        <w:ind w:left="425" w:hanging="425"/>
      </w:pPr>
      <w:rPr>
        <w:rFonts w:hint="default"/>
      </w:rPr>
    </w:lvl>
  </w:abstractNum>
  <w:num w:numId="1">
    <w:abstractNumId w:val="12"/>
  </w:num>
  <w:num w:numId="2">
    <w:abstractNumId w:val="9"/>
  </w:num>
  <w:num w:numId="3">
    <w:abstractNumId w:val="13"/>
  </w:num>
  <w:num w:numId="4">
    <w:abstractNumId w:val="4"/>
  </w:num>
  <w:num w:numId="5">
    <w:abstractNumId w:val="7"/>
  </w:num>
  <w:num w:numId="6">
    <w:abstractNumId w:val="11"/>
  </w:num>
  <w:num w:numId="7">
    <w:abstractNumId w:val="6"/>
  </w:num>
  <w:num w:numId="8">
    <w:abstractNumId w:val="10"/>
  </w:num>
  <w:num w:numId="9">
    <w:abstractNumId w:val="5"/>
  </w:num>
  <w:num w:numId="10">
    <w:abstractNumId w:val="8"/>
  </w:num>
  <w:num w:numId="11">
    <w:abstractNumId w:val="3"/>
  </w:num>
  <w:num w:numId="12">
    <w:abstractNumId w:val="1"/>
  </w:num>
  <w:num w:numId="13">
    <w:abstractNumId w:val="2"/>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hideSpelling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0MmM4NGFhNmY3YzQ0YTgyZmE4Mzc3ODI5ODE3MjkifQ=="/>
  </w:docVars>
  <w:rsids>
    <w:rsidRoot w:val="00693668"/>
    <w:rsid w:val="000038F0"/>
    <w:rsid w:val="00004648"/>
    <w:rsid w:val="00014C66"/>
    <w:rsid w:val="000211BF"/>
    <w:rsid w:val="000237D4"/>
    <w:rsid w:val="000309D7"/>
    <w:rsid w:val="00032F98"/>
    <w:rsid w:val="00034584"/>
    <w:rsid w:val="00036A21"/>
    <w:rsid w:val="00036F02"/>
    <w:rsid w:val="0004299E"/>
    <w:rsid w:val="00043D6D"/>
    <w:rsid w:val="0005764E"/>
    <w:rsid w:val="000657B2"/>
    <w:rsid w:val="0006679C"/>
    <w:rsid w:val="0007070D"/>
    <w:rsid w:val="00073A74"/>
    <w:rsid w:val="00084878"/>
    <w:rsid w:val="000971D5"/>
    <w:rsid w:val="000C1F88"/>
    <w:rsid w:val="000C772A"/>
    <w:rsid w:val="000F15FB"/>
    <w:rsid w:val="000F714B"/>
    <w:rsid w:val="00100912"/>
    <w:rsid w:val="00104CBC"/>
    <w:rsid w:val="001164A0"/>
    <w:rsid w:val="0012155C"/>
    <w:rsid w:val="00122AD8"/>
    <w:rsid w:val="00136813"/>
    <w:rsid w:val="0014120B"/>
    <w:rsid w:val="00150062"/>
    <w:rsid w:val="00151323"/>
    <w:rsid w:val="001527ED"/>
    <w:rsid w:val="001859F4"/>
    <w:rsid w:val="0019431C"/>
    <w:rsid w:val="001A4F75"/>
    <w:rsid w:val="001A64C4"/>
    <w:rsid w:val="001C13CE"/>
    <w:rsid w:val="001C7BB8"/>
    <w:rsid w:val="001D0501"/>
    <w:rsid w:val="001E0288"/>
    <w:rsid w:val="001E09C6"/>
    <w:rsid w:val="00235374"/>
    <w:rsid w:val="00244291"/>
    <w:rsid w:val="00247A7D"/>
    <w:rsid w:val="00255EB1"/>
    <w:rsid w:val="002732FF"/>
    <w:rsid w:val="00275F7A"/>
    <w:rsid w:val="00280BE9"/>
    <w:rsid w:val="002849BB"/>
    <w:rsid w:val="00291548"/>
    <w:rsid w:val="00293085"/>
    <w:rsid w:val="002977EC"/>
    <w:rsid w:val="002A1305"/>
    <w:rsid w:val="002D0634"/>
    <w:rsid w:val="002D2103"/>
    <w:rsid w:val="002E6C19"/>
    <w:rsid w:val="002F4E61"/>
    <w:rsid w:val="003012C4"/>
    <w:rsid w:val="00305CB9"/>
    <w:rsid w:val="00307A90"/>
    <w:rsid w:val="00314BA2"/>
    <w:rsid w:val="00322078"/>
    <w:rsid w:val="0032338B"/>
    <w:rsid w:val="0033057E"/>
    <w:rsid w:val="003318C1"/>
    <w:rsid w:val="00335FEC"/>
    <w:rsid w:val="0034125E"/>
    <w:rsid w:val="00351B66"/>
    <w:rsid w:val="00352269"/>
    <w:rsid w:val="00366AF1"/>
    <w:rsid w:val="00373555"/>
    <w:rsid w:val="00397407"/>
    <w:rsid w:val="003B0148"/>
    <w:rsid w:val="003C2376"/>
    <w:rsid w:val="003C685D"/>
    <w:rsid w:val="003E10E7"/>
    <w:rsid w:val="003E237F"/>
    <w:rsid w:val="003F2C11"/>
    <w:rsid w:val="00400BF2"/>
    <w:rsid w:val="0040777C"/>
    <w:rsid w:val="00411DC2"/>
    <w:rsid w:val="00415481"/>
    <w:rsid w:val="004257BB"/>
    <w:rsid w:val="00425D1F"/>
    <w:rsid w:val="004265F2"/>
    <w:rsid w:val="004508BB"/>
    <w:rsid w:val="00455FE9"/>
    <w:rsid w:val="0046211B"/>
    <w:rsid w:val="00464019"/>
    <w:rsid w:val="00472194"/>
    <w:rsid w:val="00482AD2"/>
    <w:rsid w:val="0048362B"/>
    <w:rsid w:val="00490A76"/>
    <w:rsid w:val="00497039"/>
    <w:rsid w:val="004A27E5"/>
    <w:rsid w:val="004B1DE2"/>
    <w:rsid w:val="004B3BD5"/>
    <w:rsid w:val="004C6FDF"/>
    <w:rsid w:val="004E1361"/>
    <w:rsid w:val="004E4C45"/>
    <w:rsid w:val="004E5080"/>
    <w:rsid w:val="00521FA9"/>
    <w:rsid w:val="0052761B"/>
    <w:rsid w:val="005305AE"/>
    <w:rsid w:val="00531FA0"/>
    <w:rsid w:val="00536268"/>
    <w:rsid w:val="00536BFA"/>
    <w:rsid w:val="005535AA"/>
    <w:rsid w:val="0055489A"/>
    <w:rsid w:val="00556AC4"/>
    <w:rsid w:val="005608DA"/>
    <w:rsid w:val="00567271"/>
    <w:rsid w:val="005709C3"/>
    <w:rsid w:val="0059121E"/>
    <w:rsid w:val="005B3A80"/>
    <w:rsid w:val="005B5BAB"/>
    <w:rsid w:val="005C0BE7"/>
    <w:rsid w:val="005C2448"/>
    <w:rsid w:val="005C769A"/>
    <w:rsid w:val="005D74A7"/>
    <w:rsid w:val="005E67C7"/>
    <w:rsid w:val="005F42DD"/>
    <w:rsid w:val="00601ADF"/>
    <w:rsid w:val="00606487"/>
    <w:rsid w:val="00623451"/>
    <w:rsid w:val="00624A40"/>
    <w:rsid w:val="00625140"/>
    <w:rsid w:val="00627726"/>
    <w:rsid w:val="00633572"/>
    <w:rsid w:val="00636E32"/>
    <w:rsid w:val="00637AB5"/>
    <w:rsid w:val="00644C6D"/>
    <w:rsid w:val="006510D6"/>
    <w:rsid w:val="00660A77"/>
    <w:rsid w:val="00667FDB"/>
    <w:rsid w:val="00670276"/>
    <w:rsid w:val="00672533"/>
    <w:rsid w:val="006738AA"/>
    <w:rsid w:val="006820CD"/>
    <w:rsid w:val="00683E68"/>
    <w:rsid w:val="00686643"/>
    <w:rsid w:val="0069243E"/>
    <w:rsid w:val="00693668"/>
    <w:rsid w:val="006B3185"/>
    <w:rsid w:val="006B43C4"/>
    <w:rsid w:val="006C188A"/>
    <w:rsid w:val="006C2258"/>
    <w:rsid w:val="006C2AF8"/>
    <w:rsid w:val="006D1B98"/>
    <w:rsid w:val="006D7E99"/>
    <w:rsid w:val="006E11F0"/>
    <w:rsid w:val="00707309"/>
    <w:rsid w:val="00724E03"/>
    <w:rsid w:val="00733C71"/>
    <w:rsid w:val="00735A75"/>
    <w:rsid w:val="007373AB"/>
    <w:rsid w:val="00740702"/>
    <w:rsid w:val="00743BA2"/>
    <w:rsid w:val="00743BAC"/>
    <w:rsid w:val="00746BAC"/>
    <w:rsid w:val="00750ED3"/>
    <w:rsid w:val="00764D0A"/>
    <w:rsid w:val="00765621"/>
    <w:rsid w:val="007901C0"/>
    <w:rsid w:val="007902D1"/>
    <w:rsid w:val="00796CF0"/>
    <w:rsid w:val="007A3BEE"/>
    <w:rsid w:val="007C15E3"/>
    <w:rsid w:val="007D5B84"/>
    <w:rsid w:val="007E56C9"/>
    <w:rsid w:val="00804BC8"/>
    <w:rsid w:val="00820F69"/>
    <w:rsid w:val="00824B04"/>
    <w:rsid w:val="00826DAA"/>
    <w:rsid w:val="008461B6"/>
    <w:rsid w:val="0085122B"/>
    <w:rsid w:val="00854EC4"/>
    <w:rsid w:val="0086056F"/>
    <w:rsid w:val="0086378F"/>
    <w:rsid w:val="008754EE"/>
    <w:rsid w:val="00876D87"/>
    <w:rsid w:val="008B22FC"/>
    <w:rsid w:val="008C672E"/>
    <w:rsid w:val="008E415E"/>
    <w:rsid w:val="008F5DCA"/>
    <w:rsid w:val="009052E4"/>
    <w:rsid w:val="009111C1"/>
    <w:rsid w:val="00913ED1"/>
    <w:rsid w:val="00930DB4"/>
    <w:rsid w:val="00933D2C"/>
    <w:rsid w:val="00946B7D"/>
    <w:rsid w:val="009513C5"/>
    <w:rsid w:val="009542EF"/>
    <w:rsid w:val="00954DA4"/>
    <w:rsid w:val="00967A11"/>
    <w:rsid w:val="00971240"/>
    <w:rsid w:val="00977A4A"/>
    <w:rsid w:val="009A12AB"/>
    <w:rsid w:val="009B4929"/>
    <w:rsid w:val="009C0597"/>
    <w:rsid w:val="009C2D10"/>
    <w:rsid w:val="009D79FA"/>
    <w:rsid w:val="009E3D09"/>
    <w:rsid w:val="009F420F"/>
    <w:rsid w:val="00A06113"/>
    <w:rsid w:val="00A11A21"/>
    <w:rsid w:val="00A12727"/>
    <w:rsid w:val="00A1378A"/>
    <w:rsid w:val="00A1497C"/>
    <w:rsid w:val="00A15577"/>
    <w:rsid w:val="00A3211C"/>
    <w:rsid w:val="00A363F7"/>
    <w:rsid w:val="00A40E4F"/>
    <w:rsid w:val="00A47FE2"/>
    <w:rsid w:val="00A56163"/>
    <w:rsid w:val="00A662E8"/>
    <w:rsid w:val="00A77511"/>
    <w:rsid w:val="00A7790F"/>
    <w:rsid w:val="00A8043A"/>
    <w:rsid w:val="00A8426B"/>
    <w:rsid w:val="00A86AF0"/>
    <w:rsid w:val="00A87866"/>
    <w:rsid w:val="00AC0924"/>
    <w:rsid w:val="00AD093B"/>
    <w:rsid w:val="00AE0B35"/>
    <w:rsid w:val="00AE47AC"/>
    <w:rsid w:val="00AF7111"/>
    <w:rsid w:val="00B056DA"/>
    <w:rsid w:val="00B05E25"/>
    <w:rsid w:val="00B07D3B"/>
    <w:rsid w:val="00B27476"/>
    <w:rsid w:val="00B369B6"/>
    <w:rsid w:val="00B43636"/>
    <w:rsid w:val="00B45E9C"/>
    <w:rsid w:val="00B53389"/>
    <w:rsid w:val="00B60FA7"/>
    <w:rsid w:val="00B614F2"/>
    <w:rsid w:val="00B706F7"/>
    <w:rsid w:val="00B7116A"/>
    <w:rsid w:val="00B75677"/>
    <w:rsid w:val="00B817F8"/>
    <w:rsid w:val="00B911AF"/>
    <w:rsid w:val="00BA7841"/>
    <w:rsid w:val="00BB316D"/>
    <w:rsid w:val="00BB4554"/>
    <w:rsid w:val="00BB7985"/>
    <w:rsid w:val="00BC66A0"/>
    <w:rsid w:val="00BC6B82"/>
    <w:rsid w:val="00BF1D43"/>
    <w:rsid w:val="00BF4703"/>
    <w:rsid w:val="00BF5EC8"/>
    <w:rsid w:val="00C03A4F"/>
    <w:rsid w:val="00C058B2"/>
    <w:rsid w:val="00C10883"/>
    <w:rsid w:val="00C113A5"/>
    <w:rsid w:val="00C2681C"/>
    <w:rsid w:val="00C27739"/>
    <w:rsid w:val="00C40CAE"/>
    <w:rsid w:val="00C5059F"/>
    <w:rsid w:val="00C53BDD"/>
    <w:rsid w:val="00C5550F"/>
    <w:rsid w:val="00C57BAB"/>
    <w:rsid w:val="00C66C85"/>
    <w:rsid w:val="00C70EA3"/>
    <w:rsid w:val="00C7537E"/>
    <w:rsid w:val="00C8056F"/>
    <w:rsid w:val="00C81A49"/>
    <w:rsid w:val="00C86EE5"/>
    <w:rsid w:val="00C9548E"/>
    <w:rsid w:val="00CB3949"/>
    <w:rsid w:val="00CB750D"/>
    <w:rsid w:val="00CB7CDF"/>
    <w:rsid w:val="00CC3C55"/>
    <w:rsid w:val="00CC3DDD"/>
    <w:rsid w:val="00CC491D"/>
    <w:rsid w:val="00CC52E3"/>
    <w:rsid w:val="00CD2D13"/>
    <w:rsid w:val="00CD759E"/>
    <w:rsid w:val="00CF3CAA"/>
    <w:rsid w:val="00D01726"/>
    <w:rsid w:val="00D16568"/>
    <w:rsid w:val="00D17115"/>
    <w:rsid w:val="00D23221"/>
    <w:rsid w:val="00D436F5"/>
    <w:rsid w:val="00D6471A"/>
    <w:rsid w:val="00D81C1D"/>
    <w:rsid w:val="00D85454"/>
    <w:rsid w:val="00D86648"/>
    <w:rsid w:val="00D903E4"/>
    <w:rsid w:val="00DA22D1"/>
    <w:rsid w:val="00DB4F65"/>
    <w:rsid w:val="00DD6769"/>
    <w:rsid w:val="00DD7D39"/>
    <w:rsid w:val="00DE144C"/>
    <w:rsid w:val="00E002FF"/>
    <w:rsid w:val="00E019C6"/>
    <w:rsid w:val="00E15312"/>
    <w:rsid w:val="00E179CE"/>
    <w:rsid w:val="00E22714"/>
    <w:rsid w:val="00E23465"/>
    <w:rsid w:val="00E31A7B"/>
    <w:rsid w:val="00E32480"/>
    <w:rsid w:val="00E71DCC"/>
    <w:rsid w:val="00E82471"/>
    <w:rsid w:val="00E911BC"/>
    <w:rsid w:val="00EB2994"/>
    <w:rsid w:val="00EC149D"/>
    <w:rsid w:val="00ED5F91"/>
    <w:rsid w:val="00EE5988"/>
    <w:rsid w:val="00F10C9E"/>
    <w:rsid w:val="00F32186"/>
    <w:rsid w:val="00F3447A"/>
    <w:rsid w:val="00F379EC"/>
    <w:rsid w:val="00F45BA8"/>
    <w:rsid w:val="00F507FB"/>
    <w:rsid w:val="00F5644A"/>
    <w:rsid w:val="00F7167F"/>
    <w:rsid w:val="00F71F31"/>
    <w:rsid w:val="00F80059"/>
    <w:rsid w:val="00F812C6"/>
    <w:rsid w:val="00F91E84"/>
    <w:rsid w:val="00FA4CA4"/>
    <w:rsid w:val="00FA6198"/>
    <w:rsid w:val="00FC7BF3"/>
    <w:rsid w:val="00FD235D"/>
    <w:rsid w:val="00FD7FCA"/>
    <w:rsid w:val="00FE0C1C"/>
    <w:rsid w:val="00FE17CA"/>
    <w:rsid w:val="00FE1932"/>
    <w:rsid w:val="00FE1A74"/>
    <w:rsid w:val="00FF5630"/>
    <w:rsid w:val="01485EFA"/>
    <w:rsid w:val="0183728A"/>
    <w:rsid w:val="01E96062"/>
    <w:rsid w:val="01F42A41"/>
    <w:rsid w:val="01F84CCA"/>
    <w:rsid w:val="02187BA3"/>
    <w:rsid w:val="02A837E9"/>
    <w:rsid w:val="02DE40D3"/>
    <w:rsid w:val="02F703B0"/>
    <w:rsid w:val="03172004"/>
    <w:rsid w:val="033311CF"/>
    <w:rsid w:val="03D52F56"/>
    <w:rsid w:val="03E56E68"/>
    <w:rsid w:val="03FF396C"/>
    <w:rsid w:val="042C3965"/>
    <w:rsid w:val="04731467"/>
    <w:rsid w:val="05014B87"/>
    <w:rsid w:val="05195B6C"/>
    <w:rsid w:val="056D77F4"/>
    <w:rsid w:val="05A2224D"/>
    <w:rsid w:val="05C32781"/>
    <w:rsid w:val="05C71188"/>
    <w:rsid w:val="05C97F0E"/>
    <w:rsid w:val="05CC560F"/>
    <w:rsid w:val="05F125DB"/>
    <w:rsid w:val="06021890"/>
    <w:rsid w:val="06161F01"/>
    <w:rsid w:val="063B6F48"/>
    <w:rsid w:val="06716757"/>
    <w:rsid w:val="06F922D3"/>
    <w:rsid w:val="07140E2A"/>
    <w:rsid w:val="072B7BA2"/>
    <w:rsid w:val="0735266F"/>
    <w:rsid w:val="07C75902"/>
    <w:rsid w:val="07D45F3D"/>
    <w:rsid w:val="07DC0ED5"/>
    <w:rsid w:val="07FF5728"/>
    <w:rsid w:val="086C2BB4"/>
    <w:rsid w:val="0904785D"/>
    <w:rsid w:val="09573966"/>
    <w:rsid w:val="09786095"/>
    <w:rsid w:val="09822228"/>
    <w:rsid w:val="09B52F72"/>
    <w:rsid w:val="09C141EB"/>
    <w:rsid w:val="0A3C70D8"/>
    <w:rsid w:val="0A4C0F24"/>
    <w:rsid w:val="0A781AE7"/>
    <w:rsid w:val="0A9501C2"/>
    <w:rsid w:val="0AD40054"/>
    <w:rsid w:val="0ADC671D"/>
    <w:rsid w:val="0B1C1FC9"/>
    <w:rsid w:val="0B2E1EE3"/>
    <w:rsid w:val="0B6C071A"/>
    <w:rsid w:val="0BE27E5F"/>
    <w:rsid w:val="0C7763B7"/>
    <w:rsid w:val="0C786A02"/>
    <w:rsid w:val="0C9A243A"/>
    <w:rsid w:val="0CB9457A"/>
    <w:rsid w:val="0CC95508"/>
    <w:rsid w:val="0CCA0314"/>
    <w:rsid w:val="0CF62B54"/>
    <w:rsid w:val="0D051AEA"/>
    <w:rsid w:val="0D064911"/>
    <w:rsid w:val="0D5DD7BE"/>
    <w:rsid w:val="0D670889"/>
    <w:rsid w:val="0D8022CA"/>
    <w:rsid w:val="0DAD22DD"/>
    <w:rsid w:val="0DB01F82"/>
    <w:rsid w:val="0E172C2B"/>
    <w:rsid w:val="0E3226F5"/>
    <w:rsid w:val="0E6513CA"/>
    <w:rsid w:val="0EFE90D3"/>
    <w:rsid w:val="0F29346B"/>
    <w:rsid w:val="0F6D0FDF"/>
    <w:rsid w:val="0F9D3A7F"/>
    <w:rsid w:val="0FA04CB1"/>
    <w:rsid w:val="10347723"/>
    <w:rsid w:val="10F058D7"/>
    <w:rsid w:val="11306434"/>
    <w:rsid w:val="11440BE5"/>
    <w:rsid w:val="11471F43"/>
    <w:rsid w:val="11670D99"/>
    <w:rsid w:val="116F3C27"/>
    <w:rsid w:val="118151C6"/>
    <w:rsid w:val="11F07859"/>
    <w:rsid w:val="12C235D4"/>
    <w:rsid w:val="12C56FD6"/>
    <w:rsid w:val="12EA0F15"/>
    <w:rsid w:val="132711CC"/>
    <w:rsid w:val="135A4A4C"/>
    <w:rsid w:val="1373607A"/>
    <w:rsid w:val="137FBABE"/>
    <w:rsid w:val="13877F6B"/>
    <w:rsid w:val="13B1031D"/>
    <w:rsid w:val="140B31B9"/>
    <w:rsid w:val="14317D7D"/>
    <w:rsid w:val="14892F40"/>
    <w:rsid w:val="14D32E29"/>
    <w:rsid w:val="14FE0CE9"/>
    <w:rsid w:val="14FF5A34"/>
    <w:rsid w:val="157F6950"/>
    <w:rsid w:val="158E7867"/>
    <w:rsid w:val="15CC46C9"/>
    <w:rsid w:val="160D0B3E"/>
    <w:rsid w:val="162A7F08"/>
    <w:rsid w:val="165840B5"/>
    <w:rsid w:val="16A67923"/>
    <w:rsid w:val="16CC1B64"/>
    <w:rsid w:val="17147C7D"/>
    <w:rsid w:val="1716356E"/>
    <w:rsid w:val="174C2AB4"/>
    <w:rsid w:val="17627DEA"/>
    <w:rsid w:val="17657E11"/>
    <w:rsid w:val="17BF5F86"/>
    <w:rsid w:val="17C5612E"/>
    <w:rsid w:val="17E64F25"/>
    <w:rsid w:val="17F52BDC"/>
    <w:rsid w:val="17FA7D73"/>
    <w:rsid w:val="17FDB1C5"/>
    <w:rsid w:val="18397E4E"/>
    <w:rsid w:val="185B5E04"/>
    <w:rsid w:val="189F77F2"/>
    <w:rsid w:val="18A10AF7"/>
    <w:rsid w:val="18E45B15"/>
    <w:rsid w:val="18F5277F"/>
    <w:rsid w:val="19150AB5"/>
    <w:rsid w:val="193844ED"/>
    <w:rsid w:val="19640835"/>
    <w:rsid w:val="19943AEE"/>
    <w:rsid w:val="19981211"/>
    <w:rsid w:val="19B33E37"/>
    <w:rsid w:val="19DF3A01"/>
    <w:rsid w:val="19EC7B7B"/>
    <w:rsid w:val="1A012C76"/>
    <w:rsid w:val="1A2B27FC"/>
    <w:rsid w:val="1A340F0D"/>
    <w:rsid w:val="1A3B281B"/>
    <w:rsid w:val="1A643C5B"/>
    <w:rsid w:val="1AB07780"/>
    <w:rsid w:val="1ACFD46C"/>
    <w:rsid w:val="1AE26601"/>
    <w:rsid w:val="1AF7686E"/>
    <w:rsid w:val="1AFF62D7"/>
    <w:rsid w:val="1B0074DF"/>
    <w:rsid w:val="1B27179A"/>
    <w:rsid w:val="1B50295E"/>
    <w:rsid w:val="1B612879"/>
    <w:rsid w:val="1B7B5B13"/>
    <w:rsid w:val="1BBD770F"/>
    <w:rsid w:val="1BC7001F"/>
    <w:rsid w:val="1BF3B487"/>
    <w:rsid w:val="1C4F91FB"/>
    <w:rsid w:val="1C803B53"/>
    <w:rsid w:val="1C8A212C"/>
    <w:rsid w:val="1D0E163B"/>
    <w:rsid w:val="1D4C4073"/>
    <w:rsid w:val="1D5E6E3B"/>
    <w:rsid w:val="1D640D44"/>
    <w:rsid w:val="1D671CC9"/>
    <w:rsid w:val="1DDB8ED0"/>
    <w:rsid w:val="1DE40399"/>
    <w:rsid w:val="1E1F63F2"/>
    <w:rsid w:val="1E5F2261"/>
    <w:rsid w:val="1E713A82"/>
    <w:rsid w:val="1E7FEAA5"/>
    <w:rsid w:val="1EE97C47"/>
    <w:rsid w:val="1F2E1635"/>
    <w:rsid w:val="1F4373CB"/>
    <w:rsid w:val="1F5A1A25"/>
    <w:rsid w:val="1F5B9A3D"/>
    <w:rsid w:val="1F714057"/>
    <w:rsid w:val="1FAB00D4"/>
    <w:rsid w:val="1FCE60D8"/>
    <w:rsid w:val="1FF6D921"/>
    <w:rsid w:val="1FFB35B9"/>
    <w:rsid w:val="20023C5E"/>
    <w:rsid w:val="202953B2"/>
    <w:rsid w:val="203222E0"/>
    <w:rsid w:val="207606D2"/>
    <w:rsid w:val="20836585"/>
    <w:rsid w:val="208E75B3"/>
    <w:rsid w:val="208F37FB"/>
    <w:rsid w:val="20C87511"/>
    <w:rsid w:val="20E02300"/>
    <w:rsid w:val="20E44E92"/>
    <w:rsid w:val="213E7217"/>
    <w:rsid w:val="216A126B"/>
    <w:rsid w:val="2171636C"/>
    <w:rsid w:val="218A16C9"/>
    <w:rsid w:val="21900E1F"/>
    <w:rsid w:val="21BE3478"/>
    <w:rsid w:val="21D04080"/>
    <w:rsid w:val="224131C1"/>
    <w:rsid w:val="22423DCF"/>
    <w:rsid w:val="225C10E7"/>
    <w:rsid w:val="226D083B"/>
    <w:rsid w:val="22AB2F47"/>
    <w:rsid w:val="22FB5E73"/>
    <w:rsid w:val="230C3B8F"/>
    <w:rsid w:val="23547806"/>
    <w:rsid w:val="23A74BBD"/>
    <w:rsid w:val="23B1211E"/>
    <w:rsid w:val="23D43A72"/>
    <w:rsid w:val="244F4611"/>
    <w:rsid w:val="24A03FA5"/>
    <w:rsid w:val="24BC0052"/>
    <w:rsid w:val="24E3415F"/>
    <w:rsid w:val="24EF38F1"/>
    <w:rsid w:val="25230CFB"/>
    <w:rsid w:val="2538541D"/>
    <w:rsid w:val="2563078F"/>
    <w:rsid w:val="256A6EF1"/>
    <w:rsid w:val="25815EBE"/>
    <w:rsid w:val="259A54C2"/>
    <w:rsid w:val="25BB59F6"/>
    <w:rsid w:val="25CC3712"/>
    <w:rsid w:val="25E33337"/>
    <w:rsid w:val="25F1264D"/>
    <w:rsid w:val="26197F8E"/>
    <w:rsid w:val="264D0C3D"/>
    <w:rsid w:val="268705C2"/>
    <w:rsid w:val="269840E0"/>
    <w:rsid w:val="26992A0E"/>
    <w:rsid w:val="270C081B"/>
    <w:rsid w:val="276D2F2F"/>
    <w:rsid w:val="277C51D7"/>
    <w:rsid w:val="27935910"/>
    <w:rsid w:val="27A12394"/>
    <w:rsid w:val="27BD3A55"/>
    <w:rsid w:val="281F201A"/>
    <w:rsid w:val="287405B8"/>
    <w:rsid w:val="287E7EE5"/>
    <w:rsid w:val="28A00A66"/>
    <w:rsid w:val="28E8012C"/>
    <w:rsid w:val="29176C77"/>
    <w:rsid w:val="29846CB3"/>
    <w:rsid w:val="29E46257"/>
    <w:rsid w:val="2A0240FC"/>
    <w:rsid w:val="2A0C4A0C"/>
    <w:rsid w:val="2A0F7F42"/>
    <w:rsid w:val="2A3C7759"/>
    <w:rsid w:val="2A4110A1"/>
    <w:rsid w:val="2A4B295F"/>
    <w:rsid w:val="2A7D07D1"/>
    <w:rsid w:val="2AAC548F"/>
    <w:rsid w:val="2AB85E2C"/>
    <w:rsid w:val="2ACF4E96"/>
    <w:rsid w:val="2AF87278"/>
    <w:rsid w:val="2B0E2856"/>
    <w:rsid w:val="2B203022"/>
    <w:rsid w:val="2B2C2923"/>
    <w:rsid w:val="2B3653F3"/>
    <w:rsid w:val="2B5833A9"/>
    <w:rsid w:val="2B6F4CB1"/>
    <w:rsid w:val="2B76C70D"/>
    <w:rsid w:val="2B784EC4"/>
    <w:rsid w:val="2BB53743"/>
    <w:rsid w:val="2C147130"/>
    <w:rsid w:val="2C281A12"/>
    <w:rsid w:val="2C5C51D5"/>
    <w:rsid w:val="2C72517A"/>
    <w:rsid w:val="2C96B508"/>
    <w:rsid w:val="2CA71DD1"/>
    <w:rsid w:val="2CFFFA61"/>
    <w:rsid w:val="2DAB617C"/>
    <w:rsid w:val="2E3118D8"/>
    <w:rsid w:val="2E6220A7"/>
    <w:rsid w:val="2E772BB0"/>
    <w:rsid w:val="2EBD5F3B"/>
    <w:rsid w:val="2EEB458A"/>
    <w:rsid w:val="2F384E37"/>
    <w:rsid w:val="2F4516D7"/>
    <w:rsid w:val="2F656952"/>
    <w:rsid w:val="2F6672ED"/>
    <w:rsid w:val="2F6D72EC"/>
    <w:rsid w:val="2F931A05"/>
    <w:rsid w:val="2FACE5F0"/>
    <w:rsid w:val="2FAF744F"/>
    <w:rsid w:val="2FBB5B5C"/>
    <w:rsid w:val="2FBE527A"/>
    <w:rsid w:val="2FDEF8C4"/>
    <w:rsid w:val="2FE52B24"/>
    <w:rsid w:val="2FFF9689"/>
    <w:rsid w:val="303A3CCC"/>
    <w:rsid w:val="307B70B0"/>
    <w:rsid w:val="30A12956"/>
    <w:rsid w:val="31175E18"/>
    <w:rsid w:val="311A6D9D"/>
    <w:rsid w:val="31B57A58"/>
    <w:rsid w:val="325F3B1A"/>
    <w:rsid w:val="326C404C"/>
    <w:rsid w:val="331D4CFA"/>
    <w:rsid w:val="33446C61"/>
    <w:rsid w:val="33576347"/>
    <w:rsid w:val="33FF703B"/>
    <w:rsid w:val="34745E77"/>
    <w:rsid w:val="348E1C47"/>
    <w:rsid w:val="34911E0A"/>
    <w:rsid w:val="34933B51"/>
    <w:rsid w:val="34AC6C79"/>
    <w:rsid w:val="34B94BF1"/>
    <w:rsid w:val="34CD5E22"/>
    <w:rsid w:val="34CF0C70"/>
    <w:rsid w:val="34F812F7"/>
    <w:rsid w:val="354162D0"/>
    <w:rsid w:val="3584707F"/>
    <w:rsid w:val="359B3E03"/>
    <w:rsid w:val="35AD429D"/>
    <w:rsid w:val="35B4018C"/>
    <w:rsid w:val="361E10D9"/>
    <w:rsid w:val="362B296D"/>
    <w:rsid w:val="362D5E70"/>
    <w:rsid w:val="3699519F"/>
    <w:rsid w:val="36A64449"/>
    <w:rsid w:val="36AE69D8"/>
    <w:rsid w:val="36D81F7B"/>
    <w:rsid w:val="36E79D35"/>
    <w:rsid w:val="370A6758"/>
    <w:rsid w:val="37256986"/>
    <w:rsid w:val="37717401"/>
    <w:rsid w:val="37CF33F9"/>
    <w:rsid w:val="37ED042C"/>
    <w:rsid w:val="382952B7"/>
    <w:rsid w:val="383658C7"/>
    <w:rsid w:val="383B2154"/>
    <w:rsid w:val="385E1608"/>
    <w:rsid w:val="38B6063A"/>
    <w:rsid w:val="38CE513F"/>
    <w:rsid w:val="38E50220"/>
    <w:rsid w:val="38F62A80"/>
    <w:rsid w:val="39E63C45"/>
    <w:rsid w:val="39EFF2D7"/>
    <w:rsid w:val="3A1DC1F6"/>
    <w:rsid w:val="3A2C08FF"/>
    <w:rsid w:val="3A415021"/>
    <w:rsid w:val="3A527222"/>
    <w:rsid w:val="3A5804C9"/>
    <w:rsid w:val="3A910669"/>
    <w:rsid w:val="3ACA7503"/>
    <w:rsid w:val="3AD37E13"/>
    <w:rsid w:val="3ADB55C1"/>
    <w:rsid w:val="3ADC614D"/>
    <w:rsid w:val="3B367055"/>
    <w:rsid w:val="3B3EDD32"/>
    <w:rsid w:val="3B4029C5"/>
    <w:rsid w:val="3B4648CF"/>
    <w:rsid w:val="3B4B7235"/>
    <w:rsid w:val="3B6C7CBE"/>
    <w:rsid w:val="3B7A6022"/>
    <w:rsid w:val="3B9BB65B"/>
    <w:rsid w:val="3BE7C7A5"/>
    <w:rsid w:val="3BEBE2A2"/>
    <w:rsid w:val="3BF63040"/>
    <w:rsid w:val="3BF73E6C"/>
    <w:rsid w:val="3BF75111"/>
    <w:rsid w:val="3BFA1058"/>
    <w:rsid w:val="3BFC1452"/>
    <w:rsid w:val="3C0341C2"/>
    <w:rsid w:val="3C08498D"/>
    <w:rsid w:val="3C0E31FC"/>
    <w:rsid w:val="3C6C46B1"/>
    <w:rsid w:val="3D180068"/>
    <w:rsid w:val="3D28669D"/>
    <w:rsid w:val="3D354D1F"/>
    <w:rsid w:val="3D8C6ADA"/>
    <w:rsid w:val="3DA51E2F"/>
    <w:rsid w:val="3DA55271"/>
    <w:rsid w:val="3DCF64F7"/>
    <w:rsid w:val="3DD7AB06"/>
    <w:rsid w:val="3DEF1B7B"/>
    <w:rsid w:val="3DEF2FF7"/>
    <w:rsid w:val="3DF3EE03"/>
    <w:rsid w:val="3DF4D523"/>
    <w:rsid w:val="3DFB8892"/>
    <w:rsid w:val="3DFFAA27"/>
    <w:rsid w:val="3DFFEE07"/>
    <w:rsid w:val="3E1B52F1"/>
    <w:rsid w:val="3E282408"/>
    <w:rsid w:val="3E582F10"/>
    <w:rsid w:val="3EBA5BC3"/>
    <w:rsid w:val="3EBB2C7C"/>
    <w:rsid w:val="3EFB8C59"/>
    <w:rsid w:val="3EFE5A38"/>
    <w:rsid w:val="3F495D63"/>
    <w:rsid w:val="3F5B390B"/>
    <w:rsid w:val="3F5DE094"/>
    <w:rsid w:val="3F78302F"/>
    <w:rsid w:val="3F7B869E"/>
    <w:rsid w:val="3F7DA1CB"/>
    <w:rsid w:val="3F9A0FE5"/>
    <w:rsid w:val="3F9F9487"/>
    <w:rsid w:val="3FBA19D1"/>
    <w:rsid w:val="3FBE9416"/>
    <w:rsid w:val="3FC72DAE"/>
    <w:rsid w:val="3FC79610"/>
    <w:rsid w:val="3FDF1096"/>
    <w:rsid w:val="3FDFEBFC"/>
    <w:rsid w:val="3FE25D82"/>
    <w:rsid w:val="3FEA882C"/>
    <w:rsid w:val="3FEF6524"/>
    <w:rsid w:val="3FF7D65B"/>
    <w:rsid w:val="3FFDE597"/>
    <w:rsid w:val="3FFFE564"/>
    <w:rsid w:val="40516596"/>
    <w:rsid w:val="4071032D"/>
    <w:rsid w:val="407313AE"/>
    <w:rsid w:val="40962182"/>
    <w:rsid w:val="40F26F44"/>
    <w:rsid w:val="4135208B"/>
    <w:rsid w:val="414956DF"/>
    <w:rsid w:val="419A7831"/>
    <w:rsid w:val="41FD6B6F"/>
    <w:rsid w:val="420E5348"/>
    <w:rsid w:val="424469C5"/>
    <w:rsid w:val="425F603B"/>
    <w:rsid w:val="427A6E9F"/>
    <w:rsid w:val="4286740D"/>
    <w:rsid w:val="42DD6111"/>
    <w:rsid w:val="42ED5B59"/>
    <w:rsid w:val="42F25864"/>
    <w:rsid w:val="431D1F2C"/>
    <w:rsid w:val="431F0E8B"/>
    <w:rsid w:val="433462CE"/>
    <w:rsid w:val="43436870"/>
    <w:rsid w:val="43526D82"/>
    <w:rsid w:val="43A67182"/>
    <w:rsid w:val="43D37A7A"/>
    <w:rsid w:val="43F75112"/>
    <w:rsid w:val="44100726"/>
    <w:rsid w:val="442104D5"/>
    <w:rsid w:val="44347A9B"/>
    <w:rsid w:val="445008E3"/>
    <w:rsid w:val="447659E0"/>
    <w:rsid w:val="448C356D"/>
    <w:rsid w:val="449478F5"/>
    <w:rsid w:val="44A06825"/>
    <w:rsid w:val="44CE02A0"/>
    <w:rsid w:val="44EF65A4"/>
    <w:rsid w:val="45011D41"/>
    <w:rsid w:val="452B6409"/>
    <w:rsid w:val="45333815"/>
    <w:rsid w:val="45344B1A"/>
    <w:rsid w:val="456D3D97"/>
    <w:rsid w:val="458610A1"/>
    <w:rsid w:val="45E87405"/>
    <w:rsid w:val="45ED7702"/>
    <w:rsid w:val="46474D73"/>
    <w:rsid w:val="46566E47"/>
    <w:rsid w:val="465C4787"/>
    <w:rsid w:val="468C72C9"/>
    <w:rsid w:val="469E6929"/>
    <w:rsid w:val="46C25FF9"/>
    <w:rsid w:val="46D53BDF"/>
    <w:rsid w:val="46FDE49E"/>
    <w:rsid w:val="473A498E"/>
    <w:rsid w:val="47552183"/>
    <w:rsid w:val="47577C97"/>
    <w:rsid w:val="47AC51A3"/>
    <w:rsid w:val="47B37163"/>
    <w:rsid w:val="47BF63C2"/>
    <w:rsid w:val="47E16112"/>
    <w:rsid w:val="480D505A"/>
    <w:rsid w:val="48200C94"/>
    <w:rsid w:val="48211129"/>
    <w:rsid w:val="48650F85"/>
    <w:rsid w:val="4882740D"/>
    <w:rsid w:val="48BE5C4B"/>
    <w:rsid w:val="49214E6F"/>
    <w:rsid w:val="4935642B"/>
    <w:rsid w:val="49D9055C"/>
    <w:rsid w:val="4A18720F"/>
    <w:rsid w:val="4A1C7526"/>
    <w:rsid w:val="4A422534"/>
    <w:rsid w:val="4A896855"/>
    <w:rsid w:val="4A903496"/>
    <w:rsid w:val="4AC544BB"/>
    <w:rsid w:val="4AE6291D"/>
    <w:rsid w:val="4AEA403C"/>
    <w:rsid w:val="4AF33D06"/>
    <w:rsid w:val="4AF57209"/>
    <w:rsid w:val="4B4E1D56"/>
    <w:rsid w:val="4B5F55B3"/>
    <w:rsid w:val="4B8C5809"/>
    <w:rsid w:val="4B933E1A"/>
    <w:rsid w:val="4C357B95"/>
    <w:rsid w:val="4C5D32D8"/>
    <w:rsid w:val="4C7D380D"/>
    <w:rsid w:val="4CEB3E41"/>
    <w:rsid w:val="4CEE74B4"/>
    <w:rsid w:val="4D432356"/>
    <w:rsid w:val="4D627302"/>
    <w:rsid w:val="4D62CFBC"/>
    <w:rsid w:val="4D73BE91"/>
    <w:rsid w:val="4D8403D6"/>
    <w:rsid w:val="4DAA2F7A"/>
    <w:rsid w:val="4DDB651F"/>
    <w:rsid w:val="4DF7F774"/>
    <w:rsid w:val="4DFB2719"/>
    <w:rsid w:val="4DFF8D13"/>
    <w:rsid w:val="4E3430C7"/>
    <w:rsid w:val="4E832A53"/>
    <w:rsid w:val="4EC00544"/>
    <w:rsid w:val="4ED77B7F"/>
    <w:rsid w:val="4F5B70BD"/>
    <w:rsid w:val="4FA7278A"/>
    <w:rsid w:val="4FDA3A6F"/>
    <w:rsid w:val="4FDD4CC1"/>
    <w:rsid w:val="4FDE0131"/>
    <w:rsid w:val="4FDF7D4D"/>
    <w:rsid w:val="4FDFC345"/>
    <w:rsid w:val="4FFD1132"/>
    <w:rsid w:val="50011CA3"/>
    <w:rsid w:val="50943942"/>
    <w:rsid w:val="51051BD9"/>
    <w:rsid w:val="5121482B"/>
    <w:rsid w:val="514118EE"/>
    <w:rsid w:val="51442F7B"/>
    <w:rsid w:val="51BD46A9"/>
    <w:rsid w:val="51C20B31"/>
    <w:rsid w:val="51D203D4"/>
    <w:rsid w:val="51E24D55"/>
    <w:rsid w:val="522143CD"/>
    <w:rsid w:val="5251728E"/>
    <w:rsid w:val="52A97DDB"/>
    <w:rsid w:val="52AF74B4"/>
    <w:rsid w:val="52EC502B"/>
    <w:rsid w:val="52F20A34"/>
    <w:rsid w:val="53A0483E"/>
    <w:rsid w:val="54DF51CB"/>
    <w:rsid w:val="54FF70A8"/>
    <w:rsid w:val="55152B55"/>
    <w:rsid w:val="552C705C"/>
    <w:rsid w:val="55615145"/>
    <w:rsid w:val="55EE06D6"/>
    <w:rsid w:val="55EF0E8D"/>
    <w:rsid w:val="55FC38BB"/>
    <w:rsid w:val="56052DAF"/>
    <w:rsid w:val="56154CA2"/>
    <w:rsid w:val="56391F84"/>
    <w:rsid w:val="56574DB7"/>
    <w:rsid w:val="565F1FDD"/>
    <w:rsid w:val="56763C45"/>
    <w:rsid w:val="5696489C"/>
    <w:rsid w:val="56A00E5A"/>
    <w:rsid w:val="56A92EE7"/>
    <w:rsid w:val="56EB3CB0"/>
    <w:rsid w:val="56FDD0C4"/>
    <w:rsid w:val="57227D03"/>
    <w:rsid w:val="57676F98"/>
    <w:rsid w:val="57765E4C"/>
    <w:rsid w:val="57C3E7B2"/>
    <w:rsid w:val="57CA6A87"/>
    <w:rsid w:val="581D5B15"/>
    <w:rsid w:val="58292250"/>
    <w:rsid w:val="585C0985"/>
    <w:rsid w:val="587518AF"/>
    <w:rsid w:val="58B13A3E"/>
    <w:rsid w:val="58BB2023"/>
    <w:rsid w:val="58DA5965"/>
    <w:rsid w:val="58FA747A"/>
    <w:rsid w:val="590A235B"/>
    <w:rsid w:val="597F82D8"/>
    <w:rsid w:val="599872FD"/>
    <w:rsid w:val="59B14FA8"/>
    <w:rsid w:val="59CE7136"/>
    <w:rsid w:val="59ED369A"/>
    <w:rsid w:val="59FD6606"/>
    <w:rsid w:val="5A1165EA"/>
    <w:rsid w:val="5A3D6C9C"/>
    <w:rsid w:val="5A3F439D"/>
    <w:rsid w:val="5A612353"/>
    <w:rsid w:val="5A931503"/>
    <w:rsid w:val="5A971C98"/>
    <w:rsid w:val="5AC42DA1"/>
    <w:rsid w:val="5AFA4AD0"/>
    <w:rsid w:val="5AFA5C95"/>
    <w:rsid w:val="5AFBFB7F"/>
    <w:rsid w:val="5AFF3C55"/>
    <w:rsid w:val="5B0608E3"/>
    <w:rsid w:val="5B0F6FF4"/>
    <w:rsid w:val="5B1B0888"/>
    <w:rsid w:val="5B3F359A"/>
    <w:rsid w:val="5B569551"/>
    <w:rsid w:val="5B975573"/>
    <w:rsid w:val="5BB214A6"/>
    <w:rsid w:val="5BB82905"/>
    <w:rsid w:val="5BBD2895"/>
    <w:rsid w:val="5BF5ACCF"/>
    <w:rsid w:val="5BFDB761"/>
    <w:rsid w:val="5BFE8850"/>
    <w:rsid w:val="5CBF56B6"/>
    <w:rsid w:val="5CD25B96"/>
    <w:rsid w:val="5CDE078E"/>
    <w:rsid w:val="5CED4F00"/>
    <w:rsid w:val="5D2508DD"/>
    <w:rsid w:val="5D3259F5"/>
    <w:rsid w:val="5D327002"/>
    <w:rsid w:val="5D502A26"/>
    <w:rsid w:val="5D5D496C"/>
    <w:rsid w:val="5D6F3878"/>
    <w:rsid w:val="5D6F60B4"/>
    <w:rsid w:val="5D7209DD"/>
    <w:rsid w:val="5DBFC109"/>
    <w:rsid w:val="5DC655CC"/>
    <w:rsid w:val="5DD12082"/>
    <w:rsid w:val="5DDF4451"/>
    <w:rsid w:val="5E5003CB"/>
    <w:rsid w:val="5E556A51"/>
    <w:rsid w:val="5E5FEAC9"/>
    <w:rsid w:val="5E772C4B"/>
    <w:rsid w:val="5E7BDE08"/>
    <w:rsid w:val="5EB7E5D6"/>
    <w:rsid w:val="5EEE05FC"/>
    <w:rsid w:val="5EFB282A"/>
    <w:rsid w:val="5EFF576E"/>
    <w:rsid w:val="5F081D78"/>
    <w:rsid w:val="5F37F5FA"/>
    <w:rsid w:val="5F390348"/>
    <w:rsid w:val="5F776EED"/>
    <w:rsid w:val="5F7F2F68"/>
    <w:rsid w:val="5F7F8397"/>
    <w:rsid w:val="5F9D006D"/>
    <w:rsid w:val="5FA0576E"/>
    <w:rsid w:val="5FAEE288"/>
    <w:rsid w:val="5FCE083C"/>
    <w:rsid w:val="5FD71211"/>
    <w:rsid w:val="5FDF33CF"/>
    <w:rsid w:val="5FE13BFC"/>
    <w:rsid w:val="5FF7D9E9"/>
    <w:rsid w:val="5FFD493D"/>
    <w:rsid w:val="5FFEE57F"/>
    <w:rsid w:val="5FFF7FE7"/>
    <w:rsid w:val="605176D9"/>
    <w:rsid w:val="6056529D"/>
    <w:rsid w:val="6076464A"/>
    <w:rsid w:val="60B448FA"/>
    <w:rsid w:val="60D056C5"/>
    <w:rsid w:val="61547A07"/>
    <w:rsid w:val="61690122"/>
    <w:rsid w:val="617F6004"/>
    <w:rsid w:val="618B0577"/>
    <w:rsid w:val="618E707B"/>
    <w:rsid w:val="61A85B43"/>
    <w:rsid w:val="62741A08"/>
    <w:rsid w:val="62A55DE6"/>
    <w:rsid w:val="62B34EBF"/>
    <w:rsid w:val="6371179A"/>
    <w:rsid w:val="63A64A03"/>
    <w:rsid w:val="63C15E19"/>
    <w:rsid w:val="63D351D4"/>
    <w:rsid w:val="63EC7FA9"/>
    <w:rsid w:val="63F828E6"/>
    <w:rsid w:val="6443678C"/>
    <w:rsid w:val="64777C33"/>
    <w:rsid w:val="64A41E32"/>
    <w:rsid w:val="64FD7C67"/>
    <w:rsid w:val="653F7CDA"/>
    <w:rsid w:val="654D6460"/>
    <w:rsid w:val="65621162"/>
    <w:rsid w:val="659D5AC4"/>
    <w:rsid w:val="65A818D7"/>
    <w:rsid w:val="65A86053"/>
    <w:rsid w:val="65CC2D90"/>
    <w:rsid w:val="66636786"/>
    <w:rsid w:val="6675E1C0"/>
    <w:rsid w:val="66AE3383"/>
    <w:rsid w:val="66D35B51"/>
    <w:rsid w:val="6760797E"/>
    <w:rsid w:val="677FD312"/>
    <w:rsid w:val="67DEF1BF"/>
    <w:rsid w:val="67DF4D79"/>
    <w:rsid w:val="6846585C"/>
    <w:rsid w:val="685D2CA6"/>
    <w:rsid w:val="685F2D49"/>
    <w:rsid w:val="68D45E9E"/>
    <w:rsid w:val="694F496D"/>
    <w:rsid w:val="6980E041"/>
    <w:rsid w:val="69AC12BF"/>
    <w:rsid w:val="69BC4907"/>
    <w:rsid w:val="69C066A2"/>
    <w:rsid w:val="69DA0037"/>
    <w:rsid w:val="6A3E7162"/>
    <w:rsid w:val="6A984398"/>
    <w:rsid w:val="6AA92C8E"/>
    <w:rsid w:val="6AAB6191"/>
    <w:rsid w:val="6AB57C02"/>
    <w:rsid w:val="6ADA7BDA"/>
    <w:rsid w:val="6AE574EF"/>
    <w:rsid w:val="6AF7022D"/>
    <w:rsid w:val="6B01111E"/>
    <w:rsid w:val="6B27051F"/>
    <w:rsid w:val="6B397B65"/>
    <w:rsid w:val="6B3A3476"/>
    <w:rsid w:val="6B562DA7"/>
    <w:rsid w:val="6B61E2B2"/>
    <w:rsid w:val="6B66E72C"/>
    <w:rsid w:val="6B753BDA"/>
    <w:rsid w:val="6B770841"/>
    <w:rsid w:val="6B7DC924"/>
    <w:rsid w:val="6BAD59B4"/>
    <w:rsid w:val="6BBD93EE"/>
    <w:rsid w:val="6BFBE88F"/>
    <w:rsid w:val="6BFDDC2A"/>
    <w:rsid w:val="6BFFEA09"/>
    <w:rsid w:val="6C1E0DB6"/>
    <w:rsid w:val="6C1F099B"/>
    <w:rsid w:val="6C404052"/>
    <w:rsid w:val="6C57A654"/>
    <w:rsid w:val="6C7D608C"/>
    <w:rsid w:val="6CAE0F8C"/>
    <w:rsid w:val="6CBA266E"/>
    <w:rsid w:val="6CD61F9E"/>
    <w:rsid w:val="6CF3DB72"/>
    <w:rsid w:val="6CF8F825"/>
    <w:rsid w:val="6D1E5C16"/>
    <w:rsid w:val="6D281A14"/>
    <w:rsid w:val="6D2E01CE"/>
    <w:rsid w:val="6D655238"/>
    <w:rsid w:val="6D71439B"/>
    <w:rsid w:val="6DD38806"/>
    <w:rsid w:val="6DE7C1D6"/>
    <w:rsid w:val="6DFF3CEB"/>
    <w:rsid w:val="6E04138B"/>
    <w:rsid w:val="6E457BF6"/>
    <w:rsid w:val="6E4E6307"/>
    <w:rsid w:val="6E8A0C2B"/>
    <w:rsid w:val="6E8C5C13"/>
    <w:rsid w:val="6E9A1846"/>
    <w:rsid w:val="6EB56FB1"/>
    <w:rsid w:val="6EC2062E"/>
    <w:rsid w:val="6ECE6856"/>
    <w:rsid w:val="6EF60757"/>
    <w:rsid w:val="6EF95119"/>
    <w:rsid w:val="6EFC2B43"/>
    <w:rsid w:val="6F206660"/>
    <w:rsid w:val="6F4F392C"/>
    <w:rsid w:val="6F5CDBCB"/>
    <w:rsid w:val="6F676C59"/>
    <w:rsid w:val="6F774ABD"/>
    <w:rsid w:val="6F9B50F5"/>
    <w:rsid w:val="6FB1014D"/>
    <w:rsid w:val="6FB9BA97"/>
    <w:rsid w:val="6FBCCFB4"/>
    <w:rsid w:val="6FBD28EA"/>
    <w:rsid w:val="6FBF8654"/>
    <w:rsid w:val="6FC10684"/>
    <w:rsid w:val="6FC76990"/>
    <w:rsid w:val="6FC87D72"/>
    <w:rsid w:val="6FD0715C"/>
    <w:rsid w:val="6FDBB8A4"/>
    <w:rsid w:val="6FDCF8EB"/>
    <w:rsid w:val="6FDD7740"/>
    <w:rsid w:val="6FDEC133"/>
    <w:rsid w:val="6FEC1E3A"/>
    <w:rsid w:val="6FF23135"/>
    <w:rsid w:val="6FFA09DE"/>
    <w:rsid w:val="6FFB12AA"/>
    <w:rsid w:val="704643A1"/>
    <w:rsid w:val="70757340"/>
    <w:rsid w:val="70A61265"/>
    <w:rsid w:val="70CB669B"/>
    <w:rsid w:val="70FA146A"/>
    <w:rsid w:val="710228B1"/>
    <w:rsid w:val="71344A46"/>
    <w:rsid w:val="713C5106"/>
    <w:rsid w:val="71633A94"/>
    <w:rsid w:val="71905160"/>
    <w:rsid w:val="7198476A"/>
    <w:rsid w:val="71A67303"/>
    <w:rsid w:val="71B2323B"/>
    <w:rsid w:val="72AF6E43"/>
    <w:rsid w:val="72EFF472"/>
    <w:rsid w:val="72FF127E"/>
    <w:rsid w:val="730D7B4F"/>
    <w:rsid w:val="733ED6FF"/>
    <w:rsid w:val="7375407B"/>
    <w:rsid w:val="73A7009A"/>
    <w:rsid w:val="73AFA897"/>
    <w:rsid w:val="73B91013"/>
    <w:rsid w:val="73B95B2E"/>
    <w:rsid w:val="73CC3480"/>
    <w:rsid w:val="73CF8A3B"/>
    <w:rsid w:val="73E4432F"/>
    <w:rsid w:val="73E7DED0"/>
    <w:rsid w:val="73EFE246"/>
    <w:rsid w:val="73F3494A"/>
    <w:rsid w:val="73FF4518"/>
    <w:rsid w:val="73FF4DA7"/>
    <w:rsid w:val="740F09F7"/>
    <w:rsid w:val="74130018"/>
    <w:rsid w:val="741D1F24"/>
    <w:rsid w:val="74557E99"/>
    <w:rsid w:val="747075A3"/>
    <w:rsid w:val="74B72F10"/>
    <w:rsid w:val="74BC6591"/>
    <w:rsid w:val="74C2317D"/>
    <w:rsid w:val="74D35BFF"/>
    <w:rsid w:val="75026D05"/>
    <w:rsid w:val="758A7EE3"/>
    <w:rsid w:val="75E33DF5"/>
    <w:rsid w:val="75FF41CE"/>
    <w:rsid w:val="760763B8"/>
    <w:rsid w:val="764C5A0D"/>
    <w:rsid w:val="767664D6"/>
    <w:rsid w:val="76A267B1"/>
    <w:rsid w:val="76F16EC8"/>
    <w:rsid w:val="76F75465"/>
    <w:rsid w:val="771505B3"/>
    <w:rsid w:val="774D15C0"/>
    <w:rsid w:val="777F15AE"/>
    <w:rsid w:val="778838C3"/>
    <w:rsid w:val="778F6C17"/>
    <w:rsid w:val="77BC8548"/>
    <w:rsid w:val="77CB6CDA"/>
    <w:rsid w:val="77CE2BEC"/>
    <w:rsid w:val="77D59AFF"/>
    <w:rsid w:val="77EB08C7"/>
    <w:rsid w:val="77EE64C2"/>
    <w:rsid w:val="77F835D8"/>
    <w:rsid w:val="77FBFEB6"/>
    <w:rsid w:val="787484BF"/>
    <w:rsid w:val="78931FA4"/>
    <w:rsid w:val="78B16D52"/>
    <w:rsid w:val="78C03673"/>
    <w:rsid w:val="78CE2872"/>
    <w:rsid w:val="78DB44BD"/>
    <w:rsid w:val="78E4085E"/>
    <w:rsid w:val="795C2ECE"/>
    <w:rsid w:val="79764F6E"/>
    <w:rsid w:val="79813367"/>
    <w:rsid w:val="799F6811"/>
    <w:rsid w:val="79F7624E"/>
    <w:rsid w:val="79F842AA"/>
    <w:rsid w:val="79FBE8D3"/>
    <w:rsid w:val="79FF20C3"/>
    <w:rsid w:val="79FF605D"/>
    <w:rsid w:val="7A14C18D"/>
    <w:rsid w:val="7A3A2795"/>
    <w:rsid w:val="7A3E5049"/>
    <w:rsid w:val="7A5955C8"/>
    <w:rsid w:val="7ABFCF4B"/>
    <w:rsid w:val="7AC757F1"/>
    <w:rsid w:val="7AF5780F"/>
    <w:rsid w:val="7AFF2471"/>
    <w:rsid w:val="7B0A53EC"/>
    <w:rsid w:val="7B116F75"/>
    <w:rsid w:val="7B1E2019"/>
    <w:rsid w:val="7B207CB9"/>
    <w:rsid w:val="7B943CCB"/>
    <w:rsid w:val="7B9ED98B"/>
    <w:rsid w:val="7BBF0393"/>
    <w:rsid w:val="7BBFFC5C"/>
    <w:rsid w:val="7BCDEB90"/>
    <w:rsid w:val="7BD2B643"/>
    <w:rsid w:val="7BDAD3FC"/>
    <w:rsid w:val="7BDB4440"/>
    <w:rsid w:val="7BFB87EE"/>
    <w:rsid w:val="7BFF2BE2"/>
    <w:rsid w:val="7BFF9546"/>
    <w:rsid w:val="7C171990"/>
    <w:rsid w:val="7C181D26"/>
    <w:rsid w:val="7C507643"/>
    <w:rsid w:val="7C7B6EEE"/>
    <w:rsid w:val="7C7E2F25"/>
    <w:rsid w:val="7C985AF7"/>
    <w:rsid w:val="7C9B03B1"/>
    <w:rsid w:val="7CBF5E39"/>
    <w:rsid w:val="7CDC1790"/>
    <w:rsid w:val="7CDF7D45"/>
    <w:rsid w:val="7CE01C7B"/>
    <w:rsid w:val="7CFD4651"/>
    <w:rsid w:val="7D02796E"/>
    <w:rsid w:val="7D307E45"/>
    <w:rsid w:val="7D5087BF"/>
    <w:rsid w:val="7D700DB4"/>
    <w:rsid w:val="7D7A0B23"/>
    <w:rsid w:val="7D7F54B9"/>
    <w:rsid w:val="7DBBD2FF"/>
    <w:rsid w:val="7DBC3E88"/>
    <w:rsid w:val="7DCF4113"/>
    <w:rsid w:val="7DD37DFE"/>
    <w:rsid w:val="7DF57275"/>
    <w:rsid w:val="7DFB1948"/>
    <w:rsid w:val="7DFBA75B"/>
    <w:rsid w:val="7DFEE74F"/>
    <w:rsid w:val="7DFF5B16"/>
    <w:rsid w:val="7DFFCA7F"/>
    <w:rsid w:val="7E069B0F"/>
    <w:rsid w:val="7E346B9D"/>
    <w:rsid w:val="7EB81458"/>
    <w:rsid w:val="7EBD1AB8"/>
    <w:rsid w:val="7ECF5717"/>
    <w:rsid w:val="7EDD561C"/>
    <w:rsid w:val="7EDE0E9A"/>
    <w:rsid w:val="7EEF5633"/>
    <w:rsid w:val="7EF7643A"/>
    <w:rsid w:val="7EF8215F"/>
    <w:rsid w:val="7F13E833"/>
    <w:rsid w:val="7F1EB2FD"/>
    <w:rsid w:val="7F294B2C"/>
    <w:rsid w:val="7F3F5D48"/>
    <w:rsid w:val="7F576FAE"/>
    <w:rsid w:val="7F5B0AD7"/>
    <w:rsid w:val="7F5E9732"/>
    <w:rsid w:val="7F6FD55F"/>
    <w:rsid w:val="7F72061C"/>
    <w:rsid w:val="7F78012E"/>
    <w:rsid w:val="7F7A143C"/>
    <w:rsid w:val="7F98CD93"/>
    <w:rsid w:val="7F9F4983"/>
    <w:rsid w:val="7FB52E36"/>
    <w:rsid w:val="7FB78784"/>
    <w:rsid w:val="7FB79D31"/>
    <w:rsid w:val="7FB7C2E8"/>
    <w:rsid w:val="7FCBCECE"/>
    <w:rsid w:val="7FD40848"/>
    <w:rsid w:val="7FDC0CBC"/>
    <w:rsid w:val="7FDF3BF8"/>
    <w:rsid w:val="7FDFB308"/>
    <w:rsid w:val="7FED5CB4"/>
    <w:rsid w:val="7FEE718E"/>
    <w:rsid w:val="7FF057D7"/>
    <w:rsid w:val="7FFBD645"/>
    <w:rsid w:val="7FFCF613"/>
    <w:rsid w:val="7FFD54D7"/>
    <w:rsid w:val="7FFDE4A9"/>
    <w:rsid w:val="7FFE6562"/>
    <w:rsid w:val="7FFF31B9"/>
    <w:rsid w:val="7FFF4F4C"/>
    <w:rsid w:val="7FFFC061"/>
    <w:rsid w:val="8BFCA20F"/>
    <w:rsid w:val="93FD4359"/>
    <w:rsid w:val="977FCFF0"/>
    <w:rsid w:val="97FF3441"/>
    <w:rsid w:val="9BC96FD7"/>
    <w:rsid w:val="9CB7B36C"/>
    <w:rsid w:val="9ECF9AF6"/>
    <w:rsid w:val="9EEF3F4C"/>
    <w:rsid w:val="9EFFBD95"/>
    <w:rsid w:val="9FE51089"/>
    <w:rsid w:val="9FEF9F2E"/>
    <w:rsid w:val="9FFF6709"/>
    <w:rsid w:val="A2FF4A66"/>
    <w:rsid w:val="A5FF5135"/>
    <w:rsid w:val="A71DBBD9"/>
    <w:rsid w:val="A75BB586"/>
    <w:rsid w:val="A8E5FE17"/>
    <w:rsid w:val="ABFBD078"/>
    <w:rsid w:val="ABFFC973"/>
    <w:rsid w:val="ADCF8216"/>
    <w:rsid w:val="AE8D2525"/>
    <w:rsid w:val="AF13C77C"/>
    <w:rsid w:val="AFAE9D75"/>
    <w:rsid w:val="AFDD4E70"/>
    <w:rsid w:val="AFEF06A6"/>
    <w:rsid w:val="B1EF9A3B"/>
    <w:rsid w:val="B2B75BDB"/>
    <w:rsid w:val="B4EF1D0A"/>
    <w:rsid w:val="B73F6FA4"/>
    <w:rsid w:val="B7C6382F"/>
    <w:rsid w:val="B7D6B6E9"/>
    <w:rsid w:val="B8AFDA5F"/>
    <w:rsid w:val="BB2ED2AE"/>
    <w:rsid w:val="BB7F23AA"/>
    <w:rsid w:val="BBBF9142"/>
    <w:rsid w:val="BD7D02B8"/>
    <w:rsid w:val="BD7F0F17"/>
    <w:rsid w:val="BDEBB917"/>
    <w:rsid w:val="BDFE7C45"/>
    <w:rsid w:val="BE5F3FFF"/>
    <w:rsid w:val="BF406812"/>
    <w:rsid w:val="BF7CC03C"/>
    <w:rsid w:val="BF8F52D3"/>
    <w:rsid w:val="BFA80F3E"/>
    <w:rsid w:val="BFB74DB1"/>
    <w:rsid w:val="BFCFE7A3"/>
    <w:rsid w:val="BFDB49EE"/>
    <w:rsid w:val="BFDC0931"/>
    <w:rsid w:val="BFDDE488"/>
    <w:rsid w:val="BFDF134F"/>
    <w:rsid w:val="BFE61963"/>
    <w:rsid w:val="BFE6C81B"/>
    <w:rsid w:val="BFF5EC97"/>
    <w:rsid w:val="BFF74E49"/>
    <w:rsid w:val="BFF77ED8"/>
    <w:rsid w:val="BFF78111"/>
    <w:rsid w:val="BFFBBC46"/>
    <w:rsid w:val="C38BB5B6"/>
    <w:rsid w:val="C4D41D45"/>
    <w:rsid w:val="C748ADEC"/>
    <w:rsid w:val="C7A74AE8"/>
    <w:rsid w:val="C7F308B5"/>
    <w:rsid w:val="C9AFA9D8"/>
    <w:rsid w:val="CBDF6F4E"/>
    <w:rsid w:val="CD3FA027"/>
    <w:rsid w:val="CDEFBAA1"/>
    <w:rsid w:val="CFAE0D8C"/>
    <w:rsid w:val="CFD77AF1"/>
    <w:rsid w:val="CFFA4456"/>
    <w:rsid w:val="CFFF2BEF"/>
    <w:rsid w:val="D3FF1F92"/>
    <w:rsid w:val="D70B5B48"/>
    <w:rsid w:val="D7F5C0DB"/>
    <w:rsid w:val="DB5F749C"/>
    <w:rsid w:val="DBB7FDFB"/>
    <w:rsid w:val="DBFF23FC"/>
    <w:rsid w:val="DCBF1523"/>
    <w:rsid w:val="DCFB4109"/>
    <w:rsid w:val="DDC907F9"/>
    <w:rsid w:val="DDDD1E9B"/>
    <w:rsid w:val="DDF6F91C"/>
    <w:rsid w:val="DEBDEC26"/>
    <w:rsid w:val="DECA336E"/>
    <w:rsid w:val="DEFD7C13"/>
    <w:rsid w:val="DF3A80F9"/>
    <w:rsid w:val="DF7E8E18"/>
    <w:rsid w:val="DF7F6A2D"/>
    <w:rsid w:val="DF980E93"/>
    <w:rsid w:val="DFBA4A54"/>
    <w:rsid w:val="DFDF2917"/>
    <w:rsid w:val="DFFDB184"/>
    <w:rsid w:val="DFFF51CD"/>
    <w:rsid w:val="DFFF6AE3"/>
    <w:rsid w:val="E1F77665"/>
    <w:rsid w:val="E37FA233"/>
    <w:rsid w:val="E5EE1B6E"/>
    <w:rsid w:val="E5FFE21D"/>
    <w:rsid w:val="E6FDDF38"/>
    <w:rsid w:val="E7A1348C"/>
    <w:rsid w:val="E7FE71BF"/>
    <w:rsid w:val="E8B7D561"/>
    <w:rsid w:val="EAFB8C73"/>
    <w:rsid w:val="EBB15924"/>
    <w:rsid w:val="EBF735A9"/>
    <w:rsid w:val="EBF94A7F"/>
    <w:rsid w:val="EBFD83D0"/>
    <w:rsid w:val="EBFF3A25"/>
    <w:rsid w:val="EDB3762D"/>
    <w:rsid w:val="EDF04069"/>
    <w:rsid w:val="EDF7D301"/>
    <w:rsid w:val="EEAD9103"/>
    <w:rsid w:val="EEBD5797"/>
    <w:rsid w:val="EEBF0552"/>
    <w:rsid w:val="EEF5A4D6"/>
    <w:rsid w:val="EEF659E4"/>
    <w:rsid w:val="EEFBF0FB"/>
    <w:rsid w:val="EF3D9627"/>
    <w:rsid w:val="EF756CA4"/>
    <w:rsid w:val="EF776E6D"/>
    <w:rsid w:val="EFBFC62D"/>
    <w:rsid w:val="EFE8A98D"/>
    <w:rsid w:val="EFEF3914"/>
    <w:rsid w:val="EFEF5980"/>
    <w:rsid w:val="EFF5D102"/>
    <w:rsid w:val="EFF7DA21"/>
    <w:rsid w:val="EFFD050A"/>
    <w:rsid w:val="EFFDCB85"/>
    <w:rsid w:val="EFFF3526"/>
    <w:rsid w:val="EFFF6EBE"/>
    <w:rsid w:val="EFFFF27F"/>
    <w:rsid w:val="F04F8262"/>
    <w:rsid w:val="F172E677"/>
    <w:rsid w:val="F2B746B3"/>
    <w:rsid w:val="F2FF76C9"/>
    <w:rsid w:val="F2FFB8AF"/>
    <w:rsid w:val="F33BD115"/>
    <w:rsid w:val="F3BC06A2"/>
    <w:rsid w:val="F3DD0EC2"/>
    <w:rsid w:val="F4BF1579"/>
    <w:rsid w:val="F57D911F"/>
    <w:rsid w:val="F5BD6D7B"/>
    <w:rsid w:val="F5F5CCF9"/>
    <w:rsid w:val="F6BB61EA"/>
    <w:rsid w:val="F6BF8F9A"/>
    <w:rsid w:val="F6DF305F"/>
    <w:rsid w:val="F7565B9A"/>
    <w:rsid w:val="F759A8D7"/>
    <w:rsid w:val="F77E89FF"/>
    <w:rsid w:val="F7AF2D35"/>
    <w:rsid w:val="F7BF751F"/>
    <w:rsid w:val="F7CB6F3C"/>
    <w:rsid w:val="F7F56EEE"/>
    <w:rsid w:val="F7FBC808"/>
    <w:rsid w:val="F7FC287F"/>
    <w:rsid w:val="F7FF10FE"/>
    <w:rsid w:val="F7FF1EA4"/>
    <w:rsid w:val="F7FFB5E5"/>
    <w:rsid w:val="F7FFEE02"/>
    <w:rsid w:val="F8FFDBEC"/>
    <w:rsid w:val="F9B9DA54"/>
    <w:rsid w:val="F9BD0E40"/>
    <w:rsid w:val="F9CE613D"/>
    <w:rsid w:val="FA3F3B6B"/>
    <w:rsid w:val="FA5F59DD"/>
    <w:rsid w:val="FA6D7414"/>
    <w:rsid w:val="FB53E4CE"/>
    <w:rsid w:val="FB6F4384"/>
    <w:rsid w:val="FB7FBAFC"/>
    <w:rsid w:val="FBAEF990"/>
    <w:rsid w:val="FBBD762C"/>
    <w:rsid w:val="FBBFE76D"/>
    <w:rsid w:val="FBC6FF38"/>
    <w:rsid w:val="FBCBDC82"/>
    <w:rsid w:val="FBCFF26D"/>
    <w:rsid w:val="FBDAD68C"/>
    <w:rsid w:val="FBEE7073"/>
    <w:rsid w:val="FBEF8FC4"/>
    <w:rsid w:val="FBEFBA48"/>
    <w:rsid w:val="FBF3762E"/>
    <w:rsid w:val="FBFF4EB3"/>
    <w:rsid w:val="FBFFCC45"/>
    <w:rsid w:val="FCB60831"/>
    <w:rsid w:val="FCCF9DD0"/>
    <w:rsid w:val="FCFF7FDE"/>
    <w:rsid w:val="FD3AB2C5"/>
    <w:rsid w:val="FD3CAC39"/>
    <w:rsid w:val="FD9A89CC"/>
    <w:rsid w:val="FD9C3DB7"/>
    <w:rsid w:val="FDAFFC3B"/>
    <w:rsid w:val="FDB2417A"/>
    <w:rsid w:val="FDCBBEB6"/>
    <w:rsid w:val="FDE2876C"/>
    <w:rsid w:val="FDEDADF2"/>
    <w:rsid w:val="FDFF39A5"/>
    <w:rsid w:val="FDFFE6A2"/>
    <w:rsid w:val="FE3B42C1"/>
    <w:rsid w:val="FE53971D"/>
    <w:rsid w:val="FE569181"/>
    <w:rsid w:val="FE7D1A49"/>
    <w:rsid w:val="FEA3BB70"/>
    <w:rsid w:val="FEB1887C"/>
    <w:rsid w:val="FEBCEB92"/>
    <w:rsid w:val="FEBFA84B"/>
    <w:rsid w:val="FEDDBB07"/>
    <w:rsid w:val="FEEBD30C"/>
    <w:rsid w:val="FEEEECE5"/>
    <w:rsid w:val="FEF51F8E"/>
    <w:rsid w:val="FEFEF672"/>
    <w:rsid w:val="FEFFAA59"/>
    <w:rsid w:val="FF08857D"/>
    <w:rsid w:val="FF3ED25C"/>
    <w:rsid w:val="FF4F3CF4"/>
    <w:rsid w:val="FF54BC3D"/>
    <w:rsid w:val="FF62C903"/>
    <w:rsid w:val="FF668803"/>
    <w:rsid w:val="FF6B16B5"/>
    <w:rsid w:val="FF6B6726"/>
    <w:rsid w:val="FF6F5D7E"/>
    <w:rsid w:val="FF7E1561"/>
    <w:rsid w:val="FF8FACB6"/>
    <w:rsid w:val="FF9665F5"/>
    <w:rsid w:val="FFA3FB69"/>
    <w:rsid w:val="FFBB64FC"/>
    <w:rsid w:val="FFBB7229"/>
    <w:rsid w:val="FFBDCCA5"/>
    <w:rsid w:val="FFBE2398"/>
    <w:rsid w:val="FFBF05CC"/>
    <w:rsid w:val="FFBF0D3C"/>
    <w:rsid w:val="FFC914F3"/>
    <w:rsid w:val="FFCDC8C8"/>
    <w:rsid w:val="FFDB0576"/>
    <w:rsid w:val="FFDD2111"/>
    <w:rsid w:val="FFE511A7"/>
    <w:rsid w:val="FFEF8249"/>
    <w:rsid w:val="FFF5DED1"/>
    <w:rsid w:val="FFFA50E8"/>
    <w:rsid w:val="FFFB1183"/>
    <w:rsid w:val="FFFC02E3"/>
    <w:rsid w:val="FFFC932B"/>
    <w:rsid w:val="FFFCBC69"/>
    <w:rsid w:val="FFFD6236"/>
    <w:rsid w:val="FFFE9032"/>
    <w:rsid w:val="FFFEAC33"/>
    <w:rsid w:val="FFFF3DAB"/>
    <w:rsid w:val="FFFFB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nhideWhenUsed="0" w:uiPriority="0" w:semiHidden="0" w:name="Body Text First Indent"/>
    <w:lsdException w:uiPriority="0" w:name="Body Text First Indent 2"/>
    <w:lsdException w:uiPriority="0" w:name="Note Heading"/>
    <w:lsdException w:qFormat="1" w:unhideWhenUsed="0" w:uiPriority="99"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5"/>
    <w:qFormat/>
    <w:uiPriority w:val="0"/>
    <w:pPr>
      <w:keepNext/>
      <w:keepLines/>
      <w:spacing w:before="50" w:beforeLines="50" w:after="50" w:afterLines="50"/>
      <w:outlineLvl w:val="0"/>
    </w:pPr>
    <w:rPr>
      <w:rFonts w:eastAsia="黑体"/>
      <w:b/>
      <w:bCs/>
      <w:kern w:val="44"/>
      <w:sz w:val="28"/>
      <w:szCs w:val="44"/>
    </w:rPr>
  </w:style>
  <w:style w:type="paragraph" w:styleId="3">
    <w:name w:val="heading 2"/>
    <w:basedOn w:val="1"/>
    <w:next w:val="1"/>
    <w:link w:val="306"/>
    <w:qFormat/>
    <w:uiPriority w:val="0"/>
    <w:pPr>
      <w:keepNext/>
      <w:keepLines/>
      <w:spacing w:before="50" w:beforeLines="50" w:after="50" w:afterLines="50" w:line="360" w:lineRule="auto"/>
      <w:outlineLvl w:val="1"/>
    </w:pPr>
    <w:rPr>
      <w:rFonts w:ascii="Arial" w:hAnsi="Arial" w:eastAsia="黑体"/>
      <w:b/>
      <w:bCs/>
      <w:sz w:val="24"/>
      <w:szCs w:val="32"/>
    </w:rPr>
  </w:style>
  <w:style w:type="paragraph" w:styleId="4">
    <w:name w:val="heading 3"/>
    <w:basedOn w:val="1"/>
    <w:next w:val="1"/>
    <w:link w:val="307"/>
    <w:qFormat/>
    <w:uiPriority w:val="0"/>
    <w:pPr>
      <w:keepNext/>
      <w:keepLines/>
      <w:spacing w:before="50" w:beforeLines="50" w:after="50" w:afterLines="50"/>
      <w:outlineLvl w:val="2"/>
    </w:pPr>
    <w:rPr>
      <w:rFonts w:eastAsia="黑体"/>
      <w:b/>
      <w:bCs/>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qFormat/>
    <w:uiPriority w:val="0"/>
    <w:pPr>
      <w:keepNext/>
      <w:keepLines/>
      <w:spacing w:before="240" w:after="64" w:line="317"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17" w:lineRule="auto"/>
      <w:outlineLvl w:val="6"/>
    </w:pPr>
    <w:rPr>
      <w:b/>
      <w:bCs/>
      <w:sz w:val="24"/>
    </w:rPr>
  </w:style>
  <w:style w:type="paragraph" w:styleId="9">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17" w:lineRule="auto"/>
      <w:outlineLvl w:val="8"/>
    </w:pPr>
    <w:rPr>
      <w:rFonts w:ascii="Arial" w:hAnsi="Arial" w:eastAsia="黑体"/>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2"/>
    <w:next w:val="1"/>
    <w:qFormat/>
    <w:uiPriority w:val="0"/>
  </w:style>
  <w:style w:type="paragraph" w:styleId="12">
    <w:name w:val="toc 6"/>
    <w:basedOn w:val="13"/>
    <w:next w:val="1"/>
    <w:qFormat/>
    <w:uiPriority w:val="0"/>
  </w:style>
  <w:style w:type="paragraph" w:styleId="13">
    <w:name w:val="toc 5"/>
    <w:basedOn w:val="14"/>
    <w:next w:val="1"/>
    <w:qFormat/>
    <w:uiPriority w:val="0"/>
  </w:style>
  <w:style w:type="paragraph" w:styleId="14">
    <w:name w:val="toc 4"/>
    <w:basedOn w:val="15"/>
    <w:next w:val="1"/>
    <w:qFormat/>
    <w:uiPriority w:val="0"/>
  </w:style>
  <w:style w:type="paragraph" w:styleId="15">
    <w:name w:val="toc 3"/>
    <w:basedOn w:val="16"/>
    <w:next w:val="1"/>
    <w:qFormat/>
    <w:uiPriority w:val="39"/>
  </w:style>
  <w:style w:type="paragraph" w:styleId="16">
    <w:name w:val="toc 2"/>
    <w:basedOn w:val="17"/>
    <w:next w:val="1"/>
    <w:qFormat/>
    <w:uiPriority w:val="39"/>
  </w:style>
  <w:style w:type="paragraph" w:styleId="17">
    <w:name w:val="toc 1"/>
    <w:next w:val="1"/>
    <w:qFormat/>
    <w:uiPriority w:val="39"/>
    <w:pPr>
      <w:jc w:val="both"/>
    </w:pPr>
    <w:rPr>
      <w:rFonts w:ascii="宋体" w:hAnsi="Times New Roman" w:eastAsia="宋体" w:cs="Times New Roman"/>
      <w:sz w:val="21"/>
      <w:lang w:val="en-US" w:eastAsia="zh-CN" w:bidi="ar-SA"/>
    </w:rPr>
  </w:style>
  <w:style w:type="paragraph" w:styleId="18">
    <w:name w:val="Normal Indent"/>
    <w:basedOn w:val="1"/>
    <w:qFormat/>
    <w:uiPriority w:val="0"/>
    <w:pPr>
      <w:ind w:firstLine="420"/>
    </w:pPr>
    <w:rPr>
      <w:szCs w:val="20"/>
    </w:rPr>
  </w:style>
  <w:style w:type="paragraph" w:styleId="19">
    <w:name w:val="caption"/>
    <w:basedOn w:val="1"/>
    <w:next w:val="1"/>
    <w:qFormat/>
    <w:uiPriority w:val="0"/>
    <w:pPr>
      <w:spacing w:before="152" w:after="160"/>
    </w:pPr>
    <w:rPr>
      <w:rFonts w:ascii="Arial" w:hAnsi="Arial" w:eastAsia="黑体"/>
      <w:szCs w:val="20"/>
    </w:rPr>
  </w:style>
  <w:style w:type="paragraph" w:styleId="20">
    <w:name w:val="annotation text"/>
    <w:basedOn w:val="1"/>
    <w:link w:val="288"/>
    <w:qFormat/>
    <w:uiPriority w:val="0"/>
    <w:pPr>
      <w:jc w:val="left"/>
    </w:pPr>
  </w:style>
  <w:style w:type="paragraph" w:styleId="21">
    <w:name w:val="Body Text"/>
    <w:basedOn w:val="1"/>
    <w:link w:val="283"/>
    <w:qFormat/>
    <w:uiPriority w:val="0"/>
    <w:pPr>
      <w:spacing w:after="120"/>
    </w:pPr>
  </w:style>
  <w:style w:type="paragraph" w:styleId="22">
    <w:name w:val="Body Text Indent"/>
    <w:basedOn w:val="1"/>
    <w:link w:val="286"/>
    <w:qFormat/>
    <w:uiPriority w:val="0"/>
    <w:pPr>
      <w:spacing w:line="360" w:lineRule="exact"/>
      <w:ind w:left="420" w:firstLine="480"/>
    </w:pPr>
    <w:rPr>
      <w:sz w:val="24"/>
      <w:szCs w:val="20"/>
    </w:rPr>
  </w:style>
  <w:style w:type="paragraph" w:styleId="23">
    <w:name w:val="HTML Address"/>
    <w:basedOn w:val="1"/>
    <w:qFormat/>
    <w:uiPriority w:val="0"/>
    <w:rPr>
      <w:i/>
      <w:iCs/>
    </w:rPr>
  </w:style>
  <w:style w:type="paragraph" w:styleId="24">
    <w:name w:val="Plain Text"/>
    <w:basedOn w:val="1"/>
    <w:link w:val="280"/>
    <w:qFormat/>
    <w:uiPriority w:val="99"/>
    <w:rPr>
      <w:rFonts w:ascii="宋体" w:hAnsi="Courier New"/>
      <w:szCs w:val="21"/>
    </w:rPr>
  </w:style>
  <w:style w:type="paragraph" w:styleId="25">
    <w:name w:val="toc 8"/>
    <w:basedOn w:val="11"/>
    <w:next w:val="1"/>
    <w:qFormat/>
    <w:uiPriority w:val="0"/>
  </w:style>
  <w:style w:type="paragraph" w:styleId="26">
    <w:name w:val="Date"/>
    <w:basedOn w:val="1"/>
    <w:next w:val="1"/>
    <w:link w:val="292"/>
    <w:qFormat/>
    <w:uiPriority w:val="99"/>
    <w:pPr>
      <w:ind w:left="100" w:leftChars="2500"/>
    </w:pPr>
    <w:rPr>
      <w:sz w:val="24"/>
      <w:szCs w:val="20"/>
    </w:rPr>
  </w:style>
  <w:style w:type="paragraph" w:styleId="27">
    <w:name w:val="Body Text Indent 2"/>
    <w:basedOn w:val="1"/>
    <w:link w:val="291"/>
    <w:qFormat/>
    <w:uiPriority w:val="0"/>
    <w:pPr>
      <w:spacing w:after="120" w:line="480" w:lineRule="auto"/>
      <w:ind w:left="420" w:leftChars="200"/>
    </w:pPr>
  </w:style>
  <w:style w:type="paragraph" w:styleId="28">
    <w:name w:val="endnote text"/>
    <w:basedOn w:val="1"/>
    <w:qFormat/>
    <w:uiPriority w:val="0"/>
    <w:pPr>
      <w:snapToGrid w:val="0"/>
    </w:pPr>
  </w:style>
  <w:style w:type="paragraph" w:styleId="29">
    <w:name w:val="Balloon Text"/>
    <w:basedOn w:val="1"/>
    <w:link w:val="282"/>
    <w:qFormat/>
    <w:uiPriority w:val="0"/>
    <w:rPr>
      <w:sz w:val="18"/>
      <w:szCs w:val="18"/>
    </w:rPr>
  </w:style>
  <w:style w:type="paragraph" w:styleId="30">
    <w:name w:val="footer"/>
    <w:basedOn w:val="1"/>
    <w:link w:val="285"/>
    <w:qFormat/>
    <w:uiPriority w:val="0"/>
    <w:pPr>
      <w:tabs>
        <w:tab w:val="center" w:pos="4153"/>
        <w:tab w:val="right" w:pos="8306"/>
      </w:tabs>
      <w:snapToGrid w:val="0"/>
      <w:ind w:right="210" w:rightChars="100"/>
      <w:jc w:val="right"/>
    </w:pPr>
    <w:rPr>
      <w:sz w:val="18"/>
      <w:szCs w:val="18"/>
    </w:rPr>
  </w:style>
  <w:style w:type="paragraph" w:styleId="31">
    <w:name w:val="header"/>
    <w:basedOn w:val="1"/>
    <w:link w:val="290"/>
    <w:qFormat/>
    <w:uiPriority w:val="0"/>
    <w:pPr>
      <w:pBdr>
        <w:bottom w:val="single" w:color="auto" w:sz="6" w:space="1"/>
      </w:pBdr>
      <w:tabs>
        <w:tab w:val="center" w:pos="4153"/>
        <w:tab w:val="right" w:pos="8306"/>
      </w:tabs>
      <w:snapToGrid w:val="0"/>
      <w:jc w:val="center"/>
    </w:pPr>
    <w:rPr>
      <w:sz w:val="18"/>
      <w:szCs w:val="18"/>
    </w:rPr>
  </w:style>
  <w:style w:type="paragraph" w:styleId="32">
    <w:name w:val="footnote text"/>
    <w:basedOn w:val="1"/>
    <w:link w:val="309"/>
    <w:qFormat/>
    <w:uiPriority w:val="0"/>
    <w:pPr>
      <w:snapToGrid w:val="0"/>
      <w:jc w:val="left"/>
    </w:pPr>
    <w:rPr>
      <w:sz w:val="18"/>
      <w:szCs w:val="18"/>
    </w:rPr>
  </w:style>
  <w:style w:type="paragraph" w:styleId="33">
    <w:name w:val="Body Text Indent 3"/>
    <w:basedOn w:val="1"/>
    <w:qFormat/>
    <w:uiPriority w:val="0"/>
    <w:pPr>
      <w:widowControl/>
      <w:spacing w:line="360" w:lineRule="auto"/>
      <w:ind w:firstLine="420"/>
    </w:pPr>
    <w:rPr>
      <w:rFonts w:hAnsi="宋体"/>
      <w:sz w:val="18"/>
    </w:rPr>
  </w:style>
  <w:style w:type="paragraph" w:styleId="34">
    <w:name w:val="toc 9"/>
    <w:basedOn w:val="25"/>
    <w:next w:val="1"/>
    <w:qFormat/>
    <w:uiPriority w:val="0"/>
  </w:style>
  <w:style w:type="paragraph" w:styleId="35">
    <w:name w:val="Body Text 2"/>
    <w:basedOn w:val="1"/>
    <w:link w:val="323"/>
    <w:qFormat/>
    <w:uiPriority w:val="99"/>
    <w:pPr>
      <w:spacing w:after="120" w:line="480" w:lineRule="auto"/>
    </w:pPr>
  </w:style>
  <w:style w:type="paragraph" w:styleId="36">
    <w:name w:val="HTML Preformatted"/>
    <w:basedOn w:val="1"/>
    <w:qFormat/>
    <w:uiPriority w:val="0"/>
    <w:rPr>
      <w:rFonts w:ascii="Courier New" w:hAnsi="Courier New" w:cs="Courier New"/>
      <w:sz w:val="20"/>
      <w:szCs w:val="20"/>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Title"/>
    <w:basedOn w:val="1"/>
    <w:link w:val="308"/>
    <w:qFormat/>
    <w:uiPriority w:val="0"/>
    <w:pPr>
      <w:spacing w:before="240" w:after="60"/>
      <w:jc w:val="center"/>
      <w:outlineLvl w:val="0"/>
    </w:pPr>
    <w:rPr>
      <w:rFonts w:ascii="Arial" w:hAnsi="Arial" w:cs="Arial"/>
      <w:b/>
      <w:bCs/>
      <w:sz w:val="32"/>
      <w:szCs w:val="32"/>
    </w:rPr>
  </w:style>
  <w:style w:type="paragraph" w:styleId="39">
    <w:name w:val="annotation subject"/>
    <w:basedOn w:val="20"/>
    <w:next w:val="20"/>
    <w:link w:val="289"/>
    <w:qFormat/>
    <w:uiPriority w:val="0"/>
    <w:rPr>
      <w:b/>
      <w:bCs/>
    </w:rPr>
  </w:style>
  <w:style w:type="paragraph" w:styleId="40">
    <w:name w:val="Body Text First Indent"/>
    <w:basedOn w:val="21"/>
    <w:qFormat/>
    <w:uiPriority w:val="0"/>
    <w:pPr>
      <w:ind w:firstLine="420"/>
    </w:pPr>
    <w:rPr>
      <w:szCs w:val="20"/>
    </w:rPr>
  </w:style>
  <w:style w:type="table" w:styleId="42">
    <w:name w:val="Table Grid"/>
    <w:basedOn w:val="41"/>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qFormat/>
    <w:uiPriority w:val="0"/>
    <w:rPr>
      <w:rFonts w:ascii="Times New Roman" w:hAnsi="Times New Roman" w:eastAsia="宋体"/>
      <w:sz w:val="18"/>
    </w:rPr>
  </w:style>
  <w:style w:type="character" w:styleId="46">
    <w:name w:val="FollowedHyperlink"/>
    <w:unhideWhenUsed/>
    <w:qFormat/>
    <w:uiPriority w:val="0"/>
    <w:rPr>
      <w:color w:val="800080"/>
      <w:u w:val="single"/>
    </w:rPr>
  </w:style>
  <w:style w:type="character" w:styleId="47">
    <w:name w:val="HTML Definition"/>
    <w:qFormat/>
    <w:uiPriority w:val="0"/>
    <w:rPr>
      <w:i/>
      <w:iCs/>
    </w:rPr>
  </w:style>
  <w:style w:type="character" w:styleId="48">
    <w:name w:val="HTML Typewriter"/>
    <w:qFormat/>
    <w:uiPriority w:val="0"/>
    <w:rPr>
      <w:rFonts w:ascii="Courier New" w:hAnsi="Courier New"/>
      <w:sz w:val="20"/>
      <w:szCs w:val="20"/>
    </w:rPr>
  </w:style>
  <w:style w:type="character" w:styleId="49">
    <w:name w:val="HTML Acronym"/>
    <w:basedOn w:val="43"/>
    <w:qFormat/>
    <w:uiPriority w:val="0"/>
  </w:style>
  <w:style w:type="character" w:styleId="50">
    <w:name w:val="HTML Variable"/>
    <w:qFormat/>
    <w:uiPriority w:val="0"/>
    <w:rPr>
      <w:i/>
      <w:iCs/>
    </w:rPr>
  </w:style>
  <w:style w:type="character" w:styleId="51">
    <w:name w:val="Hyperlink"/>
    <w:basedOn w:val="43"/>
    <w:qFormat/>
    <w:uiPriority w:val="99"/>
    <w:rPr>
      <w:rFonts w:ascii="Times New Roman" w:hAnsi="Times New Roman" w:eastAsia="宋体"/>
      <w:color w:val="auto"/>
      <w:spacing w:val="0"/>
      <w:w w:val="100"/>
      <w:position w:val="0"/>
      <w:sz w:val="21"/>
      <w:u w:val="none"/>
    </w:rPr>
  </w:style>
  <w:style w:type="character" w:styleId="52">
    <w:name w:val="HTML Code"/>
    <w:qFormat/>
    <w:uiPriority w:val="0"/>
    <w:rPr>
      <w:rFonts w:ascii="Courier New" w:hAnsi="Courier New"/>
      <w:sz w:val="20"/>
      <w:szCs w:val="20"/>
    </w:rPr>
  </w:style>
  <w:style w:type="character" w:styleId="53">
    <w:name w:val="annotation reference"/>
    <w:qFormat/>
    <w:uiPriority w:val="0"/>
    <w:rPr>
      <w:sz w:val="21"/>
      <w:szCs w:val="21"/>
    </w:rPr>
  </w:style>
  <w:style w:type="character" w:styleId="54">
    <w:name w:val="HTML Cite"/>
    <w:qFormat/>
    <w:uiPriority w:val="0"/>
    <w:rPr>
      <w:i/>
      <w:iCs/>
    </w:rPr>
  </w:style>
  <w:style w:type="character" w:styleId="55">
    <w:name w:val="footnote reference"/>
    <w:qFormat/>
    <w:uiPriority w:val="0"/>
    <w:rPr>
      <w:vertAlign w:val="superscript"/>
    </w:rPr>
  </w:style>
  <w:style w:type="character" w:styleId="56">
    <w:name w:val="HTML Keyboard"/>
    <w:qFormat/>
    <w:uiPriority w:val="0"/>
    <w:rPr>
      <w:rFonts w:ascii="Courier New" w:hAnsi="Courier New"/>
      <w:sz w:val="20"/>
      <w:szCs w:val="20"/>
    </w:rPr>
  </w:style>
  <w:style w:type="character" w:styleId="57">
    <w:name w:val="HTML Sample"/>
    <w:qFormat/>
    <w:uiPriority w:val="0"/>
    <w:rPr>
      <w:rFonts w:ascii="Courier New" w:hAnsi="Courier New"/>
    </w:rPr>
  </w:style>
  <w:style w:type="paragraph" w:customStyle="1" w:styleId="58">
    <w:name w:val="段"/>
    <w:link w:val="275"/>
    <w:qFormat/>
    <w:uiPriority w:val="0"/>
    <w:pPr>
      <w:autoSpaceDE w:val="0"/>
      <w:autoSpaceDN w:val="0"/>
      <w:adjustRightInd w:val="0"/>
      <w:snapToGrid w:val="0"/>
      <w:ind w:firstLine="400" w:firstLineChars="200"/>
      <w:jc w:val="both"/>
    </w:pPr>
    <w:rPr>
      <w:rFonts w:ascii="宋体" w:hAnsi="宋体" w:eastAsia="宋体" w:cs="Times New Roman"/>
      <w:sz w:val="21"/>
      <w:lang w:val="en-US" w:eastAsia="zh-CN" w:bidi="ar-SA"/>
    </w:rPr>
  </w:style>
  <w:style w:type="paragraph" w:customStyle="1" w:styleId="59">
    <w:name w:val="二级条标题"/>
    <w:basedOn w:val="60"/>
    <w:next w:val="58"/>
    <w:link w:val="277"/>
    <w:qFormat/>
    <w:uiPriority w:val="0"/>
    <w:pPr>
      <w:numPr>
        <w:ilvl w:val="3"/>
      </w:numPr>
      <w:outlineLvl w:val="3"/>
    </w:pPr>
    <w:rPr>
      <w:rFonts w:hAnsi="黑体"/>
      <w:color w:val="000000" w:themeColor="text1"/>
      <w:spacing w:val="-6"/>
      <w14:textFill>
        <w14:solidFill>
          <w14:schemeClr w14:val="tx1"/>
        </w14:solidFill>
      </w14:textFill>
    </w:rPr>
  </w:style>
  <w:style w:type="paragraph" w:customStyle="1" w:styleId="60">
    <w:name w:val="一级条标题"/>
    <w:basedOn w:val="61"/>
    <w:next w:val="58"/>
    <w:link w:val="279"/>
    <w:qFormat/>
    <w:uiPriority w:val="0"/>
    <w:pPr>
      <w:numPr>
        <w:ilvl w:val="2"/>
      </w:numPr>
      <w:spacing w:beforeLines="0" w:afterLines="0" w:line="300" w:lineRule="auto"/>
      <w:outlineLvl w:val="2"/>
    </w:pPr>
    <w:rPr>
      <w:color w:val="FF0000"/>
      <w:spacing w:val="-4"/>
      <w:szCs w:val="24"/>
    </w:rPr>
  </w:style>
  <w:style w:type="paragraph" w:customStyle="1" w:styleId="61">
    <w:name w:val="章标题"/>
    <w:next w:val="58"/>
    <w:link w:val="278"/>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6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63">
    <w:name w:val="封面标准号2"/>
    <w:basedOn w:val="64"/>
    <w:qFormat/>
    <w:uiPriority w:val="0"/>
    <w:pPr>
      <w:adjustRightInd w:val="0"/>
      <w:spacing w:before="357" w:line="280" w:lineRule="exact"/>
    </w:pPr>
  </w:style>
  <w:style w:type="paragraph" w:customStyle="1" w:styleId="6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5">
    <w:name w:val="附录标识"/>
    <w:basedOn w:val="66"/>
    <w:link w:val="300"/>
    <w:qFormat/>
    <w:uiPriority w:val="0"/>
    <w:pPr>
      <w:numPr>
        <w:ilvl w:val="0"/>
        <w:numId w:val="2"/>
      </w:numPr>
      <w:tabs>
        <w:tab w:val="left" w:pos="6405"/>
      </w:tabs>
      <w:spacing w:after="200"/>
    </w:pPr>
    <w:rPr>
      <w:sz w:val="21"/>
    </w:rPr>
  </w:style>
  <w:style w:type="paragraph" w:customStyle="1" w:styleId="66">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68">
    <w:name w:val="发布部门"/>
    <w:next w:val="58"/>
    <w:qFormat/>
    <w:uiPriority w:val="0"/>
    <w:pPr>
      <w:jc w:val="center"/>
    </w:pPr>
    <w:rPr>
      <w:rFonts w:ascii="宋体" w:hAnsi="Times New Roman" w:eastAsia="宋体" w:cs="Times New Roman"/>
      <w:b/>
      <w:spacing w:val="20"/>
      <w:w w:val="135"/>
      <w:sz w:val="36"/>
      <w:lang w:val="en-US" w:eastAsia="zh-CN" w:bidi="ar-SA"/>
    </w:rPr>
  </w:style>
  <w:style w:type="paragraph" w:customStyle="1" w:styleId="69">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70">
    <w:name w:val="四级条标题"/>
    <w:basedOn w:val="71"/>
    <w:next w:val="58"/>
    <w:qFormat/>
    <w:uiPriority w:val="0"/>
    <w:pPr>
      <w:numPr>
        <w:ilvl w:val="5"/>
      </w:numPr>
      <w:outlineLvl w:val="5"/>
    </w:pPr>
  </w:style>
  <w:style w:type="paragraph" w:customStyle="1" w:styleId="71">
    <w:name w:val="三级条标题"/>
    <w:basedOn w:val="59"/>
    <w:next w:val="58"/>
    <w:link w:val="281"/>
    <w:qFormat/>
    <w:uiPriority w:val="0"/>
    <w:pPr>
      <w:numPr>
        <w:ilvl w:val="4"/>
      </w:numPr>
      <w:outlineLvl w:val="4"/>
    </w:pPr>
  </w:style>
  <w:style w:type="paragraph" w:customStyle="1" w:styleId="72">
    <w:name w:val="列项——"/>
    <w:qFormat/>
    <w:uiPriority w:val="0"/>
    <w:pPr>
      <w:widowControl w:val="0"/>
      <w:numPr>
        <w:ilvl w:val="0"/>
        <w:numId w:val="3"/>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73">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4">
    <w:name w:val="参考文献、索引标题"/>
    <w:basedOn w:val="66"/>
    <w:next w:val="1"/>
    <w:qFormat/>
    <w:uiPriority w:val="0"/>
    <w:pPr>
      <w:numPr>
        <w:numId w:val="0"/>
      </w:numPr>
      <w:spacing w:after="200"/>
    </w:pPr>
    <w:rPr>
      <w:sz w:val="21"/>
    </w:rPr>
  </w:style>
  <w:style w:type="paragraph" w:customStyle="1" w:styleId="75">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6">
    <w:name w:val="实施日期"/>
    <w:basedOn w:val="77"/>
    <w:qFormat/>
    <w:uiPriority w:val="0"/>
    <w:pPr>
      <w:jc w:val="right"/>
    </w:pPr>
  </w:style>
  <w:style w:type="paragraph" w:customStyle="1" w:styleId="77">
    <w:name w:val="发布日期"/>
    <w:qFormat/>
    <w:uiPriority w:val="0"/>
    <w:rPr>
      <w:rFonts w:ascii="Times New Roman" w:hAnsi="Times New Roman" w:eastAsia="黑体" w:cs="Times New Roman"/>
      <w:sz w:val="28"/>
      <w:lang w:val="en-US" w:eastAsia="zh-CN" w:bidi="ar-SA"/>
    </w:rPr>
  </w:style>
  <w:style w:type="paragraph" w:customStyle="1" w:styleId="78">
    <w:name w:val="条文脚注"/>
    <w:basedOn w:val="32"/>
    <w:qFormat/>
    <w:uiPriority w:val="0"/>
    <w:pPr>
      <w:ind w:left="780" w:leftChars="200" w:hanging="360" w:hangingChars="200"/>
      <w:jc w:val="both"/>
    </w:pPr>
    <w:rPr>
      <w:rFonts w:ascii="宋体"/>
    </w:rPr>
  </w:style>
  <w:style w:type="paragraph" w:customStyle="1" w:styleId="79">
    <w:name w:val="附录章标题"/>
    <w:next w:val="58"/>
    <w:qFormat/>
    <w:uiPriority w:val="0"/>
    <w:pPr>
      <w:numPr>
        <w:ilvl w:val="1"/>
        <w:numId w:val="2"/>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0">
    <w:name w:val="注×："/>
    <w:qFormat/>
    <w:uiPriority w:val="0"/>
    <w:pPr>
      <w:widowControl w:val="0"/>
      <w:numPr>
        <w:ilvl w:val="0"/>
        <w:numId w:val="4"/>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81">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2">
    <w:name w:val="图表脚注"/>
    <w:next w:val="58"/>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83">
    <w:name w:val="五级无标题条"/>
    <w:basedOn w:val="1"/>
    <w:qFormat/>
    <w:uiPriority w:val="0"/>
    <w:pPr>
      <w:numPr>
        <w:ilvl w:val="6"/>
        <w:numId w:val="5"/>
      </w:numPr>
    </w:pPr>
  </w:style>
  <w:style w:type="paragraph" w:customStyle="1" w:styleId="84">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85">
    <w:name w:val="Char"/>
    <w:basedOn w:val="1"/>
    <w:qFormat/>
    <w:uiPriority w:val="0"/>
    <w:pPr>
      <w:widowControl/>
      <w:spacing w:after="160" w:line="240" w:lineRule="exact"/>
      <w:jc w:val="left"/>
    </w:pPr>
  </w:style>
  <w:style w:type="paragraph" w:customStyle="1" w:styleId="86">
    <w:name w:val="无标题条"/>
    <w:next w:val="58"/>
    <w:qFormat/>
    <w:uiPriority w:val="0"/>
    <w:pPr>
      <w:jc w:val="both"/>
    </w:pPr>
    <w:rPr>
      <w:rFonts w:ascii="Times New Roman" w:hAnsi="Times New Roman" w:eastAsia="宋体" w:cs="Times New Roman"/>
      <w:sz w:val="21"/>
      <w:lang w:val="en-US" w:eastAsia="zh-CN" w:bidi="ar-SA"/>
    </w:rPr>
  </w:style>
  <w:style w:type="paragraph" w:customStyle="1" w:styleId="87">
    <w:name w:val="五级条标题"/>
    <w:basedOn w:val="70"/>
    <w:next w:val="58"/>
    <w:qFormat/>
    <w:uiPriority w:val="0"/>
    <w:pPr>
      <w:numPr>
        <w:ilvl w:val="6"/>
      </w:numPr>
      <w:outlineLvl w:val="6"/>
    </w:pPr>
  </w:style>
  <w:style w:type="paragraph" w:customStyle="1" w:styleId="88">
    <w:name w:val="Default"/>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8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90">
    <w:name w:val="正文图标题"/>
    <w:next w:val="58"/>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91">
    <w:name w:val="注："/>
    <w:next w:val="58"/>
    <w:link w:val="284"/>
    <w:qFormat/>
    <w:uiPriority w:val="0"/>
    <w:pPr>
      <w:widowControl w:val="0"/>
      <w:numPr>
        <w:ilvl w:val="0"/>
        <w:numId w:val="7"/>
      </w:numPr>
      <w:autoSpaceDE w:val="0"/>
      <w:autoSpaceDN w:val="0"/>
      <w:jc w:val="both"/>
    </w:pPr>
    <w:rPr>
      <w:rFonts w:ascii="宋体" w:hAnsi="Times New Roman" w:eastAsia="宋体" w:cs="Times New Roman"/>
      <w:sz w:val="18"/>
      <w:lang w:val="en-US" w:eastAsia="zh-CN" w:bidi="ar-SA"/>
    </w:rPr>
  </w:style>
  <w:style w:type="paragraph" w:customStyle="1" w:styleId="9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3">
    <w:name w:val="标准书眉_偶数页"/>
    <w:basedOn w:val="89"/>
    <w:next w:val="1"/>
    <w:qFormat/>
    <w:uiPriority w:val="0"/>
    <w:pPr>
      <w:jc w:val="left"/>
    </w:pPr>
  </w:style>
  <w:style w:type="paragraph" w:customStyle="1" w:styleId="94">
    <w:name w:val="二级无标题条"/>
    <w:basedOn w:val="1"/>
    <w:qFormat/>
    <w:uiPriority w:val="0"/>
    <w:pPr>
      <w:numPr>
        <w:ilvl w:val="3"/>
        <w:numId w:val="5"/>
      </w:numPr>
    </w:pPr>
  </w:style>
  <w:style w:type="paragraph" w:customStyle="1" w:styleId="95">
    <w:name w:val="附录表标题"/>
    <w:next w:val="58"/>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96">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97">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98">
    <w:name w:val="封面正文"/>
    <w:qFormat/>
    <w:uiPriority w:val="0"/>
    <w:pPr>
      <w:jc w:val="both"/>
    </w:pPr>
    <w:rPr>
      <w:rFonts w:ascii="Times New Roman" w:hAnsi="Times New Roman" w:eastAsia="宋体" w:cs="Times New Roman"/>
      <w:lang w:val="en-US" w:eastAsia="zh-CN" w:bidi="ar-SA"/>
    </w:rPr>
  </w:style>
  <w:style w:type="paragraph" w:customStyle="1" w:styleId="99">
    <w:name w:val="附录五级条标题"/>
    <w:basedOn w:val="100"/>
    <w:next w:val="58"/>
    <w:qFormat/>
    <w:uiPriority w:val="0"/>
    <w:pPr>
      <w:numPr>
        <w:ilvl w:val="6"/>
      </w:numPr>
      <w:outlineLvl w:val="6"/>
    </w:pPr>
  </w:style>
  <w:style w:type="paragraph" w:customStyle="1" w:styleId="100">
    <w:name w:val="附录四级条标题"/>
    <w:basedOn w:val="101"/>
    <w:next w:val="58"/>
    <w:qFormat/>
    <w:uiPriority w:val="0"/>
    <w:pPr>
      <w:numPr>
        <w:ilvl w:val="5"/>
      </w:numPr>
      <w:outlineLvl w:val="5"/>
    </w:pPr>
  </w:style>
  <w:style w:type="paragraph" w:customStyle="1" w:styleId="101">
    <w:name w:val="附录三级条标题"/>
    <w:basedOn w:val="102"/>
    <w:next w:val="58"/>
    <w:qFormat/>
    <w:uiPriority w:val="0"/>
    <w:pPr>
      <w:numPr>
        <w:ilvl w:val="4"/>
      </w:numPr>
      <w:outlineLvl w:val="4"/>
    </w:pPr>
  </w:style>
  <w:style w:type="paragraph" w:customStyle="1" w:styleId="102">
    <w:name w:val="附录二级条标题"/>
    <w:basedOn w:val="103"/>
    <w:next w:val="58"/>
    <w:qFormat/>
    <w:uiPriority w:val="0"/>
    <w:pPr>
      <w:numPr>
        <w:ilvl w:val="3"/>
      </w:numPr>
      <w:outlineLvl w:val="3"/>
    </w:pPr>
  </w:style>
  <w:style w:type="paragraph" w:customStyle="1" w:styleId="103">
    <w:name w:val="附录一级条标题"/>
    <w:basedOn w:val="79"/>
    <w:next w:val="58"/>
    <w:qFormat/>
    <w:uiPriority w:val="0"/>
    <w:pPr>
      <w:numPr>
        <w:ilvl w:val="2"/>
      </w:numPr>
      <w:autoSpaceDN w:val="0"/>
      <w:spacing w:beforeLines="0" w:afterLines="0"/>
      <w:outlineLvl w:val="2"/>
    </w:pPr>
  </w:style>
  <w:style w:type="paragraph" w:customStyle="1" w:styleId="104">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5">
    <w:name w:val="附录图标题"/>
    <w:next w:val="58"/>
    <w:qFormat/>
    <w:uiPriority w:val="0"/>
    <w:pPr>
      <w:jc w:val="center"/>
    </w:pPr>
    <w:rPr>
      <w:rFonts w:ascii="黑体" w:hAnsi="Times New Roman" w:eastAsia="黑体" w:cs="Times New Roman"/>
      <w:sz w:val="21"/>
      <w:lang w:val="en-US" w:eastAsia="zh-CN" w:bidi="ar-SA"/>
    </w:rPr>
  </w:style>
  <w:style w:type="paragraph" w:customStyle="1" w:styleId="106">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07">
    <w:name w:val="正文表标题"/>
    <w:next w:val="58"/>
    <w:qFormat/>
    <w:uiPriority w:val="0"/>
    <w:pPr>
      <w:numPr>
        <w:ilvl w:val="0"/>
        <w:numId w:val="8"/>
      </w:numPr>
      <w:jc w:val="center"/>
    </w:pPr>
    <w:rPr>
      <w:rFonts w:ascii="黑体" w:hAnsi="Times New Roman" w:eastAsia="黑体" w:cs="Times New Roman"/>
      <w:sz w:val="21"/>
      <w:lang w:val="en-US" w:eastAsia="zh-CN" w:bidi="ar-SA"/>
    </w:rPr>
  </w:style>
  <w:style w:type="paragraph" w:customStyle="1" w:styleId="108">
    <w:name w:val="示例"/>
    <w:next w:val="58"/>
    <w:qFormat/>
    <w:uiPriority w:val="0"/>
    <w:pPr>
      <w:numPr>
        <w:ilvl w:val="0"/>
        <w:numId w:val="9"/>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09">
    <w:name w:val="篇"/>
    <w:basedOn w:val="1"/>
    <w:next w:val="1"/>
    <w:qFormat/>
    <w:uiPriority w:val="0"/>
    <w:pPr>
      <w:adjustRightInd w:val="0"/>
      <w:spacing w:line="360" w:lineRule="atLeast"/>
      <w:jc w:val="center"/>
      <w:textAlignment w:val="baseline"/>
    </w:pPr>
    <w:rPr>
      <w:rFonts w:eastAsia="黑体"/>
      <w:kern w:val="0"/>
      <w:sz w:val="24"/>
      <w:szCs w:val="20"/>
    </w:rPr>
  </w:style>
  <w:style w:type="paragraph" w:customStyle="1" w:styleId="110">
    <w:name w:val="四级无标题条"/>
    <w:basedOn w:val="1"/>
    <w:qFormat/>
    <w:uiPriority w:val="0"/>
    <w:pPr>
      <w:numPr>
        <w:ilvl w:val="5"/>
        <w:numId w:val="5"/>
      </w:numPr>
    </w:pPr>
  </w:style>
  <w:style w:type="paragraph" w:customStyle="1" w:styleId="111">
    <w:name w:val="目次、标准名称标题"/>
    <w:basedOn w:val="66"/>
    <w:next w:val="58"/>
    <w:qFormat/>
    <w:uiPriority w:val="0"/>
    <w:pPr>
      <w:numPr>
        <w:numId w:val="0"/>
      </w:numPr>
      <w:spacing w:line="460" w:lineRule="exact"/>
    </w:pPr>
  </w:style>
  <w:style w:type="paragraph" w:customStyle="1" w:styleId="112">
    <w:name w:val="标准书眉一"/>
    <w:qFormat/>
    <w:uiPriority w:val="0"/>
    <w:pPr>
      <w:jc w:val="both"/>
    </w:pPr>
    <w:rPr>
      <w:rFonts w:ascii="Times New Roman" w:hAnsi="Times New Roman" w:eastAsia="宋体" w:cs="Times New Roman"/>
      <w:lang w:val="en-US" w:eastAsia="zh-CN" w:bidi="ar-SA"/>
    </w:rPr>
  </w:style>
  <w:style w:type="paragraph" w:customStyle="1" w:styleId="113">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4">
    <w:name w:val="其他发布部门"/>
    <w:basedOn w:val="68"/>
    <w:qFormat/>
    <w:uiPriority w:val="0"/>
    <w:pPr>
      <w:spacing w:line="0" w:lineRule="atLeast"/>
    </w:pPr>
    <w:rPr>
      <w:rFonts w:ascii="黑体" w:eastAsia="黑体"/>
      <w:b w:val="0"/>
    </w:rPr>
  </w:style>
  <w:style w:type="paragraph" w:customStyle="1" w:styleId="115">
    <w:name w:val="列项·"/>
    <w:qFormat/>
    <w:uiPriority w:val="0"/>
    <w:pPr>
      <w:numPr>
        <w:ilvl w:val="0"/>
        <w:numId w:val="10"/>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16">
    <w:name w:val="三级无标题条"/>
    <w:basedOn w:val="1"/>
    <w:qFormat/>
    <w:uiPriority w:val="0"/>
    <w:pPr>
      <w:numPr>
        <w:ilvl w:val="4"/>
        <w:numId w:val="5"/>
      </w:numPr>
    </w:pPr>
  </w:style>
  <w:style w:type="paragraph" w:customStyle="1" w:styleId="11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8">
    <w:name w:val="一级无标题条"/>
    <w:basedOn w:val="1"/>
    <w:qFormat/>
    <w:uiPriority w:val="0"/>
    <w:pPr>
      <w:numPr>
        <w:ilvl w:val="2"/>
        <w:numId w:val="5"/>
      </w:numPr>
    </w:pPr>
  </w:style>
  <w:style w:type="paragraph" w:customStyle="1" w:styleId="119">
    <w:name w:val="封面标准代替信息"/>
    <w:basedOn w:val="63"/>
    <w:qFormat/>
    <w:uiPriority w:val="0"/>
    <w:pPr>
      <w:spacing w:before="57"/>
    </w:pPr>
    <w:rPr>
      <w:rFonts w:ascii="宋体"/>
      <w:sz w:val="21"/>
    </w:rPr>
  </w:style>
  <w:style w:type="paragraph" w:customStyle="1" w:styleId="120">
    <w:name w:val="标准正文"/>
    <w:basedOn w:val="1"/>
    <w:qFormat/>
    <w:uiPriority w:val="0"/>
    <w:pPr>
      <w:adjustRightInd w:val="0"/>
      <w:spacing w:line="360" w:lineRule="atLeast"/>
      <w:ind w:firstLine="425"/>
      <w:jc w:val="left"/>
      <w:textAlignment w:val="baseline"/>
    </w:pPr>
    <w:rPr>
      <w:spacing w:val="-4"/>
      <w:kern w:val="21"/>
      <w:szCs w:val="20"/>
    </w:rPr>
  </w:style>
  <w:style w:type="paragraph" w:customStyle="1" w:styleId="121">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font6"/>
    <w:basedOn w:val="1"/>
    <w:qFormat/>
    <w:uiPriority w:val="0"/>
    <w:pPr>
      <w:widowControl/>
      <w:spacing w:before="100" w:beforeAutospacing="1" w:after="100" w:afterAutospacing="1"/>
      <w:jc w:val="left"/>
    </w:pPr>
    <w:rPr>
      <w:b/>
      <w:bCs/>
      <w:kern w:val="0"/>
      <w:sz w:val="20"/>
      <w:szCs w:val="20"/>
    </w:rPr>
  </w:style>
  <w:style w:type="paragraph" w:customStyle="1" w:styleId="124">
    <w:name w:val="font7"/>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5">
    <w:name w:val="font8"/>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6">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7">
    <w:name w:val="font10"/>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8">
    <w:name w:val="font11"/>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29">
    <w:name w:val="xl78"/>
    <w:basedOn w:val="1"/>
    <w:qFormat/>
    <w:uiPriority w:val="0"/>
    <w:pPr>
      <w:widowControl/>
      <w:spacing w:before="100" w:beforeAutospacing="1" w:after="100" w:afterAutospacing="1"/>
      <w:jc w:val="center"/>
      <w:textAlignment w:val="center"/>
    </w:pPr>
    <w:rPr>
      <w:b/>
      <w:bCs/>
      <w:kern w:val="0"/>
      <w:sz w:val="24"/>
    </w:rPr>
  </w:style>
  <w:style w:type="paragraph" w:customStyle="1" w:styleId="130">
    <w:name w:val="xl79"/>
    <w:basedOn w:val="1"/>
    <w:qFormat/>
    <w:uiPriority w:val="0"/>
    <w:pPr>
      <w:widowControl/>
      <w:spacing w:before="100" w:beforeAutospacing="1" w:after="100" w:afterAutospacing="1"/>
      <w:jc w:val="center"/>
      <w:textAlignment w:val="center"/>
    </w:pPr>
    <w:rPr>
      <w:b/>
      <w:bCs/>
      <w:kern w:val="0"/>
      <w:sz w:val="24"/>
    </w:rPr>
  </w:style>
  <w:style w:type="paragraph" w:customStyle="1" w:styleId="131">
    <w:name w:val="xl80"/>
    <w:basedOn w:val="1"/>
    <w:qFormat/>
    <w:uiPriority w:val="0"/>
    <w:pPr>
      <w:widowControl/>
      <w:spacing w:before="100" w:beforeAutospacing="1" w:after="100" w:afterAutospacing="1"/>
      <w:jc w:val="center"/>
      <w:textAlignment w:val="center"/>
    </w:pPr>
    <w:rPr>
      <w:b/>
      <w:bCs/>
      <w:kern w:val="0"/>
      <w:sz w:val="24"/>
    </w:rPr>
  </w:style>
  <w:style w:type="paragraph" w:customStyle="1" w:styleId="13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4">
    <w:name w:val="xl8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35">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2">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4">
    <w:name w:val="xl9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5">
    <w:name w:val="xl94"/>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6">
    <w:name w:val="c封面标准名称"/>
    <w:basedOn w:val="1"/>
    <w:qFormat/>
    <w:uiPriority w:val="0"/>
    <w:pPr>
      <w:adjustRightInd w:val="0"/>
      <w:jc w:val="center"/>
    </w:pPr>
    <w:rPr>
      <w:rFonts w:eastAsia="黑体"/>
      <w:kern w:val="0"/>
      <w:sz w:val="52"/>
      <w:szCs w:val="20"/>
    </w:rPr>
  </w:style>
  <w:style w:type="paragraph" w:customStyle="1" w:styleId="147">
    <w:name w:val="样式2"/>
    <w:basedOn w:val="71"/>
    <w:qFormat/>
    <w:uiPriority w:val="0"/>
    <w:pPr>
      <w:numPr>
        <w:numId w:val="0"/>
      </w:numPr>
      <w:spacing w:line="240" w:lineRule="auto"/>
      <w:ind w:left="454"/>
    </w:pPr>
    <w:rPr>
      <w:color w:val="auto"/>
      <w:spacing w:val="0"/>
      <w:szCs w:val="20"/>
    </w:rPr>
  </w:style>
  <w:style w:type="paragraph" w:customStyle="1" w:styleId="148">
    <w:name w:val="列出段落1"/>
    <w:basedOn w:val="1"/>
    <w:qFormat/>
    <w:uiPriority w:val="34"/>
    <w:pPr>
      <w:ind w:firstLine="420" w:firstLineChars="200"/>
    </w:pPr>
    <w:rPr>
      <w:rFonts w:ascii="Calibri" w:hAnsi="Calibri"/>
      <w:szCs w:val="22"/>
    </w:rPr>
  </w:style>
  <w:style w:type="paragraph" w:customStyle="1" w:styleId="149">
    <w:name w:val="图表脚注说明"/>
    <w:basedOn w:val="1"/>
    <w:qFormat/>
    <w:uiPriority w:val="0"/>
    <w:rPr>
      <w:rFonts w:ascii="宋体"/>
      <w:sz w:val="18"/>
      <w:szCs w:val="18"/>
    </w:rPr>
  </w:style>
  <w:style w:type="paragraph" w:customStyle="1" w:styleId="150">
    <w:name w:val="Char11"/>
    <w:basedOn w:val="1"/>
    <w:qFormat/>
    <w:uiPriority w:val="0"/>
    <w:pPr>
      <w:widowControl/>
      <w:spacing w:after="160" w:line="240" w:lineRule="exact"/>
      <w:jc w:val="left"/>
    </w:pPr>
  </w:style>
  <w:style w:type="paragraph" w:customStyle="1" w:styleId="151">
    <w:name w:val="ordinary-output"/>
    <w:basedOn w:val="1"/>
    <w:qFormat/>
    <w:uiPriority w:val="99"/>
    <w:pPr>
      <w:widowControl/>
      <w:spacing w:before="100" w:beforeAutospacing="1" w:after="63" w:line="275" w:lineRule="atLeast"/>
      <w:jc w:val="left"/>
    </w:pPr>
    <w:rPr>
      <w:rFonts w:ascii="宋体" w:hAnsi="宋体" w:cs="宋体"/>
      <w:color w:val="333333"/>
      <w:kern w:val="0"/>
      <w:sz w:val="18"/>
      <w:szCs w:val="18"/>
    </w:rPr>
  </w:style>
  <w:style w:type="paragraph" w:customStyle="1" w:styleId="152">
    <w:name w:val="列出段落11"/>
    <w:basedOn w:val="1"/>
    <w:qFormat/>
    <w:uiPriority w:val="34"/>
    <w:pPr>
      <w:ind w:firstLine="420" w:firstLineChars="200"/>
    </w:pPr>
    <w:rPr>
      <w:sz w:val="24"/>
    </w:rPr>
  </w:style>
  <w:style w:type="paragraph" w:customStyle="1" w:styleId="153">
    <w:name w:val="Char1 Char Char Char"/>
    <w:basedOn w:val="1"/>
    <w:qFormat/>
    <w:uiPriority w:val="0"/>
    <w:rPr>
      <w:szCs w:val="20"/>
    </w:rPr>
  </w:style>
  <w:style w:type="paragraph" w:customStyle="1" w:styleId="154">
    <w:name w:val="Char1"/>
    <w:basedOn w:val="1"/>
    <w:qFormat/>
    <w:uiPriority w:val="0"/>
    <w:pPr>
      <w:widowControl/>
      <w:spacing w:after="160" w:line="240" w:lineRule="exact"/>
      <w:jc w:val="left"/>
    </w:pPr>
  </w:style>
  <w:style w:type="paragraph" w:customStyle="1" w:styleId="155">
    <w:name w:val="Decimal Aligned"/>
    <w:basedOn w:val="1"/>
    <w:qFormat/>
    <w:uiPriority w:val="40"/>
    <w:pPr>
      <w:widowControl/>
      <w:tabs>
        <w:tab w:val="decimal" w:pos="360"/>
      </w:tabs>
      <w:spacing w:after="200" w:line="276" w:lineRule="auto"/>
      <w:jc w:val="left"/>
    </w:pPr>
    <w:rPr>
      <w:rFonts w:ascii="Calibri" w:hAnsi="Calibri"/>
      <w:kern w:val="0"/>
      <w:sz w:val="22"/>
      <w:szCs w:val="22"/>
    </w:rPr>
  </w:style>
  <w:style w:type="paragraph" w:customStyle="1" w:styleId="156">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7">
    <w:name w:val="xl69"/>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8">
    <w:name w:val="xl121"/>
    <w:basedOn w:val="1"/>
    <w:qFormat/>
    <w:uiPriority w:val="0"/>
    <w:pPr>
      <w:widowControl/>
      <w:pBdr>
        <w:top w:val="single" w:color="FF0000" w:sz="8" w:space="0"/>
        <w:bottom w:val="single" w:color="000000" w:sz="4" w:space="0"/>
      </w:pBdr>
      <w:spacing w:before="100" w:beforeAutospacing="1" w:after="100" w:afterAutospacing="1"/>
      <w:jc w:val="center"/>
    </w:pPr>
    <w:rPr>
      <w:rFonts w:ascii="宋体" w:hAnsi="宋体" w:cs="宋体"/>
      <w:kern w:val="0"/>
      <w:szCs w:val="21"/>
    </w:rPr>
  </w:style>
  <w:style w:type="paragraph" w:customStyle="1" w:styleId="15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165"/>
    <w:basedOn w:val="1"/>
    <w:qFormat/>
    <w:uiPriority w:val="0"/>
    <w:pPr>
      <w:widowControl/>
      <w:pBdr>
        <w:top w:val="single" w:color="auto" w:sz="8" w:space="0"/>
        <w:left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161">
    <w:name w:val="xl120"/>
    <w:basedOn w:val="1"/>
    <w:qFormat/>
    <w:uiPriority w:val="0"/>
    <w:pPr>
      <w:widowControl/>
      <w:pBdr>
        <w:top w:val="single" w:color="FF0000" w:sz="8"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162">
    <w:name w:val="xl106"/>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3">
    <w:name w:val="xl11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4">
    <w:name w:val="xl102"/>
    <w:basedOn w:val="1"/>
    <w:qFormat/>
    <w:uiPriority w:val="0"/>
    <w:pPr>
      <w:widowControl/>
      <w:pBdr>
        <w:top w:val="single" w:color="FF0000" w:sz="8"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5">
    <w:name w:val="xl97"/>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7">
    <w:name w:val="xl7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68">
    <w:name w:val="xl73"/>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69">
    <w:name w:val="xl183"/>
    <w:basedOn w:val="1"/>
    <w:qFormat/>
    <w:uiPriority w:val="0"/>
    <w:pPr>
      <w:widowControl/>
      <w:pBdr>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0">
    <w:name w:val="xl184"/>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1">
    <w:name w:val="xl122"/>
    <w:basedOn w:val="1"/>
    <w:qFormat/>
    <w:uiPriority w:val="0"/>
    <w:pPr>
      <w:widowControl/>
      <w:pBdr>
        <w:top w:val="single" w:color="FF0000" w:sz="8"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72">
    <w:name w:val="xl75"/>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173">
    <w:name w:val="xl182"/>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4">
    <w:name w:val="xl130"/>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5">
    <w:name w:val="xl71"/>
    <w:basedOn w:val="1"/>
    <w:qFormat/>
    <w:uiPriority w:val="0"/>
    <w:pPr>
      <w:widowControl/>
      <w:pBdr>
        <w:top w:val="single" w:color="FF0000"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6">
    <w:name w:val="xl1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7">
    <w:name w:val="xl135"/>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7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9">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1">
    <w:name w:val="xl6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2">
    <w:name w:val="xl64"/>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xl178"/>
    <w:basedOn w:val="1"/>
    <w:qFormat/>
    <w:uiPriority w:val="0"/>
    <w:pPr>
      <w:widowControl/>
      <w:pBdr>
        <w:top w:val="single" w:color="FF0000"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4">
    <w:name w:val="xl170"/>
    <w:basedOn w:val="1"/>
    <w:qFormat/>
    <w:uiPriority w:val="0"/>
    <w:pPr>
      <w:widowControl/>
      <w:pBdr>
        <w:lef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5">
    <w:name w:val="xl17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6">
    <w:name w:val="xl15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87">
    <w:name w:val="xl176"/>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8">
    <w:name w:val="xl168"/>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9">
    <w:name w:val="xl152"/>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cs="宋体"/>
      <w:kern w:val="0"/>
      <w:szCs w:val="21"/>
    </w:rPr>
  </w:style>
  <w:style w:type="paragraph" w:customStyle="1" w:styleId="190">
    <w:name w:val="xl74"/>
    <w:basedOn w:val="1"/>
    <w:qFormat/>
    <w:uiPriority w:val="0"/>
    <w:pPr>
      <w:widowControl/>
      <w:pBdr>
        <w:top w:val="single" w:color="FF0000" w:sz="8"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1">
    <w:name w:val="xl174"/>
    <w:basedOn w:val="1"/>
    <w:qFormat/>
    <w:uiPriority w:val="0"/>
    <w:pPr>
      <w:widowControl/>
      <w:pBdr>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92">
    <w:name w:val="xl15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3">
    <w:name w:val="xl129"/>
    <w:basedOn w:val="1"/>
    <w:qFormat/>
    <w:uiPriority w:val="0"/>
    <w:pPr>
      <w:widowControl/>
      <w:pBdr>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94">
    <w:name w:val="xl7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5">
    <w:name w:val="xl12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7">
    <w:name w:val="xl72"/>
    <w:basedOn w:val="1"/>
    <w:qFormat/>
    <w:uiPriority w:val="0"/>
    <w:pPr>
      <w:widowControl/>
      <w:pBdr>
        <w:top w:val="single" w:color="FF0000"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8">
    <w:name w:val="xl11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99">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0">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1">
    <w:name w:val="xl11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2">
    <w:name w:val="xl103"/>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3">
    <w:name w:val="xl98"/>
    <w:basedOn w:val="1"/>
    <w:qFormat/>
    <w:uiPriority w:val="0"/>
    <w:pPr>
      <w:widowControl/>
      <w:pBdr>
        <w:top w:val="single" w:color="auto" w:sz="4" w:space="0"/>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4">
    <w:name w:val="xl162"/>
    <w:basedOn w:val="1"/>
    <w:qFormat/>
    <w:uiPriority w:val="0"/>
    <w:pPr>
      <w:widowControl/>
      <w:pBdr>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5">
    <w:name w:val="xl1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06">
    <w:name w:val="xl11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7">
    <w:name w:val="xl159"/>
    <w:basedOn w:val="1"/>
    <w:qFormat/>
    <w:uiPriority w:val="0"/>
    <w:pPr>
      <w:widowControl/>
      <w:pBdr>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8">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9">
    <w:name w:val="xl160"/>
    <w:basedOn w:val="1"/>
    <w:qFormat/>
    <w:uiPriority w:val="0"/>
    <w:pPr>
      <w:widowControl/>
      <w:pBdr>
        <w:top w:val="single" w:color="000000" w:sz="4" w:space="0"/>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0">
    <w:name w:val="xl95"/>
    <w:basedOn w:val="1"/>
    <w:qFormat/>
    <w:uiPriority w:val="0"/>
    <w:pPr>
      <w:widowControl/>
      <w:pBdr>
        <w:top w:val="single" w:color="auto" w:sz="4"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11">
    <w:name w:val="xl108"/>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212">
    <w:name w:val="xl157"/>
    <w:basedOn w:val="1"/>
    <w:qFormat/>
    <w:uiPriority w:val="0"/>
    <w:pPr>
      <w:widowControl/>
      <w:pBdr>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13">
    <w:name w:val="xl118"/>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14">
    <w:name w:val="xl104"/>
    <w:basedOn w:val="1"/>
    <w:qFormat/>
    <w:uiPriority w:val="0"/>
    <w:pPr>
      <w:widowControl/>
      <w:pBdr>
        <w:top w:val="single" w:color="FF0000" w:sz="8" w:space="0"/>
        <w:left w:val="single" w:color="auto" w:sz="4" w:space="0"/>
        <w:bottom w:val="single" w:color="FF0000"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15">
    <w:name w:val="xl163"/>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6">
    <w:name w:val="xl155"/>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17">
    <w:name w:val="xl99"/>
    <w:basedOn w:val="1"/>
    <w:qFormat/>
    <w:uiPriority w:val="0"/>
    <w:pPr>
      <w:widowControl/>
      <w:pBdr>
        <w:top w:val="single" w:color="FF0000"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18">
    <w:name w:val="xl140"/>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1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20">
    <w:name w:val="xl1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1">
    <w:name w:val="xl138"/>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2">
    <w:name w:val="xl119"/>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3">
    <w:name w:val="xl105"/>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4">
    <w:name w:val="xl143"/>
    <w:basedOn w:val="1"/>
    <w:qFormat/>
    <w:uiPriority w:val="0"/>
    <w:pPr>
      <w:widowControl/>
      <w:pBdr>
        <w:top w:val="single" w:color="FF0000" w:sz="8"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25">
    <w:name w:val="xl11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2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7">
    <w:name w:val="xl144"/>
    <w:basedOn w:val="1"/>
    <w:qFormat/>
    <w:uiPriority w:val="0"/>
    <w:pPr>
      <w:widowControl/>
      <w:pBdr>
        <w:top w:val="single" w:color="FF0000" w:sz="8" w:space="0"/>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28">
    <w:name w:val="xl10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9">
    <w:name w:val="xl141"/>
    <w:basedOn w:val="1"/>
    <w:qFormat/>
    <w:uiPriority w:val="0"/>
    <w:pPr>
      <w:widowControl/>
      <w:pBdr>
        <w:left w:val="single" w:color="auto"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30">
    <w:name w:val="xl96"/>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31">
    <w:name w:val="xl171"/>
    <w:basedOn w:val="1"/>
    <w:qFormat/>
    <w:uiPriority w:val="0"/>
    <w:pPr>
      <w:widowControl/>
      <w:spacing w:before="100" w:beforeAutospacing="1" w:after="100" w:afterAutospacing="1"/>
      <w:jc w:val="center"/>
    </w:pPr>
    <w:rPr>
      <w:rFonts w:ascii="宋体" w:hAnsi="宋体" w:cs="宋体"/>
      <w:b/>
      <w:bCs/>
      <w:color w:val="000000"/>
      <w:kern w:val="0"/>
      <w:szCs w:val="21"/>
    </w:rPr>
  </w:style>
  <w:style w:type="paragraph" w:customStyle="1" w:styleId="232">
    <w:name w:val="xl125"/>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33">
    <w:name w:val="xl18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4">
    <w:name w:val="xl179"/>
    <w:basedOn w:val="1"/>
    <w:qFormat/>
    <w:uiPriority w:val="0"/>
    <w:pPr>
      <w:widowControl/>
      <w:pBdr>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35">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6">
    <w:name w:val="xl126"/>
    <w:basedOn w:val="1"/>
    <w:qFormat/>
    <w:uiPriority w:val="0"/>
    <w:pPr>
      <w:widowControl/>
      <w:pBdr>
        <w:bottom w:val="single" w:color="000000" w:sz="4" w:space="0"/>
      </w:pBdr>
      <w:spacing w:before="100" w:beforeAutospacing="1" w:after="100" w:afterAutospacing="1"/>
      <w:jc w:val="center"/>
    </w:pPr>
    <w:rPr>
      <w:rFonts w:ascii="宋体" w:hAnsi="宋体" w:cs="宋体"/>
      <w:kern w:val="0"/>
      <w:szCs w:val="21"/>
    </w:rPr>
  </w:style>
  <w:style w:type="paragraph" w:customStyle="1" w:styleId="237">
    <w:name w:val="xl127"/>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8">
    <w:name w:val="xl12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9">
    <w:name w:val="xl131"/>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0">
    <w:name w:val="xl132"/>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41">
    <w:name w:val="xl177"/>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42">
    <w:name w:val="xl1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43">
    <w:name w:val="xl133"/>
    <w:basedOn w:val="1"/>
    <w:qFormat/>
    <w:uiPriority w:val="0"/>
    <w:pPr>
      <w:widowControl/>
      <w:pBdr>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44">
    <w:name w:val="xl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45">
    <w:name w:val="xl134"/>
    <w:basedOn w:val="1"/>
    <w:qFormat/>
    <w:uiPriority w:val="0"/>
    <w:pPr>
      <w:widowControl/>
      <w:pBdr>
        <w:bottom w:val="single" w:color="FF0000" w:sz="8" w:space="0"/>
      </w:pBdr>
      <w:spacing w:before="100" w:beforeAutospacing="1" w:after="100" w:afterAutospacing="1"/>
      <w:jc w:val="center"/>
    </w:pPr>
    <w:rPr>
      <w:rFonts w:ascii="宋体" w:hAnsi="宋体" w:cs="宋体"/>
      <w:kern w:val="0"/>
      <w:szCs w:val="21"/>
    </w:rPr>
  </w:style>
  <w:style w:type="paragraph" w:customStyle="1" w:styleId="246">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7">
    <w:name w:val="xl137"/>
    <w:basedOn w:val="1"/>
    <w:qFormat/>
    <w:uiPriority w:val="0"/>
    <w:pPr>
      <w:widowControl/>
      <w:pBdr>
        <w:top w:val="single" w:color="000000" w:sz="4"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48">
    <w:name w:val="xl147"/>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49">
    <w:name w:val="xl139"/>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50">
    <w:name w:val="xl142"/>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51">
    <w:name w:val="xl172"/>
    <w:basedOn w:val="1"/>
    <w:qFormat/>
    <w:uiPriority w:val="0"/>
    <w:pPr>
      <w:widowControl/>
      <w:pBdr>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2">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3">
    <w:name w:val="xl173"/>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4">
    <w:name w:val="xl14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55">
    <w:name w:val="xl161"/>
    <w:basedOn w:val="1"/>
    <w:qFormat/>
    <w:uiPriority w:val="0"/>
    <w:pPr>
      <w:widowControl/>
      <w:pBdr>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6">
    <w:name w:val="xl153"/>
    <w:basedOn w:val="1"/>
    <w:qFormat/>
    <w:uiPriority w:val="0"/>
    <w:pPr>
      <w:widowControl/>
      <w:pBdr>
        <w:left w:val="single" w:color="auto" w:sz="4" w:space="0"/>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7">
    <w:name w:val="xl164"/>
    <w:basedOn w:val="1"/>
    <w:qFormat/>
    <w:uiPriority w:val="0"/>
    <w:pPr>
      <w:widowControl/>
      <w:pBdr>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8">
    <w:name w:val="xl156"/>
    <w:basedOn w:val="1"/>
    <w:qFormat/>
    <w:uiPriority w:val="0"/>
    <w:pPr>
      <w:widowControl/>
      <w:pBdr>
        <w:top w:val="single" w:color="FF0000" w:sz="8" w:space="0"/>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59">
    <w:name w:val="xl158"/>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60">
    <w:name w:val="xl166"/>
    <w:basedOn w:val="1"/>
    <w:qFormat/>
    <w:uiPriority w:val="0"/>
    <w:pPr>
      <w:widowControl/>
      <w:pBdr>
        <w:top w:val="single" w:color="auto" w:sz="8" w:space="0"/>
        <w:left w:val="single" w:color="auto" w:sz="8" w:space="0"/>
        <w:bottom w:val="single" w:color="auto" w:sz="4" w:space="0"/>
        <w:right w:val="single" w:color="auto" w:sz="8" w:space="0"/>
      </w:pBdr>
      <w:spacing w:before="100" w:beforeAutospacing="1" w:after="100" w:afterAutospacing="1"/>
      <w:jc w:val="center"/>
    </w:pPr>
    <w:rPr>
      <w:rFonts w:ascii="宋体" w:hAnsi="宋体" w:cs="宋体"/>
      <w:b/>
      <w:bCs/>
      <w:color w:val="000000"/>
      <w:kern w:val="0"/>
      <w:sz w:val="28"/>
      <w:szCs w:val="28"/>
    </w:rPr>
  </w:style>
  <w:style w:type="paragraph" w:customStyle="1" w:styleId="261">
    <w:name w:val="xl167"/>
    <w:basedOn w:val="1"/>
    <w:qFormat/>
    <w:uiPriority w:val="0"/>
    <w:pPr>
      <w:widowControl/>
      <w:pBdr>
        <w:top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262">
    <w:name w:val="xl188"/>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63">
    <w:name w:val="xl1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4">
    <w:name w:val="xl18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5">
    <w:name w:val="Char2"/>
    <w:basedOn w:val="1"/>
    <w:qFormat/>
    <w:uiPriority w:val="0"/>
    <w:pPr>
      <w:widowControl/>
      <w:spacing w:after="160" w:line="240" w:lineRule="exact"/>
      <w:jc w:val="left"/>
    </w:pPr>
  </w:style>
  <w:style w:type="paragraph" w:customStyle="1" w:styleId="266">
    <w:name w:val="正文1"/>
    <w:qFormat/>
    <w:uiPriority w:val="0"/>
    <w:pPr>
      <w:jc w:val="both"/>
    </w:pPr>
    <w:rPr>
      <w:rFonts w:ascii="Calibri" w:hAnsi="Calibri" w:eastAsia="宋体" w:cs="Calibri"/>
      <w:kern w:val="2"/>
      <w:sz w:val="21"/>
      <w:szCs w:val="21"/>
      <w:lang w:val="en-US" w:eastAsia="zh-CN" w:bidi="ar-SA"/>
    </w:rPr>
  </w:style>
  <w:style w:type="paragraph" w:customStyle="1" w:styleId="267">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68">
    <w:name w:val="p0"/>
    <w:basedOn w:val="1"/>
    <w:qFormat/>
    <w:uiPriority w:val="0"/>
    <w:pPr>
      <w:widowControl/>
      <w:jc w:val="left"/>
    </w:pPr>
    <w:rPr>
      <w:kern w:val="0"/>
      <w:szCs w:val="21"/>
    </w:rPr>
  </w:style>
  <w:style w:type="paragraph" w:customStyle="1" w:styleId="269">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270">
    <w:name w:val="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271">
    <w:name w:val="Char5"/>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Char6"/>
    <w:basedOn w:val="1"/>
    <w:qFormat/>
    <w:uiPriority w:val="0"/>
    <w:pPr>
      <w:widowControl/>
      <w:spacing w:after="160" w:line="240" w:lineRule="exact"/>
      <w:jc w:val="left"/>
    </w:pPr>
    <w:rPr>
      <w:rFonts w:ascii="Verdana" w:hAnsi="Verdana"/>
      <w:kern w:val="0"/>
      <w:sz w:val="20"/>
      <w:szCs w:val="20"/>
      <w:lang w:eastAsia="en-US"/>
    </w:rPr>
  </w:style>
  <w:style w:type="character" w:customStyle="1" w:styleId="273">
    <w:name w:val="发布"/>
    <w:qFormat/>
    <w:uiPriority w:val="0"/>
    <w:rPr>
      <w:rFonts w:ascii="黑体" w:eastAsia="黑体"/>
      <w:spacing w:val="22"/>
      <w:w w:val="100"/>
      <w:position w:val="3"/>
      <w:sz w:val="28"/>
    </w:rPr>
  </w:style>
  <w:style w:type="character" w:customStyle="1" w:styleId="274">
    <w:name w:val="个人答复风格"/>
    <w:qFormat/>
    <w:uiPriority w:val="0"/>
    <w:rPr>
      <w:rFonts w:ascii="Arial" w:hAnsi="Arial" w:eastAsia="宋体" w:cs="Arial"/>
      <w:color w:val="auto"/>
      <w:sz w:val="20"/>
    </w:rPr>
  </w:style>
  <w:style w:type="character" w:customStyle="1" w:styleId="275">
    <w:name w:val="段 Char"/>
    <w:link w:val="58"/>
    <w:qFormat/>
    <w:uiPriority w:val="0"/>
    <w:rPr>
      <w:rFonts w:ascii="宋体" w:hAnsi="宋体" w:eastAsia="宋体"/>
      <w:sz w:val="21"/>
      <w:lang w:val="en-US" w:eastAsia="zh-CN" w:bidi="ar-SA"/>
    </w:rPr>
  </w:style>
  <w:style w:type="character" w:customStyle="1" w:styleId="276">
    <w:name w:val="个人撰写风格"/>
    <w:qFormat/>
    <w:uiPriority w:val="0"/>
    <w:rPr>
      <w:rFonts w:ascii="Arial" w:hAnsi="Arial" w:eastAsia="宋体" w:cs="Arial"/>
      <w:color w:val="auto"/>
      <w:sz w:val="20"/>
    </w:rPr>
  </w:style>
  <w:style w:type="character" w:customStyle="1" w:styleId="277">
    <w:name w:val="二级条标题 Char"/>
    <w:link w:val="59"/>
    <w:qFormat/>
    <w:uiPriority w:val="0"/>
    <w:rPr>
      <w:rFonts w:ascii="黑体" w:hAnsi="黑体" w:eastAsia="黑体" w:cs="Times New Roman"/>
      <w:color w:val="000000" w:themeColor="text1"/>
      <w:spacing w:val="-6"/>
      <w:sz w:val="21"/>
      <w:szCs w:val="24"/>
      <w14:textFill>
        <w14:solidFill>
          <w14:schemeClr w14:val="tx1"/>
        </w14:solidFill>
      </w14:textFill>
    </w:rPr>
  </w:style>
  <w:style w:type="character" w:customStyle="1" w:styleId="278">
    <w:name w:val="章标题 Char"/>
    <w:link w:val="61"/>
    <w:qFormat/>
    <w:uiPriority w:val="0"/>
    <w:rPr>
      <w:rFonts w:ascii="黑体" w:hAnsi="Times New Roman" w:eastAsia="黑体" w:cs="Times New Roman"/>
      <w:sz w:val="21"/>
    </w:rPr>
  </w:style>
  <w:style w:type="character" w:customStyle="1" w:styleId="279">
    <w:name w:val="一级条标题 Char"/>
    <w:link w:val="60"/>
    <w:qFormat/>
    <w:uiPriority w:val="0"/>
    <w:rPr>
      <w:rFonts w:ascii="黑体" w:hAnsi="Times New Roman" w:eastAsia="黑体" w:cs="Times New Roman"/>
      <w:color w:val="FF0000"/>
      <w:spacing w:val="-4"/>
      <w:sz w:val="21"/>
      <w:szCs w:val="24"/>
    </w:rPr>
  </w:style>
  <w:style w:type="character" w:customStyle="1" w:styleId="280">
    <w:name w:val="纯文本 Char"/>
    <w:link w:val="24"/>
    <w:qFormat/>
    <w:uiPriority w:val="99"/>
    <w:rPr>
      <w:rFonts w:ascii="宋体" w:hAnsi="Courier New" w:cs="Courier New"/>
      <w:kern w:val="2"/>
      <w:sz w:val="21"/>
      <w:szCs w:val="21"/>
    </w:rPr>
  </w:style>
  <w:style w:type="character" w:customStyle="1" w:styleId="281">
    <w:name w:val="三级条标题 Char"/>
    <w:link w:val="71"/>
    <w:qFormat/>
    <w:uiPriority w:val="0"/>
    <w:rPr>
      <w:rFonts w:ascii="黑体" w:eastAsia="黑体"/>
      <w:color w:val="FF0000"/>
      <w:spacing w:val="-4"/>
      <w:sz w:val="21"/>
      <w:szCs w:val="24"/>
    </w:rPr>
  </w:style>
  <w:style w:type="character" w:customStyle="1" w:styleId="282">
    <w:name w:val="批注框文本 Char"/>
    <w:link w:val="29"/>
    <w:qFormat/>
    <w:uiPriority w:val="0"/>
    <w:rPr>
      <w:kern w:val="2"/>
      <w:sz w:val="18"/>
      <w:szCs w:val="18"/>
    </w:rPr>
  </w:style>
  <w:style w:type="character" w:customStyle="1" w:styleId="283">
    <w:name w:val="正文文本 Char"/>
    <w:link w:val="21"/>
    <w:qFormat/>
    <w:uiPriority w:val="0"/>
    <w:rPr>
      <w:kern w:val="2"/>
      <w:sz w:val="21"/>
      <w:szCs w:val="24"/>
    </w:rPr>
  </w:style>
  <w:style w:type="character" w:customStyle="1" w:styleId="284">
    <w:name w:val="注： Char"/>
    <w:link w:val="91"/>
    <w:qFormat/>
    <w:uiPriority w:val="0"/>
    <w:rPr>
      <w:rFonts w:ascii="宋体"/>
      <w:sz w:val="18"/>
    </w:rPr>
  </w:style>
  <w:style w:type="character" w:customStyle="1" w:styleId="285">
    <w:name w:val="页脚 Char"/>
    <w:link w:val="30"/>
    <w:qFormat/>
    <w:uiPriority w:val="99"/>
    <w:rPr>
      <w:kern w:val="2"/>
      <w:sz w:val="18"/>
      <w:szCs w:val="18"/>
    </w:rPr>
  </w:style>
  <w:style w:type="character" w:customStyle="1" w:styleId="286">
    <w:name w:val="正文文本缩进 Char"/>
    <w:link w:val="22"/>
    <w:qFormat/>
    <w:uiPriority w:val="0"/>
    <w:rPr>
      <w:kern w:val="2"/>
      <w:sz w:val="24"/>
    </w:rPr>
  </w:style>
  <w:style w:type="character" w:customStyle="1" w:styleId="287">
    <w:name w:val="表中文字"/>
    <w:qFormat/>
    <w:uiPriority w:val="0"/>
    <w:rPr>
      <w:rFonts w:ascii="宋体" w:eastAsia="宋体"/>
      <w:sz w:val="18"/>
    </w:rPr>
  </w:style>
  <w:style w:type="character" w:customStyle="1" w:styleId="288">
    <w:name w:val="批注文字 Char"/>
    <w:link w:val="20"/>
    <w:qFormat/>
    <w:uiPriority w:val="0"/>
    <w:rPr>
      <w:kern w:val="2"/>
      <w:sz w:val="21"/>
      <w:szCs w:val="24"/>
    </w:rPr>
  </w:style>
  <w:style w:type="character" w:customStyle="1" w:styleId="289">
    <w:name w:val="批注主题 Char"/>
    <w:link w:val="39"/>
    <w:qFormat/>
    <w:uiPriority w:val="0"/>
    <w:rPr>
      <w:b/>
      <w:bCs/>
      <w:kern w:val="2"/>
      <w:sz w:val="21"/>
      <w:szCs w:val="24"/>
    </w:rPr>
  </w:style>
  <w:style w:type="character" w:customStyle="1" w:styleId="290">
    <w:name w:val="页眉 Char"/>
    <w:link w:val="31"/>
    <w:qFormat/>
    <w:uiPriority w:val="99"/>
    <w:rPr>
      <w:kern w:val="2"/>
      <w:sz w:val="18"/>
      <w:szCs w:val="18"/>
    </w:rPr>
  </w:style>
  <w:style w:type="character" w:customStyle="1" w:styleId="291">
    <w:name w:val="正文文本缩进 2 Char"/>
    <w:link w:val="27"/>
    <w:qFormat/>
    <w:uiPriority w:val="0"/>
    <w:rPr>
      <w:kern w:val="2"/>
      <w:sz w:val="21"/>
      <w:szCs w:val="24"/>
    </w:rPr>
  </w:style>
  <w:style w:type="character" w:customStyle="1" w:styleId="292">
    <w:name w:val="日期 Char"/>
    <w:link w:val="26"/>
    <w:qFormat/>
    <w:uiPriority w:val="99"/>
    <w:rPr>
      <w:kern w:val="2"/>
      <w:sz w:val="24"/>
    </w:rPr>
  </w:style>
  <w:style w:type="character" w:customStyle="1" w:styleId="293">
    <w:name w:val="访问过的超链接1"/>
    <w:qFormat/>
    <w:uiPriority w:val="99"/>
    <w:rPr>
      <w:color w:val="800080"/>
      <w:u w:val="single"/>
    </w:rPr>
  </w:style>
  <w:style w:type="character" w:customStyle="1" w:styleId="294">
    <w:name w:val="段 Char Char Char Char"/>
    <w:qFormat/>
    <w:uiPriority w:val="0"/>
    <w:rPr>
      <w:rFonts w:ascii="宋体"/>
      <w:sz w:val="21"/>
      <w:lang w:val="en-US" w:eastAsia="zh-CN" w:bidi="ar-SA"/>
    </w:rPr>
  </w:style>
  <w:style w:type="character" w:customStyle="1" w:styleId="295">
    <w:name w:val="章标题 Char Char"/>
    <w:qFormat/>
    <w:uiPriority w:val="0"/>
    <w:rPr>
      <w:rFonts w:ascii="黑体" w:eastAsia="黑体"/>
      <w:sz w:val="21"/>
      <w:lang w:val="en-US" w:eastAsia="zh-CN" w:bidi="ar-SA"/>
    </w:rPr>
  </w:style>
  <w:style w:type="character" w:customStyle="1" w:styleId="296">
    <w:name w:val="正文文本缩进 Char1"/>
    <w:qFormat/>
    <w:uiPriority w:val="0"/>
    <w:rPr>
      <w:kern w:val="2"/>
      <w:sz w:val="21"/>
      <w:szCs w:val="24"/>
    </w:rPr>
  </w:style>
  <w:style w:type="character" w:customStyle="1" w:styleId="297">
    <w:name w:val="font21"/>
    <w:qFormat/>
    <w:uiPriority w:val="0"/>
    <w:rPr>
      <w:rFonts w:hint="eastAsia" w:ascii="宋体" w:hAnsi="宋体" w:eastAsia="宋体" w:cs="宋体"/>
      <w:b/>
      <w:color w:val="FF0000"/>
      <w:sz w:val="21"/>
      <w:szCs w:val="21"/>
      <w:u w:val="none"/>
    </w:rPr>
  </w:style>
  <w:style w:type="character" w:customStyle="1" w:styleId="298">
    <w:name w:val="font41"/>
    <w:qFormat/>
    <w:uiPriority w:val="0"/>
    <w:rPr>
      <w:rFonts w:hint="eastAsia" w:ascii="宋体" w:hAnsi="宋体" w:eastAsia="宋体" w:cs="宋体"/>
      <w:b/>
      <w:color w:val="FF0000"/>
      <w:sz w:val="21"/>
      <w:szCs w:val="21"/>
      <w:u w:val="none"/>
    </w:rPr>
  </w:style>
  <w:style w:type="character" w:customStyle="1" w:styleId="299">
    <w:name w:val="font01"/>
    <w:qFormat/>
    <w:uiPriority w:val="0"/>
    <w:rPr>
      <w:rFonts w:hint="eastAsia" w:ascii="宋体" w:hAnsi="宋体" w:eastAsia="宋体"/>
      <w:color w:val="000000"/>
      <w:sz w:val="24"/>
      <w:szCs w:val="24"/>
      <w:u w:val="none"/>
    </w:rPr>
  </w:style>
  <w:style w:type="character" w:customStyle="1" w:styleId="300">
    <w:name w:val="附录标识 Char"/>
    <w:link w:val="65"/>
    <w:qFormat/>
    <w:uiPriority w:val="0"/>
    <w:rPr>
      <w:sz w:val="21"/>
    </w:rPr>
  </w:style>
  <w:style w:type="character" w:customStyle="1" w:styleId="301">
    <w:name w:val="font31"/>
    <w:qFormat/>
    <w:uiPriority w:val="0"/>
    <w:rPr>
      <w:rFonts w:hint="eastAsia" w:ascii="宋体" w:hAnsi="宋体" w:eastAsia="宋体" w:cs="宋体"/>
      <w:color w:val="000000"/>
      <w:sz w:val="22"/>
      <w:szCs w:val="22"/>
      <w:u w:val="none"/>
    </w:rPr>
  </w:style>
  <w:style w:type="paragraph" w:styleId="302">
    <w:name w:val="List Paragraph"/>
    <w:basedOn w:val="1"/>
    <w:qFormat/>
    <w:uiPriority w:val="34"/>
    <w:pPr>
      <w:ind w:firstLine="420" w:firstLineChars="200"/>
    </w:pPr>
  </w:style>
  <w:style w:type="paragraph" w:customStyle="1" w:styleId="303">
    <w:name w:val="Table Paragraph"/>
    <w:basedOn w:val="1"/>
    <w:qFormat/>
    <w:uiPriority w:val="1"/>
    <w:pPr>
      <w:autoSpaceDE w:val="0"/>
      <w:autoSpaceDN w:val="0"/>
      <w:jc w:val="left"/>
    </w:pPr>
    <w:rPr>
      <w:rFonts w:ascii="仿宋" w:hAnsi="仿宋" w:eastAsia="仿宋" w:cs="仿宋"/>
      <w:kern w:val="0"/>
      <w:sz w:val="22"/>
      <w:szCs w:val="22"/>
      <w:lang w:val="zh-CN" w:bidi="zh-CN"/>
    </w:rPr>
  </w:style>
  <w:style w:type="character" w:customStyle="1" w:styleId="304">
    <w:name w:val="fontstyle01"/>
    <w:basedOn w:val="43"/>
    <w:qFormat/>
    <w:uiPriority w:val="0"/>
    <w:rPr>
      <w:rFonts w:hint="eastAsia" w:ascii="宋体" w:hAnsi="宋体" w:eastAsia="宋体"/>
      <w:color w:val="000000"/>
      <w:sz w:val="24"/>
      <w:szCs w:val="24"/>
    </w:rPr>
  </w:style>
  <w:style w:type="character" w:customStyle="1" w:styleId="305">
    <w:name w:val="标题 1 Char"/>
    <w:basedOn w:val="43"/>
    <w:link w:val="2"/>
    <w:qFormat/>
    <w:uiPriority w:val="0"/>
    <w:rPr>
      <w:rFonts w:ascii="Times New Roman" w:hAnsi="Times New Roman" w:eastAsia="黑体" w:cs="Times New Roman"/>
      <w:b/>
      <w:bCs/>
      <w:kern w:val="44"/>
      <w:sz w:val="28"/>
      <w:szCs w:val="44"/>
    </w:rPr>
  </w:style>
  <w:style w:type="character" w:customStyle="1" w:styleId="306">
    <w:name w:val="标题 2 Char"/>
    <w:basedOn w:val="43"/>
    <w:link w:val="3"/>
    <w:qFormat/>
    <w:uiPriority w:val="0"/>
    <w:rPr>
      <w:rFonts w:ascii="Arial" w:hAnsi="Arial" w:eastAsia="黑体" w:cs="Times New Roman"/>
      <w:b/>
      <w:bCs/>
      <w:kern w:val="2"/>
      <w:sz w:val="24"/>
      <w:szCs w:val="32"/>
    </w:rPr>
  </w:style>
  <w:style w:type="character" w:customStyle="1" w:styleId="307">
    <w:name w:val="标题 3 Char"/>
    <w:basedOn w:val="43"/>
    <w:link w:val="4"/>
    <w:qFormat/>
    <w:uiPriority w:val="0"/>
    <w:rPr>
      <w:rFonts w:ascii="Times New Roman" w:hAnsi="Times New Roman" w:eastAsia="黑体" w:cs="Times New Roman"/>
      <w:b/>
      <w:bCs/>
      <w:kern w:val="2"/>
      <w:sz w:val="21"/>
      <w:szCs w:val="32"/>
    </w:rPr>
  </w:style>
  <w:style w:type="character" w:customStyle="1" w:styleId="308">
    <w:name w:val="标题 Char"/>
    <w:link w:val="38"/>
    <w:qFormat/>
    <w:uiPriority w:val="0"/>
    <w:rPr>
      <w:rFonts w:ascii="Arial" w:hAnsi="Arial" w:eastAsia="宋体" w:cs="Arial"/>
      <w:b/>
      <w:bCs/>
      <w:kern w:val="2"/>
      <w:sz w:val="32"/>
      <w:szCs w:val="32"/>
    </w:rPr>
  </w:style>
  <w:style w:type="character" w:customStyle="1" w:styleId="309">
    <w:name w:val="脚注文本 Char"/>
    <w:link w:val="32"/>
    <w:qFormat/>
    <w:uiPriority w:val="0"/>
    <w:rPr>
      <w:rFonts w:ascii="Times New Roman" w:hAnsi="Times New Roman" w:eastAsia="宋体" w:cs="Times New Roman"/>
      <w:kern w:val="2"/>
      <w:sz w:val="18"/>
      <w:szCs w:val="18"/>
    </w:rPr>
  </w:style>
  <w:style w:type="character" w:customStyle="1" w:styleId="310">
    <w:name w:val="未处理的提及1"/>
    <w:unhideWhenUsed/>
    <w:qFormat/>
    <w:uiPriority w:val="99"/>
    <w:rPr>
      <w:color w:val="605E5C"/>
      <w:shd w:val="clear" w:color="auto" w:fill="E1DFDD"/>
    </w:rPr>
  </w:style>
  <w:style w:type="character" w:customStyle="1" w:styleId="311">
    <w:name w:val="批注框文本 Char1"/>
    <w:basedOn w:val="43"/>
    <w:semiHidden/>
    <w:qFormat/>
    <w:uiPriority w:val="99"/>
    <w:rPr>
      <w:rFonts w:ascii="Calibri" w:hAnsi="Calibri" w:eastAsia="宋体" w:cs="Times New Roman"/>
      <w:sz w:val="18"/>
      <w:szCs w:val="18"/>
    </w:rPr>
  </w:style>
  <w:style w:type="character" w:customStyle="1" w:styleId="312">
    <w:name w:val="脚注文本 Char1"/>
    <w:basedOn w:val="43"/>
    <w:semiHidden/>
    <w:qFormat/>
    <w:uiPriority w:val="99"/>
    <w:rPr>
      <w:rFonts w:ascii="Calibri" w:hAnsi="Calibri" w:eastAsia="宋体" w:cs="Times New Roman"/>
      <w:sz w:val="18"/>
      <w:szCs w:val="18"/>
    </w:rPr>
  </w:style>
  <w:style w:type="character" w:customStyle="1" w:styleId="313">
    <w:name w:val="标题 Char1"/>
    <w:basedOn w:val="43"/>
    <w:qFormat/>
    <w:uiPriority w:val="10"/>
    <w:rPr>
      <w:rFonts w:eastAsia="宋体" w:asciiTheme="majorHAnsi" w:hAnsiTheme="majorHAnsi" w:cstheme="majorBidi"/>
      <w:b/>
      <w:bCs/>
      <w:sz w:val="32"/>
      <w:szCs w:val="32"/>
    </w:rPr>
  </w:style>
  <w:style w:type="paragraph" w:customStyle="1" w:styleId="314">
    <w:name w:val="默认段落字体 Para Char Char Char Char Char Char Char Char Char Char"/>
    <w:basedOn w:val="1"/>
    <w:qFormat/>
    <w:uiPriority w:val="0"/>
  </w:style>
  <w:style w:type="paragraph" w:customStyle="1" w:styleId="315">
    <w:name w:val="WPSOffice手动目录 1"/>
    <w:qFormat/>
    <w:uiPriority w:val="0"/>
    <w:rPr>
      <w:rFonts w:ascii="Calibri" w:hAnsi="Calibri" w:eastAsia="宋体" w:cs="Times New Roman"/>
      <w:lang w:val="en-US" w:eastAsia="zh-CN" w:bidi="ar-SA"/>
    </w:rPr>
  </w:style>
  <w:style w:type="paragraph" w:customStyle="1" w:styleId="316">
    <w:name w:val="1"/>
    <w:basedOn w:val="1"/>
    <w:next w:val="22"/>
    <w:qFormat/>
    <w:uiPriority w:val="0"/>
    <w:pPr>
      <w:adjustRightInd w:val="0"/>
      <w:spacing w:line="360" w:lineRule="auto"/>
      <w:ind w:firstLine="480" w:firstLineChars="200"/>
      <w:textAlignment w:val="baseline"/>
      <w:outlineLvl w:val="0"/>
    </w:pPr>
    <w:rPr>
      <w:kern w:val="0"/>
      <w:sz w:val="24"/>
      <w:szCs w:val="20"/>
    </w:rPr>
  </w:style>
  <w:style w:type="paragraph" w:customStyle="1" w:styleId="317">
    <w:name w:val="Char Char"/>
    <w:basedOn w:val="1"/>
    <w:qFormat/>
    <w:uiPriority w:val="0"/>
  </w:style>
  <w:style w:type="paragraph" w:customStyle="1" w:styleId="318">
    <w:name w:val="WPSOffice手动目录 2"/>
    <w:qFormat/>
    <w:uiPriority w:val="0"/>
    <w:pPr>
      <w:ind w:left="200" w:leftChars="200"/>
    </w:pPr>
    <w:rPr>
      <w:rFonts w:ascii="Calibri" w:hAnsi="Calibri" w:eastAsia="宋体" w:cs="Times New Roman"/>
      <w:lang w:val="en-US" w:eastAsia="zh-CN" w:bidi="ar-SA"/>
    </w:rPr>
  </w:style>
  <w:style w:type="table" w:customStyle="1" w:styleId="319">
    <w:name w:val="网格型1"/>
    <w:basedOn w:val="41"/>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0">
    <w:name w:val="Placeholder Text"/>
    <w:basedOn w:val="43"/>
    <w:semiHidden/>
    <w:qFormat/>
    <w:uiPriority w:val="99"/>
    <w:rPr>
      <w:color w:val="808080"/>
    </w:rPr>
  </w:style>
  <w:style w:type="table" w:customStyle="1" w:styleId="321">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322">
    <w:name w:val="标题 21"/>
    <w:basedOn w:val="1"/>
    <w:qFormat/>
    <w:uiPriority w:val="1"/>
    <w:pPr>
      <w:autoSpaceDE w:val="0"/>
      <w:autoSpaceDN w:val="0"/>
      <w:ind w:left="216"/>
      <w:jc w:val="left"/>
      <w:outlineLvl w:val="2"/>
    </w:pPr>
    <w:rPr>
      <w:rFonts w:eastAsia="Times New Roman"/>
      <w:kern w:val="0"/>
      <w:sz w:val="28"/>
      <w:szCs w:val="28"/>
      <w:lang w:eastAsia="en-US" w:bidi="en-US"/>
    </w:rPr>
  </w:style>
  <w:style w:type="character" w:customStyle="1" w:styleId="323">
    <w:name w:val="正文文本 2 Char"/>
    <w:basedOn w:val="43"/>
    <w:link w:val="35"/>
    <w:qFormat/>
    <w:uiPriority w:val="99"/>
    <w:rPr>
      <w:rFonts w:ascii="Times New Roman" w:hAnsi="Times New Roman" w:eastAsia="宋体" w:cs="Times New Roman"/>
      <w:kern w:val="2"/>
      <w:sz w:val="21"/>
      <w:szCs w:val="24"/>
    </w:rPr>
  </w:style>
  <w:style w:type="paragraph" w:customStyle="1" w:styleId="324">
    <w:name w:val="p1"/>
    <w:basedOn w:val="1"/>
    <w:qFormat/>
    <w:uiPriority w:val="0"/>
    <w:pPr>
      <w:spacing w:before="0" w:beforeAutospacing="0" w:after="0" w:afterAutospacing="0"/>
      <w:ind w:left="0" w:right="0"/>
      <w:jc w:val="left"/>
    </w:pPr>
    <w:rPr>
      <w:rFonts w:ascii="helvetica" w:hAnsi="helvetica" w:eastAsia="helvetica" w:cs="helvetica"/>
      <w:color w:val="000000"/>
      <w:kern w:val="0"/>
      <w:sz w:val="24"/>
      <w:szCs w:val="24"/>
      <w:lang w:val="en-US" w:eastAsia="zh-CN" w:bidi="ar"/>
    </w:rPr>
  </w:style>
  <w:style w:type="character" w:customStyle="1" w:styleId="325">
    <w:name w:val="s1"/>
    <w:basedOn w:val="43"/>
    <w:qFormat/>
    <w:uiPriority w:val="0"/>
    <w:rPr>
      <w:rFonts w:ascii="Times New Roman" w:hAnsi="Times New Roman" w:cs="Times New Roman"/>
      <w:sz w:val="24"/>
      <w:szCs w:val="24"/>
    </w:rPr>
  </w:style>
  <w:style w:type="paragraph" w:customStyle="1" w:styleId="326">
    <w:name w:val="p2"/>
    <w:basedOn w:val="1"/>
    <w:qFormat/>
    <w:uiPriority w:val="0"/>
    <w:pPr>
      <w:spacing w:before="0" w:beforeAutospacing="0" w:after="0" w:afterAutospacing="0"/>
      <w:ind w:left="0" w:right="0"/>
      <w:jc w:val="left"/>
    </w:pPr>
    <w:rPr>
      <w:rFonts w:ascii="helvetica" w:hAnsi="helvetica" w:eastAsia="helvetica" w:cs="helvetica"/>
      <w:color w:val="000000"/>
      <w:kern w:val="0"/>
      <w:sz w:val="24"/>
      <w:szCs w:val="24"/>
      <w:lang w:val="en-US" w:eastAsia="zh-CN" w:bidi="ar"/>
    </w:rPr>
  </w:style>
  <w:style w:type="character" w:customStyle="1" w:styleId="327">
    <w:name w:val="s3"/>
    <w:basedOn w:val="43"/>
    <w:qFormat/>
    <w:uiPriority w:val="0"/>
    <w:rPr>
      <w:rFonts w:ascii="Times New Roman" w:hAnsi="Times New Roman" w:cs="Times New Roman"/>
      <w:sz w:val="18"/>
      <w:szCs w:val="18"/>
    </w:rPr>
  </w:style>
  <w:style w:type="character" w:customStyle="1" w:styleId="328">
    <w:name w:val="s4"/>
    <w:basedOn w:val="43"/>
    <w:qFormat/>
    <w:uiPriority w:val="0"/>
    <w:rPr>
      <w:color w:val="000000"/>
    </w:rPr>
  </w:style>
  <w:style w:type="character" w:customStyle="1" w:styleId="329">
    <w:name w:val="s2"/>
    <w:basedOn w:val="43"/>
    <w:qFormat/>
    <w:uiPriority w:val="0"/>
    <w:rPr>
      <w:rFonts w:hint="default" w:ascii="Times New Roman" w:hAnsi="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4.wmf"/><Relationship Id="rId13" Type="http://schemas.openxmlformats.org/officeDocument/2006/relationships/oleObject" Target="embeddings/oleObject4.bin"/><Relationship Id="rId12" Type="http://schemas.openxmlformats.org/officeDocument/2006/relationships/image" Target="media/image3.wmf"/><Relationship Id="rId11" Type="http://schemas.openxmlformats.org/officeDocument/2006/relationships/oleObject" Target="embeddings/oleObject3.bin"/><Relationship Id="rId10" Type="http://schemas.openxmlformats.org/officeDocument/2006/relationships/image" Target="media/image2.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oye\Library\Containers\com.kingsoft.wpsoffice.mac\Data\E:\Users\baoye\Library\Containers\com.kingsoft.wpsoffice.mac\Data\E:\&#26631;&#20934;\5237-201X\2\GB-T5237-201X\&#25253;&#25209;&#26448;&#26009;\GBT%205237.2&#21644;.5&#25253;&#25209;&#26448;&#26009;20160927\GBT%205237.2-201X%20&#25253;&#25209;&#26448;&#26009;\&#22269;&#23478;&#34892;&#19994;&#26631;&#20934;&#32534;&#21046;&#35828;&#26126;&#27169;&#264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856207-3DD0-4153-9C8F-0D63332378C2}">
  <ds:schemaRefs/>
</ds:datastoreItem>
</file>

<file path=docProps/app.xml><?xml version="1.0" encoding="utf-8"?>
<Properties xmlns="http://schemas.openxmlformats.org/officeDocument/2006/extended-properties" xmlns:vt="http://schemas.openxmlformats.org/officeDocument/2006/docPropsVTypes">
  <Template>国家行业标准编制说明模板</Template>
  <Company>Microsoft</Company>
  <Pages>12</Pages>
  <Words>4512</Words>
  <Characters>5077</Characters>
  <Lines>40</Lines>
  <Paragraphs>11</Paragraphs>
  <TotalTime>4</TotalTime>
  <ScaleCrop>false</ScaleCrop>
  <LinksUpToDate>false</LinksUpToDate>
  <CharactersWithSpaces>5140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2022-01-10T18:10:00Z</dcterms:created>
  <dc:creator>Administrator.DESKTOP-ME924ED</dc:creator>
  <cp:lastModifiedBy>HP</cp:lastModifiedBy>
  <cp:lastPrinted>2026-09-08T01:42:50Z</cp:lastPrinted>
  <dcterms:modified xsi:type="dcterms:W3CDTF">2026-09-08T01:43:06Z</dcterms:modified>
  <dc:title>编制说明</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89AE013F8ED54F73BC60070B247DE386</vt:lpwstr>
  </property>
  <property fmtid="{D5CDD505-2E9C-101B-9397-08002B2CF9AE}" pid="4" name="KSOTemplateDocerSaveRecord">
    <vt:lpwstr>eyJoZGlkIjoiYWU0M2M1MGU4ODM5ZWMxYjk2MTQxMzllNDI1ZDRlZDciLCJ1c2VySWQiOiIzNzg3MzIzNjEifQ==</vt:lpwstr>
  </property>
</Properties>
</file>