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0"/>
      </w:pPr>
      <w:bookmarkStart w:id="0" w:name="SectionMark0"/>
      <w:r>
        <mc:AlternateContent>
          <mc:Choice Requires="wps">
            <w:drawing>
              <wp:anchor distT="0" distB="0" distL="114300" distR="114300" simplePos="0" relativeHeight="251668480" behindDoc="0" locked="1" layoutInCell="0" allowOverlap="1">
                <wp:simplePos x="0" y="0"/>
                <wp:positionH relativeFrom="margin">
                  <wp:posOffset>1604010</wp:posOffset>
                </wp:positionH>
                <wp:positionV relativeFrom="margin">
                  <wp:posOffset>8993505</wp:posOffset>
                </wp:positionV>
                <wp:extent cx="2867025" cy="342265"/>
                <wp:effectExtent l="0" t="0" r="9525" b="635"/>
                <wp:wrapNone/>
                <wp:docPr id="22" name="fmFrame7"/>
                <wp:cNvGraphicFramePr/>
                <a:graphic xmlns:a="http://schemas.openxmlformats.org/drawingml/2006/main">
                  <a:graphicData uri="http://schemas.microsoft.com/office/word/2010/wordprocessingShape">
                    <wps:wsp>
                      <wps:cNvSpPr txBox="1">
                        <a:spLocks noChangeArrowheads="1"/>
                      </wps:cNvSpPr>
                      <wps:spPr bwMode="auto">
                        <a:xfrm>
                          <a:off x="0" y="0"/>
                          <a:ext cx="2867025" cy="342265"/>
                        </a:xfrm>
                        <a:prstGeom prst="rect">
                          <a:avLst/>
                        </a:prstGeom>
                        <a:solidFill>
                          <a:srgbClr val="FFFFFF"/>
                        </a:solidFill>
                        <a:ln>
                          <a:noFill/>
                        </a:ln>
                        <a:effectLst/>
                      </wps:spPr>
                      <wps:txbx>
                        <w:txbxContent>
                          <w:p>
                            <w:pPr>
                              <w:pStyle w:val="54"/>
                              <w:ind w:firstLine="0" w:firstLineChars="0"/>
                              <w:jc w:val="distribute"/>
                              <w:rPr>
                                <w:b/>
                                <w:spacing w:val="20"/>
                                <w:w w:val="135"/>
                                <w:sz w:val="28"/>
                                <w:szCs w:val="28"/>
                              </w:rPr>
                            </w:pPr>
                            <w:r>
                              <w:rPr>
                                <w:rFonts w:ascii="Times New Roman" w:eastAsia="黑体"/>
                                <w:sz w:val="32"/>
                                <w:szCs w:val="32"/>
                              </w:rPr>
                              <w:t>国家</w:t>
                            </w:r>
                            <w:r>
                              <w:rPr>
                                <w:rFonts w:hint="eastAsia" w:ascii="Times New Roman" w:eastAsia="黑体"/>
                                <w:sz w:val="32"/>
                                <w:szCs w:val="32"/>
                              </w:rPr>
                              <w:t>市场监督管理总局</w:t>
                            </w:r>
                          </w:p>
                          <w:p>
                            <w:pPr>
                              <w:pStyle w:val="54"/>
                              <w:ind w:firstLine="560"/>
                              <w:jc w:val="distribute"/>
                              <w:rPr>
                                <w:sz w:val="28"/>
                                <w:szCs w:val="28"/>
                              </w:rPr>
                            </w:pPr>
                          </w:p>
                          <w:p>
                            <w:pPr>
                              <w:pStyle w:val="54"/>
                              <w:ind w:firstLine="560"/>
                              <w:jc w:val="distribute"/>
                              <w:rPr>
                                <w:sz w:val="28"/>
                                <w:szCs w:val="28"/>
                              </w:rPr>
                            </w:pPr>
                          </w:p>
                        </w:txbxContent>
                      </wps:txbx>
                      <wps:bodyPr rot="0" vert="horz" wrap="square" lIns="0" tIns="0" rIns="0" bIns="0" anchor="t" anchorCtr="0" upright="1">
                        <a:noAutofit/>
                      </wps:bodyPr>
                    </wps:wsp>
                  </a:graphicData>
                </a:graphic>
              </wp:anchor>
            </w:drawing>
          </mc:Choice>
          <mc:Fallback>
            <w:pict>
              <v:shape id="fmFrame7" o:spid="_x0000_s1026" o:spt="202" type="#_x0000_t202" style="position:absolute;left:0pt;margin-left:126.3pt;margin-top:708.15pt;height:26.95pt;width:225.75pt;mso-position-horizontal-relative:margin;mso-position-vertical-relative:margin;z-index:251668480;mso-width-relative:page;mso-height-relative:page;" fillcolor="#FFFFFF" filled="t" stroked="f" coordsize="21600,21600" o:allowincell="f" o:gfxdata="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YsaTi9oAAAANAQAA&#10;DwAAAAAAAAABACAAAAAiAAAAZHJzL2Rvd25yZXYueG1sUEsBAhQAFAAAAAgAh07iQE7oJOwXAgAA&#10;OgQAAA4AAAAAAAAAAQAgAAAAKQEAAGRycy9lMm9Eb2MueG1sUEsFBgAAAAAGAAYAWQEAALIFAAAA&#10;AA==&#10;">
                <v:fill on="t" focussize="0,0"/>
                <v:stroke on="f"/>
                <v:imagedata o:title=""/>
                <o:lock v:ext="edit" aspectratio="f"/>
                <v:textbox inset="0mm,0mm,0mm,0mm">
                  <w:txbxContent>
                    <w:p>
                      <w:pPr>
                        <w:pStyle w:val="54"/>
                        <w:ind w:firstLine="0" w:firstLineChars="0"/>
                        <w:jc w:val="distribute"/>
                        <w:rPr>
                          <w:b/>
                          <w:spacing w:val="20"/>
                          <w:w w:val="135"/>
                          <w:sz w:val="28"/>
                          <w:szCs w:val="28"/>
                        </w:rPr>
                      </w:pPr>
                      <w:r>
                        <w:rPr>
                          <w:rFonts w:ascii="Times New Roman" w:eastAsia="黑体"/>
                          <w:sz w:val="32"/>
                          <w:szCs w:val="32"/>
                        </w:rPr>
                        <w:t>国家</w:t>
                      </w:r>
                      <w:r>
                        <w:rPr>
                          <w:rFonts w:hint="eastAsia" w:ascii="Times New Roman" w:eastAsia="黑体"/>
                          <w:sz w:val="32"/>
                          <w:szCs w:val="32"/>
                        </w:rPr>
                        <w:t>市场监督管理总局</w:t>
                      </w:r>
                    </w:p>
                    <w:p>
                      <w:pPr>
                        <w:pStyle w:val="54"/>
                        <w:ind w:firstLine="560"/>
                        <w:jc w:val="distribute"/>
                        <w:rPr>
                          <w:sz w:val="28"/>
                          <w:szCs w:val="28"/>
                        </w:rPr>
                      </w:pPr>
                    </w:p>
                    <w:p>
                      <w:pPr>
                        <w:pStyle w:val="54"/>
                        <w:ind w:firstLine="560"/>
                        <w:jc w:val="distribute"/>
                        <w:rPr>
                          <w:sz w:val="28"/>
                          <w:szCs w:val="28"/>
                        </w:rPr>
                      </w:pPr>
                    </w:p>
                  </w:txbxContent>
                </v:textbox>
                <w10:anchorlock/>
              </v:shape>
            </w:pict>
          </mc:Fallback>
        </mc:AlternateContent>
      </w:r>
      <w:r>
        <w:drawing>
          <wp:anchor distT="0" distB="0" distL="114300" distR="114300" simplePos="0" relativeHeight="251667456" behindDoc="0" locked="1" layoutInCell="0" allowOverlap="1">
            <wp:simplePos x="0" y="0"/>
            <wp:positionH relativeFrom="margin">
              <wp:posOffset>4342765</wp:posOffset>
            </wp:positionH>
            <wp:positionV relativeFrom="margin">
              <wp:posOffset>116840</wp:posOffset>
            </wp:positionV>
            <wp:extent cx="1439545" cy="720090"/>
            <wp:effectExtent l="0" t="0" r="8255" b="3810"/>
            <wp:wrapNone/>
            <wp:docPr id="21" name="HBPicture" descr="GB"/>
            <wp:cNvGraphicFramePr/>
            <a:graphic xmlns:a="http://schemas.openxmlformats.org/drawingml/2006/main">
              <a:graphicData uri="http://schemas.openxmlformats.org/drawingml/2006/picture">
                <pic:pic xmlns:pic="http://schemas.openxmlformats.org/drawingml/2006/picture">
                  <pic:nvPicPr>
                    <pic:cNvPr id="21" name="HBPicture" descr="GB"/>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439545" cy="720090"/>
                    </a:xfrm>
                    <a:prstGeom prst="rect">
                      <a:avLst/>
                    </a:prstGeom>
                    <a:noFill/>
                    <a:ln>
                      <a:noFill/>
                    </a:ln>
                  </pic:spPr>
                </pic:pic>
              </a:graphicData>
            </a:graphic>
          </wp:anchor>
        </w:drawing>
      </w:r>
      <w:r>
        <mc:AlternateContent>
          <mc:Choice Requires="wps">
            <w:drawing>
              <wp:anchor distT="0" distB="0" distL="114300" distR="114300" simplePos="0" relativeHeight="251664384" behindDoc="0" locked="1" layoutInCell="0" allowOverlap="1">
                <wp:simplePos x="0" y="0"/>
                <wp:positionH relativeFrom="margin">
                  <wp:posOffset>1604645</wp:posOffset>
                </wp:positionH>
                <wp:positionV relativeFrom="margin">
                  <wp:posOffset>9269730</wp:posOffset>
                </wp:positionV>
                <wp:extent cx="2867025" cy="347345"/>
                <wp:effectExtent l="0" t="0" r="9525" b="0"/>
                <wp:wrapNone/>
                <wp:docPr id="20" name="fmFrame7"/>
                <wp:cNvGraphicFramePr/>
                <a:graphic xmlns:a="http://schemas.openxmlformats.org/drawingml/2006/main">
                  <a:graphicData uri="http://schemas.microsoft.com/office/word/2010/wordprocessingShape">
                    <wps:wsp>
                      <wps:cNvSpPr txBox="1">
                        <a:spLocks noChangeArrowheads="1"/>
                      </wps:cNvSpPr>
                      <wps:spPr bwMode="auto">
                        <a:xfrm>
                          <a:off x="0" y="0"/>
                          <a:ext cx="2867025" cy="347345"/>
                        </a:xfrm>
                        <a:prstGeom prst="rect">
                          <a:avLst/>
                        </a:prstGeom>
                        <a:solidFill>
                          <a:srgbClr val="FFFFFF"/>
                        </a:solidFill>
                        <a:ln>
                          <a:noFill/>
                        </a:ln>
                        <a:effectLst/>
                      </wps:spPr>
                      <wps:txbx>
                        <w:txbxContent>
                          <w:p>
                            <w:pPr>
                              <w:pStyle w:val="78"/>
                              <w:jc w:val="distribute"/>
                              <w:rPr>
                                <w:rFonts w:ascii="Times New Roman" w:eastAsia="黑体"/>
                                <w:b w:val="0"/>
                                <w:spacing w:val="0"/>
                                <w:w w:val="100"/>
                                <w:sz w:val="32"/>
                                <w:szCs w:val="32"/>
                              </w:rPr>
                            </w:pPr>
                            <w:r>
                              <w:rPr>
                                <w:rFonts w:hint="eastAsia" w:ascii="Times New Roman" w:eastAsia="黑体"/>
                                <w:b w:val="0"/>
                                <w:spacing w:val="0"/>
                                <w:w w:val="100"/>
                                <w:sz w:val="32"/>
                                <w:szCs w:val="32"/>
                              </w:rPr>
                              <w:t>国家标准化管理委员会</w:t>
                            </w:r>
                          </w:p>
                          <w:p>
                            <w:pPr>
                              <w:pStyle w:val="54"/>
                              <w:ind w:firstLine="420"/>
                              <w:jc w:val="distribute"/>
                            </w:pPr>
                          </w:p>
                          <w:p>
                            <w:pPr>
                              <w:pStyle w:val="54"/>
                              <w:ind w:firstLine="420"/>
                              <w:jc w:val="distribute"/>
                            </w:pPr>
                          </w:p>
                        </w:txbxContent>
                      </wps:txbx>
                      <wps:bodyPr rot="0" vert="horz" wrap="square" lIns="0" tIns="0" rIns="0" bIns="0" anchor="t" anchorCtr="0" upright="1">
                        <a:noAutofit/>
                      </wps:bodyPr>
                    </wps:wsp>
                  </a:graphicData>
                </a:graphic>
              </wp:anchor>
            </w:drawing>
          </mc:Choice>
          <mc:Fallback>
            <w:pict>
              <v:shape id="fmFrame7" o:spid="_x0000_s1026" o:spt="202" type="#_x0000_t202" style="position:absolute;left:0pt;margin-left:126.35pt;margin-top:729.9pt;height:27.35pt;width:225.75pt;mso-position-horizontal-relative:margin;mso-position-vertical-relative:margin;z-index:251664384;mso-width-relative:page;mso-height-relative:page;" fillcolor="#FFFFFF" filled="t" stroked="f" coordsize="21600,21600" o:allowincell="f" o:gfxdata="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9mvH32gAAAA0BAAAP&#10;AAAAAAAAAAEAIAAAACIAAABkcnMvZG93bnJldi54bWxQSwECFAAUAAAACACHTuJAomyy+hYCAAA6&#10;BAAADgAAAAAAAAABACAAAAApAQAAZHJzL2Uyb0RvYy54bWxQSwUGAAAAAAYABgBZAQAAsQUAAAAA&#10;">
                <v:fill on="t" focussize="0,0"/>
                <v:stroke on="f"/>
                <v:imagedata o:title=""/>
                <o:lock v:ext="edit" aspectratio="f"/>
                <v:textbox inset="0mm,0mm,0mm,0mm">
                  <w:txbxContent>
                    <w:p>
                      <w:pPr>
                        <w:pStyle w:val="78"/>
                        <w:jc w:val="distribute"/>
                        <w:rPr>
                          <w:rFonts w:ascii="Times New Roman" w:eastAsia="黑体"/>
                          <w:b w:val="0"/>
                          <w:spacing w:val="0"/>
                          <w:w w:val="100"/>
                          <w:sz w:val="32"/>
                          <w:szCs w:val="32"/>
                        </w:rPr>
                      </w:pPr>
                      <w:r>
                        <w:rPr>
                          <w:rFonts w:hint="eastAsia" w:ascii="Times New Roman" w:eastAsia="黑体"/>
                          <w:b w:val="0"/>
                          <w:spacing w:val="0"/>
                          <w:w w:val="100"/>
                          <w:sz w:val="32"/>
                          <w:szCs w:val="32"/>
                        </w:rPr>
                        <w:t>国家标准化管理委员会</w:t>
                      </w:r>
                    </w:p>
                    <w:p>
                      <w:pPr>
                        <w:pStyle w:val="54"/>
                        <w:ind w:firstLine="420"/>
                        <w:jc w:val="distribute"/>
                      </w:pPr>
                    </w:p>
                    <w:p>
                      <w:pPr>
                        <w:pStyle w:val="54"/>
                        <w:ind w:firstLine="420"/>
                        <w:jc w:val="distribute"/>
                      </w:pPr>
                    </w:p>
                  </w:txbxContent>
                </v:textbox>
                <w10:anchorlock/>
              </v:shape>
            </w:pict>
          </mc:Fallback>
        </mc:AlternateContent>
      </w:r>
      <w:r>
        <mc:AlternateContent>
          <mc:Choice Requires="wps">
            <w:drawing>
              <wp:anchor distT="0" distB="0" distL="114300" distR="114300" simplePos="0" relativeHeight="251663360" behindDoc="0" locked="1" layoutInCell="1" allowOverlap="1">
                <wp:simplePos x="0" y="0"/>
                <wp:positionH relativeFrom="margin">
                  <wp:posOffset>4000500</wp:posOffset>
                </wp:positionH>
                <wp:positionV relativeFrom="margin">
                  <wp:posOffset>8559165</wp:posOffset>
                </wp:positionV>
                <wp:extent cx="2019300" cy="312420"/>
                <wp:effectExtent l="0" t="0" r="0" b="0"/>
                <wp:wrapNone/>
                <wp:docPr id="19" name="fmFrame6"/>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wps:spPr>
                      <wps:txbx>
                        <w:txbxContent>
                          <w:p>
                            <w:pPr>
                              <w:pStyle w:val="68"/>
                            </w:pPr>
                            <w:r>
                              <w:rPr>
                                <w:rFonts w:hint="eastAsia" w:ascii="黑体" w:hAnsi="黑体" w:cs="黑体"/>
                              </w:rPr>
                              <w:t>202X</w:t>
                            </w:r>
                            <w:r>
                              <w:rPr>
                                <w:rFonts w:hint="eastAsia" w:ascii="黑体" w:hAnsi="黑体" w:cs="黑体"/>
                                <w:color w:val="000000"/>
                              </w:rPr>
                              <w:t>-XX-XX</w:t>
                            </w:r>
                            <w:r>
                              <w:rPr>
                                <w:rFonts w:hint="eastAsia" w:ascii="黑体" w:hAnsi="黑体" w:cs="黑体"/>
                              </w:rPr>
                              <w:t>实施</w:t>
                            </w:r>
                          </w:p>
                        </w:txbxContent>
                      </wps:txbx>
                      <wps:bodyPr rot="0" vert="horz" wrap="square" lIns="0" tIns="0" rIns="0" bIns="0" anchor="t" anchorCtr="0" upright="1">
                        <a:noAutofit/>
                      </wps:bodyPr>
                    </wps:wsp>
                  </a:graphicData>
                </a:graphic>
              </wp:anchor>
            </w:drawing>
          </mc:Choice>
          <mc:Fallback>
            <w:pict>
              <v:shape id="fmFrame6" o:spid="_x0000_s1026" o:spt="202" type="#_x0000_t202" style="position:absolute;left:0pt;margin-left:315pt;margin-top:673.95pt;height:24.6pt;width:159pt;mso-position-horizontal-relative:margin;mso-position-vertical-relative:margin;z-index:251663360;mso-width-relative:page;mso-height-relative:page;" fillcolor="#FFFFFF" filled="t" stroked="f" coordsize="21600,21600" o:gfxdata="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ZMhj9oAAAANAQAADwAAAAAAAAAB&#10;ACAAAAAiAAAAZHJzL2Rvd25yZXYueG1sUEsBAhQAFAAAAAgAh07iQKQz/4UOAgAALAQAAA4AAAAA&#10;AAAAAQAgAAAAKQEAAGRycy9lMm9Eb2MueG1sUEsFBgAAAAAGAAYAWQEAAKkFAAAAAA==&#10;">
                <v:fill on="t" focussize="0,0"/>
                <v:stroke on="f"/>
                <v:imagedata o:title=""/>
                <o:lock v:ext="edit" aspectratio="f"/>
                <v:textbox inset="0mm,0mm,0mm,0mm">
                  <w:txbxContent>
                    <w:p>
                      <w:pPr>
                        <w:pStyle w:val="68"/>
                      </w:pPr>
                      <w:r>
                        <w:rPr>
                          <w:rFonts w:hint="eastAsia" w:ascii="黑体" w:hAnsi="黑体" w:cs="黑体"/>
                        </w:rPr>
                        <w:t>202X</w:t>
                      </w:r>
                      <w:r>
                        <w:rPr>
                          <w:rFonts w:hint="eastAsia" w:ascii="黑体" w:hAnsi="黑体" w:cs="黑体"/>
                          <w:color w:val="000000"/>
                        </w:rPr>
                        <w:t>-XX-XX</w:t>
                      </w:r>
                      <w:r>
                        <w:rPr>
                          <w:rFonts w:hint="eastAsia" w:ascii="黑体" w:hAnsi="黑体" w:cs="黑体"/>
                        </w:rPr>
                        <w:t>实施</w:t>
                      </w:r>
                    </w:p>
                  </w:txbxContent>
                </v:textbox>
                <w10:anchorlock/>
              </v:shape>
            </w:pict>
          </mc:Fallback>
        </mc:AlternateContent>
      </w:r>
      <w:r>
        <mc:AlternateContent>
          <mc:Choice Requires="wps">
            <w:drawing>
              <wp:anchor distT="0" distB="0" distL="114300" distR="114300" simplePos="0" relativeHeight="251662336" behindDoc="0" locked="1" layoutInCell="1" allowOverlap="1">
                <wp:simplePos x="0" y="0"/>
                <wp:positionH relativeFrom="margin">
                  <wp:posOffset>0</wp:posOffset>
                </wp:positionH>
                <wp:positionV relativeFrom="margin">
                  <wp:posOffset>8559800</wp:posOffset>
                </wp:positionV>
                <wp:extent cx="2019300" cy="312420"/>
                <wp:effectExtent l="0" t="0" r="0" b="0"/>
                <wp:wrapNone/>
                <wp:docPr id="18" name="fmFrame5"/>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wps:spPr>
                      <wps:txbx>
                        <w:txbxContent>
                          <w:p>
                            <w:pPr>
                              <w:pStyle w:val="69"/>
                              <w:rPr>
                                <w:rFonts w:hint="eastAsia" w:ascii="黑体" w:hAnsi="黑体" w:cs="黑体"/>
                                <w:color w:val="000000"/>
                              </w:rPr>
                            </w:pPr>
                            <w:r>
                              <w:rPr>
                                <w:rFonts w:hint="eastAsia" w:ascii="黑体" w:hAnsi="黑体" w:cs="黑体"/>
                              </w:rPr>
                              <w:t>20</w:t>
                            </w:r>
                            <w:r>
                              <w:rPr>
                                <w:rFonts w:hint="eastAsia" w:ascii="黑体" w:hAnsi="黑体" w:cs="黑体"/>
                                <w:color w:val="000000"/>
                              </w:rPr>
                              <w:t>2X-XX-XX发布</w:t>
                            </w:r>
                          </w:p>
                        </w:txbxContent>
                      </wps:txbx>
                      <wps:bodyPr rot="0" vert="horz" wrap="square" lIns="0" tIns="0" rIns="0" bIns="0" anchor="t" anchorCtr="0" upright="1">
                        <a:noAutofit/>
                      </wps:bodyPr>
                    </wps:wsp>
                  </a:graphicData>
                </a:graphic>
              </wp:anchor>
            </w:drawing>
          </mc:Choice>
          <mc:Fallback>
            <w:pict>
              <v:shape id="fmFrame5" o:spid="_x0000_s1026" o:spt="202" type="#_x0000_t202" style="position:absolute;left:0pt;margin-left:0pt;margin-top:674pt;height:24.6pt;width:159pt;mso-position-horizontal-relative:margin;mso-position-vertical-relative:margin;z-index:251662336;mso-width-relative:page;mso-height-relative:page;" fillcolor="#FFFFFF" filled="t" stroked="f" coordsize="21600,21600" o:gfxdata="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lLQ9u1gAAAAoBAAAPAAAAAAAAAAEAIAAA&#10;ACIAAABkcnMvZG93bnJldi54bWxQSwECFAAUAAAACACHTuJAWtG4Qg4CAAAsBAAADgAAAAAAAAAB&#10;ACAAAAAlAQAAZHJzL2Uyb0RvYy54bWxQSwUGAAAAAAYABgBZAQAApQUAAAAA&#10;">
                <v:fill on="t" focussize="0,0"/>
                <v:stroke on="f"/>
                <v:imagedata o:title=""/>
                <o:lock v:ext="edit" aspectratio="f"/>
                <v:textbox inset="0mm,0mm,0mm,0mm">
                  <w:txbxContent>
                    <w:p>
                      <w:pPr>
                        <w:pStyle w:val="69"/>
                        <w:rPr>
                          <w:rFonts w:hint="eastAsia" w:ascii="黑体" w:hAnsi="黑体" w:cs="黑体"/>
                          <w:color w:val="000000"/>
                        </w:rPr>
                      </w:pPr>
                      <w:r>
                        <w:rPr>
                          <w:rFonts w:hint="eastAsia" w:ascii="黑体" w:hAnsi="黑体" w:cs="黑体"/>
                        </w:rPr>
                        <w:t>20</w:t>
                      </w:r>
                      <w:r>
                        <w:rPr>
                          <w:rFonts w:hint="eastAsia" w:ascii="黑体" w:hAnsi="黑体" w:cs="黑体"/>
                          <w:color w:val="000000"/>
                        </w:rPr>
                        <w:t>2X-XX-XX发布</w:t>
                      </w:r>
                    </w:p>
                  </w:txbxContent>
                </v:textbox>
                <w10:anchorlock/>
              </v:shape>
            </w:pict>
          </mc:Fallback>
        </mc:AlternateContent>
      </w:r>
      <w:r>
        <mc:AlternateContent>
          <mc:Choice Requires="wps">
            <w:drawing>
              <wp:anchor distT="0" distB="0" distL="114300" distR="114300" simplePos="0" relativeHeight="251661312" behindDoc="0" locked="1" layoutInCell="0" allowOverlap="1">
                <wp:simplePos x="0" y="0"/>
                <wp:positionH relativeFrom="margin">
                  <wp:posOffset>-6350</wp:posOffset>
                </wp:positionH>
                <wp:positionV relativeFrom="margin">
                  <wp:posOffset>2709545</wp:posOffset>
                </wp:positionV>
                <wp:extent cx="6121400" cy="3738245"/>
                <wp:effectExtent l="0" t="0" r="0" b="0"/>
                <wp:wrapNone/>
                <wp:docPr id="17" name="fmFrame4"/>
                <wp:cNvGraphicFramePr/>
                <a:graphic xmlns:a="http://schemas.openxmlformats.org/drawingml/2006/main">
                  <a:graphicData uri="http://schemas.microsoft.com/office/word/2010/wordprocessingShape">
                    <wps:wsp>
                      <wps:cNvSpPr txBox="1">
                        <a:spLocks noChangeArrowheads="1"/>
                      </wps:cNvSpPr>
                      <wps:spPr bwMode="auto">
                        <a:xfrm>
                          <a:off x="0" y="0"/>
                          <a:ext cx="6121400" cy="3738245"/>
                        </a:xfrm>
                        <a:prstGeom prst="rect">
                          <a:avLst/>
                        </a:prstGeom>
                        <a:solidFill>
                          <a:srgbClr val="FFFFFF"/>
                        </a:solidFill>
                        <a:ln>
                          <a:noFill/>
                        </a:ln>
                      </wps:spPr>
                      <wps:txbx>
                        <w:txbxContent>
                          <w:p>
                            <w:pPr>
                              <w:pStyle w:val="83"/>
                              <w:spacing w:before="370" w:line="200" w:lineRule="exact"/>
                              <w:rPr>
                                <w:rFonts w:hint="eastAsia" w:ascii="黑体" w:hAnsi="黑体" w:eastAsia="黑体" w:cs="黑体"/>
                                <w:color w:val="000000" w:themeColor="text1"/>
                                <w:sz w:val="52"/>
                                <w:szCs w:val="52"/>
                                <w14:textFill>
                                  <w14:solidFill>
                                    <w14:schemeClr w14:val="tx1"/>
                                  </w14:solidFill>
                                </w14:textFill>
                              </w:rPr>
                            </w:pPr>
                            <w:bookmarkStart w:id="23" w:name="OLE_LINK1"/>
                            <w:r>
                              <w:rPr>
                                <w:rFonts w:hint="eastAsia" w:ascii="黑体" w:hAnsi="黑体" w:eastAsia="黑体" w:cs="黑体"/>
                                <w:color w:val="000000" w:themeColor="text1"/>
                                <w:sz w:val="52"/>
                                <w:szCs w:val="52"/>
                                <w14:textFill>
                                  <w14:solidFill>
                                    <w14:schemeClr w14:val="tx1"/>
                                  </w14:solidFill>
                                </w14:textFill>
                              </w:rPr>
                              <w:t xml:space="preserve">磷酸锰铁锂化学分析方法 第2部分 </w:t>
                            </w:r>
                          </w:p>
                          <w:bookmarkEnd w:id="23"/>
                          <w:p>
                            <w:pPr>
                              <w:pStyle w:val="89"/>
                              <w:shd w:val="clear" w:color="auto" w:fill="FFFFFF"/>
                              <w:spacing w:before="567" w:beforeAutospacing="0" w:after="0" w:line="330" w:lineRule="exact"/>
                              <w:jc w:val="center"/>
                              <w:rPr>
                                <w:rFonts w:hint="eastAsia"/>
                                <w:sz w:val="24"/>
                                <w:szCs w:val="24"/>
                                <w:lang w:bidi="ar"/>
                              </w:rPr>
                            </w:pPr>
                            <w:r>
                              <w:rPr>
                                <w:rFonts w:hint="eastAsia" w:ascii="黑体" w:hAnsi="黑体" w:eastAsia="黑体" w:cs="黑体"/>
                                <w:color w:val="000000" w:themeColor="text1"/>
                                <w:sz w:val="52"/>
                                <w:szCs w:val="52"/>
                                <w14:textFill>
                                  <w14:solidFill>
                                    <w14:schemeClr w14:val="tx1"/>
                                  </w14:solidFill>
                                </w14:textFill>
                              </w:rPr>
                              <w:t>锰铁比的测定</w:t>
                            </w:r>
                          </w:p>
                          <w:p>
                            <w:pPr>
                              <w:pStyle w:val="89"/>
                              <w:shd w:val="clear" w:color="auto" w:fill="FFFFFF"/>
                              <w:spacing w:before="567" w:beforeAutospacing="0" w:after="0" w:line="330" w:lineRule="exact"/>
                              <w:jc w:val="center"/>
                              <w:rPr>
                                <w:rFonts w:hint="eastAsia" w:ascii="黑体" w:hAnsi="黑体" w:eastAsia="黑体" w:cs="黑体"/>
                                <w:sz w:val="24"/>
                                <w:szCs w:val="24"/>
                                <w:shd w:val="clear" w:color="auto" w:fill="F5F5F5"/>
                              </w:rPr>
                            </w:pPr>
                            <w:r>
                              <w:rPr>
                                <w:rFonts w:hint="eastAsia" w:ascii="黑体" w:hAnsi="黑体" w:eastAsia="黑体" w:cs="黑体"/>
                                <w:sz w:val="24"/>
                                <w:szCs w:val="24"/>
                                <w:shd w:val="clear" w:color="auto" w:fill="F5F5F5"/>
                              </w:rPr>
                              <w:t>Methods for chemical analysis of lithium ferromanganese phosphate–Part 2: Determination of the ratio of manganese to iron</w:t>
                            </w:r>
                          </w:p>
                          <w:p>
                            <w:pPr>
                              <w:pStyle w:val="89"/>
                              <w:shd w:val="clear" w:color="auto" w:fill="FFFFFF"/>
                              <w:spacing w:before="567" w:beforeAutospacing="0" w:after="0" w:line="330" w:lineRule="exact"/>
                              <w:jc w:val="center"/>
                              <w:rPr>
                                <w:rFonts w:hint="eastAsia" w:ascii="黑体" w:hAnsi="黑体" w:eastAsia="黑体" w:cs="黑体"/>
                                <w:color w:val="FF0000"/>
                                <w:sz w:val="24"/>
                                <w:szCs w:val="24"/>
                                <w:shd w:val="clear" w:color="auto" w:fill="F5F6F9"/>
                              </w:rPr>
                            </w:pPr>
                          </w:p>
                          <w:p>
                            <w:pPr>
                              <w:pStyle w:val="89"/>
                              <w:shd w:val="clear" w:color="auto" w:fill="FFFFFF"/>
                              <w:spacing w:before="567" w:beforeAutospacing="0" w:after="0" w:line="330" w:lineRule="exact"/>
                              <w:jc w:val="center"/>
                              <w:rPr>
                                <w:rFonts w:ascii="Times New Roman" w:hAnsi="Times New Roman" w:eastAsia="黑体" w:cs="Times New Roman"/>
                                <w:color w:val="auto"/>
                                <w:sz w:val="28"/>
                              </w:rPr>
                            </w:pPr>
                            <w:r>
                              <w:rPr>
                                <w:rFonts w:hint="eastAsia" w:ascii="Times New Roman" w:hAnsi="Times New Roman" w:eastAsia="黑体" w:cs="Times New Roman"/>
                                <w:color w:val="auto"/>
                                <w:sz w:val="28"/>
                              </w:rPr>
                              <w:t>（</w:t>
                            </w:r>
                            <w:r>
                              <w:rPr>
                                <w:rFonts w:hint="eastAsia" w:ascii="Times New Roman" w:hAnsi="Times New Roman" w:eastAsia="黑体" w:cs="Times New Roman"/>
                                <w:color w:val="auto"/>
                                <w:sz w:val="28"/>
                                <w:lang w:val="en-US" w:eastAsia="zh-CN"/>
                              </w:rPr>
                              <w:t>预审稿</w:t>
                            </w:r>
                            <w:r>
                              <w:rPr>
                                <w:rFonts w:hint="eastAsia" w:ascii="Times New Roman" w:hAnsi="Times New Roman" w:eastAsia="黑体" w:cs="Times New Roman"/>
                                <w:color w:val="auto"/>
                                <w:sz w:val="28"/>
                              </w:rPr>
                              <w:t>）</w:t>
                            </w:r>
                          </w:p>
                          <w:p>
                            <w:pPr>
                              <w:pStyle w:val="102"/>
                            </w:pPr>
                          </w:p>
                          <w:p>
                            <w:pPr>
                              <w:pStyle w:val="119"/>
                            </w:pPr>
                          </w:p>
                          <w:p>
                            <w:pPr>
                              <w:pStyle w:val="82"/>
                              <w:jc w:val="both"/>
                            </w:pPr>
                          </w:p>
                        </w:txbxContent>
                      </wps:txbx>
                      <wps:bodyPr rot="0" vert="horz" wrap="square" lIns="0" tIns="0" rIns="0" bIns="0" anchor="t" anchorCtr="0" upright="1">
                        <a:noAutofit/>
                      </wps:bodyPr>
                    </wps:wsp>
                  </a:graphicData>
                </a:graphic>
              </wp:anchor>
            </w:drawing>
          </mc:Choice>
          <mc:Fallback>
            <w:pict>
              <v:shape id="fmFrame4" o:spid="_x0000_s1026" o:spt="202" type="#_x0000_t202" style="position:absolute;left:0pt;margin-left:-0.5pt;margin-top:213.35pt;height:294.35pt;width:482pt;mso-position-horizontal-relative:margin;mso-position-vertical-relative:margin;z-index:251661312;mso-width-relative:page;mso-height-relative:page;" fillcolor="#FFFFFF" filled="t" stroked="f" coordsize="21600,21600" o:allowincell="f" o:gfxdata="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G+WzTdoAAAALAQAADwAAAAAA&#10;AAABACAAAAAiAAAAZHJzL2Rvd25yZXYueG1sUEsBAhQAFAAAAAgAh07iQNxcbQERAgAALQQAAA4A&#10;AAAAAAAAAQAgAAAAKQEAAGRycy9lMm9Eb2MueG1sUEsFBgAAAAAGAAYAWQEAAKwFAAAAAA==&#10;">
                <v:fill on="t" focussize="0,0"/>
                <v:stroke on="f"/>
                <v:imagedata o:title=""/>
                <o:lock v:ext="edit" aspectratio="f"/>
                <v:textbox inset="0mm,0mm,0mm,0mm">
                  <w:txbxContent>
                    <w:p>
                      <w:pPr>
                        <w:pStyle w:val="83"/>
                        <w:spacing w:before="370" w:line="200" w:lineRule="exact"/>
                        <w:rPr>
                          <w:rFonts w:hint="eastAsia" w:ascii="黑体" w:hAnsi="黑体" w:eastAsia="黑体" w:cs="黑体"/>
                          <w:color w:val="000000" w:themeColor="text1"/>
                          <w:sz w:val="52"/>
                          <w:szCs w:val="52"/>
                          <w14:textFill>
                            <w14:solidFill>
                              <w14:schemeClr w14:val="tx1"/>
                            </w14:solidFill>
                          </w14:textFill>
                        </w:rPr>
                      </w:pPr>
                      <w:bookmarkStart w:id="23" w:name="OLE_LINK1"/>
                      <w:r>
                        <w:rPr>
                          <w:rFonts w:hint="eastAsia" w:ascii="黑体" w:hAnsi="黑体" w:eastAsia="黑体" w:cs="黑体"/>
                          <w:color w:val="000000" w:themeColor="text1"/>
                          <w:sz w:val="52"/>
                          <w:szCs w:val="52"/>
                          <w14:textFill>
                            <w14:solidFill>
                              <w14:schemeClr w14:val="tx1"/>
                            </w14:solidFill>
                          </w14:textFill>
                        </w:rPr>
                        <w:t xml:space="preserve">磷酸锰铁锂化学分析方法 第2部分 </w:t>
                      </w:r>
                    </w:p>
                    <w:bookmarkEnd w:id="23"/>
                    <w:p>
                      <w:pPr>
                        <w:pStyle w:val="89"/>
                        <w:shd w:val="clear" w:color="auto" w:fill="FFFFFF"/>
                        <w:spacing w:before="567" w:beforeAutospacing="0" w:after="0" w:line="330" w:lineRule="exact"/>
                        <w:jc w:val="center"/>
                        <w:rPr>
                          <w:rFonts w:hint="eastAsia"/>
                          <w:sz w:val="24"/>
                          <w:szCs w:val="24"/>
                          <w:lang w:bidi="ar"/>
                        </w:rPr>
                      </w:pPr>
                      <w:r>
                        <w:rPr>
                          <w:rFonts w:hint="eastAsia" w:ascii="黑体" w:hAnsi="黑体" w:eastAsia="黑体" w:cs="黑体"/>
                          <w:color w:val="000000" w:themeColor="text1"/>
                          <w:sz w:val="52"/>
                          <w:szCs w:val="52"/>
                          <w14:textFill>
                            <w14:solidFill>
                              <w14:schemeClr w14:val="tx1"/>
                            </w14:solidFill>
                          </w14:textFill>
                        </w:rPr>
                        <w:t>锰铁比的测定</w:t>
                      </w:r>
                    </w:p>
                    <w:p>
                      <w:pPr>
                        <w:pStyle w:val="89"/>
                        <w:shd w:val="clear" w:color="auto" w:fill="FFFFFF"/>
                        <w:spacing w:before="567" w:beforeAutospacing="0" w:after="0" w:line="330" w:lineRule="exact"/>
                        <w:jc w:val="center"/>
                        <w:rPr>
                          <w:rFonts w:hint="eastAsia" w:ascii="黑体" w:hAnsi="黑体" w:eastAsia="黑体" w:cs="黑体"/>
                          <w:sz w:val="24"/>
                          <w:szCs w:val="24"/>
                          <w:shd w:val="clear" w:color="auto" w:fill="F5F5F5"/>
                        </w:rPr>
                      </w:pPr>
                      <w:r>
                        <w:rPr>
                          <w:rFonts w:hint="eastAsia" w:ascii="黑体" w:hAnsi="黑体" w:eastAsia="黑体" w:cs="黑体"/>
                          <w:sz w:val="24"/>
                          <w:szCs w:val="24"/>
                          <w:shd w:val="clear" w:color="auto" w:fill="F5F5F5"/>
                        </w:rPr>
                        <w:t>Methods for chemical analysis of lithium ferromanganese phosphate–Part 2: Determination of the ratio of manganese to iron</w:t>
                      </w:r>
                    </w:p>
                    <w:p>
                      <w:pPr>
                        <w:pStyle w:val="89"/>
                        <w:shd w:val="clear" w:color="auto" w:fill="FFFFFF"/>
                        <w:spacing w:before="567" w:beforeAutospacing="0" w:after="0" w:line="330" w:lineRule="exact"/>
                        <w:jc w:val="center"/>
                        <w:rPr>
                          <w:rFonts w:hint="eastAsia" w:ascii="黑体" w:hAnsi="黑体" w:eastAsia="黑体" w:cs="黑体"/>
                          <w:color w:val="FF0000"/>
                          <w:sz w:val="24"/>
                          <w:szCs w:val="24"/>
                          <w:shd w:val="clear" w:color="auto" w:fill="F5F6F9"/>
                        </w:rPr>
                      </w:pPr>
                    </w:p>
                    <w:p>
                      <w:pPr>
                        <w:pStyle w:val="89"/>
                        <w:shd w:val="clear" w:color="auto" w:fill="FFFFFF"/>
                        <w:spacing w:before="567" w:beforeAutospacing="0" w:after="0" w:line="330" w:lineRule="exact"/>
                        <w:jc w:val="center"/>
                        <w:rPr>
                          <w:rFonts w:ascii="Times New Roman" w:hAnsi="Times New Roman" w:eastAsia="黑体" w:cs="Times New Roman"/>
                          <w:color w:val="auto"/>
                          <w:sz w:val="28"/>
                        </w:rPr>
                      </w:pPr>
                      <w:r>
                        <w:rPr>
                          <w:rFonts w:hint="eastAsia" w:ascii="Times New Roman" w:hAnsi="Times New Roman" w:eastAsia="黑体" w:cs="Times New Roman"/>
                          <w:color w:val="auto"/>
                          <w:sz w:val="28"/>
                        </w:rPr>
                        <w:t>（</w:t>
                      </w:r>
                      <w:r>
                        <w:rPr>
                          <w:rFonts w:hint="eastAsia" w:ascii="Times New Roman" w:hAnsi="Times New Roman" w:eastAsia="黑体" w:cs="Times New Roman"/>
                          <w:color w:val="auto"/>
                          <w:sz w:val="28"/>
                          <w:lang w:val="en-US" w:eastAsia="zh-CN"/>
                        </w:rPr>
                        <w:t>预审稿</w:t>
                      </w:r>
                      <w:r>
                        <w:rPr>
                          <w:rFonts w:hint="eastAsia" w:ascii="Times New Roman" w:hAnsi="Times New Roman" w:eastAsia="黑体" w:cs="Times New Roman"/>
                          <w:color w:val="auto"/>
                          <w:sz w:val="28"/>
                        </w:rPr>
                        <w:t>）</w:t>
                      </w:r>
                    </w:p>
                    <w:p>
                      <w:pPr>
                        <w:pStyle w:val="102"/>
                      </w:pPr>
                    </w:p>
                    <w:p>
                      <w:pPr>
                        <w:pStyle w:val="119"/>
                      </w:pPr>
                    </w:p>
                    <w:p>
                      <w:pPr>
                        <w:pStyle w:val="82"/>
                        <w:jc w:val="both"/>
                      </w:pPr>
                    </w:p>
                  </w:txbxContent>
                </v:textbox>
                <w10:anchorlock/>
              </v:shape>
            </w:pict>
          </mc:Fallback>
        </mc:AlternateContent>
      </w:r>
      <w:r>
        <mc:AlternateContent>
          <mc:Choice Requires="wps">
            <w:drawing>
              <wp:anchor distT="0" distB="0" distL="114300" distR="114300" simplePos="0" relativeHeight="251660288" behindDoc="0" locked="1" layoutInCell="0" allowOverlap="1">
                <wp:simplePos x="0" y="0"/>
                <wp:positionH relativeFrom="margin">
                  <wp:posOffset>66675</wp:posOffset>
                </wp:positionH>
                <wp:positionV relativeFrom="margin">
                  <wp:posOffset>1063625</wp:posOffset>
                </wp:positionV>
                <wp:extent cx="6067425" cy="391160"/>
                <wp:effectExtent l="0" t="0" r="9525" b="8890"/>
                <wp:wrapNone/>
                <wp:docPr id="16" name="fmFrame2"/>
                <wp:cNvGraphicFramePr/>
                <a:graphic xmlns:a="http://schemas.openxmlformats.org/drawingml/2006/main">
                  <a:graphicData uri="http://schemas.microsoft.com/office/word/2010/wordprocessingShape">
                    <wps:wsp>
                      <wps:cNvSpPr txBox="1">
                        <a:spLocks noChangeArrowheads="1"/>
                      </wps:cNvSpPr>
                      <wps:spPr bwMode="auto">
                        <a:xfrm>
                          <a:off x="0" y="0"/>
                          <a:ext cx="6067425" cy="391160"/>
                        </a:xfrm>
                        <a:prstGeom prst="rect">
                          <a:avLst/>
                        </a:prstGeom>
                        <a:solidFill>
                          <a:srgbClr val="FFFFFF"/>
                        </a:solidFill>
                        <a:ln>
                          <a:noFill/>
                        </a:ln>
                      </wps:spPr>
                      <wps:txbx>
                        <w:txbxContent>
                          <w:p>
                            <w:pPr>
                              <w:pStyle w:val="110"/>
                            </w:pPr>
                            <w:r>
                              <w:rPr>
                                <w:rFonts w:hint="eastAsia"/>
                              </w:rPr>
                              <w:t>中华人民共和国国家标准</w:t>
                            </w:r>
                          </w:p>
                        </w:txbxContent>
                      </wps:txbx>
                      <wps:bodyPr rot="0" vert="horz" wrap="square" lIns="0" tIns="0" rIns="0" bIns="0" anchor="t" anchorCtr="0" upright="1">
                        <a:noAutofit/>
                      </wps:bodyPr>
                    </wps:wsp>
                  </a:graphicData>
                </a:graphic>
              </wp:anchor>
            </w:drawing>
          </mc:Choice>
          <mc:Fallback>
            <w:pict>
              <v:shape id="fmFrame2" o:spid="_x0000_s1026" o:spt="202" type="#_x0000_t202" style="position:absolute;left:0pt;margin-left:5.25pt;margin-top:83.75pt;height:30.8pt;width:477.75pt;mso-position-horizontal-relative:margin;mso-position-vertical-relative:margin;z-index:251660288;mso-width-relative:page;mso-height-relative:page;" fillcolor="#FFFFFF" filled="t" stroked="f" coordsize="21600,21600" o:allowincell="f" o:gfxdata="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oWtUKdgAAAAKAQAADwAAAAAAAAAB&#10;ACAAAAAiAAAAZHJzL2Rvd25yZXYueG1sUEsBAhQAFAAAAAgAh07iQJGcFosQAgAALAQAAA4AAAAA&#10;AAAAAQAgAAAAJwEAAGRycy9lMm9Eb2MueG1sUEsFBgAAAAAGAAYAWQEAAKkFAAAAAA==&#10;">
                <v:fill on="t" focussize="0,0"/>
                <v:stroke on="f"/>
                <v:imagedata o:title=""/>
                <o:lock v:ext="edit" aspectratio="f"/>
                <v:textbox inset="0mm,0mm,0mm,0mm">
                  <w:txbxContent>
                    <w:p>
                      <w:pPr>
                        <w:pStyle w:val="110"/>
                      </w:pPr>
                      <w:r>
                        <w:rPr>
                          <w:rFonts w:hint="eastAsia"/>
                        </w:rPr>
                        <w:t>中华人民共和国国家标准</w:t>
                      </w:r>
                    </w:p>
                  </w:txbxContent>
                </v:textbox>
                <w10:anchorlock/>
              </v:shape>
            </w:pict>
          </mc:Fallback>
        </mc:AlternateContent>
      </w:r>
      <w:r>
        <mc:AlternateContent>
          <mc:Choice Requires="wps">
            <w:drawing>
              <wp:anchor distT="0" distB="0" distL="114300" distR="114300" simplePos="0" relativeHeight="251659264" behindDoc="0" locked="1" layoutInCell="0" allowOverlap="1">
                <wp:simplePos x="0" y="0"/>
                <wp:positionH relativeFrom="margin">
                  <wp:posOffset>-5080</wp:posOffset>
                </wp:positionH>
                <wp:positionV relativeFrom="margin">
                  <wp:posOffset>-17145</wp:posOffset>
                </wp:positionV>
                <wp:extent cx="923925" cy="390525"/>
                <wp:effectExtent l="0" t="0" r="9525" b="9525"/>
                <wp:wrapNone/>
                <wp:docPr id="15" name="fmFrame1"/>
                <wp:cNvGraphicFramePr/>
                <a:graphic xmlns:a="http://schemas.openxmlformats.org/drawingml/2006/main">
                  <a:graphicData uri="http://schemas.microsoft.com/office/word/2010/wordprocessingShape">
                    <wps:wsp>
                      <wps:cNvSpPr txBox="1">
                        <a:spLocks noChangeArrowheads="1"/>
                      </wps:cNvSpPr>
                      <wps:spPr bwMode="auto">
                        <a:xfrm>
                          <a:off x="0" y="0"/>
                          <a:ext cx="923925" cy="390525"/>
                        </a:xfrm>
                        <a:prstGeom prst="rect">
                          <a:avLst/>
                        </a:prstGeom>
                        <a:solidFill>
                          <a:srgbClr val="FFFFFF"/>
                        </a:solidFill>
                        <a:ln>
                          <a:noFill/>
                        </a:ln>
                      </wps:spPr>
                      <wps:txbx>
                        <w:txbxContent>
                          <w:p>
                            <w:pPr>
                              <w:pStyle w:val="105"/>
                              <w:rPr>
                                <w:rFonts w:hint="eastAsia" w:ascii="黑体" w:hAnsi="黑体" w:cs="黑体"/>
                              </w:rPr>
                            </w:pPr>
                            <w:r>
                              <w:rPr>
                                <w:rFonts w:hint="eastAsia" w:ascii="黑体" w:hAnsi="黑体" w:cs="黑体"/>
                              </w:rPr>
                              <w:t>ICS 77.160</w:t>
                            </w:r>
                          </w:p>
                          <w:p>
                            <w:pPr>
                              <w:pStyle w:val="105"/>
                              <w:rPr>
                                <w:rFonts w:hint="eastAsia" w:ascii="黑体" w:hAnsi="黑体" w:cs="黑体"/>
                              </w:rPr>
                            </w:pPr>
                            <w:r>
                              <w:rPr>
                                <w:rFonts w:hint="eastAsia" w:ascii="黑体" w:hAnsi="黑体" w:cs="黑体"/>
                              </w:rPr>
                              <w:t>CCS H16</w:t>
                            </w:r>
                          </w:p>
                          <w:p>
                            <w:pPr>
                              <w:pStyle w:val="105"/>
                            </w:pPr>
                          </w:p>
                        </w:txbxContent>
                      </wps:txbx>
                      <wps:bodyPr rot="0" vert="horz" wrap="square" lIns="0" tIns="0" rIns="0" bIns="0" anchor="t" anchorCtr="0" upright="1">
                        <a:noAutofit/>
                      </wps:bodyPr>
                    </wps:wsp>
                  </a:graphicData>
                </a:graphic>
              </wp:anchor>
            </w:drawing>
          </mc:Choice>
          <mc:Fallback>
            <w:pict>
              <v:shape id="fmFrame1" o:spid="_x0000_s1026" o:spt="202" type="#_x0000_t202" style="position:absolute;left:0pt;margin-left:-0.4pt;margin-top:-1.35pt;height:30.75pt;width:72.75pt;mso-position-horizontal-relative:margin;mso-position-vertical-relative:margin;z-index:251659264;mso-width-relative:page;mso-height-relative:page;" fillcolor="#FFFFFF" filled="t" stroked="f" coordsize="21600,21600" o:allowincell="f" o:gfxdata="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rUZ4dUAAAAHAQAADwAAAAAAAAABACAAAAAi&#10;AAAAZHJzL2Rvd25yZXYueG1sUEsBAhQAFAAAAAgAh07iQMAlzqgNAgAAKwQAAA4AAAAAAAAAAQAg&#10;AAAAJAEAAGRycy9lMm9Eb2MueG1sUEsFBgAAAAAGAAYAWQEAAKMFAAAAAA==&#10;">
                <v:fill on="t" focussize="0,0"/>
                <v:stroke on="f"/>
                <v:imagedata o:title=""/>
                <o:lock v:ext="edit" aspectratio="f"/>
                <v:textbox inset="0mm,0mm,0mm,0mm">
                  <w:txbxContent>
                    <w:p>
                      <w:pPr>
                        <w:pStyle w:val="105"/>
                        <w:rPr>
                          <w:rFonts w:hint="eastAsia" w:ascii="黑体" w:hAnsi="黑体" w:cs="黑体"/>
                        </w:rPr>
                      </w:pPr>
                      <w:r>
                        <w:rPr>
                          <w:rFonts w:hint="eastAsia" w:ascii="黑体" w:hAnsi="黑体" w:cs="黑体"/>
                        </w:rPr>
                        <w:t>ICS 77.160</w:t>
                      </w:r>
                    </w:p>
                    <w:p>
                      <w:pPr>
                        <w:pStyle w:val="105"/>
                        <w:rPr>
                          <w:rFonts w:hint="eastAsia" w:ascii="黑体" w:hAnsi="黑体" w:cs="黑体"/>
                        </w:rPr>
                      </w:pPr>
                      <w:r>
                        <w:rPr>
                          <w:rFonts w:hint="eastAsia" w:ascii="黑体" w:hAnsi="黑体" w:cs="黑体"/>
                        </w:rPr>
                        <w:t>CCS H16</w:t>
                      </w:r>
                    </w:p>
                    <w:p>
                      <w:pPr>
                        <w:pStyle w:val="105"/>
                      </w:pPr>
                    </w:p>
                  </w:txbxContent>
                </v:textbox>
                <w10:anchorlock/>
              </v:shape>
            </w:pict>
          </mc:Fallback>
        </mc:AlternateContent>
      </w:r>
    </w:p>
    <w:p/>
    <w:p/>
    <w:p/>
    <w:p/>
    <w:p/>
    <w:p/>
    <w:p/>
    <w:p>
      <w:r>
        <mc:AlternateContent>
          <mc:Choice Requires="wps">
            <w:drawing>
              <wp:anchor distT="0" distB="0" distL="114300" distR="114300" simplePos="0" relativeHeight="251670528" behindDoc="0" locked="0" layoutInCell="1" allowOverlap="1">
                <wp:simplePos x="0" y="0"/>
                <wp:positionH relativeFrom="margin">
                  <wp:posOffset>269240</wp:posOffset>
                </wp:positionH>
                <wp:positionV relativeFrom="paragraph">
                  <wp:posOffset>175895</wp:posOffset>
                </wp:positionV>
                <wp:extent cx="5716905" cy="486410"/>
                <wp:effectExtent l="0" t="0" r="0" b="8890"/>
                <wp:wrapNone/>
                <wp:docPr id="14" name="文本框 40"/>
                <wp:cNvGraphicFramePr/>
                <a:graphic xmlns:a="http://schemas.openxmlformats.org/drawingml/2006/main">
                  <a:graphicData uri="http://schemas.microsoft.com/office/word/2010/wordprocessingShape">
                    <wps:wsp>
                      <wps:cNvSpPr txBox="1">
                        <a:spLocks noChangeArrowheads="1"/>
                      </wps:cNvSpPr>
                      <wps:spPr bwMode="auto">
                        <a:xfrm>
                          <a:off x="0" y="0"/>
                          <a:ext cx="5716905" cy="486410"/>
                        </a:xfrm>
                        <a:prstGeom prst="rect">
                          <a:avLst/>
                        </a:prstGeom>
                        <a:noFill/>
                        <a:ln>
                          <a:noFill/>
                        </a:ln>
                      </wps:spPr>
                      <wps:txbx>
                        <w:txbxContent>
                          <w:p>
                            <w:pPr>
                              <w:spacing w:line="280" w:lineRule="exact"/>
                              <w:jc w:val="right"/>
                            </w:pPr>
                            <w:r>
                              <w:rPr>
                                <w:rFonts w:ascii="黑体" w:hAnsi="黑体" w:eastAsia="黑体"/>
                                <w:sz w:val="28"/>
                              </w:rPr>
                              <w:t>GB/T XXXX-202X</w:t>
                            </w:r>
                          </w:p>
                        </w:txbxContent>
                      </wps:txbx>
                      <wps:bodyPr rot="0" vert="horz" wrap="square" lIns="91440" tIns="45720" rIns="91440" bIns="45720" anchor="t" anchorCtr="0" upright="1">
                        <a:noAutofit/>
                      </wps:bodyPr>
                    </wps:wsp>
                  </a:graphicData>
                </a:graphic>
              </wp:anchor>
            </w:drawing>
          </mc:Choice>
          <mc:Fallback>
            <w:pict>
              <v:shape id="文本框 40" o:spid="_x0000_s1026" o:spt="202" type="#_x0000_t202" style="position:absolute;left:0pt;margin-left:21.2pt;margin-top:13.85pt;height:38.3pt;width:450.15pt;mso-position-horizontal-relative:margin;z-index:251670528;mso-width-relative:page;mso-height-relative:page;" filled="f" stroked="f" coordsize="21600,21600" o:gfxdata="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RDPRDWAAAACQEAAA8A&#10;AAAAAAAAAQAgAAAAIgAAAGRycy9kb3ducmV2LnhtbFBLAQIUABQAAAAIAIdO4kBJTud9GQIAABcE&#10;AAAOAAAAAAAAAAEAIAAAACUBAABkcnMvZTJvRG9jLnhtbFBLBQYAAAAABgAGAFkBAACwBQAAAAA=&#10;">
                <v:fill on="f" focussize="0,0"/>
                <v:stroke on="f"/>
                <v:imagedata o:title=""/>
                <o:lock v:ext="edit" aspectratio="f"/>
                <v:textbox>
                  <w:txbxContent>
                    <w:p>
                      <w:pPr>
                        <w:spacing w:line="280" w:lineRule="exact"/>
                        <w:jc w:val="right"/>
                      </w:pPr>
                      <w:r>
                        <w:rPr>
                          <w:rFonts w:ascii="黑体" w:hAnsi="黑体" w:eastAsia="黑体"/>
                          <w:sz w:val="28"/>
                        </w:rPr>
                        <w:t>GB/T XXXX-202X</w:t>
                      </w:r>
                    </w:p>
                  </w:txbxContent>
                </v:textbox>
              </v:shape>
            </w:pict>
          </mc:Fallback>
        </mc:AlternateContent>
      </w:r>
    </w:p>
    <w:p/>
    <w:p>
      <w:r>
        <mc:AlternateContent>
          <mc:Choice Requires="wps">
            <w:drawing>
              <wp:anchor distT="0" distB="0" distL="114300" distR="114300" simplePos="0" relativeHeight="251665408" behindDoc="0" locked="0" layoutInCell="1" allowOverlap="1">
                <wp:simplePos x="0" y="0"/>
                <wp:positionH relativeFrom="margin">
                  <wp:posOffset>0</wp:posOffset>
                </wp:positionH>
                <wp:positionV relativeFrom="paragraph">
                  <wp:posOffset>351155</wp:posOffset>
                </wp:positionV>
                <wp:extent cx="6121400" cy="0"/>
                <wp:effectExtent l="0" t="0" r="31750" b="19050"/>
                <wp:wrapSquare wrapText="bothSides"/>
                <wp:docPr id="13" name="直线 10"/>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00000"/>
                          </a:solidFill>
                          <a:round/>
                        </a:ln>
                        <a:effectLst/>
                      </wps:spPr>
                      <wps:bodyPr/>
                    </wps:wsp>
                  </a:graphicData>
                </a:graphic>
              </wp:anchor>
            </w:drawing>
          </mc:Choice>
          <mc:Fallback>
            <w:pict>
              <v:line id="直线 10" o:spid="_x0000_s1026" o:spt="20" style="position:absolute;left:0pt;margin-left:0pt;margin-top:27.65pt;height:0pt;width:482pt;mso-position-horizontal-relative:margin;mso-wrap-distance-bottom:0pt;mso-wrap-distance-left:9pt;mso-wrap-distance-right:9pt;mso-wrap-distance-top:0pt;z-index:251665408;mso-width-relative:page;mso-height-relative:page;" filled="f" stroked="t" coordsize="21600,21600" o:gfxdata="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lW5nfVAAAABgEAAA8AAAAAAAAA&#10;AQAgAAAAIgAAAGRycy9kb3ducmV2LnhtbFBLAQIUABQAAAAIAIdO4kA+D1+F2wEAALIDAAAOAAAA&#10;AAAAAAEAIAAAACQBAABkcnMvZTJvRG9jLnhtbFBLBQYAAAAABgAGAFkBAABxBQAAAAA=&#10;">
                <v:fill on="f" focussize="0,0"/>
                <v:stroke weight="1pt" color="#000000" joinstyle="round"/>
                <v:imagedata o:title=""/>
                <o:lock v:ext="edit" aspectratio="f"/>
                <w10:wrap type="square"/>
              </v:line>
            </w:pict>
          </mc:Fallback>
        </mc:AlternateContent>
      </w:r>
    </w:p>
    <w:p/>
    <w:p/>
    <w:p/>
    <w:p/>
    <w:p/>
    <w:p/>
    <w:p/>
    <w:p/>
    <w:p/>
    <w:p/>
    <w:p/>
    <w:p>
      <w:pPr>
        <w:tabs>
          <w:tab w:val="left" w:pos="8916"/>
        </w:tabs>
        <w:jc w:val="left"/>
      </w:pPr>
      <w:r>
        <mc:AlternateContent>
          <mc:Choice Requires="wps">
            <w:drawing>
              <wp:anchor distT="0" distB="0" distL="114300" distR="114300" simplePos="0" relativeHeight="251666432" behindDoc="0" locked="0" layoutInCell="1" allowOverlap="1">
                <wp:simplePos x="0" y="0"/>
                <wp:positionH relativeFrom="margin">
                  <wp:posOffset>0</wp:posOffset>
                </wp:positionH>
                <wp:positionV relativeFrom="paragraph">
                  <wp:posOffset>4384040</wp:posOffset>
                </wp:positionV>
                <wp:extent cx="6121400" cy="0"/>
                <wp:effectExtent l="0" t="0" r="31750" b="19050"/>
                <wp:wrapSquare wrapText="bothSides"/>
                <wp:docPr id="11" name="直线 11"/>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00000"/>
                          </a:solidFill>
                          <a:round/>
                        </a:ln>
                      </wps:spPr>
                      <wps:bodyPr/>
                    </wps:wsp>
                  </a:graphicData>
                </a:graphic>
              </wp:anchor>
            </w:drawing>
          </mc:Choice>
          <mc:Fallback>
            <w:pict>
              <v:line id="直线 11" o:spid="_x0000_s1026" o:spt="20" style="position:absolute;left:0pt;margin-left:0pt;margin-top:345.2pt;height:0pt;width:482pt;mso-position-horizontal-relative:margin;mso-wrap-distance-bottom:0pt;mso-wrap-distance-left:9pt;mso-wrap-distance-right:9pt;mso-wrap-distance-top:0pt;z-index:251666432;mso-width-relative:page;mso-height-relative:page;" filled="f" stroked="t" coordsize="21600,21600" o:gfxdata="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tiuAA1gAAAAgBAAAPAAAAAAAAAAEAIAAA&#10;ACIAAABkcnMvZG93bnJldi54bWxQSwECFAAUAAAACACHTuJAcBg4CdUBAACkAwAADgAAAAAAAAAB&#10;ACAAAAAlAQAAZHJzL2Uyb0RvYy54bWxQSwUGAAAAAAYABgBZAQAAbAUAAAAA&#10;">
                <v:fill on="f" focussize="0,0"/>
                <v:stroke weight="1pt" color="#000000" joinstyle="round"/>
                <v:imagedata o:title=""/>
                <o:lock v:ext="edit" aspectratio="f"/>
                <w10:wrap type="square"/>
              </v:line>
            </w:pict>
          </mc:Fallback>
        </mc:AlternateContent>
      </w:r>
      <w:r>
        <w:tab/>
      </w: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p>
    <w:p>
      <w:pPr>
        <w:tabs>
          <w:tab w:val="left" w:pos="8916"/>
        </w:tabs>
        <w:jc w:val="left"/>
      </w:pPr>
      <w:bookmarkStart w:id="24" w:name="_GoBack"/>
      <w:bookmarkEnd w:id="24"/>
    </w:p>
    <w:p>
      <w:pPr>
        <w:tabs>
          <w:tab w:val="left" w:pos="8916"/>
        </w:tabs>
        <w:jc w:val="left"/>
      </w:pPr>
    </w:p>
    <w:p>
      <w:pPr>
        <w:tabs>
          <w:tab w:val="left" w:pos="8916"/>
        </w:tabs>
        <w:jc w:val="left"/>
        <w:sectPr>
          <w:headerReference r:id="rId5" w:type="first"/>
          <w:headerReference r:id="rId3" w:type="default"/>
          <w:footerReference r:id="rId6" w:type="default"/>
          <w:headerReference r:id="rId4" w:type="even"/>
          <w:footerReference r:id="rId7" w:type="even"/>
          <w:pgSz w:w="11907" w:h="16839"/>
          <w:pgMar w:top="567" w:right="851" w:bottom="1418" w:left="1418" w:header="0" w:footer="0" w:gutter="0"/>
          <w:pgNumType w:fmt="upperRoman" w:start="1"/>
          <w:cols w:space="720" w:num="1"/>
          <w:titlePg/>
          <w:docGrid w:type="lines" w:linePitch="312" w:charSpace="0"/>
        </w:sectPr>
      </w:pPr>
      <w:r>
        <mc:AlternateContent>
          <mc:Choice Requires="wps">
            <w:drawing>
              <wp:anchor distT="0" distB="0" distL="114300" distR="114300" simplePos="0" relativeHeight="251669504" behindDoc="0" locked="0" layoutInCell="1" allowOverlap="1">
                <wp:simplePos x="0" y="0"/>
                <wp:positionH relativeFrom="column">
                  <wp:posOffset>4739005</wp:posOffset>
                </wp:positionH>
                <wp:positionV relativeFrom="paragraph">
                  <wp:posOffset>1221105</wp:posOffset>
                </wp:positionV>
                <wp:extent cx="621665" cy="471170"/>
                <wp:effectExtent l="0" t="0" r="26035" b="24130"/>
                <wp:wrapNone/>
                <wp:docPr id="12" name="文本框 26"/>
                <wp:cNvGraphicFramePr/>
                <a:graphic xmlns:a="http://schemas.openxmlformats.org/drawingml/2006/main">
                  <a:graphicData uri="http://schemas.microsoft.com/office/word/2010/wordprocessingShape">
                    <wps:wsp>
                      <wps:cNvSpPr txBox="1">
                        <a:spLocks noChangeArrowheads="1"/>
                      </wps:cNvSpPr>
                      <wps:spPr bwMode="auto">
                        <a:xfrm>
                          <a:off x="0" y="0"/>
                          <a:ext cx="621792" cy="471170"/>
                        </a:xfrm>
                        <a:prstGeom prst="rect">
                          <a:avLst/>
                        </a:prstGeom>
                        <a:noFill/>
                        <a:ln w="9525">
                          <a:solidFill>
                            <a:srgbClr val="FFFFFF"/>
                          </a:solidFill>
                          <a:miter lim="800000"/>
                        </a:ln>
                      </wps:spPr>
                      <wps:txbx>
                        <w:txbxContent>
                          <w:p>
                            <w:pPr>
                              <w:jc w:val="distribute"/>
                              <w:rPr>
                                <w:rFonts w:hint="eastAsia" w:ascii="黑体" w:hAnsi="黑体" w:eastAsia="黑体"/>
                                <w:bCs/>
                                <w:color w:val="000000"/>
                                <w:sz w:val="28"/>
                              </w:rPr>
                            </w:pPr>
                            <w:r>
                              <w:rPr>
                                <w:rFonts w:hint="eastAsia" w:ascii="黑体" w:hAnsi="黑体" w:eastAsia="黑体"/>
                                <w:bCs/>
                                <w:color w:val="000000"/>
                                <w:sz w:val="28"/>
                              </w:rPr>
                              <w:t>发布</w:t>
                            </w:r>
                          </w:p>
                        </w:txbxContent>
                      </wps:txbx>
                      <wps:bodyPr rot="0" vert="horz" wrap="square" lIns="91440" tIns="45720" rIns="91440" bIns="45720" anchor="t" anchorCtr="0" upright="1">
                        <a:noAutofit/>
                      </wps:bodyPr>
                    </wps:wsp>
                  </a:graphicData>
                </a:graphic>
              </wp:anchor>
            </w:drawing>
          </mc:Choice>
          <mc:Fallback>
            <w:pict>
              <v:shape id="文本框 26" o:spid="_x0000_s1026" o:spt="202" type="#_x0000_t202" style="position:absolute;left:0pt;margin-left:373.15pt;margin-top:96.15pt;height:37.1pt;width:48.95pt;z-index:251669504;mso-width-relative:page;mso-height-relative:page;" filled="f" stroked="t" coordsize="21600,21600" o:gfxdata="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AhWsgtoAAAALAQAADwAAAAAAAAABACAAAAAi&#10;AAAAZHJzL2Rvd25yZXYueG1sUEsBAhQAFAAAAAgAh07iQI/yxUhBAgAAXwQAAA4AAAAAAAAAAQAg&#10;AAAAKQEAAGRycy9lMm9Eb2MueG1sUEsFBgAAAAAGAAYAWQEAANwFAAAAAA==&#10;">
                <v:fill on="f" focussize="0,0"/>
                <v:stroke color="#FFFFFF" miterlimit="8" joinstyle="miter"/>
                <v:imagedata o:title=""/>
                <o:lock v:ext="edit" aspectratio="f"/>
                <v:textbox>
                  <w:txbxContent>
                    <w:p>
                      <w:pPr>
                        <w:jc w:val="distribute"/>
                        <w:rPr>
                          <w:rFonts w:hint="eastAsia" w:ascii="黑体" w:hAnsi="黑体" w:eastAsia="黑体"/>
                          <w:bCs/>
                          <w:color w:val="000000"/>
                          <w:sz w:val="28"/>
                        </w:rPr>
                      </w:pPr>
                      <w:r>
                        <w:rPr>
                          <w:rFonts w:hint="eastAsia" w:ascii="黑体" w:hAnsi="黑体" w:eastAsia="黑体"/>
                          <w:bCs/>
                          <w:color w:val="000000"/>
                          <w:sz w:val="28"/>
                        </w:rPr>
                        <w:t>发布</w:t>
                      </w:r>
                    </w:p>
                  </w:txbxContent>
                </v:textbox>
              </v:shape>
            </w:pict>
          </mc:Fallback>
        </mc:AlternateContent>
      </w:r>
    </w:p>
    <w:bookmarkEnd w:id="0"/>
    <w:p>
      <w:pPr>
        <w:pStyle w:val="54"/>
        <w:ind w:firstLine="640"/>
        <w:jc w:val="center"/>
        <w:rPr>
          <w:rFonts w:ascii="Times New Roman" w:eastAsia="黑体"/>
          <w:sz w:val="32"/>
          <w:szCs w:val="32"/>
        </w:rPr>
      </w:pPr>
      <w:bookmarkStart w:id="1" w:name="SectionMark2"/>
      <w:r>
        <w:rPr>
          <w:rFonts w:ascii="Times New Roman" w:eastAsia="黑体"/>
          <w:sz w:val="32"/>
          <w:szCs w:val="32"/>
        </w:rPr>
        <w:t>前言</w:t>
      </w:r>
    </w:p>
    <w:bookmarkEnd w:id="1"/>
    <w:p>
      <w:pPr>
        <w:ind w:left="195" w:leftChars="93" w:firstLine="405" w:firstLineChars="193"/>
        <w:jc w:val="left"/>
        <w:rPr>
          <w:rFonts w:hint="eastAsia"/>
        </w:rPr>
      </w:pPr>
      <w:bookmarkStart w:id="2" w:name="SectionMark4"/>
      <w:r>
        <w:rPr>
          <w:rFonts w:hint="eastAsia"/>
        </w:rPr>
        <w:t>本文件按照GB/T 1.1-2020《标准化工作导则 第1部分：标准化文件的结构和起草规则》的规定起草。</w:t>
      </w:r>
    </w:p>
    <w:p>
      <w:pPr>
        <w:ind w:left="195" w:leftChars="93" w:firstLine="405" w:firstLineChars="193"/>
        <w:jc w:val="left"/>
      </w:pPr>
      <w:r>
        <w:t>本文件是</w:t>
      </w:r>
      <w:r>
        <w:rPr>
          <w:rFonts w:hint="eastAsia"/>
        </w:rPr>
        <w:t>GB</w:t>
      </w:r>
      <w:r>
        <w:t xml:space="preserve">/T </w:t>
      </w:r>
      <w:r>
        <w:rPr>
          <w:rFonts w:hint="eastAsia"/>
        </w:rPr>
        <w:t>XXXX</w:t>
      </w:r>
      <w:r>
        <w:t>《</w:t>
      </w:r>
      <w:r>
        <w:rPr>
          <w:rFonts w:hint="eastAsia"/>
        </w:rPr>
        <w:t>磷酸锰铁锂化学分析方法</w:t>
      </w:r>
      <w:r>
        <w:t>》的第</w:t>
      </w:r>
      <w:r>
        <w:rPr>
          <w:rFonts w:hint="eastAsia"/>
        </w:rPr>
        <w:t>2</w:t>
      </w:r>
      <w:r>
        <w:t>部分。</w:t>
      </w:r>
      <w:r>
        <w:rPr>
          <w:rFonts w:hint="eastAsia"/>
        </w:rPr>
        <w:t>GB</w:t>
      </w:r>
      <w:r>
        <w:t>/T</w:t>
      </w:r>
      <w:r>
        <w:rPr>
          <w:rFonts w:hint="eastAsia"/>
        </w:rPr>
        <w:t xml:space="preserve"> XXXX</w:t>
      </w:r>
      <w:r>
        <w:t>已经发布了以下部分：</w:t>
      </w:r>
    </w:p>
    <w:p>
      <w:pPr>
        <w:ind w:left="420" w:leftChars="200" w:firstLine="420" w:firstLineChars="200"/>
        <w:jc w:val="left"/>
      </w:pPr>
      <w:r>
        <w:rPr>
          <w:rFonts w:hint="eastAsia"/>
        </w:rPr>
        <w:t>——第1部分：锰量的测定 电位滴定法</w:t>
      </w:r>
    </w:p>
    <w:p>
      <w:pPr>
        <w:ind w:left="420" w:leftChars="200" w:firstLine="420" w:firstLineChars="200"/>
        <w:jc w:val="left"/>
      </w:pPr>
      <w:r>
        <w:rPr>
          <w:rFonts w:hint="eastAsia"/>
        </w:rPr>
        <w:t>——</w:t>
      </w:r>
      <w:r>
        <w:rPr>
          <w:rFonts w:hint="eastAsia"/>
          <w:color w:val="000000" w:themeColor="text1"/>
          <w14:textFill>
            <w14:solidFill>
              <w14:schemeClr w14:val="tx1"/>
            </w14:solidFill>
          </w14:textFill>
        </w:rPr>
        <w:t>第2部分：锰铁比的测定</w:t>
      </w:r>
    </w:p>
    <w:p>
      <w:pPr>
        <w:ind w:left="420" w:leftChars="200" w:firstLine="420" w:firstLineChars="200"/>
        <w:jc w:val="left"/>
      </w:pPr>
      <w:r>
        <w:rPr>
          <w:rFonts w:hint="eastAsia"/>
        </w:rPr>
        <w:t>——第3部分：碳和硫含量的测定 高频感应炉燃烧红外吸收法</w:t>
      </w:r>
    </w:p>
    <w:p>
      <w:pPr>
        <w:ind w:left="420" w:leftChars="200" w:firstLine="420" w:firstLineChars="200"/>
        <w:jc w:val="left"/>
      </w:pPr>
      <w:r>
        <w:rPr>
          <w:rFonts w:hint="eastAsia"/>
        </w:rPr>
        <w:t xml:space="preserve">——第4部分：锰离子和铁离子溶出率的的定 </w:t>
      </w:r>
      <w:bookmarkStart w:id="3" w:name="OLE_LINK25"/>
      <w:r>
        <w:t>电感耦合等离子体发射光谱法</w:t>
      </w:r>
    </w:p>
    <w:bookmarkEnd w:id="3"/>
    <w:p>
      <w:pPr>
        <w:ind w:left="420" w:leftChars="200" w:firstLine="420" w:firstLineChars="200"/>
        <w:jc w:val="left"/>
      </w:pPr>
      <w:r>
        <w:rPr>
          <w:rFonts w:hint="eastAsia"/>
        </w:rPr>
        <w:t>——第5部分：xxx</w:t>
      </w:r>
    </w:p>
    <w:p>
      <w:pPr>
        <w:ind w:left="420" w:leftChars="200" w:firstLine="420" w:firstLineChars="200"/>
        <w:jc w:val="left"/>
      </w:pPr>
      <w:r>
        <w:rPr>
          <w:rFonts w:hint="eastAsia"/>
        </w:rPr>
        <w:t>——第6部分：xxx</w:t>
      </w:r>
    </w:p>
    <w:p>
      <w:pPr>
        <w:ind w:left="420" w:leftChars="200" w:firstLine="420" w:firstLineChars="200"/>
        <w:jc w:val="left"/>
      </w:pPr>
      <w:r>
        <w:rPr>
          <w:rFonts w:hint="eastAsia"/>
        </w:rPr>
        <w:t>请注意本文件的某些内容可能涉及专利。本文件的发布机构不承担识别专利的责任。</w:t>
      </w:r>
    </w:p>
    <w:p>
      <w:pPr>
        <w:ind w:left="420" w:leftChars="200" w:firstLine="420" w:firstLineChars="200"/>
        <w:jc w:val="left"/>
      </w:pPr>
      <w:bookmarkStart w:id="4" w:name="OLE_LINK36"/>
      <w:r>
        <w:t>本文件由中国有色金属工业协会提出。</w:t>
      </w:r>
    </w:p>
    <w:bookmarkEnd w:id="4"/>
    <w:p>
      <w:pPr>
        <w:ind w:left="420" w:leftChars="200" w:firstLine="420" w:firstLineChars="200"/>
        <w:jc w:val="left"/>
        <w:rPr>
          <w:color w:val="000000"/>
        </w:rPr>
      </w:pPr>
      <w:r>
        <w:rPr>
          <w:color w:val="000000"/>
        </w:rPr>
        <w:t>本</w:t>
      </w:r>
      <w:r>
        <w:rPr>
          <w:rFonts w:hint="eastAsia"/>
          <w:color w:val="000000"/>
        </w:rPr>
        <w:t>文件</w:t>
      </w:r>
      <w:r>
        <w:rPr>
          <w:color w:val="000000"/>
        </w:rPr>
        <w:t>由</w:t>
      </w:r>
      <w:r>
        <w:rPr>
          <w:rFonts w:hint="eastAsia"/>
          <w:color w:val="000000"/>
        </w:rPr>
        <w:t>全国有色金属标准化技术委员会(</w:t>
      </w:r>
      <w:r>
        <w:rPr>
          <w:color w:val="000000"/>
        </w:rPr>
        <w:t>SAC/TC 243</w:t>
      </w:r>
      <w:r>
        <w:rPr>
          <w:rFonts w:hint="eastAsia"/>
          <w:color w:val="000000"/>
        </w:rPr>
        <w:t>)提出并</w:t>
      </w:r>
      <w:r>
        <w:rPr>
          <w:color w:val="000000"/>
        </w:rPr>
        <w:t>归口。</w:t>
      </w:r>
    </w:p>
    <w:p>
      <w:pPr>
        <w:ind w:left="420" w:leftChars="200" w:firstLine="420" w:firstLineChars="200"/>
        <w:jc w:val="left"/>
        <w:rPr>
          <w:rFonts w:hint="eastAsia" w:ascii="宋体" w:hAnsi="宋体" w:cs="宋体"/>
          <w:color w:val="000000" w:themeColor="text1"/>
          <w:szCs w:val="21"/>
          <w14:textFill>
            <w14:solidFill>
              <w14:schemeClr w14:val="tx1"/>
            </w14:solidFill>
          </w14:textFill>
        </w:rPr>
      </w:pPr>
      <w:r>
        <w:t>本</w:t>
      </w:r>
      <w:r>
        <w:rPr>
          <w:rFonts w:hint="eastAsia"/>
        </w:rPr>
        <w:t>文件</w:t>
      </w:r>
      <w:r>
        <w:t>起草</w:t>
      </w:r>
      <w:r>
        <w:rPr>
          <w:rFonts w:hint="eastAsia"/>
        </w:rPr>
        <w:t>单位：</w:t>
      </w:r>
      <w:r>
        <w:rPr>
          <w:rFonts w:hint="eastAsia" w:ascii="宋体" w:hAnsi="宋体" w:cs="宋体"/>
          <w:color w:val="000000" w:themeColor="text1"/>
          <w14:textFill>
            <w14:solidFill>
              <w14:schemeClr w14:val="tx1"/>
            </w14:solidFill>
          </w14:textFill>
        </w:rPr>
        <w:t>北京当升材料科技股份有限公司、</w:t>
      </w:r>
      <w:r>
        <w:rPr>
          <w:rFonts w:ascii="宋体" w:hAnsi="宋体" w:cs="宋体"/>
          <w:color w:val="000000" w:themeColor="text1"/>
          <w:szCs w:val="21"/>
          <w14:textFill>
            <w14:solidFill>
              <w14:schemeClr w14:val="tx1"/>
            </w14:solidFill>
          </w14:textFill>
        </w:rPr>
        <w:t>合肥国轩高科动力能源有限公司</w:t>
      </w:r>
      <w:r>
        <w:rPr>
          <w:rFonts w:hint="eastAsia" w:ascii="宋体" w:hAnsi="宋体" w:cs="宋体"/>
          <w:color w:val="000000" w:themeColor="text1"/>
          <w:szCs w:val="21"/>
          <w:lang w:eastAsia="zh-CN"/>
          <w14:textFill>
            <w14:solidFill>
              <w14:schemeClr w14:val="tx1"/>
            </w14:solidFill>
          </w14:textFill>
        </w:rPr>
        <w:t>、</w:t>
      </w:r>
      <w:r>
        <w:rPr>
          <w:rFonts w:hint="eastAsia" w:ascii="Times New Roman"/>
        </w:rPr>
        <w:t>厦门厦钨新能源材料股份有限公司</w:t>
      </w:r>
      <w:r>
        <w:rPr>
          <w:rFonts w:hint="eastAsia"/>
          <w:lang w:eastAsia="zh-CN"/>
        </w:rPr>
        <w:t>、</w:t>
      </w:r>
      <w:r>
        <w:rPr>
          <w:rFonts w:ascii="宋体" w:hAnsi="宋体" w:cs="宋体"/>
          <w:color w:val="000000" w:themeColor="text1"/>
          <w:szCs w:val="21"/>
          <w14:textFill>
            <w14:solidFill>
              <w14:schemeClr w14:val="tx1"/>
            </w14:solidFill>
          </w14:textFill>
        </w:rPr>
        <w:t>北矿检测技术股份有限公司</w:t>
      </w:r>
      <w:r>
        <w:rPr>
          <w:rFonts w:hint="eastAsia" w:ascii="宋体" w:hAnsi="宋体" w:cs="宋体"/>
          <w:color w:val="000000" w:themeColor="text1"/>
          <w:szCs w:val="21"/>
          <w:lang w:eastAsia="zh-CN"/>
          <w14:textFill>
            <w14:solidFill>
              <w14:schemeClr w14:val="tx1"/>
            </w14:solidFill>
          </w14:textFill>
        </w:rPr>
        <w:t>、</w:t>
      </w:r>
      <w:r>
        <w:rPr>
          <w:rFonts w:ascii="宋体" w:hAnsi="宋体" w:cs="宋体"/>
          <w:color w:val="000000" w:themeColor="text1"/>
          <w:szCs w:val="21"/>
          <w14:textFill>
            <w14:solidFill>
              <w14:schemeClr w14:val="tx1"/>
            </w14:solidFill>
          </w14:textFill>
        </w:rPr>
        <w:t>湖北万润新能源科技股份有限公司</w:t>
      </w:r>
      <w:r>
        <w:rPr>
          <w:rFonts w:hint="eastAsia" w:ascii="宋体" w:hAnsi="宋体" w:cs="宋体"/>
          <w:color w:val="000000" w:themeColor="text1"/>
          <w:szCs w:val="21"/>
          <w:lang w:eastAsia="zh-CN"/>
          <w14:textFill>
            <w14:solidFill>
              <w14:schemeClr w14:val="tx1"/>
            </w14:solidFill>
          </w14:textFill>
        </w:rPr>
        <w:t>、</w:t>
      </w:r>
      <w:r>
        <w:rPr>
          <w:rFonts w:ascii="宋体" w:hAnsi="宋体" w:cs="宋体"/>
          <w:color w:val="000000" w:themeColor="text1"/>
          <w:szCs w:val="21"/>
          <w14:textFill>
            <w14:solidFill>
              <w14:schemeClr w14:val="tx1"/>
            </w14:solidFill>
          </w14:textFill>
        </w:rPr>
        <w:t>江西赣锋锂业集团股份有限公司</w:t>
      </w:r>
      <w:r>
        <w:rPr>
          <w:rFonts w:hint="eastAsia" w:ascii="宋体" w:hAnsi="宋体" w:cs="宋体"/>
          <w:color w:val="000000" w:themeColor="text1"/>
          <w:szCs w:val="21"/>
          <w:lang w:eastAsia="zh-CN"/>
          <w14:textFill>
            <w14:solidFill>
              <w14:schemeClr w14:val="tx1"/>
            </w14:solidFill>
          </w14:textFill>
        </w:rPr>
        <w:t>、</w:t>
      </w:r>
      <w:r>
        <w:rPr>
          <w:rFonts w:ascii="宋体" w:hAnsi="宋体" w:cs="宋体"/>
          <w:color w:val="000000" w:themeColor="text1"/>
          <w:szCs w:val="21"/>
          <w14:textFill>
            <w14:solidFill>
              <w14:schemeClr w14:val="tx1"/>
            </w14:solidFill>
          </w14:textFill>
        </w:rPr>
        <w:t>中科致良新能源材料（浙江）有限公司</w:t>
      </w:r>
      <w:r>
        <w:rPr>
          <w:rFonts w:hint="eastAsia" w:ascii="宋体" w:hAnsi="宋体" w:cs="宋体"/>
          <w:color w:val="000000" w:themeColor="text1"/>
          <w:szCs w:val="21"/>
          <w14:textFill>
            <w14:solidFill>
              <w14:schemeClr w14:val="tx1"/>
            </w14:solidFill>
          </w14:textFill>
        </w:rPr>
        <w:t>、国标（北京）检验认证有限公司</w:t>
      </w:r>
      <w:r>
        <w:rPr>
          <w:rFonts w:hint="eastAsia" w:ascii="宋体" w:hAnsi="宋体" w:cs="宋体"/>
          <w:color w:val="000000" w:themeColor="text1"/>
          <w:szCs w:val="21"/>
          <w:lang w:eastAsia="zh-CN"/>
          <w14:textFill>
            <w14:solidFill>
              <w14:schemeClr w14:val="tx1"/>
            </w14:solidFill>
          </w14:textFill>
        </w:rPr>
        <w:t>、合肥国轩电池材料有限公司、湖南居锂新能源科技有限公司、</w:t>
      </w:r>
      <w:r>
        <w:rPr>
          <w:rFonts w:ascii="宋体" w:hAnsi="宋体" w:cs="宋体"/>
          <w:color w:val="000000" w:themeColor="text1"/>
          <w:szCs w:val="21"/>
          <w14:textFill>
            <w14:solidFill>
              <w14:schemeClr w14:val="tx1"/>
            </w14:solidFill>
          </w14:textFill>
        </w:rPr>
        <w:t>格林美股份有限公司</w:t>
      </w:r>
      <w:r>
        <w:rPr>
          <w:rFonts w:hint="eastAsia" w:ascii="宋体" w:hAnsi="宋体" w:cs="宋体"/>
          <w:color w:val="000000" w:themeColor="text1"/>
          <w:szCs w:val="21"/>
          <w14:textFill>
            <w14:solidFill>
              <w14:schemeClr w14:val="tx1"/>
            </w14:solidFill>
          </w14:textFill>
        </w:rPr>
        <w:t>、</w:t>
      </w:r>
      <w:r>
        <w:rPr>
          <w:rFonts w:ascii="宋体" w:hAnsi="宋体" w:cs="宋体"/>
          <w:color w:val="000000" w:themeColor="text1"/>
          <w:szCs w:val="21"/>
          <w14:textFill>
            <w14:solidFill>
              <w14:schemeClr w14:val="tx1"/>
            </w14:solidFill>
          </w14:textFill>
        </w:rPr>
        <w:t>深圳市德方纳米科技股份有限公司</w:t>
      </w:r>
      <w:r>
        <w:rPr>
          <w:rFonts w:hint="eastAsia" w:ascii="宋体" w:hAnsi="宋体" w:cs="宋体"/>
          <w:color w:val="000000" w:themeColor="text1"/>
          <w:szCs w:val="21"/>
          <w14:textFill>
            <w14:solidFill>
              <w14:schemeClr w14:val="tx1"/>
            </w14:solidFill>
          </w14:textFill>
        </w:rPr>
        <w:t>、</w:t>
      </w:r>
      <w:r>
        <w:rPr>
          <w:rFonts w:ascii="宋体" w:hAnsi="宋体" w:cs="宋体"/>
          <w:color w:val="000000" w:themeColor="text1"/>
          <w:szCs w:val="21"/>
          <w14:textFill>
            <w14:solidFill>
              <w14:schemeClr w14:val="tx1"/>
            </w14:solidFill>
          </w14:textFill>
        </w:rPr>
        <w:t>中国国检测试控股集团股份有限公司</w:t>
      </w:r>
      <w:r>
        <w:rPr>
          <w:rFonts w:hint="eastAsia" w:ascii="宋体" w:hAnsi="宋体" w:cs="宋体"/>
          <w:color w:val="000000" w:themeColor="text1"/>
          <w:szCs w:val="21"/>
          <w14:textFill>
            <w14:solidFill>
              <w14:schemeClr w14:val="tx1"/>
            </w14:solidFill>
          </w14:textFill>
        </w:rPr>
        <w:t>、</w:t>
      </w:r>
      <w:r>
        <w:rPr>
          <w:rFonts w:ascii="宋体" w:hAnsi="宋体" w:cs="宋体"/>
          <w:color w:val="000000" w:themeColor="text1"/>
          <w:szCs w:val="21"/>
          <w14:textFill>
            <w14:solidFill>
              <w14:schemeClr w14:val="tx1"/>
            </w14:solidFill>
          </w14:textFill>
        </w:rPr>
        <w:t>中伟新材料股份有限公司</w:t>
      </w:r>
      <w:r>
        <w:rPr>
          <w:rFonts w:hint="eastAsia" w:ascii="宋体" w:hAnsi="宋体" w:cs="宋体"/>
          <w:color w:val="000000" w:themeColor="text1"/>
          <w:szCs w:val="21"/>
          <w14:textFill>
            <w14:solidFill>
              <w14:schemeClr w14:val="tx1"/>
            </w14:solidFill>
          </w14:textFill>
        </w:rPr>
        <w:t>、</w:t>
      </w:r>
      <w:r>
        <w:rPr>
          <w:rFonts w:ascii="宋体" w:hAnsi="宋体" w:cs="宋体"/>
          <w:color w:val="000000" w:themeColor="text1"/>
          <w:szCs w:val="21"/>
          <w14:textFill>
            <w14:solidFill>
              <w14:schemeClr w14:val="tx1"/>
            </w14:solidFill>
          </w14:textFill>
        </w:rPr>
        <w:t>湖南长远锂科新能源有限公司</w:t>
      </w:r>
      <w:r>
        <w:rPr>
          <w:rFonts w:hint="eastAsia" w:ascii="宋体" w:hAnsi="宋体" w:cs="宋体"/>
          <w:color w:val="000000" w:themeColor="text1"/>
          <w:szCs w:val="21"/>
          <w14:textFill>
            <w14:solidFill>
              <w14:schemeClr w14:val="tx1"/>
            </w14:solidFill>
          </w14:textFill>
        </w:rPr>
        <w:t>等</w:t>
      </w:r>
    </w:p>
    <w:p>
      <w:pPr>
        <w:ind w:left="420" w:leftChars="200" w:firstLine="420" w:firstLineChars="200"/>
        <w:jc w:val="left"/>
        <w:rPr>
          <w:rFonts w:hint="eastAsia" w:eastAsia="宋体"/>
          <w:lang w:val="en-US" w:eastAsia="zh-CN"/>
        </w:rPr>
      </w:pPr>
      <w:r>
        <w:t>本</w:t>
      </w:r>
      <w:r>
        <w:rPr>
          <w:rFonts w:hint="eastAsia"/>
        </w:rPr>
        <w:t>文件主要</w:t>
      </w:r>
      <w:r>
        <w:t>起草人：</w:t>
      </w:r>
    </w:p>
    <w:p>
      <w:pPr>
        <w:pStyle w:val="54"/>
        <w:ind w:firstLine="420"/>
        <w:rPr>
          <w:rFonts w:ascii="Times New Roman"/>
        </w:rPr>
      </w:pPr>
    </w:p>
    <w:p>
      <w:pPr>
        <w:pStyle w:val="54"/>
        <w:ind w:firstLine="420"/>
        <w:rPr>
          <w:rFonts w:ascii="Times New Roman"/>
        </w:rPr>
        <w:sectPr>
          <w:footerReference r:id="rId8" w:type="default"/>
          <w:pgSz w:w="11907" w:h="16839"/>
          <w:pgMar w:top="1418" w:right="1134" w:bottom="1134" w:left="1418" w:header="1418" w:footer="851" w:gutter="0"/>
          <w:cols w:space="720" w:num="1"/>
          <w:docGrid w:type="lines" w:linePitch="312" w:charSpace="0"/>
        </w:sectPr>
      </w:pPr>
      <w:r>
        <w:rPr>
          <w:rFonts w:hint="eastAsia" w:ascii="Times New Roman"/>
        </w:rPr>
        <w:t>XXX</w:t>
      </w:r>
    </w:p>
    <w:p>
      <w:pPr>
        <w:pStyle w:val="89"/>
        <w:shd w:val="clear" w:color="auto" w:fill="FFFFFF"/>
        <w:spacing w:before="567" w:beforeAutospacing="0" w:after="0" w:line="330" w:lineRule="exact"/>
        <w:jc w:val="center"/>
        <w:rPr>
          <w:rFonts w:hint="eastAsia" w:ascii="黑体" w:eastAsia="黑体"/>
          <w:color w:val="000000" w:themeColor="text1"/>
          <w:sz w:val="32"/>
          <w:szCs w:val="11"/>
          <w14:textFill>
            <w14:solidFill>
              <w14:schemeClr w14:val="tx1"/>
            </w14:solidFill>
          </w14:textFill>
        </w:rPr>
      </w:pPr>
      <w:bookmarkStart w:id="5" w:name="_Toc65050653"/>
      <w:bookmarkStart w:id="6" w:name="_Toc55210702"/>
      <w:r>
        <w:rPr>
          <w:rFonts w:hint="eastAsia" w:ascii="黑体" w:eastAsia="黑体"/>
          <w:color w:val="000000" w:themeColor="text1"/>
          <w:sz w:val="32"/>
          <w:szCs w:val="11"/>
          <w14:textFill>
            <w14:solidFill>
              <w14:schemeClr w14:val="tx1"/>
            </w14:solidFill>
          </w14:textFill>
        </w:rPr>
        <w:t xml:space="preserve">磷酸锰铁锂化学分析方法 第2部分 </w:t>
      </w:r>
    </w:p>
    <w:p>
      <w:pPr>
        <w:pStyle w:val="89"/>
        <w:shd w:val="clear" w:color="auto" w:fill="FFFFFF"/>
        <w:spacing w:before="567" w:beforeAutospacing="0" w:after="0" w:line="330" w:lineRule="exact"/>
        <w:jc w:val="center"/>
        <w:rPr>
          <w:rFonts w:ascii="黑体" w:eastAsia="黑体"/>
          <w:color w:val="000000" w:themeColor="text1"/>
          <w:sz w:val="32"/>
          <w:szCs w:val="11"/>
          <w14:textFill>
            <w14:solidFill>
              <w14:schemeClr w14:val="tx1"/>
            </w14:solidFill>
          </w14:textFill>
        </w:rPr>
      </w:pPr>
      <w:r>
        <w:rPr>
          <w:rFonts w:hint="eastAsia" w:ascii="黑体" w:eastAsia="黑体"/>
          <w:color w:val="000000" w:themeColor="text1"/>
          <w:sz w:val="32"/>
          <w:szCs w:val="11"/>
          <w14:textFill>
            <w14:solidFill>
              <w14:schemeClr w14:val="tx1"/>
            </w14:solidFill>
          </w14:textFill>
        </w:rPr>
        <w:t>锰铁比的测定</w:t>
      </w:r>
    </w:p>
    <w:p>
      <w:pPr>
        <w:pStyle w:val="54"/>
        <w:ind w:firstLine="422"/>
        <w:rPr>
          <w:rFonts w:hint="eastAsia"/>
          <w:b/>
          <w:bCs/>
          <w:color w:val="000000" w:themeColor="text1"/>
          <w14:textFill>
            <w14:solidFill>
              <w14:schemeClr w14:val="tx1"/>
            </w14:solidFill>
          </w14:textFill>
        </w:rPr>
      </w:pPr>
      <w:bookmarkStart w:id="7" w:name="_Hlk228008249"/>
      <w:r>
        <w:rPr>
          <w:rFonts w:hint="eastAsia"/>
          <w:b/>
          <w:bCs/>
          <w:color w:val="000000" w:themeColor="text1"/>
          <w14:textFill>
            <w14:solidFill>
              <w14:schemeClr w14:val="tx1"/>
            </w14:solidFill>
          </w14:textFill>
        </w:rPr>
        <w:t>警告</w:t>
      </w:r>
      <w:r>
        <w:rPr>
          <w:b/>
          <w:bCs/>
          <w:color w:val="000000" w:themeColor="text1"/>
          <w14:textFill>
            <w14:solidFill>
              <w14:schemeClr w14:val="tx1"/>
            </w14:solidFill>
          </w14:textFill>
        </w:rPr>
        <w:t>———</w:t>
      </w:r>
      <w:r>
        <w:rPr>
          <w:rFonts w:hint="eastAsia"/>
          <w:b/>
          <w:bCs/>
          <w:color w:val="000000" w:themeColor="text1"/>
          <w14:textFill>
            <w14:solidFill>
              <w14:schemeClr w14:val="tx1"/>
            </w14:solidFill>
          </w14:textFill>
        </w:rPr>
        <w:t>本文件中使用的部分试剂具有危害性,操作时应小心谨慎!使用本文件的人员应有正规实验室工作的实践经验。本文件并未指出所有可能的安全问题,使用者有责任采取适当的安全和健康措施,并保证符合国家有关法规规定的条件.</w:t>
      </w:r>
      <w:bookmarkEnd w:id="7"/>
    </w:p>
    <w:p>
      <w:pPr>
        <w:pStyle w:val="81"/>
        <w:numPr>
          <w:ilvl w:val="0"/>
          <w:numId w:val="0"/>
        </w:numPr>
        <w:spacing w:before="156" w:after="156"/>
        <w:rPr>
          <w:rFonts w:ascii="Times New Roman"/>
          <w:b/>
          <w:szCs w:val="21"/>
        </w:rPr>
      </w:pPr>
      <w:r>
        <w:rPr>
          <w:rFonts w:ascii="Times New Roman"/>
          <w:b/>
          <w:szCs w:val="21"/>
        </w:rPr>
        <w:t>范围</w:t>
      </w:r>
      <w:bookmarkEnd w:id="5"/>
      <w:bookmarkEnd w:id="6"/>
    </w:p>
    <w:p>
      <w:pPr>
        <w:pStyle w:val="54"/>
        <w:ind w:firstLine="420"/>
        <w:rPr>
          <w:rFonts w:hint="eastAsia" w:hAnsi="宋体" w:cs="宋体"/>
          <w:color w:val="FF0000"/>
          <w:szCs w:val="21"/>
        </w:rPr>
      </w:pPr>
      <w:r>
        <w:rPr>
          <w:rFonts w:hint="eastAsia" w:hAnsi="宋体" w:cs="宋体"/>
          <w:szCs w:val="21"/>
        </w:rPr>
        <w:t>本文件规定了磷酸锰铁锂中锰铁比的测定方法。</w:t>
      </w:r>
    </w:p>
    <w:p>
      <w:pPr>
        <w:pStyle w:val="54"/>
        <w:ind w:firstLine="420"/>
        <w:rPr>
          <w:rFonts w:hint="eastAsia" w:ascii="Times New Roman"/>
          <w:szCs w:val="21"/>
          <w:lang w:val="en-US" w:eastAsia="zh-CN"/>
        </w:rPr>
      </w:pPr>
      <w:r>
        <w:rPr>
          <w:rFonts w:hint="eastAsia" w:ascii="Times New Roman"/>
          <w:szCs w:val="21"/>
        </w:rPr>
        <w:t>本文件适用于磷酸锰铁锂</w:t>
      </w:r>
      <w:r>
        <w:rPr>
          <w:rFonts w:ascii="Times New Roman"/>
          <w:szCs w:val="21"/>
        </w:rPr>
        <w:t>中锰</w:t>
      </w:r>
      <w:r>
        <w:rPr>
          <w:rFonts w:hint="eastAsia" w:ascii="Times New Roman"/>
          <w:szCs w:val="21"/>
        </w:rPr>
        <w:t>铁比</w:t>
      </w:r>
      <w:r>
        <w:rPr>
          <w:rFonts w:ascii="Times New Roman"/>
          <w:szCs w:val="21"/>
        </w:rPr>
        <w:t>的测定,测定范围</w:t>
      </w:r>
      <w:r>
        <w:rPr>
          <w:rFonts w:hint="eastAsia" w:ascii="Times New Roman"/>
          <w:szCs w:val="21"/>
          <w:lang w:val="en-US" w:eastAsia="zh-CN"/>
        </w:rPr>
        <w:t>见表1</w:t>
      </w:r>
    </w:p>
    <w:p>
      <w:pPr>
        <w:pStyle w:val="26"/>
        <w:spacing w:before="156" w:beforeLines="50"/>
        <w:jc w:val="center"/>
        <w:rPr>
          <w:rFonts w:hint="default" w:ascii="Times New Roman"/>
          <w:szCs w:val="21"/>
          <w:lang w:val="en-US" w:eastAsia="zh-CN"/>
        </w:rPr>
      </w:pPr>
      <w:r>
        <w:rPr>
          <w:rFonts w:asciiTheme="minorEastAsia" w:hAnsiTheme="minorEastAsia" w:eastAsiaTheme="minorEastAsia"/>
          <w:b/>
          <w:bCs/>
          <w:szCs w:val="21"/>
        </w:rPr>
        <w:t>表</w:t>
      </w:r>
      <w:r>
        <w:rPr>
          <w:rFonts w:hint="eastAsia" w:asciiTheme="minorEastAsia" w:hAnsiTheme="minorEastAsia" w:eastAsiaTheme="minorEastAsia"/>
          <w:b/>
          <w:bCs/>
          <w:szCs w:val="21"/>
          <w:lang w:val="en-US" w:eastAsia="zh-CN"/>
        </w:rPr>
        <w:t>1</w:t>
      </w:r>
      <w:r>
        <w:rPr>
          <w:rFonts w:asciiTheme="minorEastAsia" w:hAnsiTheme="minorEastAsia" w:eastAsiaTheme="minorEastAsia"/>
          <w:b/>
          <w:bCs/>
          <w:szCs w:val="21"/>
        </w:rPr>
        <w:t xml:space="preserve"> 测定范围</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6"/>
        <w:gridCol w:w="4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256" w:type="dxa"/>
            <w:vAlign w:val="center"/>
          </w:tcPr>
          <w:p>
            <w:pPr>
              <w:pStyle w:val="2"/>
              <w:spacing w:after="0" w:line="240" w:lineRule="auto"/>
              <w:ind w:left="0" w:leftChars="0" w:firstLine="0" w:firstLineChars="0"/>
              <w:jc w:val="center"/>
              <w:rPr>
                <w:rFonts w:eastAsia="宋体" w:cs="Times New Roman"/>
                <w:sz w:val="20"/>
                <w:szCs w:val="20"/>
              </w:rPr>
            </w:pPr>
            <w:r>
              <w:rPr>
                <w:rFonts w:eastAsia="宋体" w:cs="Times New Roman"/>
                <w:sz w:val="20"/>
                <w:szCs w:val="20"/>
              </w:rPr>
              <w:t>元素</w:t>
            </w:r>
          </w:p>
        </w:tc>
        <w:tc>
          <w:tcPr>
            <w:tcW w:w="4394" w:type="dxa"/>
            <w:vAlign w:val="center"/>
          </w:tcPr>
          <w:p>
            <w:pPr>
              <w:pStyle w:val="2"/>
              <w:spacing w:after="0" w:line="240" w:lineRule="auto"/>
              <w:ind w:left="0" w:leftChars="0" w:firstLine="0" w:firstLineChars="0"/>
              <w:jc w:val="center"/>
              <w:rPr>
                <w:rFonts w:eastAsia="宋体" w:cs="Times New Roman"/>
                <w:sz w:val="20"/>
                <w:szCs w:val="20"/>
              </w:rPr>
            </w:pPr>
            <w:r>
              <w:rPr>
                <w:rFonts w:eastAsia="宋体" w:cs="Times New Roman"/>
                <w:sz w:val="20"/>
                <w:szCs w:val="20"/>
              </w:rPr>
              <w:t>测定范围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256" w:type="dxa"/>
            <w:vAlign w:val="center"/>
          </w:tcPr>
          <w:p>
            <w:pPr>
              <w:pStyle w:val="2"/>
              <w:spacing w:after="0" w:line="240" w:lineRule="auto"/>
              <w:ind w:left="0" w:leftChars="0" w:firstLine="0" w:firstLineChars="0"/>
              <w:jc w:val="center"/>
              <w:rPr>
                <w:rFonts w:hint="default" w:eastAsia="宋体" w:cs="Times New Roman"/>
                <w:sz w:val="20"/>
                <w:szCs w:val="20"/>
                <w:lang w:val="en-US" w:eastAsia="zh-CN"/>
              </w:rPr>
            </w:pPr>
            <w:r>
              <w:rPr>
                <w:rFonts w:hint="eastAsia" w:cs="Times New Roman"/>
                <w:sz w:val="20"/>
                <w:szCs w:val="20"/>
                <w:lang w:val="en-US" w:eastAsia="zh-CN"/>
              </w:rPr>
              <w:t>铁</w:t>
            </w:r>
          </w:p>
        </w:tc>
        <w:tc>
          <w:tcPr>
            <w:tcW w:w="4394" w:type="dxa"/>
            <w:vAlign w:val="center"/>
          </w:tcPr>
          <w:p>
            <w:pPr>
              <w:pStyle w:val="2"/>
              <w:spacing w:after="0" w:line="240" w:lineRule="auto"/>
              <w:ind w:left="0" w:leftChars="0" w:firstLine="0" w:firstLineChars="0"/>
              <w:jc w:val="center"/>
              <w:rPr>
                <w:rFonts w:hint="default" w:ascii="Times New Roman" w:hAnsi="Times New Roman" w:eastAsia="宋体" w:cs="Times New Roman"/>
                <w:sz w:val="20"/>
                <w:szCs w:val="20"/>
                <w:lang w:val="en-US" w:eastAsia="zh-CN"/>
              </w:rPr>
            </w:pPr>
            <w:r>
              <w:rPr>
                <w:rFonts w:ascii="宋体" w:hAnsi="宋体" w:eastAsia="宋体" w:cs="宋体"/>
                <w:sz w:val="20"/>
                <w:szCs w:val="20"/>
              </w:rPr>
              <w:t>5.30 %～20.40 %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256" w:type="dxa"/>
            <w:vAlign w:val="center"/>
          </w:tcPr>
          <w:p>
            <w:pPr>
              <w:pStyle w:val="2"/>
              <w:spacing w:after="0" w:line="240" w:lineRule="auto"/>
              <w:ind w:left="0" w:leftChars="0" w:firstLine="0" w:firstLineChars="0"/>
              <w:jc w:val="center"/>
              <w:rPr>
                <w:rFonts w:hint="eastAsia" w:eastAsia="宋体" w:cs="Times New Roman"/>
                <w:sz w:val="20"/>
                <w:szCs w:val="20"/>
                <w:lang w:val="en-US" w:eastAsia="zh-CN"/>
              </w:rPr>
            </w:pPr>
            <w:r>
              <w:rPr>
                <w:rFonts w:hint="eastAsia" w:cs="Times New Roman"/>
                <w:sz w:val="20"/>
                <w:szCs w:val="20"/>
                <w:lang w:val="en-US" w:eastAsia="zh-CN"/>
              </w:rPr>
              <w:t>锰</w:t>
            </w:r>
          </w:p>
        </w:tc>
        <w:tc>
          <w:tcPr>
            <w:tcW w:w="4394" w:type="dxa"/>
            <w:vAlign w:val="center"/>
          </w:tcPr>
          <w:p>
            <w:pPr>
              <w:pStyle w:val="2"/>
              <w:spacing w:after="0" w:line="240" w:lineRule="auto"/>
              <w:ind w:left="0" w:leftChars="0" w:firstLine="0" w:firstLineChars="0"/>
              <w:jc w:val="center"/>
              <w:rPr>
                <w:rFonts w:hint="default" w:ascii="Times New Roman" w:hAnsi="Times New Roman" w:eastAsia="宋体" w:cs="Times New Roman"/>
                <w:sz w:val="20"/>
                <w:szCs w:val="20"/>
                <w:lang w:val="en-US" w:eastAsia="zh-CN"/>
              </w:rPr>
            </w:pPr>
            <w:r>
              <w:rPr>
                <w:rFonts w:ascii="宋体" w:hAnsi="宋体" w:eastAsia="宋体" w:cs="宋体"/>
                <w:sz w:val="20"/>
                <w:szCs w:val="20"/>
              </w:rPr>
              <w:t>13.80 %～30.20 %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256" w:type="dxa"/>
            <w:vAlign w:val="center"/>
          </w:tcPr>
          <w:p>
            <w:pPr>
              <w:pStyle w:val="2"/>
              <w:spacing w:after="0" w:line="240" w:lineRule="auto"/>
              <w:ind w:left="0" w:leftChars="0" w:firstLine="0" w:firstLineChars="0"/>
              <w:jc w:val="center"/>
              <w:rPr>
                <w:rFonts w:hint="default" w:eastAsia="宋体" w:cs="Times New Roman"/>
                <w:sz w:val="20"/>
                <w:szCs w:val="20"/>
                <w:lang w:val="en-US" w:eastAsia="zh-CN"/>
              </w:rPr>
            </w:pPr>
            <w:r>
              <w:rPr>
                <w:rFonts w:hint="eastAsia" w:cs="Times New Roman"/>
                <w:sz w:val="20"/>
                <w:szCs w:val="20"/>
                <w:lang w:val="en-US" w:eastAsia="zh-CN"/>
              </w:rPr>
              <w:t>锰铁比</w:t>
            </w:r>
          </w:p>
        </w:tc>
        <w:tc>
          <w:tcPr>
            <w:tcW w:w="4394" w:type="dxa"/>
            <w:vAlign w:val="center"/>
          </w:tcPr>
          <w:p>
            <w:pPr>
              <w:pStyle w:val="2"/>
              <w:spacing w:after="0" w:line="240" w:lineRule="auto"/>
              <w:ind w:left="0" w:leftChars="0" w:firstLine="0" w:firstLineChars="0"/>
              <w:jc w:val="center"/>
              <w:rPr>
                <w:rFonts w:hint="default" w:ascii="Times New Roman" w:hAnsi="Times New Roman" w:eastAsia="宋体" w:cs="Times New Roman"/>
                <w:sz w:val="20"/>
                <w:szCs w:val="20"/>
              </w:rPr>
            </w:pPr>
            <w:r>
              <w:rPr>
                <w:rFonts w:ascii="宋体" w:hAnsi="宋体" w:eastAsia="宋体" w:cs="宋体"/>
                <w:sz w:val="20"/>
                <w:szCs w:val="20"/>
              </w:rPr>
              <w:t>0.700～5.500</w:t>
            </w:r>
          </w:p>
        </w:tc>
      </w:tr>
    </w:tbl>
    <w:p>
      <w:pPr>
        <w:pStyle w:val="54"/>
        <w:ind w:firstLine="420"/>
        <w:rPr>
          <w:rFonts w:hint="eastAsia" w:ascii="Times New Roman"/>
          <w:szCs w:val="21"/>
        </w:rPr>
      </w:pPr>
    </w:p>
    <w:p>
      <w:pPr>
        <w:pStyle w:val="81"/>
        <w:spacing w:before="156" w:after="156"/>
        <w:rPr>
          <w:rFonts w:ascii="Times New Roman"/>
          <w:b/>
          <w:szCs w:val="21"/>
        </w:rPr>
      </w:pPr>
      <w:r>
        <w:rPr>
          <w:rFonts w:hint="eastAsia" w:ascii="Times New Roman"/>
          <w:b/>
          <w:szCs w:val="21"/>
        </w:rPr>
        <w:t>规范性引用文件</w:t>
      </w:r>
    </w:p>
    <w:p>
      <w:pPr>
        <w:pStyle w:val="54"/>
        <w:ind w:firstLine="420" w:firstLineChars="0"/>
        <w:rPr>
          <w:rFonts w:hint="eastAsia" w:hAnsi="宋体" w:cs="宋体"/>
        </w:rPr>
      </w:pPr>
      <w:r>
        <w:rPr>
          <w:rFonts w:hint="eastAsia" w:hAnsi="宋体" w:cs="宋体"/>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4"/>
        <w:ind w:firstLine="420"/>
        <w:rPr>
          <w:rFonts w:hint="eastAsia" w:hAnsi="宋体" w:cs="宋体"/>
        </w:rPr>
      </w:pPr>
      <w:r>
        <w:rPr>
          <w:rFonts w:hint="eastAsia" w:hAnsi="宋体" w:cs="宋体"/>
        </w:rPr>
        <w:t xml:space="preserve">GB/T 6682  分析实验室用水规格和试验方法 </w:t>
      </w:r>
    </w:p>
    <w:p>
      <w:pPr>
        <w:pStyle w:val="54"/>
        <w:ind w:firstLine="420"/>
        <w:rPr>
          <w:rFonts w:hint="eastAsia" w:hAnsi="宋体" w:cs="宋体"/>
        </w:rPr>
      </w:pPr>
      <w:r>
        <w:rPr>
          <w:rFonts w:hint="eastAsia" w:hAnsi="宋体" w:cs="宋体"/>
        </w:rPr>
        <w:t>GB/T 8170  数值修约规则与极限数值的表示和判定</w:t>
      </w:r>
    </w:p>
    <w:p>
      <w:pPr>
        <w:pStyle w:val="54"/>
        <w:ind w:firstLine="420"/>
        <w:rPr>
          <w:rFonts w:hint="eastAsia" w:hAnsi="宋体" w:cs="宋体"/>
        </w:rPr>
      </w:pPr>
      <w:r>
        <w:rPr>
          <w:rFonts w:hint="eastAsia" w:hAnsi="宋体" w:cs="宋体"/>
        </w:rPr>
        <w:t>GB/T 12806-2011 实验室玻璃仪器 单标线容量瓶</w:t>
      </w:r>
    </w:p>
    <w:p>
      <w:pPr>
        <w:pStyle w:val="81"/>
        <w:spacing w:before="156" w:after="156"/>
        <w:rPr>
          <w:rFonts w:ascii="Times New Roman"/>
          <w:b/>
          <w:szCs w:val="21"/>
        </w:rPr>
      </w:pPr>
      <w:r>
        <w:rPr>
          <w:rFonts w:hint="eastAsia" w:ascii="Times New Roman"/>
          <w:b/>
          <w:szCs w:val="21"/>
        </w:rPr>
        <w:t>术语和定义</w:t>
      </w:r>
    </w:p>
    <w:p>
      <w:pPr>
        <w:ind w:firstLine="420"/>
        <w:rPr>
          <w:rFonts w:hint="eastAsia" w:ascii="宋体" w:hAnsi="宋体" w:cs="宋体"/>
          <w:szCs w:val="21"/>
        </w:rPr>
      </w:pPr>
      <w:r>
        <w:rPr>
          <w:rFonts w:hint="eastAsia" w:ascii="宋体" w:hAnsi="宋体" w:cs="宋体"/>
          <w:szCs w:val="21"/>
        </w:rPr>
        <w:t>GB/T 17433 规定的术语和定义适用于本文件。</w:t>
      </w:r>
    </w:p>
    <w:p>
      <w:pPr>
        <w:pStyle w:val="81"/>
        <w:spacing w:before="156" w:after="156"/>
        <w:rPr>
          <w:rFonts w:ascii="Times New Roman"/>
          <w:b/>
          <w:szCs w:val="21"/>
        </w:rPr>
      </w:pPr>
      <w:r>
        <w:rPr>
          <w:rFonts w:hint="eastAsia" w:ascii="Times New Roman"/>
          <w:b/>
          <w:szCs w:val="21"/>
        </w:rPr>
        <w:t>原理</w:t>
      </w:r>
    </w:p>
    <w:p>
      <w:pPr>
        <w:pStyle w:val="54"/>
        <w:ind w:firstLine="420"/>
        <w:rPr>
          <w:rFonts w:hint="eastAsia"/>
        </w:rPr>
      </w:pPr>
      <w:r>
        <w:t>试验溶液由载气(氩气)引入雾化系统进行雾化后,以气溶胶形式进入等离子体中心区,在高温和惰 性气氛中被去溶剂化、汽化解离和电离,转化成带正电荷的正离子,经离子采集系统进入质谱仪,质谱仪 根据质荷比进行分离,离子信号由电子倍增器接收,经放大后进行检测。根据元素质谱峰强度,对各元素进行定性或定量分析。</w:t>
      </w:r>
    </w:p>
    <w:p>
      <w:pPr>
        <w:pStyle w:val="81"/>
        <w:spacing w:before="156" w:after="156"/>
        <w:rPr>
          <w:rFonts w:ascii="Times New Roman"/>
          <w:b/>
          <w:szCs w:val="21"/>
        </w:rPr>
      </w:pPr>
      <w:r>
        <w:rPr>
          <w:rFonts w:hint="eastAsia" w:ascii="Times New Roman"/>
          <w:b/>
          <w:szCs w:val="21"/>
        </w:rPr>
        <w:t>试剂和材料</w:t>
      </w:r>
    </w:p>
    <w:p>
      <w:pPr>
        <w:pStyle w:val="54"/>
        <w:ind w:firstLine="0" w:firstLineChars="0"/>
      </w:pPr>
      <w:r>
        <w:rPr>
          <w:rFonts w:hint="eastAsia" w:hAnsi="宋体" w:cs="宋体"/>
          <w:sz w:val="24"/>
          <w:szCs w:val="24"/>
        </w:rPr>
        <w:t xml:space="preserve"> </w:t>
      </w:r>
      <w:r>
        <w:rPr>
          <w:rFonts w:hint="eastAsia"/>
        </w:rPr>
        <w:t xml:space="preserve"> </w:t>
      </w:r>
      <w:r>
        <w:t>试剂:在没有注明其他要求时,均指优级纯试剂</w:t>
      </w:r>
      <w:r>
        <w:rPr>
          <w:rFonts w:hint="eastAsia"/>
        </w:rPr>
        <w:t>。</w:t>
      </w:r>
    </w:p>
    <w:p>
      <w:pPr>
        <w:pStyle w:val="54"/>
        <w:ind w:firstLine="0" w:firstLineChars="0"/>
        <w:jc w:val="left"/>
        <w:rPr>
          <w:rFonts w:hint="eastAsia" w:ascii="Times New Roman"/>
          <w:szCs w:val="21"/>
        </w:rPr>
      </w:pPr>
      <w:r>
        <w:rPr>
          <w:rFonts w:hint="eastAsia" w:hAnsi="宋体" w:cs="宋体"/>
          <w:szCs w:val="21"/>
        </w:rPr>
        <w:t>4.1 盐酸，</w:t>
      </w:r>
      <w:bookmarkStart w:id="8" w:name="OLE_LINK26"/>
      <w:bookmarkStart w:id="9" w:name="OLE_LINK27"/>
      <w:r>
        <w:rPr>
          <w:rFonts w:ascii="Times New Roman"/>
          <w:szCs w:val="21"/>
        </w:rPr>
        <w:t>ρ=</w:t>
      </w:r>
      <w:bookmarkEnd w:id="8"/>
      <w:r>
        <w:rPr>
          <w:rFonts w:ascii="Times New Roman"/>
          <w:szCs w:val="21"/>
        </w:rPr>
        <w:t>1.19g/mL。</w:t>
      </w:r>
      <w:bookmarkEnd w:id="9"/>
    </w:p>
    <w:p>
      <w:pPr>
        <w:pStyle w:val="54"/>
        <w:ind w:firstLine="0" w:firstLineChars="0"/>
        <w:rPr>
          <w:rFonts w:hAnsi="宋体" w:cs="宋体"/>
          <w:szCs w:val="21"/>
        </w:rPr>
      </w:pPr>
      <w:r>
        <w:rPr>
          <w:rFonts w:hint="eastAsia" w:hAnsi="宋体" w:cs="宋体"/>
          <w:szCs w:val="21"/>
        </w:rPr>
        <w:t>4</w:t>
      </w:r>
      <w:r>
        <w:rPr>
          <w:rFonts w:hAnsi="宋体" w:cs="宋体"/>
          <w:szCs w:val="21"/>
        </w:rPr>
        <w:t>.2</w:t>
      </w:r>
      <w:r>
        <w:rPr>
          <w:rFonts w:hint="eastAsia" w:hAnsi="宋体" w:cs="宋体"/>
          <w:szCs w:val="21"/>
        </w:rPr>
        <w:t xml:space="preserve"> </w:t>
      </w:r>
      <w:r>
        <w:rPr>
          <w:rFonts w:hAnsi="宋体" w:cs="宋体"/>
          <w:szCs w:val="21"/>
        </w:rPr>
        <w:t>水,GB/T6682,一级。</w:t>
      </w:r>
    </w:p>
    <w:p>
      <w:pPr>
        <w:pStyle w:val="54"/>
        <w:ind w:firstLine="0" w:firstLineChars="0"/>
      </w:pPr>
      <w:r>
        <w:rPr>
          <w:rFonts w:hint="eastAsia" w:hAnsi="宋体" w:cs="宋体"/>
          <w:szCs w:val="21"/>
        </w:rPr>
        <w:t>4</w:t>
      </w:r>
      <w:r>
        <w:rPr>
          <w:rFonts w:hAnsi="宋体" w:cs="宋体"/>
          <w:szCs w:val="21"/>
        </w:rPr>
        <w:t>.3</w:t>
      </w:r>
      <w:r>
        <w:rPr>
          <w:rFonts w:hint="eastAsia" w:hAnsi="宋体" w:cs="宋体"/>
          <w:szCs w:val="21"/>
        </w:rPr>
        <w:t xml:space="preserve"> 锰铁</w:t>
      </w:r>
      <w:r>
        <w:rPr>
          <w:rFonts w:hAnsi="宋体" w:cs="宋体"/>
          <w:szCs w:val="21"/>
        </w:rPr>
        <w:t>标准贮存溶液(1000μg/mL)标准溶液</w:t>
      </w:r>
      <w:r>
        <w:rPr>
          <w:rFonts w:hint="eastAsia" w:hAnsi="宋体" w:cs="宋体"/>
          <w:szCs w:val="21"/>
        </w:rPr>
        <w:t>，</w:t>
      </w:r>
      <w:r>
        <w:t>标准贮存溶液可购买有证标准物质或者标准样品</w:t>
      </w:r>
      <w:r>
        <w:rPr>
          <w:rFonts w:hint="eastAsia"/>
        </w:rPr>
        <w:t>。</w:t>
      </w:r>
    </w:p>
    <w:p>
      <w:pPr>
        <w:pStyle w:val="54"/>
        <w:ind w:firstLine="0" w:firstLineChars="0"/>
      </w:pPr>
      <w:r>
        <w:rPr>
          <w:rFonts w:hint="eastAsia"/>
        </w:rPr>
        <w:t>4.4.1混合标液配置</w:t>
      </w:r>
    </w:p>
    <w:p>
      <w:pPr>
        <w:pStyle w:val="54"/>
        <w:ind w:firstLine="420"/>
        <w:rPr>
          <w:rFonts w:hint="eastAsia"/>
        </w:rPr>
      </w:pPr>
      <w:r>
        <w:t>混合标准工作溶液(</w:t>
      </w:r>
      <w:r>
        <w:rPr>
          <w:rFonts w:hint="eastAsia"/>
        </w:rPr>
        <w:t>Mn、Fe</w:t>
      </w:r>
      <w:r>
        <w:t>):取100mL容量瓶6个,依次准确加入</w:t>
      </w:r>
      <w:r>
        <w:rPr>
          <w:rFonts w:hint="eastAsia"/>
        </w:rPr>
        <w:t>Mn</w:t>
      </w:r>
      <w:r>
        <w:t>单元素标准储备液</w:t>
      </w:r>
      <w:bookmarkStart w:id="10" w:name="OLE_LINK7"/>
      <w:r>
        <w:t>0mL、</w:t>
      </w:r>
      <w:r>
        <w:rPr>
          <w:rFonts w:hint="eastAsia"/>
        </w:rPr>
        <w:t>0.</w:t>
      </w:r>
      <w:r>
        <w:t>1mL、</w:t>
      </w:r>
      <w:r>
        <w:rPr>
          <w:rFonts w:hint="eastAsia"/>
        </w:rPr>
        <w:t>0.5</w:t>
      </w:r>
      <w:r>
        <w:t>mL、</w:t>
      </w:r>
      <w:r>
        <w:rPr>
          <w:rFonts w:hint="eastAsia"/>
        </w:rPr>
        <w:t>1</w:t>
      </w:r>
      <w:r>
        <w:t>mL、</w:t>
      </w:r>
      <w:r>
        <w:rPr>
          <w:rFonts w:hint="eastAsia"/>
        </w:rPr>
        <w:t>2</w:t>
      </w:r>
      <w:r>
        <w:t>mL、</w:t>
      </w:r>
      <w:r>
        <w:rPr>
          <w:rFonts w:hint="eastAsia"/>
        </w:rPr>
        <w:t>4</w:t>
      </w:r>
      <w:r>
        <w:t>mL,</w:t>
      </w:r>
      <w:bookmarkEnd w:id="10"/>
      <w:r>
        <w:rPr>
          <w:rFonts w:hint="eastAsia"/>
        </w:rPr>
        <w:t>Fe</w:t>
      </w:r>
      <w:r>
        <w:t>单元素标准储备液0mL、</w:t>
      </w:r>
      <w:r>
        <w:rPr>
          <w:rFonts w:hint="eastAsia"/>
        </w:rPr>
        <w:t>0.</w:t>
      </w:r>
      <w:r>
        <w:t>1mL、</w:t>
      </w:r>
      <w:r>
        <w:rPr>
          <w:rFonts w:hint="eastAsia"/>
        </w:rPr>
        <w:t>0.5</w:t>
      </w:r>
      <w:r>
        <w:t>mL、</w:t>
      </w:r>
      <w:r>
        <w:rPr>
          <w:rFonts w:hint="eastAsia"/>
        </w:rPr>
        <w:t>1</w:t>
      </w:r>
      <w:r>
        <w:t>mL、</w:t>
      </w:r>
      <w:r>
        <w:rPr>
          <w:rFonts w:hint="eastAsia"/>
        </w:rPr>
        <w:t>2</w:t>
      </w:r>
      <w:r>
        <w:t>mL、</w:t>
      </w:r>
      <w:r>
        <w:rPr>
          <w:rFonts w:hint="eastAsia"/>
        </w:rPr>
        <w:t>4</w:t>
      </w:r>
      <w:r>
        <w:t>mL,每个容量瓶再依次加入5mL盐酸,定容后摇匀,得到</w:t>
      </w:r>
      <w:r>
        <w:rPr>
          <w:rFonts w:hint="eastAsia"/>
        </w:rPr>
        <w:t>Mn</w:t>
      </w:r>
      <w:r>
        <w:t>浓度为</w:t>
      </w:r>
      <w:bookmarkStart w:id="11" w:name="OLE_LINK8"/>
      <w:r>
        <w:t>0μg/mL、</w:t>
      </w:r>
      <w:r>
        <w:rPr>
          <w:rFonts w:hint="eastAsia"/>
        </w:rPr>
        <w:t>1</w:t>
      </w:r>
      <w:r>
        <w:t>μg/mL、</w:t>
      </w:r>
      <w:r>
        <w:rPr>
          <w:rFonts w:hint="eastAsia"/>
        </w:rPr>
        <w:t>5</w:t>
      </w:r>
      <w:r>
        <w:t>μg/mL、</w:t>
      </w:r>
      <w:r>
        <w:rPr>
          <w:rFonts w:hint="eastAsia"/>
        </w:rPr>
        <w:t>10</w:t>
      </w:r>
      <w:r>
        <w:t>μg/mL、</w:t>
      </w:r>
      <w:r>
        <w:rPr>
          <w:rFonts w:hint="eastAsia"/>
        </w:rPr>
        <w:t>20</w:t>
      </w:r>
      <w:r>
        <w:t xml:space="preserve">μg/mL、 </w:t>
      </w:r>
      <w:r>
        <w:rPr>
          <w:rFonts w:hint="eastAsia"/>
        </w:rPr>
        <w:t>40</w:t>
      </w:r>
      <w:r>
        <w:t>μg/mL</w:t>
      </w:r>
      <w:bookmarkEnd w:id="11"/>
      <w:r>
        <w:t>,</w:t>
      </w:r>
      <w:r>
        <w:rPr>
          <w:rFonts w:hint="eastAsia"/>
        </w:rPr>
        <w:t>Fe</w:t>
      </w:r>
      <w:r>
        <w:t>浓度为0μg/mL、</w:t>
      </w:r>
      <w:r>
        <w:rPr>
          <w:rFonts w:hint="eastAsia"/>
        </w:rPr>
        <w:t>1</w:t>
      </w:r>
      <w:r>
        <w:t>μg/mL、</w:t>
      </w:r>
      <w:r>
        <w:rPr>
          <w:rFonts w:hint="eastAsia"/>
        </w:rPr>
        <w:t>5</w:t>
      </w:r>
      <w:r>
        <w:t>μg/mL、</w:t>
      </w:r>
      <w:r>
        <w:rPr>
          <w:rFonts w:hint="eastAsia"/>
        </w:rPr>
        <w:t>10</w:t>
      </w:r>
      <w:r>
        <w:t>μg/mL、</w:t>
      </w:r>
      <w:r>
        <w:rPr>
          <w:rFonts w:hint="eastAsia"/>
        </w:rPr>
        <w:t>20</w:t>
      </w:r>
      <w:r>
        <w:t xml:space="preserve">μg/mL、 </w:t>
      </w:r>
      <w:r>
        <w:rPr>
          <w:rFonts w:hint="eastAsia"/>
        </w:rPr>
        <w:t>40</w:t>
      </w:r>
      <w:r>
        <w:t>μg/mL的混合标准工作系列溶液。</w:t>
      </w:r>
    </w:p>
    <w:p>
      <w:pPr>
        <w:pStyle w:val="81"/>
        <w:spacing w:before="156" w:after="156"/>
        <w:rPr>
          <w:rFonts w:ascii="Times New Roman"/>
          <w:b/>
          <w:szCs w:val="21"/>
        </w:rPr>
      </w:pPr>
      <w:r>
        <w:rPr>
          <w:rFonts w:hint="eastAsia" w:ascii="Times New Roman"/>
          <w:b/>
          <w:szCs w:val="21"/>
        </w:rPr>
        <w:t>仪器和设备</w:t>
      </w:r>
    </w:p>
    <w:p>
      <w:pPr>
        <w:pStyle w:val="54"/>
        <w:ind w:firstLine="0" w:firstLineChars="0"/>
      </w:pPr>
      <w:r>
        <w:rPr>
          <w:rFonts w:hint="eastAsia" w:ascii="Times New Roman"/>
        </w:rPr>
        <w:t>5.1</w:t>
      </w:r>
      <w:r>
        <w:rPr>
          <w:rFonts w:hint="eastAsia"/>
        </w:rPr>
        <w:t xml:space="preserve"> </w:t>
      </w:r>
      <w:r>
        <w:t>电感耦合等离子体原子发射光谱仪:设备性能应满足</w:t>
      </w:r>
      <w:bookmarkStart w:id="12" w:name="OLE_LINK12"/>
      <w:r>
        <w:t>JJG768</w:t>
      </w:r>
      <w:bookmarkEnd w:id="12"/>
      <w:r>
        <w:t>的规定</w:t>
      </w:r>
    </w:p>
    <w:p>
      <w:pPr>
        <w:pStyle w:val="54"/>
        <w:ind w:firstLine="0" w:firstLineChars="0"/>
      </w:pPr>
      <w:r>
        <w:rPr>
          <w:rFonts w:hint="eastAsia" w:ascii="Times New Roman"/>
        </w:rPr>
        <w:t>5.2</w:t>
      </w:r>
      <w:r>
        <w:t xml:space="preserve"> 推荐的分析谱线及仪器工作参数</w:t>
      </w:r>
      <w:r>
        <w:rPr>
          <w:rFonts w:hint="eastAsia"/>
          <w:lang w:val="en-US" w:eastAsia="zh-CN"/>
        </w:rPr>
        <w:t>见表2</w:t>
      </w:r>
      <w:r>
        <w:rPr>
          <w:rFonts w:hint="eastAsia"/>
        </w:rPr>
        <w:t>。</w:t>
      </w:r>
    </w:p>
    <w:p>
      <w:pPr>
        <w:pStyle w:val="54"/>
        <w:ind w:firstLine="0" w:firstLineChars="0"/>
        <w:jc w:val="center"/>
        <w:rPr>
          <w:rFonts w:hint="eastAsia"/>
        </w:rPr>
      </w:pPr>
      <w:r>
        <w:rPr>
          <w:rFonts w:hint="eastAsia"/>
        </w:rPr>
        <w:t>表</w:t>
      </w:r>
      <w:r>
        <w:rPr>
          <w:rFonts w:hint="eastAsia"/>
          <w:lang w:val="en-US" w:eastAsia="zh-CN"/>
        </w:rPr>
        <w:t>2</w:t>
      </w:r>
      <w:r>
        <w:rPr>
          <w:rFonts w:hint="eastAsia"/>
        </w:rPr>
        <w:t xml:space="preserve"> 分析谱线及仪器工作参数表</w:t>
      </w:r>
    </w:p>
    <w:tbl>
      <w:tblPr>
        <w:tblStyle w:val="35"/>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417"/>
        <w:gridCol w:w="1549"/>
        <w:gridCol w:w="1316"/>
        <w:gridCol w:w="1316"/>
        <w:gridCol w:w="121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988" w:type="dxa"/>
            <w:vAlign w:val="center"/>
          </w:tcPr>
          <w:p>
            <w:pPr>
              <w:pStyle w:val="54"/>
              <w:ind w:firstLine="0" w:firstLineChars="0"/>
              <w:jc w:val="center"/>
              <w:rPr>
                <w:rFonts w:hint="eastAsia"/>
                <w:sz w:val="18"/>
                <w:szCs w:val="18"/>
              </w:rPr>
            </w:pPr>
            <w:r>
              <w:rPr>
                <w:sz w:val="18"/>
                <w:szCs w:val="18"/>
              </w:rPr>
              <w:t>元素名称</w:t>
            </w:r>
          </w:p>
        </w:tc>
        <w:tc>
          <w:tcPr>
            <w:tcW w:w="1417" w:type="dxa"/>
            <w:vAlign w:val="center"/>
          </w:tcPr>
          <w:p>
            <w:pPr>
              <w:pStyle w:val="54"/>
              <w:ind w:firstLine="0" w:firstLineChars="0"/>
              <w:jc w:val="center"/>
              <w:rPr>
                <w:sz w:val="18"/>
                <w:szCs w:val="18"/>
              </w:rPr>
            </w:pPr>
            <w:r>
              <w:rPr>
                <w:sz w:val="18"/>
                <w:szCs w:val="18"/>
              </w:rPr>
              <w:t>分析谱线波长</w:t>
            </w:r>
          </w:p>
          <w:p>
            <w:pPr>
              <w:pStyle w:val="54"/>
              <w:ind w:firstLine="0" w:firstLineChars="0"/>
              <w:jc w:val="center"/>
              <w:rPr>
                <w:rFonts w:hint="eastAsia"/>
                <w:sz w:val="18"/>
                <w:szCs w:val="18"/>
              </w:rPr>
            </w:pPr>
            <w:r>
              <w:rPr>
                <w:rFonts w:hint="eastAsia"/>
                <w:sz w:val="18"/>
                <w:szCs w:val="18"/>
              </w:rPr>
              <w:t>nm</w:t>
            </w:r>
          </w:p>
        </w:tc>
        <w:tc>
          <w:tcPr>
            <w:tcW w:w="1549" w:type="dxa"/>
            <w:vAlign w:val="center"/>
          </w:tcPr>
          <w:p>
            <w:pPr>
              <w:pStyle w:val="54"/>
              <w:ind w:firstLine="0" w:firstLineChars="0"/>
              <w:jc w:val="center"/>
              <w:rPr>
                <w:sz w:val="18"/>
                <w:szCs w:val="18"/>
              </w:rPr>
            </w:pPr>
            <w:r>
              <w:rPr>
                <w:sz w:val="18"/>
                <w:szCs w:val="18"/>
              </w:rPr>
              <w:t>功率</w:t>
            </w:r>
          </w:p>
          <w:p>
            <w:pPr>
              <w:pStyle w:val="54"/>
              <w:ind w:firstLine="0" w:firstLineChars="0"/>
              <w:jc w:val="center"/>
              <w:rPr>
                <w:rFonts w:hint="eastAsia"/>
                <w:sz w:val="18"/>
                <w:szCs w:val="18"/>
              </w:rPr>
            </w:pPr>
            <w:r>
              <w:rPr>
                <w:rFonts w:hint="eastAsia"/>
                <w:sz w:val="18"/>
                <w:szCs w:val="18"/>
              </w:rPr>
              <w:t>kW</w:t>
            </w:r>
          </w:p>
        </w:tc>
        <w:tc>
          <w:tcPr>
            <w:tcW w:w="1316" w:type="dxa"/>
            <w:vAlign w:val="center"/>
          </w:tcPr>
          <w:p>
            <w:pPr>
              <w:pStyle w:val="54"/>
              <w:ind w:firstLine="0" w:firstLineChars="0"/>
              <w:jc w:val="center"/>
              <w:rPr>
                <w:sz w:val="18"/>
                <w:szCs w:val="18"/>
              </w:rPr>
            </w:pPr>
            <w:r>
              <w:rPr>
                <w:sz w:val="18"/>
                <w:szCs w:val="18"/>
              </w:rPr>
              <w:t>等离子体流量</w:t>
            </w:r>
          </w:p>
          <w:p>
            <w:pPr>
              <w:pStyle w:val="54"/>
              <w:ind w:firstLine="0" w:firstLineChars="0"/>
              <w:jc w:val="center"/>
              <w:rPr>
                <w:rFonts w:hint="eastAsia"/>
                <w:sz w:val="18"/>
                <w:szCs w:val="18"/>
              </w:rPr>
            </w:pPr>
            <w:bookmarkStart w:id="13" w:name="OLE_LINK13"/>
            <w:r>
              <w:rPr>
                <w:rFonts w:hint="eastAsia"/>
                <w:sz w:val="18"/>
                <w:szCs w:val="18"/>
              </w:rPr>
              <w:t>L/min</w:t>
            </w:r>
            <w:bookmarkEnd w:id="13"/>
          </w:p>
        </w:tc>
        <w:tc>
          <w:tcPr>
            <w:tcW w:w="1316" w:type="dxa"/>
            <w:vAlign w:val="center"/>
          </w:tcPr>
          <w:p>
            <w:pPr>
              <w:pStyle w:val="54"/>
              <w:ind w:firstLine="0" w:firstLineChars="0"/>
              <w:jc w:val="center"/>
              <w:rPr>
                <w:sz w:val="18"/>
                <w:szCs w:val="18"/>
              </w:rPr>
            </w:pPr>
            <w:r>
              <w:rPr>
                <w:sz w:val="18"/>
                <w:szCs w:val="18"/>
              </w:rPr>
              <w:t>辅助气流量</w:t>
            </w:r>
          </w:p>
          <w:p>
            <w:pPr>
              <w:pStyle w:val="54"/>
              <w:ind w:firstLine="0" w:firstLineChars="0"/>
              <w:jc w:val="center"/>
              <w:rPr>
                <w:rFonts w:hint="eastAsia"/>
                <w:sz w:val="18"/>
                <w:szCs w:val="18"/>
              </w:rPr>
            </w:pPr>
            <w:r>
              <w:rPr>
                <w:rFonts w:hint="eastAsia"/>
                <w:sz w:val="18"/>
                <w:szCs w:val="18"/>
              </w:rPr>
              <w:t>L/min</w:t>
            </w:r>
          </w:p>
        </w:tc>
        <w:tc>
          <w:tcPr>
            <w:tcW w:w="1214" w:type="dxa"/>
            <w:vAlign w:val="center"/>
          </w:tcPr>
          <w:p>
            <w:pPr>
              <w:pStyle w:val="54"/>
              <w:ind w:firstLine="0" w:firstLineChars="0"/>
              <w:jc w:val="center"/>
              <w:rPr>
                <w:sz w:val="18"/>
                <w:szCs w:val="18"/>
              </w:rPr>
            </w:pPr>
            <w:r>
              <w:rPr>
                <w:sz w:val="18"/>
                <w:szCs w:val="18"/>
              </w:rPr>
              <w:t>雾化器流量</w:t>
            </w:r>
            <w:r>
              <w:rPr>
                <w:rFonts w:hint="eastAsia"/>
                <w:sz w:val="18"/>
                <w:szCs w:val="18"/>
              </w:rPr>
              <w:t>L/min</w:t>
            </w:r>
          </w:p>
        </w:tc>
        <w:tc>
          <w:tcPr>
            <w:tcW w:w="1214" w:type="dxa"/>
            <w:vAlign w:val="center"/>
          </w:tcPr>
          <w:p>
            <w:pPr>
              <w:pStyle w:val="54"/>
              <w:ind w:firstLine="0" w:firstLineChars="0"/>
              <w:jc w:val="center"/>
              <w:rPr>
                <w:sz w:val="18"/>
                <w:szCs w:val="18"/>
              </w:rPr>
            </w:pPr>
            <w:r>
              <w:rPr>
                <w:sz w:val="18"/>
                <w:szCs w:val="18"/>
              </w:rPr>
              <w:t>观测方式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988" w:type="dxa"/>
            <w:vAlign w:val="center"/>
          </w:tcPr>
          <w:p>
            <w:pPr>
              <w:pStyle w:val="54"/>
              <w:ind w:firstLine="0" w:firstLineChars="0"/>
              <w:jc w:val="center"/>
              <w:rPr>
                <w:rFonts w:hint="eastAsia"/>
              </w:rPr>
            </w:pPr>
            <w:r>
              <w:rPr>
                <w:rFonts w:hint="eastAsia"/>
              </w:rPr>
              <w:t>Fe</w:t>
            </w:r>
          </w:p>
        </w:tc>
        <w:tc>
          <w:tcPr>
            <w:tcW w:w="1417" w:type="dxa"/>
            <w:vAlign w:val="center"/>
          </w:tcPr>
          <w:p>
            <w:pPr>
              <w:pStyle w:val="54"/>
              <w:ind w:firstLine="0" w:firstLineChars="0"/>
              <w:jc w:val="center"/>
              <w:rPr>
                <w:rFonts w:hint="eastAsia"/>
              </w:rPr>
            </w:pPr>
            <w:r>
              <w:rPr>
                <w:rFonts w:hint="eastAsia"/>
              </w:rPr>
              <w:t>259.940</w:t>
            </w:r>
          </w:p>
        </w:tc>
        <w:tc>
          <w:tcPr>
            <w:tcW w:w="1549" w:type="dxa"/>
            <w:vAlign w:val="center"/>
          </w:tcPr>
          <w:p>
            <w:pPr>
              <w:pStyle w:val="54"/>
              <w:ind w:firstLine="0" w:firstLineChars="0"/>
              <w:jc w:val="center"/>
              <w:rPr>
                <w:rFonts w:hint="eastAsia"/>
              </w:rPr>
            </w:pPr>
            <w:r>
              <w:rPr>
                <w:rFonts w:hint="eastAsia"/>
              </w:rPr>
              <w:t>1.2</w:t>
            </w:r>
          </w:p>
        </w:tc>
        <w:tc>
          <w:tcPr>
            <w:tcW w:w="1316" w:type="dxa"/>
            <w:vAlign w:val="center"/>
          </w:tcPr>
          <w:p>
            <w:pPr>
              <w:pStyle w:val="54"/>
              <w:ind w:firstLine="0" w:firstLineChars="0"/>
              <w:jc w:val="center"/>
              <w:rPr>
                <w:rFonts w:hint="eastAsia"/>
              </w:rPr>
            </w:pPr>
            <w:r>
              <w:rPr>
                <w:rFonts w:hint="eastAsia"/>
              </w:rPr>
              <w:t>12</w:t>
            </w:r>
          </w:p>
        </w:tc>
        <w:tc>
          <w:tcPr>
            <w:tcW w:w="1316" w:type="dxa"/>
            <w:vAlign w:val="center"/>
          </w:tcPr>
          <w:p>
            <w:pPr>
              <w:pStyle w:val="54"/>
              <w:ind w:firstLine="0" w:firstLineChars="0"/>
              <w:jc w:val="center"/>
              <w:rPr>
                <w:rFonts w:hint="eastAsia"/>
              </w:rPr>
            </w:pPr>
            <w:r>
              <w:rPr>
                <w:rFonts w:hint="eastAsia"/>
              </w:rPr>
              <w:t>1</w:t>
            </w:r>
          </w:p>
        </w:tc>
        <w:tc>
          <w:tcPr>
            <w:tcW w:w="1214" w:type="dxa"/>
            <w:vAlign w:val="center"/>
          </w:tcPr>
          <w:p>
            <w:pPr>
              <w:pStyle w:val="54"/>
              <w:ind w:firstLine="0" w:firstLineChars="0"/>
              <w:jc w:val="center"/>
              <w:rPr>
                <w:rFonts w:hint="eastAsia"/>
              </w:rPr>
            </w:pPr>
            <w:r>
              <w:rPr>
                <w:rFonts w:hint="eastAsia"/>
              </w:rPr>
              <w:t>0.7</w:t>
            </w:r>
          </w:p>
        </w:tc>
        <w:tc>
          <w:tcPr>
            <w:tcW w:w="1214" w:type="dxa"/>
            <w:vAlign w:val="center"/>
          </w:tcPr>
          <w:p>
            <w:pPr>
              <w:pStyle w:val="54"/>
              <w:ind w:firstLine="0" w:firstLineChars="0"/>
              <w:jc w:val="center"/>
              <w:rPr>
                <w:rFonts w:hint="eastAsia"/>
              </w:rPr>
            </w:pPr>
            <w:r>
              <w:rPr>
                <w:rFonts w:hint="eastAsia"/>
              </w:rPr>
              <w:t>径向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988" w:type="dxa"/>
            <w:vAlign w:val="center"/>
          </w:tcPr>
          <w:p>
            <w:pPr>
              <w:pStyle w:val="54"/>
              <w:ind w:firstLine="0" w:firstLineChars="0"/>
              <w:jc w:val="center"/>
              <w:rPr>
                <w:rFonts w:hint="eastAsia" w:ascii="宋体" w:hAnsi="Times New Roman" w:eastAsia="宋体" w:cs="Times New Roman"/>
                <w:sz w:val="21"/>
                <w:lang w:val="en-US" w:eastAsia="zh-CN" w:bidi="ar-SA"/>
              </w:rPr>
            </w:pPr>
            <w:bookmarkStart w:id="14" w:name="OLE_LINK4"/>
            <w:r>
              <w:rPr>
                <w:rFonts w:hint="eastAsia"/>
              </w:rPr>
              <w:t>Mn</w:t>
            </w:r>
          </w:p>
        </w:tc>
        <w:tc>
          <w:tcPr>
            <w:tcW w:w="1417" w:type="dxa"/>
            <w:vAlign w:val="center"/>
          </w:tcPr>
          <w:p>
            <w:pPr>
              <w:pStyle w:val="54"/>
              <w:ind w:firstLine="0" w:firstLineChars="0"/>
              <w:jc w:val="center"/>
              <w:rPr>
                <w:rFonts w:hint="eastAsia" w:ascii="宋体" w:hAnsi="Times New Roman" w:eastAsia="宋体" w:cs="Times New Roman"/>
                <w:sz w:val="21"/>
                <w:lang w:val="en-US" w:eastAsia="zh-CN" w:bidi="ar-SA"/>
              </w:rPr>
            </w:pPr>
            <w:r>
              <w:rPr>
                <w:rFonts w:hint="eastAsia"/>
              </w:rPr>
              <w:t>257.610</w:t>
            </w:r>
          </w:p>
        </w:tc>
        <w:tc>
          <w:tcPr>
            <w:tcW w:w="1549" w:type="dxa"/>
            <w:vAlign w:val="center"/>
          </w:tcPr>
          <w:p>
            <w:pPr>
              <w:pStyle w:val="54"/>
              <w:ind w:firstLine="0" w:firstLineChars="0"/>
              <w:jc w:val="center"/>
              <w:rPr>
                <w:rFonts w:hint="eastAsia" w:ascii="宋体" w:hAnsi="Times New Roman" w:eastAsia="宋体" w:cs="Times New Roman"/>
                <w:sz w:val="21"/>
                <w:lang w:val="en-US" w:eastAsia="zh-CN" w:bidi="ar-SA"/>
              </w:rPr>
            </w:pPr>
            <w:r>
              <w:rPr>
                <w:rFonts w:hint="eastAsia"/>
              </w:rPr>
              <w:t>1.2</w:t>
            </w:r>
          </w:p>
        </w:tc>
        <w:tc>
          <w:tcPr>
            <w:tcW w:w="1316" w:type="dxa"/>
            <w:vAlign w:val="center"/>
          </w:tcPr>
          <w:p>
            <w:pPr>
              <w:pStyle w:val="54"/>
              <w:ind w:firstLine="0" w:firstLineChars="0"/>
              <w:jc w:val="center"/>
              <w:rPr>
                <w:rFonts w:hint="eastAsia" w:ascii="宋体" w:hAnsi="Times New Roman" w:eastAsia="宋体" w:cs="Times New Roman"/>
                <w:sz w:val="21"/>
                <w:lang w:val="en-US" w:eastAsia="zh-CN" w:bidi="ar-SA"/>
              </w:rPr>
            </w:pPr>
            <w:r>
              <w:rPr>
                <w:rFonts w:hint="eastAsia"/>
              </w:rPr>
              <w:t>12</w:t>
            </w:r>
          </w:p>
        </w:tc>
        <w:tc>
          <w:tcPr>
            <w:tcW w:w="1316" w:type="dxa"/>
            <w:vAlign w:val="center"/>
          </w:tcPr>
          <w:p>
            <w:pPr>
              <w:pStyle w:val="54"/>
              <w:ind w:firstLine="0" w:firstLineChars="0"/>
              <w:jc w:val="center"/>
              <w:rPr>
                <w:rFonts w:hint="eastAsia" w:ascii="宋体" w:hAnsi="Times New Roman" w:eastAsia="宋体" w:cs="Times New Roman"/>
                <w:sz w:val="21"/>
                <w:lang w:val="en-US" w:eastAsia="zh-CN" w:bidi="ar-SA"/>
              </w:rPr>
            </w:pPr>
            <w:r>
              <w:rPr>
                <w:rFonts w:hint="eastAsia"/>
              </w:rPr>
              <w:t>1</w:t>
            </w:r>
          </w:p>
        </w:tc>
        <w:tc>
          <w:tcPr>
            <w:tcW w:w="1214" w:type="dxa"/>
            <w:vAlign w:val="center"/>
          </w:tcPr>
          <w:p>
            <w:pPr>
              <w:pStyle w:val="54"/>
              <w:ind w:firstLine="0" w:firstLineChars="0"/>
              <w:jc w:val="center"/>
              <w:rPr>
                <w:rFonts w:hint="eastAsia" w:ascii="宋体" w:hAnsi="Times New Roman" w:eastAsia="宋体" w:cs="Times New Roman"/>
                <w:sz w:val="21"/>
                <w:lang w:val="en-US" w:eastAsia="zh-CN" w:bidi="ar-SA"/>
              </w:rPr>
            </w:pPr>
            <w:r>
              <w:rPr>
                <w:rFonts w:hint="eastAsia"/>
              </w:rPr>
              <w:t>0.7</w:t>
            </w:r>
          </w:p>
        </w:tc>
        <w:tc>
          <w:tcPr>
            <w:tcW w:w="1214" w:type="dxa"/>
            <w:vAlign w:val="center"/>
          </w:tcPr>
          <w:p>
            <w:pPr>
              <w:pStyle w:val="54"/>
              <w:ind w:firstLine="0" w:firstLineChars="0"/>
              <w:jc w:val="center"/>
              <w:rPr>
                <w:rFonts w:hint="eastAsia" w:ascii="宋体" w:hAnsi="Times New Roman" w:eastAsia="宋体" w:cs="Times New Roman"/>
                <w:sz w:val="21"/>
                <w:lang w:val="en-US" w:eastAsia="zh-CN" w:bidi="ar-SA"/>
              </w:rPr>
            </w:pPr>
            <w:r>
              <w:rPr>
                <w:rFonts w:hint="eastAsia"/>
              </w:rPr>
              <w:t>径向</w:t>
            </w:r>
          </w:p>
        </w:tc>
      </w:tr>
    </w:tbl>
    <w:p>
      <w:pPr>
        <w:pStyle w:val="81"/>
        <w:spacing w:before="156" w:after="156"/>
        <w:rPr>
          <w:rFonts w:ascii="Times New Roman"/>
          <w:b/>
          <w:szCs w:val="21"/>
        </w:rPr>
      </w:pPr>
      <w:r>
        <w:rPr>
          <w:rFonts w:hint="eastAsia" w:ascii="Times New Roman"/>
          <w:b/>
          <w:szCs w:val="21"/>
        </w:rPr>
        <w:t>样品</w:t>
      </w:r>
    </w:p>
    <w:bookmarkEnd w:id="14"/>
    <w:p>
      <w:pPr>
        <w:pStyle w:val="54"/>
        <w:ind w:firstLine="0" w:firstLineChars="0"/>
        <w:rPr>
          <w:rFonts w:hint="eastAsia" w:ascii="Times New Roman"/>
        </w:rPr>
      </w:pPr>
      <w:r>
        <w:rPr>
          <w:rFonts w:hint="eastAsia" w:ascii="Times New Roman"/>
        </w:rPr>
        <w:t>6.1 样品应通过0.074mm（200目）筛孔。</w:t>
      </w:r>
    </w:p>
    <w:p>
      <w:pPr>
        <w:pStyle w:val="54"/>
        <w:ind w:firstLine="0" w:firstLineChars="0"/>
        <w:rPr>
          <w:rFonts w:ascii="Times New Roman"/>
        </w:rPr>
      </w:pPr>
      <w:r>
        <w:rPr>
          <w:rFonts w:hint="eastAsia" w:ascii="Times New Roman"/>
        </w:rPr>
        <w:t>6.2 样品应在105℃±5℃烘干2h，置于干燥器中冷却至室温备用。</w:t>
      </w:r>
    </w:p>
    <w:p>
      <w:pPr>
        <w:pStyle w:val="81"/>
        <w:spacing w:before="156" w:after="156"/>
        <w:rPr>
          <w:rFonts w:hint="eastAsia" w:ascii="Times New Roman"/>
          <w:b/>
          <w:szCs w:val="21"/>
        </w:rPr>
      </w:pPr>
      <w:r>
        <w:rPr>
          <w:rFonts w:hint="eastAsia" w:ascii="Times New Roman"/>
          <w:b/>
          <w:szCs w:val="21"/>
        </w:rPr>
        <w:t>试样处理</w:t>
      </w:r>
    </w:p>
    <w:p>
      <w:pPr>
        <w:pStyle w:val="54"/>
        <w:tabs>
          <w:tab w:val="center" w:pos="4201"/>
          <w:tab w:val="right" w:leader="dot" w:pos="9298"/>
        </w:tabs>
        <w:spacing w:before="156" w:beforeLines="50" w:after="156" w:afterLines="50" w:line="400" w:lineRule="exact"/>
        <w:ind w:firstLine="420"/>
        <w:rPr>
          <w:rFonts w:hAnsi="宋体" w:cs="宋体"/>
          <w:kern w:val="2"/>
          <w:szCs w:val="21"/>
        </w:rPr>
      </w:pPr>
      <w:r>
        <w:rPr>
          <w:rFonts w:hint="eastAsia" w:hAnsi="宋体" w:cs="宋体"/>
          <w:kern w:val="2"/>
          <w:szCs w:val="21"/>
        </w:rPr>
        <w:t>称取0.2000g±0.0001g试样,加盐酸（4.1）12mL进行溶解,然后移至</w:t>
      </w:r>
      <w:r>
        <w:rPr>
          <w:rFonts w:hint="eastAsia" w:hAnsi="宋体" w:cs="宋体"/>
          <w:kern w:val="2"/>
          <w:szCs w:val="21"/>
          <w:lang w:val="en-US" w:eastAsia="zh-CN"/>
        </w:rPr>
        <w:t>50</w:t>
      </w:r>
      <w:r>
        <w:rPr>
          <w:rFonts w:hint="eastAsia" w:hAnsi="宋体" w:cs="宋体"/>
          <w:kern w:val="2"/>
          <w:szCs w:val="21"/>
        </w:rPr>
        <w:t>mL容量瓶</w:t>
      </w:r>
      <w:r>
        <w:rPr>
          <w:rFonts w:hint="eastAsia" w:hAnsi="宋体" w:cs="宋体"/>
          <w:kern w:val="2"/>
          <w:szCs w:val="21"/>
          <w:lang w:val="en-US" w:eastAsia="zh-CN"/>
        </w:rPr>
        <w:t>或离心管</w:t>
      </w:r>
      <w:r>
        <w:rPr>
          <w:rFonts w:hint="eastAsia" w:hAnsi="宋体" w:cs="宋体"/>
          <w:kern w:val="2"/>
          <w:szCs w:val="21"/>
        </w:rPr>
        <w:t>中定容,</w:t>
      </w:r>
      <w:r>
        <w:rPr>
          <w:rFonts w:hint="eastAsia"/>
        </w:rPr>
        <w:t xml:space="preserve"> 慢速定性滤纸</w:t>
      </w:r>
      <w:r>
        <w:rPr>
          <w:rFonts w:hint="eastAsia" w:hAnsi="宋体" w:cs="宋体"/>
          <w:kern w:val="2"/>
          <w:szCs w:val="21"/>
        </w:rPr>
        <w:t>过滤</w:t>
      </w:r>
      <w:r>
        <w:rPr>
          <w:rFonts w:hint="eastAsia" w:hAnsi="宋体" w:cs="宋体"/>
          <w:kern w:val="2"/>
          <w:szCs w:val="21"/>
          <w:lang w:val="en-US" w:eastAsia="zh-CN"/>
        </w:rPr>
        <w:t>约</w:t>
      </w:r>
      <w:r>
        <w:rPr>
          <w:rFonts w:hint="eastAsia" w:hAnsi="宋体" w:cs="宋体"/>
          <w:kern w:val="2"/>
          <w:szCs w:val="21"/>
        </w:rPr>
        <w:t>20mL溶液待用。精确移取2mL滤液，移至100mL容量瓶定容。随同</w:t>
      </w:r>
      <w:r>
        <w:rPr>
          <w:rFonts w:hint="eastAsia" w:hAnsi="宋体" w:cs="宋体"/>
          <w:kern w:val="2"/>
          <w:szCs w:val="21"/>
          <w:lang w:val="en-US" w:eastAsia="zh-CN"/>
        </w:rPr>
        <w:t>做</w:t>
      </w:r>
      <w:r>
        <w:rPr>
          <w:rFonts w:hint="eastAsia" w:hAnsi="宋体" w:cs="宋体"/>
          <w:kern w:val="2"/>
          <w:szCs w:val="21"/>
        </w:rPr>
        <w:t>样品空白。</w:t>
      </w:r>
    </w:p>
    <w:p>
      <w:pPr>
        <w:pStyle w:val="81"/>
        <w:spacing w:before="156" w:after="156"/>
        <w:rPr>
          <w:rFonts w:hint="eastAsia" w:ascii="Times New Roman"/>
          <w:b/>
          <w:szCs w:val="21"/>
        </w:rPr>
      </w:pPr>
      <w:r>
        <w:rPr>
          <w:rFonts w:hint="eastAsia" w:ascii="Times New Roman"/>
          <w:b/>
          <w:szCs w:val="21"/>
        </w:rPr>
        <w:t>分析步骤</w:t>
      </w:r>
    </w:p>
    <w:p>
      <w:pPr>
        <w:pStyle w:val="54"/>
        <w:ind w:firstLine="0" w:firstLineChars="0"/>
        <w:rPr>
          <w:rFonts w:ascii="Times New Roman"/>
        </w:rPr>
      </w:pPr>
      <w:r>
        <w:rPr>
          <w:rFonts w:hint="eastAsia" w:ascii="Times New Roman"/>
        </w:rPr>
        <w:t xml:space="preserve">8.1 </w:t>
      </w:r>
      <w:r>
        <w:rPr>
          <w:rFonts w:ascii="Times New Roman"/>
        </w:rPr>
        <w:t>按照</w:t>
      </w:r>
      <w:r>
        <w:rPr>
          <w:rFonts w:hint="eastAsia" w:ascii="Times New Roman"/>
        </w:rPr>
        <w:t>7</w:t>
      </w:r>
      <w:r>
        <w:rPr>
          <w:rFonts w:ascii="Times New Roman"/>
        </w:rPr>
        <w:t xml:space="preserve">将试样处理完成。 </w:t>
      </w:r>
    </w:p>
    <w:p>
      <w:pPr>
        <w:pStyle w:val="54"/>
        <w:ind w:firstLine="0" w:firstLineChars="0"/>
        <w:rPr>
          <w:rFonts w:hint="eastAsia" w:ascii="Times New Roman"/>
        </w:rPr>
      </w:pPr>
      <w:r>
        <w:rPr>
          <w:rFonts w:hint="eastAsia" w:ascii="Times New Roman"/>
        </w:rPr>
        <w:t xml:space="preserve">8.2 </w:t>
      </w:r>
      <w:r>
        <w:rPr>
          <w:rFonts w:ascii="Times New Roman"/>
        </w:rPr>
        <w:t>按照仪器优化的工作条件及推荐的分析波长建立仪器测试方法,在仪器运行稳定后,依次测定标准溶液和试样溶液</w:t>
      </w:r>
      <w:r>
        <w:rPr>
          <w:rFonts w:hint="eastAsia" w:ascii="Times New Roman"/>
        </w:rPr>
        <w:t>。</w:t>
      </w:r>
    </w:p>
    <w:bookmarkEnd w:id="2"/>
    <w:p>
      <w:pPr>
        <w:pStyle w:val="81"/>
        <w:spacing w:before="156" w:after="156"/>
        <w:rPr>
          <w:rFonts w:hint="eastAsia" w:ascii="Times New Roman"/>
          <w:b/>
          <w:szCs w:val="21"/>
        </w:rPr>
      </w:pPr>
      <w:r>
        <w:rPr>
          <w:rFonts w:ascii="Times New Roman"/>
          <w:b/>
          <w:szCs w:val="21"/>
        </w:rPr>
        <w:t>算</w:t>
      </w:r>
      <w:r>
        <w:rPr>
          <w:rFonts w:hint="eastAsia" w:ascii="Times New Roman"/>
          <w:b/>
          <w:szCs w:val="21"/>
        </w:rPr>
        <w:t>结果分析</w:t>
      </w:r>
    </w:p>
    <w:p>
      <w:pPr>
        <w:pStyle w:val="54"/>
        <w:ind w:firstLine="315" w:firstLineChars="150"/>
        <w:rPr>
          <w:rFonts w:hint="eastAsia" w:asciiTheme="minorEastAsia" w:hAnsiTheme="minorEastAsia" w:eastAsiaTheme="minorEastAsia" w:cstheme="minorEastAsia"/>
          <w:color w:val="000000"/>
          <w:szCs w:val="21"/>
        </w:rPr>
      </w:pPr>
      <w:r>
        <w:rPr>
          <w:rFonts w:hAnsi="宋体" w:cs="宋体"/>
          <w:szCs w:val="21"/>
        </w:rPr>
        <w:t>样品中锰、铁元素的质量分数按公式（1）计算</w:t>
      </w:r>
      <w:r>
        <w:rPr>
          <w:rFonts w:hint="eastAsia" w:asciiTheme="minorEastAsia" w:hAnsiTheme="minorEastAsia" w:eastAsiaTheme="minorEastAsia" w:cstheme="minorEastAsia"/>
          <w:color w:val="000000"/>
          <w:szCs w:val="21"/>
        </w:rPr>
        <w:t>：</w:t>
      </w:r>
    </w:p>
    <w:p>
      <w:pPr>
        <w:pStyle w:val="54"/>
        <w:ind w:firstLine="1890" w:firstLineChars="900"/>
        <w:rPr>
          <w:rFonts w:hint="eastAsia" w:asciiTheme="minorEastAsia" w:hAnsiTheme="minorEastAsia" w:eastAsiaTheme="minorEastAsia" w:cstheme="minorEastAsia"/>
          <w:color w:val="000000"/>
          <w:szCs w:val="21"/>
        </w:rPr>
      </w:pPr>
      <m:oMath>
        <m:sSub>
          <m:sSubPr>
            <m:ctrlPr>
              <w:rPr>
                <w:rFonts w:hint="eastAsia" w:ascii="Cambria Math" w:hAnsi="Cambria Math" w:eastAsiaTheme="minorEastAsia" w:cstheme="minorEastAsia"/>
                <w:szCs w:val="21"/>
              </w:rPr>
            </m:ctrlPr>
          </m:sSubPr>
          <m:e>
            <m:r>
              <m:rPr/>
              <w:rPr>
                <w:rFonts w:hint="eastAsia" w:ascii="Cambria Math" w:hAnsi="Cambria Math" w:eastAsiaTheme="minorEastAsia" w:cstheme="minorEastAsia"/>
                <w:spacing w:val="6"/>
                <w:szCs w:val="21"/>
              </w:rPr>
              <m:t>w</m:t>
            </m:r>
            <m:ctrlPr>
              <w:rPr>
                <w:rFonts w:hint="eastAsia" w:ascii="Cambria Math" w:hAnsi="Cambria Math" w:eastAsiaTheme="minorEastAsia" w:cstheme="minorEastAsia"/>
                <w:szCs w:val="21"/>
              </w:rPr>
            </m:ctrlPr>
          </m:e>
          <m:sub>
            <m:r>
              <m:rPr/>
              <w:rPr>
                <w:rFonts w:hint="eastAsia" w:ascii="Cambria Math" w:hAnsi="Cambria Math" w:eastAsiaTheme="minorEastAsia" w:cstheme="minorEastAsia"/>
                <w:szCs w:val="21"/>
              </w:rPr>
              <m:t>x</m:t>
            </m:r>
            <m:ctrlPr>
              <w:rPr>
                <w:rFonts w:hint="eastAsia" w:ascii="Cambria Math" w:hAnsi="Cambria Math" w:eastAsiaTheme="minorEastAsia" w:cstheme="minorEastAsia"/>
                <w:szCs w:val="21"/>
              </w:rPr>
            </m:ctrlPr>
          </m:sub>
        </m:sSub>
        <m:r>
          <m:rPr>
            <m:sty m:val="p"/>
          </m:rPr>
          <w:rPr>
            <w:rFonts w:hint="eastAsia" w:ascii="Cambria Math" w:hAnsi="Cambria Math" w:eastAsiaTheme="minorEastAsia" w:cstheme="minorEastAsia"/>
            <w:szCs w:val="21"/>
          </w:rPr>
          <m:t>=</m:t>
        </m:r>
        <m:f>
          <m:fPr>
            <m:ctrlPr>
              <w:rPr>
                <w:rFonts w:hint="eastAsia" w:ascii="Cambria Math" w:hAnsi="Cambria Math" w:eastAsiaTheme="minorEastAsia" w:cstheme="minorEastAsia"/>
                <w:szCs w:val="21"/>
              </w:rPr>
            </m:ctrlPr>
          </m:fPr>
          <m:num>
            <m:d>
              <m:dPr>
                <m:ctrlPr>
                  <w:rPr>
                    <w:rFonts w:hint="eastAsia" w:ascii="Cambria Math" w:hAnsi="Cambria Math" w:eastAsiaTheme="minorEastAsia" w:cstheme="minorEastAsia"/>
                    <w:i/>
                    <w:szCs w:val="21"/>
                  </w:rPr>
                </m:ctrlPr>
              </m:dPr>
              <m:e>
                <m:sSub>
                  <m:sSubPr>
                    <m:ctrlPr>
                      <w:rPr>
                        <w:rFonts w:hint="eastAsia" w:ascii="Cambria Math" w:hAnsi="Cambria Math" w:eastAsiaTheme="minorEastAsia" w:cstheme="minorEastAsia"/>
                        <w:i/>
                        <w:szCs w:val="21"/>
                      </w:rPr>
                    </m:ctrlPr>
                  </m:sSubPr>
                  <m:e>
                    <m:r>
                      <m:rPr/>
                      <w:rPr>
                        <w:rFonts w:hint="eastAsia" w:ascii="Cambria Math" w:hAnsi="Cambria Math" w:eastAsiaTheme="minorEastAsia" w:cstheme="minorEastAsia"/>
                        <w:szCs w:val="21"/>
                      </w:rPr>
                      <m:t>ρ</m:t>
                    </m:r>
                    <m:ctrlPr>
                      <w:rPr>
                        <w:rFonts w:hint="eastAsia" w:ascii="Cambria Math" w:hAnsi="Cambria Math" w:eastAsiaTheme="minorEastAsia" w:cstheme="minorEastAsia"/>
                        <w:i/>
                        <w:szCs w:val="21"/>
                      </w:rPr>
                    </m:ctrlPr>
                  </m:e>
                  <m:sub>
                    <m:r>
                      <m:rPr/>
                      <w:rPr>
                        <w:rFonts w:hint="eastAsia" w:ascii="Cambria Math" w:hAnsi="Cambria Math" w:eastAsiaTheme="minorEastAsia" w:cstheme="minorEastAsia"/>
                        <w:szCs w:val="21"/>
                      </w:rPr>
                      <m:t>X</m:t>
                    </m:r>
                    <m:ctrlPr>
                      <w:rPr>
                        <w:rFonts w:hint="eastAsia" w:ascii="Cambria Math" w:hAnsi="Cambria Math" w:eastAsiaTheme="minorEastAsia" w:cstheme="minorEastAsia"/>
                        <w:i/>
                        <w:szCs w:val="21"/>
                      </w:rPr>
                    </m:ctrlPr>
                  </m:sub>
                </m:sSub>
                <m:r>
                  <m:rPr/>
                  <w:rPr>
                    <w:rFonts w:hint="eastAsia" w:ascii="Cambria Math" w:hAnsi="Cambria Math" w:eastAsiaTheme="minorEastAsia" w:cstheme="minorEastAsia"/>
                    <w:szCs w:val="21"/>
                  </w:rPr>
                  <m:t>−</m:t>
                </m:r>
                <m:sSub>
                  <m:sSubPr>
                    <m:ctrlPr>
                      <w:rPr>
                        <w:rFonts w:hint="eastAsia" w:ascii="Cambria Math" w:hAnsi="Cambria Math" w:eastAsiaTheme="minorEastAsia" w:cstheme="minorEastAsia"/>
                        <w:i/>
                        <w:szCs w:val="21"/>
                      </w:rPr>
                    </m:ctrlPr>
                  </m:sSubPr>
                  <m:e>
                    <m:r>
                      <m:rPr/>
                      <w:rPr>
                        <w:rFonts w:hint="eastAsia" w:ascii="Cambria Math" w:hAnsi="Cambria Math" w:eastAsiaTheme="minorEastAsia" w:cstheme="minorEastAsia"/>
                        <w:szCs w:val="21"/>
                      </w:rPr>
                      <m:t>ρ</m:t>
                    </m:r>
                    <m:ctrlPr>
                      <w:rPr>
                        <w:rFonts w:hint="eastAsia" w:ascii="Cambria Math" w:hAnsi="Cambria Math" w:eastAsiaTheme="minorEastAsia" w:cstheme="minorEastAsia"/>
                        <w:i/>
                        <w:szCs w:val="21"/>
                      </w:rPr>
                    </m:ctrlPr>
                  </m:e>
                  <m:sub>
                    <m:r>
                      <m:rPr/>
                      <w:rPr>
                        <w:rFonts w:hint="eastAsia" w:ascii="Cambria Math" w:hAnsi="Cambria Math" w:eastAsiaTheme="minorEastAsia" w:cstheme="minorEastAsia"/>
                        <w:szCs w:val="21"/>
                      </w:rPr>
                      <m:t>0</m:t>
                    </m:r>
                    <m:ctrlPr>
                      <w:rPr>
                        <w:rFonts w:hint="eastAsia" w:ascii="Cambria Math" w:hAnsi="Cambria Math" w:eastAsiaTheme="minorEastAsia" w:cstheme="minorEastAsia"/>
                        <w:i/>
                        <w:szCs w:val="21"/>
                      </w:rPr>
                    </m:ctrlPr>
                  </m:sub>
                </m:sSub>
                <m:ctrlPr>
                  <w:rPr>
                    <w:rFonts w:hint="eastAsia" w:ascii="Cambria Math" w:hAnsi="Cambria Math" w:eastAsiaTheme="minorEastAsia" w:cstheme="minorEastAsia"/>
                    <w:i/>
                    <w:szCs w:val="21"/>
                  </w:rPr>
                </m:ctrlPr>
              </m:e>
            </m:d>
            <m:r>
              <m:rPr/>
              <w:rPr>
                <w:rFonts w:hint="eastAsia" w:ascii="Cambria Math" w:hAnsi="Cambria Math" w:eastAsiaTheme="minorEastAsia" w:cstheme="minorEastAsia"/>
                <w:szCs w:val="21"/>
              </w:rPr>
              <m:t>×</m:t>
            </m:r>
            <w:bookmarkStart w:id="15" w:name="OLE_LINK11"/>
            <m:sSub>
              <m:sSubPr>
                <m:ctrlPr>
                  <w:rPr>
                    <w:rFonts w:ascii="Cambria Math" w:hAnsi="Cambria Math" w:eastAsiaTheme="minorEastAsia" w:cstheme="minorEastAsia"/>
                    <w:i/>
                    <w:szCs w:val="21"/>
                  </w:rPr>
                </m:ctrlPr>
              </m:sSubPr>
              <m:e>
                <m:r>
                  <m:rPr/>
                  <w:rPr>
                    <w:rFonts w:ascii="Cambria Math" w:hAnsi="Cambria Math" w:eastAsiaTheme="minorEastAsia" w:cstheme="minorEastAsia"/>
                    <w:szCs w:val="21"/>
                  </w:rPr>
                  <m:t>V</m:t>
                </m:r>
                <m:ctrlPr>
                  <w:rPr>
                    <w:rFonts w:ascii="Cambria Math" w:hAnsi="Cambria Math" w:eastAsiaTheme="minorEastAsia" w:cstheme="minorEastAsia"/>
                    <w:i/>
                    <w:szCs w:val="21"/>
                  </w:rPr>
                </m:ctrlPr>
              </m:e>
              <m:sub>
                <m:r>
                  <m:rPr/>
                  <w:rPr>
                    <w:rFonts w:ascii="Cambria Math" w:hAnsi="Cambria Math" w:eastAsiaTheme="minorEastAsia" w:cstheme="minorEastAsia"/>
                    <w:szCs w:val="21"/>
                  </w:rPr>
                  <m:t>1</m:t>
                </m:r>
                <m:ctrlPr>
                  <w:rPr>
                    <w:rFonts w:ascii="Cambria Math" w:hAnsi="Cambria Math" w:eastAsiaTheme="minorEastAsia" w:cstheme="minorEastAsia"/>
                    <w:i/>
                    <w:szCs w:val="21"/>
                  </w:rPr>
                </m:ctrlPr>
                <w:bookmarkEnd w:id="15"/>
              </m:sub>
            </m:sSub>
            <m:r>
              <m:rPr/>
              <w:rPr>
                <w:rFonts w:hint="eastAsia" w:ascii="Cambria Math" w:hAnsi="Cambria Math" w:eastAsiaTheme="minorEastAsia" w:cstheme="minorEastAsia"/>
                <w:szCs w:val="21"/>
              </w:rPr>
              <m:t>×</m:t>
            </m:r>
            <m:sSub>
              <m:sSubPr>
                <m:ctrlPr>
                  <w:rPr>
                    <w:rFonts w:ascii="Cambria Math" w:hAnsi="Cambria Math" w:eastAsiaTheme="minorEastAsia" w:cstheme="minorEastAsia"/>
                    <w:i/>
                    <w:szCs w:val="21"/>
                  </w:rPr>
                </m:ctrlPr>
              </m:sSubPr>
              <m:e>
                <m:sSup>
                  <m:sSupPr>
                    <m:ctrlPr>
                      <w:rPr>
                        <w:rFonts w:hint="eastAsia" w:ascii="Cambria Math" w:hAnsi="Cambria Math" w:eastAsiaTheme="minorEastAsia" w:cstheme="minorEastAsia"/>
                        <w:i/>
                        <w:szCs w:val="21"/>
                      </w:rPr>
                    </m:ctrlPr>
                  </m:sSupPr>
                  <m:e>
                    <m:sSub>
                      <m:sSubPr>
                        <m:ctrlPr>
                          <w:rPr>
                            <w:rFonts w:ascii="Cambria Math" w:hAnsi="Cambria Math" w:eastAsiaTheme="minorEastAsia" w:cstheme="minorEastAsia"/>
                            <w:i/>
                            <w:szCs w:val="21"/>
                          </w:rPr>
                        </m:ctrlPr>
                      </m:sSubPr>
                      <m:e>
                        <m:r>
                          <m:rPr/>
                          <w:rPr>
                            <w:rFonts w:ascii="Cambria Math" w:hAnsi="Cambria Math" w:eastAsiaTheme="minorEastAsia" w:cstheme="minorEastAsia"/>
                            <w:szCs w:val="21"/>
                          </w:rPr>
                          <m:t>V</m:t>
                        </m:r>
                        <m:ctrlPr>
                          <w:rPr>
                            <w:rFonts w:ascii="Cambria Math" w:hAnsi="Cambria Math" w:eastAsiaTheme="minorEastAsia" w:cstheme="minorEastAsia"/>
                            <w:i/>
                            <w:szCs w:val="21"/>
                          </w:rPr>
                        </m:ctrlPr>
                      </m:e>
                      <m:sub>
                        <m:r>
                          <m:rPr/>
                          <w:rPr>
                            <w:rFonts w:ascii="Cambria Math" w:hAnsi="Cambria Math" w:eastAsiaTheme="minorEastAsia" w:cstheme="minorEastAsia"/>
                            <w:szCs w:val="21"/>
                          </w:rPr>
                          <m:t>2</m:t>
                        </m:r>
                        <m:ctrlPr>
                          <w:rPr>
                            <w:rFonts w:ascii="Cambria Math" w:hAnsi="Cambria Math" w:eastAsiaTheme="minorEastAsia" w:cstheme="minorEastAsia"/>
                            <w:i/>
                            <w:szCs w:val="21"/>
                          </w:rPr>
                        </m:ctrlPr>
                      </m:sub>
                    </m:sSub>
                    <m:r>
                      <m:rPr/>
                      <w:rPr>
                        <w:rFonts w:hint="eastAsia" w:ascii="Cambria Math" w:hAnsi="Cambria Math" w:eastAsiaTheme="minorEastAsia" w:cstheme="minorEastAsia"/>
                        <w:szCs w:val="21"/>
                      </w:rPr>
                      <m:t>×10</m:t>
                    </m:r>
                    <m:ctrlPr>
                      <w:rPr>
                        <w:rFonts w:hint="eastAsia" w:ascii="Cambria Math" w:hAnsi="Cambria Math" w:eastAsiaTheme="minorEastAsia" w:cstheme="minorEastAsia"/>
                        <w:i/>
                        <w:szCs w:val="21"/>
                      </w:rPr>
                    </m:ctrlPr>
                  </m:e>
                  <m:sup>
                    <m:r>
                      <m:rPr/>
                      <w:rPr>
                        <w:rFonts w:hint="eastAsia" w:ascii="Cambria Math" w:hAnsi="Cambria Math" w:eastAsiaTheme="minorEastAsia" w:cstheme="minorEastAsia"/>
                        <w:szCs w:val="21"/>
                      </w:rPr>
                      <m:t>−6</m:t>
                    </m:r>
                    <m:ctrlPr>
                      <w:rPr>
                        <w:rFonts w:hint="eastAsia" w:ascii="Cambria Math" w:hAnsi="Cambria Math" w:eastAsiaTheme="minorEastAsia" w:cstheme="minorEastAsia"/>
                        <w:i/>
                        <w:szCs w:val="21"/>
                      </w:rPr>
                    </m:ctrlPr>
                  </m:sup>
                </m:sSup>
                <m:ctrlPr>
                  <w:rPr>
                    <w:rFonts w:ascii="Cambria Math" w:hAnsi="Cambria Math" w:eastAsiaTheme="minorEastAsia" w:cstheme="minorEastAsia"/>
                    <w:i/>
                    <w:szCs w:val="21"/>
                  </w:rPr>
                </m:ctrlPr>
              </m:e>
              <m:sub>
                <m:ctrlPr>
                  <w:rPr>
                    <w:rFonts w:ascii="Cambria Math" w:hAnsi="Cambria Math" w:eastAsiaTheme="minorEastAsia" w:cstheme="minorEastAsia"/>
                    <w:i/>
                    <w:szCs w:val="21"/>
                  </w:rPr>
                </m:ctrlPr>
              </m:sub>
            </m:sSub>
            <m:ctrlPr>
              <w:rPr>
                <w:rFonts w:hint="eastAsia" w:ascii="Cambria Math" w:hAnsi="Cambria Math" w:eastAsiaTheme="minorEastAsia" w:cstheme="minorEastAsia"/>
                <w:szCs w:val="21"/>
              </w:rPr>
            </m:ctrlPr>
          </m:num>
          <m:den>
            <m:r>
              <m:rPr/>
              <w:rPr>
                <w:rFonts w:hint="eastAsia" w:ascii="Cambria Math" w:hAnsi="Cambria Math" w:eastAsiaTheme="minorEastAsia" w:cstheme="minorEastAsia"/>
                <w:szCs w:val="21"/>
              </w:rPr>
              <m:t>m</m:t>
            </m:r>
            <m:ctrlPr>
              <w:rPr>
                <w:rFonts w:hint="eastAsia" w:ascii="Cambria Math" w:hAnsi="Cambria Math" w:eastAsiaTheme="minorEastAsia" w:cstheme="minorEastAsia"/>
                <w:szCs w:val="21"/>
              </w:rPr>
            </m:ctrlPr>
          </m:den>
        </m:f>
        <m:r>
          <m:rPr/>
          <w:rPr>
            <w:rFonts w:hint="eastAsia" w:ascii="Cambria Math" w:hAnsi="Cambria Math" w:eastAsiaTheme="minorEastAsia" w:cstheme="minorEastAsia"/>
            <w:szCs w:val="21"/>
          </w:rPr>
          <m:t xml:space="preserve"> ×100% </m:t>
        </m:r>
      </m:oMath>
      <w:r>
        <w:rPr>
          <w:rFonts w:hint="eastAsia" w:asciiTheme="minorEastAsia" w:hAnsiTheme="minorEastAsia" w:eastAsiaTheme="minorEastAsia" w:cstheme="minorEastAsia"/>
          <w:color w:val="000000"/>
          <w:szCs w:val="21"/>
        </w:rPr>
        <w:t>………………………………（1）</w:t>
      </w:r>
    </w:p>
    <w:p>
      <w:pPr>
        <w:pStyle w:val="2"/>
        <w:spacing w:after="0"/>
        <w:ind w:left="0" w:leftChars="0" w:firstLine="420"/>
        <w:rPr>
          <w:rFonts w:hint="eastAsia" w:ascii="Cambria Math" w:hAnsi="Cambria Math" w:cs="宋体"/>
          <w:szCs w:val="21"/>
        </w:rPr>
      </w:pPr>
      <m:oMath>
        <m:sSub>
          <m:sSubPr>
            <m:ctrlPr>
              <w:rPr>
                <w:rFonts w:ascii="Cambria Math" w:hAnsi="Cambria Math" w:cs="宋体"/>
                <w:szCs w:val="21"/>
              </w:rPr>
            </m:ctrlPr>
          </m:sSubPr>
          <m:e>
            <m:r>
              <m:rPr/>
              <w:rPr>
                <w:rFonts w:ascii="Cambria Math" w:hAnsi="Cambria Math" w:cs="宋体"/>
                <w:szCs w:val="21"/>
              </w:rPr>
              <m:t>w</m:t>
            </m:r>
            <m:ctrlPr>
              <w:rPr>
                <w:rFonts w:ascii="Cambria Math" w:hAnsi="Cambria Math" w:cs="宋体"/>
                <w:szCs w:val="21"/>
              </w:rPr>
            </m:ctrlPr>
          </m:e>
          <m:sub>
            <m:r>
              <m:rPr/>
              <w:rPr>
                <w:rFonts w:ascii="Cambria Math" w:hAnsi="Cambria Math" w:cs="宋体"/>
                <w:szCs w:val="21"/>
              </w:rPr>
              <m:t>x</m:t>
            </m:r>
            <m:ctrlPr>
              <w:rPr>
                <w:rFonts w:ascii="Cambria Math" w:hAnsi="Cambria Math" w:cs="宋体"/>
                <w:szCs w:val="21"/>
              </w:rPr>
            </m:ctrlPr>
          </m:sub>
        </m:sSub>
      </m:oMath>
      <w:r>
        <w:rPr>
          <w:rFonts w:hint="eastAsia" w:ascii="Cambria Math" w:hAnsi="Cambria Math" w:cs="宋体"/>
          <w:szCs w:val="21"/>
        </w:rPr>
        <w:t>——</w:t>
      </w:r>
      <w:r>
        <w:rPr>
          <w:rFonts w:ascii="Cambria Math" w:hAnsi="Cambria Math" w:cs="宋体"/>
          <w:szCs w:val="21"/>
        </w:rPr>
        <w:t>待测元素（Mn、Fe）的质量分数，%</w:t>
      </w:r>
    </w:p>
    <w:p>
      <w:pPr>
        <w:pStyle w:val="2"/>
        <w:spacing w:after="0"/>
        <w:ind w:left="0" w:leftChars="0" w:firstLine="420"/>
        <w:rPr>
          <w:rFonts w:hint="eastAsia" w:ascii="Cambria Math" w:hAnsi="Cambria Math" w:cs="宋体"/>
          <w:szCs w:val="21"/>
        </w:rPr>
      </w:pPr>
      <m:oMath>
        <m:sSub>
          <m:sSubPr>
            <m:ctrlPr>
              <w:rPr>
                <w:rFonts w:hint="eastAsia" w:ascii="Cambria Math" w:hAnsi="Cambria Math" w:cs="宋体"/>
                <w:szCs w:val="21"/>
              </w:rPr>
            </m:ctrlPr>
          </m:sSubPr>
          <m:e>
            <m:r>
              <m:rPr/>
              <w:rPr>
                <w:rFonts w:hint="eastAsia" w:ascii="Cambria Math" w:hAnsi="Cambria Math" w:cs="宋体"/>
                <w:szCs w:val="21"/>
              </w:rPr>
              <m:t>ρ</m:t>
            </m:r>
            <m:ctrlPr>
              <w:rPr>
                <w:rFonts w:hint="eastAsia" w:ascii="Cambria Math" w:hAnsi="Cambria Math" w:cs="宋体"/>
                <w:szCs w:val="21"/>
              </w:rPr>
            </m:ctrlPr>
          </m:e>
          <m:sub>
            <m:r>
              <m:rPr/>
              <w:rPr>
                <w:rFonts w:hint="eastAsia" w:ascii="Cambria Math" w:hAnsi="Cambria Math" w:cs="宋体"/>
                <w:szCs w:val="21"/>
              </w:rPr>
              <m:t>x</m:t>
            </m:r>
            <m:ctrlPr>
              <w:rPr>
                <w:rFonts w:hint="eastAsia" w:ascii="Cambria Math" w:hAnsi="Cambria Math" w:cs="宋体"/>
                <w:szCs w:val="21"/>
              </w:rPr>
            </m:ctrlPr>
          </m:sub>
        </m:sSub>
      </m:oMath>
      <w:r>
        <w:rPr>
          <w:rFonts w:hint="eastAsia" w:ascii="Cambria Math" w:hAnsi="Cambria Math" w:cs="宋体"/>
          <w:szCs w:val="21"/>
        </w:rPr>
        <w:t>——分析试液中待测元素的质量溶度，单位为微克每毫升</w:t>
      </w:r>
      <w:bookmarkStart w:id="16" w:name="OLE_LINK9"/>
      <w:r>
        <w:rPr>
          <w:rFonts w:hint="eastAsia" w:ascii="Cambria Math" w:hAnsi="Cambria Math" w:cs="宋体"/>
          <w:szCs w:val="21"/>
        </w:rPr>
        <w:t>(μg/mL)</w:t>
      </w:r>
      <w:bookmarkEnd w:id="16"/>
      <w:r>
        <w:rPr>
          <w:rFonts w:hint="eastAsia" w:ascii="Cambria Math" w:hAnsi="Cambria Math" w:cs="宋体"/>
          <w:szCs w:val="21"/>
        </w:rPr>
        <w:t>；</w:t>
      </w:r>
    </w:p>
    <w:p>
      <w:pPr>
        <w:pStyle w:val="2"/>
        <w:spacing w:after="0"/>
        <w:ind w:left="0" w:leftChars="0" w:firstLine="420"/>
        <w:rPr>
          <w:rFonts w:hint="eastAsia" w:ascii="Cambria Math" w:hAnsi="Cambria Math" w:cs="宋体"/>
          <w:szCs w:val="21"/>
        </w:rPr>
      </w:pPr>
      <m:oMath>
        <m:sSub>
          <m:sSubPr>
            <m:ctrlPr>
              <w:rPr>
                <w:rFonts w:hint="eastAsia" w:ascii="Cambria Math" w:hAnsi="Cambria Math" w:cs="宋体"/>
                <w:szCs w:val="21"/>
              </w:rPr>
            </m:ctrlPr>
          </m:sSubPr>
          <m:e>
            <m:r>
              <m:rPr/>
              <w:rPr>
                <w:rFonts w:hint="eastAsia" w:ascii="Cambria Math" w:hAnsi="Cambria Math" w:cs="宋体"/>
                <w:szCs w:val="21"/>
              </w:rPr>
              <m:t>ρ</m:t>
            </m:r>
            <m:ctrlPr>
              <w:rPr>
                <w:rFonts w:hint="eastAsia" w:ascii="Cambria Math" w:hAnsi="Cambria Math" w:cs="宋体"/>
                <w:szCs w:val="21"/>
              </w:rPr>
            </m:ctrlPr>
          </m:e>
          <m:sub>
            <m:r>
              <m:rPr>
                <m:sty m:val="p"/>
              </m:rPr>
              <w:rPr>
                <w:rFonts w:hint="eastAsia" w:ascii="Cambria Math" w:hAnsi="Cambria Math" w:cs="宋体"/>
                <w:szCs w:val="21"/>
              </w:rPr>
              <m:t>0</m:t>
            </m:r>
            <m:ctrlPr>
              <w:rPr>
                <w:rFonts w:hint="eastAsia" w:ascii="Cambria Math" w:hAnsi="Cambria Math" w:cs="宋体"/>
                <w:szCs w:val="21"/>
              </w:rPr>
            </m:ctrlPr>
          </m:sub>
        </m:sSub>
      </m:oMath>
      <w:r>
        <w:rPr>
          <w:rFonts w:hint="eastAsia" w:ascii="Cambria Math" w:hAnsi="Cambria Math" w:cs="宋体"/>
          <w:szCs w:val="21"/>
        </w:rPr>
        <w:t>——空白溶液中待测元素的质量溶度，单位为微克每毫升(μg/mL)；</w:t>
      </w:r>
    </w:p>
    <w:p>
      <w:pPr>
        <w:pStyle w:val="2"/>
        <w:spacing w:after="0"/>
        <w:ind w:left="0" w:leftChars="0" w:firstLine="420"/>
        <w:rPr>
          <w:rFonts w:hint="eastAsia" w:ascii="Cambria Math" w:hAnsi="Cambria Math" w:cs="宋体"/>
          <w:szCs w:val="21"/>
        </w:rPr>
      </w:pPr>
      <w:r>
        <w:rPr>
          <w:rFonts w:hint="eastAsia" w:ascii="Cambria Math" w:hAnsi="Cambria Math" w:cs="宋体"/>
          <w:szCs w:val="21"/>
        </w:rPr>
        <w:t>V</w:t>
      </w:r>
      <w:r>
        <w:rPr>
          <w:rFonts w:hint="eastAsia" w:ascii="Cambria Math" w:hAnsi="Cambria Math" w:cs="宋体"/>
          <w:szCs w:val="21"/>
          <w:vertAlign w:val="subscript"/>
        </w:rPr>
        <w:t>1</w:t>
      </w:r>
      <w:r>
        <w:rPr>
          <w:rFonts w:hint="eastAsia" w:ascii="Cambria Math" w:hAnsi="Cambria Math" w:cs="宋体"/>
          <w:szCs w:val="21"/>
        </w:rPr>
        <w:t>——试液定容体积，单位为毫升（mL）；</w:t>
      </w:r>
    </w:p>
    <w:p>
      <w:pPr>
        <w:pStyle w:val="2"/>
        <w:spacing w:after="0"/>
        <w:ind w:left="0" w:leftChars="0" w:firstLine="420"/>
        <w:rPr>
          <w:rFonts w:hint="eastAsia" w:ascii="Cambria Math" w:hAnsi="Cambria Math" w:cs="宋体"/>
          <w:szCs w:val="21"/>
        </w:rPr>
      </w:pPr>
      <w:r>
        <w:rPr>
          <w:rFonts w:hint="eastAsia" w:ascii="Cambria Math" w:hAnsi="Cambria Math" w:cs="宋体"/>
          <w:szCs w:val="21"/>
        </w:rPr>
        <w:t>V</w:t>
      </w:r>
      <w:r>
        <w:rPr>
          <w:rFonts w:hint="eastAsia" w:ascii="Cambria Math" w:hAnsi="Cambria Math" w:cs="宋体"/>
          <w:szCs w:val="21"/>
          <w:vertAlign w:val="subscript"/>
        </w:rPr>
        <w:t>2</w:t>
      </w:r>
      <w:r>
        <w:rPr>
          <w:rFonts w:hint="eastAsia" w:ascii="Cambria Math" w:hAnsi="Cambria Math" w:cs="宋体"/>
          <w:szCs w:val="21"/>
        </w:rPr>
        <w:t>——二次稀释倍数，单位为毫升（mL）；</w:t>
      </w:r>
    </w:p>
    <w:p>
      <w:pPr>
        <w:pStyle w:val="2"/>
        <w:spacing w:after="0"/>
        <w:ind w:left="0" w:leftChars="0" w:firstLine="420"/>
        <w:rPr>
          <w:rFonts w:hint="eastAsia" w:ascii="Cambria Math" w:hAnsi="Cambria Math" w:cs="宋体"/>
          <w:szCs w:val="21"/>
        </w:rPr>
      </w:pPr>
      <w:r>
        <w:rPr>
          <w:rFonts w:hint="eastAsia" w:ascii="Cambria Math" w:hAnsi="Cambria Math" w:cs="宋体"/>
          <w:szCs w:val="21"/>
        </w:rPr>
        <w:t>m—试料的质量，单位为克（g）。</w:t>
      </w:r>
    </w:p>
    <w:p>
      <w:pPr>
        <w:pStyle w:val="54"/>
        <w:ind w:firstLine="0" w:firstLineChars="0"/>
        <w:rPr>
          <w:rFonts w:hint="eastAsia" w:asciiTheme="minorEastAsia" w:hAnsiTheme="minorEastAsia" w:eastAsiaTheme="minorEastAsia" w:cstheme="minorEastAsia"/>
          <w:color w:val="000000"/>
          <w:szCs w:val="21"/>
        </w:rPr>
      </w:pPr>
    </w:p>
    <w:p>
      <w:pPr>
        <w:pStyle w:val="2"/>
        <w:ind w:left="0" w:leftChars="0" w:firstLine="420" w:firstLineChars="200"/>
        <w:rPr>
          <w:rFonts w:hint="eastAsia" w:asciiTheme="minorEastAsia" w:hAnsiTheme="minorEastAsia" w:cstheme="minorEastAsia"/>
          <w:color w:val="000000"/>
          <w:szCs w:val="21"/>
        </w:rPr>
      </w:pPr>
      <w:r>
        <w:rPr>
          <w:rFonts w:hint="eastAsia" w:asciiTheme="minorEastAsia" w:hAnsiTheme="minorEastAsia" w:eastAsiaTheme="minorEastAsia" w:cstheme="minorEastAsia"/>
          <w:color w:val="000000"/>
          <w:szCs w:val="21"/>
        </w:rPr>
        <w:t>锰铁比算</w:t>
      </w:r>
      <w:r>
        <w:rPr>
          <w:rFonts w:ascii="宋体" w:hAnsi="宋体" w:cs="宋体"/>
          <w:szCs w:val="21"/>
        </w:rPr>
        <w:t>按公式（2）计算</w:t>
      </w:r>
      <w:r>
        <w:rPr>
          <w:rFonts w:hint="eastAsia" w:ascii="宋体" w:hAnsi="宋体" w:cs="宋体"/>
          <w:szCs w:val="21"/>
        </w:rPr>
        <w:t>：</w:t>
      </w:r>
    </w:p>
    <w:p>
      <w:pPr>
        <w:pStyle w:val="54"/>
        <w:ind w:firstLine="2310" w:firstLineChars="1100"/>
        <w:rPr>
          <w:rFonts w:hint="eastAsia" w:asciiTheme="minorEastAsia" w:hAnsiTheme="minorEastAsia" w:eastAsiaTheme="minorEastAsia" w:cstheme="minorEastAsia"/>
          <w:color w:val="000000"/>
          <w:szCs w:val="21"/>
        </w:rPr>
      </w:pPr>
      <w:r>
        <w:rPr>
          <w:rFonts w:hint="eastAsia" w:asciiTheme="minorEastAsia" w:hAnsiTheme="minorEastAsia" w:cstheme="minorEastAsia"/>
          <w:color w:val="000000"/>
          <w:szCs w:val="21"/>
        </w:rPr>
        <w:t>α</w:t>
      </w:r>
      <m:oMath>
        <m:r>
          <m:rPr>
            <m:sty m:val="p"/>
          </m:rPr>
          <w:rPr>
            <w:rFonts w:hint="eastAsia" w:ascii="Cambria Math" w:hAnsi="Cambria Math" w:eastAsiaTheme="minorEastAsia" w:cstheme="minorEastAsia"/>
            <w:color w:val="000000"/>
            <w:szCs w:val="21"/>
          </w:rPr>
          <m:t>=</m:t>
        </m:r>
        <m:f>
          <m:fPr>
            <m:ctrlPr>
              <w:rPr>
                <w:rFonts w:hint="eastAsia" w:ascii="Cambria Math" w:hAnsi="Cambria Math" w:eastAsiaTheme="minorEastAsia" w:cstheme="minorEastAsia"/>
                <w:color w:val="000000"/>
                <w:szCs w:val="21"/>
              </w:rPr>
            </m:ctrlPr>
          </m:fPr>
          <m:num>
            <m:sSub>
              <m:sSubPr>
                <m:ctrlPr>
                  <w:rPr>
                    <w:rFonts w:hint="eastAsia" w:ascii="Cambria Math" w:hAnsi="Cambria Math" w:eastAsiaTheme="minorEastAsia" w:cstheme="minorEastAsia"/>
                    <w:color w:val="000000"/>
                    <w:szCs w:val="21"/>
                  </w:rPr>
                </m:ctrlPr>
              </m:sSubPr>
              <m:e>
                <m:r>
                  <m:rPr>
                    <m:sty m:val="p"/>
                  </m:rPr>
                  <w:rPr>
                    <w:rFonts w:hint="eastAsia" w:ascii="Cambria Math" w:hAnsi="Cambria Math" w:eastAsiaTheme="minorEastAsia" w:cstheme="minorEastAsia"/>
                    <w:color w:val="000000"/>
                    <w:szCs w:val="21"/>
                  </w:rPr>
                  <m:t>W</m:t>
                </m:r>
                <m:ctrlPr>
                  <w:rPr>
                    <w:rFonts w:hint="eastAsia" w:ascii="Cambria Math" w:hAnsi="Cambria Math" w:eastAsiaTheme="minorEastAsia" w:cstheme="minorEastAsia"/>
                    <w:color w:val="000000"/>
                    <w:szCs w:val="21"/>
                  </w:rPr>
                </m:ctrlPr>
              </m:e>
              <m:sub>
                <m:r>
                  <m:rPr>
                    <m:sty m:val="p"/>
                  </m:rPr>
                  <w:rPr>
                    <w:rFonts w:hint="eastAsia" w:ascii="Cambria Math" w:hAnsi="Cambria Math" w:eastAsiaTheme="minorEastAsia" w:cstheme="minorEastAsia"/>
                    <w:color w:val="000000"/>
                    <w:szCs w:val="21"/>
                  </w:rPr>
                  <m:t>Mn</m:t>
                </m:r>
                <m:ctrlPr>
                  <w:rPr>
                    <w:rFonts w:hint="eastAsia" w:ascii="Cambria Math" w:hAnsi="Cambria Math" w:eastAsiaTheme="minorEastAsia" w:cstheme="minorEastAsia"/>
                    <w:color w:val="000000"/>
                    <w:szCs w:val="21"/>
                  </w:rPr>
                </m:ctrlPr>
              </m:sub>
            </m:sSub>
            <m:r>
              <m:rPr>
                <m:sty m:val="p"/>
              </m:rPr>
              <w:rPr>
                <w:rFonts w:hint="eastAsia" w:ascii="Cambria Math" w:hAnsi="Cambria Math" w:eastAsiaTheme="minorEastAsia" w:cstheme="minorEastAsia"/>
                <w:color w:val="000000"/>
                <w:szCs w:val="21"/>
              </w:rPr>
              <m:t>/54.938</m:t>
            </m:r>
            <m:ctrlPr>
              <w:rPr>
                <w:rFonts w:hint="eastAsia" w:ascii="Cambria Math" w:hAnsi="Cambria Math" w:eastAsiaTheme="minorEastAsia" w:cstheme="minorEastAsia"/>
                <w:color w:val="000000"/>
                <w:szCs w:val="21"/>
              </w:rPr>
            </m:ctrlPr>
          </m:num>
          <m:den>
            <m:sSub>
              <m:sSubPr>
                <m:ctrlPr>
                  <w:rPr>
                    <w:rFonts w:hint="eastAsia" w:ascii="Cambria Math" w:hAnsi="Cambria Math" w:eastAsiaTheme="minorEastAsia" w:cstheme="minorEastAsia"/>
                    <w:color w:val="000000"/>
                    <w:szCs w:val="21"/>
                  </w:rPr>
                </m:ctrlPr>
              </m:sSubPr>
              <m:e>
                <m:r>
                  <m:rPr>
                    <m:sty m:val="p"/>
                  </m:rPr>
                  <w:rPr>
                    <w:rFonts w:hint="eastAsia" w:ascii="Cambria Math" w:hAnsi="Cambria Math" w:eastAsiaTheme="minorEastAsia" w:cstheme="minorEastAsia"/>
                    <w:color w:val="000000"/>
                    <w:szCs w:val="21"/>
                  </w:rPr>
                  <m:t>W</m:t>
                </m:r>
                <m:ctrlPr>
                  <w:rPr>
                    <w:rFonts w:hint="eastAsia" w:ascii="Cambria Math" w:hAnsi="Cambria Math" w:eastAsiaTheme="minorEastAsia" w:cstheme="minorEastAsia"/>
                    <w:color w:val="000000"/>
                    <w:szCs w:val="21"/>
                  </w:rPr>
                </m:ctrlPr>
              </m:e>
              <m:sub>
                <m:r>
                  <m:rPr>
                    <m:sty m:val="p"/>
                  </m:rPr>
                  <w:rPr>
                    <w:rFonts w:hint="eastAsia" w:ascii="Cambria Math" w:hAnsi="Cambria Math" w:eastAsiaTheme="minorEastAsia" w:cstheme="minorEastAsia"/>
                    <w:color w:val="000000"/>
                    <w:szCs w:val="21"/>
                  </w:rPr>
                  <m:t>Fe</m:t>
                </m:r>
                <m:ctrlPr>
                  <w:rPr>
                    <w:rFonts w:hint="eastAsia" w:ascii="Cambria Math" w:hAnsi="Cambria Math" w:eastAsiaTheme="minorEastAsia" w:cstheme="minorEastAsia"/>
                    <w:color w:val="000000"/>
                    <w:szCs w:val="21"/>
                  </w:rPr>
                </m:ctrlPr>
              </m:sub>
            </m:sSub>
            <m:r>
              <m:rPr>
                <m:sty m:val="p"/>
              </m:rPr>
              <w:rPr>
                <w:rFonts w:hint="eastAsia" w:ascii="Cambria Math" w:hAnsi="Cambria Math" w:eastAsiaTheme="minorEastAsia" w:cstheme="minorEastAsia"/>
                <w:color w:val="000000"/>
                <w:szCs w:val="21"/>
              </w:rPr>
              <m:t>/55.845</m:t>
            </m:r>
            <m:ctrlPr>
              <w:rPr>
                <w:rFonts w:hint="eastAsia" w:ascii="Cambria Math" w:hAnsi="Cambria Math" w:eastAsiaTheme="minorEastAsia" w:cstheme="minorEastAsia"/>
                <w:color w:val="000000"/>
                <w:szCs w:val="21"/>
              </w:rPr>
            </m:ctrlPr>
          </m:den>
        </m:f>
      </m:oMath>
      <w:r>
        <w:rPr>
          <w:rFonts w:hint="eastAsia" w:asciiTheme="minorEastAsia" w:hAnsiTheme="minorEastAsia" w:eastAsiaTheme="minorEastAsia" w:cstheme="minorEastAsia"/>
          <w:color w:val="000000"/>
          <w:szCs w:val="21"/>
        </w:rPr>
        <w:t>……………………………………………………（2）</w:t>
      </w:r>
    </w:p>
    <w:p>
      <w:pPr>
        <w:pStyle w:val="2"/>
        <w:spacing w:after="0"/>
        <w:ind w:leftChars="0"/>
        <w:rPr>
          <w:rFonts w:hint="eastAsia" w:ascii="宋体" w:hAnsi="宋体" w:cs="宋体"/>
          <w:szCs w:val="21"/>
        </w:rPr>
      </w:pPr>
      <w:r>
        <w:rPr>
          <w:rFonts w:hint="eastAsia" w:ascii="宋体" w:hAnsi="宋体" w:cs="宋体"/>
          <w:szCs w:val="21"/>
        </w:rPr>
        <w:t>α:锰铁比</w:t>
      </w:r>
    </w:p>
    <w:p>
      <w:pPr>
        <w:pStyle w:val="2"/>
        <w:spacing w:after="0"/>
        <w:ind w:left="0" w:leftChars="0" w:firstLine="420"/>
        <w:rPr>
          <w:rFonts w:hint="eastAsia" w:ascii="宋体" w:hAnsi="宋体" w:cs="宋体"/>
          <w:szCs w:val="21"/>
        </w:rPr>
      </w:pPr>
      <m:oMath>
        <m:sSub>
          <m:sSubPr>
            <m:ctrlPr>
              <w:rPr>
                <w:rFonts w:ascii="Cambria Math" w:hAnsi="Cambria Math" w:cs="宋体"/>
                <w:szCs w:val="21"/>
              </w:rPr>
            </m:ctrlPr>
          </m:sSubPr>
          <m:e>
            <m:r>
              <m:rPr/>
              <w:rPr>
                <w:rFonts w:hint="eastAsia" w:ascii="Cambria Math" w:hAnsi="Cambria Math" w:cs="宋体"/>
                <w:szCs w:val="21"/>
              </w:rPr>
              <m:t>w</m:t>
            </m:r>
            <m:ctrlPr>
              <w:rPr>
                <w:rFonts w:ascii="Cambria Math" w:hAnsi="Cambria Math" w:cs="宋体"/>
                <w:szCs w:val="21"/>
              </w:rPr>
            </m:ctrlPr>
          </m:e>
          <m:sub>
            <m:r>
              <m:rPr/>
              <w:rPr>
                <w:rFonts w:ascii="Cambria Math" w:hAnsi="Cambria Math" w:cs="宋体"/>
                <w:szCs w:val="21"/>
              </w:rPr>
              <m:t>M</m:t>
            </m:r>
            <m:r>
              <m:rPr/>
              <w:rPr>
                <w:rFonts w:hint="eastAsia" w:ascii="Cambria Math" w:hAnsi="Cambria Math" w:cs="宋体"/>
                <w:szCs w:val="21"/>
              </w:rPr>
              <m:t>n</m:t>
            </m:r>
            <m:ctrlPr>
              <w:rPr>
                <w:rFonts w:ascii="Cambria Math" w:hAnsi="Cambria Math" w:cs="宋体"/>
                <w:szCs w:val="21"/>
              </w:rPr>
            </m:ctrlPr>
          </m:sub>
        </m:sSub>
      </m:oMath>
      <w:r>
        <w:rPr>
          <w:rFonts w:hint="eastAsia" w:ascii="宋体" w:hAnsi="宋体" w:cs="宋体"/>
          <w:szCs w:val="21"/>
        </w:rPr>
        <w:t>——</w:t>
      </w:r>
      <w:r>
        <w:rPr>
          <w:rFonts w:ascii="宋体" w:hAnsi="宋体" w:cs="宋体"/>
          <w:szCs w:val="21"/>
        </w:rPr>
        <w:t>按公式（1）测得的锰元素质量分数，%；</w:t>
      </w:r>
      <w:r>
        <w:rPr>
          <w:rFonts w:hint="eastAsia" w:ascii="宋体" w:hAnsi="宋体" w:cs="宋体"/>
          <w:szCs w:val="21"/>
        </w:rPr>
        <w:t>；</w:t>
      </w:r>
    </w:p>
    <w:p>
      <w:pPr>
        <w:pStyle w:val="2"/>
        <w:spacing w:after="0"/>
        <w:ind w:left="0" w:leftChars="0" w:firstLine="420"/>
        <w:rPr>
          <w:rFonts w:hint="eastAsia" w:ascii="宋体" w:hAnsi="宋体" w:cs="宋体"/>
          <w:szCs w:val="21"/>
        </w:rPr>
      </w:pPr>
      <m:oMath>
        <m:sSub>
          <m:sSubPr>
            <m:ctrlPr>
              <w:rPr>
                <w:rFonts w:hint="eastAsia" w:ascii="Cambria Math" w:hAnsi="Cambria Math" w:cs="宋体"/>
                <w:szCs w:val="21"/>
              </w:rPr>
            </m:ctrlPr>
          </m:sSubPr>
          <m:e>
            <m:r>
              <m:rPr/>
              <w:rPr>
                <w:rFonts w:hint="eastAsia" w:ascii="Cambria Math" w:hAnsi="Cambria Math" w:cs="宋体"/>
                <w:szCs w:val="21"/>
              </w:rPr>
              <m:t>w</m:t>
            </m:r>
            <m:ctrlPr>
              <w:rPr>
                <w:rFonts w:hint="eastAsia" w:ascii="Cambria Math" w:hAnsi="Cambria Math" w:cs="宋体"/>
                <w:szCs w:val="21"/>
              </w:rPr>
            </m:ctrlPr>
          </m:e>
          <m:sub>
            <m:r>
              <m:rPr/>
              <w:rPr>
                <w:rFonts w:hint="eastAsia" w:ascii="Cambria Math" w:hAnsi="Cambria Math" w:cs="宋体"/>
                <w:szCs w:val="21"/>
              </w:rPr>
              <m:t>Fe</m:t>
            </m:r>
            <m:ctrlPr>
              <w:rPr>
                <w:rFonts w:hint="eastAsia" w:ascii="Cambria Math" w:hAnsi="Cambria Math" w:cs="宋体"/>
                <w:szCs w:val="21"/>
              </w:rPr>
            </m:ctrlPr>
          </m:sub>
        </m:sSub>
      </m:oMath>
      <w:r>
        <w:rPr>
          <w:rFonts w:hint="eastAsia" w:ascii="宋体" w:hAnsi="宋体" w:cs="宋体"/>
          <w:szCs w:val="21"/>
        </w:rPr>
        <w:t>——</w:t>
      </w:r>
      <w:r>
        <w:rPr>
          <w:rFonts w:ascii="宋体" w:hAnsi="宋体" w:cs="宋体"/>
          <w:szCs w:val="21"/>
        </w:rPr>
        <w:t>按公式（1）测得的铁元素质量分数，%</w:t>
      </w:r>
      <w:r>
        <w:rPr>
          <w:rFonts w:hint="eastAsia" w:ascii="宋体" w:hAnsi="宋体" w:cs="宋体"/>
          <w:szCs w:val="21"/>
        </w:rPr>
        <w:t>；</w:t>
      </w:r>
    </w:p>
    <w:p>
      <w:pPr>
        <w:pStyle w:val="2"/>
        <w:spacing w:after="0"/>
        <w:ind w:left="0" w:leftChars="0" w:firstLine="420"/>
        <w:rPr>
          <w:rFonts w:hint="eastAsia" w:ascii="宋体" w:hAnsi="宋体" w:cs="宋体"/>
          <w:szCs w:val="21"/>
        </w:rPr>
      </w:pPr>
      <w:r>
        <w:rPr>
          <w:rFonts w:hint="eastAsia" w:ascii="宋体" w:hAnsi="宋体" w:cs="宋体"/>
          <w:szCs w:val="21"/>
        </w:rPr>
        <w:t>54.938——锰的摩尔质量，单位为克每摩尔(g/mol)；</w:t>
      </w:r>
    </w:p>
    <w:p>
      <w:pPr>
        <w:pStyle w:val="2"/>
        <w:spacing w:after="0"/>
        <w:ind w:left="0" w:leftChars="0" w:firstLine="420"/>
        <w:rPr>
          <w:rFonts w:hint="eastAsia" w:ascii="宋体" w:hAnsi="宋体" w:cs="宋体"/>
          <w:szCs w:val="21"/>
        </w:rPr>
      </w:pPr>
      <w:r>
        <w:rPr>
          <w:rFonts w:hint="eastAsia" w:ascii="宋体" w:hAnsi="宋体" w:cs="宋体"/>
          <w:szCs w:val="21"/>
        </w:rPr>
        <w:t>55.845——铁的摩尔质量，单位为克每摩尔(g/mol)；</w:t>
      </w:r>
    </w:p>
    <w:p>
      <w:pPr>
        <w:pStyle w:val="2"/>
        <w:spacing w:after="0"/>
        <w:ind w:left="0" w:leftChars="0" w:firstLine="420"/>
        <w:rPr>
          <w:rFonts w:hint="eastAsia" w:ascii="宋体" w:hAnsi="宋体" w:cs="宋体"/>
          <w:szCs w:val="21"/>
        </w:rPr>
      </w:pPr>
      <w:r>
        <w:rPr>
          <w:rFonts w:hint="eastAsia" w:ascii="宋体" w:hAnsi="宋体" w:cs="宋体"/>
          <w:szCs w:val="21"/>
        </w:rPr>
        <w:t>计算结果表示到小数点后三位，按GB/T 8170的规定进行修约。</w:t>
      </w:r>
    </w:p>
    <w:p>
      <w:pPr>
        <w:pStyle w:val="2"/>
        <w:spacing w:after="0"/>
        <w:ind w:left="0" w:leftChars="0" w:firstLine="420"/>
        <w:rPr>
          <w:rFonts w:hint="eastAsia" w:ascii="宋体" w:hAnsi="宋体" w:cs="宋体"/>
          <w:szCs w:val="21"/>
        </w:rPr>
      </w:pPr>
    </w:p>
    <w:p>
      <w:pPr>
        <w:pStyle w:val="2"/>
        <w:spacing w:after="0"/>
        <w:ind w:left="0" w:leftChars="0" w:firstLine="420"/>
        <w:rPr>
          <w:rFonts w:hint="eastAsia" w:ascii="宋体" w:hAnsi="宋体" w:cs="宋体"/>
          <w:szCs w:val="21"/>
        </w:rPr>
      </w:pPr>
    </w:p>
    <w:p>
      <w:pPr>
        <w:pStyle w:val="2"/>
        <w:spacing w:after="0"/>
        <w:ind w:left="0" w:leftChars="0" w:firstLine="420"/>
        <w:rPr>
          <w:rFonts w:hint="eastAsia" w:ascii="宋体" w:hAnsi="宋体" w:cs="宋体"/>
          <w:szCs w:val="21"/>
        </w:rPr>
      </w:pPr>
    </w:p>
    <w:p>
      <w:pPr>
        <w:pStyle w:val="81"/>
        <w:spacing w:before="156" w:after="156"/>
        <w:rPr>
          <w:rFonts w:hint="eastAsia" w:ascii="黑体" w:hAnsi="黑体" w:eastAsia="黑体" w:cs="黑体"/>
          <w:sz w:val="21"/>
          <w:szCs w:val="21"/>
        </w:rPr>
      </w:pPr>
      <w:r>
        <w:rPr>
          <w:rFonts w:hint="eastAsia" w:ascii="Times New Roman"/>
          <w:b/>
          <w:szCs w:val="21"/>
        </w:rPr>
        <w:t>精密度</w:t>
      </w:r>
      <w:bookmarkStart w:id="17" w:name="_Hlk182324780"/>
    </w:p>
    <w:p>
      <w:pPr>
        <w:pStyle w:val="81"/>
        <w:numPr>
          <w:ilvl w:val="1"/>
          <w:numId w:val="0"/>
        </w:numPr>
        <w:spacing w:before="156" w:after="156"/>
        <w:ind w:leftChars="0"/>
        <w:rPr>
          <w:rFonts w:hint="eastAsia" w:ascii="黑体" w:hAnsi="黑体" w:eastAsia="黑体" w:cs="黑体"/>
          <w:sz w:val="21"/>
          <w:szCs w:val="21"/>
        </w:rPr>
      </w:pPr>
      <w:r>
        <w:rPr>
          <w:rFonts w:hint="eastAsia" w:ascii="黑体" w:hAnsi="黑体" w:eastAsia="黑体" w:cs="黑体"/>
          <w:sz w:val="21"/>
          <w:szCs w:val="21"/>
        </w:rPr>
        <w:t>10</w:t>
      </w:r>
      <w:r>
        <w:rPr>
          <w:rFonts w:ascii="黑体" w:hAnsi="黑体" w:eastAsia="黑体" w:cs="黑体"/>
          <w:sz w:val="21"/>
          <w:szCs w:val="21"/>
        </w:rPr>
        <w:t>.1 重复性</w:t>
      </w:r>
      <w:r>
        <w:rPr>
          <w:rFonts w:hint="eastAsia" w:ascii="黑体" w:hAnsi="黑体" w:eastAsia="黑体" w:cs="黑体"/>
          <w:sz w:val="21"/>
          <w:szCs w:val="21"/>
        </w:rPr>
        <w:t>限</w:t>
      </w:r>
    </w:p>
    <w:p>
      <w:pPr>
        <w:pStyle w:val="2"/>
        <w:spacing w:after="0" w:line="240" w:lineRule="auto"/>
        <w:ind w:left="0" w:leftChars="0" w:firstLine="420"/>
        <w:jc w:val="both"/>
        <w:rPr>
          <w:rFonts w:cs="Times New Roman"/>
          <w:sz w:val="21"/>
          <w:szCs w:val="21"/>
        </w:rPr>
      </w:pPr>
      <w:bookmarkStart w:id="18" w:name="_Hlk182324801"/>
      <w:r>
        <w:rPr>
          <w:rFonts w:hint="eastAsia" w:cs="Times New Roman"/>
          <w:sz w:val="21"/>
          <w:szCs w:val="21"/>
        </w:rPr>
        <w:t>在重复性条件下获得的两次独立测试结果的测定值，在表</w:t>
      </w:r>
      <w:r>
        <w:rPr>
          <w:rFonts w:hint="eastAsia" w:cs="Times New Roman"/>
          <w:sz w:val="21"/>
          <w:szCs w:val="21"/>
          <w:lang w:val="en-US" w:eastAsia="zh-CN"/>
        </w:rPr>
        <w:t>3</w:t>
      </w:r>
      <w:r>
        <w:rPr>
          <w:rFonts w:hint="eastAsia" w:cs="Times New Roman"/>
          <w:sz w:val="21"/>
          <w:szCs w:val="21"/>
        </w:rPr>
        <w:t>给出的平均值范围内，这两个测试结果的绝对差值不超过重复性限</w:t>
      </w:r>
      <w:r>
        <w:rPr>
          <w:rFonts w:cs="Times New Roman"/>
          <w:sz w:val="21"/>
          <w:szCs w:val="21"/>
        </w:rPr>
        <w:t>(</w:t>
      </w:r>
      <w:r>
        <w:rPr>
          <w:rFonts w:cs="Times New Roman"/>
          <w:i/>
          <w:iCs/>
          <w:sz w:val="21"/>
          <w:szCs w:val="21"/>
        </w:rPr>
        <w:t>r</w:t>
      </w:r>
      <w:r>
        <w:rPr>
          <w:rFonts w:cs="Times New Roman"/>
          <w:sz w:val="21"/>
          <w:szCs w:val="21"/>
        </w:rPr>
        <w:t>)</w:t>
      </w:r>
      <w:r>
        <w:rPr>
          <w:rFonts w:hint="eastAsia" w:cs="Times New Roman"/>
          <w:sz w:val="21"/>
          <w:szCs w:val="21"/>
        </w:rPr>
        <w:t>，超过重复性限</w:t>
      </w:r>
      <w:r>
        <w:rPr>
          <w:rFonts w:cs="Times New Roman"/>
          <w:sz w:val="21"/>
          <w:szCs w:val="21"/>
        </w:rPr>
        <w:t>(</w:t>
      </w:r>
      <w:r>
        <w:rPr>
          <w:rFonts w:cs="Times New Roman"/>
          <w:i/>
          <w:iCs/>
          <w:sz w:val="21"/>
          <w:szCs w:val="21"/>
        </w:rPr>
        <w:t>r</w:t>
      </w:r>
      <w:r>
        <w:rPr>
          <w:rFonts w:cs="Times New Roman"/>
          <w:sz w:val="21"/>
          <w:szCs w:val="21"/>
        </w:rPr>
        <w:t>)</w:t>
      </w:r>
      <w:r>
        <w:rPr>
          <w:rFonts w:hint="eastAsia" w:cs="Times New Roman"/>
          <w:sz w:val="21"/>
          <w:szCs w:val="21"/>
        </w:rPr>
        <w:t>的情况不超过</w:t>
      </w:r>
      <w:r>
        <w:rPr>
          <w:rFonts w:cs="Times New Roman"/>
          <w:sz w:val="21"/>
          <w:szCs w:val="21"/>
        </w:rPr>
        <w:t>5%</w:t>
      </w:r>
      <w:r>
        <w:rPr>
          <w:rFonts w:hint="eastAsia" w:cs="Times New Roman"/>
          <w:sz w:val="21"/>
          <w:szCs w:val="21"/>
        </w:rPr>
        <w:t>，重复性限</w:t>
      </w:r>
      <w:r>
        <w:rPr>
          <w:rFonts w:cs="Times New Roman"/>
          <w:sz w:val="21"/>
          <w:szCs w:val="21"/>
        </w:rPr>
        <w:t>(</w:t>
      </w:r>
      <w:r>
        <w:rPr>
          <w:rFonts w:cs="Times New Roman"/>
          <w:i/>
          <w:iCs/>
          <w:sz w:val="21"/>
          <w:szCs w:val="21"/>
        </w:rPr>
        <w:t>r</w:t>
      </w:r>
      <w:r>
        <w:rPr>
          <w:rFonts w:cs="Times New Roman"/>
          <w:sz w:val="21"/>
          <w:szCs w:val="21"/>
        </w:rPr>
        <w:t>)</w:t>
      </w:r>
      <w:r>
        <w:rPr>
          <w:rFonts w:hint="eastAsia" w:cs="Times New Roman"/>
          <w:sz w:val="21"/>
          <w:szCs w:val="21"/>
        </w:rPr>
        <w:t>按表4数据采用线性内插法或外延法求得。实验室间试验结果的统计数据参见附录A。</w:t>
      </w:r>
    </w:p>
    <w:bookmarkEnd w:id="18"/>
    <w:p>
      <w:pPr>
        <w:spacing w:before="326" w:beforeLines="100" w:after="326" w:afterLines="100" w:line="240" w:lineRule="auto"/>
        <w:ind w:firstLine="0" w:firstLineChars="0"/>
        <w:rPr>
          <w:rFonts w:hint="eastAsia" w:ascii="黑体" w:hAnsi="黑体" w:eastAsia="黑体" w:cs="黑体"/>
          <w:sz w:val="21"/>
          <w:szCs w:val="21"/>
        </w:rPr>
      </w:pPr>
      <w:r>
        <w:rPr>
          <w:rFonts w:hint="eastAsia" w:ascii="黑体" w:hAnsi="黑体" w:eastAsia="黑体" w:cs="黑体"/>
          <w:sz w:val="21"/>
          <w:szCs w:val="21"/>
        </w:rPr>
        <w:t>10.2</w:t>
      </w:r>
      <w:r>
        <w:rPr>
          <w:rFonts w:ascii="黑体" w:hAnsi="黑体" w:eastAsia="黑体" w:cs="黑体"/>
          <w:sz w:val="21"/>
          <w:szCs w:val="21"/>
        </w:rPr>
        <w:t xml:space="preserve"> </w:t>
      </w:r>
      <w:r>
        <w:rPr>
          <w:rFonts w:hint="eastAsia" w:ascii="黑体" w:hAnsi="黑体" w:eastAsia="黑体" w:cs="黑体"/>
          <w:sz w:val="21"/>
          <w:szCs w:val="21"/>
        </w:rPr>
        <w:t>再现性限</w:t>
      </w:r>
    </w:p>
    <w:p>
      <w:pPr>
        <w:pStyle w:val="2"/>
        <w:spacing w:after="0" w:line="240" w:lineRule="auto"/>
        <w:ind w:left="0" w:leftChars="0" w:firstLine="420"/>
        <w:jc w:val="both"/>
        <w:rPr>
          <w:rFonts w:cs="Times New Roman"/>
          <w:sz w:val="21"/>
          <w:szCs w:val="21"/>
        </w:rPr>
      </w:pPr>
      <w:r>
        <w:rPr>
          <w:rFonts w:hint="eastAsia" w:eastAsia="宋体" w:cs="Times New Roman"/>
          <w:sz w:val="21"/>
          <w:szCs w:val="21"/>
        </w:rPr>
        <w:t>在再现性条件下获得的两次独立测试结果的测定值，在表</w:t>
      </w:r>
      <w:r>
        <w:rPr>
          <w:rFonts w:hint="eastAsia" w:cs="Times New Roman"/>
          <w:sz w:val="21"/>
          <w:szCs w:val="21"/>
          <w:lang w:val="en-US" w:eastAsia="zh-CN"/>
        </w:rPr>
        <w:t>3</w:t>
      </w:r>
      <w:r>
        <w:rPr>
          <w:rFonts w:hint="eastAsia" w:eastAsia="宋体" w:cs="Times New Roman"/>
          <w:sz w:val="21"/>
          <w:szCs w:val="21"/>
        </w:rPr>
        <w:t>给出的平均值范围内，两个测试结果的绝对差值不超过再现性限(</w:t>
      </w:r>
      <w:r>
        <w:rPr>
          <w:rFonts w:hint="eastAsia" w:cs="Times New Roman"/>
          <w:i/>
          <w:iCs/>
          <w:sz w:val="21"/>
          <w:szCs w:val="21"/>
        </w:rPr>
        <w:t>R</w:t>
      </w:r>
      <w:r>
        <w:rPr>
          <w:rFonts w:hint="eastAsia" w:eastAsia="宋体" w:cs="Times New Roman"/>
          <w:sz w:val="21"/>
          <w:szCs w:val="21"/>
        </w:rPr>
        <w:t>)，超过再现性限(</w:t>
      </w:r>
      <w:r>
        <w:rPr>
          <w:rFonts w:hint="eastAsia" w:cs="Times New Roman"/>
          <w:i/>
          <w:iCs/>
          <w:sz w:val="21"/>
          <w:szCs w:val="21"/>
        </w:rPr>
        <w:t>R</w:t>
      </w:r>
      <w:r>
        <w:rPr>
          <w:rFonts w:hint="eastAsia" w:eastAsia="宋体" w:cs="Times New Roman"/>
          <w:sz w:val="21"/>
          <w:szCs w:val="21"/>
        </w:rPr>
        <w:t>)的情况不超过5%，</w:t>
      </w:r>
      <w:r>
        <w:rPr>
          <w:rFonts w:hint="eastAsia" w:cs="Times New Roman"/>
          <w:sz w:val="21"/>
          <w:szCs w:val="21"/>
        </w:rPr>
        <w:t>再现性限</w:t>
      </w:r>
      <w:r>
        <w:rPr>
          <w:rFonts w:cs="Times New Roman"/>
          <w:sz w:val="21"/>
          <w:szCs w:val="21"/>
        </w:rPr>
        <w:t>(</w:t>
      </w:r>
      <w:r>
        <w:rPr>
          <w:rFonts w:hint="eastAsia" w:cs="Times New Roman"/>
          <w:i/>
          <w:iCs/>
          <w:sz w:val="21"/>
          <w:szCs w:val="21"/>
        </w:rPr>
        <w:t>R</w:t>
      </w:r>
      <w:r>
        <w:rPr>
          <w:rFonts w:cs="Times New Roman"/>
          <w:sz w:val="21"/>
          <w:szCs w:val="21"/>
        </w:rPr>
        <w:t>)</w:t>
      </w:r>
      <w:r>
        <w:rPr>
          <w:rFonts w:hint="eastAsia" w:cs="Times New Roman"/>
          <w:sz w:val="21"/>
          <w:szCs w:val="21"/>
        </w:rPr>
        <w:t>按表4数据采用线性内插法或外延法求得。实验室间试验结果的统计数据参见附录A。</w:t>
      </w:r>
    </w:p>
    <w:bookmarkEnd w:id="17"/>
    <w:p>
      <w:pPr>
        <w:pStyle w:val="2"/>
        <w:spacing w:after="0"/>
        <w:ind w:left="0" w:leftChars="0" w:firstLine="0" w:firstLineChars="0"/>
        <w:rPr>
          <w:szCs w:val="21"/>
        </w:rPr>
      </w:pPr>
      <w:bookmarkStart w:id="19" w:name="_Hlk182324853"/>
    </w:p>
    <w:p>
      <w:pPr>
        <w:pStyle w:val="2"/>
        <w:spacing w:after="0"/>
        <w:ind w:left="0" w:leftChars="0" w:firstLine="3584" w:firstLineChars="1700"/>
        <w:rPr>
          <w:b/>
          <w:bCs/>
          <w:szCs w:val="21"/>
        </w:rPr>
      </w:pPr>
      <w:r>
        <w:rPr>
          <w:rFonts w:hint="eastAsia"/>
          <w:b/>
          <w:bCs/>
          <w:szCs w:val="21"/>
        </w:rPr>
        <w:t>表</w:t>
      </w:r>
      <w:r>
        <w:rPr>
          <w:rFonts w:hint="eastAsia"/>
          <w:b/>
          <w:bCs/>
          <w:szCs w:val="21"/>
          <w:lang w:val="en-US" w:eastAsia="zh-CN"/>
        </w:rPr>
        <w:t>3</w:t>
      </w:r>
      <w:r>
        <w:rPr>
          <w:b/>
          <w:bCs/>
          <w:szCs w:val="21"/>
        </w:rPr>
        <w:t xml:space="preserve"> 重复性限</w:t>
      </w:r>
      <w:r>
        <w:rPr>
          <w:rFonts w:hint="eastAsia"/>
          <w:b/>
          <w:bCs/>
          <w:szCs w:val="21"/>
        </w:rPr>
        <w:t>和再现性限</w:t>
      </w:r>
    </w:p>
    <w:bookmarkEnd w:id="19"/>
    <w:tbl>
      <w:tblPr>
        <w:tblStyle w:val="35"/>
        <w:tblW w:w="98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6"/>
        <w:gridCol w:w="1584"/>
        <w:gridCol w:w="1685"/>
        <w:gridCol w:w="1655"/>
        <w:gridCol w:w="1779"/>
        <w:gridCol w:w="1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616" w:type="dxa"/>
            <w:vAlign w:val="center"/>
          </w:tcPr>
          <w:p>
            <w:pPr>
              <w:pStyle w:val="54"/>
              <w:widowControl w:val="0"/>
              <w:tabs>
                <w:tab w:val="center" w:pos="4201"/>
                <w:tab w:val="right" w:leader="dot" w:pos="9298"/>
              </w:tabs>
              <w:snapToGrid w:val="0"/>
              <w:ind w:firstLine="0" w:firstLineChars="0"/>
              <w:jc w:val="center"/>
              <w:rPr>
                <w:rFonts w:ascii="Times New Roman"/>
                <w:sz w:val="18"/>
                <w:szCs w:val="18"/>
              </w:rPr>
            </w:pPr>
            <w:bookmarkStart w:id="20" w:name="OLE_LINK10"/>
            <w:r>
              <w:rPr>
                <w:rFonts w:ascii="Times New Roman"/>
                <w:sz w:val="18"/>
                <w:szCs w:val="18"/>
              </w:rPr>
              <w:t>水平数</w:t>
            </w:r>
          </w:p>
        </w:tc>
        <w:tc>
          <w:tcPr>
            <w:tcW w:w="1584" w:type="dxa"/>
            <w:vAlign w:val="center"/>
          </w:tcPr>
          <w:p>
            <w:pPr>
              <w:snapToGrid w:val="0"/>
              <w:jc w:val="center"/>
              <w:rPr>
                <w:bCs/>
                <w:sz w:val="18"/>
                <w:szCs w:val="18"/>
              </w:rPr>
            </w:pPr>
            <w:r>
              <w:rPr>
                <w:bCs/>
                <w:sz w:val="18"/>
                <w:szCs w:val="18"/>
              </w:rPr>
              <w:t>1</w:t>
            </w:r>
          </w:p>
        </w:tc>
        <w:tc>
          <w:tcPr>
            <w:tcW w:w="1685" w:type="dxa"/>
            <w:vAlign w:val="center"/>
          </w:tcPr>
          <w:p>
            <w:pPr>
              <w:snapToGrid w:val="0"/>
              <w:jc w:val="center"/>
              <w:rPr>
                <w:bCs/>
                <w:sz w:val="18"/>
                <w:szCs w:val="18"/>
              </w:rPr>
            </w:pPr>
            <w:r>
              <w:rPr>
                <w:bCs/>
                <w:sz w:val="18"/>
                <w:szCs w:val="18"/>
              </w:rPr>
              <w:t>2</w:t>
            </w:r>
          </w:p>
        </w:tc>
        <w:tc>
          <w:tcPr>
            <w:tcW w:w="1655" w:type="dxa"/>
            <w:vAlign w:val="center"/>
          </w:tcPr>
          <w:p>
            <w:pPr>
              <w:snapToGrid w:val="0"/>
              <w:jc w:val="center"/>
              <w:rPr>
                <w:bCs/>
                <w:sz w:val="18"/>
                <w:szCs w:val="18"/>
              </w:rPr>
            </w:pPr>
            <w:r>
              <w:rPr>
                <w:bCs/>
                <w:sz w:val="18"/>
                <w:szCs w:val="18"/>
              </w:rPr>
              <w:t>3</w:t>
            </w:r>
          </w:p>
        </w:tc>
        <w:tc>
          <w:tcPr>
            <w:tcW w:w="1779" w:type="dxa"/>
            <w:vAlign w:val="center"/>
          </w:tcPr>
          <w:p>
            <w:pPr>
              <w:snapToGrid w:val="0"/>
              <w:jc w:val="center"/>
              <w:rPr>
                <w:bCs/>
                <w:sz w:val="18"/>
                <w:szCs w:val="18"/>
              </w:rPr>
            </w:pPr>
            <w:r>
              <w:rPr>
                <w:bCs/>
                <w:sz w:val="18"/>
                <w:szCs w:val="18"/>
              </w:rPr>
              <w:t>4</w:t>
            </w:r>
          </w:p>
        </w:tc>
        <w:tc>
          <w:tcPr>
            <w:tcW w:w="1577" w:type="dxa"/>
            <w:vAlign w:val="center"/>
          </w:tcPr>
          <w:p>
            <w:pPr>
              <w:snapToGrid w:val="0"/>
              <w:jc w:val="center"/>
              <w:rPr>
                <w:bCs/>
                <w:sz w:val="18"/>
                <w:szCs w:val="18"/>
              </w:rPr>
            </w:pPr>
            <w:r>
              <w:rPr>
                <w:bCs/>
                <w:sz w:val="18"/>
                <w:szCs w:val="1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616" w:type="dxa"/>
            <w:vAlign w:val="center"/>
          </w:tcPr>
          <w:p>
            <w:pPr>
              <w:pStyle w:val="54"/>
              <w:widowControl w:val="0"/>
              <w:tabs>
                <w:tab w:val="center" w:pos="4201"/>
                <w:tab w:val="right" w:leader="dot" w:pos="9298"/>
              </w:tabs>
              <w:snapToGrid w:val="0"/>
              <w:ind w:firstLine="0" w:firstLineChars="0"/>
              <w:jc w:val="center"/>
              <w:rPr>
                <w:rFonts w:ascii="Times New Roman"/>
                <w:iCs/>
                <w:sz w:val="18"/>
                <w:szCs w:val="18"/>
              </w:rPr>
            </w:pPr>
            <w:r>
              <w:rPr>
                <w:rFonts w:ascii="Times New Roman"/>
                <w:i/>
                <w:sz w:val="18"/>
                <w:szCs w:val="18"/>
              </w:rPr>
              <w:t>w</w:t>
            </w:r>
            <w:r>
              <w:rPr>
                <w:rFonts w:hint="eastAsia" w:ascii="Times New Roman"/>
                <w:sz w:val="15"/>
                <w:szCs w:val="15"/>
                <w:vertAlign w:val="subscript"/>
              </w:rPr>
              <w:t>Mn/</w:t>
            </w:r>
            <w:r>
              <w:rPr>
                <w:rFonts w:ascii="Times New Roman"/>
                <w:sz w:val="18"/>
                <w:szCs w:val="18"/>
              </w:rPr>
              <w:t>%</w:t>
            </w:r>
          </w:p>
        </w:tc>
        <w:tc>
          <w:tcPr>
            <w:tcW w:w="1584" w:type="dxa"/>
            <w:vAlign w:val="center"/>
          </w:tcPr>
          <w:p>
            <w:pPr>
              <w:pStyle w:val="54"/>
              <w:widowControl w:val="0"/>
              <w:tabs>
                <w:tab w:val="center" w:pos="4201"/>
                <w:tab w:val="right" w:leader="dot" w:pos="9298"/>
              </w:tabs>
              <w:snapToGrid w:val="0"/>
              <w:ind w:firstLine="0" w:firstLineChars="0"/>
              <w:jc w:val="center"/>
              <w:rPr>
                <w:rFonts w:ascii="Times New Roman"/>
                <w:i/>
                <w:sz w:val="18"/>
                <w:szCs w:val="18"/>
              </w:rPr>
            </w:pPr>
          </w:p>
        </w:tc>
        <w:tc>
          <w:tcPr>
            <w:tcW w:w="1685" w:type="dxa"/>
            <w:vAlign w:val="center"/>
          </w:tcPr>
          <w:p>
            <w:pPr>
              <w:snapToGrid w:val="0"/>
              <w:jc w:val="center"/>
              <w:rPr>
                <w:bCs/>
                <w:sz w:val="18"/>
                <w:szCs w:val="18"/>
              </w:rPr>
            </w:pPr>
          </w:p>
        </w:tc>
        <w:tc>
          <w:tcPr>
            <w:tcW w:w="1655"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c>
          <w:tcPr>
            <w:tcW w:w="1779"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c>
          <w:tcPr>
            <w:tcW w:w="1577"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616" w:type="dxa"/>
            <w:vAlign w:val="center"/>
          </w:tcPr>
          <w:p>
            <w:pPr>
              <w:pStyle w:val="54"/>
              <w:widowControl w:val="0"/>
              <w:tabs>
                <w:tab w:val="center" w:pos="4201"/>
                <w:tab w:val="right" w:leader="dot" w:pos="9298"/>
              </w:tabs>
              <w:snapToGrid w:val="0"/>
              <w:ind w:firstLine="0" w:firstLineChars="0"/>
              <w:jc w:val="center"/>
              <w:rPr>
                <w:rFonts w:ascii="Times New Roman"/>
                <w:i/>
                <w:sz w:val="18"/>
                <w:szCs w:val="18"/>
              </w:rPr>
            </w:pPr>
            <w:r>
              <w:rPr>
                <w:rFonts w:ascii="Times New Roman"/>
                <w:i/>
                <w:sz w:val="18"/>
                <w:szCs w:val="18"/>
              </w:rPr>
              <w:t>r/</w:t>
            </w:r>
            <w:r>
              <w:rPr>
                <w:rFonts w:ascii="Times New Roman"/>
                <w:sz w:val="18"/>
                <w:szCs w:val="18"/>
              </w:rPr>
              <w:t>%</w:t>
            </w:r>
          </w:p>
        </w:tc>
        <w:tc>
          <w:tcPr>
            <w:tcW w:w="1584" w:type="dxa"/>
            <w:vAlign w:val="center"/>
          </w:tcPr>
          <w:p>
            <w:pPr>
              <w:pStyle w:val="54"/>
              <w:widowControl w:val="0"/>
              <w:tabs>
                <w:tab w:val="center" w:pos="4201"/>
                <w:tab w:val="right" w:leader="dot" w:pos="9298"/>
              </w:tabs>
              <w:snapToGrid w:val="0"/>
              <w:ind w:firstLine="0" w:firstLineChars="0"/>
              <w:jc w:val="center"/>
              <w:rPr>
                <w:rFonts w:ascii="Times New Roman"/>
                <w:sz w:val="18"/>
                <w:szCs w:val="18"/>
              </w:rPr>
            </w:pPr>
          </w:p>
        </w:tc>
        <w:tc>
          <w:tcPr>
            <w:tcW w:w="1685" w:type="dxa"/>
            <w:vAlign w:val="center"/>
          </w:tcPr>
          <w:p>
            <w:pPr>
              <w:snapToGrid w:val="0"/>
              <w:jc w:val="center"/>
              <w:rPr>
                <w:bCs/>
                <w:sz w:val="18"/>
                <w:szCs w:val="18"/>
              </w:rPr>
            </w:pPr>
          </w:p>
        </w:tc>
        <w:tc>
          <w:tcPr>
            <w:tcW w:w="1655"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c>
          <w:tcPr>
            <w:tcW w:w="1779"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c>
          <w:tcPr>
            <w:tcW w:w="1577"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616" w:type="dxa"/>
            <w:vAlign w:val="center"/>
          </w:tcPr>
          <w:p>
            <w:pPr>
              <w:pStyle w:val="54"/>
              <w:widowControl w:val="0"/>
              <w:tabs>
                <w:tab w:val="center" w:pos="4201"/>
                <w:tab w:val="right" w:leader="dot" w:pos="9298"/>
              </w:tabs>
              <w:snapToGrid w:val="0"/>
              <w:ind w:firstLine="0" w:firstLineChars="0"/>
              <w:jc w:val="center"/>
              <w:rPr>
                <w:rFonts w:ascii="Times New Roman"/>
                <w:i/>
                <w:sz w:val="18"/>
                <w:szCs w:val="18"/>
              </w:rPr>
            </w:pPr>
            <w:r>
              <w:rPr>
                <w:rFonts w:ascii="Times New Roman"/>
                <w:i/>
                <w:sz w:val="18"/>
                <w:szCs w:val="18"/>
              </w:rPr>
              <w:t>R /</w:t>
            </w:r>
            <w:r>
              <w:rPr>
                <w:rFonts w:ascii="Times New Roman"/>
                <w:sz w:val="18"/>
                <w:szCs w:val="18"/>
              </w:rPr>
              <w:t>%</w:t>
            </w:r>
          </w:p>
        </w:tc>
        <w:tc>
          <w:tcPr>
            <w:tcW w:w="1584" w:type="dxa"/>
            <w:vAlign w:val="center"/>
          </w:tcPr>
          <w:p>
            <w:pPr>
              <w:pStyle w:val="54"/>
              <w:widowControl w:val="0"/>
              <w:tabs>
                <w:tab w:val="center" w:pos="4201"/>
                <w:tab w:val="right" w:leader="dot" w:pos="9298"/>
              </w:tabs>
              <w:snapToGrid w:val="0"/>
              <w:ind w:firstLine="0" w:firstLineChars="0"/>
              <w:jc w:val="center"/>
              <w:rPr>
                <w:rFonts w:ascii="Times New Roman"/>
                <w:sz w:val="18"/>
                <w:szCs w:val="18"/>
              </w:rPr>
            </w:pPr>
          </w:p>
        </w:tc>
        <w:tc>
          <w:tcPr>
            <w:tcW w:w="1685" w:type="dxa"/>
            <w:vAlign w:val="center"/>
          </w:tcPr>
          <w:p>
            <w:pPr>
              <w:snapToGrid w:val="0"/>
              <w:jc w:val="center"/>
              <w:rPr>
                <w:bCs/>
                <w:sz w:val="18"/>
                <w:szCs w:val="18"/>
              </w:rPr>
            </w:pPr>
          </w:p>
        </w:tc>
        <w:tc>
          <w:tcPr>
            <w:tcW w:w="1655"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c>
          <w:tcPr>
            <w:tcW w:w="1779"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c>
          <w:tcPr>
            <w:tcW w:w="1577"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616" w:type="dxa"/>
            <w:vAlign w:val="center"/>
          </w:tcPr>
          <w:p>
            <w:pPr>
              <w:pStyle w:val="54"/>
              <w:widowControl w:val="0"/>
              <w:tabs>
                <w:tab w:val="center" w:pos="4201"/>
                <w:tab w:val="right" w:leader="dot" w:pos="9298"/>
              </w:tabs>
              <w:snapToGrid w:val="0"/>
              <w:ind w:firstLine="0" w:firstLineChars="0"/>
              <w:jc w:val="center"/>
              <w:rPr>
                <w:rFonts w:ascii="Times New Roman"/>
                <w:i/>
                <w:sz w:val="18"/>
                <w:szCs w:val="18"/>
              </w:rPr>
            </w:pPr>
            <w:r>
              <w:rPr>
                <w:rFonts w:ascii="Times New Roman"/>
                <w:i/>
                <w:sz w:val="18"/>
                <w:szCs w:val="18"/>
              </w:rPr>
              <w:t>w</w:t>
            </w:r>
            <w:r>
              <w:rPr>
                <w:rFonts w:hint="eastAsia" w:ascii="Times New Roman"/>
                <w:sz w:val="15"/>
                <w:szCs w:val="15"/>
                <w:vertAlign w:val="subscript"/>
              </w:rPr>
              <w:t>Fe/</w:t>
            </w:r>
            <w:r>
              <w:rPr>
                <w:rFonts w:ascii="Times New Roman"/>
                <w:sz w:val="18"/>
                <w:szCs w:val="18"/>
              </w:rPr>
              <w:t>%</w:t>
            </w:r>
          </w:p>
        </w:tc>
        <w:tc>
          <w:tcPr>
            <w:tcW w:w="1584" w:type="dxa"/>
            <w:vAlign w:val="center"/>
          </w:tcPr>
          <w:p>
            <w:pPr>
              <w:pStyle w:val="54"/>
              <w:widowControl w:val="0"/>
              <w:tabs>
                <w:tab w:val="center" w:pos="4201"/>
                <w:tab w:val="right" w:leader="dot" w:pos="9298"/>
              </w:tabs>
              <w:snapToGrid w:val="0"/>
              <w:ind w:firstLine="0" w:firstLineChars="0"/>
              <w:jc w:val="center"/>
              <w:rPr>
                <w:rFonts w:ascii="Times New Roman"/>
                <w:sz w:val="18"/>
                <w:szCs w:val="18"/>
              </w:rPr>
            </w:pPr>
          </w:p>
        </w:tc>
        <w:tc>
          <w:tcPr>
            <w:tcW w:w="1685" w:type="dxa"/>
            <w:vAlign w:val="center"/>
          </w:tcPr>
          <w:p>
            <w:pPr>
              <w:snapToGrid w:val="0"/>
              <w:jc w:val="center"/>
              <w:rPr>
                <w:bCs/>
                <w:sz w:val="18"/>
                <w:szCs w:val="18"/>
              </w:rPr>
            </w:pPr>
          </w:p>
        </w:tc>
        <w:tc>
          <w:tcPr>
            <w:tcW w:w="1655"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c>
          <w:tcPr>
            <w:tcW w:w="1779"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c>
          <w:tcPr>
            <w:tcW w:w="1577"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616" w:type="dxa"/>
            <w:vAlign w:val="center"/>
          </w:tcPr>
          <w:p>
            <w:pPr>
              <w:pStyle w:val="54"/>
              <w:widowControl w:val="0"/>
              <w:tabs>
                <w:tab w:val="center" w:pos="4201"/>
                <w:tab w:val="right" w:leader="dot" w:pos="9298"/>
              </w:tabs>
              <w:snapToGrid w:val="0"/>
              <w:ind w:firstLine="0" w:firstLineChars="0"/>
              <w:jc w:val="center"/>
              <w:rPr>
                <w:rFonts w:ascii="Times New Roman"/>
                <w:i/>
                <w:sz w:val="18"/>
                <w:szCs w:val="18"/>
              </w:rPr>
            </w:pPr>
            <w:r>
              <w:rPr>
                <w:rFonts w:ascii="Times New Roman"/>
                <w:i/>
                <w:sz w:val="18"/>
                <w:szCs w:val="18"/>
              </w:rPr>
              <w:t>r/</w:t>
            </w:r>
            <w:r>
              <w:rPr>
                <w:rFonts w:ascii="Times New Roman"/>
                <w:sz w:val="18"/>
                <w:szCs w:val="18"/>
              </w:rPr>
              <w:t>%</w:t>
            </w:r>
          </w:p>
        </w:tc>
        <w:tc>
          <w:tcPr>
            <w:tcW w:w="1584" w:type="dxa"/>
            <w:vAlign w:val="center"/>
          </w:tcPr>
          <w:p>
            <w:pPr>
              <w:pStyle w:val="54"/>
              <w:widowControl w:val="0"/>
              <w:tabs>
                <w:tab w:val="center" w:pos="4201"/>
                <w:tab w:val="right" w:leader="dot" w:pos="9298"/>
              </w:tabs>
              <w:snapToGrid w:val="0"/>
              <w:ind w:firstLine="0" w:firstLineChars="0"/>
              <w:jc w:val="center"/>
              <w:rPr>
                <w:rFonts w:ascii="Times New Roman"/>
                <w:sz w:val="18"/>
                <w:szCs w:val="18"/>
              </w:rPr>
            </w:pPr>
          </w:p>
        </w:tc>
        <w:tc>
          <w:tcPr>
            <w:tcW w:w="1685" w:type="dxa"/>
            <w:vAlign w:val="center"/>
          </w:tcPr>
          <w:p>
            <w:pPr>
              <w:snapToGrid w:val="0"/>
              <w:jc w:val="center"/>
              <w:rPr>
                <w:bCs/>
                <w:sz w:val="18"/>
                <w:szCs w:val="18"/>
              </w:rPr>
            </w:pPr>
          </w:p>
        </w:tc>
        <w:tc>
          <w:tcPr>
            <w:tcW w:w="1655"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c>
          <w:tcPr>
            <w:tcW w:w="1779"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c>
          <w:tcPr>
            <w:tcW w:w="1577"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616" w:type="dxa"/>
            <w:vAlign w:val="center"/>
          </w:tcPr>
          <w:p>
            <w:pPr>
              <w:pStyle w:val="54"/>
              <w:widowControl w:val="0"/>
              <w:tabs>
                <w:tab w:val="center" w:pos="4201"/>
                <w:tab w:val="right" w:leader="dot" w:pos="9298"/>
              </w:tabs>
              <w:snapToGrid w:val="0"/>
              <w:ind w:firstLine="0" w:firstLineChars="0"/>
              <w:jc w:val="center"/>
              <w:rPr>
                <w:rFonts w:ascii="Times New Roman"/>
                <w:i/>
                <w:sz w:val="18"/>
                <w:szCs w:val="18"/>
              </w:rPr>
            </w:pPr>
            <w:r>
              <w:rPr>
                <w:rFonts w:ascii="Times New Roman"/>
                <w:i/>
                <w:sz w:val="18"/>
                <w:szCs w:val="18"/>
              </w:rPr>
              <w:t>R /</w:t>
            </w:r>
            <w:r>
              <w:rPr>
                <w:rFonts w:ascii="Times New Roman"/>
                <w:sz w:val="18"/>
                <w:szCs w:val="18"/>
              </w:rPr>
              <w:t>%</w:t>
            </w:r>
          </w:p>
        </w:tc>
        <w:tc>
          <w:tcPr>
            <w:tcW w:w="1584" w:type="dxa"/>
            <w:vAlign w:val="center"/>
          </w:tcPr>
          <w:p>
            <w:pPr>
              <w:pStyle w:val="54"/>
              <w:widowControl w:val="0"/>
              <w:tabs>
                <w:tab w:val="center" w:pos="4201"/>
                <w:tab w:val="right" w:leader="dot" w:pos="9298"/>
              </w:tabs>
              <w:snapToGrid w:val="0"/>
              <w:ind w:firstLine="0" w:firstLineChars="0"/>
              <w:jc w:val="center"/>
              <w:rPr>
                <w:rFonts w:ascii="Times New Roman"/>
                <w:sz w:val="18"/>
                <w:szCs w:val="18"/>
              </w:rPr>
            </w:pPr>
          </w:p>
        </w:tc>
        <w:tc>
          <w:tcPr>
            <w:tcW w:w="1685" w:type="dxa"/>
            <w:vAlign w:val="center"/>
          </w:tcPr>
          <w:p>
            <w:pPr>
              <w:snapToGrid w:val="0"/>
              <w:jc w:val="center"/>
              <w:rPr>
                <w:bCs/>
                <w:sz w:val="18"/>
                <w:szCs w:val="18"/>
              </w:rPr>
            </w:pPr>
          </w:p>
        </w:tc>
        <w:tc>
          <w:tcPr>
            <w:tcW w:w="1655"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c>
          <w:tcPr>
            <w:tcW w:w="1779"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c>
          <w:tcPr>
            <w:tcW w:w="1577" w:type="dxa"/>
            <w:vAlign w:val="center"/>
          </w:tcPr>
          <w:p>
            <w:pPr>
              <w:pStyle w:val="54"/>
              <w:widowControl w:val="0"/>
              <w:tabs>
                <w:tab w:val="center" w:pos="4201"/>
                <w:tab w:val="right" w:leader="dot" w:pos="9298"/>
              </w:tabs>
              <w:ind w:firstLine="0" w:firstLineChars="0"/>
              <w:jc w:val="center"/>
              <w:rPr>
                <w:rFonts w:ascii="Times New Roman"/>
                <w:bCs/>
                <w:sz w:val="18"/>
                <w:szCs w:val="18"/>
              </w:rPr>
            </w:pPr>
          </w:p>
        </w:tc>
      </w:tr>
      <w:bookmarkEnd w:id="20"/>
    </w:tbl>
    <w:p>
      <w:pPr>
        <w:pStyle w:val="2"/>
        <w:ind w:left="0" w:leftChars="0"/>
        <w:rPr>
          <w:sz w:val="24"/>
        </w:rPr>
      </w:pPr>
    </w:p>
    <w:p>
      <w:pPr>
        <w:pStyle w:val="2"/>
        <w:rPr>
          <w:sz w:val="24"/>
        </w:rPr>
      </w:pPr>
    </w:p>
    <w:p>
      <w:pPr>
        <w:pStyle w:val="81"/>
        <w:numPr>
          <w:ilvl w:val="1"/>
          <w:numId w:val="0"/>
        </w:numPr>
        <w:spacing w:before="156" w:after="156"/>
        <w:rPr>
          <w:rFonts w:hint="eastAsia" w:hAnsi="黑体" w:cs="黑体"/>
          <w:b/>
          <w:szCs w:val="21"/>
        </w:rPr>
      </w:pPr>
      <w:bookmarkStart w:id="21" w:name="_Toc55210707"/>
      <w:bookmarkStart w:id="22" w:name="_Toc65050658"/>
      <w:r>
        <w:rPr>
          <w:rFonts w:hint="eastAsia" w:hAnsi="黑体" w:cs="黑体"/>
          <w:b/>
          <w:szCs w:val="21"/>
        </w:rPr>
        <w:t xml:space="preserve">11  </w:t>
      </w:r>
      <w:bookmarkEnd w:id="21"/>
      <w:bookmarkEnd w:id="22"/>
      <w:r>
        <w:rPr>
          <w:rFonts w:hint="eastAsia" w:hAnsi="黑体" w:cs="黑体"/>
          <w:b/>
          <w:szCs w:val="21"/>
        </w:rPr>
        <w:t>试验报告</w:t>
      </w:r>
    </w:p>
    <w:p>
      <w:pPr>
        <w:pStyle w:val="54"/>
        <w:ind w:firstLine="420"/>
        <w:rPr>
          <w:rFonts w:ascii="Times New Roman"/>
        </w:rPr>
      </w:pPr>
      <w:r>
        <w:rPr>
          <w:rFonts w:hint="eastAsia" w:ascii="Times New Roman"/>
        </w:rPr>
        <w:t>试验</w:t>
      </w:r>
      <w:r>
        <w:rPr>
          <w:rFonts w:ascii="Times New Roman"/>
        </w:rPr>
        <w:t>报告应包括以下内容：</w:t>
      </w:r>
    </w:p>
    <w:p>
      <w:pPr>
        <w:pStyle w:val="54"/>
        <w:numPr>
          <w:ilvl w:val="0"/>
          <w:numId w:val="11"/>
        </w:numPr>
        <w:ind w:firstLineChars="0"/>
        <w:rPr>
          <w:rFonts w:ascii="Times New Roman"/>
        </w:rPr>
      </w:pPr>
      <w:r>
        <w:rPr>
          <w:rFonts w:ascii="Times New Roman"/>
        </w:rPr>
        <w:t>样品名称及批次；</w:t>
      </w:r>
    </w:p>
    <w:p>
      <w:pPr>
        <w:pStyle w:val="54"/>
        <w:numPr>
          <w:ilvl w:val="0"/>
          <w:numId w:val="11"/>
        </w:numPr>
        <w:ind w:firstLineChars="0"/>
        <w:rPr>
          <w:rFonts w:ascii="Times New Roman"/>
        </w:rPr>
      </w:pPr>
      <w:r>
        <w:rPr>
          <w:rFonts w:ascii="Times New Roman"/>
        </w:rPr>
        <w:t>检测结果；</w:t>
      </w:r>
    </w:p>
    <w:p>
      <w:pPr>
        <w:pStyle w:val="54"/>
        <w:numPr>
          <w:ilvl w:val="0"/>
          <w:numId w:val="11"/>
        </w:numPr>
        <w:ind w:firstLineChars="0"/>
        <w:rPr>
          <w:rFonts w:ascii="Times New Roman"/>
        </w:rPr>
      </w:pPr>
      <w:r>
        <w:rPr>
          <w:rFonts w:ascii="Times New Roman"/>
        </w:rPr>
        <w:t>检测日期；</w:t>
      </w:r>
    </w:p>
    <w:p>
      <w:pPr>
        <w:pStyle w:val="54"/>
        <w:numPr>
          <w:ilvl w:val="0"/>
          <w:numId w:val="11"/>
        </w:numPr>
        <w:ind w:firstLineChars="0"/>
        <w:rPr>
          <w:rFonts w:ascii="Times New Roman"/>
        </w:rPr>
      </w:pPr>
      <w:r>
        <w:rPr>
          <w:rFonts w:ascii="Times New Roman"/>
        </w:rPr>
        <w:t>本</w:t>
      </w:r>
      <w:r>
        <w:rPr>
          <w:rFonts w:hint="eastAsia" w:ascii="Times New Roman"/>
        </w:rPr>
        <w:t>文件</w:t>
      </w:r>
      <w:r>
        <w:rPr>
          <w:rFonts w:ascii="Times New Roman"/>
        </w:rPr>
        <w:t>没有规定的或认为可以自定的各种操作；</w:t>
      </w:r>
    </w:p>
    <w:p>
      <w:pPr>
        <w:pStyle w:val="54"/>
        <w:numPr>
          <w:ilvl w:val="0"/>
          <w:numId w:val="11"/>
        </w:numPr>
        <w:ind w:firstLineChars="0"/>
        <w:rPr>
          <w:rFonts w:ascii="Times New Roman"/>
        </w:rPr>
      </w:pPr>
      <w:r>
        <w:rPr>
          <w:rFonts w:ascii="Times New Roman"/>
        </w:rPr>
        <w:t>可能影响检测结果的情况；</w:t>
      </w:r>
    </w:p>
    <w:p>
      <w:pPr>
        <w:pStyle w:val="54"/>
        <w:numPr>
          <w:ilvl w:val="0"/>
          <w:numId w:val="11"/>
        </w:numPr>
        <w:ind w:firstLineChars="0"/>
        <w:rPr>
          <w:rFonts w:ascii="Times New Roman"/>
        </w:rPr>
      </w:pPr>
      <w:r>
        <w:rPr>
          <w:rFonts w:ascii="Times New Roman"/>
        </w:rPr>
        <w:t>本</w:t>
      </w:r>
      <w:r>
        <w:rPr>
          <w:rFonts w:hint="eastAsia" w:ascii="Times New Roman"/>
        </w:rPr>
        <w:t>文件</w:t>
      </w:r>
      <w:r>
        <w:rPr>
          <w:rFonts w:ascii="Times New Roman"/>
        </w:rPr>
        <w:t>编号。</w:t>
      </w:r>
    </w:p>
    <w:p/>
    <w:p/>
    <w:p>
      <w:r>
        <w:rPr>
          <w:sz w:val="20"/>
        </w:rPr>
        <mc:AlternateContent>
          <mc:Choice Requires="wps">
            <w:drawing>
              <wp:anchor distT="0" distB="0" distL="114300" distR="114300" simplePos="0" relativeHeight="251671552" behindDoc="0" locked="0" layoutInCell="1" allowOverlap="1">
                <wp:simplePos x="0" y="0"/>
                <wp:positionH relativeFrom="column">
                  <wp:posOffset>2209800</wp:posOffset>
                </wp:positionH>
                <wp:positionV relativeFrom="paragraph">
                  <wp:posOffset>208280</wp:posOffset>
                </wp:positionV>
                <wp:extent cx="1524000" cy="635"/>
                <wp:effectExtent l="0" t="0" r="0" b="0"/>
                <wp:wrapNone/>
                <wp:docPr id="1" name="直线 16"/>
                <wp:cNvGraphicFramePr/>
                <a:graphic xmlns:a="http://schemas.openxmlformats.org/drawingml/2006/main">
                  <a:graphicData uri="http://schemas.microsoft.com/office/word/2010/wordprocessingShape">
                    <wps:wsp>
                      <wps:cNvCnPr/>
                      <wps:spPr bwMode="auto">
                        <a:xfrm>
                          <a:off x="0" y="0"/>
                          <a:ext cx="1524000" cy="635"/>
                        </a:xfrm>
                        <a:prstGeom prst="line">
                          <a:avLst/>
                        </a:prstGeom>
                        <a:noFill/>
                        <a:ln w="12700">
                          <a:solidFill>
                            <a:srgbClr val="000000"/>
                          </a:solidFill>
                          <a:round/>
                        </a:ln>
                      </wps:spPr>
                      <wps:bodyPr/>
                    </wps:wsp>
                  </a:graphicData>
                </a:graphic>
              </wp:anchor>
            </w:drawing>
          </mc:Choice>
          <mc:Fallback>
            <w:pict>
              <v:line id="直线 16" o:spid="_x0000_s1026" o:spt="20" style="position:absolute;left:0pt;margin-left:174pt;margin-top:16.4pt;height:0.05pt;width:120pt;z-index:251671552;mso-width-relative:page;mso-height-relative:page;" filled="f" stroked="t" coordsize="21600,21600" o:gfxdata="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8mVJfNcAAAAJAQAADwAAAAAAAAABACAAAAAiAAAAZHJzL2Rvd25yZXYueG1sUEsB&#10;AhQAFAAAAAgAh07iQFyl7YC9AQAAcwMAAA4AAAAAAAAAAQAgAAAAJgEAAGRycy9lMm9Eb2MueG1s&#10;UEsFBgAAAAAGAAYAWQEAAFUFAAAAAA==&#10;">
                <v:fill on="f" focussize="0,0"/>
                <v:stroke weight="1pt" color="#000000" joinstyle="round"/>
                <v:imagedata o:title=""/>
                <o:lock v:ext="edit" aspectratio="f"/>
              </v:line>
            </w:pict>
          </mc:Fallback>
        </mc:AlternateContent>
      </w:r>
    </w:p>
    <w:p>
      <w:pPr>
        <w:widowControl/>
        <w:jc w:val="left"/>
      </w:pPr>
    </w:p>
    <w:p>
      <w:pPr>
        <w:pStyle w:val="2"/>
      </w:pPr>
    </w:p>
    <w:p>
      <w:pPr>
        <w:pStyle w:val="2"/>
      </w:pPr>
    </w:p>
    <w:p>
      <w:pPr>
        <w:pStyle w:val="2"/>
        <w:ind w:left="0" w:leftChars="0"/>
      </w:pPr>
    </w:p>
    <w:sectPr>
      <w:footerReference r:id="rId9" w:type="default"/>
      <w:pgSz w:w="11907" w:h="16839"/>
      <w:pgMar w:top="1418" w:right="1134" w:bottom="1134" w:left="1418" w:header="1418" w:footer="851"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rif">
    <w:altName w:val="Segoe Print"/>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10" w:usb3="00000000" w:csb0="0004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7"/>
      <w:rPr>
        <w:rStyle w:val="38"/>
      </w:rPr>
    </w:pPr>
    <w:r>
      <w:fldChar w:fldCharType="begin"/>
    </w:r>
    <w:r>
      <w:rPr>
        <w:rStyle w:val="38"/>
      </w:rPr>
      <w:instrText xml:space="preserve">PAGE  </w:instrText>
    </w:r>
    <w:r>
      <w:fldChar w:fldCharType="separate"/>
    </w:r>
    <w:r>
      <w:rPr>
        <w:rStyle w:val="38"/>
      </w:rPr>
      <w:t>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rPr>
        <w:rStyle w:val="38"/>
      </w:rPr>
    </w:pPr>
    <w:r>
      <w:fldChar w:fldCharType="begin"/>
    </w:r>
    <w:r>
      <w:rPr>
        <w:rStyle w:val="38"/>
      </w:rPr>
      <w:instrText xml:space="preserve">PAGE  </w:instrText>
    </w:r>
    <w:r>
      <w:fldChar w:fldCharType="separate"/>
    </w:r>
    <w:r>
      <w:rPr>
        <w:rStyle w:val="38"/>
      </w:rPr>
      <w:t>II</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rStyle w:val="38"/>
      </w:rPr>
    </w:pPr>
    <w:r>
      <w:rPr>
        <w:rStyle w:val="38"/>
        <w:rFonts w:hint="eastAsia" w:ascii="宋体" w:hAnsi="宋体"/>
      </w:rPr>
      <w:t>Ⅰ</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w:fldChar w:fldCharType="begin"/>
    </w:r>
    <w:r>
      <w:instrText xml:space="preserve">PAGE   \* MERGEFORMAT</w:instrText>
    </w:r>
    <w:r>
      <w:fldChar w:fldCharType="separate"/>
    </w:r>
    <w:r>
      <w:rPr>
        <w:lang w:val="zh-CN"/>
      </w:rPr>
      <w:t>7</w:t>
    </w:r>
    <w:r>
      <w:fldChar w:fldCharType="end"/>
    </w:r>
  </w:p>
  <w:p>
    <w:pPr>
      <w:pStyle w:val="28"/>
      <w:rPr>
        <w:rStyle w:val="3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8"/>
    </w:pPr>
    <w:r>
      <w:t>GB/T ××××—200×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7"/>
    </w:pPr>
    <w:r>
      <w:t>GB/T ××××—200×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A15CD"/>
    <w:multiLevelType w:val="multilevel"/>
    <w:tmpl w:val="040A15CD"/>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95"/>
      <w:suff w:val="nothing"/>
      <w:lvlText w:val="%1%2.%3　"/>
      <w:lvlJc w:val="left"/>
      <w:pPr>
        <w:ind w:left="0" w:firstLine="0"/>
      </w:pPr>
      <w:rPr>
        <w:rFonts w:hint="eastAsia" w:ascii="黑体" w:hAnsi="Times New Roman" w:eastAsia="黑体"/>
        <w:b w:val="0"/>
        <w:i w:val="0"/>
        <w:sz w:val="21"/>
      </w:rPr>
    </w:lvl>
    <w:lvl w:ilvl="3" w:tentative="0">
      <w:start w:val="1"/>
      <w:numFmt w:val="decimal"/>
      <w:pStyle w:val="92"/>
      <w:suff w:val="nothing"/>
      <w:lvlText w:val="%1%2.%3.%4　"/>
      <w:lvlJc w:val="left"/>
      <w:pPr>
        <w:ind w:left="0" w:firstLine="0"/>
      </w:pPr>
      <w:rPr>
        <w:rFonts w:hint="eastAsia" w:ascii="黑体" w:hAnsi="Times New Roman" w:eastAsia="黑体"/>
        <w:b w:val="0"/>
        <w:i w:val="0"/>
        <w:sz w:val="21"/>
      </w:rPr>
    </w:lvl>
    <w:lvl w:ilvl="4" w:tentative="0">
      <w:start w:val="1"/>
      <w:numFmt w:val="decimal"/>
      <w:pStyle w:val="113"/>
      <w:suff w:val="nothing"/>
      <w:lvlText w:val="%1%2.%3.%4.%5　"/>
      <w:lvlJc w:val="left"/>
      <w:pPr>
        <w:ind w:left="0" w:firstLine="0"/>
      </w:pPr>
      <w:rPr>
        <w:rFonts w:hint="eastAsia" w:ascii="黑体" w:hAnsi="Times New Roman" w:eastAsia="黑体"/>
        <w:b w:val="0"/>
        <w:i w:val="0"/>
        <w:sz w:val="21"/>
      </w:rPr>
    </w:lvl>
    <w:lvl w:ilvl="5" w:tentative="0">
      <w:start w:val="1"/>
      <w:numFmt w:val="decimal"/>
      <w:pStyle w:val="100"/>
      <w:suff w:val="nothing"/>
      <w:lvlText w:val="%1%2.%3.%4.%5.%6　"/>
      <w:lvlJc w:val="left"/>
      <w:pPr>
        <w:ind w:left="0" w:firstLine="0"/>
      </w:pPr>
      <w:rPr>
        <w:rFonts w:hint="eastAsia" w:ascii="黑体" w:hAnsi="Times New Roman" w:eastAsia="黑体"/>
        <w:b w:val="0"/>
        <w:i w:val="0"/>
        <w:sz w:val="21"/>
      </w:rPr>
    </w:lvl>
    <w:lvl w:ilvl="6" w:tentative="0">
      <w:start w:val="1"/>
      <w:numFmt w:val="decimal"/>
      <w:pStyle w:val="111"/>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AE367E9"/>
    <w:multiLevelType w:val="multilevel"/>
    <w:tmpl w:val="0AE367E9"/>
    <w:lvl w:ilvl="0" w:tentative="0">
      <w:start w:val="1"/>
      <w:numFmt w:val="none"/>
      <w:pStyle w:val="97"/>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407E65F9"/>
    <w:multiLevelType w:val="multilevel"/>
    <w:tmpl w:val="407E65F9"/>
    <w:lvl w:ilvl="0" w:tentative="0">
      <w:start w:val="1"/>
      <w:numFmt w:val="none"/>
      <w:pStyle w:val="103"/>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496E4D7B"/>
    <w:multiLevelType w:val="multilevel"/>
    <w:tmpl w:val="496E4D7B"/>
    <w:lvl w:ilvl="0" w:tentative="0">
      <w:start w:val="1"/>
      <w:numFmt w:val="none"/>
      <w:pStyle w:val="74"/>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547C56FE"/>
    <w:multiLevelType w:val="multilevel"/>
    <w:tmpl w:val="547C56FE"/>
    <w:lvl w:ilvl="0" w:tentative="0">
      <w:start w:val="1"/>
      <w:numFmt w:val="lowerLetter"/>
      <w:lvlText w:val="%1）"/>
      <w:lvlJc w:val="left"/>
      <w:pPr>
        <w:ind w:left="780" w:hanging="360"/>
      </w:pPr>
      <w:rPr>
        <w:rFonts w:hint="default" w:ascii="Times New Roman" w:hAnsi="Times New Roman" w:cs="Times New Roman"/>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557C2AF5"/>
    <w:multiLevelType w:val="multilevel"/>
    <w:tmpl w:val="557C2AF5"/>
    <w:lvl w:ilvl="0" w:tentative="0">
      <w:start w:val="1"/>
      <w:numFmt w:val="decimal"/>
      <w:pStyle w:val="109"/>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646260FA"/>
    <w:multiLevelType w:val="multilevel"/>
    <w:tmpl w:val="646260FA"/>
    <w:lvl w:ilvl="0" w:tentative="0">
      <w:start w:val="1"/>
      <w:numFmt w:val="decimal"/>
      <w:pStyle w:val="94"/>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657D3FBC"/>
    <w:multiLevelType w:val="multilevel"/>
    <w:tmpl w:val="657D3FBC"/>
    <w:lvl w:ilvl="0" w:tentative="0">
      <w:start w:val="1"/>
      <w:numFmt w:val="upperLetter"/>
      <w:pStyle w:val="117"/>
      <w:suff w:val="nothing"/>
      <w:lvlText w:val="附　录　%1"/>
      <w:lvlJc w:val="left"/>
      <w:pPr>
        <w:ind w:left="0" w:firstLine="0"/>
      </w:pPr>
      <w:rPr>
        <w:rFonts w:hint="eastAsia" w:ascii="黑体" w:hAnsi="Times New Roman" w:eastAsia="黑体"/>
        <w:b w:val="0"/>
        <w:i w:val="0"/>
        <w:sz w:val="21"/>
      </w:rPr>
    </w:lvl>
    <w:lvl w:ilvl="1" w:tentative="0">
      <w:start w:val="1"/>
      <w:numFmt w:val="decimal"/>
      <w:pStyle w:val="67"/>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66"/>
      <w:suff w:val="nothing"/>
      <w:lvlText w:val="%1.%2.%3　"/>
      <w:lvlJc w:val="left"/>
      <w:pPr>
        <w:ind w:left="0" w:firstLine="0"/>
      </w:pPr>
      <w:rPr>
        <w:rFonts w:hint="eastAsia" w:ascii="黑体" w:hAnsi="Times New Roman" w:eastAsia="黑体"/>
        <w:b w:val="0"/>
        <w:i w:val="0"/>
        <w:sz w:val="21"/>
      </w:rPr>
    </w:lvl>
    <w:lvl w:ilvl="3" w:tentative="0">
      <w:start w:val="1"/>
      <w:numFmt w:val="decimal"/>
      <w:pStyle w:val="65"/>
      <w:suff w:val="nothing"/>
      <w:lvlText w:val="%1.%2.%3.%4　"/>
      <w:lvlJc w:val="left"/>
      <w:pPr>
        <w:ind w:left="0" w:firstLine="0"/>
      </w:pPr>
      <w:rPr>
        <w:rFonts w:hint="eastAsia" w:ascii="黑体" w:hAnsi="Times New Roman" w:eastAsia="黑体"/>
        <w:b w:val="0"/>
        <w:i w:val="0"/>
        <w:sz w:val="21"/>
      </w:rPr>
    </w:lvl>
    <w:lvl w:ilvl="4" w:tentative="0">
      <w:start w:val="1"/>
      <w:numFmt w:val="decimal"/>
      <w:pStyle w:val="73"/>
      <w:suff w:val="nothing"/>
      <w:lvlText w:val="%1.%2.%3.%4.%5　"/>
      <w:lvlJc w:val="left"/>
      <w:pPr>
        <w:ind w:left="0" w:firstLine="0"/>
      </w:pPr>
      <w:rPr>
        <w:rFonts w:hint="eastAsia" w:ascii="黑体" w:hAnsi="Times New Roman" w:eastAsia="黑体"/>
        <w:b w:val="0"/>
        <w:i w:val="0"/>
        <w:sz w:val="21"/>
      </w:rPr>
    </w:lvl>
    <w:lvl w:ilvl="5" w:tentative="0">
      <w:start w:val="1"/>
      <w:numFmt w:val="decimal"/>
      <w:pStyle w:val="72"/>
      <w:suff w:val="nothing"/>
      <w:lvlText w:val="%1.%2.%3.%4.%5.%6　"/>
      <w:lvlJc w:val="left"/>
      <w:pPr>
        <w:ind w:left="0" w:firstLine="0"/>
      </w:pPr>
      <w:rPr>
        <w:rFonts w:hint="eastAsia" w:ascii="黑体" w:hAnsi="Times New Roman" w:eastAsia="黑体"/>
        <w:b w:val="0"/>
        <w:i w:val="0"/>
        <w:sz w:val="21"/>
      </w:rPr>
    </w:lvl>
    <w:lvl w:ilvl="6" w:tentative="0">
      <w:start w:val="1"/>
      <w:numFmt w:val="decimal"/>
      <w:pStyle w:val="10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6CEA2025"/>
    <w:multiLevelType w:val="multilevel"/>
    <w:tmpl w:val="6CEA2025"/>
    <w:lvl w:ilvl="0" w:tentative="0">
      <w:start w:val="1"/>
      <w:numFmt w:val="none"/>
      <w:pStyle w:val="80"/>
      <w:suff w:val="nothing"/>
      <w:lvlText w:val="%1"/>
      <w:lvlJc w:val="left"/>
      <w:pPr>
        <w:ind w:left="0" w:firstLine="0"/>
      </w:pPr>
      <w:rPr>
        <w:rFonts w:hint="default" w:ascii="Times New Roman" w:hAnsi="Times New Roman"/>
        <w:b/>
        <w:i w:val="0"/>
        <w:sz w:val="21"/>
      </w:rPr>
    </w:lvl>
    <w:lvl w:ilvl="1" w:tentative="0">
      <w:start w:val="1"/>
      <w:numFmt w:val="decimal"/>
      <w:pStyle w:val="81"/>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210" w:firstLine="0"/>
      </w:pPr>
      <w:rPr>
        <w:rFonts w:hint="eastAsia" w:ascii="黑体" w:hAnsi="Times New Roman" w:eastAsia="黑体"/>
        <w:b w:val="0"/>
        <w:i w:val="0"/>
        <w:sz w:val="21"/>
      </w:rPr>
    </w:lvl>
    <w:lvl w:ilvl="3" w:tentative="0">
      <w:start w:val="1"/>
      <w:numFmt w:val="decimal"/>
      <w:suff w:val="nothing"/>
      <w:lvlText w:val="%1%2.%3.%4　"/>
      <w:lvlJc w:val="left"/>
      <w:pPr>
        <w:ind w:left="73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6DBF04F4"/>
    <w:multiLevelType w:val="multilevel"/>
    <w:tmpl w:val="6DBF04F4"/>
    <w:lvl w:ilvl="0" w:tentative="0">
      <w:start w:val="1"/>
      <w:numFmt w:val="none"/>
      <w:pStyle w:val="76"/>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76933334"/>
    <w:multiLevelType w:val="multilevel"/>
    <w:tmpl w:val="76933334"/>
    <w:lvl w:ilvl="0" w:tentative="0">
      <w:start w:val="1"/>
      <w:numFmt w:val="none"/>
      <w:pStyle w:val="96"/>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7"/>
  </w:num>
  <w:num w:numId="2">
    <w:abstractNumId w:val="3"/>
  </w:num>
  <w:num w:numId="3">
    <w:abstractNumId w:val="9"/>
  </w:num>
  <w:num w:numId="4">
    <w:abstractNumId w:val="8"/>
  </w:num>
  <w:num w:numId="5">
    <w:abstractNumId w:val="0"/>
  </w:num>
  <w:num w:numId="6">
    <w:abstractNumId w:val="6"/>
  </w:num>
  <w:num w:numId="7">
    <w:abstractNumId w:val="10"/>
  </w:num>
  <w:num w:numId="8">
    <w:abstractNumId w:val="1"/>
  </w:num>
  <w:num w:numId="9">
    <w:abstractNumId w:val="2"/>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42"/>
  <w:drawingGridVerticalSpacing w:val="156"/>
  <w:noPunctuationKerning w:val="1"/>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UyMWIxNWVhNWE1MThhYzAwNjhhOGUwNDI2NWZlYjYifQ=="/>
  </w:docVars>
  <w:rsids>
    <w:rsidRoot w:val="00172A27"/>
    <w:rsid w:val="00000F9B"/>
    <w:rsid w:val="00002610"/>
    <w:rsid w:val="0000344F"/>
    <w:rsid w:val="00005240"/>
    <w:rsid w:val="00006637"/>
    <w:rsid w:val="00006808"/>
    <w:rsid w:val="00010DD4"/>
    <w:rsid w:val="000120D5"/>
    <w:rsid w:val="00014739"/>
    <w:rsid w:val="00023099"/>
    <w:rsid w:val="00026D24"/>
    <w:rsid w:val="00031E13"/>
    <w:rsid w:val="000325A2"/>
    <w:rsid w:val="000365E4"/>
    <w:rsid w:val="000453C5"/>
    <w:rsid w:val="00050BC5"/>
    <w:rsid w:val="00051966"/>
    <w:rsid w:val="00052595"/>
    <w:rsid w:val="00053F77"/>
    <w:rsid w:val="00054F92"/>
    <w:rsid w:val="0005546F"/>
    <w:rsid w:val="00057184"/>
    <w:rsid w:val="0006798F"/>
    <w:rsid w:val="00072C0B"/>
    <w:rsid w:val="00077F3F"/>
    <w:rsid w:val="000851A7"/>
    <w:rsid w:val="00085B2B"/>
    <w:rsid w:val="00093838"/>
    <w:rsid w:val="000B3B88"/>
    <w:rsid w:val="000B6052"/>
    <w:rsid w:val="000B68CE"/>
    <w:rsid w:val="000C0E23"/>
    <w:rsid w:val="000C4341"/>
    <w:rsid w:val="000C4DD3"/>
    <w:rsid w:val="000C700F"/>
    <w:rsid w:val="000C7A03"/>
    <w:rsid w:val="000D3A7A"/>
    <w:rsid w:val="000D6133"/>
    <w:rsid w:val="000E1842"/>
    <w:rsid w:val="000E2F46"/>
    <w:rsid w:val="000E45EE"/>
    <w:rsid w:val="000F2B8D"/>
    <w:rsid w:val="000F3718"/>
    <w:rsid w:val="000F4658"/>
    <w:rsid w:val="000F4D50"/>
    <w:rsid w:val="000F7E42"/>
    <w:rsid w:val="00104D9F"/>
    <w:rsid w:val="00104E6D"/>
    <w:rsid w:val="00107780"/>
    <w:rsid w:val="00107891"/>
    <w:rsid w:val="00110FD7"/>
    <w:rsid w:val="00113D86"/>
    <w:rsid w:val="00124CE5"/>
    <w:rsid w:val="001266A3"/>
    <w:rsid w:val="00130B78"/>
    <w:rsid w:val="00137C3F"/>
    <w:rsid w:val="00141917"/>
    <w:rsid w:val="00141EB1"/>
    <w:rsid w:val="0015158E"/>
    <w:rsid w:val="00155929"/>
    <w:rsid w:val="00167C46"/>
    <w:rsid w:val="00167E30"/>
    <w:rsid w:val="00167EDE"/>
    <w:rsid w:val="001706F0"/>
    <w:rsid w:val="00170EC5"/>
    <w:rsid w:val="00172A27"/>
    <w:rsid w:val="00175F26"/>
    <w:rsid w:val="001820CD"/>
    <w:rsid w:val="00183043"/>
    <w:rsid w:val="00186889"/>
    <w:rsid w:val="0018793E"/>
    <w:rsid w:val="00190EF5"/>
    <w:rsid w:val="001A1245"/>
    <w:rsid w:val="001A12B6"/>
    <w:rsid w:val="001A305E"/>
    <w:rsid w:val="001A501E"/>
    <w:rsid w:val="001A739B"/>
    <w:rsid w:val="001A73D0"/>
    <w:rsid w:val="001A7479"/>
    <w:rsid w:val="001B3C18"/>
    <w:rsid w:val="001D241E"/>
    <w:rsid w:val="001D2F28"/>
    <w:rsid w:val="001D720C"/>
    <w:rsid w:val="001E2171"/>
    <w:rsid w:val="001E272B"/>
    <w:rsid w:val="001E473E"/>
    <w:rsid w:val="001E697D"/>
    <w:rsid w:val="001F63E7"/>
    <w:rsid w:val="0020151E"/>
    <w:rsid w:val="002030FF"/>
    <w:rsid w:val="00205161"/>
    <w:rsid w:val="00205424"/>
    <w:rsid w:val="00207958"/>
    <w:rsid w:val="00211DA8"/>
    <w:rsid w:val="00214B0D"/>
    <w:rsid w:val="002217F4"/>
    <w:rsid w:val="00230428"/>
    <w:rsid w:val="002350C0"/>
    <w:rsid w:val="002374C4"/>
    <w:rsid w:val="00237B03"/>
    <w:rsid w:val="002412C5"/>
    <w:rsid w:val="0024638D"/>
    <w:rsid w:val="00246E93"/>
    <w:rsid w:val="00247081"/>
    <w:rsid w:val="00247556"/>
    <w:rsid w:val="0025020D"/>
    <w:rsid w:val="002519E4"/>
    <w:rsid w:val="00252249"/>
    <w:rsid w:val="0025275C"/>
    <w:rsid w:val="00256AE2"/>
    <w:rsid w:val="0026180E"/>
    <w:rsid w:val="00261F97"/>
    <w:rsid w:val="00264601"/>
    <w:rsid w:val="002702F9"/>
    <w:rsid w:val="00272AFA"/>
    <w:rsid w:val="00274085"/>
    <w:rsid w:val="0028381C"/>
    <w:rsid w:val="00284876"/>
    <w:rsid w:val="00284F26"/>
    <w:rsid w:val="00287FD1"/>
    <w:rsid w:val="00291190"/>
    <w:rsid w:val="002931DC"/>
    <w:rsid w:val="002972EC"/>
    <w:rsid w:val="002A6472"/>
    <w:rsid w:val="002A687E"/>
    <w:rsid w:val="002C2ADD"/>
    <w:rsid w:val="002C7CC8"/>
    <w:rsid w:val="002D54FB"/>
    <w:rsid w:val="002F04F9"/>
    <w:rsid w:val="002F3385"/>
    <w:rsid w:val="002F33BD"/>
    <w:rsid w:val="002F6208"/>
    <w:rsid w:val="002F6ECB"/>
    <w:rsid w:val="003026AB"/>
    <w:rsid w:val="0030573C"/>
    <w:rsid w:val="003119D4"/>
    <w:rsid w:val="00315FF9"/>
    <w:rsid w:val="00320263"/>
    <w:rsid w:val="00322888"/>
    <w:rsid w:val="00323663"/>
    <w:rsid w:val="003263F8"/>
    <w:rsid w:val="00344BE8"/>
    <w:rsid w:val="003538D0"/>
    <w:rsid w:val="00355187"/>
    <w:rsid w:val="00356BB4"/>
    <w:rsid w:val="00360B74"/>
    <w:rsid w:val="00361572"/>
    <w:rsid w:val="00361FAA"/>
    <w:rsid w:val="003676D6"/>
    <w:rsid w:val="003721F7"/>
    <w:rsid w:val="00373CAB"/>
    <w:rsid w:val="00377C23"/>
    <w:rsid w:val="00385B77"/>
    <w:rsid w:val="00392F61"/>
    <w:rsid w:val="00394D3D"/>
    <w:rsid w:val="0039612B"/>
    <w:rsid w:val="003A0401"/>
    <w:rsid w:val="003A1377"/>
    <w:rsid w:val="003A5416"/>
    <w:rsid w:val="003A64F1"/>
    <w:rsid w:val="003B0D6A"/>
    <w:rsid w:val="003C2AD7"/>
    <w:rsid w:val="003C4055"/>
    <w:rsid w:val="003C5009"/>
    <w:rsid w:val="003C6262"/>
    <w:rsid w:val="003D0447"/>
    <w:rsid w:val="003D0751"/>
    <w:rsid w:val="003D2ED5"/>
    <w:rsid w:val="003E1FE6"/>
    <w:rsid w:val="003E24C6"/>
    <w:rsid w:val="003E374D"/>
    <w:rsid w:val="003F5B0E"/>
    <w:rsid w:val="003F7E93"/>
    <w:rsid w:val="00407CF0"/>
    <w:rsid w:val="00415E4E"/>
    <w:rsid w:val="00422292"/>
    <w:rsid w:val="00422E92"/>
    <w:rsid w:val="00422FF6"/>
    <w:rsid w:val="0042736B"/>
    <w:rsid w:val="00427B74"/>
    <w:rsid w:val="004305EC"/>
    <w:rsid w:val="00431D08"/>
    <w:rsid w:val="0044118E"/>
    <w:rsid w:val="0045211B"/>
    <w:rsid w:val="00454066"/>
    <w:rsid w:val="00455C94"/>
    <w:rsid w:val="00456E51"/>
    <w:rsid w:val="00457265"/>
    <w:rsid w:val="00460FEF"/>
    <w:rsid w:val="0046470E"/>
    <w:rsid w:val="004676BA"/>
    <w:rsid w:val="00474055"/>
    <w:rsid w:val="0048539C"/>
    <w:rsid w:val="004875B5"/>
    <w:rsid w:val="00490AFF"/>
    <w:rsid w:val="00494988"/>
    <w:rsid w:val="00497141"/>
    <w:rsid w:val="00497F56"/>
    <w:rsid w:val="004A0D2E"/>
    <w:rsid w:val="004A1F38"/>
    <w:rsid w:val="004A20BC"/>
    <w:rsid w:val="004A4B00"/>
    <w:rsid w:val="004A7F30"/>
    <w:rsid w:val="004B0FBE"/>
    <w:rsid w:val="004B2895"/>
    <w:rsid w:val="004B4327"/>
    <w:rsid w:val="004B5937"/>
    <w:rsid w:val="004B5F26"/>
    <w:rsid w:val="004C55A3"/>
    <w:rsid w:val="004C77D5"/>
    <w:rsid w:val="004D127D"/>
    <w:rsid w:val="004D40FF"/>
    <w:rsid w:val="004D50E4"/>
    <w:rsid w:val="004D6B6D"/>
    <w:rsid w:val="004E1629"/>
    <w:rsid w:val="004E18E7"/>
    <w:rsid w:val="004E35CE"/>
    <w:rsid w:val="004E5327"/>
    <w:rsid w:val="004E711D"/>
    <w:rsid w:val="004F2E14"/>
    <w:rsid w:val="004F378F"/>
    <w:rsid w:val="004F4143"/>
    <w:rsid w:val="004F5448"/>
    <w:rsid w:val="00504E87"/>
    <w:rsid w:val="005055F0"/>
    <w:rsid w:val="00505F45"/>
    <w:rsid w:val="00506313"/>
    <w:rsid w:val="00521432"/>
    <w:rsid w:val="00522AEE"/>
    <w:rsid w:val="005247F2"/>
    <w:rsid w:val="00524BF5"/>
    <w:rsid w:val="00526A44"/>
    <w:rsid w:val="005271E7"/>
    <w:rsid w:val="00527F29"/>
    <w:rsid w:val="005426DA"/>
    <w:rsid w:val="00542AFE"/>
    <w:rsid w:val="0054496F"/>
    <w:rsid w:val="00551884"/>
    <w:rsid w:val="00554E66"/>
    <w:rsid w:val="00563695"/>
    <w:rsid w:val="00565F26"/>
    <w:rsid w:val="00566228"/>
    <w:rsid w:val="005679C3"/>
    <w:rsid w:val="005748E3"/>
    <w:rsid w:val="00574C5F"/>
    <w:rsid w:val="00582458"/>
    <w:rsid w:val="00586781"/>
    <w:rsid w:val="005903DB"/>
    <w:rsid w:val="005922A8"/>
    <w:rsid w:val="0059772F"/>
    <w:rsid w:val="005A0F20"/>
    <w:rsid w:val="005A1105"/>
    <w:rsid w:val="005A1EAB"/>
    <w:rsid w:val="005A3F42"/>
    <w:rsid w:val="005A3FC9"/>
    <w:rsid w:val="005A648C"/>
    <w:rsid w:val="005B0C36"/>
    <w:rsid w:val="005B7330"/>
    <w:rsid w:val="005C02EC"/>
    <w:rsid w:val="005C546C"/>
    <w:rsid w:val="005D21AF"/>
    <w:rsid w:val="005D2BF3"/>
    <w:rsid w:val="005D46C6"/>
    <w:rsid w:val="005D4E07"/>
    <w:rsid w:val="005D6A93"/>
    <w:rsid w:val="005E21C7"/>
    <w:rsid w:val="005E5677"/>
    <w:rsid w:val="005E6069"/>
    <w:rsid w:val="005E660A"/>
    <w:rsid w:val="005F055D"/>
    <w:rsid w:val="005F3C5F"/>
    <w:rsid w:val="005F5E9F"/>
    <w:rsid w:val="00607440"/>
    <w:rsid w:val="00610070"/>
    <w:rsid w:val="0062560B"/>
    <w:rsid w:val="00626943"/>
    <w:rsid w:val="00630A97"/>
    <w:rsid w:val="00630F1C"/>
    <w:rsid w:val="00631A49"/>
    <w:rsid w:val="00632DE1"/>
    <w:rsid w:val="00634B6B"/>
    <w:rsid w:val="006417D4"/>
    <w:rsid w:val="006475D5"/>
    <w:rsid w:val="006533B2"/>
    <w:rsid w:val="00656D13"/>
    <w:rsid w:val="00661A03"/>
    <w:rsid w:val="00664FD1"/>
    <w:rsid w:val="006665CB"/>
    <w:rsid w:val="006728BE"/>
    <w:rsid w:val="00673DD1"/>
    <w:rsid w:val="006758AE"/>
    <w:rsid w:val="00676DAF"/>
    <w:rsid w:val="00683F0E"/>
    <w:rsid w:val="00684287"/>
    <w:rsid w:val="00692D75"/>
    <w:rsid w:val="0069309D"/>
    <w:rsid w:val="006A6467"/>
    <w:rsid w:val="006A68EC"/>
    <w:rsid w:val="006B26AF"/>
    <w:rsid w:val="006B2844"/>
    <w:rsid w:val="006C1939"/>
    <w:rsid w:val="006C559D"/>
    <w:rsid w:val="006C7067"/>
    <w:rsid w:val="006D16E8"/>
    <w:rsid w:val="006D1909"/>
    <w:rsid w:val="006D2DB7"/>
    <w:rsid w:val="006D5B27"/>
    <w:rsid w:val="006D5E7C"/>
    <w:rsid w:val="006F5F3A"/>
    <w:rsid w:val="006F71C7"/>
    <w:rsid w:val="00702A97"/>
    <w:rsid w:val="00702DB6"/>
    <w:rsid w:val="007051D3"/>
    <w:rsid w:val="00706CEB"/>
    <w:rsid w:val="0070742C"/>
    <w:rsid w:val="007100BC"/>
    <w:rsid w:val="00712CEE"/>
    <w:rsid w:val="00717838"/>
    <w:rsid w:val="00722701"/>
    <w:rsid w:val="00723725"/>
    <w:rsid w:val="007262CC"/>
    <w:rsid w:val="0072799F"/>
    <w:rsid w:val="00727F75"/>
    <w:rsid w:val="007358FF"/>
    <w:rsid w:val="00735A77"/>
    <w:rsid w:val="007434E2"/>
    <w:rsid w:val="007551AC"/>
    <w:rsid w:val="00755392"/>
    <w:rsid w:val="00764F1E"/>
    <w:rsid w:val="00774693"/>
    <w:rsid w:val="007747BC"/>
    <w:rsid w:val="0077603E"/>
    <w:rsid w:val="00776464"/>
    <w:rsid w:val="0077687C"/>
    <w:rsid w:val="00776E92"/>
    <w:rsid w:val="007815C6"/>
    <w:rsid w:val="00783CD6"/>
    <w:rsid w:val="00785233"/>
    <w:rsid w:val="00791040"/>
    <w:rsid w:val="00792614"/>
    <w:rsid w:val="0079432C"/>
    <w:rsid w:val="00795D48"/>
    <w:rsid w:val="007A6D2F"/>
    <w:rsid w:val="007B0AAF"/>
    <w:rsid w:val="007B1630"/>
    <w:rsid w:val="007B2330"/>
    <w:rsid w:val="007B338C"/>
    <w:rsid w:val="007B5D8C"/>
    <w:rsid w:val="007B63E2"/>
    <w:rsid w:val="007C25BD"/>
    <w:rsid w:val="007C63A5"/>
    <w:rsid w:val="007C6BCB"/>
    <w:rsid w:val="007C6FBB"/>
    <w:rsid w:val="007D51D0"/>
    <w:rsid w:val="007D7704"/>
    <w:rsid w:val="007E0739"/>
    <w:rsid w:val="007F16F9"/>
    <w:rsid w:val="007F3FA0"/>
    <w:rsid w:val="007F7BB1"/>
    <w:rsid w:val="007F7C1F"/>
    <w:rsid w:val="00810700"/>
    <w:rsid w:val="00811364"/>
    <w:rsid w:val="00811378"/>
    <w:rsid w:val="00812A88"/>
    <w:rsid w:val="00812E90"/>
    <w:rsid w:val="00813137"/>
    <w:rsid w:val="00823BB3"/>
    <w:rsid w:val="0082461F"/>
    <w:rsid w:val="00825DF1"/>
    <w:rsid w:val="008320D0"/>
    <w:rsid w:val="00832819"/>
    <w:rsid w:val="00835BE5"/>
    <w:rsid w:val="00836DA0"/>
    <w:rsid w:val="008376F8"/>
    <w:rsid w:val="00837BD3"/>
    <w:rsid w:val="00837DAD"/>
    <w:rsid w:val="00841088"/>
    <w:rsid w:val="008425A7"/>
    <w:rsid w:val="00845CEE"/>
    <w:rsid w:val="00846726"/>
    <w:rsid w:val="00851BA3"/>
    <w:rsid w:val="00852BB4"/>
    <w:rsid w:val="00854181"/>
    <w:rsid w:val="00856884"/>
    <w:rsid w:val="00857E6D"/>
    <w:rsid w:val="008614E3"/>
    <w:rsid w:val="00861EF9"/>
    <w:rsid w:val="00863AD9"/>
    <w:rsid w:val="00867FD1"/>
    <w:rsid w:val="00871359"/>
    <w:rsid w:val="008752D3"/>
    <w:rsid w:val="00876AEE"/>
    <w:rsid w:val="00882036"/>
    <w:rsid w:val="00882545"/>
    <w:rsid w:val="00883D55"/>
    <w:rsid w:val="008929CD"/>
    <w:rsid w:val="00895991"/>
    <w:rsid w:val="008978AF"/>
    <w:rsid w:val="008A1061"/>
    <w:rsid w:val="008A36C7"/>
    <w:rsid w:val="008A379B"/>
    <w:rsid w:val="008A4F6A"/>
    <w:rsid w:val="008A50AA"/>
    <w:rsid w:val="008B2931"/>
    <w:rsid w:val="008B386B"/>
    <w:rsid w:val="008B4B1F"/>
    <w:rsid w:val="008C0B96"/>
    <w:rsid w:val="008C7C59"/>
    <w:rsid w:val="008D123C"/>
    <w:rsid w:val="008D6579"/>
    <w:rsid w:val="008D68FF"/>
    <w:rsid w:val="008D7F47"/>
    <w:rsid w:val="008E1E11"/>
    <w:rsid w:val="008E2CE4"/>
    <w:rsid w:val="008E34FA"/>
    <w:rsid w:val="008E3A49"/>
    <w:rsid w:val="008E5523"/>
    <w:rsid w:val="008E6414"/>
    <w:rsid w:val="008F357B"/>
    <w:rsid w:val="008F5811"/>
    <w:rsid w:val="00901DFE"/>
    <w:rsid w:val="00904D44"/>
    <w:rsid w:val="00906D73"/>
    <w:rsid w:val="0090722C"/>
    <w:rsid w:val="0091034B"/>
    <w:rsid w:val="0091236D"/>
    <w:rsid w:val="00913EE6"/>
    <w:rsid w:val="009231CE"/>
    <w:rsid w:val="00923284"/>
    <w:rsid w:val="009312A8"/>
    <w:rsid w:val="009333ED"/>
    <w:rsid w:val="00935104"/>
    <w:rsid w:val="00943A83"/>
    <w:rsid w:val="00945A50"/>
    <w:rsid w:val="00954B2A"/>
    <w:rsid w:val="009677B5"/>
    <w:rsid w:val="009754BD"/>
    <w:rsid w:val="00976BEC"/>
    <w:rsid w:val="009806D1"/>
    <w:rsid w:val="00982278"/>
    <w:rsid w:val="00984F1D"/>
    <w:rsid w:val="0098540A"/>
    <w:rsid w:val="0098714C"/>
    <w:rsid w:val="00992E7F"/>
    <w:rsid w:val="009962D3"/>
    <w:rsid w:val="00996482"/>
    <w:rsid w:val="00996EF0"/>
    <w:rsid w:val="009A452A"/>
    <w:rsid w:val="009A5ACA"/>
    <w:rsid w:val="009A7641"/>
    <w:rsid w:val="009B728A"/>
    <w:rsid w:val="009C2E7D"/>
    <w:rsid w:val="009D0547"/>
    <w:rsid w:val="009D2028"/>
    <w:rsid w:val="009D38C7"/>
    <w:rsid w:val="009E1020"/>
    <w:rsid w:val="009E3C46"/>
    <w:rsid w:val="009E4552"/>
    <w:rsid w:val="009E5CBA"/>
    <w:rsid w:val="009F3B02"/>
    <w:rsid w:val="00A0005A"/>
    <w:rsid w:val="00A02471"/>
    <w:rsid w:val="00A0543D"/>
    <w:rsid w:val="00A0673F"/>
    <w:rsid w:val="00A07B42"/>
    <w:rsid w:val="00A10887"/>
    <w:rsid w:val="00A10E86"/>
    <w:rsid w:val="00A118E1"/>
    <w:rsid w:val="00A12F01"/>
    <w:rsid w:val="00A14DB5"/>
    <w:rsid w:val="00A160C0"/>
    <w:rsid w:val="00A172E1"/>
    <w:rsid w:val="00A21BE9"/>
    <w:rsid w:val="00A2284F"/>
    <w:rsid w:val="00A27D3D"/>
    <w:rsid w:val="00A3013A"/>
    <w:rsid w:val="00A325CA"/>
    <w:rsid w:val="00A3265D"/>
    <w:rsid w:val="00A4571D"/>
    <w:rsid w:val="00A52751"/>
    <w:rsid w:val="00A54DE1"/>
    <w:rsid w:val="00A603DC"/>
    <w:rsid w:val="00A609EA"/>
    <w:rsid w:val="00A6326D"/>
    <w:rsid w:val="00A638D7"/>
    <w:rsid w:val="00A648DF"/>
    <w:rsid w:val="00A66CD4"/>
    <w:rsid w:val="00A71D85"/>
    <w:rsid w:val="00A76F8E"/>
    <w:rsid w:val="00A77C64"/>
    <w:rsid w:val="00A77EED"/>
    <w:rsid w:val="00A81FB6"/>
    <w:rsid w:val="00A82420"/>
    <w:rsid w:val="00A852B7"/>
    <w:rsid w:val="00A86AF7"/>
    <w:rsid w:val="00A925F0"/>
    <w:rsid w:val="00A9495A"/>
    <w:rsid w:val="00A96043"/>
    <w:rsid w:val="00AA2166"/>
    <w:rsid w:val="00AA3A62"/>
    <w:rsid w:val="00AA48EC"/>
    <w:rsid w:val="00AA7068"/>
    <w:rsid w:val="00AB4660"/>
    <w:rsid w:val="00AB5B46"/>
    <w:rsid w:val="00AC309C"/>
    <w:rsid w:val="00AC7EE8"/>
    <w:rsid w:val="00AD0400"/>
    <w:rsid w:val="00AD195C"/>
    <w:rsid w:val="00AD3362"/>
    <w:rsid w:val="00AD37B6"/>
    <w:rsid w:val="00AD45FF"/>
    <w:rsid w:val="00AD7D0A"/>
    <w:rsid w:val="00AE29C1"/>
    <w:rsid w:val="00AE4435"/>
    <w:rsid w:val="00AF2943"/>
    <w:rsid w:val="00AF5014"/>
    <w:rsid w:val="00AF61CD"/>
    <w:rsid w:val="00B002B0"/>
    <w:rsid w:val="00B04494"/>
    <w:rsid w:val="00B06EC3"/>
    <w:rsid w:val="00B105C4"/>
    <w:rsid w:val="00B10C97"/>
    <w:rsid w:val="00B142A9"/>
    <w:rsid w:val="00B20482"/>
    <w:rsid w:val="00B217A4"/>
    <w:rsid w:val="00B223CD"/>
    <w:rsid w:val="00B227C4"/>
    <w:rsid w:val="00B25A7F"/>
    <w:rsid w:val="00B25C11"/>
    <w:rsid w:val="00B30A0D"/>
    <w:rsid w:val="00B35B0C"/>
    <w:rsid w:val="00B35B52"/>
    <w:rsid w:val="00B3661B"/>
    <w:rsid w:val="00B377FD"/>
    <w:rsid w:val="00B41B11"/>
    <w:rsid w:val="00B4378D"/>
    <w:rsid w:val="00B440A5"/>
    <w:rsid w:val="00B47C8B"/>
    <w:rsid w:val="00B55D36"/>
    <w:rsid w:val="00B60EF0"/>
    <w:rsid w:val="00B824D9"/>
    <w:rsid w:val="00B8459A"/>
    <w:rsid w:val="00B93985"/>
    <w:rsid w:val="00B9443C"/>
    <w:rsid w:val="00B94FA8"/>
    <w:rsid w:val="00BA126A"/>
    <w:rsid w:val="00BA20F1"/>
    <w:rsid w:val="00BA2F32"/>
    <w:rsid w:val="00BA3A86"/>
    <w:rsid w:val="00BB11B7"/>
    <w:rsid w:val="00BB7D3F"/>
    <w:rsid w:val="00BC50CE"/>
    <w:rsid w:val="00BC69EE"/>
    <w:rsid w:val="00BD28EA"/>
    <w:rsid w:val="00BD775F"/>
    <w:rsid w:val="00BE05EA"/>
    <w:rsid w:val="00BE3BCB"/>
    <w:rsid w:val="00BE50A3"/>
    <w:rsid w:val="00BE6377"/>
    <w:rsid w:val="00BE6C61"/>
    <w:rsid w:val="00BF1053"/>
    <w:rsid w:val="00BF1151"/>
    <w:rsid w:val="00BF2738"/>
    <w:rsid w:val="00C028A9"/>
    <w:rsid w:val="00C03D11"/>
    <w:rsid w:val="00C06708"/>
    <w:rsid w:val="00C157FF"/>
    <w:rsid w:val="00C160D6"/>
    <w:rsid w:val="00C2235F"/>
    <w:rsid w:val="00C23078"/>
    <w:rsid w:val="00C30693"/>
    <w:rsid w:val="00C35832"/>
    <w:rsid w:val="00C36046"/>
    <w:rsid w:val="00C4409D"/>
    <w:rsid w:val="00C5084A"/>
    <w:rsid w:val="00C513CD"/>
    <w:rsid w:val="00C52194"/>
    <w:rsid w:val="00C52BA0"/>
    <w:rsid w:val="00C64682"/>
    <w:rsid w:val="00C652CC"/>
    <w:rsid w:val="00C65BED"/>
    <w:rsid w:val="00C6722A"/>
    <w:rsid w:val="00C73A4B"/>
    <w:rsid w:val="00C73ABB"/>
    <w:rsid w:val="00C74FC4"/>
    <w:rsid w:val="00C756C4"/>
    <w:rsid w:val="00C808D7"/>
    <w:rsid w:val="00C84984"/>
    <w:rsid w:val="00C84A9B"/>
    <w:rsid w:val="00C853E1"/>
    <w:rsid w:val="00C936A2"/>
    <w:rsid w:val="00CA1959"/>
    <w:rsid w:val="00CA5A15"/>
    <w:rsid w:val="00CA714B"/>
    <w:rsid w:val="00CB06B0"/>
    <w:rsid w:val="00CB3241"/>
    <w:rsid w:val="00CB3690"/>
    <w:rsid w:val="00CB3B56"/>
    <w:rsid w:val="00CB5F61"/>
    <w:rsid w:val="00CB729D"/>
    <w:rsid w:val="00CC1FA2"/>
    <w:rsid w:val="00CD2C0A"/>
    <w:rsid w:val="00CD3599"/>
    <w:rsid w:val="00CD3AF6"/>
    <w:rsid w:val="00CD6B9F"/>
    <w:rsid w:val="00CE5529"/>
    <w:rsid w:val="00CE60E8"/>
    <w:rsid w:val="00CE712D"/>
    <w:rsid w:val="00CF0CF2"/>
    <w:rsid w:val="00CF1AC7"/>
    <w:rsid w:val="00CF22BE"/>
    <w:rsid w:val="00CF2EC3"/>
    <w:rsid w:val="00CF4C1D"/>
    <w:rsid w:val="00CF5A79"/>
    <w:rsid w:val="00CF6322"/>
    <w:rsid w:val="00CF79D5"/>
    <w:rsid w:val="00D008FD"/>
    <w:rsid w:val="00D01217"/>
    <w:rsid w:val="00D037D9"/>
    <w:rsid w:val="00D10B9F"/>
    <w:rsid w:val="00D11129"/>
    <w:rsid w:val="00D12F8B"/>
    <w:rsid w:val="00D15E99"/>
    <w:rsid w:val="00D15FDC"/>
    <w:rsid w:val="00D1764C"/>
    <w:rsid w:val="00D21260"/>
    <w:rsid w:val="00D21EB5"/>
    <w:rsid w:val="00D2683A"/>
    <w:rsid w:val="00D27F69"/>
    <w:rsid w:val="00D34C82"/>
    <w:rsid w:val="00D356A8"/>
    <w:rsid w:val="00D36FB7"/>
    <w:rsid w:val="00D377B4"/>
    <w:rsid w:val="00D4021A"/>
    <w:rsid w:val="00D40EBE"/>
    <w:rsid w:val="00D44BDD"/>
    <w:rsid w:val="00D47C57"/>
    <w:rsid w:val="00D51C55"/>
    <w:rsid w:val="00D534CB"/>
    <w:rsid w:val="00D64DE4"/>
    <w:rsid w:val="00D67464"/>
    <w:rsid w:val="00D70128"/>
    <w:rsid w:val="00D779F7"/>
    <w:rsid w:val="00D77F13"/>
    <w:rsid w:val="00D83D78"/>
    <w:rsid w:val="00D83F54"/>
    <w:rsid w:val="00D850F7"/>
    <w:rsid w:val="00D85E93"/>
    <w:rsid w:val="00D92A6F"/>
    <w:rsid w:val="00D939B6"/>
    <w:rsid w:val="00D9561B"/>
    <w:rsid w:val="00D95D26"/>
    <w:rsid w:val="00DA2875"/>
    <w:rsid w:val="00DB4790"/>
    <w:rsid w:val="00DB519E"/>
    <w:rsid w:val="00DB59B5"/>
    <w:rsid w:val="00DC2590"/>
    <w:rsid w:val="00DD4D22"/>
    <w:rsid w:val="00DD7886"/>
    <w:rsid w:val="00DE1125"/>
    <w:rsid w:val="00DE11C3"/>
    <w:rsid w:val="00DE15F4"/>
    <w:rsid w:val="00DE4B1A"/>
    <w:rsid w:val="00DF6E0D"/>
    <w:rsid w:val="00DF70A6"/>
    <w:rsid w:val="00E03DF1"/>
    <w:rsid w:val="00E050C4"/>
    <w:rsid w:val="00E07A71"/>
    <w:rsid w:val="00E120FE"/>
    <w:rsid w:val="00E16338"/>
    <w:rsid w:val="00E227D8"/>
    <w:rsid w:val="00E2547B"/>
    <w:rsid w:val="00E2753E"/>
    <w:rsid w:val="00E27BBD"/>
    <w:rsid w:val="00E375FF"/>
    <w:rsid w:val="00E40345"/>
    <w:rsid w:val="00E42A57"/>
    <w:rsid w:val="00E46241"/>
    <w:rsid w:val="00E472D7"/>
    <w:rsid w:val="00E47AED"/>
    <w:rsid w:val="00E51750"/>
    <w:rsid w:val="00E52AAD"/>
    <w:rsid w:val="00E535C7"/>
    <w:rsid w:val="00E56D5D"/>
    <w:rsid w:val="00E57413"/>
    <w:rsid w:val="00E577AD"/>
    <w:rsid w:val="00E61E32"/>
    <w:rsid w:val="00E62095"/>
    <w:rsid w:val="00E64E25"/>
    <w:rsid w:val="00E67C3E"/>
    <w:rsid w:val="00E8000F"/>
    <w:rsid w:val="00E82C61"/>
    <w:rsid w:val="00E873F5"/>
    <w:rsid w:val="00E94595"/>
    <w:rsid w:val="00E954F0"/>
    <w:rsid w:val="00E96103"/>
    <w:rsid w:val="00E9762D"/>
    <w:rsid w:val="00EA3D3E"/>
    <w:rsid w:val="00EA5FF5"/>
    <w:rsid w:val="00EB57F1"/>
    <w:rsid w:val="00EB6EF0"/>
    <w:rsid w:val="00EC23A2"/>
    <w:rsid w:val="00EC2952"/>
    <w:rsid w:val="00EC7C05"/>
    <w:rsid w:val="00ED23DF"/>
    <w:rsid w:val="00ED3113"/>
    <w:rsid w:val="00EE1E5D"/>
    <w:rsid w:val="00EE5E19"/>
    <w:rsid w:val="00EE7C18"/>
    <w:rsid w:val="00EF3FAF"/>
    <w:rsid w:val="00EF4DCF"/>
    <w:rsid w:val="00F00045"/>
    <w:rsid w:val="00F05E42"/>
    <w:rsid w:val="00F1031A"/>
    <w:rsid w:val="00F10A0B"/>
    <w:rsid w:val="00F1467B"/>
    <w:rsid w:val="00F17B66"/>
    <w:rsid w:val="00F23515"/>
    <w:rsid w:val="00F23AAE"/>
    <w:rsid w:val="00F33DF4"/>
    <w:rsid w:val="00F345E1"/>
    <w:rsid w:val="00F34A70"/>
    <w:rsid w:val="00F355E3"/>
    <w:rsid w:val="00F36E57"/>
    <w:rsid w:val="00F373FA"/>
    <w:rsid w:val="00F40146"/>
    <w:rsid w:val="00F42683"/>
    <w:rsid w:val="00F46509"/>
    <w:rsid w:val="00F5129F"/>
    <w:rsid w:val="00F53C23"/>
    <w:rsid w:val="00F63534"/>
    <w:rsid w:val="00F72E84"/>
    <w:rsid w:val="00F73CA7"/>
    <w:rsid w:val="00F74778"/>
    <w:rsid w:val="00F749B0"/>
    <w:rsid w:val="00F80C14"/>
    <w:rsid w:val="00F8511B"/>
    <w:rsid w:val="00F85487"/>
    <w:rsid w:val="00F94CA7"/>
    <w:rsid w:val="00F97020"/>
    <w:rsid w:val="00FA105A"/>
    <w:rsid w:val="00FA6C69"/>
    <w:rsid w:val="00FB0ED7"/>
    <w:rsid w:val="00FB431E"/>
    <w:rsid w:val="00FB6B90"/>
    <w:rsid w:val="00FB7993"/>
    <w:rsid w:val="00FC2F03"/>
    <w:rsid w:val="00FD0BA3"/>
    <w:rsid w:val="00FD5EF6"/>
    <w:rsid w:val="00FE25ED"/>
    <w:rsid w:val="00FE3F6A"/>
    <w:rsid w:val="00FE5F72"/>
    <w:rsid w:val="00FE761B"/>
    <w:rsid w:val="012F49F1"/>
    <w:rsid w:val="015B6D94"/>
    <w:rsid w:val="01A909C3"/>
    <w:rsid w:val="01E00DC2"/>
    <w:rsid w:val="01FE5971"/>
    <w:rsid w:val="02323BAA"/>
    <w:rsid w:val="0284231A"/>
    <w:rsid w:val="02C86511"/>
    <w:rsid w:val="02DC1350"/>
    <w:rsid w:val="02FF5E45"/>
    <w:rsid w:val="03130A11"/>
    <w:rsid w:val="033151CC"/>
    <w:rsid w:val="034E3CFA"/>
    <w:rsid w:val="03C03A81"/>
    <w:rsid w:val="04022EE3"/>
    <w:rsid w:val="045126D0"/>
    <w:rsid w:val="04760B2D"/>
    <w:rsid w:val="04B06F7E"/>
    <w:rsid w:val="04D478DD"/>
    <w:rsid w:val="053A63E8"/>
    <w:rsid w:val="055958D4"/>
    <w:rsid w:val="0563401E"/>
    <w:rsid w:val="058645FB"/>
    <w:rsid w:val="06D148FC"/>
    <w:rsid w:val="070A7384"/>
    <w:rsid w:val="07511877"/>
    <w:rsid w:val="075A39BB"/>
    <w:rsid w:val="076B2344"/>
    <w:rsid w:val="079F1B8B"/>
    <w:rsid w:val="07B932B0"/>
    <w:rsid w:val="07DD5238"/>
    <w:rsid w:val="07E13D6B"/>
    <w:rsid w:val="086D0162"/>
    <w:rsid w:val="08B9458B"/>
    <w:rsid w:val="08F54642"/>
    <w:rsid w:val="09353D5E"/>
    <w:rsid w:val="095619A2"/>
    <w:rsid w:val="0A0C2682"/>
    <w:rsid w:val="0A245A06"/>
    <w:rsid w:val="0A2E0071"/>
    <w:rsid w:val="0A4860CC"/>
    <w:rsid w:val="0A5B477B"/>
    <w:rsid w:val="0AA3245D"/>
    <w:rsid w:val="0AA32563"/>
    <w:rsid w:val="0B000DC4"/>
    <w:rsid w:val="0B11222D"/>
    <w:rsid w:val="0B7D08A5"/>
    <w:rsid w:val="0BAD28E2"/>
    <w:rsid w:val="0BCD2AA3"/>
    <w:rsid w:val="0BDE2A9B"/>
    <w:rsid w:val="0BE028AE"/>
    <w:rsid w:val="0D183D8B"/>
    <w:rsid w:val="0D9A270D"/>
    <w:rsid w:val="0DFB62F4"/>
    <w:rsid w:val="0F8525C7"/>
    <w:rsid w:val="0F8E1F32"/>
    <w:rsid w:val="0FA86370"/>
    <w:rsid w:val="0FAD1102"/>
    <w:rsid w:val="0FCE263A"/>
    <w:rsid w:val="0FFD0285"/>
    <w:rsid w:val="105E23FD"/>
    <w:rsid w:val="1210719E"/>
    <w:rsid w:val="12534B7F"/>
    <w:rsid w:val="131A2354"/>
    <w:rsid w:val="13572805"/>
    <w:rsid w:val="1371484A"/>
    <w:rsid w:val="13DD5B51"/>
    <w:rsid w:val="140E3B43"/>
    <w:rsid w:val="144E242F"/>
    <w:rsid w:val="14C85011"/>
    <w:rsid w:val="15CD62D8"/>
    <w:rsid w:val="15E74C42"/>
    <w:rsid w:val="15E76B10"/>
    <w:rsid w:val="15F108C0"/>
    <w:rsid w:val="16427A63"/>
    <w:rsid w:val="168F16E1"/>
    <w:rsid w:val="16D61D13"/>
    <w:rsid w:val="16F44CA1"/>
    <w:rsid w:val="17C0471D"/>
    <w:rsid w:val="17E22AF6"/>
    <w:rsid w:val="180A4C18"/>
    <w:rsid w:val="18641CC8"/>
    <w:rsid w:val="1882587C"/>
    <w:rsid w:val="188B3FAB"/>
    <w:rsid w:val="188B3FDD"/>
    <w:rsid w:val="18CF706F"/>
    <w:rsid w:val="195F5C8D"/>
    <w:rsid w:val="19854D49"/>
    <w:rsid w:val="198C6EB9"/>
    <w:rsid w:val="199A353D"/>
    <w:rsid w:val="199A3EEC"/>
    <w:rsid w:val="1A03119D"/>
    <w:rsid w:val="1A163D48"/>
    <w:rsid w:val="1A871AF0"/>
    <w:rsid w:val="1AFD67FA"/>
    <w:rsid w:val="1B204738"/>
    <w:rsid w:val="1B683762"/>
    <w:rsid w:val="1B6F510E"/>
    <w:rsid w:val="1BC35DD7"/>
    <w:rsid w:val="1C3D4670"/>
    <w:rsid w:val="1C7D3C0B"/>
    <w:rsid w:val="1DF33C73"/>
    <w:rsid w:val="1E4A50D6"/>
    <w:rsid w:val="1E513FF3"/>
    <w:rsid w:val="1E58492F"/>
    <w:rsid w:val="1E6C2189"/>
    <w:rsid w:val="1E9E4C6F"/>
    <w:rsid w:val="1EB72CBE"/>
    <w:rsid w:val="1EE254C5"/>
    <w:rsid w:val="1F0B19A2"/>
    <w:rsid w:val="1F0B7BF4"/>
    <w:rsid w:val="1F3103CD"/>
    <w:rsid w:val="1FA6038F"/>
    <w:rsid w:val="1FDE32AE"/>
    <w:rsid w:val="203E6BC9"/>
    <w:rsid w:val="20417F0B"/>
    <w:rsid w:val="204C59E3"/>
    <w:rsid w:val="20581851"/>
    <w:rsid w:val="205872DC"/>
    <w:rsid w:val="209440AA"/>
    <w:rsid w:val="20A47CE5"/>
    <w:rsid w:val="21957C48"/>
    <w:rsid w:val="22B41B6C"/>
    <w:rsid w:val="22EA4115"/>
    <w:rsid w:val="23121493"/>
    <w:rsid w:val="23EE2DA2"/>
    <w:rsid w:val="24C24E93"/>
    <w:rsid w:val="24CB09E4"/>
    <w:rsid w:val="24D35B51"/>
    <w:rsid w:val="255351D2"/>
    <w:rsid w:val="25680762"/>
    <w:rsid w:val="27223D2C"/>
    <w:rsid w:val="274A023D"/>
    <w:rsid w:val="279B274F"/>
    <w:rsid w:val="27F35DC7"/>
    <w:rsid w:val="28786A7C"/>
    <w:rsid w:val="288D1679"/>
    <w:rsid w:val="2A2878AC"/>
    <w:rsid w:val="2A4027B6"/>
    <w:rsid w:val="2B02634F"/>
    <w:rsid w:val="2B086ABE"/>
    <w:rsid w:val="2B366200"/>
    <w:rsid w:val="2B80490E"/>
    <w:rsid w:val="2B917593"/>
    <w:rsid w:val="2BA221D1"/>
    <w:rsid w:val="2BB25DCA"/>
    <w:rsid w:val="2BF950DA"/>
    <w:rsid w:val="2C8D2AB6"/>
    <w:rsid w:val="2C9605CD"/>
    <w:rsid w:val="2D2F7B08"/>
    <w:rsid w:val="2D56633C"/>
    <w:rsid w:val="2E50117F"/>
    <w:rsid w:val="2F527CEF"/>
    <w:rsid w:val="2FBF3CD4"/>
    <w:rsid w:val="3052239C"/>
    <w:rsid w:val="307849BD"/>
    <w:rsid w:val="30996FC4"/>
    <w:rsid w:val="310C4204"/>
    <w:rsid w:val="31425049"/>
    <w:rsid w:val="3143321D"/>
    <w:rsid w:val="31A11CF2"/>
    <w:rsid w:val="31E3055C"/>
    <w:rsid w:val="327F0285"/>
    <w:rsid w:val="32B5139A"/>
    <w:rsid w:val="32F63AD0"/>
    <w:rsid w:val="33641D7E"/>
    <w:rsid w:val="339C6263"/>
    <w:rsid w:val="349D1C6A"/>
    <w:rsid w:val="352769B2"/>
    <w:rsid w:val="353C4AB3"/>
    <w:rsid w:val="35AE518D"/>
    <w:rsid w:val="3618626E"/>
    <w:rsid w:val="367C70FA"/>
    <w:rsid w:val="373B5FD7"/>
    <w:rsid w:val="374471F6"/>
    <w:rsid w:val="37525D90"/>
    <w:rsid w:val="376711B7"/>
    <w:rsid w:val="387274C6"/>
    <w:rsid w:val="38AF46FA"/>
    <w:rsid w:val="38DC4A54"/>
    <w:rsid w:val="38E33686"/>
    <w:rsid w:val="38F04F73"/>
    <w:rsid w:val="39262466"/>
    <w:rsid w:val="399121BC"/>
    <w:rsid w:val="3A753164"/>
    <w:rsid w:val="3AF50B4B"/>
    <w:rsid w:val="3B854432"/>
    <w:rsid w:val="3C1341C6"/>
    <w:rsid w:val="3C1D7713"/>
    <w:rsid w:val="3C44256E"/>
    <w:rsid w:val="3C4F6F1A"/>
    <w:rsid w:val="3DE03BA2"/>
    <w:rsid w:val="3EE01E9A"/>
    <w:rsid w:val="402E72DA"/>
    <w:rsid w:val="40600DAE"/>
    <w:rsid w:val="40702075"/>
    <w:rsid w:val="407D1B7C"/>
    <w:rsid w:val="40D6419C"/>
    <w:rsid w:val="40DA5B0B"/>
    <w:rsid w:val="410E65D0"/>
    <w:rsid w:val="41197AF6"/>
    <w:rsid w:val="414B67C3"/>
    <w:rsid w:val="4205655B"/>
    <w:rsid w:val="43EC6769"/>
    <w:rsid w:val="444D0F16"/>
    <w:rsid w:val="45170B21"/>
    <w:rsid w:val="45314B7C"/>
    <w:rsid w:val="458E6BD6"/>
    <w:rsid w:val="46074774"/>
    <w:rsid w:val="463D754A"/>
    <w:rsid w:val="47481D38"/>
    <w:rsid w:val="47AC3472"/>
    <w:rsid w:val="47CF7161"/>
    <w:rsid w:val="47E03808"/>
    <w:rsid w:val="48303B74"/>
    <w:rsid w:val="486C69DA"/>
    <w:rsid w:val="487C48F7"/>
    <w:rsid w:val="48D72771"/>
    <w:rsid w:val="499A379E"/>
    <w:rsid w:val="49A64064"/>
    <w:rsid w:val="49EA57FA"/>
    <w:rsid w:val="4A0D058E"/>
    <w:rsid w:val="4B285C9E"/>
    <w:rsid w:val="4BBE3774"/>
    <w:rsid w:val="4C1E179B"/>
    <w:rsid w:val="4C8E2698"/>
    <w:rsid w:val="4CD244A8"/>
    <w:rsid w:val="4CF114C9"/>
    <w:rsid w:val="4D38643A"/>
    <w:rsid w:val="4D9C3FEE"/>
    <w:rsid w:val="4DBC24E7"/>
    <w:rsid w:val="4DDF048D"/>
    <w:rsid w:val="4F8000AB"/>
    <w:rsid w:val="4F826A34"/>
    <w:rsid w:val="4FD13E25"/>
    <w:rsid w:val="503652CC"/>
    <w:rsid w:val="51051E45"/>
    <w:rsid w:val="515F0512"/>
    <w:rsid w:val="519E7677"/>
    <w:rsid w:val="51DB4E8B"/>
    <w:rsid w:val="525F5585"/>
    <w:rsid w:val="52732E4A"/>
    <w:rsid w:val="52C620F8"/>
    <w:rsid w:val="532C6003"/>
    <w:rsid w:val="53F02939"/>
    <w:rsid w:val="53FA141E"/>
    <w:rsid w:val="548A5AC1"/>
    <w:rsid w:val="54B020C8"/>
    <w:rsid w:val="54BC55D4"/>
    <w:rsid w:val="54F039E5"/>
    <w:rsid w:val="56310FE7"/>
    <w:rsid w:val="56384123"/>
    <w:rsid w:val="569411A7"/>
    <w:rsid w:val="573F75D0"/>
    <w:rsid w:val="57DA1460"/>
    <w:rsid w:val="584E2691"/>
    <w:rsid w:val="585E72A6"/>
    <w:rsid w:val="586C6306"/>
    <w:rsid w:val="588C0756"/>
    <w:rsid w:val="590F039F"/>
    <w:rsid w:val="59103135"/>
    <w:rsid w:val="5949397D"/>
    <w:rsid w:val="59756D30"/>
    <w:rsid w:val="59A728E8"/>
    <w:rsid w:val="59C503C4"/>
    <w:rsid w:val="59CB77F6"/>
    <w:rsid w:val="59D55136"/>
    <w:rsid w:val="5A020A23"/>
    <w:rsid w:val="5A13112F"/>
    <w:rsid w:val="5A24333C"/>
    <w:rsid w:val="5A2A7328"/>
    <w:rsid w:val="5A7F6F1D"/>
    <w:rsid w:val="5A957839"/>
    <w:rsid w:val="5AA66061"/>
    <w:rsid w:val="5AD102F4"/>
    <w:rsid w:val="5B1E5956"/>
    <w:rsid w:val="5B291D9C"/>
    <w:rsid w:val="5B57504B"/>
    <w:rsid w:val="5B6C5E29"/>
    <w:rsid w:val="5B79353B"/>
    <w:rsid w:val="5BED4A53"/>
    <w:rsid w:val="5C0E40DB"/>
    <w:rsid w:val="5C2547AE"/>
    <w:rsid w:val="5C5872E8"/>
    <w:rsid w:val="5C725A0E"/>
    <w:rsid w:val="5E4813D2"/>
    <w:rsid w:val="5EC0115A"/>
    <w:rsid w:val="5EF66ECF"/>
    <w:rsid w:val="5F78491E"/>
    <w:rsid w:val="601F6096"/>
    <w:rsid w:val="6077727E"/>
    <w:rsid w:val="60864C74"/>
    <w:rsid w:val="609F4139"/>
    <w:rsid w:val="60B2199E"/>
    <w:rsid w:val="614B5BCE"/>
    <w:rsid w:val="61811074"/>
    <w:rsid w:val="618F19E3"/>
    <w:rsid w:val="62134E52"/>
    <w:rsid w:val="622A2D57"/>
    <w:rsid w:val="625405BD"/>
    <w:rsid w:val="6287513D"/>
    <w:rsid w:val="629B6995"/>
    <w:rsid w:val="62F615EE"/>
    <w:rsid w:val="637B2EF8"/>
    <w:rsid w:val="639808F7"/>
    <w:rsid w:val="64CA1511"/>
    <w:rsid w:val="64EE729B"/>
    <w:rsid w:val="657D531C"/>
    <w:rsid w:val="65E46075"/>
    <w:rsid w:val="663E515C"/>
    <w:rsid w:val="66AC2E4B"/>
    <w:rsid w:val="66B36583"/>
    <w:rsid w:val="66E841A8"/>
    <w:rsid w:val="674438E7"/>
    <w:rsid w:val="676B2D66"/>
    <w:rsid w:val="67D41F95"/>
    <w:rsid w:val="67E26EC2"/>
    <w:rsid w:val="67F62241"/>
    <w:rsid w:val="689E165F"/>
    <w:rsid w:val="68DD2925"/>
    <w:rsid w:val="68FA16F3"/>
    <w:rsid w:val="69146636"/>
    <w:rsid w:val="6985242A"/>
    <w:rsid w:val="69B94967"/>
    <w:rsid w:val="69F06D97"/>
    <w:rsid w:val="6A0445F0"/>
    <w:rsid w:val="6A46375F"/>
    <w:rsid w:val="6A8A6E36"/>
    <w:rsid w:val="6AFC23DB"/>
    <w:rsid w:val="6BE91CF0"/>
    <w:rsid w:val="6C554F5B"/>
    <w:rsid w:val="6C5D4A5F"/>
    <w:rsid w:val="6C691001"/>
    <w:rsid w:val="6C9003BD"/>
    <w:rsid w:val="6CB57B39"/>
    <w:rsid w:val="6CBB396F"/>
    <w:rsid w:val="6CC6493B"/>
    <w:rsid w:val="6CCE0EE6"/>
    <w:rsid w:val="6CED2E22"/>
    <w:rsid w:val="6D4F4A89"/>
    <w:rsid w:val="6DA62B86"/>
    <w:rsid w:val="6DB303A1"/>
    <w:rsid w:val="6F075A97"/>
    <w:rsid w:val="70587444"/>
    <w:rsid w:val="710D6480"/>
    <w:rsid w:val="72663448"/>
    <w:rsid w:val="7271188A"/>
    <w:rsid w:val="728E2BEA"/>
    <w:rsid w:val="72B11E4B"/>
    <w:rsid w:val="72C10748"/>
    <w:rsid w:val="72F24D0E"/>
    <w:rsid w:val="73117641"/>
    <w:rsid w:val="735E44B4"/>
    <w:rsid w:val="73663B80"/>
    <w:rsid w:val="741C4C2C"/>
    <w:rsid w:val="74264B50"/>
    <w:rsid w:val="747F756F"/>
    <w:rsid w:val="749136B6"/>
    <w:rsid w:val="74FC3819"/>
    <w:rsid w:val="75095CAE"/>
    <w:rsid w:val="751F6782"/>
    <w:rsid w:val="759A0127"/>
    <w:rsid w:val="768A5887"/>
    <w:rsid w:val="76A60DB6"/>
    <w:rsid w:val="76BD3C36"/>
    <w:rsid w:val="77543075"/>
    <w:rsid w:val="7775693D"/>
    <w:rsid w:val="77957B2F"/>
    <w:rsid w:val="77B5517C"/>
    <w:rsid w:val="77F27954"/>
    <w:rsid w:val="782724DB"/>
    <w:rsid w:val="784A3412"/>
    <w:rsid w:val="786727A1"/>
    <w:rsid w:val="78724531"/>
    <w:rsid w:val="78C93D31"/>
    <w:rsid w:val="790C61F3"/>
    <w:rsid w:val="79144124"/>
    <w:rsid w:val="79397309"/>
    <w:rsid w:val="795F1843"/>
    <w:rsid w:val="79BF6786"/>
    <w:rsid w:val="79D815F5"/>
    <w:rsid w:val="79F006ED"/>
    <w:rsid w:val="7A1F0F66"/>
    <w:rsid w:val="7A28432B"/>
    <w:rsid w:val="7A57793D"/>
    <w:rsid w:val="7A636667"/>
    <w:rsid w:val="7A6B246A"/>
    <w:rsid w:val="7B253A17"/>
    <w:rsid w:val="7B444965"/>
    <w:rsid w:val="7B476A33"/>
    <w:rsid w:val="7BC92391"/>
    <w:rsid w:val="7C3E0167"/>
    <w:rsid w:val="7CBE210E"/>
    <w:rsid w:val="7DCB394B"/>
    <w:rsid w:val="7DFC50DA"/>
    <w:rsid w:val="7E817AC0"/>
    <w:rsid w:val="7E98627B"/>
    <w:rsid w:val="7EC42148"/>
    <w:rsid w:val="7F254D4C"/>
    <w:rsid w:val="7F480FCB"/>
    <w:rsid w:val="7F725360"/>
    <w:rsid w:val="7FC74379"/>
    <w:rsid w:val="7FD47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iPriority="99"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qFormat/>
    <w:uiPriority w:val="0"/>
    <w:pPr>
      <w:keepNext/>
      <w:keepLines/>
      <w:spacing w:before="280" w:after="290" w:line="376" w:lineRule="auto"/>
      <w:outlineLvl w:val="4"/>
    </w:pPr>
    <w:rPr>
      <w:b/>
      <w:bCs/>
      <w:sz w:val="28"/>
      <w:szCs w:val="28"/>
    </w:rPr>
  </w:style>
  <w:style w:type="paragraph" w:styleId="8">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1"/>
    <w:qFormat/>
    <w:uiPriority w:val="0"/>
    <w:pPr>
      <w:keepNext/>
      <w:keepLines/>
      <w:spacing w:before="240" w:after="64" w:line="320" w:lineRule="auto"/>
      <w:outlineLvl w:val="6"/>
    </w:pPr>
    <w:rPr>
      <w:b/>
      <w:bCs/>
      <w:sz w:val="24"/>
    </w:rPr>
  </w:style>
  <w:style w:type="paragraph" w:styleId="10">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36">
    <w:name w:val="Default Paragraph Font"/>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12">
    <w:name w:val="toc 7"/>
    <w:basedOn w:val="13"/>
    <w:next w:val="1"/>
    <w:semiHidden/>
    <w:qFormat/>
    <w:uiPriority w:val="0"/>
  </w:style>
  <w:style w:type="paragraph" w:styleId="13">
    <w:name w:val="toc 6"/>
    <w:basedOn w:val="14"/>
    <w:next w:val="1"/>
    <w:semiHidden/>
    <w:qFormat/>
    <w:uiPriority w:val="0"/>
  </w:style>
  <w:style w:type="paragraph" w:styleId="14">
    <w:name w:val="toc 5"/>
    <w:basedOn w:val="15"/>
    <w:next w:val="1"/>
    <w:semiHidden/>
    <w:qFormat/>
    <w:uiPriority w:val="0"/>
  </w:style>
  <w:style w:type="paragraph" w:styleId="15">
    <w:name w:val="toc 4"/>
    <w:basedOn w:val="16"/>
    <w:next w:val="1"/>
    <w:semiHidden/>
    <w:qFormat/>
    <w:uiPriority w:val="0"/>
  </w:style>
  <w:style w:type="paragraph" w:styleId="16">
    <w:name w:val="toc 3"/>
    <w:basedOn w:val="17"/>
    <w:next w:val="1"/>
    <w:semiHidden/>
    <w:qFormat/>
    <w:uiPriority w:val="0"/>
  </w:style>
  <w:style w:type="paragraph" w:styleId="17">
    <w:name w:val="toc 2"/>
    <w:basedOn w:val="18"/>
    <w:next w:val="1"/>
    <w:semiHidden/>
    <w:qFormat/>
    <w:uiPriority w:val="0"/>
  </w:style>
  <w:style w:type="paragraph" w:styleId="18">
    <w:name w:val="toc 1"/>
    <w:next w:val="1"/>
    <w:semiHidden/>
    <w:qFormat/>
    <w:uiPriority w:val="0"/>
    <w:pPr>
      <w:jc w:val="both"/>
    </w:pPr>
    <w:rPr>
      <w:rFonts w:ascii="宋体" w:hAnsi="Times New Roman" w:eastAsia="宋体" w:cs="Times New Roman"/>
      <w:sz w:val="21"/>
      <w:lang w:val="en-US" w:eastAsia="zh-CN" w:bidi="ar-SA"/>
    </w:rPr>
  </w:style>
  <w:style w:type="paragraph" w:styleId="19">
    <w:name w:val="Normal Indent"/>
    <w:basedOn w:val="1"/>
    <w:unhideWhenUsed/>
    <w:qFormat/>
    <w:uiPriority w:val="99"/>
    <w:pPr>
      <w:ind w:firstLine="420" w:firstLineChars="200"/>
    </w:pPr>
  </w:style>
  <w:style w:type="paragraph" w:styleId="20">
    <w:name w:val="Document Map"/>
    <w:basedOn w:val="1"/>
    <w:semiHidden/>
    <w:qFormat/>
    <w:uiPriority w:val="0"/>
    <w:pPr>
      <w:shd w:val="clear" w:color="auto" w:fill="000080"/>
    </w:pPr>
  </w:style>
  <w:style w:type="paragraph" w:styleId="21">
    <w:name w:val="annotation text"/>
    <w:basedOn w:val="1"/>
    <w:qFormat/>
    <w:uiPriority w:val="0"/>
    <w:pPr>
      <w:jc w:val="left"/>
    </w:pPr>
  </w:style>
  <w:style w:type="paragraph" w:styleId="22">
    <w:name w:val="HTML Address"/>
    <w:basedOn w:val="1"/>
    <w:qFormat/>
    <w:uiPriority w:val="0"/>
    <w:rPr>
      <w:i/>
      <w:iCs/>
    </w:rPr>
  </w:style>
  <w:style w:type="paragraph" w:styleId="23">
    <w:name w:val="Plain Text"/>
    <w:basedOn w:val="1"/>
    <w:qFormat/>
    <w:uiPriority w:val="0"/>
    <w:rPr>
      <w:rFonts w:ascii="宋体" w:hAnsi="Courier New"/>
      <w:szCs w:val="20"/>
    </w:rPr>
  </w:style>
  <w:style w:type="paragraph" w:styleId="24">
    <w:name w:val="toc 8"/>
    <w:basedOn w:val="12"/>
    <w:next w:val="1"/>
    <w:semiHidden/>
    <w:qFormat/>
    <w:uiPriority w:val="0"/>
  </w:style>
  <w:style w:type="paragraph" w:styleId="25">
    <w:name w:val="Date"/>
    <w:basedOn w:val="1"/>
    <w:next w:val="1"/>
    <w:qFormat/>
    <w:uiPriority w:val="0"/>
    <w:pPr>
      <w:ind w:left="100" w:leftChars="2500"/>
    </w:pPr>
  </w:style>
  <w:style w:type="paragraph" w:styleId="26">
    <w:name w:val="endnote text"/>
    <w:basedOn w:val="1"/>
    <w:unhideWhenUsed/>
    <w:qFormat/>
    <w:uiPriority w:val="99"/>
    <w:pPr>
      <w:snapToGrid w:val="0"/>
    </w:pPr>
    <w:rPr>
      <w:rFonts w:ascii="Calibri" w:hAnsi="Calibri"/>
    </w:rPr>
  </w:style>
  <w:style w:type="paragraph" w:styleId="27">
    <w:name w:val="Balloon Text"/>
    <w:basedOn w:val="1"/>
    <w:semiHidden/>
    <w:qFormat/>
    <w:uiPriority w:val="0"/>
    <w:rPr>
      <w:sz w:val="18"/>
      <w:szCs w:val="18"/>
    </w:rPr>
  </w:style>
  <w:style w:type="paragraph" w:styleId="28">
    <w:name w:val="footer"/>
    <w:basedOn w:val="1"/>
    <w:qFormat/>
    <w:uiPriority w:val="0"/>
    <w:pPr>
      <w:tabs>
        <w:tab w:val="center" w:pos="4153"/>
        <w:tab w:val="right" w:pos="8306"/>
      </w:tabs>
      <w:snapToGrid w:val="0"/>
      <w:ind w:right="210" w:rightChars="100"/>
      <w:jc w:val="righ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footnote text"/>
    <w:basedOn w:val="1"/>
    <w:semiHidden/>
    <w:qFormat/>
    <w:uiPriority w:val="0"/>
    <w:pPr>
      <w:snapToGrid w:val="0"/>
      <w:jc w:val="left"/>
    </w:pPr>
    <w:rPr>
      <w:sz w:val="18"/>
      <w:szCs w:val="18"/>
    </w:rPr>
  </w:style>
  <w:style w:type="paragraph" w:styleId="31">
    <w:name w:val="toc 9"/>
    <w:basedOn w:val="24"/>
    <w:next w:val="1"/>
    <w:semiHidden/>
    <w:qFormat/>
    <w:uiPriority w:val="0"/>
  </w:style>
  <w:style w:type="paragraph" w:styleId="3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3">
    <w:name w:val="Title"/>
    <w:basedOn w:val="1"/>
    <w:qFormat/>
    <w:uiPriority w:val="0"/>
    <w:pPr>
      <w:spacing w:before="240" w:after="60"/>
      <w:jc w:val="center"/>
      <w:outlineLvl w:val="0"/>
    </w:pPr>
    <w:rPr>
      <w:rFonts w:ascii="Arial" w:hAnsi="Arial" w:cs="Arial"/>
      <w:b/>
      <w:bCs/>
      <w:sz w:val="32"/>
      <w:szCs w:val="32"/>
    </w:rPr>
  </w:style>
  <w:style w:type="table" w:styleId="35">
    <w:name w:val="Table Grid"/>
    <w:basedOn w:val="3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0"/>
    <w:rPr>
      <w:b/>
      <w:bCs/>
    </w:rPr>
  </w:style>
  <w:style w:type="character" w:styleId="38">
    <w:name w:val="page number"/>
    <w:qFormat/>
    <w:uiPriority w:val="0"/>
    <w:rPr>
      <w:rFonts w:ascii="Times New Roman" w:hAnsi="Times New Roman" w:eastAsia="宋体"/>
      <w:sz w:val="18"/>
    </w:rPr>
  </w:style>
  <w:style w:type="character" w:styleId="39">
    <w:name w:val="FollowedHyperlink"/>
    <w:basedOn w:val="36"/>
    <w:qFormat/>
    <w:uiPriority w:val="0"/>
    <w:rPr>
      <w:color w:val="338DE6"/>
      <w:u w:val="none"/>
    </w:rPr>
  </w:style>
  <w:style w:type="character" w:styleId="40">
    <w:name w:val="Emphasis"/>
    <w:basedOn w:val="36"/>
    <w:qFormat/>
    <w:uiPriority w:val="0"/>
  </w:style>
  <w:style w:type="character" w:styleId="41">
    <w:name w:val="HTML Definition"/>
    <w:qFormat/>
    <w:uiPriority w:val="0"/>
    <w:rPr>
      <w:i/>
      <w:iCs/>
    </w:rPr>
  </w:style>
  <w:style w:type="character" w:styleId="42">
    <w:name w:val="HTML Typewriter"/>
    <w:qFormat/>
    <w:uiPriority w:val="0"/>
    <w:rPr>
      <w:rFonts w:ascii="Courier New" w:hAnsi="Courier New"/>
      <w:sz w:val="20"/>
      <w:szCs w:val="20"/>
    </w:rPr>
  </w:style>
  <w:style w:type="character" w:styleId="43">
    <w:name w:val="HTML Acronym"/>
    <w:basedOn w:val="36"/>
    <w:qFormat/>
    <w:uiPriority w:val="0"/>
  </w:style>
  <w:style w:type="character" w:styleId="44">
    <w:name w:val="HTML Variable"/>
    <w:qFormat/>
    <w:uiPriority w:val="0"/>
    <w:rPr>
      <w:i/>
      <w:iCs/>
    </w:rPr>
  </w:style>
  <w:style w:type="character" w:styleId="45">
    <w:name w:val="Hyperlink"/>
    <w:qFormat/>
    <w:uiPriority w:val="0"/>
    <w:rPr>
      <w:rFonts w:ascii="Times New Roman" w:hAnsi="Times New Roman" w:eastAsia="宋体"/>
      <w:color w:val="auto"/>
      <w:spacing w:val="0"/>
      <w:w w:val="100"/>
      <w:position w:val="0"/>
      <w:sz w:val="21"/>
      <w:u w:val="none"/>
      <w:vertAlign w:val="baseline"/>
    </w:rPr>
  </w:style>
  <w:style w:type="character" w:styleId="46">
    <w:name w:val="HTML Code"/>
    <w:basedOn w:val="36"/>
    <w:qFormat/>
    <w:uiPriority w:val="0"/>
    <w:rPr>
      <w:rFonts w:hint="default" w:ascii="serif" w:hAnsi="serif" w:eastAsia="serif" w:cs="serif"/>
      <w:sz w:val="21"/>
      <w:szCs w:val="21"/>
    </w:rPr>
  </w:style>
  <w:style w:type="character" w:styleId="47">
    <w:name w:val="HTML Cite"/>
    <w:basedOn w:val="36"/>
    <w:qFormat/>
    <w:uiPriority w:val="0"/>
  </w:style>
  <w:style w:type="character" w:styleId="48">
    <w:name w:val="footnote reference"/>
    <w:semiHidden/>
    <w:qFormat/>
    <w:uiPriority w:val="0"/>
    <w:rPr>
      <w:vertAlign w:val="superscript"/>
    </w:rPr>
  </w:style>
  <w:style w:type="character" w:styleId="49">
    <w:name w:val="HTML Keyboard"/>
    <w:qFormat/>
    <w:uiPriority w:val="0"/>
    <w:rPr>
      <w:rFonts w:ascii="Courier New" w:hAnsi="Courier New"/>
      <w:sz w:val="20"/>
      <w:szCs w:val="20"/>
    </w:rPr>
  </w:style>
  <w:style w:type="character" w:styleId="50">
    <w:name w:val="HTML Sample"/>
    <w:qFormat/>
    <w:uiPriority w:val="0"/>
    <w:rPr>
      <w:rFonts w:ascii="Courier New" w:hAnsi="Courier New"/>
    </w:rPr>
  </w:style>
  <w:style w:type="character" w:customStyle="1" w:styleId="51">
    <w:name w:val="HTML 站点"/>
    <w:qFormat/>
    <w:uiPriority w:val="0"/>
    <w:rPr>
      <w:i/>
      <w:iCs/>
    </w:rPr>
  </w:style>
  <w:style w:type="character" w:customStyle="1" w:styleId="52">
    <w:name w:val="个人答复风格"/>
    <w:qFormat/>
    <w:uiPriority w:val="0"/>
    <w:rPr>
      <w:rFonts w:ascii="Arial" w:hAnsi="Arial" w:eastAsia="宋体" w:cs="Arial"/>
      <w:color w:val="auto"/>
      <w:sz w:val="20"/>
    </w:rPr>
  </w:style>
  <w:style w:type="character" w:customStyle="1" w:styleId="53">
    <w:name w:val="段 Char"/>
    <w:link w:val="54"/>
    <w:qFormat/>
    <w:uiPriority w:val="0"/>
    <w:rPr>
      <w:rFonts w:ascii="宋体"/>
      <w:sz w:val="21"/>
      <w:lang w:val="en-US" w:eastAsia="zh-CN" w:bidi="ar-SA"/>
    </w:rPr>
  </w:style>
  <w:style w:type="paragraph" w:customStyle="1" w:styleId="54">
    <w:name w:val="段"/>
    <w:link w:val="53"/>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55">
    <w:name w:val="个人撰写风格"/>
    <w:qFormat/>
    <w:uiPriority w:val="0"/>
    <w:rPr>
      <w:rFonts w:ascii="Arial" w:hAnsi="Arial" w:eastAsia="宋体" w:cs="Arial"/>
      <w:color w:val="auto"/>
      <w:sz w:val="20"/>
    </w:rPr>
  </w:style>
  <w:style w:type="character" w:customStyle="1" w:styleId="56">
    <w:name w:val="high-light-bg4"/>
    <w:qFormat/>
    <w:uiPriority w:val="0"/>
  </w:style>
  <w:style w:type="character" w:customStyle="1" w:styleId="57">
    <w:name w:val="HTML 编码"/>
    <w:qFormat/>
    <w:uiPriority w:val="0"/>
    <w:rPr>
      <w:rFonts w:ascii="Courier New" w:hAnsi="Courier New"/>
      <w:sz w:val="20"/>
      <w:szCs w:val="20"/>
    </w:rPr>
  </w:style>
  <w:style w:type="character" w:customStyle="1" w:styleId="58">
    <w:name w:val="发布"/>
    <w:qFormat/>
    <w:uiPriority w:val="0"/>
    <w:rPr>
      <w:rFonts w:ascii="黑体" w:eastAsia="黑体"/>
      <w:spacing w:val="22"/>
      <w:w w:val="100"/>
      <w:position w:val="3"/>
      <w:sz w:val="28"/>
    </w:rPr>
  </w:style>
  <w:style w:type="paragraph" w:customStyle="1" w:styleId="59">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60">
    <w:name w:val="封面标准号2"/>
    <w:basedOn w:val="59"/>
    <w:qFormat/>
    <w:uiPriority w:val="0"/>
    <w:pPr>
      <w:framePr w:w="9138" w:h="1244" w:hRule="exact" w:wrap="around" w:vAnchor="page" w:hAnchor="margin" w:y="2908"/>
      <w:adjustRightInd w:val="0"/>
      <w:spacing w:before="357" w:line="280" w:lineRule="exact"/>
    </w:pPr>
  </w:style>
  <w:style w:type="paragraph" w:customStyle="1" w:styleId="61">
    <w:name w:val="标准书眉一"/>
    <w:qFormat/>
    <w:uiPriority w:val="0"/>
    <w:pPr>
      <w:jc w:val="both"/>
    </w:pPr>
    <w:rPr>
      <w:rFonts w:ascii="Times New Roman" w:hAnsi="Times New Roman" w:eastAsia="宋体" w:cs="Times New Roman"/>
      <w:lang w:val="en-US" w:eastAsia="zh-CN" w:bidi="ar-SA"/>
    </w:rPr>
  </w:style>
  <w:style w:type="paragraph" w:customStyle="1" w:styleId="62">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63">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64">
    <w:name w:val="附录图标题"/>
    <w:next w:val="54"/>
    <w:qFormat/>
    <w:uiPriority w:val="0"/>
    <w:pPr>
      <w:jc w:val="center"/>
    </w:pPr>
    <w:rPr>
      <w:rFonts w:ascii="黑体" w:hAnsi="Times New Roman" w:eastAsia="黑体" w:cs="Times New Roman"/>
      <w:sz w:val="21"/>
      <w:lang w:val="en-US" w:eastAsia="zh-CN" w:bidi="ar-SA"/>
    </w:rPr>
  </w:style>
  <w:style w:type="paragraph" w:customStyle="1" w:styleId="65">
    <w:name w:val="附录二级条标题"/>
    <w:basedOn w:val="66"/>
    <w:next w:val="54"/>
    <w:qFormat/>
    <w:uiPriority w:val="0"/>
    <w:pPr>
      <w:numPr>
        <w:ilvl w:val="3"/>
      </w:numPr>
      <w:outlineLvl w:val="3"/>
    </w:pPr>
  </w:style>
  <w:style w:type="paragraph" w:customStyle="1" w:styleId="66">
    <w:name w:val="附录一级条标题"/>
    <w:basedOn w:val="67"/>
    <w:next w:val="54"/>
    <w:qFormat/>
    <w:uiPriority w:val="0"/>
    <w:pPr>
      <w:numPr>
        <w:ilvl w:val="2"/>
      </w:numPr>
      <w:autoSpaceDN w:val="0"/>
      <w:spacing w:before="0" w:beforeLines="0" w:after="0" w:afterLines="0"/>
      <w:outlineLvl w:val="2"/>
    </w:pPr>
  </w:style>
  <w:style w:type="paragraph" w:customStyle="1" w:styleId="67">
    <w:name w:val="附录章标题"/>
    <w:next w:val="54"/>
    <w:qFormat/>
    <w:uiPriority w:val="0"/>
    <w:pPr>
      <w:numPr>
        <w:ilvl w:val="1"/>
        <w:numId w:val="1"/>
      </w:num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68">
    <w:name w:val="实施日期"/>
    <w:basedOn w:val="69"/>
    <w:qFormat/>
    <w:uiPriority w:val="0"/>
    <w:pPr>
      <w:framePr w:hSpace="0" w:wrap="around" w:xAlign="right"/>
      <w:jc w:val="right"/>
    </w:pPr>
  </w:style>
  <w:style w:type="paragraph" w:customStyle="1" w:styleId="69">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70">
    <w:name w:val="封面正文"/>
    <w:qFormat/>
    <w:uiPriority w:val="0"/>
    <w:pPr>
      <w:jc w:val="both"/>
    </w:pPr>
    <w:rPr>
      <w:rFonts w:ascii="Times New Roman" w:hAnsi="Times New Roman" w:eastAsia="宋体" w:cs="Times New Roman"/>
      <w:lang w:val="en-US" w:eastAsia="zh-CN" w:bidi="ar-SA"/>
    </w:rPr>
  </w:style>
  <w:style w:type="paragraph" w:customStyle="1" w:styleId="7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72">
    <w:name w:val="附录四级条标题"/>
    <w:basedOn w:val="73"/>
    <w:next w:val="54"/>
    <w:qFormat/>
    <w:uiPriority w:val="0"/>
    <w:pPr>
      <w:numPr>
        <w:ilvl w:val="5"/>
      </w:numPr>
      <w:outlineLvl w:val="5"/>
    </w:pPr>
  </w:style>
  <w:style w:type="paragraph" w:customStyle="1" w:styleId="73">
    <w:name w:val="附录三级条标题"/>
    <w:basedOn w:val="65"/>
    <w:next w:val="54"/>
    <w:qFormat/>
    <w:uiPriority w:val="0"/>
    <w:pPr>
      <w:numPr>
        <w:ilvl w:val="4"/>
      </w:numPr>
      <w:outlineLvl w:val="4"/>
    </w:pPr>
  </w:style>
  <w:style w:type="paragraph" w:customStyle="1" w:styleId="74">
    <w:name w:val="注×："/>
    <w:qFormat/>
    <w:uiPriority w:val="0"/>
    <w:pPr>
      <w:widowControl w:val="0"/>
      <w:numPr>
        <w:ilvl w:val="0"/>
        <w:numId w:val="2"/>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75">
    <w:name w:val="条文脚注"/>
    <w:basedOn w:val="30"/>
    <w:qFormat/>
    <w:uiPriority w:val="0"/>
    <w:pPr>
      <w:ind w:left="780" w:leftChars="200" w:hanging="360" w:hangingChars="200"/>
      <w:jc w:val="both"/>
    </w:pPr>
    <w:rPr>
      <w:rFonts w:ascii="宋体"/>
    </w:rPr>
  </w:style>
  <w:style w:type="paragraph" w:customStyle="1" w:styleId="76">
    <w:name w:val="注："/>
    <w:next w:val="54"/>
    <w:qFormat/>
    <w:uiPriority w:val="0"/>
    <w:pPr>
      <w:widowControl w:val="0"/>
      <w:numPr>
        <w:ilvl w:val="0"/>
        <w:numId w:val="3"/>
      </w:numPr>
      <w:tabs>
        <w:tab w:val="clear" w:pos="1140"/>
      </w:tabs>
      <w:autoSpaceDE w:val="0"/>
      <w:autoSpaceDN w:val="0"/>
      <w:jc w:val="both"/>
    </w:pPr>
    <w:rPr>
      <w:rFonts w:ascii="宋体" w:hAnsi="Times New Roman" w:eastAsia="宋体" w:cs="Times New Roman"/>
      <w:sz w:val="18"/>
      <w:lang w:val="en-US" w:eastAsia="zh-CN" w:bidi="ar-SA"/>
    </w:rPr>
  </w:style>
  <w:style w:type="paragraph" w:customStyle="1" w:styleId="77">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78">
    <w:name w:val="发布部门"/>
    <w:next w:val="54"/>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79">
    <w:name w:val="参考文献、索引标题"/>
    <w:basedOn w:val="80"/>
    <w:next w:val="1"/>
    <w:qFormat/>
    <w:uiPriority w:val="0"/>
    <w:pPr>
      <w:numPr>
        <w:numId w:val="0"/>
      </w:numPr>
      <w:spacing w:after="200"/>
    </w:pPr>
    <w:rPr>
      <w:sz w:val="21"/>
    </w:rPr>
  </w:style>
  <w:style w:type="paragraph" w:customStyle="1" w:styleId="80">
    <w:name w:val="前言、引言标题"/>
    <w:next w:val="1"/>
    <w:qFormat/>
    <w:uiPriority w:val="0"/>
    <w:pPr>
      <w:numPr>
        <w:ilvl w:val="0"/>
        <w:numId w:val="4"/>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81">
    <w:name w:val="章标题"/>
    <w:next w:val="54"/>
    <w:link w:val="127"/>
    <w:qFormat/>
    <w:uiPriority w:val="0"/>
    <w:pPr>
      <w:numPr>
        <w:ilvl w:val="1"/>
        <w:numId w:val="4"/>
      </w:numPr>
      <w:spacing w:before="50" w:beforeLines="50" w:after="50" w:afterLines="50"/>
      <w:jc w:val="both"/>
      <w:outlineLvl w:val="1"/>
    </w:pPr>
    <w:rPr>
      <w:rFonts w:ascii="黑体" w:hAnsi="Times New Roman" w:eastAsia="黑体" w:cs="Times New Roman"/>
      <w:sz w:val="21"/>
      <w:lang w:val="en-US" w:eastAsia="zh-CN" w:bidi="ar-SA"/>
    </w:rPr>
  </w:style>
  <w:style w:type="paragraph" w:customStyle="1" w:styleId="82">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83">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84">
    <w:name w:val="五级条标题"/>
    <w:basedOn w:val="85"/>
    <w:next w:val="54"/>
    <w:qFormat/>
    <w:uiPriority w:val="0"/>
    <w:pPr>
      <w:numPr>
        <w:ilvl w:val="6"/>
      </w:numPr>
      <w:outlineLvl w:val="6"/>
    </w:pPr>
  </w:style>
  <w:style w:type="paragraph" w:customStyle="1" w:styleId="85">
    <w:name w:val="四级条标题"/>
    <w:basedOn w:val="86"/>
    <w:next w:val="54"/>
    <w:qFormat/>
    <w:uiPriority w:val="0"/>
    <w:pPr>
      <w:numPr>
        <w:ilvl w:val="5"/>
      </w:numPr>
      <w:outlineLvl w:val="5"/>
    </w:pPr>
  </w:style>
  <w:style w:type="paragraph" w:customStyle="1" w:styleId="86">
    <w:name w:val="三级条标题"/>
    <w:basedOn w:val="87"/>
    <w:next w:val="54"/>
    <w:qFormat/>
    <w:uiPriority w:val="0"/>
    <w:pPr>
      <w:numPr>
        <w:ilvl w:val="4"/>
      </w:numPr>
      <w:outlineLvl w:val="4"/>
    </w:pPr>
  </w:style>
  <w:style w:type="paragraph" w:customStyle="1" w:styleId="87">
    <w:name w:val="二级条标题"/>
    <w:basedOn w:val="88"/>
    <w:next w:val="54"/>
    <w:qFormat/>
    <w:uiPriority w:val="0"/>
    <w:pPr>
      <w:numPr>
        <w:ilvl w:val="3"/>
      </w:numPr>
      <w:outlineLvl w:val="3"/>
    </w:pPr>
  </w:style>
  <w:style w:type="paragraph" w:customStyle="1" w:styleId="88">
    <w:name w:val="一级条标题"/>
    <w:basedOn w:val="81"/>
    <w:next w:val="54"/>
    <w:qFormat/>
    <w:uiPriority w:val="0"/>
    <w:pPr>
      <w:numPr>
        <w:ilvl w:val="2"/>
        <w:numId w:val="0"/>
      </w:numPr>
      <w:spacing w:before="0" w:beforeLines="0" w:after="0" w:afterLines="0"/>
      <w:outlineLvl w:val="2"/>
    </w:pPr>
  </w:style>
  <w:style w:type="paragraph" w:customStyle="1" w:styleId="89">
    <w:name w:val="ordinary-output"/>
    <w:basedOn w:val="1"/>
    <w:qFormat/>
    <w:uiPriority w:val="0"/>
    <w:pPr>
      <w:widowControl/>
      <w:spacing w:before="100" w:beforeAutospacing="1" w:after="75" w:line="330" w:lineRule="atLeast"/>
      <w:jc w:val="left"/>
    </w:pPr>
    <w:rPr>
      <w:rFonts w:ascii="宋体" w:hAnsi="宋体" w:cs="宋体"/>
      <w:color w:val="333333"/>
      <w:kern w:val="0"/>
      <w:sz w:val="27"/>
      <w:szCs w:val="27"/>
    </w:rPr>
  </w:style>
  <w:style w:type="paragraph" w:customStyle="1" w:styleId="90">
    <w:name w:val="无标题条"/>
    <w:next w:val="54"/>
    <w:qFormat/>
    <w:uiPriority w:val="0"/>
    <w:pPr>
      <w:jc w:val="both"/>
    </w:pPr>
    <w:rPr>
      <w:rFonts w:ascii="Times New Roman" w:hAnsi="Times New Roman" w:eastAsia="宋体" w:cs="Times New Roman"/>
      <w:sz w:val="21"/>
      <w:lang w:val="en-US" w:eastAsia="zh-CN" w:bidi="ar-SA"/>
    </w:rPr>
  </w:style>
  <w:style w:type="paragraph" w:customStyle="1" w:styleId="91">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92">
    <w:name w:val="二级无标题条"/>
    <w:basedOn w:val="1"/>
    <w:qFormat/>
    <w:uiPriority w:val="0"/>
    <w:pPr>
      <w:numPr>
        <w:ilvl w:val="3"/>
        <w:numId w:val="5"/>
      </w:numPr>
    </w:pPr>
  </w:style>
  <w:style w:type="paragraph" w:customStyle="1" w:styleId="9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94">
    <w:name w:val="正文表标题"/>
    <w:next w:val="54"/>
    <w:qFormat/>
    <w:uiPriority w:val="0"/>
    <w:pPr>
      <w:numPr>
        <w:ilvl w:val="0"/>
        <w:numId w:val="6"/>
      </w:numPr>
      <w:jc w:val="center"/>
    </w:pPr>
    <w:rPr>
      <w:rFonts w:ascii="黑体" w:hAnsi="Times New Roman" w:eastAsia="黑体" w:cs="Times New Roman"/>
      <w:sz w:val="21"/>
      <w:lang w:val="en-US" w:eastAsia="zh-CN" w:bidi="ar-SA"/>
    </w:rPr>
  </w:style>
  <w:style w:type="paragraph" w:customStyle="1" w:styleId="95">
    <w:name w:val="一级无标题条"/>
    <w:basedOn w:val="1"/>
    <w:qFormat/>
    <w:uiPriority w:val="0"/>
    <w:pPr>
      <w:numPr>
        <w:ilvl w:val="2"/>
        <w:numId w:val="5"/>
      </w:numPr>
    </w:pPr>
  </w:style>
  <w:style w:type="paragraph" w:customStyle="1" w:styleId="96">
    <w:name w:val="列项——"/>
    <w:qFormat/>
    <w:uiPriority w:val="0"/>
    <w:pPr>
      <w:widowControl w:val="0"/>
      <w:numPr>
        <w:ilvl w:val="0"/>
        <w:numId w:val="7"/>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97">
    <w:name w:val="示例"/>
    <w:next w:val="54"/>
    <w:qFormat/>
    <w:uiPriority w:val="0"/>
    <w:pPr>
      <w:numPr>
        <w:ilvl w:val="0"/>
        <w:numId w:val="8"/>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98">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99">
    <w:name w:val="附录表标题"/>
    <w:next w:val="54"/>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100">
    <w:name w:val="四级无标题条"/>
    <w:basedOn w:val="1"/>
    <w:qFormat/>
    <w:uiPriority w:val="0"/>
    <w:pPr>
      <w:numPr>
        <w:ilvl w:val="5"/>
        <w:numId w:val="5"/>
      </w:numPr>
    </w:pPr>
  </w:style>
  <w:style w:type="paragraph" w:customStyle="1" w:styleId="101">
    <w:name w:val="封面标准代替信息"/>
    <w:basedOn w:val="60"/>
    <w:qFormat/>
    <w:uiPriority w:val="0"/>
    <w:pPr>
      <w:framePr w:wrap="around"/>
      <w:spacing w:before="57"/>
    </w:pPr>
    <w:rPr>
      <w:rFonts w:ascii="宋体"/>
      <w:sz w:val="21"/>
    </w:rPr>
  </w:style>
  <w:style w:type="paragraph" w:customStyle="1" w:styleId="102">
    <w:name w:val="封面标准英文名称"/>
    <w:qFormat/>
    <w:uiPriority w:val="99"/>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103">
    <w:name w:val="列项·"/>
    <w:qFormat/>
    <w:uiPriority w:val="0"/>
    <w:pPr>
      <w:numPr>
        <w:ilvl w:val="0"/>
        <w:numId w:val="9"/>
      </w:numPr>
      <w:tabs>
        <w:tab w:val="left" w:pos="840"/>
        <w:tab w:val="clear" w:pos="1140"/>
      </w:tabs>
      <w:ind w:left="840" w:leftChars="200" w:hanging="420" w:hangingChars="200"/>
      <w:jc w:val="both"/>
    </w:pPr>
    <w:rPr>
      <w:rFonts w:ascii="宋体" w:hAnsi="Times New Roman" w:eastAsia="宋体" w:cs="Times New Roman"/>
      <w:sz w:val="21"/>
      <w:lang w:val="en-US" w:eastAsia="zh-CN" w:bidi="ar-SA"/>
    </w:rPr>
  </w:style>
  <w:style w:type="paragraph" w:customStyle="1" w:styleId="104">
    <w:name w:val="附录五级条标题"/>
    <w:basedOn w:val="72"/>
    <w:next w:val="54"/>
    <w:qFormat/>
    <w:uiPriority w:val="0"/>
    <w:pPr>
      <w:numPr>
        <w:ilvl w:val="6"/>
      </w:numPr>
      <w:outlineLvl w:val="6"/>
    </w:pPr>
  </w:style>
  <w:style w:type="paragraph" w:customStyle="1" w:styleId="105">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06">
    <w:name w:val="HTML 预先格式化"/>
    <w:basedOn w:val="1"/>
    <w:qFormat/>
    <w:uiPriority w:val="0"/>
    <w:rPr>
      <w:rFonts w:ascii="Courier New" w:hAnsi="Courier New" w:cs="楷体_GB2312"/>
      <w:sz w:val="20"/>
      <w:szCs w:val="20"/>
    </w:rPr>
  </w:style>
  <w:style w:type="paragraph" w:customStyle="1" w:styleId="107">
    <w:name w:val="标准书眉_偶数页"/>
    <w:basedOn w:val="108"/>
    <w:next w:val="1"/>
    <w:qFormat/>
    <w:uiPriority w:val="0"/>
    <w:pPr>
      <w:tabs>
        <w:tab w:val="center" w:pos="4154"/>
        <w:tab w:val="right" w:pos="8306"/>
      </w:tabs>
      <w:jc w:val="left"/>
    </w:pPr>
  </w:style>
  <w:style w:type="paragraph" w:customStyle="1" w:styleId="108">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09">
    <w:name w:val="正文图标题"/>
    <w:next w:val="54"/>
    <w:qFormat/>
    <w:uiPriority w:val="0"/>
    <w:pPr>
      <w:numPr>
        <w:ilvl w:val="0"/>
        <w:numId w:val="10"/>
      </w:numPr>
      <w:jc w:val="center"/>
    </w:pPr>
    <w:rPr>
      <w:rFonts w:ascii="黑体" w:hAnsi="Times New Roman" w:eastAsia="黑体" w:cs="Times New Roman"/>
      <w:sz w:val="21"/>
      <w:lang w:val="en-US" w:eastAsia="zh-CN" w:bidi="ar-SA"/>
    </w:rPr>
  </w:style>
  <w:style w:type="paragraph" w:customStyle="1" w:styleId="11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11">
    <w:name w:val="五级无标题条"/>
    <w:basedOn w:val="1"/>
    <w:qFormat/>
    <w:uiPriority w:val="0"/>
    <w:pPr>
      <w:numPr>
        <w:ilvl w:val="6"/>
        <w:numId w:val="5"/>
      </w:numPr>
    </w:pPr>
  </w:style>
  <w:style w:type="paragraph" w:customStyle="1" w:styleId="112">
    <w:name w:val="其他发布部门"/>
    <w:basedOn w:val="78"/>
    <w:qFormat/>
    <w:uiPriority w:val="0"/>
    <w:pPr>
      <w:framePr w:wrap="around"/>
      <w:spacing w:line="0" w:lineRule="atLeast"/>
    </w:pPr>
    <w:rPr>
      <w:rFonts w:ascii="黑体" w:eastAsia="黑体"/>
      <w:b w:val="0"/>
    </w:rPr>
  </w:style>
  <w:style w:type="paragraph" w:customStyle="1" w:styleId="113">
    <w:name w:val="三级无标题条"/>
    <w:basedOn w:val="1"/>
    <w:qFormat/>
    <w:uiPriority w:val="0"/>
    <w:pPr>
      <w:numPr>
        <w:ilvl w:val="4"/>
        <w:numId w:val="5"/>
      </w:numPr>
    </w:pPr>
  </w:style>
  <w:style w:type="paragraph" w:customStyle="1" w:styleId="114">
    <w:name w:val="标准"/>
    <w:basedOn w:val="1"/>
    <w:qFormat/>
    <w:uiPriority w:val="0"/>
    <w:pPr>
      <w:adjustRightInd w:val="0"/>
      <w:spacing w:line="312" w:lineRule="atLeast"/>
      <w:jc w:val="center"/>
      <w:textAlignment w:val="baseline"/>
    </w:pPr>
    <w:rPr>
      <w:kern w:val="0"/>
      <w:szCs w:val="20"/>
    </w:rPr>
  </w:style>
  <w:style w:type="paragraph" w:customStyle="1" w:styleId="115">
    <w:name w:val="目次、标准名称标题"/>
    <w:basedOn w:val="80"/>
    <w:next w:val="54"/>
    <w:qFormat/>
    <w:uiPriority w:val="0"/>
    <w:pPr>
      <w:numPr>
        <w:numId w:val="0"/>
      </w:numPr>
      <w:spacing w:line="460" w:lineRule="exact"/>
    </w:pPr>
  </w:style>
  <w:style w:type="paragraph" w:customStyle="1" w:styleId="116">
    <w:name w:val="图表脚注"/>
    <w:next w:val="54"/>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117">
    <w:name w:val="附录标识"/>
    <w:basedOn w:val="80"/>
    <w:qFormat/>
    <w:uiPriority w:val="0"/>
    <w:pPr>
      <w:numPr>
        <w:ilvl w:val="0"/>
        <w:numId w:val="1"/>
      </w:numPr>
      <w:tabs>
        <w:tab w:val="left" w:pos="6405"/>
      </w:tabs>
      <w:spacing w:after="200"/>
    </w:pPr>
    <w:rPr>
      <w:sz w:val="21"/>
    </w:rPr>
  </w:style>
  <w:style w:type="paragraph" w:customStyle="1" w:styleId="118">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19">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table" w:customStyle="1" w:styleId="120">
    <w:name w:val="网格型1"/>
    <w:basedOn w:val="3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1">
    <w:name w:val="List Paragraph"/>
    <w:basedOn w:val="1"/>
    <w:qFormat/>
    <w:uiPriority w:val="34"/>
    <w:pPr>
      <w:ind w:firstLine="420" w:firstLineChars="200"/>
    </w:pPr>
  </w:style>
  <w:style w:type="character" w:styleId="122">
    <w:name w:val="Placeholder Text"/>
    <w:basedOn w:val="36"/>
    <w:unhideWhenUsed/>
    <w:qFormat/>
    <w:uiPriority w:val="99"/>
    <w:rPr>
      <w:color w:val="808080"/>
    </w:rPr>
  </w:style>
  <w:style w:type="character" w:customStyle="1" w:styleId="123">
    <w:name w:val="fontborder"/>
    <w:basedOn w:val="36"/>
    <w:qFormat/>
    <w:uiPriority w:val="0"/>
    <w:rPr>
      <w:bdr w:val="single" w:color="000000" w:sz="6" w:space="0"/>
    </w:rPr>
  </w:style>
  <w:style w:type="character" w:customStyle="1" w:styleId="124">
    <w:name w:val="fontstrikethrough"/>
    <w:basedOn w:val="36"/>
    <w:qFormat/>
    <w:uiPriority w:val="0"/>
    <w:rPr>
      <w:strike/>
    </w:rPr>
  </w:style>
  <w:style w:type="character" w:customStyle="1" w:styleId="125">
    <w:name w:val="font01"/>
    <w:qFormat/>
    <w:uiPriority w:val="0"/>
    <w:rPr>
      <w:rFonts w:hint="default" w:ascii="Times New Roman" w:hAnsi="Times New Roman" w:cs="Times New Roman"/>
      <w:color w:val="000000"/>
      <w:sz w:val="24"/>
      <w:szCs w:val="24"/>
      <w:u w:val="none"/>
    </w:rPr>
  </w:style>
  <w:style w:type="character" w:customStyle="1" w:styleId="126">
    <w:name w:val="font11"/>
    <w:basedOn w:val="36"/>
    <w:qFormat/>
    <w:uiPriority w:val="0"/>
    <w:rPr>
      <w:rFonts w:hint="eastAsia" w:ascii="宋体" w:hAnsi="宋体" w:eastAsia="宋体" w:cs="宋体"/>
      <w:color w:val="000000"/>
      <w:sz w:val="24"/>
      <w:szCs w:val="24"/>
      <w:u w:val="none"/>
    </w:rPr>
  </w:style>
  <w:style w:type="character" w:customStyle="1" w:styleId="127">
    <w:name w:val="章标题 Char"/>
    <w:link w:val="81"/>
    <w:qFormat/>
    <w:uiPriority w:val="0"/>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0F31C6-04A7-4BA6-B89D-0CF04D764175}">
  <ds:schemaRefs/>
</ds:datastoreItem>
</file>

<file path=docProps/app.xml><?xml version="1.0" encoding="utf-8"?>
<Properties xmlns="http://schemas.openxmlformats.org/officeDocument/2006/extended-properties" xmlns:vt="http://schemas.openxmlformats.org/officeDocument/2006/docPropsVTypes">
  <Template>Normal.dotm</Template>
  <Company>中国标准研究中心</Company>
  <Pages>5</Pages>
  <Words>2040</Words>
  <Characters>2470</Characters>
  <Lines>154</Lines>
  <Paragraphs>117</Paragraphs>
  <TotalTime>1</TotalTime>
  <ScaleCrop>false</ScaleCrop>
  <LinksUpToDate>false</LinksUpToDate>
  <CharactersWithSpaces>2521</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2021-09-28T08:14:00Z</dcterms:created>
  <dc:creator>南方稀土高技术股份有限公司</dc:creator>
  <cp:lastModifiedBy>王玉娇</cp:lastModifiedBy>
  <cp:lastPrinted>2022-02-15T07:36:00Z</cp:lastPrinted>
  <dcterms:modified xsi:type="dcterms:W3CDTF">2026-09-07T08:47:29Z</dcterms:modified>
  <dc:title>前    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D84069F54A424FFFA5928960568F349A</vt:lpwstr>
  </property>
</Properties>
</file>