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1"/>
      </w:pPr>
      <w:bookmarkStart w:id="0" w:name="SectionMark0"/>
      <w:r>
        <mc:AlternateContent>
          <mc:Choice Requires="wps">
            <w:drawing>
              <wp:anchor distT="0" distB="0" distL="114300" distR="114300" simplePos="0" relativeHeight="251668480" behindDoc="0" locked="1" layoutInCell="0" allowOverlap="1">
                <wp:simplePos x="0" y="0"/>
                <wp:positionH relativeFrom="margin">
                  <wp:posOffset>1604010</wp:posOffset>
                </wp:positionH>
                <wp:positionV relativeFrom="margin">
                  <wp:posOffset>8993505</wp:posOffset>
                </wp:positionV>
                <wp:extent cx="2867025" cy="342265"/>
                <wp:effectExtent l="0" t="0" r="9525" b="635"/>
                <wp:wrapNone/>
                <wp:docPr id="22" name="fmFrame7"/>
                <wp:cNvGraphicFramePr/>
                <a:graphic xmlns:a="http://schemas.openxmlformats.org/drawingml/2006/main">
                  <a:graphicData uri="http://schemas.microsoft.com/office/word/2010/wordprocessingShape">
                    <wps:wsp>
                      <wps:cNvSpPr txBox="1">
                        <a:spLocks noChangeArrowheads="1"/>
                      </wps:cNvSpPr>
                      <wps:spPr bwMode="auto">
                        <a:xfrm>
                          <a:off x="0" y="0"/>
                          <a:ext cx="2867025" cy="342265"/>
                        </a:xfrm>
                        <a:prstGeom prst="rect">
                          <a:avLst/>
                        </a:prstGeom>
                        <a:solidFill>
                          <a:srgbClr val="FFFFFF"/>
                        </a:solidFill>
                        <a:ln>
                          <a:noFill/>
                        </a:ln>
                        <a:effectLst/>
                      </wps:spPr>
                      <wps:txbx>
                        <w:txbxContent>
                          <w:p>
                            <w:pPr>
                              <w:pStyle w:val="55"/>
                              <w:ind w:firstLine="0" w:firstLineChars="0"/>
                              <w:jc w:val="distribute"/>
                              <w:rPr>
                                <w:b/>
                                <w:spacing w:val="20"/>
                                <w:w w:val="135"/>
                                <w:sz w:val="28"/>
                                <w:szCs w:val="28"/>
                              </w:rPr>
                            </w:pPr>
                            <w:r>
                              <w:rPr>
                                <w:rFonts w:ascii="Times New Roman" w:eastAsia="黑体"/>
                                <w:sz w:val="32"/>
                                <w:szCs w:val="32"/>
                              </w:rPr>
                              <w:t>国家</w:t>
                            </w:r>
                            <w:r>
                              <w:rPr>
                                <w:rFonts w:hint="eastAsia" w:ascii="Times New Roman" w:eastAsia="黑体"/>
                                <w:sz w:val="32"/>
                                <w:szCs w:val="32"/>
                              </w:rPr>
                              <w:t>市场监督管理总局</w:t>
                            </w:r>
                          </w:p>
                          <w:p>
                            <w:pPr>
                              <w:pStyle w:val="55"/>
                              <w:ind w:firstLine="560"/>
                              <w:jc w:val="distribute"/>
                              <w:rPr>
                                <w:sz w:val="28"/>
                                <w:szCs w:val="28"/>
                              </w:rPr>
                            </w:pPr>
                          </w:p>
                          <w:p>
                            <w:pPr>
                              <w:pStyle w:val="55"/>
                              <w:ind w:firstLine="560"/>
                              <w:jc w:val="distribute"/>
                              <w:rPr>
                                <w:sz w:val="28"/>
                                <w:szCs w:val="28"/>
                              </w:rPr>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26.3pt;margin-top:708.15pt;height:26.95pt;width:225.75pt;mso-position-horizontal-relative:margin;mso-position-vertical-relative:margin;z-index:251668480;mso-width-relative:page;mso-height-relative:page;" fillcolor="#FFFFFF" filled="t" stroked="f" coordsize="21600,21600" o:allowincell="f" o:gfxdata="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saTi9oAAAANAQAA&#10;DwAAAAAAAAABACAAAAAiAAAAZHJzL2Rvd25yZXYueG1sUEsBAhQAFAAAAAgAh07iQE7oJOwXAgAA&#10;OgQAAA4AAAAAAAAAAQAgAAAAKQEAAGRycy9lMm9Eb2MueG1sUEsFBgAAAAAGAAYAWQEAALIFAAAA&#10;AA==&#10;">
                <v:fill on="t" focussize="0,0"/>
                <v:stroke on="f"/>
                <v:imagedata o:title=""/>
                <o:lock v:ext="edit" aspectratio="f"/>
                <v:textbox inset="0mm,0mm,0mm,0mm">
                  <w:txbxContent>
                    <w:p>
                      <w:pPr>
                        <w:pStyle w:val="55"/>
                        <w:ind w:firstLine="0" w:firstLineChars="0"/>
                        <w:jc w:val="distribute"/>
                        <w:rPr>
                          <w:b/>
                          <w:spacing w:val="20"/>
                          <w:w w:val="135"/>
                          <w:sz w:val="28"/>
                          <w:szCs w:val="28"/>
                        </w:rPr>
                      </w:pPr>
                      <w:r>
                        <w:rPr>
                          <w:rFonts w:ascii="Times New Roman" w:eastAsia="黑体"/>
                          <w:sz w:val="32"/>
                          <w:szCs w:val="32"/>
                        </w:rPr>
                        <w:t>国家</w:t>
                      </w:r>
                      <w:r>
                        <w:rPr>
                          <w:rFonts w:hint="eastAsia" w:ascii="Times New Roman" w:eastAsia="黑体"/>
                          <w:sz w:val="32"/>
                          <w:szCs w:val="32"/>
                        </w:rPr>
                        <w:t>市场监督管理总局</w:t>
                      </w:r>
                    </w:p>
                    <w:p>
                      <w:pPr>
                        <w:pStyle w:val="55"/>
                        <w:ind w:firstLine="560"/>
                        <w:jc w:val="distribute"/>
                        <w:rPr>
                          <w:sz w:val="28"/>
                          <w:szCs w:val="28"/>
                        </w:rPr>
                      </w:pPr>
                    </w:p>
                    <w:p>
                      <w:pPr>
                        <w:pStyle w:val="55"/>
                        <w:ind w:firstLine="560"/>
                        <w:jc w:val="distribute"/>
                        <w:rPr>
                          <w:sz w:val="28"/>
                          <w:szCs w:val="28"/>
                        </w:rPr>
                      </w:pPr>
                    </w:p>
                  </w:txbxContent>
                </v:textbox>
                <w10:anchorlock/>
              </v:shape>
            </w:pict>
          </mc:Fallback>
        </mc:AlternateContent>
      </w:r>
      <w:r>
        <w:drawing>
          <wp:anchor distT="0" distB="0" distL="114300" distR="114300" simplePos="0" relativeHeight="251667456" behindDoc="0" locked="1" layoutInCell="0" allowOverlap="1">
            <wp:simplePos x="0" y="0"/>
            <wp:positionH relativeFrom="margin">
              <wp:posOffset>4342765</wp:posOffset>
            </wp:positionH>
            <wp:positionV relativeFrom="margin">
              <wp:posOffset>116840</wp:posOffset>
            </wp:positionV>
            <wp:extent cx="1439545" cy="720090"/>
            <wp:effectExtent l="0" t="0" r="8255" b="3810"/>
            <wp:wrapNone/>
            <wp:docPr id="21" name="HBPicture" descr="GB"/>
            <wp:cNvGraphicFramePr/>
            <a:graphic xmlns:a="http://schemas.openxmlformats.org/drawingml/2006/main">
              <a:graphicData uri="http://schemas.openxmlformats.org/drawingml/2006/picture">
                <pic:pic xmlns:pic="http://schemas.openxmlformats.org/drawingml/2006/picture">
                  <pic:nvPicPr>
                    <pic:cNvPr id="21" name="HBPicture" descr="GB"/>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439545" cy="720090"/>
                    </a:xfrm>
                    <a:prstGeom prst="rect">
                      <a:avLst/>
                    </a:prstGeom>
                    <a:noFill/>
                    <a:ln>
                      <a:noFill/>
                    </a:ln>
                  </pic:spPr>
                </pic:pic>
              </a:graphicData>
            </a:graphic>
          </wp:anchor>
        </w:drawing>
      </w:r>
      <w:r>
        <mc:AlternateContent>
          <mc:Choice Requires="wps">
            <w:drawing>
              <wp:anchor distT="0" distB="0" distL="114300" distR="114300" simplePos="0" relativeHeight="251664384" behindDoc="0" locked="1" layoutInCell="0" allowOverlap="1">
                <wp:simplePos x="0" y="0"/>
                <wp:positionH relativeFrom="margin">
                  <wp:posOffset>1604645</wp:posOffset>
                </wp:positionH>
                <wp:positionV relativeFrom="margin">
                  <wp:posOffset>9269730</wp:posOffset>
                </wp:positionV>
                <wp:extent cx="2867025" cy="347345"/>
                <wp:effectExtent l="0" t="0" r="9525" b="14605"/>
                <wp:wrapNone/>
                <wp:docPr id="20" name="fmFrame7"/>
                <wp:cNvGraphicFramePr/>
                <a:graphic xmlns:a="http://schemas.openxmlformats.org/drawingml/2006/main">
                  <a:graphicData uri="http://schemas.microsoft.com/office/word/2010/wordprocessingShape">
                    <wps:wsp>
                      <wps:cNvSpPr txBox="1">
                        <a:spLocks noChangeArrowheads="1"/>
                      </wps:cNvSpPr>
                      <wps:spPr bwMode="auto">
                        <a:xfrm>
                          <a:off x="0" y="0"/>
                          <a:ext cx="2867025" cy="347345"/>
                        </a:xfrm>
                        <a:prstGeom prst="rect">
                          <a:avLst/>
                        </a:prstGeom>
                        <a:solidFill>
                          <a:srgbClr val="FFFFFF"/>
                        </a:solidFill>
                        <a:ln>
                          <a:noFill/>
                        </a:ln>
                        <a:effectLst/>
                      </wps:spPr>
                      <wps:txbx>
                        <w:txbxContent>
                          <w:p>
                            <w:pPr>
                              <w:pStyle w:val="79"/>
                              <w:jc w:val="distribute"/>
                              <w:rPr>
                                <w:rFonts w:ascii="Times New Roman" w:eastAsia="黑体"/>
                                <w:b w:val="0"/>
                                <w:spacing w:val="0"/>
                                <w:w w:val="100"/>
                                <w:sz w:val="32"/>
                                <w:szCs w:val="32"/>
                              </w:rPr>
                            </w:pPr>
                            <w:r>
                              <w:rPr>
                                <w:rFonts w:hint="eastAsia" w:ascii="Times New Roman" w:eastAsia="黑体"/>
                                <w:b w:val="0"/>
                                <w:spacing w:val="0"/>
                                <w:w w:val="100"/>
                                <w:sz w:val="32"/>
                                <w:szCs w:val="32"/>
                              </w:rPr>
                              <w:t>国家标准化管理委员会</w:t>
                            </w:r>
                          </w:p>
                          <w:p>
                            <w:pPr>
                              <w:pStyle w:val="55"/>
                              <w:ind w:firstLine="420"/>
                              <w:jc w:val="distribute"/>
                            </w:pPr>
                          </w:p>
                          <w:p>
                            <w:pPr>
                              <w:pStyle w:val="55"/>
                              <w:ind w:firstLine="420"/>
                              <w:jc w:val="distribute"/>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26.35pt;margin-top:729.9pt;height:27.35pt;width:225.75pt;mso-position-horizontal-relative:margin;mso-position-vertical-relative:margin;z-index:251664384;mso-width-relative:page;mso-height-relative:page;" fillcolor="#FFFFFF" filled="t" stroked="f" coordsize="21600,21600" o:allowincell="f" o:gfxdata="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9mvH32gAAAA0BAAAP&#10;AAAAAAAAAAEAIAAAACIAAABkcnMvZG93bnJldi54bWxQSwECFAAUAAAACACHTuJAomyy+hYCAAA6&#10;BAAADgAAAAAAAAABACAAAAApAQAAZHJzL2Uyb0RvYy54bWxQSwUGAAAAAAYABgBZAQAAsQUAAAAA&#10;">
                <v:fill on="t" focussize="0,0"/>
                <v:stroke on="f"/>
                <v:imagedata o:title=""/>
                <o:lock v:ext="edit" aspectratio="f"/>
                <v:textbox inset="0mm,0mm,0mm,0mm">
                  <w:txbxContent>
                    <w:p>
                      <w:pPr>
                        <w:pStyle w:val="79"/>
                        <w:jc w:val="distribute"/>
                        <w:rPr>
                          <w:rFonts w:ascii="Times New Roman" w:eastAsia="黑体"/>
                          <w:b w:val="0"/>
                          <w:spacing w:val="0"/>
                          <w:w w:val="100"/>
                          <w:sz w:val="32"/>
                          <w:szCs w:val="32"/>
                        </w:rPr>
                      </w:pPr>
                      <w:r>
                        <w:rPr>
                          <w:rFonts w:hint="eastAsia" w:ascii="Times New Roman" w:eastAsia="黑体"/>
                          <w:b w:val="0"/>
                          <w:spacing w:val="0"/>
                          <w:w w:val="100"/>
                          <w:sz w:val="32"/>
                          <w:szCs w:val="32"/>
                        </w:rPr>
                        <w:t>国家标准化管理委员会</w:t>
                      </w:r>
                    </w:p>
                    <w:p>
                      <w:pPr>
                        <w:pStyle w:val="55"/>
                        <w:ind w:firstLine="420"/>
                        <w:jc w:val="distribute"/>
                      </w:pPr>
                    </w:p>
                    <w:p>
                      <w:pPr>
                        <w:pStyle w:val="55"/>
                        <w:ind w:firstLine="420"/>
                        <w:jc w:val="distribute"/>
                      </w:pPr>
                    </w:p>
                  </w:txbxContent>
                </v:textbox>
                <w10:anchorlock/>
              </v:shape>
            </w:pict>
          </mc:Fallback>
        </mc:AlternateContent>
      </w:r>
      <w:r>
        <mc:AlternateContent>
          <mc:Choice Requires="wps">
            <w:drawing>
              <wp:anchor distT="0" distB="0" distL="114300" distR="114300" simplePos="0" relativeHeight="251663360" behindDoc="0" locked="1" layoutInCell="1" allowOverlap="1">
                <wp:simplePos x="0" y="0"/>
                <wp:positionH relativeFrom="margin">
                  <wp:posOffset>4000500</wp:posOffset>
                </wp:positionH>
                <wp:positionV relativeFrom="margin">
                  <wp:posOffset>8559165</wp:posOffset>
                </wp:positionV>
                <wp:extent cx="2019300" cy="312420"/>
                <wp:effectExtent l="0" t="0" r="0" b="11430"/>
                <wp:wrapNone/>
                <wp:docPr id="19"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pPr>
                              <w:pStyle w:val="69"/>
                            </w:pPr>
                            <w:r>
                              <w:rPr>
                                <w:rFonts w:hint="eastAsia" w:ascii="黑体" w:hAnsi="黑体" w:cs="黑体"/>
                              </w:rPr>
                              <w:t>202X</w:t>
                            </w:r>
                            <w:r>
                              <w:rPr>
                                <w:rFonts w:hint="eastAsia" w:ascii="黑体" w:hAnsi="黑体" w:cs="黑体"/>
                                <w:color w:val="000000"/>
                              </w:rPr>
                              <w:t>-XX-XX</w:t>
                            </w:r>
                            <w:r>
                              <w:rPr>
                                <w:rFonts w:hint="eastAsia" w:ascii="黑体" w:hAnsi="黑体" w:cs="黑体"/>
                              </w:rPr>
                              <w:t>实施</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15pt;margin-top:673.95pt;height:24.6pt;width:159pt;mso-position-horizontal-relative:margin;mso-position-vertical-relative:margin;z-index:251663360;mso-width-relative:page;mso-height-relative:page;" fillcolor="#FFFFFF" filled="t" stroked="f" coordsize="21600,21600" o:gfxdata="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BkyGP2gAAAA0BAAAPAAAA&#10;AAAAAAEAIAAAACIAAABkcnMvZG93bnJldi54bWxQSwECFAAUAAAACACHTuJAXnBzWhMCAAA6BAAA&#10;DgAAAAAAAAABACAAAAApAQAAZHJzL2Uyb0RvYy54bWxQSwUGAAAAAAYABgBZAQAArgUAAAAA&#10;">
                <v:fill on="t" focussize="0,0"/>
                <v:stroke on="f"/>
                <v:imagedata o:title=""/>
                <o:lock v:ext="edit" aspectratio="f"/>
                <v:textbox inset="0mm,0mm,0mm,0mm">
                  <w:txbxContent>
                    <w:p>
                      <w:pPr>
                        <w:pStyle w:val="69"/>
                      </w:pPr>
                      <w:r>
                        <w:rPr>
                          <w:rFonts w:hint="eastAsia" w:ascii="黑体" w:hAnsi="黑体" w:cs="黑体"/>
                        </w:rPr>
                        <w:t>202X</w:t>
                      </w:r>
                      <w:r>
                        <w:rPr>
                          <w:rFonts w:hint="eastAsia" w:ascii="黑体" w:hAnsi="黑体" w:cs="黑体"/>
                          <w:color w:val="000000"/>
                        </w:rPr>
                        <w:t>-XX-XX</w:t>
                      </w:r>
                      <w:r>
                        <w:rPr>
                          <w:rFonts w:hint="eastAsia" w:ascii="黑体" w:hAnsi="黑体" w:cs="黑体"/>
                        </w:rPr>
                        <w:t>实施</w:t>
                      </w: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8559800</wp:posOffset>
                </wp:positionV>
                <wp:extent cx="2019300" cy="312420"/>
                <wp:effectExtent l="0" t="0" r="0" b="11430"/>
                <wp:wrapNone/>
                <wp:docPr id="18" name="fmFrame5"/>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pPr>
                              <w:pStyle w:val="70"/>
                              <w:rPr>
                                <w:rFonts w:hint="eastAsia" w:ascii="黑体" w:hAnsi="黑体" w:cs="黑体"/>
                                <w:color w:val="000000"/>
                              </w:rPr>
                            </w:pPr>
                            <w:r>
                              <w:rPr>
                                <w:rFonts w:hint="eastAsia" w:ascii="黑体" w:hAnsi="黑体" w:cs="黑体"/>
                              </w:rPr>
                              <w:t>20</w:t>
                            </w:r>
                            <w:r>
                              <w:rPr>
                                <w:rFonts w:hint="eastAsia" w:ascii="黑体" w:hAnsi="黑体" w:cs="黑体"/>
                                <w:color w:val="000000"/>
                              </w:rPr>
                              <w:t>2X-XX-XX发布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4pt;height:24.6pt;width:159pt;mso-position-horizontal-relative:margin;mso-position-vertical-relative:margin;z-index:251662336;mso-width-relative:page;mso-height-relative:page;" fillcolor="#FFFFFF" filled="t" stroked="f" coordsize="21600,21600" o:gfxdata="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tD27WAAAACgEAAA8AAAAAAAAA&#10;AQAgAAAAIgAAAGRycy9kb3ducmV2LnhtbFBLAQIUABQAAAAIAIdO4kD3VFj6EwIAADoEAAAOAAAA&#10;AAAAAAEAIAAAACUBAABkcnMvZTJvRG9jLnhtbFBLBQYAAAAABgAGAFkBAACqBQAAAAA=&#10;">
                <v:fill on="t" focussize="0,0"/>
                <v:stroke on="f"/>
                <v:imagedata o:title=""/>
                <o:lock v:ext="edit" aspectratio="f"/>
                <v:textbox inset="0mm,0mm,0mm,0mm">
                  <w:txbxContent>
                    <w:p>
                      <w:pPr>
                        <w:pStyle w:val="70"/>
                        <w:rPr>
                          <w:rFonts w:hint="eastAsia" w:ascii="黑体" w:hAnsi="黑体" w:cs="黑体"/>
                          <w:color w:val="000000"/>
                        </w:rPr>
                      </w:pPr>
                      <w:r>
                        <w:rPr>
                          <w:rFonts w:hint="eastAsia" w:ascii="黑体" w:hAnsi="黑体" w:cs="黑体"/>
                        </w:rPr>
                        <w:t>20</w:t>
                      </w:r>
                      <w:r>
                        <w:rPr>
                          <w:rFonts w:hint="eastAsia" w:ascii="黑体" w:hAnsi="黑体" w:cs="黑体"/>
                          <w:color w:val="000000"/>
                        </w:rPr>
                        <w:t>2X-XX-XX发布</w:t>
                      </w:r>
                    </w:p>
                  </w:txbxContent>
                </v:textbox>
                <w10:anchorlock/>
              </v:shape>
            </w:pict>
          </mc:Fallback>
        </mc:AlternateContent>
      </w:r>
      <w:r>
        <mc:AlternateContent>
          <mc:Choice Requires="wps">
            <w:drawing>
              <wp:anchor distT="0" distB="0" distL="114300" distR="114300" simplePos="0" relativeHeight="251661312" behindDoc="0" locked="1" layoutInCell="0" allowOverlap="1">
                <wp:simplePos x="0" y="0"/>
                <wp:positionH relativeFrom="margin">
                  <wp:posOffset>-6350</wp:posOffset>
                </wp:positionH>
                <wp:positionV relativeFrom="margin">
                  <wp:posOffset>2709545</wp:posOffset>
                </wp:positionV>
                <wp:extent cx="6121400" cy="3738245"/>
                <wp:effectExtent l="0" t="0" r="12700" b="14605"/>
                <wp:wrapNone/>
                <wp:docPr id="17" name="fmFrame4"/>
                <wp:cNvGraphicFramePr/>
                <a:graphic xmlns:a="http://schemas.openxmlformats.org/drawingml/2006/main">
                  <a:graphicData uri="http://schemas.microsoft.com/office/word/2010/wordprocessingShape">
                    <wps:wsp>
                      <wps:cNvSpPr txBox="1">
                        <a:spLocks noChangeArrowheads="1"/>
                      </wps:cNvSpPr>
                      <wps:spPr bwMode="auto">
                        <a:xfrm>
                          <a:off x="0" y="0"/>
                          <a:ext cx="6121400" cy="3738245"/>
                        </a:xfrm>
                        <a:prstGeom prst="rect">
                          <a:avLst/>
                        </a:prstGeom>
                        <a:solidFill>
                          <a:srgbClr val="FFFFFF"/>
                        </a:solidFill>
                        <a:ln>
                          <a:noFill/>
                        </a:ln>
                        <a:effectLst/>
                      </wps:spPr>
                      <wps:txbx>
                        <w:txbxContent>
                          <w:p>
                            <w:pPr>
                              <w:pStyle w:val="84"/>
                              <w:spacing w:before="370" w:line="200" w:lineRule="exact"/>
                              <w:rPr>
                                <w:rFonts w:hint="eastAsia" w:ascii="黑体" w:hAnsi="黑体" w:eastAsia="黑体" w:cs="黑体"/>
                                <w:color w:val="000000" w:themeColor="text1"/>
                                <w:sz w:val="52"/>
                                <w:szCs w:val="52"/>
                                <w14:textFill>
                                  <w14:solidFill>
                                    <w14:schemeClr w14:val="tx1"/>
                                  </w14:solidFill>
                                </w14:textFill>
                              </w:rPr>
                            </w:pPr>
                            <w:bookmarkStart w:id="17" w:name="OLE_LINK1"/>
                            <w:r>
                              <w:rPr>
                                <w:rFonts w:hint="eastAsia" w:ascii="黑体" w:hAnsi="黑体" w:eastAsia="黑体" w:cs="黑体"/>
                                <w:color w:val="000000" w:themeColor="text1"/>
                                <w:sz w:val="52"/>
                                <w:szCs w:val="52"/>
                                <w14:textFill>
                                  <w14:solidFill>
                                    <w14:schemeClr w14:val="tx1"/>
                                  </w14:solidFill>
                                </w14:textFill>
                              </w:rPr>
                              <w:t xml:space="preserve">磷酸锰铁锂化学分析方法 </w:t>
                            </w:r>
                          </w:p>
                          <w:bookmarkEnd w:id="17"/>
                          <w:p>
                            <w:pPr>
                              <w:pStyle w:val="84"/>
                              <w:numPr>
                                <w:ilvl w:val="0"/>
                                <w:numId w:val="11"/>
                              </w:numPr>
                              <w:spacing w:before="370" w:line="200" w:lineRule="exact"/>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 xml:space="preserve">锰含量的测定 </w:t>
                            </w:r>
                          </w:p>
                          <w:p>
                            <w:pPr>
                              <w:pStyle w:val="84"/>
                              <w:spacing w:before="370" w:line="200" w:lineRule="exact"/>
                              <w:ind w:firstLine="3640" w:firstLineChars="700"/>
                              <w:jc w:val="both"/>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电位滴定法</w:t>
                            </w:r>
                          </w:p>
                          <w:p>
                            <w:pPr>
                              <w:pStyle w:val="90"/>
                              <w:shd w:val="clear" w:color="auto" w:fill="FFFFFF"/>
                              <w:spacing w:before="567" w:beforeAutospacing="0" w:after="0" w:line="330" w:lineRule="exact"/>
                              <w:jc w:val="center"/>
                              <w:rPr>
                                <w:rFonts w:ascii="Times New Roman" w:hAnsi="Times New Roman" w:eastAsia="黑体" w:cs="Times New Roman"/>
                                <w:sz w:val="24"/>
                                <w:szCs w:val="24"/>
                                <w:shd w:val="clear" w:color="auto" w:fill="F5F5F5"/>
                              </w:rPr>
                            </w:pPr>
                            <w:r>
                              <w:rPr>
                                <w:rFonts w:ascii="Times New Roman" w:hAnsi="Times New Roman" w:eastAsia="黑体" w:cs="Times New Roman"/>
                                <w:sz w:val="24"/>
                                <w:szCs w:val="24"/>
                                <w:shd w:val="clear" w:color="auto" w:fill="F5F5F5"/>
                              </w:rPr>
                              <w:t>Methods for chemical analysis of lithium ferromanganese phosphate</w:t>
                            </w:r>
                          </w:p>
                          <w:p>
                            <w:pPr>
                              <w:pStyle w:val="90"/>
                              <w:shd w:val="clear" w:color="auto" w:fill="FFFFFF"/>
                              <w:spacing w:before="567" w:beforeAutospacing="0" w:after="0" w:line="330" w:lineRule="exact"/>
                              <w:jc w:val="center"/>
                              <w:rPr>
                                <w:rFonts w:ascii="Times New Roman" w:hAnsi="Times New Roman" w:eastAsia="黑体" w:cs="Times New Roman"/>
                                <w:sz w:val="24"/>
                                <w:szCs w:val="24"/>
                                <w:shd w:val="clear" w:color="auto" w:fill="F5F5F5"/>
                              </w:rPr>
                            </w:pPr>
                            <w:r>
                              <w:rPr>
                                <w:rFonts w:ascii="Times New Roman" w:hAnsi="Times New Roman" w:eastAsia="黑体" w:cs="Times New Roman"/>
                                <w:sz w:val="24"/>
                                <w:szCs w:val="24"/>
                                <w:shd w:val="clear" w:color="auto" w:fill="F5F5F5"/>
                              </w:rPr>
                              <w:t>Part 1: Determination of manganese content</w:t>
                            </w:r>
                          </w:p>
                          <w:p>
                            <w:pPr>
                              <w:pStyle w:val="90"/>
                              <w:shd w:val="clear" w:color="auto" w:fill="FFFFFF"/>
                              <w:spacing w:before="567" w:beforeAutospacing="0" w:after="0" w:line="330" w:lineRule="exact"/>
                              <w:jc w:val="center"/>
                              <w:rPr>
                                <w:rFonts w:ascii="Times New Roman" w:hAnsi="Times New Roman" w:eastAsia="黑体" w:cs="Times New Roman"/>
                                <w:color w:val="FF0000"/>
                                <w:sz w:val="24"/>
                                <w:szCs w:val="24"/>
                                <w:shd w:val="clear" w:color="auto" w:fill="F5F6F9"/>
                              </w:rPr>
                            </w:pPr>
                            <w:r>
                              <w:rPr>
                                <w:rFonts w:ascii="Times New Roman" w:hAnsi="Times New Roman" w:eastAsia="黑体" w:cs="Times New Roman"/>
                                <w:sz w:val="24"/>
                                <w:szCs w:val="24"/>
                                <w:shd w:val="clear" w:color="auto" w:fill="F5F5F5"/>
                              </w:rPr>
                              <w:t>Potentiometric titration method</w:t>
                            </w:r>
                          </w:p>
                          <w:p>
                            <w:pPr>
                              <w:pStyle w:val="90"/>
                              <w:shd w:val="clear" w:color="auto" w:fill="FFFFFF"/>
                              <w:spacing w:before="567" w:beforeAutospacing="0" w:after="0" w:line="330" w:lineRule="exact"/>
                              <w:jc w:val="center"/>
                              <w:rPr>
                                <w:rFonts w:ascii="Times New Roman" w:hAnsi="Times New Roman" w:eastAsia="黑体" w:cs="Times New Roman"/>
                                <w:color w:val="auto"/>
                                <w:sz w:val="28"/>
                              </w:rPr>
                            </w:pPr>
                            <w:r>
                              <w:rPr>
                                <w:rFonts w:hint="eastAsia" w:ascii="Times New Roman" w:hAnsi="Times New Roman" w:eastAsia="黑体" w:cs="Times New Roman"/>
                                <w:color w:val="auto"/>
                                <w:sz w:val="28"/>
                              </w:rPr>
                              <w:t>（</w:t>
                            </w:r>
                            <w:r>
                              <w:rPr>
                                <w:rFonts w:hint="eastAsia" w:ascii="Times New Roman" w:hAnsi="Times New Roman" w:eastAsia="黑体" w:cs="Times New Roman"/>
                                <w:color w:val="auto"/>
                                <w:sz w:val="28"/>
                                <w:lang w:val="en-US" w:eastAsia="zh-CN"/>
                              </w:rPr>
                              <w:t>预审稿</w:t>
                            </w:r>
                            <w:r>
                              <w:rPr>
                                <w:rFonts w:hint="eastAsia" w:ascii="Times New Roman" w:hAnsi="Times New Roman" w:eastAsia="黑体" w:cs="Times New Roman"/>
                                <w:color w:val="auto"/>
                                <w:sz w:val="28"/>
                              </w:rPr>
                              <w:t>）</w:t>
                            </w:r>
                          </w:p>
                          <w:p>
                            <w:pPr>
                              <w:pStyle w:val="103"/>
                            </w:pPr>
                          </w:p>
                          <w:p>
                            <w:pPr>
                              <w:pStyle w:val="120"/>
                            </w:pPr>
                          </w:p>
                          <w:p>
                            <w:pPr>
                              <w:pStyle w:val="83"/>
                              <w:jc w:val="both"/>
                            </w:pP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0.5pt;margin-top:213.35pt;height:294.35pt;width:482pt;mso-position-horizontal-relative:margin;mso-position-vertical-relative:margin;z-index:251661312;mso-width-relative:page;mso-height-relative:page;" fillcolor="#FFFFFF" filled="t" stroked="f" coordsize="21600,21600" o:allowincell="f" o:gfxdata="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b5bNN2gAAAAsBAAAP&#10;AAAAAAAAAAEAIAAAACIAAABkcnMvZG93bnJldi54bWxQSwECFAAUAAAACACHTuJA2Iga7RYCAAA7&#10;BAAADgAAAAAAAAABACAAAAApAQAAZHJzL2Uyb0RvYy54bWxQSwUGAAAAAAYABgBZAQAAsQUAAAAA&#10;">
                <v:fill on="t" focussize="0,0"/>
                <v:stroke on="f"/>
                <v:imagedata o:title=""/>
                <o:lock v:ext="edit" aspectratio="f"/>
                <v:textbox inset="0mm,0mm,0mm,0mm">
                  <w:txbxContent>
                    <w:p>
                      <w:pPr>
                        <w:pStyle w:val="84"/>
                        <w:spacing w:before="370" w:line="200" w:lineRule="exact"/>
                        <w:rPr>
                          <w:rFonts w:hint="eastAsia" w:ascii="黑体" w:hAnsi="黑体" w:eastAsia="黑体" w:cs="黑体"/>
                          <w:color w:val="000000" w:themeColor="text1"/>
                          <w:sz w:val="52"/>
                          <w:szCs w:val="52"/>
                          <w14:textFill>
                            <w14:solidFill>
                              <w14:schemeClr w14:val="tx1"/>
                            </w14:solidFill>
                          </w14:textFill>
                        </w:rPr>
                      </w:pPr>
                      <w:bookmarkStart w:id="17" w:name="OLE_LINK1"/>
                      <w:r>
                        <w:rPr>
                          <w:rFonts w:hint="eastAsia" w:ascii="黑体" w:hAnsi="黑体" w:eastAsia="黑体" w:cs="黑体"/>
                          <w:color w:val="000000" w:themeColor="text1"/>
                          <w:sz w:val="52"/>
                          <w:szCs w:val="52"/>
                          <w14:textFill>
                            <w14:solidFill>
                              <w14:schemeClr w14:val="tx1"/>
                            </w14:solidFill>
                          </w14:textFill>
                        </w:rPr>
                        <w:t xml:space="preserve">磷酸锰铁锂化学分析方法 </w:t>
                      </w:r>
                    </w:p>
                    <w:bookmarkEnd w:id="17"/>
                    <w:p>
                      <w:pPr>
                        <w:pStyle w:val="84"/>
                        <w:numPr>
                          <w:ilvl w:val="0"/>
                          <w:numId w:val="11"/>
                        </w:numPr>
                        <w:spacing w:before="370" w:line="200" w:lineRule="exact"/>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 xml:space="preserve">锰含量的测定 </w:t>
                      </w:r>
                    </w:p>
                    <w:p>
                      <w:pPr>
                        <w:pStyle w:val="84"/>
                        <w:spacing w:before="370" w:line="200" w:lineRule="exact"/>
                        <w:ind w:firstLine="3640" w:firstLineChars="700"/>
                        <w:jc w:val="both"/>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电位滴定法</w:t>
                      </w:r>
                    </w:p>
                    <w:p>
                      <w:pPr>
                        <w:pStyle w:val="90"/>
                        <w:shd w:val="clear" w:color="auto" w:fill="FFFFFF"/>
                        <w:spacing w:before="567" w:beforeAutospacing="0" w:after="0" w:line="330" w:lineRule="exact"/>
                        <w:jc w:val="center"/>
                        <w:rPr>
                          <w:rFonts w:ascii="Times New Roman" w:hAnsi="Times New Roman" w:eastAsia="黑体" w:cs="Times New Roman"/>
                          <w:sz w:val="24"/>
                          <w:szCs w:val="24"/>
                          <w:shd w:val="clear" w:color="auto" w:fill="F5F5F5"/>
                        </w:rPr>
                      </w:pPr>
                      <w:r>
                        <w:rPr>
                          <w:rFonts w:ascii="Times New Roman" w:hAnsi="Times New Roman" w:eastAsia="黑体" w:cs="Times New Roman"/>
                          <w:sz w:val="24"/>
                          <w:szCs w:val="24"/>
                          <w:shd w:val="clear" w:color="auto" w:fill="F5F5F5"/>
                        </w:rPr>
                        <w:t>Methods for chemical analysis of lithium ferromanganese phosphate</w:t>
                      </w:r>
                    </w:p>
                    <w:p>
                      <w:pPr>
                        <w:pStyle w:val="90"/>
                        <w:shd w:val="clear" w:color="auto" w:fill="FFFFFF"/>
                        <w:spacing w:before="567" w:beforeAutospacing="0" w:after="0" w:line="330" w:lineRule="exact"/>
                        <w:jc w:val="center"/>
                        <w:rPr>
                          <w:rFonts w:ascii="Times New Roman" w:hAnsi="Times New Roman" w:eastAsia="黑体" w:cs="Times New Roman"/>
                          <w:sz w:val="24"/>
                          <w:szCs w:val="24"/>
                          <w:shd w:val="clear" w:color="auto" w:fill="F5F5F5"/>
                        </w:rPr>
                      </w:pPr>
                      <w:r>
                        <w:rPr>
                          <w:rFonts w:ascii="Times New Roman" w:hAnsi="Times New Roman" w:eastAsia="黑体" w:cs="Times New Roman"/>
                          <w:sz w:val="24"/>
                          <w:szCs w:val="24"/>
                          <w:shd w:val="clear" w:color="auto" w:fill="F5F5F5"/>
                        </w:rPr>
                        <w:t>Part 1: Determination of manganese content</w:t>
                      </w:r>
                    </w:p>
                    <w:p>
                      <w:pPr>
                        <w:pStyle w:val="90"/>
                        <w:shd w:val="clear" w:color="auto" w:fill="FFFFFF"/>
                        <w:spacing w:before="567" w:beforeAutospacing="0" w:after="0" w:line="330" w:lineRule="exact"/>
                        <w:jc w:val="center"/>
                        <w:rPr>
                          <w:rFonts w:ascii="Times New Roman" w:hAnsi="Times New Roman" w:eastAsia="黑体" w:cs="Times New Roman"/>
                          <w:color w:val="FF0000"/>
                          <w:sz w:val="24"/>
                          <w:szCs w:val="24"/>
                          <w:shd w:val="clear" w:color="auto" w:fill="F5F6F9"/>
                        </w:rPr>
                      </w:pPr>
                      <w:r>
                        <w:rPr>
                          <w:rFonts w:ascii="Times New Roman" w:hAnsi="Times New Roman" w:eastAsia="黑体" w:cs="Times New Roman"/>
                          <w:sz w:val="24"/>
                          <w:szCs w:val="24"/>
                          <w:shd w:val="clear" w:color="auto" w:fill="F5F5F5"/>
                        </w:rPr>
                        <w:t>Potentiometric titration method</w:t>
                      </w:r>
                    </w:p>
                    <w:p>
                      <w:pPr>
                        <w:pStyle w:val="90"/>
                        <w:shd w:val="clear" w:color="auto" w:fill="FFFFFF"/>
                        <w:spacing w:before="567" w:beforeAutospacing="0" w:after="0" w:line="330" w:lineRule="exact"/>
                        <w:jc w:val="center"/>
                        <w:rPr>
                          <w:rFonts w:ascii="Times New Roman" w:hAnsi="Times New Roman" w:eastAsia="黑体" w:cs="Times New Roman"/>
                          <w:color w:val="auto"/>
                          <w:sz w:val="28"/>
                        </w:rPr>
                      </w:pPr>
                      <w:r>
                        <w:rPr>
                          <w:rFonts w:hint="eastAsia" w:ascii="Times New Roman" w:hAnsi="Times New Roman" w:eastAsia="黑体" w:cs="Times New Roman"/>
                          <w:color w:val="auto"/>
                          <w:sz w:val="28"/>
                        </w:rPr>
                        <w:t>（</w:t>
                      </w:r>
                      <w:r>
                        <w:rPr>
                          <w:rFonts w:hint="eastAsia" w:ascii="Times New Roman" w:hAnsi="Times New Roman" w:eastAsia="黑体" w:cs="Times New Roman"/>
                          <w:color w:val="auto"/>
                          <w:sz w:val="28"/>
                          <w:lang w:val="en-US" w:eastAsia="zh-CN"/>
                        </w:rPr>
                        <w:t>预审稿</w:t>
                      </w:r>
                      <w:r>
                        <w:rPr>
                          <w:rFonts w:hint="eastAsia" w:ascii="Times New Roman" w:hAnsi="Times New Roman" w:eastAsia="黑体" w:cs="Times New Roman"/>
                          <w:color w:val="auto"/>
                          <w:sz w:val="28"/>
                        </w:rPr>
                        <w:t>）</w:t>
                      </w:r>
                    </w:p>
                    <w:p>
                      <w:pPr>
                        <w:pStyle w:val="103"/>
                      </w:pPr>
                    </w:p>
                    <w:p>
                      <w:pPr>
                        <w:pStyle w:val="120"/>
                      </w:pPr>
                    </w:p>
                    <w:p>
                      <w:pPr>
                        <w:pStyle w:val="83"/>
                        <w:jc w:val="both"/>
                      </w:pPr>
                    </w:p>
                  </w:txbxContent>
                </v:textbox>
                <w10:anchorlock/>
              </v:shape>
            </w:pict>
          </mc:Fallback>
        </mc:AlternateContent>
      </w:r>
      <w:r>
        <mc:AlternateContent>
          <mc:Choice Requires="wps">
            <w:drawing>
              <wp:anchor distT="0" distB="0" distL="114300" distR="114300" simplePos="0" relativeHeight="251660288" behindDoc="0" locked="1" layoutInCell="0" allowOverlap="1">
                <wp:simplePos x="0" y="0"/>
                <wp:positionH relativeFrom="margin">
                  <wp:posOffset>66675</wp:posOffset>
                </wp:positionH>
                <wp:positionV relativeFrom="margin">
                  <wp:posOffset>1063625</wp:posOffset>
                </wp:positionV>
                <wp:extent cx="6067425" cy="391160"/>
                <wp:effectExtent l="0" t="0" r="9525" b="8890"/>
                <wp:wrapNone/>
                <wp:docPr id="16" name="fmFrame2"/>
                <wp:cNvGraphicFramePr/>
                <a:graphic xmlns:a="http://schemas.openxmlformats.org/drawingml/2006/main">
                  <a:graphicData uri="http://schemas.microsoft.com/office/word/2010/wordprocessingShape">
                    <wps:wsp>
                      <wps:cNvSpPr txBox="1">
                        <a:spLocks noChangeArrowheads="1"/>
                      </wps:cNvSpPr>
                      <wps:spPr bwMode="auto">
                        <a:xfrm>
                          <a:off x="0" y="0"/>
                          <a:ext cx="6067425" cy="391160"/>
                        </a:xfrm>
                        <a:prstGeom prst="rect">
                          <a:avLst/>
                        </a:prstGeom>
                        <a:solidFill>
                          <a:srgbClr val="FFFFFF"/>
                        </a:solidFill>
                        <a:ln>
                          <a:noFill/>
                        </a:ln>
                        <a:effectLst/>
                      </wps:spPr>
                      <wps:txbx>
                        <w:txbxContent>
                          <w:p>
                            <w:pPr>
                              <w:pStyle w:val="111"/>
                            </w:pPr>
                            <w:r>
                              <w:rPr>
                                <w:rFonts w:hint="eastAsia"/>
                              </w:rPr>
                              <w:t>中华人民共和国国家标准</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5.25pt;margin-top:83.75pt;height:30.8pt;width:477.75pt;mso-position-horizontal-relative:margin;mso-position-vertical-relative:margin;z-index:251660288;mso-width-relative:page;mso-height-relative:page;" fillcolor="#FFFFFF" filled="t" stroked="f" coordsize="21600,21600" o:allowincell="f" o:gfxdata="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1Qp2AAAAAoBAAAPAAAA&#10;AAAAAAEAIAAAACIAAABkcnMvZG93bnJldi54bWxQSwECFAAUAAAACACHTuJAL/MoxhUCAAA6BAAA&#10;DgAAAAAAAAABACAAAAAnAQAAZHJzL2Uyb0RvYy54bWxQSwUGAAAAAAYABgBZAQAArgUAAAAA&#10;">
                <v:fill on="t" focussize="0,0"/>
                <v:stroke on="f"/>
                <v:imagedata o:title=""/>
                <o:lock v:ext="edit" aspectratio="f"/>
                <v:textbox inset="0mm,0mm,0mm,0mm">
                  <w:txbxContent>
                    <w:p>
                      <w:pPr>
                        <w:pStyle w:val="111"/>
                      </w:pPr>
                      <w:r>
                        <w:rPr>
                          <w:rFonts w:hint="eastAsia"/>
                        </w:rPr>
                        <w:t>中华人民共和国国家标准</w:t>
                      </w:r>
                    </w:p>
                  </w:txbxContent>
                </v:textbox>
                <w10:anchorlock/>
              </v:shape>
            </w:pict>
          </mc:Fallback>
        </mc:AlternateContent>
      </w:r>
      <w:r>
        <mc:AlternateContent>
          <mc:Choice Requires="wps">
            <w:drawing>
              <wp:anchor distT="0" distB="0" distL="114300" distR="114300" simplePos="0" relativeHeight="251659264" behindDoc="0" locked="1" layoutInCell="0" allowOverlap="1">
                <wp:simplePos x="0" y="0"/>
                <wp:positionH relativeFrom="margin">
                  <wp:posOffset>-5080</wp:posOffset>
                </wp:positionH>
                <wp:positionV relativeFrom="margin">
                  <wp:posOffset>-17145</wp:posOffset>
                </wp:positionV>
                <wp:extent cx="923925" cy="390525"/>
                <wp:effectExtent l="0" t="0" r="9525" b="9525"/>
                <wp:wrapNone/>
                <wp:docPr id="15" name="fmFrame1"/>
                <wp:cNvGraphicFramePr/>
                <a:graphic xmlns:a="http://schemas.openxmlformats.org/drawingml/2006/main">
                  <a:graphicData uri="http://schemas.microsoft.com/office/word/2010/wordprocessingShape">
                    <wps:wsp>
                      <wps:cNvSpPr txBox="1">
                        <a:spLocks noChangeArrowheads="1"/>
                      </wps:cNvSpPr>
                      <wps:spPr bwMode="auto">
                        <a:xfrm>
                          <a:off x="0" y="0"/>
                          <a:ext cx="923925" cy="390525"/>
                        </a:xfrm>
                        <a:prstGeom prst="rect">
                          <a:avLst/>
                        </a:prstGeom>
                        <a:solidFill>
                          <a:srgbClr val="FFFFFF"/>
                        </a:solidFill>
                        <a:ln>
                          <a:noFill/>
                        </a:ln>
                        <a:effectLst/>
                      </wps:spPr>
                      <wps:txbx>
                        <w:txbxContent>
                          <w:p>
                            <w:pPr>
                              <w:pStyle w:val="106"/>
                              <w:rPr>
                                <w:rFonts w:hint="eastAsia" w:ascii="黑体" w:hAnsi="黑体" w:cs="黑体"/>
                              </w:rPr>
                            </w:pPr>
                            <w:r>
                              <w:rPr>
                                <w:rFonts w:hint="eastAsia" w:ascii="黑体" w:hAnsi="黑体" w:cs="黑体"/>
                              </w:rPr>
                              <w:t>ICS 77.160</w:t>
                            </w:r>
                          </w:p>
                          <w:p>
                            <w:pPr>
                              <w:pStyle w:val="106"/>
                              <w:rPr>
                                <w:rFonts w:hint="eastAsia" w:ascii="黑体" w:hAnsi="黑体" w:cs="黑体"/>
                              </w:rPr>
                            </w:pPr>
                            <w:r>
                              <w:rPr>
                                <w:rFonts w:hint="eastAsia" w:ascii="黑体" w:hAnsi="黑体" w:cs="黑体"/>
                              </w:rPr>
                              <w:t>CCS H16</w:t>
                            </w:r>
                          </w:p>
                          <w:p>
                            <w:pPr>
                              <w:pStyle w:val="106"/>
                            </w:pP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0.4pt;margin-top:-1.35pt;height:30.75pt;width:72.75pt;mso-position-horizontal-relative:margin;mso-position-vertical-relative:margin;z-index:251659264;mso-width-relative:page;mso-height-relative:page;" fillcolor="#FFFFFF" filled="t" stroked="f" coordsize="21600,21600" o:allowincell="f" o:gfxdata="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rUZ4dUAAAAHAQAADwAAAAAAAAAB&#10;ACAAAAAiAAAAZHJzL2Rvd25yZXYueG1sUEsBAhQAFAAAAAgAh07iQNCxZBkTAgAAOQQAAA4AAAAA&#10;AAAAAQAgAAAAJAEAAGRycy9lMm9Eb2MueG1sUEsFBgAAAAAGAAYAWQEAAKkFAAAAAA==&#10;">
                <v:fill on="t" focussize="0,0"/>
                <v:stroke on="f"/>
                <v:imagedata o:title=""/>
                <o:lock v:ext="edit" aspectratio="f"/>
                <v:textbox inset="0mm,0mm,0mm,0mm">
                  <w:txbxContent>
                    <w:p>
                      <w:pPr>
                        <w:pStyle w:val="106"/>
                        <w:rPr>
                          <w:rFonts w:hint="eastAsia" w:ascii="黑体" w:hAnsi="黑体" w:cs="黑体"/>
                        </w:rPr>
                      </w:pPr>
                      <w:r>
                        <w:rPr>
                          <w:rFonts w:hint="eastAsia" w:ascii="黑体" w:hAnsi="黑体" w:cs="黑体"/>
                        </w:rPr>
                        <w:t>ICS 77.160</w:t>
                      </w:r>
                    </w:p>
                    <w:p>
                      <w:pPr>
                        <w:pStyle w:val="106"/>
                        <w:rPr>
                          <w:rFonts w:hint="eastAsia" w:ascii="黑体" w:hAnsi="黑体" w:cs="黑体"/>
                        </w:rPr>
                      </w:pPr>
                      <w:r>
                        <w:rPr>
                          <w:rFonts w:hint="eastAsia" w:ascii="黑体" w:hAnsi="黑体" w:cs="黑体"/>
                        </w:rPr>
                        <w:t>CCS H16</w:t>
                      </w:r>
                    </w:p>
                    <w:p>
                      <w:pPr>
                        <w:pStyle w:val="106"/>
                      </w:pPr>
                    </w:p>
                  </w:txbxContent>
                </v:textbox>
                <w10:anchorlock/>
              </v:shape>
            </w:pict>
          </mc:Fallback>
        </mc:AlternateContent>
      </w:r>
    </w:p>
    <w:p/>
    <w:p/>
    <w:p/>
    <w:p/>
    <w:p/>
    <w:p/>
    <w:p/>
    <w:p>
      <w:r>
        <mc:AlternateContent>
          <mc:Choice Requires="wps">
            <w:drawing>
              <wp:anchor distT="0" distB="0" distL="114300" distR="114300" simplePos="0" relativeHeight="251670528" behindDoc="0" locked="0" layoutInCell="1" allowOverlap="1">
                <wp:simplePos x="0" y="0"/>
                <wp:positionH relativeFrom="margin">
                  <wp:posOffset>269240</wp:posOffset>
                </wp:positionH>
                <wp:positionV relativeFrom="paragraph">
                  <wp:posOffset>175895</wp:posOffset>
                </wp:positionV>
                <wp:extent cx="5716905" cy="486410"/>
                <wp:effectExtent l="0" t="0" r="0" b="0"/>
                <wp:wrapNone/>
                <wp:docPr id="14" name="文本框 40"/>
                <wp:cNvGraphicFramePr/>
                <a:graphic xmlns:a="http://schemas.openxmlformats.org/drawingml/2006/main">
                  <a:graphicData uri="http://schemas.microsoft.com/office/word/2010/wordprocessingShape">
                    <wps:wsp>
                      <wps:cNvSpPr txBox="1">
                        <a:spLocks noChangeArrowheads="1"/>
                      </wps:cNvSpPr>
                      <wps:spPr bwMode="auto">
                        <a:xfrm>
                          <a:off x="0" y="0"/>
                          <a:ext cx="5716905" cy="486410"/>
                        </a:xfrm>
                        <a:prstGeom prst="rect">
                          <a:avLst/>
                        </a:prstGeom>
                        <a:noFill/>
                        <a:ln>
                          <a:noFill/>
                        </a:ln>
                        <a:effectLst/>
                      </wps:spPr>
                      <wps:txbx>
                        <w:txbxContent>
                          <w:p>
                            <w:pPr>
                              <w:spacing w:line="280" w:lineRule="exact"/>
                              <w:jc w:val="right"/>
                            </w:pPr>
                            <w:r>
                              <w:rPr>
                                <w:rFonts w:ascii="黑体" w:hAnsi="黑体" w:eastAsia="黑体"/>
                                <w:sz w:val="28"/>
                              </w:rPr>
                              <w:t>GB/T XXXX-202X</w:t>
                            </w:r>
                          </w:p>
                        </w:txbxContent>
                      </wps:txbx>
                      <wps:bodyPr rot="0" vert="horz" wrap="square" lIns="91440" tIns="45720" rIns="91440" bIns="45720" anchor="t" anchorCtr="0" upright="1">
                        <a:noAutofit/>
                      </wps:bodyPr>
                    </wps:wsp>
                  </a:graphicData>
                </a:graphic>
              </wp:anchor>
            </w:drawing>
          </mc:Choice>
          <mc:Fallback>
            <w:pict>
              <v:shape id="文本框 40" o:spid="_x0000_s1026" o:spt="202" type="#_x0000_t202" style="position:absolute;left:0pt;margin-left:21.2pt;margin-top:13.85pt;height:38.3pt;width:450.15pt;mso-position-horizontal-relative:margin;z-index:251670528;mso-width-relative:page;mso-height-relative:page;" filled="f" stroked="f" coordsize="21600,21600" o:gfxdata="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EQz0Q1gAAAAkB&#10;AAAPAAAAAAAAAAEAIAAAACIAAABkcnMvZG93bnJldi54bWxQSwECFAAUAAAACACHTuJAtZtoTB0C&#10;AAAlBAAADgAAAAAAAAABACAAAAAlAQAAZHJzL2Uyb0RvYy54bWxQSwUGAAAAAAYABgBZAQAAtAUA&#10;AAAA&#10;">
                <v:fill on="f" focussize="0,0"/>
                <v:stroke on="f"/>
                <v:imagedata o:title=""/>
                <o:lock v:ext="edit" aspectratio="f"/>
                <v:textbox>
                  <w:txbxContent>
                    <w:p>
                      <w:pPr>
                        <w:spacing w:line="280" w:lineRule="exact"/>
                        <w:jc w:val="right"/>
                      </w:pPr>
                      <w:r>
                        <w:rPr>
                          <w:rFonts w:ascii="黑体" w:hAnsi="黑体" w:eastAsia="黑体"/>
                          <w:sz w:val="28"/>
                        </w:rPr>
                        <w:t>GB/T XXXX-202X</w:t>
                      </w:r>
                    </w:p>
                  </w:txbxContent>
                </v:textbox>
              </v:shape>
            </w:pict>
          </mc:Fallback>
        </mc:AlternateContent>
      </w:r>
    </w:p>
    <w:p/>
    <w:p>
      <w:r>
        <mc:AlternateContent>
          <mc:Choice Requires="wps">
            <w:drawing>
              <wp:anchor distT="0" distB="0" distL="114300" distR="114300" simplePos="0" relativeHeight="251665408" behindDoc="0" locked="0" layoutInCell="1" allowOverlap="1">
                <wp:simplePos x="0" y="0"/>
                <wp:positionH relativeFrom="margin">
                  <wp:posOffset>0</wp:posOffset>
                </wp:positionH>
                <wp:positionV relativeFrom="paragraph">
                  <wp:posOffset>351155</wp:posOffset>
                </wp:positionV>
                <wp:extent cx="6121400" cy="0"/>
                <wp:effectExtent l="0" t="6350" r="0" b="6350"/>
                <wp:wrapSquare wrapText="bothSides"/>
                <wp:docPr id="13" name="直线 10"/>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id="直线 10" o:spid="_x0000_s1026" o:spt="20" style="position:absolute;left:0pt;margin-left:0pt;margin-top:27.65pt;height:0pt;width:482pt;mso-position-horizontal-relative:margin;mso-wrap-distance-bottom:0pt;mso-wrap-distance-left:9pt;mso-wrap-distance-right:9pt;mso-wrap-distance-top:0pt;z-index:251665408;mso-width-relative:page;mso-height-relative:page;" filled="f" stroked="t" coordsize="21600,21600" o:gfxdata="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lW5nfVAAAABgEAAA8AAAAAAAAA&#10;AQAgAAAAIgAAAGRycy9kb3ducmV2LnhtbFBLAQIUABQAAAAIAIdO4kA+D1+F2wEAALIDAAAOAAAA&#10;AAAAAAEAIAAAACQBAABkcnMvZTJvRG9jLnhtbFBLBQYAAAAABgAGAFkBAABxBQAAAAA=&#10;">
                <v:fill on="f" focussize="0,0"/>
                <v:stroke weight="1pt" color="#000000" joinstyle="round"/>
                <v:imagedata o:title=""/>
                <o:lock v:ext="edit" aspectratio="f"/>
                <w10:wrap type="square"/>
              </v:line>
            </w:pict>
          </mc:Fallback>
        </mc:AlternateContent>
      </w:r>
    </w:p>
    <w:p/>
    <w:p/>
    <w:p/>
    <w:p/>
    <w:p/>
    <w:p/>
    <w:p/>
    <w:p/>
    <w:p/>
    <w:p/>
    <w:p/>
    <w:p>
      <w:pPr>
        <w:tabs>
          <w:tab w:val="left" w:pos="8916"/>
        </w:tabs>
        <w:jc w:val="left"/>
      </w:pPr>
      <w: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4384040</wp:posOffset>
                </wp:positionV>
                <wp:extent cx="6121400" cy="0"/>
                <wp:effectExtent l="0" t="6350" r="0" b="6350"/>
                <wp:wrapSquare wrapText="bothSides"/>
                <wp:docPr id="11" name="直线 11"/>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id="直线 11" o:spid="_x0000_s1026" o:spt="20" style="position:absolute;left:0pt;margin-left:0pt;margin-top:345.2pt;height:0pt;width:482pt;mso-position-horizontal-relative:margin;mso-wrap-distance-bottom:0pt;mso-wrap-distance-left:9pt;mso-wrap-distance-right:9pt;mso-wrap-distance-top:0pt;z-index:251666432;mso-width-relative:page;mso-height-relative:page;" filled="f" stroked="t" coordsize="21600,21600" o:gfxdata="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2K4ADWAAAACAEAAA8AAAAAAAAA&#10;AQAgAAAAIgAAAGRycy9kb3ducmV2LnhtbFBLAQIUABQAAAAIAIdO4kCbFej32gEAALIDAAAOAAAA&#10;AAAAAAEAIAAAACUBAABkcnMvZTJvRG9jLnhtbFBLBQYAAAAABgAGAFkBAABxBQAAAAA=&#10;">
                <v:fill on="f" focussize="0,0"/>
                <v:stroke weight="1pt" color="#000000" joinstyle="round"/>
                <v:imagedata o:title=""/>
                <o:lock v:ext="edit" aspectratio="f"/>
                <w10:wrap type="square"/>
              </v:line>
            </w:pict>
          </mc:Fallback>
        </mc:AlternateContent>
      </w:r>
      <w:r>
        <w:tab/>
      </w: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sectPr>
          <w:headerReference r:id="rId7" w:type="first"/>
          <w:footerReference r:id="rId10" w:type="first"/>
          <w:headerReference r:id="rId5" w:type="default"/>
          <w:footerReference r:id="rId8" w:type="default"/>
          <w:headerReference r:id="rId6" w:type="even"/>
          <w:footerReference r:id="rId9" w:type="even"/>
          <w:pgSz w:w="11907" w:h="16839"/>
          <w:pgMar w:top="567" w:right="851" w:bottom="1418" w:left="1418" w:header="0" w:footer="0" w:gutter="0"/>
          <w:pgNumType w:fmt="upperRoman" w:start="1"/>
          <w:cols w:space="720" w:num="1"/>
          <w:titlePg/>
          <w:docGrid w:type="lines" w:linePitch="312" w:charSpace="0"/>
        </w:sectPr>
      </w:pPr>
      <w:r>
        <mc:AlternateContent>
          <mc:Choice Requires="wps">
            <w:drawing>
              <wp:anchor distT="0" distB="0" distL="114300" distR="114300" simplePos="0" relativeHeight="251669504" behindDoc="0" locked="0" layoutInCell="1" allowOverlap="1">
                <wp:simplePos x="0" y="0"/>
                <wp:positionH relativeFrom="column">
                  <wp:posOffset>4739005</wp:posOffset>
                </wp:positionH>
                <wp:positionV relativeFrom="paragraph">
                  <wp:posOffset>1221105</wp:posOffset>
                </wp:positionV>
                <wp:extent cx="621665" cy="471170"/>
                <wp:effectExtent l="4445" t="4445" r="21590" b="19685"/>
                <wp:wrapNone/>
                <wp:docPr id="12" name="文本框 26"/>
                <wp:cNvGraphicFramePr/>
                <a:graphic xmlns:a="http://schemas.openxmlformats.org/drawingml/2006/main">
                  <a:graphicData uri="http://schemas.microsoft.com/office/word/2010/wordprocessingShape">
                    <wps:wsp>
                      <wps:cNvSpPr txBox="1">
                        <a:spLocks noChangeArrowheads="1"/>
                      </wps:cNvSpPr>
                      <wps:spPr bwMode="auto">
                        <a:xfrm>
                          <a:off x="0" y="0"/>
                          <a:ext cx="621792" cy="471170"/>
                        </a:xfrm>
                        <a:prstGeom prst="rect">
                          <a:avLst/>
                        </a:prstGeom>
                        <a:noFill/>
                        <a:ln w="9525">
                          <a:solidFill>
                            <a:srgbClr val="FFFFFF"/>
                          </a:solidFill>
                          <a:miter lim="800000"/>
                        </a:ln>
                        <a:effectLst/>
                      </wps:spPr>
                      <wps:txbx>
                        <w:txbxContent>
                          <w:p>
                            <w:pPr>
                              <w:jc w:val="distribute"/>
                              <w:rPr>
                                <w:rFonts w:hint="eastAsia" w:ascii="黑体" w:hAnsi="黑体" w:eastAsia="黑体"/>
                                <w:bCs/>
                                <w:color w:val="000000"/>
                                <w:sz w:val="28"/>
                              </w:rPr>
                            </w:pPr>
                            <w:r>
                              <w:rPr>
                                <w:rFonts w:hint="eastAsia" w:ascii="黑体" w:hAnsi="黑体" w:eastAsia="黑体"/>
                                <w:bCs/>
                                <w:color w:val="000000"/>
                                <w:sz w:val="28"/>
                              </w:rPr>
                              <w:t>发布</w:t>
                            </w:r>
                          </w:p>
                        </w:txbxContent>
                      </wps:txbx>
                      <wps:bodyPr rot="0" vert="horz" wrap="square" lIns="91440" tIns="45720" rIns="91440" bIns="45720" anchor="t" anchorCtr="0" upright="1">
                        <a:noAutofit/>
                      </wps:bodyPr>
                    </wps:wsp>
                  </a:graphicData>
                </a:graphic>
              </wp:anchor>
            </w:drawing>
          </mc:Choice>
          <mc:Fallback>
            <w:pict>
              <v:shape id="文本框 26" o:spid="_x0000_s1026" o:spt="202" type="#_x0000_t202" style="position:absolute;left:0pt;margin-left:373.15pt;margin-top:96.15pt;height:37.1pt;width:48.95pt;z-index:251669504;mso-width-relative:page;mso-height-relative:page;" filled="f" stroked="t" coordsize="21600,21600" o:gfxdata="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AIVrILaAAAACwEAAA8AAAAAAAAA&#10;AQAgAAAAIgAAAGRycy9kb3ducmV2LnhtbFBLAQIUABQAAAAIAIdO4kDqG/7mSAIAAG0EAAAOAAAA&#10;AAAAAAEAIAAAACkBAABkcnMvZTJvRG9jLnhtbFBLBQYAAAAABgAGAFkBAADjBQAAAAA=&#10;">
                <v:fill on="f" focussize="0,0"/>
                <v:stroke color="#FFFFFF" miterlimit="8" joinstyle="miter"/>
                <v:imagedata o:title=""/>
                <o:lock v:ext="edit" aspectratio="f"/>
                <v:textbox>
                  <w:txbxContent>
                    <w:p>
                      <w:pPr>
                        <w:jc w:val="distribute"/>
                        <w:rPr>
                          <w:rFonts w:hint="eastAsia" w:ascii="黑体" w:hAnsi="黑体" w:eastAsia="黑体"/>
                          <w:bCs/>
                          <w:color w:val="000000"/>
                          <w:sz w:val="28"/>
                        </w:rPr>
                      </w:pPr>
                      <w:r>
                        <w:rPr>
                          <w:rFonts w:hint="eastAsia" w:ascii="黑体" w:hAnsi="黑体" w:eastAsia="黑体"/>
                          <w:bCs/>
                          <w:color w:val="000000"/>
                          <w:sz w:val="28"/>
                        </w:rPr>
                        <w:t>发布</w:t>
                      </w:r>
                    </w:p>
                  </w:txbxContent>
                </v:textbox>
              </v:shape>
            </w:pict>
          </mc:Fallback>
        </mc:AlternateContent>
      </w:r>
    </w:p>
    <w:bookmarkEnd w:id="0"/>
    <w:p>
      <w:pPr>
        <w:pStyle w:val="55"/>
        <w:ind w:firstLine="640"/>
        <w:jc w:val="center"/>
        <w:rPr>
          <w:rFonts w:ascii="Times New Roman" w:eastAsia="黑体"/>
          <w:sz w:val="32"/>
          <w:szCs w:val="32"/>
        </w:rPr>
      </w:pPr>
      <w:bookmarkStart w:id="1" w:name="SectionMark2"/>
      <w:r>
        <w:rPr>
          <w:rFonts w:ascii="Times New Roman" w:eastAsia="黑体"/>
          <w:sz w:val="32"/>
          <w:szCs w:val="32"/>
        </w:rPr>
        <w:t>前言</w:t>
      </w:r>
    </w:p>
    <w:bookmarkEnd w:id="1"/>
    <w:p>
      <w:pPr>
        <w:ind w:firstLine="420"/>
        <w:rPr>
          <w:rFonts w:hint="eastAsia" w:ascii="宋体" w:hAnsi="宋体" w:cs="宋体"/>
        </w:rPr>
      </w:pPr>
      <w:bookmarkStart w:id="2" w:name="SectionMark4"/>
      <w:r>
        <w:rPr>
          <w:rFonts w:hint="eastAsia" w:ascii="宋体" w:hAnsi="宋体" w:cs="宋体"/>
        </w:rPr>
        <w:t>本文件按照GB/T 1.1-2020《标准化工作导则 第1部分：标准化文件的结构和起草规则》的规定起草。</w:t>
      </w:r>
    </w:p>
    <w:p>
      <w:pPr>
        <w:ind w:left="195" w:leftChars="93" w:firstLine="195" w:firstLineChars="93"/>
        <w:jc w:val="left"/>
      </w:pPr>
      <w:r>
        <w:t>本文件是</w:t>
      </w:r>
      <w:r>
        <w:rPr>
          <w:rFonts w:hint="eastAsia"/>
        </w:rPr>
        <w:t>GB</w:t>
      </w:r>
      <w:r>
        <w:t xml:space="preserve">/T </w:t>
      </w:r>
      <w:r>
        <w:rPr>
          <w:rFonts w:hint="eastAsia"/>
        </w:rPr>
        <w:t>XXXX</w:t>
      </w:r>
      <w:r>
        <w:t>《</w:t>
      </w:r>
      <w:r>
        <w:rPr>
          <w:rFonts w:hint="eastAsia"/>
        </w:rPr>
        <w:t>磷酸锰铁锂化学分析方法</w:t>
      </w:r>
      <w:r>
        <w:t>》的第</w:t>
      </w:r>
      <w:r>
        <w:rPr>
          <w:rFonts w:hint="eastAsia"/>
        </w:rPr>
        <w:t>1</w:t>
      </w:r>
      <w:r>
        <w:t>部分。</w:t>
      </w:r>
      <w:r>
        <w:rPr>
          <w:rFonts w:hint="eastAsia"/>
        </w:rPr>
        <w:t>GB</w:t>
      </w:r>
      <w:r>
        <w:t>/T</w:t>
      </w:r>
      <w:r>
        <w:rPr>
          <w:rFonts w:hint="eastAsia"/>
        </w:rPr>
        <w:t xml:space="preserve"> XXXX</w:t>
      </w:r>
      <w:r>
        <w:t>已经发布了以下部分：</w:t>
      </w:r>
    </w:p>
    <w:p>
      <w:pPr>
        <w:ind w:left="420" w:leftChars="200" w:firstLine="420" w:firstLineChars="200"/>
        <w:jc w:val="left"/>
      </w:pPr>
      <w:bookmarkStart w:id="3" w:name="_Hlk227922109"/>
      <w:r>
        <w:rPr>
          <w:rFonts w:hint="eastAsia"/>
        </w:rPr>
        <w:t>——第1部分：锰量的测定 电位滴定法</w:t>
      </w:r>
    </w:p>
    <w:p>
      <w:pPr>
        <w:ind w:left="420" w:leftChars="200" w:firstLine="420" w:firstLineChars="200"/>
        <w:jc w:val="left"/>
        <w:rPr>
          <w:color w:val="000000" w:themeColor="text1"/>
          <w14:textFill>
            <w14:solidFill>
              <w14:schemeClr w14:val="tx1"/>
            </w14:solidFill>
          </w14:textFill>
        </w:rPr>
      </w:pPr>
      <w:r>
        <w:rPr>
          <w:rFonts w:hint="eastAsia"/>
        </w:rPr>
        <w:t>——</w:t>
      </w:r>
      <w:r>
        <w:rPr>
          <w:rFonts w:hint="eastAsia"/>
          <w:color w:val="000000" w:themeColor="text1"/>
          <w14:textFill>
            <w14:solidFill>
              <w14:schemeClr w14:val="tx1"/>
            </w14:solidFill>
          </w14:textFill>
        </w:rPr>
        <w:t>第2部分：锰铁比的测定 电感耦合等离子体发射光谱法</w:t>
      </w:r>
    </w:p>
    <w:p>
      <w:pPr>
        <w:ind w:left="420" w:leftChars="200" w:firstLine="420" w:firstLineChars="200"/>
        <w:jc w:val="left"/>
      </w:pPr>
      <w:r>
        <w:rPr>
          <w:rFonts w:hint="eastAsia"/>
        </w:rPr>
        <w:t>——第3部分：碳和硫含量的测定 高频感应炉燃烧红外吸收法</w:t>
      </w:r>
    </w:p>
    <w:p>
      <w:pPr>
        <w:ind w:left="420" w:leftChars="200" w:firstLine="420" w:firstLineChars="200"/>
        <w:jc w:val="left"/>
      </w:pPr>
      <w:r>
        <w:rPr>
          <w:rFonts w:hint="eastAsia"/>
        </w:rPr>
        <w:t xml:space="preserve">——第4部分：锰离子和铁离子溶出率的的定 </w:t>
      </w:r>
      <w:bookmarkStart w:id="4" w:name="OLE_LINK25"/>
      <w:r>
        <w:t>电感耦合等离子体发射光谱法</w:t>
      </w:r>
    </w:p>
    <w:bookmarkEnd w:id="4"/>
    <w:p>
      <w:pPr>
        <w:ind w:left="420" w:leftChars="200" w:firstLine="420" w:firstLineChars="200"/>
        <w:jc w:val="left"/>
      </w:pPr>
      <w:r>
        <w:rPr>
          <w:rFonts w:hint="eastAsia"/>
        </w:rPr>
        <w:t>——第5部分：xxx</w:t>
      </w:r>
    </w:p>
    <w:p>
      <w:pPr>
        <w:ind w:left="420" w:leftChars="200" w:firstLine="420" w:firstLineChars="200"/>
        <w:jc w:val="left"/>
      </w:pPr>
      <w:r>
        <w:rPr>
          <w:rFonts w:hint="eastAsia"/>
        </w:rPr>
        <w:t>——第6部分：xxx</w:t>
      </w:r>
    </w:p>
    <w:p>
      <w:pPr>
        <w:ind w:left="420" w:leftChars="200" w:firstLine="420" w:firstLineChars="200"/>
        <w:jc w:val="left"/>
      </w:pPr>
      <w:r>
        <w:rPr>
          <w:rFonts w:hint="eastAsia"/>
        </w:rPr>
        <w:t>请注意本文件的某些内容可能涉及专利。本文件的发布机构不承担识别专利的责任。</w:t>
      </w:r>
    </w:p>
    <w:p>
      <w:pPr>
        <w:ind w:left="420" w:leftChars="200" w:firstLine="420" w:firstLineChars="200"/>
        <w:jc w:val="left"/>
      </w:pPr>
      <w:bookmarkStart w:id="5" w:name="OLE_LINK36"/>
      <w:r>
        <w:t>本文件由中国有色金属工业协会提出。</w:t>
      </w:r>
    </w:p>
    <w:bookmarkEnd w:id="5"/>
    <w:p>
      <w:pPr>
        <w:ind w:left="420" w:leftChars="200" w:firstLine="420" w:firstLineChars="200"/>
        <w:jc w:val="left"/>
        <w:rPr>
          <w:color w:val="000000"/>
        </w:rPr>
      </w:pPr>
      <w:r>
        <w:rPr>
          <w:color w:val="000000"/>
        </w:rPr>
        <w:t>本</w:t>
      </w:r>
      <w:r>
        <w:rPr>
          <w:rFonts w:hint="eastAsia"/>
          <w:color w:val="000000"/>
        </w:rPr>
        <w:t>文件</w:t>
      </w:r>
      <w:r>
        <w:rPr>
          <w:color w:val="000000"/>
        </w:rPr>
        <w:t>由</w:t>
      </w:r>
      <w:r>
        <w:rPr>
          <w:rFonts w:hint="eastAsia"/>
          <w:color w:val="000000"/>
        </w:rPr>
        <w:t>全国有色金属标准化技术委员会(</w:t>
      </w:r>
      <w:r>
        <w:rPr>
          <w:color w:val="000000"/>
        </w:rPr>
        <w:t>SAC/TC 243</w:t>
      </w:r>
      <w:r>
        <w:rPr>
          <w:rFonts w:hint="eastAsia"/>
          <w:color w:val="000000"/>
        </w:rPr>
        <w:t>)提出并</w:t>
      </w:r>
      <w:r>
        <w:rPr>
          <w:color w:val="000000"/>
        </w:rPr>
        <w:t>归口。</w:t>
      </w:r>
    </w:p>
    <w:bookmarkEnd w:id="3"/>
    <w:p>
      <w:pPr>
        <w:ind w:left="420" w:leftChars="200" w:firstLine="420" w:firstLineChars="200"/>
        <w:jc w:val="left"/>
        <w:rPr>
          <w:color w:val="000000"/>
        </w:rPr>
      </w:pPr>
      <w:r>
        <w:t>本</w:t>
      </w:r>
      <w:r>
        <w:rPr>
          <w:rFonts w:hint="eastAsia"/>
        </w:rPr>
        <w:t>文件</w:t>
      </w:r>
      <w:r>
        <w:t>起草</w:t>
      </w:r>
      <w:r>
        <w:rPr>
          <w:rFonts w:hint="eastAsia"/>
        </w:rPr>
        <w:t>单位：</w:t>
      </w:r>
      <w:r>
        <w:rPr>
          <w:rFonts w:ascii="宋体" w:hAnsi="宋体" w:cs="宋体"/>
        </w:rPr>
        <w:t>北京当升材料科技股份有限公司</w:t>
      </w:r>
      <w:r>
        <w:rPr>
          <w:rFonts w:hint="eastAsia" w:ascii="宋体" w:hAnsi="宋体" w:cs="宋体"/>
        </w:rPr>
        <w:t>、</w:t>
      </w:r>
      <w:r>
        <w:rPr>
          <w:rFonts w:ascii="宋体" w:hAnsi="宋体" w:cs="宋体"/>
          <w:color w:val="auto"/>
        </w:rPr>
        <w:t>国标(北京)检验认证有限公司</w:t>
      </w:r>
      <w:r>
        <w:rPr>
          <w:rFonts w:hint="eastAsia" w:ascii="宋体" w:hAnsi="宋体" w:cs="宋体"/>
          <w:color w:val="auto"/>
        </w:rPr>
        <w:t>、</w:t>
      </w:r>
      <w:r>
        <w:rPr>
          <w:rFonts w:ascii="宋体" w:hAnsi="宋体" w:cs="宋体"/>
          <w:color w:val="auto"/>
        </w:rPr>
        <w:t>湖北万润新能源科技股份有限公司</w:t>
      </w:r>
      <w:r>
        <w:rPr>
          <w:rFonts w:hint="eastAsia" w:ascii="宋体" w:hAnsi="宋体" w:cs="宋体"/>
          <w:color w:val="auto"/>
        </w:rPr>
        <w:t>、</w:t>
      </w:r>
      <w:r>
        <w:rPr>
          <w:rFonts w:ascii="宋体" w:hAnsi="宋体" w:cs="宋体"/>
          <w:color w:val="auto"/>
        </w:rPr>
        <w:t>北矿检测技术股份有限公司</w:t>
      </w:r>
      <w:r>
        <w:rPr>
          <w:rFonts w:hint="eastAsia" w:ascii="宋体" w:hAnsi="宋体" w:cs="宋体"/>
          <w:color w:val="auto"/>
        </w:rPr>
        <w:t>、</w:t>
      </w:r>
      <w:r>
        <w:rPr>
          <w:rFonts w:ascii="宋体" w:hAnsi="宋体" w:cs="宋体"/>
          <w:color w:val="auto"/>
        </w:rPr>
        <w:t>中国国检测试控股集团股份有限公司</w:t>
      </w:r>
      <w:r>
        <w:rPr>
          <w:rFonts w:hint="eastAsia" w:ascii="宋体" w:hAnsi="宋体" w:cs="宋体"/>
          <w:color w:val="auto"/>
        </w:rPr>
        <w:t>、</w:t>
      </w:r>
      <w:r>
        <w:rPr>
          <w:rFonts w:ascii="宋体" w:hAnsi="宋体" w:cs="宋体"/>
          <w:color w:val="auto"/>
        </w:rPr>
        <w:t>深圳市德方纳米科技股份有限公司</w:t>
      </w:r>
      <w:r>
        <w:rPr>
          <w:rFonts w:hint="eastAsia" w:ascii="宋体" w:hAnsi="宋体" w:cs="宋体"/>
          <w:color w:val="auto"/>
        </w:rPr>
        <w:t>、</w:t>
      </w:r>
      <w:r>
        <w:rPr>
          <w:rFonts w:ascii="宋体" w:hAnsi="宋体" w:cs="宋体"/>
          <w:color w:val="auto"/>
        </w:rPr>
        <w:t>江西赣锋锂业集团股份有限公司</w:t>
      </w:r>
      <w:r>
        <w:rPr>
          <w:rFonts w:hint="eastAsia" w:ascii="宋体" w:hAnsi="宋体" w:cs="宋体"/>
          <w:color w:val="auto"/>
        </w:rPr>
        <w:t>、</w:t>
      </w:r>
      <w:r>
        <w:rPr>
          <w:rFonts w:ascii="宋体" w:hAnsi="宋体" w:cs="宋体"/>
          <w:color w:val="auto"/>
        </w:rPr>
        <w:t>梅特勒托利多科技（中国）有限公司</w:t>
      </w:r>
      <w:r>
        <w:rPr>
          <w:rFonts w:hint="eastAsia" w:ascii="宋体" w:hAnsi="宋体" w:cs="宋体"/>
          <w:color w:val="auto"/>
        </w:rPr>
        <w:t>、</w:t>
      </w:r>
      <w:r>
        <w:rPr>
          <w:rFonts w:ascii="宋体" w:hAnsi="宋体" w:cs="宋体"/>
          <w:color w:val="auto"/>
        </w:rPr>
        <w:t>中科致良新能源材料（浙江）有限公司</w:t>
      </w:r>
      <w:r>
        <w:rPr>
          <w:rFonts w:hint="eastAsia" w:ascii="宋体" w:hAnsi="宋体" w:cs="宋体"/>
          <w:color w:val="auto"/>
        </w:rPr>
        <w:t>、</w:t>
      </w:r>
      <w:r>
        <w:rPr>
          <w:rFonts w:ascii="宋体" w:hAnsi="宋体" w:cs="宋体"/>
          <w:color w:val="auto"/>
        </w:rPr>
        <w:t>合肥国轩高科动力能源有限公司</w:t>
      </w:r>
      <w:r>
        <w:rPr>
          <w:rFonts w:hint="eastAsia" w:ascii="宋体" w:hAnsi="宋体" w:cs="宋体"/>
          <w:color w:val="auto"/>
        </w:rPr>
        <w:t>、</w:t>
      </w:r>
      <w:r>
        <w:rPr>
          <w:rFonts w:ascii="宋体" w:hAnsi="宋体" w:cs="宋体"/>
          <w:color w:val="auto"/>
        </w:rPr>
        <w:t>格林美股份有限公司</w:t>
      </w:r>
      <w:r>
        <w:rPr>
          <w:rFonts w:hint="eastAsia" w:ascii="宋体" w:hAnsi="宋体" w:cs="宋体"/>
          <w:color w:val="auto"/>
        </w:rPr>
        <w:t>、合肥国轩电池材料有限公司、</w:t>
      </w:r>
      <w:r>
        <w:rPr>
          <w:rFonts w:ascii="宋体" w:hAnsi="宋体" w:cs="宋体"/>
        </w:rPr>
        <w:t>厦门厦钨新能源材料股份有限公司</w:t>
      </w:r>
      <w:r>
        <w:rPr>
          <w:rFonts w:hint="eastAsia" w:ascii="宋体" w:hAnsi="宋体" w:cs="宋体"/>
          <w:lang w:eastAsia="zh-CN"/>
        </w:rPr>
        <w:t>、</w:t>
      </w:r>
      <w:r>
        <w:rPr>
          <w:rFonts w:hint="eastAsia" w:ascii="宋体" w:hAnsi="宋体" w:cs="宋体"/>
          <w:lang w:val="en-US" w:eastAsia="zh-CN"/>
        </w:rPr>
        <w:t>浙江友山新材料科技有限公司、国联汽车动力电池研究院有限责任公司</w:t>
      </w:r>
      <w:r>
        <w:rPr>
          <w:rFonts w:hint="eastAsia"/>
          <w:color w:val="000000"/>
        </w:rPr>
        <w:t>等</w:t>
      </w:r>
    </w:p>
    <w:p>
      <w:pPr>
        <w:ind w:left="420" w:leftChars="200" w:firstLine="420" w:firstLineChars="200"/>
        <w:jc w:val="left"/>
        <w:sectPr>
          <w:footerReference r:id="rId11" w:type="default"/>
          <w:pgSz w:w="11907" w:h="16839"/>
          <w:pgMar w:top="1418" w:right="1134" w:bottom="1134" w:left="1418" w:header="1418" w:footer="851" w:gutter="0"/>
          <w:cols w:space="720" w:num="1"/>
          <w:docGrid w:type="lines" w:linePitch="312" w:charSpace="0"/>
        </w:sectPr>
      </w:pPr>
      <w:r>
        <w:t>本</w:t>
      </w:r>
      <w:r>
        <w:rPr>
          <w:rFonts w:hint="eastAsia"/>
        </w:rPr>
        <w:t>文件主要</w:t>
      </w:r>
      <w:r>
        <w:t>起草人：</w:t>
      </w:r>
      <w:r>
        <w:rPr>
          <w:rFonts w:hint="eastAsia"/>
        </w:rPr>
        <w:t>XXX</w:t>
      </w:r>
      <w:bookmarkStart w:id="18" w:name="_GoBack"/>
      <w:bookmarkEnd w:id="18"/>
    </w:p>
    <w:p>
      <w:pPr>
        <w:pStyle w:val="116"/>
        <w:spacing w:before="300" w:after="240"/>
        <w:rPr>
          <w:rFonts w:ascii="Times New Roman"/>
        </w:rPr>
      </w:pPr>
      <w:bookmarkStart w:id="6" w:name="OLE_LINK35"/>
      <w:bookmarkStart w:id="7" w:name="_Toc65050653"/>
      <w:bookmarkStart w:id="8" w:name="_Toc55210702"/>
      <w:r>
        <w:rPr>
          <w:rFonts w:hint="eastAsia" w:ascii="Times New Roman"/>
        </w:rPr>
        <w:t xml:space="preserve">磷酸锰铁锂化学分析方法 </w:t>
      </w:r>
    </w:p>
    <w:p>
      <w:pPr>
        <w:pStyle w:val="116"/>
        <w:spacing w:before="300" w:after="240"/>
        <w:rPr>
          <w:rFonts w:ascii="Times New Roman"/>
        </w:rPr>
      </w:pPr>
      <w:r>
        <w:rPr>
          <w:rFonts w:hint="eastAsia" w:ascii="Times New Roman"/>
        </w:rPr>
        <w:t>第1部分 锰含量的测定 电位滴定法</w:t>
      </w:r>
    </w:p>
    <w:bookmarkEnd w:id="6"/>
    <w:p>
      <w:pPr>
        <w:pStyle w:val="55"/>
        <w:ind w:firstLine="422"/>
        <w:rPr>
          <w:b/>
          <w:bCs/>
          <w:color w:val="000000" w:themeColor="text1"/>
          <w14:textFill>
            <w14:solidFill>
              <w14:schemeClr w14:val="tx1"/>
            </w14:solidFill>
          </w14:textFill>
        </w:rPr>
      </w:pPr>
      <w:bookmarkStart w:id="9" w:name="_Hlk227922217"/>
      <w:r>
        <w:rPr>
          <w:b/>
          <w:bCs/>
          <w:color w:val="000000" w:themeColor="text1"/>
          <w14:textFill>
            <w14:solidFill>
              <w14:schemeClr w14:val="tx1"/>
            </w14:solidFill>
          </w14:textFill>
        </w:rPr>
        <w:t>警告———使用本标准的人员应有正规实验室工作的实际经验,本标准并未指出所有可能的安全问题。使用者有责任采取适当的安全和健康措施,并保证符合国家有关法规规定的条件。</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w:t>
      </w:r>
      <w:r>
        <w:rPr>
          <w:rFonts w:hAnsi="黑体"/>
        </w:rPr>
        <w:t>范围</w:t>
      </w:r>
      <w:bookmarkEnd w:id="7"/>
      <w:bookmarkEnd w:id="8"/>
    </w:p>
    <w:p>
      <w:pPr>
        <w:pStyle w:val="55"/>
        <w:ind w:firstLine="420"/>
        <w:rPr>
          <w:rFonts w:ascii="Times New Roman"/>
          <w:szCs w:val="21"/>
        </w:rPr>
      </w:pPr>
      <w:r>
        <w:rPr>
          <w:rFonts w:hint="eastAsia" w:ascii="Times New Roman"/>
          <w:szCs w:val="21"/>
        </w:rPr>
        <w:t>本文件规定了了电位滴定法测定磷酸锰铁锂中锰含量的测定方法。</w:t>
      </w:r>
    </w:p>
    <w:p>
      <w:pPr>
        <w:pStyle w:val="55"/>
        <w:ind w:firstLine="420"/>
        <w:rPr>
          <w:rFonts w:ascii="Times New Roman"/>
          <w:szCs w:val="21"/>
        </w:rPr>
      </w:pPr>
      <w:r>
        <w:rPr>
          <w:rFonts w:hint="eastAsia" w:ascii="Times New Roman"/>
          <w:szCs w:val="21"/>
        </w:rPr>
        <w:t>本文件适用于磷酸锰铁锂</w:t>
      </w:r>
      <w:r>
        <w:rPr>
          <w:rFonts w:ascii="Times New Roman"/>
          <w:szCs w:val="21"/>
        </w:rPr>
        <w:t>中锰含量的测定,测定范围(质量分数)：</w:t>
      </w:r>
      <w:r>
        <w:rPr>
          <w:rFonts w:hint="eastAsia" w:ascii="Times New Roman"/>
          <w:szCs w:val="21"/>
        </w:rPr>
        <w:t>14%-32%。</w:t>
      </w:r>
    </w:p>
    <w:bookmarkEnd w:id="9"/>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规范性引用文件</w:t>
      </w:r>
    </w:p>
    <w:p>
      <w:pPr>
        <w:pStyle w:val="55"/>
        <w:ind w:firstLine="420"/>
        <w:rPr>
          <w:rFonts w:ascii="Times New Roman"/>
          <w:szCs w:val="21"/>
        </w:rPr>
      </w:pPr>
      <w:r>
        <w:rPr>
          <w:rFonts w:hint="eastAsia" w:ascii="Times New Roman"/>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5"/>
        <w:ind w:firstLine="420"/>
        <w:rPr>
          <w:rFonts w:ascii="Times New Roman"/>
          <w:szCs w:val="21"/>
        </w:rPr>
      </w:pPr>
      <w:r>
        <w:rPr>
          <w:rFonts w:hint="eastAsia" w:ascii="Times New Roman"/>
          <w:szCs w:val="21"/>
        </w:rPr>
        <w:t>GB/T 6682 分析实验室用水规格和试验方法</w:t>
      </w:r>
    </w:p>
    <w:p>
      <w:pPr>
        <w:pStyle w:val="55"/>
        <w:ind w:firstLine="420"/>
        <w:rPr>
          <w:rFonts w:ascii="Times New Roman"/>
          <w:szCs w:val="21"/>
        </w:rPr>
      </w:pPr>
      <w:r>
        <w:rPr>
          <w:rFonts w:hint="eastAsia" w:ascii="Times New Roman"/>
          <w:szCs w:val="21"/>
        </w:rPr>
        <w:t>GB/T 8170 数值修约规则与极限数值的表示和判定</w:t>
      </w:r>
    </w:p>
    <w:p>
      <w:pPr>
        <w:pStyle w:val="55"/>
        <w:ind w:firstLine="420"/>
        <w:rPr>
          <w:rFonts w:ascii="Times New Roman"/>
          <w:szCs w:val="21"/>
        </w:rPr>
      </w:pPr>
      <w:r>
        <w:rPr>
          <w:rFonts w:hint="eastAsia" w:ascii="Times New Roman"/>
          <w:szCs w:val="21"/>
        </w:rPr>
        <w:t>GB/T 17433 冶金产品化学分析基础术语</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术语和定义</w:t>
      </w:r>
    </w:p>
    <w:p>
      <w:pPr>
        <w:pStyle w:val="55"/>
        <w:ind w:firstLine="420"/>
        <w:rPr>
          <w:rFonts w:ascii="Times New Roman"/>
          <w:szCs w:val="21"/>
        </w:rPr>
      </w:pPr>
      <w:r>
        <w:rPr>
          <w:rFonts w:hint="eastAsia" w:ascii="Times New Roman"/>
          <w:szCs w:val="21"/>
        </w:rPr>
        <w:t>GB/T 17433 规定的术语适用于本文件。</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原理</w:t>
      </w:r>
    </w:p>
    <w:p>
      <w:pPr>
        <w:pStyle w:val="55"/>
        <w:ind w:firstLine="420"/>
        <w:rPr>
          <w:rFonts w:ascii="Times New Roman"/>
          <w:szCs w:val="21"/>
        </w:rPr>
      </w:pPr>
      <w:r>
        <w:rPr>
          <w:rFonts w:hint="eastAsia" w:ascii="Times New Roman"/>
          <w:szCs w:val="21"/>
        </w:rPr>
        <w:t>样品用盐酸消解，在</w:t>
      </w:r>
      <w:r>
        <w:rPr>
          <w:rFonts w:ascii="Times New Roman"/>
          <w:szCs w:val="21"/>
        </w:rPr>
        <w:t>pH 6.0~7.0</w:t>
      </w:r>
      <w:r>
        <w:rPr>
          <w:rFonts w:hint="eastAsia" w:ascii="Times New Roman"/>
          <w:szCs w:val="21"/>
        </w:rPr>
        <w:t>的焦磷酸钠溶液介质中，</w:t>
      </w:r>
      <w:r>
        <w:rPr>
          <w:rFonts w:ascii="Times New Roman"/>
          <w:szCs w:val="21"/>
        </w:rPr>
        <w:t>用高锰酸钾标准溶液滴定,电位突变点为滴定终点,其反应式如下；</w:t>
      </w:r>
    </w:p>
    <w:p>
      <w:pPr>
        <w:pStyle w:val="21"/>
        <w:spacing w:line="360" w:lineRule="auto"/>
        <w:ind w:firstLine="1050" w:firstLineChars="500"/>
        <w:rPr>
          <w:szCs w:val="21"/>
        </w:rPr>
      </w:pPr>
      <w:r>
        <w:rPr>
          <w:rFonts w:hint="eastAsia"/>
          <w:szCs w:val="21"/>
        </w:rPr>
        <w:t>4Mn</w:t>
      </w:r>
      <w:r>
        <w:rPr>
          <w:rFonts w:hint="eastAsia"/>
          <w:szCs w:val="21"/>
          <w:vertAlign w:val="superscript"/>
        </w:rPr>
        <w:t>2+</w:t>
      </w:r>
      <w:r>
        <w:rPr>
          <w:rFonts w:hint="eastAsia"/>
          <w:szCs w:val="21"/>
        </w:rPr>
        <w:t>+ MnO</w:t>
      </w:r>
      <w:r>
        <w:rPr>
          <w:rFonts w:hint="eastAsia"/>
          <w:szCs w:val="21"/>
          <w:vertAlign w:val="subscript"/>
        </w:rPr>
        <w:t>4</w:t>
      </w:r>
      <w:r>
        <w:rPr>
          <w:rFonts w:hint="eastAsia"/>
          <w:szCs w:val="21"/>
          <w:vertAlign w:val="superscript"/>
        </w:rPr>
        <w:t>-</w:t>
      </w:r>
      <w:r>
        <w:rPr>
          <w:rFonts w:hint="eastAsia"/>
          <w:szCs w:val="21"/>
        </w:rPr>
        <w:t xml:space="preserve"> + 8H</w:t>
      </w:r>
      <w:r>
        <w:rPr>
          <w:rFonts w:hint="eastAsia"/>
          <w:szCs w:val="21"/>
          <w:vertAlign w:val="superscript"/>
        </w:rPr>
        <w:t>+</w:t>
      </w:r>
      <w:r>
        <w:rPr>
          <w:rFonts w:hint="eastAsia"/>
          <w:szCs w:val="21"/>
        </w:rPr>
        <w:t xml:space="preserve"> + 15(H</w:t>
      </w:r>
      <w:r>
        <w:rPr>
          <w:rFonts w:hint="eastAsia"/>
          <w:szCs w:val="21"/>
          <w:vertAlign w:val="subscript"/>
        </w:rPr>
        <w:t>2</w:t>
      </w:r>
      <w:r>
        <w:rPr>
          <w:rFonts w:hint="eastAsia"/>
          <w:szCs w:val="21"/>
        </w:rPr>
        <w:t>P</w:t>
      </w:r>
      <w:r>
        <w:rPr>
          <w:rFonts w:hint="eastAsia"/>
          <w:szCs w:val="21"/>
          <w:vertAlign w:val="subscript"/>
        </w:rPr>
        <w:t>2</w:t>
      </w:r>
      <w:r>
        <w:rPr>
          <w:rFonts w:hint="eastAsia"/>
          <w:szCs w:val="21"/>
        </w:rPr>
        <w:t>O</w:t>
      </w:r>
      <w:r>
        <w:rPr>
          <w:rFonts w:hint="eastAsia"/>
          <w:szCs w:val="21"/>
          <w:vertAlign w:val="subscript"/>
        </w:rPr>
        <w:t>7</w:t>
      </w:r>
      <w:r>
        <w:rPr>
          <w:rFonts w:hint="eastAsia"/>
          <w:szCs w:val="21"/>
        </w:rPr>
        <w:t>)</w:t>
      </w:r>
      <w:r>
        <w:rPr>
          <w:rFonts w:hint="eastAsia"/>
          <w:szCs w:val="21"/>
          <w:vertAlign w:val="superscript"/>
        </w:rPr>
        <w:t>2-</w:t>
      </w:r>
      <w:r>
        <w:rPr>
          <w:rFonts w:hint="eastAsia"/>
          <w:szCs w:val="21"/>
        </w:rPr>
        <w:t xml:space="preserve"> = 5Mn(H</w:t>
      </w:r>
      <w:r>
        <w:rPr>
          <w:rFonts w:hint="eastAsia"/>
          <w:szCs w:val="21"/>
          <w:vertAlign w:val="subscript"/>
        </w:rPr>
        <w:t>2</w:t>
      </w:r>
      <w:r>
        <w:rPr>
          <w:rFonts w:hint="eastAsia"/>
          <w:szCs w:val="21"/>
        </w:rPr>
        <w:t>P</w:t>
      </w:r>
      <w:r>
        <w:rPr>
          <w:rFonts w:hint="eastAsia"/>
          <w:szCs w:val="21"/>
          <w:vertAlign w:val="subscript"/>
        </w:rPr>
        <w:t>2</w:t>
      </w:r>
      <w:r>
        <w:rPr>
          <w:rFonts w:hint="eastAsia"/>
          <w:szCs w:val="21"/>
        </w:rPr>
        <w:t>O</w:t>
      </w:r>
      <w:r>
        <w:rPr>
          <w:rFonts w:hint="eastAsia"/>
          <w:szCs w:val="21"/>
          <w:vertAlign w:val="subscript"/>
        </w:rPr>
        <w:t>7</w:t>
      </w:r>
      <w:r>
        <w:rPr>
          <w:rFonts w:hint="eastAsia"/>
          <w:szCs w:val="21"/>
        </w:rPr>
        <w:t>)</w:t>
      </w:r>
      <w:r>
        <w:rPr>
          <w:rFonts w:hint="eastAsia"/>
          <w:szCs w:val="21"/>
          <w:vertAlign w:val="subscript"/>
        </w:rPr>
        <w:t>3</w:t>
      </w:r>
      <w:r>
        <w:rPr>
          <w:rFonts w:hint="eastAsia"/>
          <w:szCs w:val="21"/>
          <w:vertAlign w:val="superscript"/>
        </w:rPr>
        <w:t>3-</w:t>
      </w:r>
      <w:r>
        <w:rPr>
          <w:rFonts w:hint="eastAsia"/>
          <w:szCs w:val="21"/>
        </w:rPr>
        <w:t xml:space="preserve"> + 4H</w:t>
      </w:r>
      <w:r>
        <w:rPr>
          <w:rFonts w:hint="eastAsia"/>
          <w:szCs w:val="21"/>
          <w:vertAlign w:val="subscript"/>
        </w:rPr>
        <w:t>2</w:t>
      </w:r>
      <w:r>
        <w:rPr>
          <w:rFonts w:hint="eastAsia"/>
          <w:szCs w:val="21"/>
        </w:rPr>
        <w:t>O</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试剂和材料</w:t>
      </w:r>
    </w:p>
    <w:p>
      <w:pPr>
        <w:pStyle w:val="55"/>
        <w:ind w:firstLine="420"/>
        <w:rPr>
          <w:rFonts w:ascii="Times New Roman"/>
          <w:szCs w:val="21"/>
        </w:rPr>
      </w:pPr>
      <w:r>
        <w:rPr>
          <w:rFonts w:hint="eastAsia" w:ascii="Times New Roman"/>
          <w:szCs w:val="21"/>
        </w:rPr>
        <w:t>除非另有说明，本标准所用试剂均为分析纯及以上纯度的试剂，所用水符合GB/T 6682规定的三级及三级以上纯度的水。</w:t>
      </w:r>
    </w:p>
    <w:p>
      <w:pPr>
        <w:pStyle w:val="55"/>
        <w:ind w:firstLine="0" w:firstLineChars="0"/>
        <w:jc w:val="left"/>
        <w:rPr>
          <w:rFonts w:ascii="Times New Roman"/>
          <w:szCs w:val="21"/>
        </w:rPr>
      </w:pPr>
      <w:r>
        <w:rPr>
          <w:rFonts w:hint="eastAsia" w:ascii="Times New Roman"/>
          <w:szCs w:val="21"/>
        </w:rPr>
        <w:t>5.1 盐酸，</w:t>
      </w:r>
      <w:bookmarkStart w:id="10" w:name="OLE_LINK26"/>
      <w:bookmarkStart w:id="11" w:name="OLE_LINK27"/>
      <w:r>
        <w:rPr>
          <w:rFonts w:ascii="Times New Roman"/>
          <w:szCs w:val="21"/>
        </w:rPr>
        <w:t>ρ=</w:t>
      </w:r>
      <w:bookmarkEnd w:id="10"/>
      <w:r>
        <w:rPr>
          <w:rFonts w:ascii="Times New Roman"/>
          <w:szCs w:val="21"/>
        </w:rPr>
        <w:t>1.19g/mL。</w:t>
      </w:r>
      <w:bookmarkEnd w:id="11"/>
    </w:p>
    <w:p>
      <w:pPr>
        <w:pStyle w:val="55"/>
        <w:ind w:firstLine="0" w:firstLineChars="0"/>
        <w:jc w:val="left"/>
        <w:rPr>
          <w:rFonts w:ascii="Times New Roman"/>
          <w:szCs w:val="21"/>
        </w:rPr>
      </w:pPr>
      <w:r>
        <w:rPr>
          <w:rFonts w:hint="eastAsia" w:ascii="Times New Roman"/>
          <w:szCs w:val="21"/>
        </w:rPr>
        <w:t>5.2 硝酸，</w:t>
      </w:r>
      <w:r>
        <w:rPr>
          <w:rFonts w:ascii="Times New Roman"/>
          <w:szCs w:val="21"/>
        </w:rPr>
        <w:t>ρ=1.</w:t>
      </w:r>
      <w:r>
        <w:rPr>
          <w:rFonts w:hint="eastAsia" w:ascii="Times New Roman"/>
          <w:szCs w:val="21"/>
        </w:rPr>
        <w:t>42</w:t>
      </w:r>
      <w:r>
        <w:rPr>
          <w:rFonts w:ascii="Times New Roman"/>
          <w:szCs w:val="21"/>
        </w:rPr>
        <w:t>mL。</w:t>
      </w:r>
    </w:p>
    <w:p>
      <w:pPr>
        <w:pStyle w:val="55"/>
        <w:ind w:firstLine="0" w:firstLineChars="0"/>
        <w:jc w:val="left"/>
        <w:rPr>
          <w:rFonts w:ascii="Times New Roman"/>
          <w:szCs w:val="21"/>
        </w:rPr>
      </w:pPr>
      <w:r>
        <w:rPr>
          <w:rFonts w:hint="eastAsia" w:ascii="Times New Roman"/>
          <w:szCs w:val="21"/>
        </w:rPr>
        <w:t>5.3 盐酸，(1+1)。</w:t>
      </w:r>
    </w:p>
    <w:p>
      <w:pPr>
        <w:pStyle w:val="55"/>
        <w:ind w:firstLine="0" w:firstLineChars="0"/>
        <w:jc w:val="left"/>
        <w:rPr>
          <w:rFonts w:ascii="Times New Roman"/>
          <w:szCs w:val="21"/>
        </w:rPr>
      </w:pPr>
      <w:r>
        <w:rPr>
          <w:rFonts w:hint="eastAsia" w:ascii="Times New Roman"/>
          <w:szCs w:val="21"/>
        </w:rPr>
        <w:t xml:space="preserve">5.4 </w:t>
      </w:r>
      <w:r>
        <w:rPr>
          <w:rFonts w:ascii="Times New Roman"/>
          <w:szCs w:val="21"/>
        </w:rPr>
        <w:t>碳酸钠溶液，ρ=50 g/L。</w:t>
      </w:r>
    </w:p>
    <w:p>
      <w:pPr>
        <w:pStyle w:val="55"/>
        <w:ind w:firstLine="0" w:firstLineChars="0"/>
        <w:rPr>
          <w:rFonts w:ascii="Times New Roman"/>
          <w:szCs w:val="21"/>
        </w:rPr>
      </w:pPr>
      <w:r>
        <w:rPr>
          <w:rFonts w:hint="eastAsia" w:ascii="Times New Roman"/>
          <w:szCs w:val="21"/>
        </w:rPr>
        <w:t>5.5 饱和焦磷酸钠溶液</w:t>
      </w:r>
    </w:p>
    <w:p>
      <w:pPr>
        <w:pStyle w:val="55"/>
        <w:ind w:firstLine="420"/>
        <w:rPr>
          <w:rFonts w:ascii="Times New Roman"/>
          <w:szCs w:val="21"/>
        </w:rPr>
      </w:pPr>
      <w:r>
        <w:rPr>
          <w:rFonts w:hint="eastAsia" w:ascii="Times New Roman"/>
          <w:szCs w:val="21"/>
        </w:rPr>
        <w:t>称取200</w:t>
      </w:r>
      <w:r>
        <w:rPr>
          <w:rFonts w:ascii="Times New Roman"/>
          <w:szCs w:val="21"/>
        </w:rPr>
        <w:t>g（</w:t>
      </w:r>
      <w:r>
        <w:rPr>
          <w:rFonts w:hint="eastAsia" w:ascii="Times New Roman"/>
          <w:szCs w:val="21"/>
        </w:rPr>
        <w:t>Na</w:t>
      </w:r>
      <w:r>
        <w:rPr>
          <w:rFonts w:hint="eastAsia" w:ascii="Times New Roman"/>
          <w:szCs w:val="21"/>
          <w:vertAlign w:val="subscript"/>
        </w:rPr>
        <w:t>4</w:t>
      </w:r>
      <w:r>
        <w:rPr>
          <w:rFonts w:hint="eastAsia" w:ascii="Times New Roman"/>
          <w:szCs w:val="21"/>
        </w:rPr>
        <w:t>P</w:t>
      </w:r>
      <w:r>
        <w:rPr>
          <w:rFonts w:hint="eastAsia" w:ascii="Times New Roman"/>
          <w:szCs w:val="21"/>
          <w:vertAlign w:val="subscript"/>
        </w:rPr>
        <w:t>2</w:t>
      </w:r>
      <w:r>
        <w:rPr>
          <w:rFonts w:hint="eastAsia" w:ascii="Times New Roman"/>
          <w:szCs w:val="21"/>
        </w:rPr>
        <w:t>O</w:t>
      </w:r>
      <w:r>
        <w:rPr>
          <w:rFonts w:hint="eastAsia" w:ascii="Times New Roman"/>
          <w:szCs w:val="21"/>
          <w:vertAlign w:val="subscript"/>
        </w:rPr>
        <w:t>7</w:t>
      </w:r>
      <w:r>
        <w:rPr>
          <w:rFonts w:hint="eastAsia" w:ascii="Times New Roman"/>
          <w:szCs w:val="21"/>
        </w:rPr>
        <w:t>·10H</w:t>
      </w:r>
      <w:r>
        <w:rPr>
          <w:rFonts w:hint="eastAsia" w:ascii="Times New Roman"/>
          <w:szCs w:val="21"/>
          <w:vertAlign w:val="subscript"/>
        </w:rPr>
        <w:t>2</w:t>
      </w:r>
      <w:r>
        <w:rPr>
          <w:rFonts w:hint="eastAsia" w:ascii="Times New Roman"/>
          <w:szCs w:val="21"/>
        </w:rPr>
        <w:t>O</w:t>
      </w:r>
      <w:r>
        <w:rPr>
          <w:rFonts w:ascii="Times New Roman"/>
          <w:szCs w:val="21"/>
        </w:rPr>
        <w:t>），置于2000 mL</w:t>
      </w:r>
      <w:r>
        <w:rPr>
          <w:rFonts w:hint="eastAsia" w:ascii="Times New Roman"/>
          <w:szCs w:val="21"/>
        </w:rPr>
        <w:t>塑料量杯中，加入60℃纯水，搅拌溶解后静置备用。使用前24h配置。</w:t>
      </w:r>
    </w:p>
    <w:p>
      <w:pPr>
        <w:pStyle w:val="55"/>
        <w:ind w:firstLine="0" w:firstLineChars="0"/>
      </w:pPr>
      <w:r>
        <w:rPr>
          <w:rFonts w:hint="eastAsia" w:ascii="Times New Roman"/>
          <w:szCs w:val="21"/>
        </w:rPr>
        <w:t xml:space="preserve">5.6 </w:t>
      </w:r>
      <w:r>
        <w:t>锰标准溶液</w:t>
      </w:r>
    </w:p>
    <w:p>
      <w:pPr>
        <w:pStyle w:val="55"/>
        <w:ind w:firstLine="420" w:firstLineChars="0"/>
      </w:pPr>
      <w:r>
        <w:t>称取</w:t>
      </w:r>
      <w:r>
        <w:rPr>
          <w:rFonts w:ascii="Times New Roman"/>
          <w:szCs w:val="21"/>
        </w:rPr>
        <w:t>10g</w:t>
      </w:r>
      <w:r>
        <w:t>电解锰(纯度大于</w:t>
      </w:r>
      <w:r>
        <w:rPr>
          <w:rFonts w:ascii="Times New Roman"/>
          <w:szCs w:val="21"/>
        </w:rPr>
        <w:t>99.95%</w:t>
      </w:r>
      <w:r>
        <w:t>)于</w:t>
      </w:r>
      <w:r>
        <w:rPr>
          <w:rFonts w:ascii="Times New Roman"/>
          <w:szCs w:val="21"/>
        </w:rPr>
        <w:t>400mL</w:t>
      </w:r>
      <w:r>
        <w:t>烧杯中,加入</w:t>
      </w:r>
      <w:r>
        <w:rPr>
          <w:rFonts w:ascii="Times New Roman"/>
          <w:szCs w:val="21"/>
        </w:rPr>
        <w:t>50mL</w:t>
      </w:r>
      <w:r>
        <w:t>水和</w:t>
      </w:r>
      <w:r>
        <w:rPr>
          <w:rFonts w:ascii="Times New Roman"/>
          <w:szCs w:val="21"/>
        </w:rPr>
        <w:t>5mL</w:t>
      </w:r>
      <w:r>
        <w:t>硝酸 (</w:t>
      </w:r>
      <w:r>
        <w:rPr>
          <w:rFonts w:ascii="Times New Roman"/>
          <w:szCs w:val="21"/>
        </w:rPr>
        <w:t xml:space="preserve"> ρ=1.42g/mL</w:t>
      </w:r>
      <w:r>
        <w:t>),放置几分钟直到锰表面变亮。用水洗</w:t>
      </w:r>
      <w:r>
        <w:rPr>
          <w:rFonts w:ascii="Times New Roman"/>
          <w:szCs w:val="21"/>
        </w:rPr>
        <w:t>6</w:t>
      </w:r>
      <w:r>
        <w:t>次,然后用丙酮洗,在</w:t>
      </w:r>
      <w:r>
        <w:rPr>
          <w:rFonts w:ascii="Times New Roman"/>
          <w:szCs w:val="21"/>
        </w:rPr>
        <w:t>100℃</w:t>
      </w:r>
      <w:r>
        <w:t>干燥</w:t>
      </w:r>
      <w:bookmarkStart w:id="12" w:name="OLE_LINK28"/>
      <w:r>
        <w:rPr>
          <w:rFonts w:ascii="Times New Roman"/>
          <w:szCs w:val="21"/>
        </w:rPr>
        <w:t>10min</w:t>
      </w:r>
      <w:bookmarkEnd w:id="12"/>
      <w:r>
        <w:t xml:space="preserve">。 </w:t>
      </w:r>
    </w:p>
    <w:p>
      <w:pPr>
        <w:pStyle w:val="55"/>
        <w:ind w:firstLine="420" w:firstLineChars="0"/>
      </w:pPr>
      <w:r>
        <w:t>称取处理过的锰</w:t>
      </w:r>
      <w:r>
        <w:rPr>
          <w:rFonts w:ascii="Times New Roman"/>
          <w:szCs w:val="21"/>
        </w:rPr>
        <w:t>1.0000g</w:t>
      </w:r>
      <w:r>
        <w:t>于</w:t>
      </w:r>
      <w:r>
        <w:rPr>
          <w:rFonts w:ascii="Times New Roman"/>
          <w:szCs w:val="21"/>
        </w:rPr>
        <w:t>400mL</w:t>
      </w:r>
      <w:r>
        <w:t>烧杯中,加</w:t>
      </w:r>
      <w:r>
        <w:rPr>
          <w:rFonts w:ascii="Times New Roman"/>
          <w:szCs w:val="21"/>
        </w:rPr>
        <w:t>20mL</w:t>
      </w:r>
      <w:r>
        <w:t>硫酸</w:t>
      </w:r>
      <w:r>
        <w:rPr>
          <w:rFonts w:ascii="Times New Roman"/>
          <w:szCs w:val="21"/>
        </w:rPr>
        <w:t>(1+1)</w:t>
      </w:r>
      <w:r>
        <w:t>和约</w:t>
      </w:r>
      <w:r>
        <w:rPr>
          <w:rFonts w:ascii="Times New Roman"/>
          <w:szCs w:val="21"/>
        </w:rPr>
        <w:t>100m</w:t>
      </w:r>
      <w:r>
        <w:t>L水。煮沸溶液至清亮,冷却,移入</w:t>
      </w:r>
      <w:r>
        <w:rPr>
          <w:rFonts w:ascii="Times New Roman"/>
          <w:szCs w:val="21"/>
        </w:rPr>
        <w:t>1000mL</w:t>
      </w:r>
      <w:r>
        <w:t>容量瓶中,用水稀释至刻度,混匀。此溶液每毫升含</w:t>
      </w:r>
      <w:r>
        <w:rPr>
          <w:rFonts w:ascii="Times New Roman"/>
          <w:szCs w:val="21"/>
        </w:rPr>
        <w:t>1.00mg</w:t>
      </w:r>
      <w:r>
        <w:t>锰。</w:t>
      </w:r>
    </w:p>
    <w:p>
      <w:pPr>
        <w:pStyle w:val="55"/>
        <w:ind w:firstLine="0" w:firstLineChars="0"/>
        <w:rPr>
          <w:rFonts w:ascii="Times New Roman"/>
          <w:szCs w:val="21"/>
        </w:rPr>
      </w:pPr>
      <w:r>
        <w:rPr>
          <w:rFonts w:hint="eastAsia" w:ascii="Times New Roman"/>
          <w:szCs w:val="21"/>
        </w:rPr>
        <w:t xml:space="preserve">5.7 </w:t>
      </w:r>
      <w:r>
        <w:rPr>
          <w:rFonts w:ascii="Times New Roman"/>
          <w:szCs w:val="21"/>
        </w:rPr>
        <w:t>高锰酸钾</w:t>
      </w:r>
      <w:r>
        <w:rPr>
          <w:rFonts w:hint="eastAsia" w:ascii="Times New Roman"/>
          <w:szCs w:val="21"/>
        </w:rPr>
        <w:t>标准</w:t>
      </w:r>
      <w:r>
        <w:rPr>
          <w:rFonts w:ascii="Times New Roman"/>
          <w:szCs w:val="21"/>
        </w:rPr>
        <w:t>滴定溶液</w:t>
      </w:r>
      <w:r>
        <w:rPr>
          <w:rFonts w:hint="eastAsia" w:ascii="Times New Roman"/>
          <w:szCs w:val="21"/>
        </w:rPr>
        <w:t>（</w:t>
      </w:r>
      <w:r>
        <w:rPr>
          <w:rFonts w:ascii="Times New Roman"/>
          <w:szCs w:val="21"/>
        </w:rPr>
        <w:t>c</w:t>
      </w:r>
      <w:commentRangeStart w:id="0"/>
      <w:r>
        <w:rPr>
          <w:rFonts w:ascii="Times New Roman"/>
          <w:szCs w:val="21"/>
        </w:rPr>
        <w:t>（1/5KMnO</w:t>
      </w:r>
      <w:r>
        <w:rPr>
          <w:rFonts w:ascii="Times New Roman"/>
          <w:szCs w:val="21"/>
          <w:vertAlign w:val="subscript"/>
        </w:rPr>
        <w:t>4</w:t>
      </w:r>
      <w:r>
        <w:rPr>
          <w:rFonts w:ascii="Times New Roman"/>
          <w:szCs w:val="21"/>
        </w:rPr>
        <w:t>）</w:t>
      </w:r>
      <w:commentRangeEnd w:id="0"/>
      <w:r>
        <w:rPr>
          <w:rFonts w:ascii="Times New Roman"/>
          <w:szCs w:val="21"/>
        </w:rPr>
        <w:commentReference w:id="0"/>
      </w:r>
      <w:r>
        <w:rPr>
          <w:rFonts w:ascii="Times New Roman"/>
          <w:szCs w:val="21"/>
        </w:rPr>
        <w:t>≈0.02mol/L</w:t>
      </w:r>
      <w:r>
        <w:rPr>
          <w:rFonts w:hint="eastAsia" w:ascii="Times New Roman"/>
          <w:szCs w:val="21"/>
        </w:rPr>
        <w:t>）。</w:t>
      </w:r>
    </w:p>
    <w:p>
      <w:pPr>
        <w:pStyle w:val="55"/>
        <w:ind w:firstLine="0" w:firstLineChars="0"/>
        <w:rPr>
          <w:rFonts w:ascii="Times New Roman"/>
          <w:szCs w:val="21"/>
        </w:rPr>
      </w:pPr>
      <w:r>
        <w:rPr>
          <w:rFonts w:hint="eastAsia" w:ascii="Times New Roman"/>
          <w:szCs w:val="21"/>
        </w:rPr>
        <w:t>5.7.1 配置</w:t>
      </w:r>
    </w:p>
    <w:p>
      <w:pPr>
        <w:pStyle w:val="55"/>
        <w:ind w:firstLine="0" w:firstLineChars="0"/>
        <w:rPr>
          <w:rFonts w:ascii="Times New Roman"/>
          <w:szCs w:val="21"/>
        </w:rPr>
      </w:pPr>
      <w:r>
        <w:rPr>
          <w:rFonts w:hint="eastAsia" w:ascii="Times New Roman"/>
          <w:szCs w:val="21"/>
        </w:rPr>
        <w:t xml:space="preserve">    </w:t>
      </w:r>
      <w:r>
        <w:rPr>
          <w:rFonts w:ascii="Times New Roman"/>
          <w:szCs w:val="21"/>
        </w:rPr>
        <w:t>称取</w:t>
      </w:r>
      <w:r>
        <w:rPr>
          <w:rFonts w:hint="eastAsia" w:ascii="Times New Roman"/>
          <w:szCs w:val="21"/>
        </w:rPr>
        <w:t>0.7g</w:t>
      </w:r>
      <w:r>
        <w:rPr>
          <w:rFonts w:ascii="Times New Roman"/>
          <w:szCs w:val="21"/>
        </w:rPr>
        <w:t>锰酸钾于1000mL水中溶解,放置6</w:t>
      </w:r>
      <w:r>
        <w:rPr>
          <w:rFonts w:hint="eastAsia" w:ascii="Times New Roman"/>
          <w:szCs w:val="21"/>
        </w:rPr>
        <w:t>天</w:t>
      </w:r>
      <w:r>
        <w:rPr>
          <w:rFonts w:ascii="Times New Roman"/>
          <w:szCs w:val="21"/>
        </w:rPr>
        <w:t>,用玻璃棉或带玻璃砂芯的过滤式坩埚过滤于棕色玻璃瓶中,混匀。</w:t>
      </w:r>
    </w:p>
    <w:p>
      <w:pPr>
        <w:pStyle w:val="55"/>
        <w:ind w:firstLine="0" w:firstLineChars="0"/>
        <w:rPr>
          <w:rFonts w:ascii="Times New Roman"/>
          <w:szCs w:val="21"/>
        </w:rPr>
      </w:pPr>
      <w:r>
        <w:rPr>
          <w:rFonts w:hint="eastAsia" w:ascii="Times New Roman"/>
          <w:szCs w:val="21"/>
        </w:rPr>
        <w:t>5.7.2 标定</w:t>
      </w:r>
    </w:p>
    <w:p>
      <w:pPr>
        <w:pStyle w:val="55"/>
        <w:ind w:firstLine="420"/>
        <w:rPr>
          <w:rFonts w:ascii="Times New Roman"/>
          <w:szCs w:val="21"/>
        </w:rPr>
      </w:pPr>
      <w:r>
        <w:rPr>
          <w:rFonts w:ascii="Times New Roman"/>
          <w:szCs w:val="21"/>
        </w:rPr>
        <w:t>移取</w:t>
      </w:r>
      <w:r>
        <w:rPr>
          <w:rFonts w:hint="eastAsia" w:ascii="Times New Roman"/>
          <w:szCs w:val="21"/>
        </w:rPr>
        <w:t>1</w:t>
      </w:r>
      <w:r>
        <w:rPr>
          <w:rFonts w:ascii="Times New Roman"/>
          <w:szCs w:val="21"/>
        </w:rPr>
        <w:t>0.00 mL锰标准溶液(</w:t>
      </w:r>
      <w:r>
        <w:rPr>
          <w:rFonts w:hint="eastAsia" w:ascii="Times New Roman"/>
          <w:szCs w:val="21"/>
        </w:rPr>
        <w:t>5.6</w:t>
      </w:r>
      <w:r>
        <w:rPr>
          <w:rFonts w:ascii="Times New Roman"/>
          <w:szCs w:val="21"/>
        </w:rPr>
        <w:t>)于</w:t>
      </w:r>
      <w:r>
        <w:rPr>
          <w:rFonts w:hint="eastAsia" w:ascii="Times New Roman"/>
          <w:szCs w:val="21"/>
        </w:rPr>
        <w:t>250</w:t>
      </w:r>
      <w:r>
        <w:rPr>
          <w:rFonts w:ascii="Times New Roman"/>
          <w:szCs w:val="21"/>
        </w:rPr>
        <w:t>mL烧杯中,边搅拌边加</w:t>
      </w:r>
      <w:r>
        <w:rPr>
          <w:rFonts w:hint="eastAsia" w:ascii="Times New Roman"/>
          <w:szCs w:val="21"/>
        </w:rPr>
        <w:t>1</w:t>
      </w:r>
      <w:r>
        <w:rPr>
          <w:rFonts w:hint="eastAsia" w:ascii="Times New Roman"/>
          <w:szCs w:val="21"/>
          <w:lang w:val="en-US" w:eastAsia="zh-CN"/>
        </w:rPr>
        <w:t>3</w:t>
      </w:r>
      <w:r>
        <w:rPr>
          <w:rFonts w:hint="eastAsia" w:ascii="Times New Roman"/>
          <w:szCs w:val="21"/>
        </w:rPr>
        <w:t>0</w:t>
      </w:r>
      <w:r>
        <w:rPr>
          <w:rFonts w:ascii="Times New Roman"/>
          <w:szCs w:val="21"/>
        </w:rPr>
        <w:t>mL焦磷酸钠溶液 (</w:t>
      </w:r>
      <w:r>
        <w:rPr>
          <w:rFonts w:hint="eastAsia" w:ascii="Times New Roman"/>
          <w:szCs w:val="21"/>
        </w:rPr>
        <w:t>5.5</w:t>
      </w:r>
      <w:r>
        <w:rPr>
          <w:rFonts w:ascii="Times New Roman"/>
          <w:szCs w:val="21"/>
        </w:rPr>
        <w:t>),用盐酸(</w:t>
      </w:r>
      <w:r>
        <w:rPr>
          <w:rFonts w:hint="eastAsia" w:ascii="Times New Roman"/>
          <w:szCs w:val="21"/>
        </w:rPr>
        <w:t>5.3</w:t>
      </w:r>
      <w:r>
        <w:rPr>
          <w:rFonts w:ascii="Times New Roman"/>
          <w:szCs w:val="21"/>
        </w:rPr>
        <w:t>)或碳酸钠溶液(</w:t>
      </w:r>
      <w:r>
        <w:rPr>
          <w:rFonts w:hint="eastAsia" w:ascii="Times New Roman"/>
          <w:szCs w:val="21"/>
        </w:rPr>
        <w:t>5.4</w:t>
      </w:r>
      <w:r>
        <w:rPr>
          <w:rFonts w:ascii="Times New Roman"/>
          <w:szCs w:val="21"/>
        </w:rPr>
        <w:t>)调节溶液pH值为7.0</w:t>
      </w:r>
      <w:r>
        <w:rPr>
          <w:rFonts w:hint="eastAsia" w:ascii="Times New Roman"/>
          <w:szCs w:val="21"/>
        </w:rPr>
        <w:t>(</w:t>
      </w:r>
      <w:r>
        <w:rPr>
          <w:rFonts w:ascii="Times New Roman"/>
          <w:szCs w:val="21"/>
        </w:rPr>
        <w:t>用pH计</w:t>
      </w:r>
      <w:r>
        <w:rPr>
          <w:rFonts w:hint="eastAsia" w:ascii="Times New Roman"/>
          <w:szCs w:val="21"/>
        </w:rPr>
        <w:t>指示pH值)</w:t>
      </w:r>
      <w:r>
        <w:rPr>
          <w:rFonts w:ascii="Times New Roman"/>
          <w:szCs w:val="21"/>
        </w:rPr>
        <w:t>,</w:t>
      </w:r>
      <w:bookmarkStart w:id="13" w:name="OLE_LINK34"/>
      <w:r>
        <w:rPr>
          <w:rFonts w:ascii="Times New Roman"/>
          <w:szCs w:val="21"/>
        </w:rPr>
        <w:t>在电位滴定仪(</w:t>
      </w:r>
      <w:r>
        <w:rPr>
          <w:rFonts w:hint="eastAsia" w:ascii="Times New Roman"/>
          <w:szCs w:val="21"/>
        </w:rPr>
        <w:t>6.1</w:t>
      </w:r>
      <w:r>
        <w:rPr>
          <w:rFonts w:ascii="Times New Roman"/>
          <w:szCs w:val="21"/>
        </w:rPr>
        <w:t>)上,用高锰酸钾标准滴定溶液(</w:t>
      </w:r>
      <w:r>
        <w:rPr>
          <w:rFonts w:hint="eastAsia" w:ascii="Times New Roman"/>
          <w:szCs w:val="21"/>
        </w:rPr>
        <w:t>5.7</w:t>
      </w:r>
      <w:r>
        <w:rPr>
          <w:rFonts w:ascii="Times New Roman"/>
          <w:szCs w:val="21"/>
        </w:rPr>
        <w:t>)滴定,滴 至电位滴定仪(</w:t>
      </w:r>
      <w:r>
        <w:rPr>
          <w:rFonts w:hint="eastAsia" w:ascii="Times New Roman"/>
          <w:szCs w:val="21"/>
        </w:rPr>
        <w:t>6.1</w:t>
      </w:r>
      <w:r>
        <w:rPr>
          <w:rFonts w:ascii="Times New Roman"/>
          <w:szCs w:val="21"/>
        </w:rPr>
        <w:t>)上发生明显电位突变即为终点</w:t>
      </w:r>
      <w:r>
        <w:rPr>
          <w:rFonts w:hint="eastAsia" w:ascii="Times New Roman"/>
          <w:szCs w:val="21"/>
        </w:rPr>
        <w:t>。</w:t>
      </w:r>
    </w:p>
    <w:bookmarkEnd w:id="13"/>
    <w:p>
      <w:pPr>
        <w:pStyle w:val="55"/>
        <w:ind w:firstLine="420"/>
        <w:rPr>
          <w:rFonts w:ascii="Times New Roman"/>
          <w:szCs w:val="21"/>
        </w:rPr>
      </w:pPr>
      <w:r>
        <w:rPr>
          <w:rFonts w:ascii="Times New Roman"/>
          <w:szCs w:val="21"/>
        </w:rPr>
        <w:t>随同标定进行空白测定</w:t>
      </w:r>
      <w:r>
        <w:rPr>
          <w:rFonts w:hint="eastAsia" w:ascii="Times New Roman"/>
          <w:szCs w:val="21"/>
        </w:rPr>
        <w:t>，</w:t>
      </w:r>
      <w:r>
        <w:rPr>
          <w:rFonts w:ascii="Times New Roman"/>
          <w:szCs w:val="21"/>
        </w:rPr>
        <w:t>按式(1)计算高锰酸钾标准滴定溶液对锰的滴定度T ,单位为克每毫升(</w:t>
      </w:r>
      <w:r>
        <w:rPr>
          <w:rFonts w:hint="eastAsia" w:ascii="Times New Roman"/>
          <w:szCs w:val="21"/>
        </w:rPr>
        <w:t>m</w:t>
      </w:r>
      <w:r>
        <w:rPr>
          <w:rFonts w:ascii="Times New Roman"/>
          <w:szCs w:val="21"/>
        </w:rPr>
        <w:t>g/mL):</w:t>
      </w:r>
    </w:p>
    <w:p>
      <w:pPr>
        <w:spacing w:line="360" w:lineRule="auto"/>
        <w:jc w:val="center"/>
        <w:rPr>
          <w:szCs w:val="21"/>
        </w:rPr>
      </w:pPr>
      <w:r>
        <w:rPr>
          <w:rFonts w:hint="eastAsia"/>
          <w:kern w:val="0"/>
          <w:position w:val="-26"/>
          <w:szCs w:val="21"/>
        </w:rPr>
        <w:object>
          <v:shape id="_x0000_i1025" o:spt="75" type="#_x0000_t75" style="height:30pt;width:50.25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r>
        <w:rPr>
          <w:szCs w:val="21"/>
        </w:rPr>
        <w:t xml:space="preserve">  ………..……………..…..……..（1）</w:t>
      </w:r>
    </w:p>
    <w:p>
      <w:pPr>
        <w:spacing w:line="360" w:lineRule="auto"/>
        <w:ind w:firstLine="420" w:firstLineChars="200"/>
        <w:rPr>
          <w:szCs w:val="21"/>
        </w:rPr>
      </w:pPr>
      <w:r>
        <w:rPr>
          <w:rFonts w:hint="eastAsia"/>
          <w:szCs w:val="21"/>
        </w:rPr>
        <w:t>式中：</w:t>
      </w:r>
    </w:p>
    <w:p>
      <w:pPr>
        <w:pStyle w:val="55"/>
        <w:ind w:firstLine="420"/>
        <w:rPr>
          <w:rFonts w:ascii="Times New Roman"/>
          <w:szCs w:val="21"/>
        </w:rPr>
      </w:pPr>
      <w:r>
        <w:rPr>
          <w:rFonts w:hint="eastAsia" w:ascii="Times New Roman"/>
          <w:szCs w:val="21"/>
        </w:rPr>
        <w:t>T</w:t>
      </w:r>
      <w:r>
        <w:rPr>
          <w:rFonts w:ascii="Times New Roman"/>
          <w:szCs w:val="21"/>
        </w:rPr>
        <w:t>——高锰酸钾标准滴定溶液</w:t>
      </w:r>
      <w:r>
        <w:rPr>
          <w:rFonts w:hint="eastAsia" w:ascii="Times New Roman"/>
          <w:szCs w:val="21"/>
        </w:rPr>
        <w:t>对锰的滴定度</w:t>
      </w:r>
      <w:r>
        <w:rPr>
          <w:rFonts w:ascii="Times New Roman"/>
          <w:szCs w:val="21"/>
        </w:rPr>
        <w:t>，单位为</w:t>
      </w:r>
      <w:r>
        <w:rPr>
          <w:rFonts w:hint="eastAsia" w:ascii="Times New Roman"/>
          <w:szCs w:val="21"/>
        </w:rPr>
        <w:t>毫克每</w:t>
      </w:r>
      <w:r>
        <w:rPr>
          <w:rFonts w:ascii="Times New Roman"/>
          <w:szCs w:val="21"/>
        </w:rPr>
        <w:t>毫升（</w:t>
      </w:r>
      <w:r>
        <w:rPr>
          <w:rFonts w:hint="eastAsia" w:ascii="Times New Roman"/>
          <w:szCs w:val="21"/>
        </w:rPr>
        <w:t>mg/</w:t>
      </w:r>
      <w:r>
        <w:rPr>
          <w:rFonts w:ascii="Times New Roman"/>
          <w:szCs w:val="21"/>
        </w:rPr>
        <w:t>mL）</w:t>
      </w:r>
      <w:r>
        <w:rPr>
          <w:rFonts w:hint="eastAsia" w:ascii="Times New Roman"/>
          <w:szCs w:val="21"/>
        </w:rPr>
        <w:t>；</w:t>
      </w:r>
    </w:p>
    <w:p>
      <w:pPr>
        <w:pStyle w:val="55"/>
        <w:ind w:firstLine="420"/>
        <w:rPr>
          <w:rFonts w:ascii="Times New Roman"/>
          <w:szCs w:val="21"/>
        </w:rPr>
      </w:pPr>
      <w:r>
        <w:rPr>
          <w:rFonts w:ascii="Times New Roman"/>
          <w:szCs w:val="21"/>
        </w:rPr>
        <w:t>ρ——移取的锰标准溶液的质量浓度，单位为毫克每毫升（mg/mL）；</w:t>
      </w:r>
    </w:p>
    <w:p>
      <w:pPr>
        <w:pStyle w:val="55"/>
        <w:ind w:firstLine="420"/>
        <w:rPr>
          <w:rFonts w:ascii="Times New Roman"/>
          <w:szCs w:val="21"/>
        </w:rPr>
      </w:pPr>
      <w:r>
        <w:rPr>
          <w:rFonts w:ascii="Times New Roman"/>
          <w:szCs w:val="21"/>
        </w:rPr>
        <w:t>V</w:t>
      </w:r>
      <w:r>
        <w:rPr>
          <w:rFonts w:ascii="Times New Roman"/>
          <w:szCs w:val="21"/>
          <w:vertAlign w:val="subscript"/>
        </w:rPr>
        <w:t>2</w:t>
      </w:r>
      <w:r>
        <w:rPr>
          <w:rFonts w:ascii="Times New Roman"/>
          <w:szCs w:val="21"/>
        </w:rPr>
        <w:t>——移取的锰标准溶液的体积，单位为毫升（mL）；</w:t>
      </w:r>
    </w:p>
    <w:p>
      <w:pPr>
        <w:pStyle w:val="55"/>
        <w:ind w:firstLine="420"/>
        <w:rPr>
          <w:rFonts w:ascii="Times New Roman"/>
          <w:szCs w:val="21"/>
        </w:rPr>
      </w:pPr>
      <w:r>
        <w:rPr>
          <w:rFonts w:ascii="Times New Roman"/>
          <w:szCs w:val="21"/>
        </w:rPr>
        <w:t>V</w:t>
      </w:r>
      <w:r>
        <w:rPr>
          <w:rFonts w:ascii="Times New Roman"/>
          <w:szCs w:val="21"/>
          <w:vertAlign w:val="subscript"/>
        </w:rPr>
        <w:t>1</w:t>
      </w:r>
      <w:r>
        <w:rPr>
          <w:rFonts w:ascii="Times New Roman"/>
          <w:szCs w:val="21"/>
        </w:rPr>
        <w:t>——滴定时消耗的高锰酸钾标准滴定溶液的体积，单位为毫升（mL）；</w:t>
      </w:r>
    </w:p>
    <w:p>
      <w:pPr>
        <w:pStyle w:val="55"/>
        <w:ind w:firstLine="420"/>
        <w:rPr>
          <w:rFonts w:ascii="Times New Roman"/>
          <w:szCs w:val="21"/>
        </w:rPr>
      </w:pPr>
      <w:r>
        <w:rPr>
          <w:rFonts w:ascii="Times New Roman"/>
          <w:szCs w:val="21"/>
        </w:rPr>
        <w:t>V</w:t>
      </w:r>
      <w:r>
        <w:rPr>
          <w:rFonts w:ascii="Times New Roman"/>
          <w:szCs w:val="21"/>
          <w:vertAlign w:val="subscript"/>
        </w:rPr>
        <w:t>0</w:t>
      </w:r>
      <w:r>
        <w:rPr>
          <w:rFonts w:ascii="Times New Roman"/>
          <w:szCs w:val="21"/>
        </w:rPr>
        <w:t>——空白试验时消耗的高锰酸钾标准滴定溶液的体积，单位为毫升（mL）</w:t>
      </w:r>
      <w:r>
        <w:rPr>
          <w:rFonts w:hint="eastAsia" w:ascii="Times New Roman"/>
          <w:szCs w:val="21"/>
        </w:rPr>
        <w:t>。</w:t>
      </w:r>
    </w:p>
    <w:p>
      <w:pPr>
        <w:pStyle w:val="55"/>
        <w:ind w:firstLine="420"/>
        <w:rPr>
          <w:rFonts w:ascii="Times New Roman"/>
          <w:szCs w:val="21"/>
        </w:rPr>
      </w:pPr>
      <w:r>
        <w:rPr>
          <w:rFonts w:ascii="Times New Roman"/>
          <w:szCs w:val="21"/>
        </w:rPr>
        <w:t>平行标定三份，三份溶液所消耗的高锰酸钾标准滴定溶液体积的极差值不应超过0.05 mL，取其平均值</w:t>
      </w:r>
      <w:r>
        <w:rPr>
          <w:rFonts w:hint="eastAsia" w:ascii="Times New Roman"/>
          <w:szCs w:val="21"/>
        </w:rPr>
        <w:t>，</w:t>
      </w:r>
      <w:r>
        <w:rPr>
          <w:rFonts w:ascii="Times New Roman"/>
          <w:szCs w:val="21"/>
        </w:rPr>
        <w:t>计算结果保留四位有效数字。</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仪器和设备</w:t>
      </w:r>
    </w:p>
    <w:p>
      <w:pPr>
        <w:pStyle w:val="55"/>
        <w:ind w:firstLine="0" w:firstLineChars="0"/>
        <w:rPr>
          <w:rFonts w:ascii="Times New Roman"/>
          <w:szCs w:val="21"/>
        </w:rPr>
      </w:pPr>
      <w:r>
        <w:rPr>
          <w:rFonts w:hint="eastAsia" w:ascii="Times New Roman"/>
          <w:szCs w:val="21"/>
        </w:rPr>
        <w:t>6.1 电位滴定仪:</w:t>
      </w:r>
    </w:p>
    <w:p>
      <w:pPr>
        <w:pStyle w:val="55"/>
        <w:ind w:firstLine="420"/>
      </w:pPr>
      <w:r>
        <w:rPr>
          <w:rFonts w:hint="eastAsia" w:ascii="Times New Roman"/>
          <w:szCs w:val="21"/>
        </w:rPr>
        <w:t xml:space="preserve">a) </w:t>
      </w:r>
      <w:r>
        <w:rPr>
          <w:rFonts w:hint="eastAsia"/>
        </w:rPr>
        <w:t>用于电位滴定,配有下列电极之一:</w:t>
      </w:r>
    </w:p>
    <w:p>
      <w:pPr>
        <w:pStyle w:val="55"/>
        <w:ind w:firstLine="420"/>
      </w:pPr>
      <w:r>
        <w:rPr>
          <w:rFonts w:hint="eastAsia"/>
        </w:rPr>
        <w:t>———铂-饱和甘汞电极;</w:t>
      </w:r>
    </w:p>
    <w:p>
      <w:pPr>
        <w:pStyle w:val="55"/>
        <w:ind w:firstLine="420"/>
      </w:pPr>
      <w:r>
        <w:rPr>
          <w:rFonts w:hint="eastAsia"/>
        </w:rPr>
        <w:t>———铂-钨电极;</w:t>
      </w:r>
    </w:p>
    <w:p>
      <w:pPr>
        <w:pStyle w:val="55"/>
        <w:ind w:firstLine="420"/>
      </w:pPr>
      <w:r>
        <w:rPr>
          <w:rFonts w:hint="eastAsia"/>
        </w:rPr>
        <w:t>———铂-铂电极。</w:t>
      </w:r>
    </w:p>
    <w:p>
      <w:pPr>
        <w:pStyle w:val="55"/>
        <w:ind w:firstLine="420"/>
      </w:pPr>
      <w:r>
        <w:rPr>
          <w:rFonts w:hint="eastAsia" w:ascii="Times New Roman"/>
          <w:szCs w:val="21"/>
        </w:rPr>
        <w:t>b)</w:t>
      </w:r>
      <w:r>
        <w:rPr>
          <w:rFonts w:hint="eastAsia"/>
        </w:rPr>
        <w:t xml:space="preserve"> 用于</w:t>
      </w:r>
      <w:r>
        <w:rPr>
          <w:rFonts w:hint="eastAsia" w:ascii="Times New Roman"/>
          <w:szCs w:val="21"/>
        </w:rPr>
        <w:t>pH</w:t>
      </w:r>
      <w:r>
        <w:rPr>
          <w:rFonts w:hint="eastAsia"/>
        </w:rPr>
        <w:t>测定:</w:t>
      </w:r>
    </w:p>
    <w:p>
      <w:pPr>
        <w:pStyle w:val="55"/>
        <w:ind w:firstLine="420"/>
      </w:pPr>
      <w:r>
        <w:rPr>
          <w:rFonts w:hint="eastAsia"/>
        </w:rPr>
        <w:t>———玻璃-饱和甘汞电极。</w:t>
      </w:r>
    </w:p>
    <w:p>
      <w:pPr>
        <w:pStyle w:val="55"/>
        <w:ind w:firstLine="0" w:firstLineChars="0"/>
        <w:rPr>
          <w:rFonts w:ascii="Times New Roman"/>
          <w:szCs w:val="21"/>
        </w:rPr>
      </w:pPr>
      <w:r>
        <w:rPr>
          <w:rFonts w:hint="eastAsia" w:ascii="Times New Roman"/>
          <w:szCs w:val="21"/>
        </w:rPr>
        <w:t>6.2 分析天平，精度0.0001g。</w:t>
      </w:r>
      <w:r>
        <w:rPr>
          <w:rFonts w:ascii="Times New Roman"/>
          <w:szCs w:val="21"/>
        </w:rPr>
        <w:t xml:space="preserve"> </w:t>
      </w:r>
    </w:p>
    <w:p>
      <w:pPr>
        <w:pStyle w:val="55"/>
        <w:ind w:firstLine="0" w:firstLineChars="0"/>
        <w:rPr>
          <w:rFonts w:ascii="Times New Roman"/>
          <w:szCs w:val="21"/>
        </w:rPr>
      </w:pPr>
      <w:r>
        <w:rPr>
          <w:rFonts w:hint="eastAsia" w:ascii="Times New Roman"/>
          <w:szCs w:val="21"/>
        </w:rPr>
        <w:t>6.3 加热板</w:t>
      </w:r>
    </w:p>
    <w:p>
      <w:pPr>
        <w:pStyle w:val="55"/>
        <w:ind w:firstLine="0" w:firstLineChars="0"/>
        <w:rPr>
          <w:rFonts w:ascii="Times New Roman"/>
          <w:szCs w:val="21"/>
        </w:rPr>
      </w:pPr>
      <w:r>
        <w:rPr>
          <w:rFonts w:hint="eastAsia" w:ascii="Times New Roman"/>
          <w:szCs w:val="21"/>
        </w:rPr>
        <w:t>6.4 单标线吸量管，容量10.00mL。</w:t>
      </w:r>
    </w:p>
    <w:p>
      <w:pPr>
        <w:pStyle w:val="55"/>
        <w:ind w:firstLine="0" w:firstLineChars="0"/>
        <w:rPr>
          <w:rFonts w:ascii="Times New Roman"/>
          <w:szCs w:val="21"/>
        </w:rPr>
      </w:pPr>
      <w:r>
        <w:rPr>
          <w:rFonts w:hint="eastAsia" w:ascii="Times New Roman"/>
          <w:szCs w:val="21"/>
        </w:rPr>
        <w:t>6.5 200.0mL容量瓶，A级。</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样品</w:t>
      </w:r>
    </w:p>
    <w:p>
      <w:pPr>
        <w:pStyle w:val="55"/>
        <w:ind w:firstLine="0" w:firstLineChars="0"/>
        <w:rPr>
          <w:rFonts w:ascii="Times New Roman"/>
          <w:szCs w:val="21"/>
        </w:rPr>
      </w:pPr>
      <w:r>
        <w:rPr>
          <w:rFonts w:hint="eastAsia" w:ascii="Times New Roman"/>
          <w:szCs w:val="21"/>
        </w:rPr>
        <w:t>7.1 样品应通过0.074mm（200目）筛孔。</w:t>
      </w:r>
    </w:p>
    <w:p>
      <w:pPr>
        <w:pStyle w:val="55"/>
        <w:ind w:firstLine="0" w:firstLineChars="0"/>
        <w:rPr>
          <w:rFonts w:ascii="Times New Roman"/>
          <w:szCs w:val="21"/>
        </w:rPr>
      </w:pPr>
      <w:r>
        <w:rPr>
          <w:rFonts w:hint="eastAsia" w:ascii="Times New Roman"/>
          <w:szCs w:val="21"/>
        </w:rPr>
        <w:t>7.2 样品应在105℃±5℃烘干2h，置于干燥器中冷却至室温备用。</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 xml:space="preserve"> 试验步骤</w:t>
      </w:r>
    </w:p>
    <w:p>
      <w:pPr>
        <w:pStyle w:val="82"/>
        <w:numPr>
          <w:ilvl w:val="1"/>
          <w:numId w:val="0"/>
        </w:numPr>
        <w:spacing w:before="156" w:after="156" w:line="360" w:lineRule="auto"/>
        <w:rPr>
          <w:rFonts w:hint="eastAsia" w:hAnsi="黑体" w:cs="黑体"/>
          <w:b/>
          <w:szCs w:val="21"/>
        </w:rPr>
      </w:pPr>
      <w:r>
        <w:rPr>
          <w:rFonts w:hint="eastAsia" w:hAnsi="黑体" w:cs="黑体"/>
          <w:kern w:val="2"/>
          <w:szCs w:val="21"/>
        </w:rPr>
        <w:t>8.1试料</w:t>
      </w:r>
    </w:p>
    <w:p>
      <w:pPr>
        <w:pStyle w:val="55"/>
        <w:ind w:firstLine="420"/>
        <w:rPr>
          <w:rFonts w:ascii="Times New Roman"/>
          <w:szCs w:val="21"/>
        </w:rPr>
      </w:pPr>
      <w:r>
        <w:rPr>
          <w:rFonts w:hint="eastAsia" w:ascii="Times New Roman"/>
          <w:szCs w:val="21"/>
        </w:rPr>
        <w:t>称取烘干后的1.00 g 试样(7)，精确至0.0001 g。</w:t>
      </w:r>
    </w:p>
    <w:p>
      <w:pPr>
        <w:pStyle w:val="82"/>
        <w:numPr>
          <w:ilvl w:val="1"/>
          <w:numId w:val="0"/>
        </w:numPr>
        <w:spacing w:before="156" w:after="156" w:line="360" w:lineRule="auto"/>
        <w:rPr>
          <w:rFonts w:hint="eastAsia" w:hAnsi="黑体" w:cs="黑体"/>
          <w:kern w:val="2"/>
          <w:szCs w:val="21"/>
        </w:rPr>
      </w:pPr>
      <w:r>
        <w:rPr>
          <w:rFonts w:hint="eastAsia" w:hAnsi="黑体" w:cs="黑体"/>
          <w:kern w:val="2"/>
          <w:szCs w:val="21"/>
        </w:rPr>
        <w:t>8.2 平行试验</w:t>
      </w:r>
    </w:p>
    <w:p>
      <w:pPr>
        <w:pStyle w:val="55"/>
        <w:ind w:firstLine="420"/>
      </w:pPr>
      <w:r>
        <w:t>对同一试样至少进行两次重复性分析。</w:t>
      </w:r>
    </w:p>
    <w:p>
      <w:pPr>
        <w:pStyle w:val="55"/>
        <w:tabs>
          <w:tab w:val="center" w:pos="4201"/>
          <w:tab w:val="right" w:leader="dot" w:pos="9298"/>
        </w:tabs>
        <w:spacing w:before="156" w:beforeLines="50" w:after="156" w:afterLines="50" w:line="360" w:lineRule="auto"/>
        <w:ind w:firstLine="0" w:firstLineChars="0"/>
        <w:rPr>
          <w:rFonts w:hint="eastAsia" w:ascii="黑体" w:hAnsi="黑体" w:eastAsia="黑体" w:cs="黑体"/>
          <w:kern w:val="2"/>
          <w:szCs w:val="21"/>
        </w:rPr>
      </w:pPr>
      <w:r>
        <w:rPr>
          <w:rFonts w:hint="eastAsia" w:ascii="黑体" w:hAnsi="黑体" w:eastAsia="黑体" w:cs="黑体"/>
          <w:kern w:val="2"/>
          <w:szCs w:val="21"/>
        </w:rPr>
        <w:t>8.3 空白试验</w:t>
      </w:r>
    </w:p>
    <w:p>
      <w:pPr>
        <w:pStyle w:val="55"/>
        <w:ind w:firstLine="420"/>
        <w:rPr>
          <w:rFonts w:ascii="Times New Roman"/>
          <w:szCs w:val="21"/>
        </w:rPr>
      </w:pPr>
      <w:r>
        <w:rPr>
          <w:rFonts w:hint="eastAsia" w:ascii="Times New Roman"/>
          <w:szCs w:val="21"/>
        </w:rPr>
        <w:t>随同试料做空白试验。</w:t>
      </w:r>
    </w:p>
    <w:p>
      <w:pPr>
        <w:pStyle w:val="55"/>
        <w:tabs>
          <w:tab w:val="center" w:pos="4201"/>
          <w:tab w:val="right" w:leader="dot" w:pos="9298"/>
        </w:tabs>
        <w:spacing w:before="156" w:beforeLines="50" w:after="156" w:afterLines="50" w:line="360" w:lineRule="auto"/>
        <w:ind w:firstLine="0" w:firstLineChars="0"/>
        <w:rPr>
          <w:rFonts w:hint="eastAsia" w:ascii="黑体" w:hAnsi="黑体" w:eastAsia="黑体" w:cs="黑体"/>
          <w:kern w:val="2"/>
          <w:szCs w:val="21"/>
        </w:rPr>
      </w:pPr>
      <w:r>
        <w:rPr>
          <w:rFonts w:hint="eastAsia" w:ascii="黑体" w:hAnsi="黑体" w:eastAsia="黑体" w:cs="黑体"/>
          <w:kern w:val="2"/>
          <w:szCs w:val="21"/>
        </w:rPr>
        <w:t>8.4 测定</w:t>
      </w:r>
    </w:p>
    <w:p>
      <w:pPr>
        <w:pStyle w:val="55"/>
        <w:ind w:firstLine="0" w:firstLineChars="0"/>
        <w:rPr>
          <w:rFonts w:ascii="Times New Roman"/>
          <w:szCs w:val="21"/>
        </w:rPr>
      </w:pPr>
      <w:bookmarkStart w:id="14" w:name="OLE_LINK33"/>
      <w:r>
        <w:rPr>
          <w:rFonts w:hint="eastAsia" w:ascii="Times New Roman"/>
          <w:szCs w:val="21"/>
        </w:rPr>
        <w:t>8.4.1 试料分解</w:t>
      </w:r>
    </w:p>
    <w:bookmarkEnd w:id="14"/>
    <w:p>
      <w:pPr>
        <w:pStyle w:val="55"/>
        <w:ind w:firstLine="420"/>
        <w:rPr>
          <w:rFonts w:ascii="Times New Roman"/>
          <w:szCs w:val="21"/>
        </w:rPr>
      </w:pPr>
      <w:r>
        <w:rPr>
          <w:rFonts w:hint="eastAsia" w:ascii="Times New Roman"/>
          <w:szCs w:val="21"/>
        </w:rPr>
        <w:t>将试料(8.1</w:t>
      </w:r>
      <w:bookmarkEnd w:id="2"/>
      <w:r>
        <w:rPr>
          <w:rFonts w:hint="eastAsia" w:ascii="Times New Roman"/>
          <w:szCs w:val="21"/>
        </w:rPr>
        <w:t>)置于100mL烧杯中，</w:t>
      </w:r>
      <w:r>
        <w:rPr>
          <w:rFonts w:ascii="Times New Roman"/>
          <w:szCs w:val="21"/>
        </w:rPr>
        <w:t>用几滴水湿润</w:t>
      </w:r>
      <w:r>
        <w:rPr>
          <w:rFonts w:hint="eastAsia" w:ascii="Times New Roman"/>
          <w:szCs w:val="21"/>
        </w:rPr>
        <w:t>，加入30mL盐酸(5.1)</w:t>
      </w:r>
      <w:r>
        <w:rPr>
          <w:rFonts w:hint="eastAsia" w:ascii="Times New Roman"/>
          <w:szCs w:val="21"/>
          <w:lang w:val="en-US" w:eastAsia="zh-CN"/>
        </w:rPr>
        <w:t>与3ml硝酸（5.2）</w:t>
      </w:r>
      <w:r>
        <w:rPr>
          <w:rFonts w:hint="eastAsia" w:ascii="Times New Roman"/>
          <w:szCs w:val="21"/>
        </w:rPr>
        <w:t>，盖上表面皿后置于加热板上加热微沸20min，用纯水冲洗表面皿、烧杯内壁，盖上表面皿继续沸腾10min，取下冷却至室温。</w:t>
      </w:r>
      <w:r>
        <w:rPr>
          <w:rFonts w:ascii="Times New Roman"/>
          <w:szCs w:val="21"/>
        </w:rPr>
        <w:t>用含有少量纸浆的中速滤纸过滤不溶残渣,用</w:t>
      </w:r>
      <w:r>
        <w:rPr>
          <w:rFonts w:hint="eastAsia" w:ascii="Times New Roman"/>
          <w:szCs w:val="21"/>
        </w:rPr>
        <w:t>纯</w:t>
      </w:r>
      <w:r>
        <w:rPr>
          <w:rFonts w:ascii="Times New Roman"/>
          <w:szCs w:val="21"/>
        </w:rPr>
        <w:t>水</w:t>
      </w:r>
      <w:r>
        <w:rPr>
          <w:rFonts w:hint="eastAsia" w:ascii="Times New Roman"/>
          <w:szCs w:val="21"/>
        </w:rPr>
        <w:t>洗涤烧杯</w:t>
      </w:r>
      <w:bookmarkStart w:id="15" w:name="OLE_LINK32"/>
      <w:r>
        <w:rPr>
          <w:rFonts w:hint="eastAsia" w:ascii="Times New Roman"/>
          <w:szCs w:val="21"/>
        </w:rPr>
        <w:t>5-6</w:t>
      </w:r>
      <w:r>
        <w:rPr>
          <w:rFonts w:ascii="Times New Roman"/>
          <w:szCs w:val="21"/>
        </w:rPr>
        <w:t>次</w:t>
      </w:r>
      <w:bookmarkEnd w:id="15"/>
      <w:r>
        <w:rPr>
          <w:rFonts w:ascii="Times New Roman"/>
          <w:szCs w:val="21"/>
        </w:rPr>
        <w:t>,</w:t>
      </w:r>
      <w:r>
        <w:rPr>
          <w:rFonts w:hint="eastAsia" w:ascii="Times New Roman"/>
          <w:szCs w:val="21"/>
        </w:rPr>
        <w:t>洗涤沉淀物</w:t>
      </w:r>
      <w:r>
        <w:rPr>
          <w:rFonts w:ascii="Times New Roman"/>
          <w:szCs w:val="21"/>
        </w:rPr>
        <w:t>滤液</w:t>
      </w:r>
      <w:r>
        <w:rPr>
          <w:rFonts w:hint="eastAsia" w:ascii="Times New Roman"/>
          <w:szCs w:val="21"/>
        </w:rPr>
        <w:t>5-6</w:t>
      </w:r>
      <w:r>
        <w:rPr>
          <w:rFonts w:ascii="Times New Roman"/>
          <w:szCs w:val="21"/>
        </w:rPr>
        <w:t>次</w:t>
      </w:r>
      <w:r>
        <w:rPr>
          <w:rFonts w:hint="eastAsia" w:ascii="Times New Roman"/>
          <w:szCs w:val="21"/>
        </w:rPr>
        <w:t>，将</w:t>
      </w:r>
      <w:r>
        <w:rPr>
          <w:rFonts w:ascii="Times New Roman"/>
          <w:szCs w:val="21"/>
        </w:rPr>
        <w:t>洗液收集于</w:t>
      </w:r>
      <w:r>
        <w:rPr>
          <w:rFonts w:hint="eastAsia" w:ascii="Times New Roman"/>
          <w:szCs w:val="21"/>
        </w:rPr>
        <w:t>200mL</w:t>
      </w:r>
      <w:r>
        <w:rPr>
          <w:rFonts w:ascii="Times New Roman"/>
          <w:szCs w:val="21"/>
        </w:rPr>
        <w:t>容量瓶中</w:t>
      </w:r>
      <w:r>
        <w:rPr>
          <w:rFonts w:hint="eastAsia" w:ascii="Times New Roman"/>
          <w:szCs w:val="21"/>
        </w:rPr>
        <w:t>定容摇匀备用</w:t>
      </w:r>
      <w:r>
        <w:rPr>
          <w:rFonts w:ascii="Times New Roman"/>
          <w:szCs w:val="21"/>
        </w:rPr>
        <w:t>。</w:t>
      </w:r>
    </w:p>
    <w:p>
      <w:pPr>
        <w:pStyle w:val="55"/>
        <w:ind w:firstLine="0" w:firstLineChars="0"/>
        <w:rPr>
          <w:rFonts w:ascii="Times New Roman"/>
          <w:szCs w:val="21"/>
        </w:rPr>
      </w:pPr>
      <w:bookmarkStart w:id="16" w:name="OLE_LINK31"/>
      <w:r>
        <w:rPr>
          <w:rFonts w:hint="eastAsia" w:ascii="Times New Roman"/>
          <w:szCs w:val="21"/>
        </w:rPr>
        <w:t>8.4.1 电位滴定测试</w:t>
      </w:r>
    </w:p>
    <w:bookmarkEnd w:id="16"/>
    <w:p>
      <w:pPr>
        <w:pStyle w:val="55"/>
        <w:ind w:firstLine="420"/>
        <w:rPr>
          <w:rFonts w:ascii="Times New Roman"/>
          <w:color w:val="000000" w:themeColor="text1"/>
          <w:szCs w:val="21"/>
          <w14:textFill>
            <w14:solidFill>
              <w14:schemeClr w14:val="tx1"/>
            </w14:solidFill>
          </w14:textFill>
        </w:rPr>
      </w:pPr>
      <w:r>
        <w:rPr>
          <w:rFonts w:hint="eastAsia" w:ascii="Times New Roman"/>
          <w:color w:val="000000" w:themeColor="text1"/>
          <w:szCs w:val="21"/>
          <w14:textFill>
            <w14:solidFill>
              <w14:schemeClr w14:val="tx1"/>
            </w14:solidFill>
          </w14:textFill>
        </w:rPr>
        <w:t>移取10.00mL试液（8.4.1）于250mL烧杯中，边搅拌边加入1</w:t>
      </w:r>
      <w:r>
        <w:rPr>
          <w:rFonts w:hint="eastAsia" w:ascii="Times New Roman"/>
          <w:color w:val="000000" w:themeColor="text1"/>
          <w:szCs w:val="21"/>
          <w:lang w:val="en-US" w:eastAsia="zh-CN"/>
          <w14:textFill>
            <w14:solidFill>
              <w14:schemeClr w14:val="tx1"/>
            </w14:solidFill>
          </w14:textFill>
        </w:rPr>
        <w:t>3</w:t>
      </w:r>
      <w:r>
        <w:rPr>
          <w:rFonts w:hint="eastAsia" w:ascii="Times New Roman"/>
          <w:color w:val="000000" w:themeColor="text1"/>
          <w:szCs w:val="21"/>
          <w14:textFill>
            <w14:solidFill>
              <w14:schemeClr w14:val="tx1"/>
            </w14:solidFill>
          </w14:textFill>
        </w:rPr>
        <w:t>0mL饱和焦磷酸钠溶液（5.5）用盐酸（5.2）或碳酸钠溶液（5.4）调节溶液pH为</w:t>
      </w:r>
      <w:r>
        <w:rPr>
          <w:rFonts w:ascii="Times New Roman"/>
          <w:color w:val="000000" w:themeColor="text1"/>
          <w:szCs w:val="21"/>
          <w14:textFill>
            <w14:solidFill>
              <w14:schemeClr w14:val="tx1"/>
            </w14:solidFill>
          </w14:textFill>
        </w:rPr>
        <w:t>6.0~7.0</w:t>
      </w:r>
      <w:r>
        <w:rPr>
          <w:rFonts w:hint="eastAsia" w:ascii="Times New Roman"/>
          <w:color w:val="000000" w:themeColor="text1"/>
          <w:szCs w:val="21"/>
          <w14:textFill>
            <w14:solidFill>
              <w14:schemeClr w14:val="tx1"/>
            </w14:solidFill>
          </w14:textFill>
        </w:rPr>
        <w:t>(用pH计指示pH值)，</w:t>
      </w:r>
      <w:r>
        <w:rPr>
          <w:rFonts w:ascii="Times New Roman"/>
          <w:color w:val="000000" w:themeColor="text1"/>
          <w:szCs w:val="21"/>
          <w14:textFill>
            <w14:solidFill>
              <w14:schemeClr w14:val="tx1"/>
            </w14:solidFill>
          </w14:textFill>
        </w:rPr>
        <w:t>在电位滴定仪(</w:t>
      </w:r>
      <w:r>
        <w:rPr>
          <w:rFonts w:hint="eastAsia" w:ascii="Times New Roman"/>
          <w:color w:val="000000" w:themeColor="text1"/>
          <w:szCs w:val="21"/>
          <w14:textFill>
            <w14:solidFill>
              <w14:schemeClr w14:val="tx1"/>
            </w14:solidFill>
          </w14:textFill>
        </w:rPr>
        <w:t>6.1</w:t>
      </w:r>
      <w:r>
        <w:rPr>
          <w:rFonts w:ascii="Times New Roman"/>
          <w:color w:val="000000" w:themeColor="text1"/>
          <w:szCs w:val="21"/>
          <w14:textFill>
            <w14:solidFill>
              <w14:schemeClr w14:val="tx1"/>
            </w14:solidFill>
          </w14:textFill>
        </w:rPr>
        <w:t>)上,用高锰酸钾标准滴定溶液(</w:t>
      </w:r>
      <w:r>
        <w:rPr>
          <w:rFonts w:hint="eastAsia" w:ascii="Times New Roman"/>
          <w:color w:val="000000" w:themeColor="text1"/>
          <w:szCs w:val="21"/>
          <w14:textFill>
            <w14:solidFill>
              <w14:schemeClr w14:val="tx1"/>
            </w14:solidFill>
          </w14:textFill>
        </w:rPr>
        <w:t>5.7</w:t>
      </w:r>
      <w:r>
        <w:rPr>
          <w:rFonts w:ascii="Times New Roman"/>
          <w:color w:val="000000" w:themeColor="text1"/>
          <w:szCs w:val="21"/>
          <w14:textFill>
            <w14:solidFill>
              <w14:schemeClr w14:val="tx1"/>
            </w14:solidFill>
          </w14:textFill>
        </w:rPr>
        <w:t>)滴定,滴至电位滴定仪(</w:t>
      </w:r>
      <w:r>
        <w:rPr>
          <w:rFonts w:hint="eastAsia" w:ascii="Times New Roman"/>
          <w:color w:val="000000" w:themeColor="text1"/>
          <w:szCs w:val="21"/>
          <w14:textFill>
            <w14:solidFill>
              <w14:schemeClr w14:val="tx1"/>
            </w14:solidFill>
          </w14:textFill>
        </w:rPr>
        <w:t>6.1</w:t>
      </w:r>
      <w:r>
        <w:rPr>
          <w:rFonts w:ascii="Times New Roman"/>
          <w:color w:val="000000" w:themeColor="text1"/>
          <w:szCs w:val="21"/>
          <w14:textFill>
            <w14:solidFill>
              <w14:schemeClr w14:val="tx1"/>
            </w14:solidFill>
          </w14:textFill>
        </w:rPr>
        <w:t>)上发生明显电位突变即为终点</w:t>
      </w:r>
      <w:r>
        <w:rPr>
          <w:rFonts w:hint="eastAsia" w:ascii="Times New Roman"/>
          <w:color w:val="000000" w:themeColor="text1"/>
          <w:szCs w:val="21"/>
          <w14:textFill>
            <w14:solidFill>
              <w14:schemeClr w14:val="tx1"/>
            </w14:solidFill>
          </w14:textFill>
        </w:rPr>
        <w:t>。</w:t>
      </w:r>
    </w:p>
    <w:p>
      <w:pPr>
        <w:pStyle w:val="82"/>
        <w:numPr>
          <w:ilvl w:val="0"/>
          <w:numId w:val="12"/>
        </w:numPr>
        <w:tabs>
          <w:tab w:val="left" w:pos="112"/>
          <w:tab w:val="clear" w:pos="360"/>
        </w:tabs>
        <w:spacing w:before="312" w:beforeLines="100" w:after="312" w:afterLines="100"/>
        <w:ind w:left="357" w:hanging="357"/>
        <w:rPr>
          <w:rFonts w:hint="eastAsia" w:hAnsi="黑体"/>
          <w:lang w:val="el-GR"/>
        </w:rPr>
      </w:pPr>
      <w:r>
        <w:rPr>
          <w:rFonts w:hint="eastAsia" w:hAnsi="黑体"/>
        </w:rPr>
        <w:t xml:space="preserve">  试验数据处理</w:t>
      </w:r>
    </w:p>
    <w:p>
      <w:pPr>
        <w:pStyle w:val="55"/>
        <w:ind w:firstLine="420"/>
        <w:rPr>
          <w:rFonts w:ascii="Times New Roman"/>
          <w:szCs w:val="21"/>
        </w:rPr>
      </w:pPr>
      <w:r>
        <w:rPr>
          <w:rFonts w:hint="eastAsia" w:ascii="Times New Roman"/>
          <w:szCs w:val="21"/>
        </w:rPr>
        <w:t>锰的含量以锰的质量分数</w:t>
      </w:r>
      <w:r>
        <w:rPr>
          <w:rFonts w:hint="eastAsia" w:ascii="Times New Roman"/>
          <w:i/>
          <w:iCs/>
          <w:szCs w:val="21"/>
        </w:rPr>
        <w:t>w</w:t>
      </w:r>
      <w:r>
        <w:rPr>
          <w:rFonts w:hint="eastAsia" w:ascii="Times New Roman"/>
          <w:szCs w:val="21"/>
          <w:vertAlign w:val="subscript"/>
        </w:rPr>
        <w:t>Mn</w:t>
      </w:r>
      <w:r>
        <w:rPr>
          <w:rFonts w:hint="eastAsia" w:ascii="Times New Roman"/>
          <w:szCs w:val="21"/>
        </w:rPr>
        <w:t>计，按公式（2）计算：</w:t>
      </w:r>
    </w:p>
    <w:p>
      <w:pPr>
        <w:spacing w:line="360" w:lineRule="auto"/>
        <w:ind w:firstLine="420" w:firstLineChars="200"/>
        <w:rPr>
          <w:szCs w:val="21"/>
        </w:rPr>
      </w:pPr>
      <w:r>
        <w:rPr>
          <w:position w:val="-26"/>
          <w:szCs w:val="21"/>
        </w:rPr>
        <w:object>
          <v:shape id="_x0000_i1026" o:spt="75" type="#_x0000_t75" style="height:33.4pt;width:157.15pt;" o:ole="t" filled="f" o:preferrelative="t" stroked="f" coordsize="21600,21600">
            <v:path/>
            <v:fill on="f" focussize="0,0"/>
            <v:stroke on="f" joinstyle="miter"/>
            <v:imagedata r:id="rId18" o:title=""/>
            <o:lock v:ext="edit" aspectratio="t"/>
            <w10:wrap type="none"/>
            <w10:anchorlock/>
          </v:shape>
          <o:OLEObject Type="Embed" ProgID="Equation.3" ShapeID="_x0000_i1026" DrawAspect="Content" ObjectID="_1468075726" r:id="rId17">
            <o:LockedField>false</o:LockedField>
          </o:OLEObject>
        </w:object>
      </w:r>
      <w:r>
        <w:rPr>
          <w:szCs w:val="21"/>
        </w:rPr>
        <w:t>………..………………………</w:t>
      </w:r>
      <w:r>
        <w:rPr>
          <w:rFonts w:hint="eastAsia"/>
          <w:szCs w:val="21"/>
        </w:rPr>
        <w:t>（2）</w:t>
      </w:r>
    </w:p>
    <w:p>
      <w:pPr>
        <w:pStyle w:val="55"/>
        <w:ind w:firstLine="420"/>
        <w:rPr>
          <w:rFonts w:ascii="Times New Roman"/>
          <w:szCs w:val="21"/>
        </w:rPr>
      </w:pPr>
      <w:r>
        <w:rPr>
          <w:rFonts w:ascii="Times New Roman"/>
          <w:szCs w:val="21"/>
        </w:rPr>
        <w:t>式中：</w:t>
      </w:r>
    </w:p>
    <w:p>
      <w:pPr>
        <w:pStyle w:val="55"/>
        <w:ind w:firstLine="420"/>
        <w:rPr>
          <w:rFonts w:ascii="Times New Roman"/>
          <w:szCs w:val="21"/>
        </w:rPr>
      </w:pPr>
      <w:r>
        <w:rPr>
          <w:rFonts w:hint="eastAsia" w:ascii="Times New Roman"/>
          <w:i/>
          <w:iCs/>
          <w:szCs w:val="21"/>
        </w:rPr>
        <w:t>w</w:t>
      </w:r>
      <w:r>
        <w:rPr>
          <w:rFonts w:hint="eastAsia" w:ascii="Times New Roman"/>
          <w:szCs w:val="21"/>
          <w:vertAlign w:val="subscript"/>
        </w:rPr>
        <w:t>Mn</w:t>
      </w:r>
      <w:r>
        <w:rPr>
          <w:rFonts w:ascii="Times New Roman"/>
          <w:szCs w:val="21"/>
        </w:rPr>
        <w:t xml:space="preserve"> ——</w:t>
      </w:r>
      <w:r>
        <w:rPr>
          <w:rFonts w:hint="eastAsia" w:ascii="Times New Roman"/>
          <w:szCs w:val="21"/>
        </w:rPr>
        <w:t xml:space="preserve"> 试料中锰元素的质量分数，单位为百分含量（%）；</w:t>
      </w:r>
    </w:p>
    <w:p>
      <w:pPr>
        <w:pStyle w:val="55"/>
        <w:ind w:firstLine="420"/>
        <w:rPr>
          <w:rFonts w:ascii="Times New Roman"/>
          <w:szCs w:val="21"/>
        </w:rPr>
      </w:pPr>
      <w:r>
        <w:rPr>
          <w:rFonts w:ascii="Times New Roman"/>
          <w:szCs w:val="21"/>
        </w:rPr>
        <w:t>T ——高锰酸钾</w:t>
      </w:r>
      <w:r>
        <w:rPr>
          <w:rFonts w:hint="eastAsia" w:ascii="Times New Roman"/>
          <w:szCs w:val="21"/>
        </w:rPr>
        <w:t>标准</w:t>
      </w:r>
      <w:r>
        <w:rPr>
          <w:rFonts w:ascii="Times New Roman"/>
          <w:szCs w:val="21"/>
        </w:rPr>
        <w:t>滴定溶液对锰的滴定度，单位</w:t>
      </w:r>
      <w:r>
        <w:rPr>
          <w:rFonts w:hint="eastAsia" w:ascii="Times New Roman"/>
          <w:szCs w:val="21"/>
        </w:rPr>
        <w:t>毫</w:t>
      </w:r>
      <w:r>
        <w:rPr>
          <w:rFonts w:ascii="Times New Roman"/>
          <w:szCs w:val="21"/>
        </w:rPr>
        <w:t>克每毫升（</w:t>
      </w:r>
      <w:r>
        <w:rPr>
          <w:rFonts w:hint="eastAsia" w:ascii="Times New Roman"/>
          <w:szCs w:val="21"/>
        </w:rPr>
        <w:t>m</w:t>
      </w:r>
      <w:r>
        <w:rPr>
          <w:rFonts w:ascii="Times New Roman"/>
          <w:szCs w:val="21"/>
        </w:rPr>
        <w:t>g/mL）；</w:t>
      </w:r>
    </w:p>
    <w:p>
      <w:pPr>
        <w:pStyle w:val="55"/>
        <w:ind w:firstLine="420"/>
        <w:rPr>
          <w:rFonts w:ascii="Times New Roman"/>
          <w:szCs w:val="21"/>
        </w:rPr>
      </w:pPr>
      <w:r>
        <w:rPr>
          <w:rFonts w:ascii="Times New Roman"/>
          <w:szCs w:val="21"/>
        </w:rPr>
        <w:t>V ——试液定容的总体积，单位为毫升（mL）；</w:t>
      </w:r>
    </w:p>
    <w:p>
      <w:pPr>
        <w:pStyle w:val="55"/>
        <w:ind w:firstLine="420"/>
        <w:rPr>
          <w:rFonts w:ascii="Times New Roman"/>
          <w:szCs w:val="21"/>
        </w:rPr>
      </w:pPr>
      <w:r>
        <w:rPr>
          <w:rFonts w:ascii="Times New Roman"/>
          <w:szCs w:val="21"/>
        </w:rPr>
        <w:t>V</w:t>
      </w:r>
      <w:r>
        <w:rPr>
          <w:rFonts w:ascii="Times New Roman"/>
          <w:szCs w:val="21"/>
          <w:vertAlign w:val="subscript"/>
        </w:rPr>
        <w:t>5</w:t>
      </w:r>
      <w:r>
        <w:rPr>
          <w:rFonts w:ascii="Times New Roman"/>
          <w:szCs w:val="21"/>
        </w:rPr>
        <w:t xml:space="preserve"> ——滴定试料所消耗的高锰酸钾</w:t>
      </w:r>
      <w:r>
        <w:rPr>
          <w:rFonts w:hint="eastAsia" w:ascii="Times New Roman"/>
          <w:szCs w:val="21"/>
        </w:rPr>
        <w:t>标准</w:t>
      </w:r>
      <w:r>
        <w:rPr>
          <w:rFonts w:ascii="Times New Roman"/>
          <w:szCs w:val="21"/>
        </w:rPr>
        <w:t>滴定溶液的体积，单位为毫升（mL）；</w:t>
      </w:r>
    </w:p>
    <w:p>
      <w:pPr>
        <w:pStyle w:val="55"/>
        <w:ind w:firstLine="420"/>
        <w:rPr>
          <w:rFonts w:ascii="Times New Roman"/>
          <w:szCs w:val="21"/>
        </w:rPr>
      </w:pPr>
      <w:r>
        <w:rPr>
          <w:rFonts w:ascii="Times New Roman"/>
          <w:szCs w:val="21"/>
        </w:rPr>
        <w:t>V</w:t>
      </w:r>
      <w:r>
        <w:rPr>
          <w:rFonts w:ascii="Times New Roman"/>
          <w:szCs w:val="21"/>
          <w:vertAlign w:val="subscript"/>
        </w:rPr>
        <w:t>4</w:t>
      </w:r>
      <w:r>
        <w:rPr>
          <w:rFonts w:ascii="Times New Roman"/>
          <w:szCs w:val="21"/>
        </w:rPr>
        <w:t>——滴定空白试验所消耗的高锰酸钾</w:t>
      </w:r>
      <w:r>
        <w:rPr>
          <w:rFonts w:hint="eastAsia" w:ascii="Times New Roman"/>
          <w:szCs w:val="21"/>
        </w:rPr>
        <w:t>标准</w:t>
      </w:r>
      <w:r>
        <w:rPr>
          <w:rFonts w:ascii="Times New Roman"/>
          <w:szCs w:val="21"/>
        </w:rPr>
        <w:t>滴定溶液的体积，单位为毫升（mL）；</w:t>
      </w:r>
    </w:p>
    <w:p>
      <w:pPr>
        <w:pStyle w:val="55"/>
        <w:ind w:firstLine="420"/>
        <w:rPr>
          <w:rFonts w:ascii="Times New Roman"/>
          <w:szCs w:val="21"/>
        </w:rPr>
      </w:pPr>
      <w:r>
        <w:rPr>
          <w:rFonts w:ascii="Times New Roman"/>
          <w:szCs w:val="21"/>
        </w:rPr>
        <w:t>m ——称取试料的质量，单位为克（g）；</w:t>
      </w:r>
    </w:p>
    <w:p>
      <w:pPr>
        <w:pStyle w:val="55"/>
        <w:ind w:firstLine="420"/>
        <w:rPr>
          <w:rFonts w:ascii="Times New Roman"/>
          <w:szCs w:val="21"/>
        </w:rPr>
      </w:pPr>
      <w:r>
        <w:rPr>
          <w:rFonts w:ascii="Times New Roman"/>
          <w:szCs w:val="21"/>
        </w:rPr>
        <w:t>V</w:t>
      </w:r>
      <w:r>
        <w:rPr>
          <w:rFonts w:ascii="Times New Roman"/>
          <w:szCs w:val="21"/>
          <w:vertAlign w:val="subscript"/>
        </w:rPr>
        <w:t>3</w:t>
      </w:r>
      <w:r>
        <w:rPr>
          <w:rFonts w:ascii="Times New Roman"/>
          <w:szCs w:val="21"/>
        </w:rPr>
        <w:t>——分取试液的体积，单位为毫升（mL）</w:t>
      </w:r>
      <w:r>
        <w:rPr>
          <w:rFonts w:hint="eastAsia" w:ascii="Times New Roman"/>
          <w:szCs w:val="21"/>
        </w:rPr>
        <w:t>。</w:t>
      </w:r>
    </w:p>
    <w:p>
      <w:pPr>
        <w:pStyle w:val="55"/>
        <w:ind w:firstLine="420"/>
        <w:rPr>
          <w:rFonts w:ascii="Times New Roman"/>
          <w:szCs w:val="21"/>
        </w:rPr>
      </w:pPr>
      <w:r>
        <w:rPr>
          <w:rFonts w:hint="eastAsia" w:ascii="Times New Roman"/>
          <w:szCs w:val="21"/>
        </w:rPr>
        <w:t>计算结果表示至小数点后两位。数字修约按</w:t>
      </w:r>
      <w:r>
        <w:rPr>
          <w:rFonts w:ascii="Times New Roman"/>
          <w:szCs w:val="21"/>
        </w:rPr>
        <w:t>GB/T 8170</w:t>
      </w:r>
      <w:r>
        <w:rPr>
          <w:rFonts w:hint="eastAsia" w:ascii="Times New Roman"/>
          <w:szCs w:val="21"/>
        </w:rPr>
        <w:t>的规定执行。</w:t>
      </w:r>
    </w:p>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精密度</w:t>
      </w:r>
    </w:p>
    <w:p>
      <w:pPr>
        <w:pStyle w:val="55"/>
        <w:tabs>
          <w:tab w:val="center" w:pos="4201"/>
          <w:tab w:val="right" w:leader="dot" w:pos="9298"/>
        </w:tabs>
        <w:spacing w:before="156" w:beforeLines="50" w:after="156" w:afterLines="50" w:line="360" w:lineRule="auto"/>
        <w:ind w:firstLine="0" w:firstLineChars="0"/>
        <w:rPr>
          <w:rFonts w:hint="eastAsia" w:ascii="黑体" w:hAnsi="黑体" w:eastAsia="黑体" w:cs="黑体"/>
          <w:kern w:val="2"/>
          <w:szCs w:val="21"/>
        </w:rPr>
      </w:pPr>
      <w:r>
        <w:rPr>
          <w:rFonts w:hint="eastAsia" w:ascii="黑体" w:hAnsi="黑体" w:eastAsia="黑体" w:cs="黑体"/>
          <w:kern w:val="2"/>
          <w:szCs w:val="21"/>
        </w:rPr>
        <w:t>10.1 重复性限</w:t>
      </w:r>
    </w:p>
    <w:p>
      <w:pPr>
        <w:widowControl/>
        <w:tabs>
          <w:tab w:val="center" w:pos="4201"/>
          <w:tab w:val="right" w:leader="dot" w:pos="9298"/>
        </w:tabs>
        <w:autoSpaceDE w:val="0"/>
        <w:autoSpaceDN w:val="0"/>
        <w:ind w:firstLine="420" w:firstLineChars="200"/>
        <w:rPr>
          <w:rFonts w:hint="eastAsia" w:ascii="黑体" w:hAnsi="黑体" w:eastAsia="黑体"/>
          <w:kern w:val="0"/>
          <w:szCs w:val="20"/>
        </w:rPr>
      </w:pPr>
      <w:r>
        <w:rPr>
          <w:kern w:val="0"/>
          <w:szCs w:val="20"/>
        </w:rPr>
        <w:t>在重复性条件下获得的两次独立测试结果的测定值，在以下给出的平均值范围内，两个测试结果的绝对差值不超过重复性限（</w:t>
      </w:r>
      <w:r>
        <w:rPr>
          <w:i/>
          <w:kern w:val="0"/>
          <w:szCs w:val="20"/>
        </w:rPr>
        <w:t>r</w:t>
      </w:r>
      <w:r>
        <w:rPr>
          <w:kern w:val="0"/>
          <w:szCs w:val="20"/>
        </w:rPr>
        <w:t>），超过重复性限（</w:t>
      </w:r>
      <w:r>
        <w:rPr>
          <w:i/>
          <w:kern w:val="0"/>
          <w:szCs w:val="20"/>
        </w:rPr>
        <w:t>r</w:t>
      </w:r>
      <w:r>
        <w:rPr>
          <w:kern w:val="0"/>
          <w:szCs w:val="20"/>
        </w:rPr>
        <w:t>）的情况不超过5%</w:t>
      </w:r>
      <w:r>
        <w:rPr>
          <w:rFonts w:hint="eastAsia"/>
          <w:kern w:val="0"/>
          <w:szCs w:val="20"/>
        </w:rPr>
        <w:t>，</w:t>
      </w:r>
      <w:r>
        <w:rPr>
          <w:kern w:val="0"/>
          <w:szCs w:val="20"/>
        </w:rPr>
        <w:t>重复性限（</w:t>
      </w:r>
      <w:r>
        <w:rPr>
          <w:rFonts w:hint="eastAsia"/>
          <w:i/>
          <w:kern w:val="0"/>
          <w:szCs w:val="20"/>
        </w:rPr>
        <w:t>r</w:t>
      </w:r>
      <w:r>
        <w:rPr>
          <w:kern w:val="0"/>
          <w:szCs w:val="20"/>
        </w:rPr>
        <w:t>）</w:t>
      </w:r>
      <w:r>
        <w:rPr>
          <w:rFonts w:hint="eastAsia"/>
          <w:kern w:val="0"/>
          <w:szCs w:val="20"/>
        </w:rPr>
        <w:t>按</w:t>
      </w:r>
      <w:r>
        <w:rPr>
          <w:kern w:val="0"/>
          <w:szCs w:val="20"/>
        </w:rPr>
        <w:t>表</w:t>
      </w:r>
      <w:r>
        <w:rPr>
          <w:rFonts w:hint="eastAsia"/>
          <w:kern w:val="0"/>
          <w:szCs w:val="20"/>
        </w:rPr>
        <w:t>1数据</w:t>
      </w:r>
      <w:r>
        <w:rPr>
          <w:kern w:val="0"/>
          <w:szCs w:val="20"/>
        </w:rPr>
        <w:t>采用线性内插法</w:t>
      </w:r>
      <w:r>
        <w:rPr>
          <w:rFonts w:hint="eastAsia"/>
          <w:kern w:val="0"/>
          <w:szCs w:val="20"/>
        </w:rPr>
        <w:t>或</w:t>
      </w:r>
      <w:r>
        <w:rPr>
          <w:kern w:val="0"/>
          <w:szCs w:val="20"/>
        </w:rPr>
        <w:t>外延法求得</w:t>
      </w:r>
      <w:r>
        <w:rPr>
          <w:rFonts w:hint="eastAsia"/>
          <w:kern w:val="0"/>
          <w:szCs w:val="20"/>
        </w:rPr>
        <w:t>。</w:t>
      </w:r>
    </w:p>
    <w:p>
      <w:pPr>
        <w:widowControl/>
        <w:tabs>
          <w:tab w:val="left" w:pos="360"/>
        </w:tabs>
        <w:spacing w:before="156" w:beforeLines="50" w:after="156" w:afterLines="50"/>
        <w:jc w:val="center"/>
        <w:rPr>
          <w:rFonts w:hint="eastAsia" w:ascii="黑体" w:hAnsi="黑体" w:eastAsia="黑体"/>
          <w:kern w:val="0"/>
          <w:szCs w:val="20"/>
        </w:rPr>
      </w:pPr>
      <w:r>
        <w:rPr>
          <w:rFonts w:ascii="黑体" w:hAnsi="黑体" w:eastAsia="黑体"/>
          <w:kern w:val="0"/>
          <w:szCs w:val="20"/>
        </w:rPr>
        <w:t>表1 重复性限</w:t>
      </w:r>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64"/>
        <w:gridCol w:w="2369"/>
        <w:gridCol w:w="2369"/>
        <w:gridCol w:w="23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64" w:type="dxa"/>
            <w:tcBorders>
              <w:top w:val="single" w:color="auto" w:sz="12" w:space="0"/>
              <w:bottom w:val="single" w:color="auto" w:sz="4" w:space="0"/>
              <w:right w:val="single" w:color="auto" w:sz="12" w:space="0"/>
            </w:tcBorders>
          </w:tcPr>
          <w:p>
            <w:pPr>
              <w:jc w:val="center"/>
              <w:rPr>
                <w:rFonts w:hint="eastAsia" w:ascii="宋体" w:hAnsi="宋体" w:cs="宋体"/>
                <w:sz w:val="18"/>
                <w:szCs w:val="18"/>
              </w:rPr>
            </w:pPr>
            <w:r>
              <w:rPr>
                <w:rFonts w:hint="eastAsia" w:ascii="宋体" w:hAnsi="宋体" w:cs="宋体"/>
                <w:i/>
                <w:kern w:val="0"/>
                <w:sz w:val="18"/>
                <w:szCs w:val="18"/>
              </w:rPr>
              <w:t>w</w:t>
            </w:r>
            <w:r>
              <w:rPr>
                <w:rFonts w:hint="eastAsia" w:ascii="宋体" w:hAnsi="宋体" w:cs="宋体"/>
                <w:kern w:val="0"/>
                <w:sz w:val="18"/>
                <w:szCs w:val="18"/>
                <w:vertAlign w:val="subscript"/>
              </w:rPr>
              <w:t>Co</w:t>
            </w:r>
            <w:r>
              <w:rPr>
                <w:rFonts w:hint="eastAsia" w:ascii="宋体" w:hAnsi="宋体" w:cs="宋体"/>
                <w:sz w:val="18"/>
                <w:szCs w:val="18"/>
              </w:rPr>
              <w:t>/%</w:t>
            </w:r>
          </w:p>
        </w:tc>
        <w:tc>
          <w:tcPr>
            <w:tcW w:w="2369" w:type="dxa"/>
            <w:tcBorders>
              <w:left w:val="single" w:color="auto" w:sz="12" w:space="0"/>
            </w:tcBorders>
          </w:tcPr>
          <w:p>
            <w:pPr>
              <w:jc w:val="center"/>
              <w:rPr>
                <w:rFonts w:hint="eastAsia" w:ascii="宋体" w:hAnsi="宋体" w:cs="宋体"/>
                <w:sz w:val="18"/>
                <w:szCs w:val="18"/>
              </w:rPr>
            </w:pPr>
          </w:p>
        </w:tc>
        <w:tc>
          <w:tcPr>
            <w:tcW w:w="2369" w:type="dxa"/>
          </w:tcPr>
          <w:p>
            <w:pPr>
              <w:jc w:val="center"/>
              <w:rPr>
                <w:rFonts w:hint="eastAsia" w:ascii="宋体" w:hAnsi="宋体" w:cs="宋体"/>
                <w:sz w:val="18"/>
                <w:szCs w:val="18"/>
              </w:rPr>
            </w:pPr>
          </w:p>
        </w:tc>
        <w:tc>
          <w:tcPr>
            <w:tcW w:w="2369" w:type="dxa"/>
          </w:tcPr>
          <w:p>
            <w:pPr>
              <w:jc w:val="center"/>
              <w:rPr>
                <w:rFonts w:hint="eastAsia" w:ascii="宋体" w:hAnsi="宋体" w:cs="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2464" w:type="dxa"/>
            <w:tcBorders>
              <w:top w:val="single" w:color="auto" w:sz="4" w:space="0"/>
              <w:bottom w:val="single" w:color="auto" w:sz="12" w:space="0"/>
              <w:right w:val="single" w:color="auto" w:sz="12" w:space="0"/>
            </w:tcBorders>
          </w:tcPr>
          <w:p>
            <w:pPr>
              <w:jc w:val="center"/>
              <w:rPr>
                <w:rFonts w:hint="eastAsia" w:ascii="宋体" w:hAnsi="宋体" w:cs="宋体"/>
                <w:sz w:val="18"/>
                <w:szCs w:val="18"/>
              </w:rPr>
            </w:pPr>
            <w:r>
              <w:rPr>
                <w:rFonts w:hint="eastAsia" w:ascii="宋体" w:hAnsi="宋体" w:cs="宋体"/>
                <w:i/>
                <w:sz w:val="18"/>
                <w:szCs w:val="18"/>
              </w:rPr>
              <w:t>r</w:t>
            </w:r>
            <w:r>
              <w:rPr>
                <w:rFonts w:hint="eastAsia" w:ascii="宋体" w:hAnsi="宋体" w:cs="宋体"/>
                <w:sz w:val="18"/>
                <w:szCs w:val="18"/>
              </w:rPr>
              <w:t>/%</w:t>
            </w:r>
          </w:p>
        </w:tc>
        <w:tc>
          <w:tcPr>
            <w:tcW w:w="2369" w:type="dxa"/>
            <w:tcBorders>
              <w:left w:val="single" w:color="auto" w:sz="12" w:space="0"/>
            </w:tcBorders>
          </w:tcPr>
          <w:p>
            <w:pPr>
              <w:jc w:val="center"/>
              <w:rPr>
                <w:rFonts w:hint="eastAsia" w:ascii="宋体" w:hAnsi="宋体" w:cs="宋体"/>
                <w:sz w:val="18"/>
                <w:szCs w:val="18"/>
              </w:rPr>
            </w:pPr>
          </w:p>
        </w:tc>
        <w:tc>
          <w:tcPr>
            <w:tcW w:w="2369" w:type="dxa"/>
          </w:tcPr>
          <w:p>
            <w:pPr>
              <w:jc w:val="center"/>
              <w:rPr>
                <w:rFonts w:hint="eastAsia" w:ascii="宋体" w:hAnsi="宋体" w:cs="宋体"/>
                <w:sz w:val="18"/>
                <w:szCs w:val="18"/>
              </w:rPr>
            </w:pPr>
          </w:p>
        </w:tc>
        <w:tc>
          <w:tcPr>
            <w:tcW w:w="2369" w:type="dxa"/>
          </w:tcPr>
          <w:p>
            <w:pPr>
              <w:jc w:val="center"/>
              <w:rPr>
                <w:rFonts w:hint="eastAsia" w:ascii="宋体" w:hAnsi="宋体" w:cs="宋体"/>
                <w:sz w:val="18"/>
                <w:szCs w:val="18"/>
              </w:rPr>
            </w:pPr>
          </w:p>
        </w:tc>
      </w:tr>
    </w:tbl>
    <w:p>
      <w:pPr>
        <w:pStyle w:val="55"/>
        <w:tabs>
          <w:tab w:val="center" w:pos="4201"/>
          <w:tab w:val="right" w:leader="dot" w:pos="9298"/>
        </w:tabs>
        <w:spacing w:before="156" w:beforeLines="50" w:after="156" w:afterLines="50" w:line="360" w:lineRule="auto"/>
        <w:ind w:firstLine="0" w:firstLineChars="0"/>
        <w:rPr>
          <w:rFonts w:hint="eastAsia" w:ascii="黑体" w:hAnsi="黑体" w:eastAsia="黑体" w:cs="黑体"/>
          <w:kern w:val="2"/>
          <w:szCs w:val="21"/>
        </w:rPr>
      </w:pPr>
      <w:r>
        <w:rPr>
          <w:rFonts w:hint="eastAsia" w:ascii="黑体" w:hAnsi="黑体" w:eastAsia="黑体" w:cs="黑体"/>
          <w:kern w:val="2"/>
          <w:szCs w:val="21"/>
        </w:rPr>
        <w:t>10.2 再现性限</w:t>
      </w:r>
    </w:p>
    <w:p>
      <w:pPr>
        <w:widowControl/>
        <w:tabs>
          <w:tab w:val="center" w:pos="4201"/>
          <w:tab w:val="right" w:leader="dot" w:pos="9298"/>
        </w:tabs>
        <w:autoSpaceDE w:val="0"/>
        <w:autoSpaceDN w:val="0"/>
        <w:ind w:firstLine="420" w:firstLineChars="200"/>
        <w:rPr>
          <w:kern w:val="0"/>
          <w:szCs w:val="20"/>
        </w:rPr>
      </w:pPr>
      <w:r>
        <w:rPr>
          <w:kern w:val="0"/>
          <w:szCs w:val="20"/>
        </w:rPr>
        <w:t>在</w:t>
      </w:r>
      <w:r>
        <w:rPr>
          <w:rFonts w:hint="eastAsia"/>
          <w:kern w:val="0"/>
          <w:szCs w:val="20"/>
        </w:rPr>
        <w:t>再现</w:t>
      </w:r>
      <w:r>
        <w:rPr>
          <w:kern w:val="0"/>
          <w:szCs w:val="20"/>
        </w:rPr>
        <w:t>性条件下获得的两次独立测试结果的测定值，在以下给出的平均值范围内，两个测试结果的绝对差值不超过</w:t>
      </w:r>
      <w:r>
        <w:rPr>
          <w:rFonts w:hint="eastAsia"/>
          <w:kern w:val="0"/>
          <w:szCs w:val="20"/>
        </w:rPr>
        <w:t>再现</w:t>
      </w:r>
      <w:r>
        <w:rPr>
          <w:kern w:val="0"/>
          <w:szCs w:val="20"/>
        </w:rPr>
        <w:t>性限（</w:t>
      </w:r>
      <w:r>
        <w:rPr>
          <w:i/>
          <w:kern w:val="0"/>
          <w:szCs w:val="20"/>
        </w:rPr>
        <w:t>R</w:t>
      </w:r>
      <w:r>
        <w:rPr>
          <w:kern w:val="0"/>
          <w:szCs w:val="20"/>
        </w:rPr>
        <w:t>），超过</w:t>
      </w:r>
      <w:r>
        <w:rPr>
          <w:rFonts w:hint="eastAsia"/>
          <w:kern w:val="0"/>
          <w:szCs w:val="20"/>
        </w:rPr>
        <w:t>再现</w:t>
      </w:r>
      <w:r>
        <w:rPr>
          <w:kern w:val="0"/>
          <w:szCs w:val="20"/>
        </w:rPr>
        <w:t>性限（</w:t>
      </w:r>
      <w:r>
        <w:rPr>
          <w:i/>
          <w:kern w:val="0"/>
          <w:szCs w:val="20"/>
        </w:rPr>
        <w:t>R</w:t>
      </w:r>
      <w:r>
        <w:rPr>
          <w:kern w:val="0"/>
          <w:szCs w:val="20"/>
        </w:rPr>
        <w:t>）的情况不超过5%</w:t>
      </w:r>
      <w:r>
        <w:rPr>
          <w:rFonts w:hint="eastAsia"/>
          <w:kern w:val="0"/>
          <w:szCs w:val="20"/>
        </w:rPr>
        <w:t>，再现</w:t>
      </w:r>
      <w:r>
        <w:rPr>
          <w:kern w:val="0"/>
          <w:szCs w:val="20"/>
        </w:rPr>
        <w:t>性限（</w:t>
      </w:r>
      <w:r>
        <w:rPr>
          <w:i/>
          <w:kern w:val="0"/>
          <w:szCs w:val="20"/>
        </w:rPr>
        <w:t>R</w:t>
      </w:r>
      <w:r>
        <w:rPr>
          <w:kern w:val="0"/>
          <w:szCs w:val="20"/>
        </w:rPr>
        <w:t>）</w:t>
      </w:r>
      <w:r>
        <w:rPr>
          <w:rFonts w:hint="eastAsia"/>
          <w:kern w:val="0"/>
          <w:szCs w:val="20"/>
        </w:rPr>
        <w:t>按</w:t>
      </w:r>
      <w:r>
        <w:rPr>
          <w:kern w:val="0"/>
          <w:szCs w:val="20"/>
        </w:rPr>
        <w:t>表2</w:t>
      </w:r>
      <w:r>
        <w:rPr>
          <w:rFonts w:hint="eastAsia"/>
          <w:kern w:val="0"/>
          <w:szCs w:val="20"/>
        </w:rPr>
        <w:t>数据</w:t>
      </w:r>
      <w:r>
        <w:rPr>
          <w:kern w:val="0"/>
          <w:szCs w:val="20"/>
        </w:rPr>
        <w:t>采用线性内插法</w:t>
      </w:r>
      <w:r>
        <w:rPr>
          <w:rFonts w:hint="eastAsia"/>
          <w:kern w:val="0"/>
          <w:szCs w:val="20"/>
        </w:rPr>
        <w:t>或</w:t>
      </w:r>
      <w:r>
        <w:rPr>
          <w:kern w:val="0"/>
          <w:szCs w:val="20"/>
        </w:rPr>
        <w:t>外延法求得</w:t>
      </w:r>
      <w:r>
        <w:rPr>
          <w:rFonts w:hint="eastAsia"/>
          <w:kern w:val="0"/>
          <w:szCs w:val="20"/>
        </w:rPr>
        <w:t>。</w:t>
      </w:r>
    </w:p>
    <w:p>
      <w:pPr>
        <w:widowControl/>
        <w:tabs>
          <w:tab w:val="left" w:pos="360"/>
        </w:tabs>
        <w:spacing w:before="156" w:beforeLines="50" w:after="156" w:afterLines="50"/>
        <w:jc w:val="center"/>
        <w:rPr>
          <w:rFonts w:hint="eastAsia" w:ascii="黑体" w:hAnsi="黑体" w:eastAsia="黑体"/>
          <w:kern w:val="0"/>
          <w:szCs w:val="20"/>
        </w:rPr>
      </w:pPr>
      <w:r>
        <w:rPr>
          <w:rFonts w:ascii="黑体" w:hAnsi="黑体" w:eastAsia="黑体"/>
          <w:kern w:val="0"/>
          <w:szCs w:val="20"/>
        </w:rPr>
        <w:t xml:space="preserve">表2 </w:t>
      </w:r>
      <w:r>
        <w:rPr>
          <w:rFonts w:hint="eastAsia" w:ascii="黑体" w:hAnsi="黑体" w:eastAsia="黑体"/>
          <w:kern w:val="0"/>
          <w:szCs w:val="20"/>
        </w:rPr>
        <w:t>再现</w:t>
      </w:r>
      <w:r>
        <w:rPr>
          <w:rFonts w:ascii="黑体" w:hAnsi="黑体" w:eastAsia="黑体"/>
          <w:kern w:val="0"/>
          <w:szCs w:val="20"/>
        </w:rPr>
        <w:t>性限</w:t>
      </w:r>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63"/>
        <w:gridCol w:w="2370"/>
        <w:gridCol w:w="2370"/>
        <w:gridCol w:w="236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63" w:type="dxa"/>
            <w:tcBorders>
              <w:top w:val="single" w:color="auto" w:sz="12" w:space="0"/>
              <w:bottom w:val="single" w:color="auto" w:sz="4" w:space="0"/>
              <w:right w:val="single" w:color="auto" w:sz="12" w:space="0"/>
            </w:tcBorders>
          </w:tcPr>
          <w:p>
            <w:pPr>
              <w:jc w:val="center"/>
              <w:rPr>
                <w:rFonts w:hint="eastAsia" w:ascii="宋体" w:hAnsi="宋体" w:cs="宋体"/>
                <w:sz w:val="18"/>
                <w:szCs w:val="18"/>
              </w:rPr>
            </w:pPr>
            <w:r>
              <w:rPr>
                <w:rFonts w:hint="eastAsia" w:ascii="宋体" w:hAnsi="宋体" w:cs="宋体"/>
                <w:i/>
                <w:kern w:val="0"/>
                <w:sz w:val="18"/>
                <w:szCs w:val="18"/>
              </w:rPr>
              <w:t>w</w:t>
            </w:r>
            <w:r>
              <w:rPr>
                <w:rFonts w:hint="eastAsia" w:ascii="宋体" w:hAnsi="宋体" w:cs="宋体"/>
                <w:kern w:val="0"/>
                <w:sz w:val="18"/>
                <w:szCs w:val="18"/>
                <w:vertAlign w:val="subscript"/>
              </w:rPr>
              <w:t>Co</w:t>
            </w:r>
            <w:r>
              <w:rPr>
                <w:rFonts w:hint="eastAsia" w:ascii="宋体" w:hAnsi="宋体" w:cs="宋体"/>
                <w:sz w:val="18"/>
                <w:szCs w:val="18"/>
              </w:rPr>
              <w:t>/%</w:t>
            </w:r>
          </w:p>
        </w:tc>
        <w:tc>
          <w:tcPr>
            <w:tcW w:w="2370" w:type="dxa"/>
            <w:tcBorders>
              <w:left w:val="single" w:color="auto" w:sz="12" w:space="0"/>
            </w:tcBorders>
          </w:tcPr>
          <w:p>
            <w:pPr>
              <w:jc w:val="center"/>
              <w:rPr>
                <w:rFonts w:hint="eastAsia" w:ascii="宋体" w:hAnsi="宋体" w:cs="宋体"/>
                <w:sz w:val="18"/>
                <w:szCs w:val="18"/>
              </w:rPr>
            </w:pPr>
          </w:p>
        </w:tc>
        <w:tc>
          <w:tcPr>
            <w:tcW w:w="2370" w:type="dxa"/>
          </w:tcPr>
          <w:p>
            <w:pPr>
              <w:jc w:val="center"/>
              <w:rPr>
                <w:rFonts w:hint="eastAsia" w:ascii="宋体" w:hAnsi="宋体" w:cs="宋体"/>
                <w:sz w:val="18"/>
                <w:szCs w:val="18"/>
              </w:rPr>
            </w:pPr>
          </w:p>
        </w:tc>
        <w:tc>
          <w:tcPr>
            <w:tcW w:w="2368" w:type="dxa"/>
          </w:tcPr>
          <w:p>
            <w:pPr>
              <w:jc w:val="center"/>
              <w:rPr>
                <w:rFonts w:hint="eastAsia" w:ascii="宋体" w:hAnsi="宋体" w:cs="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2463" w:type="dxa"/>
            <w:tcBorders>
              <w:top w:val="single" w:color="auto" w:sz="4" w:space="0"/>
              <w:bottom w:val="single" w:color="auto" w:sz="12" w:space="0"/>
              <w:right w:val="single" w:color="auto" w:sz="12" w:space="0"/>
            </w:tcBorders>
          </w:tcPr>
          <w:p>
            <w:pPr>
              <w:jc w:val="center"/>
              <w:rPr>
                <w:rFonts w:hint="eastAsia" w:ascii="宋体" w:hAnsi="宋体" w:cs="宋体"/>
                <w:sz w:val="18"/>
                <w:szCs w:val="18"/>
              </w:rPr>
            </w:pPr>
            <w:r>
              <w:rPr>
                <w:rFonts w:hint="eastAsia" w:ascii="宋体" w:hAnsi="宋体" w:cs="宋体"/>
                <w:i/>
                <w:sz w:val="18"/>
                <w:szCs w:val="18"/>
              </w:rPr>
              <w:t>R</w:t>
            </w:r>
            <w:r>
              <w:rPr>
                <w:rFonts w:hint="eastAsia" w:ascii="宋体" w:hAnsi="宋体" w:cs="宋体"/>
                <w:sz w:val="18"/>
                <w:szCs w:val="18"/>
              </w:rPr>
              <w:t>/%</w:t>
            </w:r>
          </w:p>
        </w:tc>
        <w:tc>
          <w:tcPr>
            <w:tcW w:w="2370" w:type="dxa"/>
            <w:tcBorders>
              <w:left w:val="single" w:color="auto" w:sz="12" w:space="0"/>
            </w:tcBorders>
          </w:tcPr>
          <w:p>
            <w:pPr>
              <w:jc w:val="center"/>
              <w:rPr>
                <w:rFonts w:hint="eastAsia" w:ascii="宋体" w:hAnsi="宋体" w:cs="宋体"/>
                <w:sz w:val="18"/>
                <w:szCs w:val="18"/>
              </w:rPr>
            </w:pPr>
          </w:p>
        </w:tc>
        <w:tc>
          <w:tcPr>
            <w:tcW w:w="2370" w:type="dxa"/>
          </w:tcPr>
          <w:p>
            <w:pPr>
              <w:jc w:val="center"/>
              <w:rPr>
                <w:rFonts w:hint="eastAsia" w:ascii="宋体" w:hAnsi="宋体" w:cs="宋体"/>
                <w:sz w:val="18"/>
                <w:szCs w:val="18"/>
              </w:rPr>
            </w:pPr>
          </w:p>
        </w:tc>
        <w:tc>
          <w:tcPr>
            <w:tcW w:w="2368" w:type="dxa"/>
          </w:tcPr>
          <w:p>
            <w:pPr>
              <w:jc w:val="center"/>
              <w:rPr>
                <w:rFonts w:hint="eastAsia" w:ascii="宋体" w:hAnsi="宋体" w:cs="宋体"/>
                <w:sz w:val="18"/>
                <w:szCs w:val="18"/>
              </w:rPr>
            </w:pPr>
          </w:p>
        </w:tc>
      </w:tr>
    </w:tbl>
    <w:p>
      <w:pPr>
        <w:pStyle w:val="82"/>
        <w:numPr>
          <w:ilvl w:val="0"/>
          <w:numId w:val="12"/>
        </w:numPr>
        <w:tabs>
          <w:tab w:val="left" w:pos="112"/>
          <w:tab w:val="clear" w:pos="360"/>
        </w:tabs>
        <w:spacing w:before="312" w:beforeLines="100" w:after="312" w:afterLines="100"/>
        <w:ind w:left="357" w:hanging="357"/>
        <w:rPr>
          <w:rFonts w:hint="eastAsia" w:hAnsi="黑体"/>
        </w:rPr>
      </w:pPr>
      <w:r>
        <w:rPr>
          <w:rFonts w:hint="eastAsia" w:hAnsi="黑体"/>
        </w:rPr>
        <w:t>试验报告</w:t>
      </w:r>
    </w:p>
    <w:p>
      <w:pPr>
        <w:pStyle w:val="55"/>
        <w:spacing w:line="360" w:lineRule="auto"/>
        <w:ind w:firstLine="420"/>
        <w:rPr>
          <w:rFonts w:ascii="Times New Roman"/>
          <w:szCs w:val="21"/>
        </w:rPr>
      </w:pPr>
      <w:r>
        <w:rPr>
          <w:rFonts w:hint="eastAsia" w:ascii="Times New Roman"/>
          <w:szCs w:val="21"/>
        </w:rPr>
        <w:t>试验</w:t>
      </w:r>
      <w:r>
        <w:rPr>
          <w:rFonts w:ascii="Times New Roman"/>
          <w:szCs w:val="21"/>
        </w:rPr>
        <w:t>报告应包括以下内容：</w:t>
      </w:r>
    </w:p>
    <w:p>
      <w:pPr>
        <w:pStyle w:val="55"/>
        <w:numPr>
          <w:ilvl w:val="0"/>
          <w:numId w:val="13"/>
        </w:numPr>
        <w:spacing w:line="360" w:lineRule="auto"/>
        <w:ind w:firstLineChars="0"/>
        <w:rPr>
          <w:rFonts w:ascii="Times New Roman"/>
          <w:szCs w:val="21"/>
        </w:rPr>
      </w:pPr>
      <w:r>
        <w:rPr>
          <w:rFonts w:ascii="Times New Roman"/>
          <w:szCs w:val="21"/>
        </w:rPr>
        <w:t>样品名称及批次；</w:t>
      </w:r>
    </w:p>
    <w:p>
      <w:pPr>
        <w:pStyle w:val="55"/>
        <w:numPr>
          <w:ilvl w:val="0"/>
          <w:numId w:val="13"/>
        </w:numPr>
        <w:spacing w:line="360" w:lineRule="auto"/>
        <w:ind w:firstLineChars="0"/>
        <w:rPr>
          <w:rFonts w:ascii="Times New Roman"/>
          <w:szCs w:val="21"/>
        </w:rPr>
      </w:pPr>
      <w:r>
        <w:rPr>
          <w:rFonts w:ascii="Times New Roman"/>
          <w:szCs w:val="21"/>
        </w:rPr>
        <w:t>检测结果；</w:t>
      </w:r>
    </w:p>
    <w:p>
      <w:pPr>
        <w:pStyle w:val="55"/>
        <w:numPr>
          <w:ilvl w:val="0"/>
          <w:numId w:val="13"/>
        </w:numPr>
        <w:spacing w:line="360" w:lineRule="auto"/>
        <w:ind w:firstLineChars="0"/>
        <w:rPr>
          <w:rFonts w:ascii="Times New Roman"/>
          <w:szCs w:val="21"/>
        </w:rPr>
      </w:pPr>
      <w:r>
        <w:rPr>
          <w:rFonts w:ascii="Times New Roman"/>
          <w:szCs w:val="21"/>
        </w:rPr>
        <w:t>检测日期；</w:t>
      </w:r>
    </w:p>
    <w:p>
      <w:pPr>
        <w:pStyle w:val="55"/>
        <w:numPr>
          <w:ilvl w:val="0"/>
          <w:numId w:val="13"/>
        </w:numPr>
        <w:spacing w:line="360" w:lineRule="auto"/>
        <w:ind w:firstLineChars="0"/>
        <w:rPr>
          <w:rFonts w:ascii="Times New Roman"/>
          <w:szCs w:val="21"/>
        </w:rPr>
      </w:pPr>
      <w:r>
        <w:rPr>
          <w:rFonts w:ascii="Times New Roman"/>
          <w:szCs w:val="21"/>
        </w:rPr>
        <w:t>本</w:t>
      </w:r>
      <w:r>
        <w:rPr>
          <w:rFonts w:hint="eastAsia" w:ascii="Times New Roman"/>
          <w:szCs w:val="21"/>
        </w:rPr>
        <w:t>文件</w:t>
      </w:r>
      <w:r>
        <w:rPr>
          <w:rFonts w:ascii="Times New Roman"/>
          <w:szCs w:val="21"/>
        </w:rPr>
        <w:t>没有规定的或认为可以自定的各种操作；</w:t>
      </w:r>
    </w:p>
    <w:p>
      <w:pPr>
        <w:pStyle w:val="55"/>
        <w:numPr>
          <w:ilvl w:val="0"/>
          <w:numId w:val="13"/>
        </w:numPr>
        <w:spacing w:line="360" w:lineRule="auto"/>
        <w:ind w:firstLineChars="0"/>
        <w:rPr>
          <w:rFonts w:ascii="Times New Roman"/>
          <w:szCs w:val="21"/>
        </w:rPr>
      </w:pPr>
      <w:r>
        <w:rPr>
          <w:rFonts w:ascii="Times New Roman"/>
          <w:szCs w:val="21"/>
        </w:rPr>
        <w:t>可能影响检测结果的情况；</w:t>
      </w:r>
    </w:p>
    <w:p>
      <w:pPr>
        <w:pStyle w:val="55"/>
        <w:numPr>
          <w:ilvl w:val="0"/>
          <w:numId w:val="13"/>
        </w:numPr>
        <w:spacing w:line="360" w:lineRule="auto"/>
        <w:ind w:firstLineChars="0"/>
        <w:rPr>
          <w:rFonts w:ascii="Times New Roman"/>
          <w:szCs w:val="21"/>
        </w:rPr>
      </w:pPr>
      <w:r>
        <w:rPr>
          <w:rFonts w:ascii="Times New Roman"/>
          <w:szCs w:val="21"/>
        </w:rPr>
        <w:t>本</w:t>
      </w:r>
      <w:r>
        <w:rPr>
          <w:rFonts w:hint="eastAsia" w:ascii="Times New Roman"/>
          <w:szCs w:val="21"/>
        </w:rPr>
        <w:t>文件</w:t>
      </w:r>
      <w:r>
        <w:rPr>
          <w:rFonts w:ascii="Times New Roman"/>
          <w:szCs w:val="21"/>
        </w:rPr>
        <w:t>编号。</w:t>
      </w:r>
    </w:p>
    <w:p>
      <w:pPr>
        <w:spacing w:line="360" w:lineRule="auto"/>
      </w:pPr>
    </w:p>
    <w:p>
      <w:pPr>
        <w:spacing w:line="360" w:lineRule="auto"/>
      </w:pPr>
    </w:p>
    <w:p>
      <w:pPr>
        <w:spacing w:line="360" w:lineRule="auto"/>
      </w:pPr>
      <w:r>
        <w:rPr>
          <w:sz w:val="20"/>
        </w:rPr>
        <mc:AlternateContent>
          <mc:Choice Requires="wps">
            <w:drawing>
              <wp:anchor distT="0" distB="0" distL="114300" distR="114300" simplePos="0" relativeHeight="251671552" behindDoc="0" locked="0" layoutInCell="1" allowOverlap="1">
                <wp:simplePos x="0" y="0"/>
                <wp:positionH relativeFrom="column">
                  <wp:posOffset>2209800</wp:posOffset>
                </wp:positionH>
                <wp:positionV relativeFrom="paragraph">
                  <wp:posOffset>208280</wp:posOffset>
                </wp:positionV>
                <wp:extent cx="1524000" cy="635"/>
                <wp:effectExtent l="0" t="0" r="0" b="0"/>
                <wp:wrapNone/>
                <wp:docPr id="1" name="直线 16"/>
                <wp:cNvGraphicFramePr/>
                <a:graphic xmlns:a="http://schemas.openxmlformats.org/drawingml/2006/main">
                  <a:graphicData uri="http://schemas.microsoft.com/office/word/2010/wordprocessingShape">
                    <wps:wsp>
                      <wps:cNvCnPr/>
                      <wps:spPr bwMode="auto">
                        <a:xfrm>
                          <a:off x="0" y="0"/>
                          <a:ext cx="1524000" cy="635"/>
                        </a:xfrm>
                        <a:prstGeom prst="line">
                          <a:avLst/>
                        </a:prstGeom>
                        <a:noFill/>
                        <a:ln w="12700">
                          <a:solidFill>
                            <a:srgbClr val="000000"/>
                          </a:solidFill>
                          <a:round/>
                        </a:ln>
                        <a:effectLst/>
                      </wps:spPr>
                      <wps:bodyPr/>
                    </wps:wsp>
                  </a:graphicData>
                </a:graphic>
              </wp:anchor>
            </w:drawing>
          </mc:Choice>
          <mc:Fallback>
            <w:pict>
              <v:line id="直线 16" o:spid="_x0000_s1026" o:spt="20" style="position:absolute;left:0pt;margin-left:174pt;margin-top:16.4pt;height:0.05pt;width:120pt;z-index:251671552;mso-width-relative:page;mso-height-relative:page;" filled="f" stroked="t" coordsize="21600,21600" o:gfxdata="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ZUl81wAAAAkBAAAPAAAAAAAAAAEAIAAAACIAAABkcnMvZG93bnJldi54&#10;bWxQSwECFAAUAAAACACHTuJAzh31OMIBAACBAwAADgAAAAAAAAABACAAAAAmAQAAZHJzL2Uyb0Rv&#10;Yy54bWxQSwUGAAAAAAYABgBZAQAAWgUAAAAA&#10;">
                <v:fill on="f" focussize="0,0"/>
                <v:stroke weight="1pt" color="#000000" joinstyle="round"/>
                <v:imagedata o:title=""/>
                <o:lock v:ext="edit" aspectratio="f"/>
              </v:line>
            </w:pict>
          </mc:Fallback>
        </mc:AlternateContent>
      </w:r>
    </w:p>
    <w:p>
      <w:pPr>
        <w:widowControl/>
        <w:jc w:val="left"/>
      </w:pPr>
    </w:p>
    <w:p>
      <w:pPr>
        <w:pStyle w:val="21"/>
      </w:pPr>
    </w:p>
    <w:p>
      <w:pPr>
        <w:pStyle w:val="21"/>
      </w:pPr>
    </w:p>
    <w:p>
      <w:pPr>
        <w:pStyle w:val="21"/>
      </w:pPr>
    </w:p>
    <w:p>
      <w:pPr>
        <w:pStyle w:val="21"/>
        <w:ind w:left="0" w:leftChars="0"/>
      </w:pPr>
    </w:p>
    <w:sectPr>
      <w:footerReference r:id="rId12" w:type="default"/>
      <w:pgSz w:w="11907" w:h="16839"/>
      <w:pgMar w:top="1418" w:right="1134" w:bottom="1134" w:left="1418" w:header="1418" w:footer="851"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波波" w:date="2026-04-15T17:23:00Z" w:initials="">
    <w:p w14:paraId="3D264331">
      <w:pPr>
        <w:widowControl/>
        <w:spacing w:line="360" w:lineRule="atLeast"/>
        <w:jc w:val="left"/>
        <w:rPr>
          <w:color w:val="000000"/>
          <w:sz w:val="24"/>
        </w:rPr>
      </w:pPr>
      <w:r>
        <w:rPr>
          <w:rFonts w:hint="eastAsia"/>
        </w:rPr>
        <w:t>正确书写不是角标，</w:t>
      </w:r>
      <w:r>
        <w:rPr>
          <w:rFonts w:hint="eastAsia" w:ascii="宋体" w:hAnsi="宋体" w:cs="宋体"/>
          <w:sz w:val="24"/>
        </w:rPr>
        <w:t xml:space="preserve"> </w:t>
      </w:r>
      <w:r>
        <w:rPr>
          <w:color w:val="000000"/>
          <w:sz w:val="29"/>
          <w:szCs w:val="29"/>
        </w:rPr>
        <w:t>c(B)</w:t>
      </w:r>
      <w:r>
        <w:rPr>
          <w:color w:val="000000"/>
          <w:sz w:val="24"/>
        </w:rPr>
        <w:t>：B = 物质的</w:t>
      </w:r>
      <w:r>
        <w:rPr>
          <w:rStyle w:val="37"/>
          <w:color w:val="000000"/>
          <w:sz w:val="24"/>
        </w:rPr>
        <w:t>基本单元</w:t>
      </w:r>
      <w:r>
        <w:rPr>
          <w:color w:val="000000"/>
          <w:sz w:val="24"/>
        </w:rPr>
        <w:t>（必须括号）</w:t>
      </w:r>
    </w:p>
    <w:p w14:paraId="58862B30">
      <w:pPr>
        <w:widowControl/>
        <w:spacing w:line="360" w:lineRule="atLeast"/>
        <w:jc w:val="left"/>
        <w:rPr>
          <w:color w:val="000000"/>
          <w:sz w:val="24"/>
        </w:rPr>
      </w:pPr>
      <w:r>
        <w:rPr>
          <w:rFonts w:ascii="Symbol" w:hAnsi="Symbol" w:eastAsia="Symbol" w:cs="Symbol"/>
          <w:sz w:val="24"/>
        </w:rPr>
        <w:t>·</w:t>
      </w:r>
      <w:r>
        <w:rPr>
          <w:rFonts w:hint="eastAsia" w:ascii="宋体" w:hAnsi="宋体" w:cs="宋体"/>
          <w:sz w:val="24"/>
        </w:rPr>
        <w:t xml:space="preserve">  </w:t>
      </w:r>
      <w:r>
        <w:rPr>
          <w:rFonts w:hint="eastAsia"/>
          <w:color w:val="000000"/>
          <w:sz w:val="29"/>
          <w:szCs w:val="29"/>
        </w:rPr>
        <w:t>c</w:t>
      </w:r>
      <w:r>
        <w:rPr>
          <w:color w:val="000000"/>
          <w:sz w:val="29"/>
          <w:szCs w:val="29"/>
          <w:vertAlign w:val="subscript"/>
        </w:rPr>
        <w:t>B</w:t>
      </w:r>
      <w:r>
        <w:rPr>
          <w:color w:val="000000"/>
          <w:sz w:val="29"/>
          <w:szCs w:val="29"/>
        </w:rPr>
        <w:t>​</w:t>
      </w:r>
      <w:r>
        <w:rPr>
          <w:color w:val="000000"/>
          <w:sz w:val="24"/>
        </w:rPr>
        <w:t>：B = 物质简称才用角标</w:t>
      </w:r>
    </w:p>
    <w:p w14:paraId="34E40895">
      <w:pPr>
        <w:pStyle w:val="20"/>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4E4089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8"/>
      <w:rPr>
        <w:rStyle w:val="38"/>
      </w:rPr>
    </w:pPr>
    <w:r>
      <w:fldChar w:fldCharType="begin"/>
    </w:r>
    <w:r>
      <w:rPr>
        <w:rStyle w:val="38"/>
      </w:rPr>
      <w:instrText xml:space="preserve">PAGE  </w:instrText>
    </w:r>
    <w:r>
      <w:fldChar w:fldCharType="separate"/>
    </w:r>
    <w:r>
      <w:rPr>
        <w:rStyle w:val="38"/>
      </w:rPr>
      <w:t>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rPr>
        <w:rStyle w:val="38"/>
      </w:rPr>
    </w:pPr>
    <w:r>
      <w:fldChar w:fldCharType="begin"/>
    </w:r>
    <w:r>
      <w:rPr>
        <w:rStyle w:val="38"/>
      </w:rPr>
      <w:instrText xml:space="preserve">PAGE  </w:instrText>
    </w:r>
    <w:r>
      <w:fldChar w:fldCharType="separate"/>
    </w:r>
    <w:r>
      <w:rPr>
        <w:rStyle w:val="38"/>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Style w:val="38"/>
      </w:rPr>
    </w:pPr>
    <w:r>
      <w:rPr>
        <w:rStyle w:val="38"/>
        <w:rFonts w:hint="eastAsia" w:ascii="宋体" w:hAnsi="宋体"/>
      </w:rPr>
      <w:t>Ⅰ</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fldChar w:fldCharType="begin"/>
    </w:r>
    <w:r>
      <w:instrText xml:space="preserve">PAGE   \* MERGEFORMAT</w:instrText>
    </w:r>
    <w:r>
      <w:fldChar w:fldCharType="separate"/>
    </w:r>
    <w:r>
      <w:rPr>
        <w:lang w:val="zh-CN"/>
      </w:rPr>
      <w:t>1</w:t>
    </w:r>
    <w:r>
      <w:fldChar w:fldCharType="end"/>
    </w:r>
  </w:p>
  <w:p>
    <w:pPr>
      <w:pStyle w:val="28"/>
      <w:rPr>
        <w:rStyle w:val="3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9"/>
    </w:pPr>
    <w:r>
      <w:t>GB/T ××××—200×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8"/>
    </w:pPr>
    <w:r>
      <w:t>GB/T ××××—200×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96"/>
      <w:suff w:val="nothing"/>
      <w:lvlText w:val="%1%2.%3　"/>
      <w:lvlJc w:val="left"/>
      <w:pPr>
        <w:ind w:left="0" w:firstLine="0"/>
      </w:pPr>
      <w:rPr>
        <w:rFonts w:hint="eastAsia" w:ascii="黑体" w:hAnsi="Times New Roman" w:eastAsia="黑体"/>
        <w:b w:val="0"/>
        <w:i w:val="0"/>
        <w:sz w:val="21"/>
      </w:rPr>
    </w:lvl>
    <w:lvl w:ilvl="3" w:tentative="0">
      <w:start w:val="1"/>
      <w:numFmt w:val="decimal"/>
      <w:pStyle w:val="93"/>
      <w:suff w:val="nothing"/>
      <w:lvlText w:val="%1%2.%3.%4　"/>
      <w:lvlJc w:val="left"/>
      <w:pPr>
        <w:ind w:left="0" w:firstLine="0"/>
      </w:pPr>
      <w:rPr>
        <w:rFonts w:hint="eastAsia" w:ascii="黑体" w:hAnsi="Times New Roman" w:eastAsia="黑体"/>
        <w:b w:val="0"/>
        <w:i w:val="0"/>
        <w:sz w:val="21"/>
      </w:rPr>
    </w:lvl>
    <w:lvl w:ilvl="4" w:tentative="0">
      <w:start w:val="1"/>
      <w:numFmt w:val="decimal"/>
      <w:pStyle w:val="114"/>
      <w:suff w:val="nothing"/>
      <w:lvlText w:val="%1%2.%3.%4.%5　"/>
      <w:lvlJc w:val="left"/>
      <w:pPr>
        <w:ind w:left="0" w:firstLine="0"/>
      </w:pPr>
      <w:rPr>
        <w:rFonts w:hint="eastAsia" w:ascii="黑体" w:hAnsi="Times New Roman" w:eastAsia="黑体"/>
        <w:b w:val="0"/>
        <w:i w:val="0"/>
        <w:sz w:val="21"/>
      </w:rPr>
    </w:lvl>
    <w:lvl w:ilvl="5" w:tentative="0">
      <w:start w:val="1"/>
      <w:numFmt w:val="decimal"/>
      <w:pStyle w:val="101"/>
      <w:suff w:val="nothing"/>
      <w:lvlText w:val="%1%2.%3.%4.%5.%6　"/>
      <w:lvlJc w:val="left"/>
      <w:pPr>
        <w:ind w:left="0" w:firstLine="0"/>
      </w:pPr>
      <w:rPr>
        <w:rFonts w:hint="eastAsia" w:ascii="黑体" w:hAnsi="Times New Roman" w:eastAsia="黑体"/>
        <w:b w:val="0"/>
        <w:i w:val="0"/>
        <w:sz w:val="21"/>
      </w:rPr>
    </w:lvl>
    <w:lvl w:ilvl="6" w:tentative="0">
      <w:start w:val="1"/>
      <w:numFmt w:val="decimal"/>
      <w:pStyle w:val="112"/>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98EE4E2"/>
    <w:multiLevelType w:val="singleLevel"/>
    <w:tmpl w:val="098EE4E2"/>
    <w:lvl w:ilvl="0" w:tentative="0">
      <w:start w:val="1"/>
      <w:numFmt w:val="decimal"/>
      <w:suff w:val="space"/>
      <w:lvlText w:val="第%1部分"/>
      <w:lvlJc w:val="left"/>
    </w:lvl>
  </w:abstractNum>
  <w:abstractNum w:abstractNumId="2">
    <w:nsid w:val="0AE367E9"/>
    <w:multiLevelType w:val="multilevel"/>
    <w:tmpl w:val="0AE367E9"/>
    <w:lvl w:ilvl="0" w:tentative="0">
      <w:start w:val="1"/>
      <w:numFmt w:val="none"/>
      <w:pStyle w:val="9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07E65F9"/>
    <w:multiLevelType w:val="multilevel"/>
    <w:tmpl w:val="407E65F9"/>
    <w:lvl w:ilvl="0" w:tentative="0">
      <w:start w:val="1"/>
      <w:numFmt w:val="none"/>
      <w:pStyle w:val="104"/>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496E4D7B"/>
    <w:multiLevelType w:val="multilevel"/>
    <w:tmpl w:val="496E4D7B"/>
    <w:lvl w:ilvl="0" w:tentative="0">
      <w:start w:val="1"/>
      <w:numFmt w:val="none"/>
      <w:pStyle w:val="75"/>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47C56FE"/>
    <w:multiLevelType w:val="multilevel"/>
    <w:tmpl w:val="547C56FE"/>
    <w:lvl w:ilvl="0" w:tentative="0">
      <w:start w:val="1"/>
      <w:numFmt w:val="lowerLetter"/>
      <w:lvlText w:val="%1）"/>
      <w:lvlJc w:val="left"/>
      <w:pPr>
        <w:ind w:left="780" w:hanging="36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557C2AF5"/>
    <w:multiLevelType w:val="multilevel"/>
    <w:tmpl w:val="557C2AF5"/>
    <w:lvl w:ilvl="0" w:tentative="0">
      <w:start w:val="1"/>
      <w:numFmt w:val="decimal"/>
      <w:pStyle w:val="110"/>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646260FA"/>
    <w:multiLevelType w:val="multilevel"/>
    <w:tmpl w:val="646260FA"/>
    <w:lvl w:ilvl="0" w:tentative="0">
      <w:start w:val="1"/>
      <w:numFmt w:val="decimal"/>
      <w:pStyle w:val="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118"/>
      <w:suff w:val="nothing"/>
      <w:lvlText w:val="附　录　%1"/>
      <w:lvlJc w:val="left"/>
      <w:pPr>
        <w:ind w:left="0" w:firstLine="0"/>
      </w:pPr>
      <w:rPr>
        <w:rFonts w:hint="eastAsia" w:ascii="黑体" w:hAnsi="Times New Roman" w:eastAsia="黑体"/>
        <w:b w:val="0"/>
        <w:i w:val="0"/>
        <w:sz w:val="21"/>
      </w:rPr>
    </w:lvl>
    <w:lvl w:ilvl="1" w:tentative="0">
      <w:start w:val="1"/>
      <w:numFmt w:val="decimal"/>
      <w:pStyle w:val="68"/>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7"/>
      <w:suff w:val="nothing"/>
      <w:lvlText w:val="%1.%2.%3　"/>
      <w:lvlJc w:val="left"/>
      <w:pPr>
        <w:ind w:left="0" w:firstLine="0"/>
      </w:pPr>
      <w:rPr>
        <w:rFonts w:hint="eastAsia" w:ascii="黑体" w:hAnsi="Times New Roman" w:eastAsia="黑体"/>
        <w:b w:val="0"/>
        <w:i w:val="0"/>
        <w:sz w:val="21"/>
      </w:rPr>
    </w:lvl>
    <w:lvl w:ilvl="3" w:tentative="0">
      <w:start w:val="1"/>
      <w:numFmt w:val="decimal"/>
      <w:pStyle w:val="66"/>
      <w:suff w:val="nothing"/>
      <w:lvlText w:val="%1.%2.%3.%4　"/>
      <w:lvlJc w:val="left"/>
      <w:pPr>
        <w:ind w:left="0" w:firstLine="0"/>
      </w:pPr>
      <w:rPr>
        <w:rFonts w:hint="eastAsia" w:ascii="黑体" w:hAnsi="Times New Roman" w:eastAsia="黑体"/>
        <w:b w:val="0"/>
        <w:i w:val="0"/>
        <w:sz w:val="21"/>
      </w:rPr>
    </w:lvl>
    <w:lvl w:ilvl="4" w:tentative="0">
      <w:start w:val="1"/>
      <w:numFmt w:val="decimal"/>
      <w:pStyle w:val="74"/>
      <w:suff w:val="nothing"/>
      <w:lvlText w:val="%1.%2.%3.%4.%5　"/>
      <w:lvlJc w:val="left"/>
      <w:pPr>
        <w:ind w:left="0" w:firstLine="0"/>
      </w:pPr>
      <w:rPr>
        <w:rFonts w:hint="eastAsia" w:ascii="黑体" w:hAnsi="Times New Roman" w:eastAsia="黑体"/>
        <w:b w:val="0"/>
        <w:i w:val="0"/>
        <w:sz w:val="21"/>
      </w:rPr>
    </w:lvl>
    <w:lvl w:ilvl="5" w:tentative="0">
      <w:start w:val="1"/>
      <w:numFmt w:val="decimal"/>
      <w:pStyle w:val="73"/>
      <w:suff w:val="nothing"/>
      <w:lvlText w:val="%1.%2.%3.%4.%5.%6　"/>
      <w:lvlJc w:val="left"/>
      <w:pPr>
        <w:ind w:left="0" w:firstLine="0"/>
      </w:pPr>
      <w:rPr>
        <w:rFonts w:hint="eastAsia" w:ascii="黑体" w:hAnsi="Times New Roman" w:eastAsia="黑体"/>
        <w:b w:val="0"/>
        <w:i w:val="0"/>
        <w:sz w:val="21"/>
      </w:rPr>
    </w:lvl>
    <w:lvl w:ilvl="6" w:tentative="0">
      <w:start w:val="1"/>
      <w:numFmt w:val="decimal"/>
      <w:pStyle w:val="10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BE73FFC"/>
    <w:multiLevelType w:val="multilevel"/>
    <w:tmpl w:val="6BE73FFC"/>
    <w:lvl w:ilvl="0" w:tentative="0">
      <w:start w:val="1"/>
      <w:numFmt w:val="decimal"/>
      <w:lvlText w:val="%1"/>
      <w:lvlJc w:val="left"/>
      <w:pPr>
        <w:tabs>
          <w:tab w:val="left" w:pos="360"/>
        </w:tabs>
        <w:ind w:left="360" w:hanging="360"/>
      </w:pPr>
      <w:rPr>
        <w:rFonts w:hint="default" w:ascii="黑体" w:hAnsi="黑体" w:eastAsia="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CEA2025"/>
    <w:multiLevelType w:val="multilevel"/>
    <w:tmpl w:val="6CEA2025"/>
    <w:lvl w:ilvl="0" w:tentative="0">
      <w:start w:val="1"/>
      <w:numFmt w:val="none"/>
      <w:pStyle w:val="81"/>
      <w:suff w:val="nothing"/>
      <w:lvlText w:val="%1"/>
      <w:lvlJc w:val="left"/>
      <w:pPr>
        <w:ind w:left="0" w:firstLine="0"/>
      </w:pPr>
      <w:rPr>
        <w:rFonts w:hint="default" w:ascii="Times New Roman" w:hAnsi="Times New Roman"/>
        <w:b/>
        <w:i w:val="0"/>
        <w:sz w:val="21"/>
      </w:rPr>
    </w:lvl>
    <w:lvl w:ilvl="1" w:tentative="0">
      <w:start w:val="1"/>
      <w:numFmt w:val="decimal"/>
      <w:pStyle w:val="82"/>
      <w:suff w:val="nothing"/>
      <w:lvlText w:val="%1%2　"/>
      <w:lvlJc w:val="left"/>
      <w:pPr>
        <w:ind w:left="210" w:firstLine="0"/>
      </w:pPr>
      <w:rPr>
        <w:rFonts w:hint="eastAsia" w:ascii="黑体" w:hAnsi="Times New Roman" w:eastAsia="黑体"/>
        <w:b w:val="0"/>
        <w:i w:val="0"/>
        <w:sz w:val="21"/>
      </w:rPr>
    </w:lvl>
    <w:lvl w:ilvl="2" w:tentative="0">
      <w:start w:val="1"/>
      <w:numFmt w:val="decimal"/>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73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DBF04F4"/>
    <w:multiLevelType w:val="multilevel"/>
    <w:tmpl w:val="6DBF04F4"/>
    <w:lvl w:ilvl="0" w:tentative="0">
      <w:start w:val="1"/>
      <w:numFmt w:val="none"/>
      <w:pStyle w:val="77"/>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6933334"/>
    <w:multiLevelType w:val="multilevel"/>
    <w:tmpl w:val="76933334"/>
    <w:lvl w:ilvl="0" w:tentative="0">
      <w:start w:val="1"/>
      <w:numFmt w:val="none"/>
      <w:pStyle w:val="97"/>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4"/>
  </w:num>
  <w:num w:numId="3">
    <w:abstractNumId w:val="11"/>
  </w:num>
  <w:num w:numId="4">
    <w:abstractNumId w:val="10"/>
  </w:num>
  <w:num w:numId="5">
    <w:abstractNumId w:val="0"/>
  </w:num>
  <w:num w:numId="6">
    <w:abstractNumId w:val="7"/>
  </w:num>
  <w:num w:numId="7">
    <w:abstractNumId w:val="12"/>
  </w:num>
  <w:num w:numId="8">
    <w:abstractNumId w:val="2"/>
  </w:num>
  <w:num w:numId="9">
    <w:abstractNumId w:val="3"/>
  </w:num>
  <w:num w:numId="10">
    <w:abstractNumId w:val="6"/>
  </w:num>
  <w:num w:numId="11">
    <w:abstractNumId w:val="1"/>
  </w:num>
  <w:num w:numId="12">
    <w:abstractNumId w:val="9"/>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波波">
    <w15:presenceInfo w15:providerId="None" w15:userId="波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42"/>
  <w:drawingGridVerticalSpacing w:val="156"/>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yMWIxNWVhNWE1MThhYzAwNjhhOGUwNDI2NWZlYjYifQ=="/>
  </w:docVars>
  <w:rsids>
    <w:rsidRoot w:val="00172A27"/>
    <w:rsid w:val="00000F9B"/>
    <w:rsid w:val="00002610"/>
    <w:rsid w:val="0000344F"/>
    <w:rsid w:val="00005240"/>
    <w:rsid w:val="00006637"/>
    <w:rsid w:val="00006808"/>
    <w:rsid w:val="00010DD4"/>
    <w:rsid w:val="000120D5"/>
    <w:rsid w:val="00014739"/>
    <w:rsid w:val="00023099"/>
    <w:rsid w:val="00026D24"/>
    <w:rsid w:val="00031E13"/>
    <w:rsid w:val="000325A2"/>
    <w:rsid w:val="000365E4"/>
    <w:rsid w:val="000446AC"/>
    <w:rsid w:val="000453C5"/>
    <w:rsid w:val="00050BC5"/>
    <w:rsid w:val="00051966"/>
    <w:rsid w:val="00052595"/>
    <w:rsid w:val="00053F77"/>
    <w:rsid w:val="00054F92"/>
    <w:rsid w:val="0005546F"/>
    <w:rsid w:val="00056043"/>
    <w:rsid w:val="00057184"/>
    <w:rsid w:val="0006798F"/>
    <w:rsid w:val="00072C0B"/>
    <w:rsid w:val="00077F3F"/>
    <w:rsid w:val="000851A7"/>
    <w:rsid w:val="00085B2B"/>
    <w:rsid w:val="000B3B88"/>
    <w:rsid w:val="000B6052"/>
    <w:rsid w:val="000B68CE"/>
    <w:rsid w:val="000C0E23"/>
    <w:rsid w:val="000C4341"/>
    <w:rsid w:val="000C4DD3"/>
    <w:rsid w:val="000C700F"/>
    <w:rsid w:val="000C7A03"/>
    <w:rsid w:val="000D3A7A"/>
    <w:rsid w:val="000D6133"/>
    <w:rsid w:val="000E1842"/>
    <w:rsid w:val="000E2F46"/>
    <w:rsid w:val="000E45EE"/>
    <w:rsid w:val="000F2B8D"/>
    <w:rsid w:val="000F3718"/>
    <w:rsid w:val="000F4658"/>
    <w:rsid w:val="000F4D50"/>
    <w:rsid w:val="000F7E42"/>
    <w:rsid w:val="00104D9F"/>
    <w:rsid w:val="00104E6D"/>
    <w:rsid w:val="00107780"/>
    <w:rsid w:val="00107891"/>
    <w:rsid w:val="00110FD7"/>
    <w:rsid w:val="00113D86"/>
    <w:rsid w:val="00124CE5"/>
    <w:rsid w:val="001266A3"/>
    <w:rsid w:val="00130B78"/>
    <w:rsid w:val="00137C3F"/>
    <w:rsid w:val="00141917"/>
    <w:rsid w:val="00141EB1"/>
    <w:rsid w:val="0015158E"/>
    <w:rsid w:val="00155929"/>
    <w:rsid w:val="00155B45"/>
    <w:rsid w:val="00167C46"/>
    <w:rsid w:val="00167E30"/>
    <w:rsid w:val="00167EDE"/>
    <w:rsid w:val="001706F0"/>
    <w:rsid w:val="00170EC5"/>
    <w:rsid w:val="00172A27"/>
    <w:rsid w:val="00175F26"/>
    <w:rsid w:val="001820CD"/>
    <w:rsid w:val="00183043"/>
    <w:rsid w:val="00186889"/>
    <w:rsid w:val="0018793E"/>
    <w:rsid w:val="00190EF5"/>
    <w:rsid w:val="001A1245"/>
    <w:rsid w:val="001A12B6"/>
    <w:rsid w:val="001A305E"/>
    <w:rsid w:val="001A501E"/>
    <w:rsid w:val="001A739B"/>
    <w:rsid w:val="001A73D0"/>
    <w:rsid w:val="001A7479"/>
    <w:rsid w:val="001B3C18"/>
    <w:rsid w:val="001D241E"/>
    <w:rsid w:val="001D2F28"/>
    <w:rsid w:val="001D720C"/>
    <w:rsid w:val="001E2171"/>
    <w:rsid w:val="001E272B"/>
    <w:rsid w:val="001E473E"/>
    <w:rsid w:val="001E697D"/>
    <w:rsid w:val="001F63E7"/>
    <w:rsid w:val="0020151E"/>
    <w:rsid w:val="002030FF"/>
    <w:rsid w:val="00205161"/>
    <w:rsid w:val="00205424"/>
    <w:rsid w:val="00207958"/>
    <w:rsid w:val="00211DA8"/>
    <w:rsid w:val="00214B0D"/>
    <w:rsid w:val="002217F4"/>
    <w:rsid w:val="00230428"/>
    <w:rsid w:val="002350C0"/>
    <w:rsid w:val="002374C4"/>
    <w:rsid w:val="00237B03"/>
    <w:rsid w:val="002412C5"/>
    <w:rsid w:val="0024638D"/>
    <w:rsid w:val="00246E93"/>
    <w:rsid w:val="00247081"/>
    <w:rsid w:val="00247556"/>
    <w:rsid w:val="0025020D"/>
    <w:rsid w:val="002519E4"/>
    <w:rsid w:val="00252249"/>
    <w:rsid w:val="0025275C"/>
    <w:rsid w:val="00253C75"/>
    <w:rsid w:val="00256AE2"/>
    <w:rsid w:val="0026180E"/>
    <w:rsid w:val="00261F97"/>
    <w:rsid w:val="002626EA"/>
    <w:rsid w:val="00264601"/>
    <w:rsid w:val="002702F9"/>
    <w:rsid w:val="00272AFA"/>
    <w:rsid w:val="00274085"/>
    <w:rsid w:val="0028381C"/>
    <w:rsid w:val="00284876"/>
    <w:rsid w:val="00284F26"/>
    <w:rsid w:val="00287FD1"/>
    <w:rsid w:val="00291190"/>
    <w:rsid w:val="002931DC"/>
    <w:rsid w:val="002972EC"/>
    <w:rsid w:val="002A6472"/>
    <w:rsid w:val="002A687E"/>
    <w:rsid w:val="002C2ADD"/>
    <w:rsid w:val="002C7CC8"/>
    <w:rsid w:val="002D54FB"/>
    <w:rsid w:val="002F04F9"/>
    <w:rsid w:val="002F3385"/>
    <w:rsid w:val="002F33BD"/>
    <w:rsid w:val="002F386B"/>
    <w:rsid w:val="002F6208"/>
    <w:rsid w:val="003026AB"/>
    <w:rsid w:val="0030573C"/>
    <w:rsid w:val="003119D4"/>
    <w:rsid w:val="00315FF9"/>
    <w:rsid w:val="0032002D"/>
    <w:rsid w:val="00320263"/>
    <w:rsid w:val="00322888"/>
    <w:rsid w:val="00323663"/>
    <w:rsid w:val="00344BE8"/>
    <w:rsid w:val="003458FB"/>
    <w:rsid w:val="003538D0"/>
    <w:rsid w:val="00355187"/>
    <w:rsid w:val="00356BB4"/>
    <w:rsid w:val="00360B74"/>
    <w:rsid w:val="00361572"/>
    <w:rsid w:val="00361FAA"/>
    <w:rsid w:val="003676D6"/>
    <w:rsid w:val="003721F7"/>
    <w:rsid w:val="00373CAB"/>
    <w:rsid w:val="00377C23"/>
    <w:rsid w:val="00385ADE"/>
    <w:rsid w:val="00385B77"/>
    <w:rsid w:val="00392F61"/>
    <w:rsid w:val="00394D3D"/>
    <w:rsid w:val="00394F31"/>
    <w:rsid w:val="0039612B"/>
    <w:rsid w:val="003A0401"/>
    <w:rsid w:val="003A1377"/>
    <w:rsid w:val="003A64F1"/>
    <w:rsid w:val="003B0D6A"/>
    <w:rsid w:val="003C2AD7"/>
    <w:rsid w:val="003C4055"/>
    <w:rsid w:val="003C5009"/>
    <w:rsid w:val="003C6262"/>
    <w:rsid w:val="003D0447"/>
    <w:rsid w:val="003D0751"/>
    <w:rsid w:val="003D1BEA"/>
    <w:rsid w:val="003D2ED5"/>
    <w:rsid w:val="003D4872"/>
    <w:rsid w:val="003E1FE6"/>
    <w:rsid w:val="003E24C6"/>
    <w:rsid w:val="003E374D"/>
    <w:rsid w:val="003F5B0E"/>
    <w:rsid w:val="003F7E93"/>
    <w:rsid w:val="00407CF0"/>
    <w:rsid w:val="00415E4E"/>
    <w:rsid w:val="00422292"/>
    <w:rsid w:val="00422E92"/>
    <w:rsid w:val="00422FF6"/>
    <w:rsid w:val="0042736B"/>
    <w:rsid w:val="00427B74"/>
    <w:rsid w:val="004305EC"/>
    <w:rsid w:val="00431D08"/>
    <w:rsid w:val="0044118E"/>
    <w:rsid w:val="0045211B"/>
    <w:rsid w:val="00454066"/>
    <w:rsid w:val="00455C94"/>
    <w:rsid w:val="00456E51"/>
    <w:rsid w:val="00457265"/>
    <w:rsid w:val="00460FEF"/>
    <w:rsid w:val="0046470E"/>
    <w:rsid w:val="004676BA"/>
    <w:rsid w:val="00474055"/>
    <w:rsid w:val="004875B5"/>
    <w:rsid w:val="00490AFF"/>
    <w:rsid w:val="00494988"/>
    <w:rsid w:val="00497141"/>
    <w:rsid w:val="00497F56"/>
    <w:rsid w:val="004A0D2E"/>
    <w:rsid w:val="004A1F38"/>
    <w:rsid w:val="004A20BC"/>
    <w:rsid w:val="004A4B00"/>
    <w:rsid w:val="004A7F30"/>
    <w:rsid w:val="004B0FBE"/>
    <w:rsid w:val="004B2895"/>
    <w:rsid w:val="004B5937"/>
    <w:rsid w:val="004B5F26"/>
    <w:rsid w:val="004C55A3"/>
    <w:rsid w:val="004C77D5"/>
    <w:rsid w:val="004D127D"/>
    <w:rsid w:val="004D40FF"/>
    <w:rsid w:val="004D50E4"/>
    <w:rsid w:val="004D6B6D"/>
    <w:rsid w:val="004E1629"/>
    <w:rsid w:val="004E18E7"/>
    <w:rsid w:val="004E35CE"/>
    <w:rsid w:val="004E5327"/>
    <w:rsid w:val="004E711D"/>
    <w:rsid w:val="004F2E14"/>
    <w:rsid w:val="004F378F"/>
    <w:rsid w:val="004F4143"/>
    <w:rsid w:val="004F5448"/>
    <w:rsid w:val="005005E3"/>
    <w:rsid w:val="00504E87"/>
    <w:rsid w:val="005055F0"/>
    <w:rsid w:val="00505F45"/>
    <w:rsid w:val="00506313"/>
    <w:rsid w:val="00521432"/>
    <w:rsid w:val="00522AEE"/>
    <w:rsid w:val="005247F2"/>
    <w:rsid w:val="00524BF5"/>
    <w:rsid w:val="00526A44"/>
    <w:rsid w:val="005271E7"/>
    <w:rsid w:val="00527F29"/>
    <w:rsid w:val="00542AFE"/>
    <w:rsid w:val="0054496F"/>
    <w:rsid w:val="00551884"/>
    <w:rsid w:val="00554E66"/>
    <w:rsid w:val="00563695"/>
    <w:rsid w:val="00565F26"/>
    <w:rsid w:val="00566228"/>
    <w:rsid w:val="005679C3"/>
    <w:rsid w:val="005748E3"/>
    <w:rsid w:val="00574C5F"/>
    <w:rsid w:val="00582458"/>
    <w:rsid w:val="00586781"/>
    <w:rsid w:val="005903DB"/>
    <w:rsid w:val="005922A8"/>
    <w:rsid w:val="0059772F"/>
    <w:rsid w:val="005A0F20"/>
    <w:rsid w:val="005A3F42"/>
    <w:rsid w:val="005A3FC9"/>
    <w:rsid w:val="005A648C"/>
    <w:rsid w:val="005B0C36"/>
    <w:rsid w:val="005B7330"/>
    <w:rsid w:val="005C02EC"/>
    <w:rsid w:val="005C546C"/>
    <w:rsid w:val="005D21AF"/>
    <w:rsid w:val="005D2BF3"/>
    <w:rsid w:val="005D46C6"/>
    <w:rsid w:val="005D4E07"/>
    <w:rsid w:val="005D6A93"/>
    <w:rsid w:val="005E21C7"/>
    <w:rsid w:val="005E5677"/>
    <w:rsid w:val="005E6069"/>
    <w:rsid w:val="005E660A"/>
    <w:rsid w:val="005F055D"/>
    <w:rsid w:val="005F5E9F"/>
    <w:rsid w:val="00607440"/>
    <w:rsid w:val="00610070"/>
    <w:rsid w:val="0062560B"/>
    <w:rsid w:val="00626943"/>
    <w:rsid w:val="00630A97"/>
    <w:rsid w:val="00630F1C"/>
    <w:rsid w:val="00631A49"/>
    <w:rsid w:val="00632DE1"/>
    <w:rsid w:val="00634B6B"/>
    <w:rsid w:val="006417D4"/>
    <w:rsid w:val="006475D5"/>
    <w:rsid w:val="006533B2"/>
    <w:rsid w:val="00656D13"/>
    <w:rsid w:val="00661A03"/>
    <w:rsid w:val="00664FD1"/>
    <w:rsid w:val="006665CB"/>
    <w:rsid w:val="006728BE"/>
    <w:rsid w:val="00673DD1"/>
    <w:rsid w:val="006758AE"/>
    <w:rsid w:val="00676DAF"/>
    <w:rsid w:val="00683F0E"/>
    <w:rsid w:val="00684287"/>
    <w:rsid w:val="0069309D"/>
    <w:rsid w:val="006A6467"/>
    <w:rsid w:val="006A68EC"/>
    <w:rsid w:val="006B26AF"/>
    <w:rsid w:val="006B2844"/>
    <w:rsid w:val="006C1939"/>
    <w:rsid w:val="006C559D"/>
    <w:rsid w:val="006C7067"/>
    <w:rsid w:val="006D09F5"/>
    <w:rsid w:val="006D16E8"/>
    <w:rsid w:val="006D1909"/>
    <w:rsid w:val="006D2DB7"/>
    <w:rsid w:val="006D5B27"/>
    <w:rsid w:val="006D5E7C"/>
    <w:rsid w:val="006F71C7"/>
    <w:rsid w:val="00702A97"/>
    <w:rsid w:val="00702DB6"/>
    <w:rsid w:val="007051D3"/>
    <w:rsid w:val="00706CEB"/>
    <w:rsid w:val="0070742C"/>
    <w:rsid w:val="007100BC"/>
    <w:rsid w:val="00712CEE"/>
    <w:rsid w:val="00715D33"/>
    <w:rsid w:val="00717838"/>
    <w:rsid w:val="00722701"/>
    <w:rsid w:val="00723725"/>
    <w:rsid w:val="007262CC"/>
    <w:rsid w:val="0072799F"/>
    <w:rsid w:val="00727F75"/>
    <w:rsid w:val="007358FF"/>
    <w:rsid w:val="00735A77"/>
    <w:rsid w:val="007434E2"/>
    <w:rsid w:val="007551AC"/>
    <w:rsid w:val="00755392"/>
    <w:rsid w:val="00764F1E"/>
    <w:rsid w:val="00774693"/>
    <w:rsid w:val="007747BC"/>
    <w:rsid w:val="0077603E"/>
    <w:rsid w:val="00776464"/>
    <w:rsid w:val="0077687C"/>
    <w:rsid w:val="00776E92"/>
    <w:rsid w:val="007815C6"/>
    <w:rsid w:val="00783CD6"/>
    <w:rsid w:val="00785233"/>
    <w:rsid w:val="00791040"/>
    <w:rsid w:val="00792614"/>
    <w:rsid w:val="0079432C"/>
    <w:rsid w:val="00795D48"/>
    <w:rsid w:val="007A6D2F"/>
    <w:rsid w:val="007B0AAF"/>
    <w:rsid w:val="007B1630"/>
    <w:rsid w:val="007B2330"/>
    <w:rsid w:val="007B338C"/>
    <w:rsid w:val="007B5D8C"/>
    <w:rsid w:val="007B63E2"/>
    <w:rsid w:val="007C25BD"/>
    <w:rsid w:val="007C63A5"/>
    <w:rsid w:val="007C6BCB"/>
    <w:rsid w:val="007C6FBB"/>
    <w:rsid w:val="007D51D0"/>
    <w:rsid w:val="007D7704"/>
    <w:rsid w:val="007E0739"/>
    <w:rsid w:val="007F16F9"/>
    <w:rsid w:val="007F3FA0"/>
    <w:rsid w:val="007F7BB1"/>
    <w:rsid w:val="007F7C1F"/>
    <w:rsid w:val="00810700"/>
    <w:rsid w:val="00811364"/>
    <w:rsid w:val="00811378"/>
    <w:rsid w:val="00812A88"/>
    <w:rsid w:val="00812E90"/>
    <w:rsid w:val="00813137"/>
    <w:rsid w:val="00823BB3"/>
    <w:rsid w:val="0082461F"/>
    <w:rsid w:val="00825DF1"/>
    <w:rsid w:val="008320D0"/>
    <w:rsid w:val="00832819"/>
    <w:rsid w:val="00835BE5"/>
    <w:rsid w:val="00836DA0"/>
    <w:rsid w:val="008376F8"/>
    <w:rsid w:val="00837BD3"/>
    <w:rsid w:val="00837DAD"/>
    <w:rsid w:val="00841088"/>
    <w:rsid w:val="008425A7"/>
    <w:rsid w:val="00844C19"/>
    <w:rsid w:val="00845CEE"/>
    <w:rsid w:val="00846726"/>
    <w:rsid w:val="00851BA3"/>
    <w:rsid w:val="00852BB4"/>
    <w:rsid w:val="00854181"/>
    <w:rsid w:val="00856884"/>
    <w:rsid w:val="00856975"/>
    <w:rsid w:val="00857E6D"/>
    <w:rsid w:val="008614E3"/>
    <w:rsid w:val="00861EF9"/>
    <w:rsid w:val="008624DA"/>
    <w:rsid w:val="00863AD9"/>
    <w:rsid w:val="00867FD1"/>
    <w:rsid w:val="00871359"/>
    <w:rsid w:val="008752D3"/>
    <w:rsid w:val="00882036"/>
    <w:rsid w:val="00882545"/>
    <w:rsid w:val="00883D55"/>
    <w:rsid w:val="008929CD"/>
    <w:rsid w:val="00895991"/>
    <w:rsid w:val="008978AF"/>
    <w:rsid w:val="008A1061"/>
    <w:rsid w:val="008A36C7"/>
    <w:rsid w:val="008A379B"/>
    <w:rsid w:val="008A4F6A"/>
    <w:rsid w:val="008A50AA"/>
    <w:rsid w:val="008B2931"/>
    <w:rsid w:val="008B386B"/>
    <w:rsid w:val="008B4B1F"/>
    <w:rsid w:val="008C0B96"/>
    <w:rsid w:val="008C7C59"/>
    <w:rsid w:val="008D123C"/>
    <w:rsid w:val="008D6579"/>
    <w:rsid w:val="008D68FF"/>
    <w:rsid w:val="008D7F47"/>
    <w:rsid w:val="008E1E11"/>
    <w:rsid w:val="008E2CE4"/>
    <w:rsid w:val="008E34FA"/>
    <w:rsid w:val="008E3A49"/>
    <w:rsid w:val="008E5523"/>
    <w:rsid w:val="008E6414"/>
    <w:rsid w:val="008F357B"/>
    <w:rsid w:val="008F5811"/>
    <w:rsid w:val="00901DFE"/>
    <w:rsid w:val="00904D44"/>
    <w:rsid w:val="00906D73"/>
    <w:rsid w:val="0090722C"/>
    <w:rsid w:val="0091034B"/>
    <w:rsid w:val="0091236D"/>
    <w:rsid w:val="00913EE6"/>
    <w:rsid w:val="009231CE"/>
    <w:rsid w:val="00923284"/>
    <w:rsid w:val="009312A8"/>
    <w:rsid w:val="009333ED"/>
    <w:rsid w:val="00935104"/>
    <w:rsid w:val="00943A83"/>
    <w:rsid w:val="00945A50"/>
    <w:rsid w:val="009512D7"/>
    <w:rsid w:val="00954B2A"/>
    <w:rsid w:val="009677B5"/>
    <w:rsid w:val="009754BD"/>
    <w:rsid w:val="00976BEC"/>
    <w:rsid w:val="009806D1"/>
    <w:rsid w:val="00982278"/>
    <w:rsid w:val="00984F1D"/>
    <w:rsid w:val="0098540A"/>
    <w:rsid w:val="0098714C"/>
    <w:rsid w:val="00992E7F"/>
    <w:rsid w:val="009962D3"/>
    <w:rsid w:val="00996482"/>
    <w:rsid w:val="00996EF0"/>
    <w:rsid w:val="009A452A"/>
    <w:rsid w:val="009A5ACA"/>
    <w:rsid w:val="009A7641"/>
    <w:rsid w:val="009B728A"/>
    <w:rsid w:val="009C2E7D"/>
    <w:rsid w:val="009D0547"/>
    <w:rsid w:val="009D2028"/>
    <w:rsid w:val="009D38C7"/>
    <w:rsid w:val="009E1020"/>
    <w:rsid w:val="009E3C46"/>
    <w:rsid w:val="009E4552"/>
    <w:rsid w:val="009E7597"/>
    <w:rsid w:val="009F3B02"/>
    <w:rsid w:val="00A0005A"/>
    <w:rsid w:val="00A02471"/>
    <w:rsid w:val="00A0543D"/>
    <w:rsid w:val="00A0673F"/>
    <w:rsid w:val="00A07B42"/>
    <w:rsid w:val="00A10887"/>
    <w:rsid w:val="00A10E86"/>
    <w:rsid w:val="00A118E1"/>
    <w:rsid w:val="00A12F01"/>
    <w:rsid w:val="00A14DB5"/>
    <w:rsid w:val="00A160C0"/>
    <w:rsid w:val="00A172E1"/>
    <w:rsid w:val="00A21BE9"/>
    <w:rsid w:val="00A2284F"/>
    <w:rsid w:val="00A27D3D"/>
    <w:rsid w:val="00A3013A"/>
    <w:rsid w:val="00A325CA"/>
    <w:rsid w:val="00A3265D"/>
    <w:rsid w:val="00A4571D"/>
    <w:rsid w:val="00A52751"/>
    <w:rsid w:val="00A54DE1"/>
    <w:rsid w:val="00A603DC"/>
    <w:rsid w:val="00A609EA"/>
    <w:rsid w:val="00A6326D"/>
    <w:rsid w:val="00A638D7"/>
    <w:rsid w:val="00A648DF"/>
    <w:rsid w:val="00A66CD4"/>
    <w:rsid w:val="00A71D85"/>
    <w:rsid w:val="00A76F8E"/>
    <w:rsid w:val="00A77C64"/>
    <w:rsid w:val="00A77EED"/>
    <w:rsid w:val="00A81FB6"/>
    <w:rsid w:val="00A82420"/>
    <w:rsid w:val="00A852B7"/>
    <w:rsid w:val="00A86AF7"/>
    <w:rsid w:val="00A925F0"/>
    <w:rsid w:val="00A9495A"/>
    <w:rsid w:val="00AA2166"/>
    <w:rsid w:val="00AA3A62"/>
    <w:rsid w:val="00AA48EC"/>
    <w:rsid w:val="00AA51EF"/>
    <w:rsid w:val="00AA7068"/>
    <w:rsid w:val="00AB4660"/>
    <w:rsid w:val="00AB5B46"/>
    <w:rsid w:val="00AC309C"/>
    <w:rsid w:val="00AC69BF"/>
    <w:rsid w:val="00AC7EE8"/>
    <w:rsid w:val="00AD0400"/>
    <w:rsid w:val="00AD195C"/>
    <w:rsid w:val="00AD3362"/>
    <w:rsid w:val="00AD37B6"/>
    <w:rsid w:val="00AD45FF"/>
    <w:rsid w:val="00AD7D0A"/>
    <w:rsid w:val="00AE29C1"/>
    <w:rsid w:val="00AE4435"/>
    <w:rsid w:val="00AF2943"/>
    <w:rsid w:val="00AF5014"/>
    <w:rsid w:val="00AF61CD"/>
    <w:rsid w:val="00B002B0"/>
    <w:rsid w:val="00B04494"/>
    <w:rsid w:val="00B06EC3"/>
    <w:rsid w:val="00B105C4"/>
    <w:rsid w:val="00B10C97"/>
    <w:rsid w:val="00B11923"/>
    <w:rsid w:val="00B142A9"/>
    <w:rsid w:val="00B20482"/>
    <w:rsid w:val="00B217A4"/>
    <w:rsid w:val="00B223CD"/>
    <w:rsid w:val="00B227C4"/>
    <w:rsid w:val="00B25A7F"/>
    <w:rsid w:val="00B25C11"/>
    <w:rsid w:val="00B30A0D"/>
    <w:rsid w:val="00B35B0C"/>
    <w:rsid w:val="00B35B52"/>
    <w:rsid w:val="00B3661B"/>
    <w:rsid w:val="00B377FD"/>
    <w:rsid w:val="00B41B11"/>
    <w:rsid w:val="00B4378D"/>
    <w:rsid w:val="00B440A5"/>
    <w:rsid w:val="00B47C8B"/>
    <w:rsid w:val="00B55D36"/>
    <w:rsid w:val="00B60EF0"/>
    <w:rsid w:val="00B824D9"/>
    <w:rsid w:val="00B8459A"/>
    <w:rsid w:val="00B93985"/>
    <w:rsid w:val="00B9443C"/>
    <w:rsid w:val="00B94FA8"/>
    <w:rsid w:val="00BA126A"/>
    <w:rsid w:val="00BA20F1"/>
    <w:rsid w:val="00BA2F32"/>
    <w:rsid w:val="00BA3A86"/>
    <w:rsid w:val="00BB11B7"/>
    <w:rsid w:val="00BB7D3F"/>
    <w:rsid w:val="00BC50CE"/>
    <w:rsid w:val="00BC69EE"/>
    <w:rsid w:val="00BD28EA"/>
    <w:rsid w:val="00BD775F"/>
    <w:rsid w:val="00BE05EA"/>
    <w:rsid w:val="00BE3BCB"/>
    <w:rsid w:val="00BE50A3"/>
    <w:rsid w:val="00BE6377"/>
    <w:rsid w:val="00BE6C61"/>
    <w:rsid w:val="00BF1053"/>
    <w:rsid w:val="00BF1151"/>
    <w:rsid w:val="00BF2738"/>
    <w:rsid w:val="00C028A9"/>
    <w:rsid w:val="00C03D11"/>
    <w:rsid w:val="00C06708"/>
    <w:rsid w:val="00C157FF"/>
    <w:rsid w:val="00C160D6"/>
    <w:rsid w:val="00C2235F"/>
    <w:rsid w:val="00C23078"/>
    <w:rsid w:val="00C30693"/>
    <w:rsid w:val="00C35832"/>
    <w:rsid w:val="00C36046"/>
    <w:rsid w:val="00C4409D"/>
    <w:rsid w:val="00C5084A"/>
    <w:rsid w:val="00C513CD"/>
    <w:rsid w:val="00C52194"/>
    <w:rsid w:val="00C52BA0"/>
    <w:rsid w:val="00C614A3"/>
    <w:rsid w:val="00C64682"/>
    <w:rsid w:val="00C652CC"/>
    <w:rsid w:val="00C65BED"/>
    <w:rsid w:val="00C66990"/>
    <w:rsid w:val="00C6722A"/>
    <w:rsid w:val="00C73A4B"/>
    <w:rsid w:val="00C73ABB"/>
    <w:rsid w:val="00C74FC4"/>
    <w:rsid w:val="00C756C4"/>
    <w:rsid w:val="00C808D7"/>
    <w:rsid w:val="00C84984"/>
    <w:rsid w:val="00C84A9B"/>
    <w:rsid w:val="00C853E1"/>
    <w:rsid w:val="00C936A2"/>
    <w:rsid w:val="00CA1959"/>
    <w:rsid w:val="00CA5A15"/>
    <w:rsid w:val="00CA714B"/>
    <w:rsid w:val="00CB06B0"/>
    <w:rsid w:val="00CB3241"/>
    <w:rsid w:val="00CB3690"/>
    <w:rsid w:val="00CB3B56"/>
    <w:rsid w:val="00CB5F61"/>
    <w:rsid w:val="00CB729D"/>
    <w:rsid w:val="00CC1FA2"/>
    <w:rsid w:val="00CD2C0A"/>
    <w:rsid w:val="00CD3599"/>
    <w:rsid w:val="00CD3AF6"/>
    <w:rsid w:val="00CD6B9F"/>
    <w:rsid w:val="00CE5529"/>
    <w:rsid w:val="00CE60E8"/>
    <w:rsid w:val="00CE712D"/>
    <w:rsid w:val="00CF0CF2"/>
    <w:rsid w:val="00CF1AC7"/>
    <w:rsid w:val="00CF22BE"/>
    <w:rsid w:val="00CF2EC3"/>
    <w:rsid w:val="00CF4C1D"/>
    <w:rsid w:val="00CF5A79"/>
    <w:rsid w:val="00CF6322"/>
    <w:rsid w:val="00CF79D5"/>
    <w:rsid w:val="00D008FD"/>
    <w:rsid w:val="00D01217"/>
    <w:rsid w:val="00D037D9"/>
    <w:rsid w:val="00D10B9F"/>
    <w:rsid w:val="00D11129"/>
    <w:rsid w:val="00D12F8B"/>
    <w:rsid w:val="00D15E99"/>
    <w:rsid w:val="00D15FDC"/>
    <w:rsid w:val="00D1764C"/>
    <w:rsid w:val="00D21260"/>
    <w:rsid w:val="00D21EB5"/>
    <w:rsid w:val="00D2683A"/>
    <w:rsid w:val="00D27F69"/>
    <w:rsid w:val="00D34C82"/>
    <w:rsid w:val="00D356A8"/>
    <w:rsid w:val="00D36FB7"/>
    <w:rsid w:val="00D377B4"/>
    <w:rsid w:val="00D4021A"/>
    <w:rsid w:val="00D40EBE"/>
    <w:rsid w:val="00D44BDD"/>
    <w:rsid w:val="00D47C57"/>
    <w:rsid w:val="00D51C55"/>
    <w:rsid w:val="00D534CB"/>
    <w:rsid w:val="00D64DE4"/>
    <w:rsid w:val="00D67464"/>
    <w:rsid w:val="00D70128"/>
    <w:rsid w:val="00D779F7"/>
    <w:rsid w:val="00D77F13"/>
    <w:rsid w:val="00D83D1B"/>
    <w:rsid w:val="00D83D78"/>
    <w:rsid w:val="00D83F54"/>
    <w:rsid w:val="00D850F7"/>
    <w:rsid w:val="00D85E93"/>
    <w:rsid w:val="00D92A6F"/>
    <w:rsid w:val="00D939B6"/>
    <w:rsid w:val="00D9561B"/>
    <w:rsid w:val="00D95D26"/>
    <w:rsid w:val="00DA2875"/>
    <w:rsid w:val="00DB4790"/>
    <w:rsid w:val="00DB519E"/>
    <w:rsid w:val="00DB59B5"/>
    <w:rsid w:val="00DB6ADD"/>
    <w:rsid w:val="00DC2590"/>
    <w:rsid w:val="00DD4D22"/>
    <w:rsid w:val="00DE1125"/>
    <w:rsid w:val="00DE11C3"/>
    <w:rsid w:val="00DE15F4"/>
    <w:rsid w:val="00DE4B1A"/>
    <w:rsid w:val="00DF6E0D"/>
    <w:rsid w:val="00DF70A6"/>
    <w:rsid w:val="00E03784"/>
    <w:rsid w:val="00E03DF1"/>
    <w:rsid w:val="00E050C4"/>
    <w:rsid w:val="00E07A71"/>
    <w:rsid w:val="00E120FE"/>
    <w:rsid w:val="00E16338"/>
    <w:rsid w:val="00E227D8"/>
    <w:rsid w:val="00E2547B"/>
    <w:rsid w:val="00E2753E"/>
    <w:rsid w:val="00E27BBD"/>
    <w:rsid w:val="00E375FF"/>
    <w:rsid w:val="00E40345"/>
    <w:rsid w:val="00E42A57"/>
    <w:rsid w:val="00E46241"/>
    <w:rsid w:val="00E472D7"/>
    <w:rsid w:val="00E47AED"/>
    <w:rsid w:val="00E51750"/>
    <w:rsid w:val="00E52AAD"/>
    <w:rsid w:val="00E535C7"/>
    <w:rsid w:val="00E56D5D"/>
    <w:rsid w:val="00E57413"/>
    <w:rsid w:val="00E577AD"/>
    <w:rsid w:val="00E61E32"/>
    <w:rsid w:val="00E62095"/>
    <w:rsid w:val="00E64E25"/>
    <w:rsid w:val="00E67C3E"/>
    <w:rsid w:val="00E8000F"/>
    <w:rsid w:val="00E82C61"/>
    <w:rsid w:val="00E873F5"/>
    <w:rsid w:val="00E94595"/>
    <w:rsid w:val="00E954F0"/>
    <w:rsid w:val="00E96103"/>
    <w:rsid w:val="00E96FD9"/>
    <w:rsid w:val="00E9762D"/>
    <w:rsid w:val="00EA5FF5"/>
    <w:rsid w:val="00EB57F1"/>
    <w:rsid w:val="00EB6EF0"/>
    <w:rsid w:val="00EC23A2"/>
    <w:rsid w:val="00EC2952"/>
    <w:rsid w:val="00EC7C05"/>
    <w:rsid w:val="00ED23DF"/>
    <w:rsid w:val="00ED3113"/>
    <w:rsid w:val="00EE126C"/>
    <w:rsid w:val="00EE1E5D"/>
    <w:rsid w:val="00EE340D"/>
    <w:rsid w:val="00EE5E19"/>
    <w:rsid w:val="00EE7C18"/>
    <w:rsid w:val="00EF3FAF"/>
    <w:rsid w:val="00EF4DCF"/>
    <w:rsid w:val="00F00045"/>
    <w:rsid w:val="00F05E42"/>
    <w:rsid w:val="00F1031A"/>
    <w:rsid w:val="00F10A0B"/>
    <w:rsid w:val="00F1467B"/>
    <w:rsid w:val="00F17B66"/>
    <w:rsid w:val="00F23515"/>
    <w:rsid w:val="00F23AAE"/>
    <w:rsid w:val="00F33DF4"/>
    <w:rsid w:val="00F345E1"/>
    <w:rsid w:val="00F34A70"/>
    <w:rsid w:val="00F355E3"/>
    <w:rsid w:val="00F36E57"/>
    <w:rsid w:val="00F373FA"/>
    <w:rsid w:val="00F40146"/>
    <w:rsid w:val="00F42683"/>
    <w:rsid w:val="00F46509"/>
    <w:rsid w:val="00F5129F"/>
    <w:rsid w:val="00F53C23"/>
    <w:rsid w:val="00F63534"/>
    <w:rsid w:val="00F72E84"/>
    <w:rsid w:val="00F73CA7"/>
    <w:rsid w:val="00F74778"/>
    <w:rsid w:val="00F749B0"/>
    <w:rsid w:val="00F80C14"/>
    <w:rsid w:val="00F8348B"/>
    <w:rsid w:val="00F8511B"/>
    <w:rsid w:val="00F85487"/>
    <w:rsid w:val="00F94CA7"/>
    <w:rsid w:val="00F97020"/>
    <w:rsid w:val="00FA105A"/>
    <w:rsid w:val="00FA6C69"/>
    <w:rsid w:val="00FB0ED7"/>
    <w:rsid w:val="00FB431E"/>
    <w:rsid w:val="00FB6B90"/>
    <w:rsid w:val="00FB7993"/>
    <w:rsid w:val="00FC2F03"/>
    <w:rsid w:val="00FD0BA3"/>
    <w:rsid w:val="00FD5EF6"/>
    <w:rsid w:val="00FE25ED"/>
    <w:rsid w:val="00FE3F6A"/>
    <w:rsid w:val="00FE5F72"/>
    <w:rsid w:val="00FE761B"/>
    <w:rsid w:val="012F49F1"/>
    <w:rsid w:val="015B6D94"/>
    <w:rsid w:val="01A909C3"/>
    <w:rsid w:val="01FE5971"/>
    <w:rsid w:val="02323BAA"/>
    <w:rsid w:val="0284231A"/>
    <w:rsid w:val="02C86511"/>
    <w:rsid w:val="02DC1350"/>
    <w:rsid w:val="02FF5E45"/>
    <w:rsid w:val="03130A11"/>
    <w:rsid w:val="033151CC"/>
    <w:rsid w:val="034E3CFA"/>
    <w:rsid w:val="03C03A81"/>
    <w:rsid w:val="04022EE3"/>
    <w:rsid w:val="045126D0"/>
    <w:rsid w:val="04760B2D"/>
    <w:rsid w:val="04B06F7E"/>
    <w:rsid w:val="04D478DD"/>
    <w:rsid w:val="053A63E8"/>
    <w:rsid w:val="055958D4"/>
    <w:rsid w:val="0563401E"/>
    <w:rsid w:val="058645FB"/>
    <w:rsid w:val="059C470A"/>
    <w:rsid w:val="070A7384"/>
    <w:rsid w:val="07511877"/>
    <w:rsid w:val="07575C2B"/>
    <w:rsid w:val="075A39BB"/>
    <w:rsid w:val="07B932B0"/>
    <w:rsid w:val="07DD5238"/>
    <w:rsid w:val="07E13D6B"/>
    <w:rsid w:val="085C6503"/>
    <w:rsid w:val="086D0162"/>
    <w:rsid w:val="08B9458B"/>
    <w:rsid w:val="08F54642"/>
    <w:rsid w:val="095619A2"/>
    <w:rsid w:val="0A0C2682"/>
    <w:rsid w:val="0A245A06"/>
    <w:rsid w:val="0A2E0071"/>
    <w:rsid w:val="0A4860CC"/>
    <w:rsid w:val="0A5B477B"/>
    <w:rsid w:val="0AA3245D"/>
    <w:rsid w:val="0AA32563"/>
    <w:rsid w:val="0B000DC4"/>
    <w:rsid w:val="0B11222D"/>
    <w:rsid w:val="0B7D08A5"/>
    <w:rsid w:val="0BAD28E2"/>
    <w:rsid w:val="0BCD2AA3"/>
    <w:rsid w:val="0BDE2A9B"/>
    <w:rsid w:val="0BE028AE"/>
    <w:rsid w:val="0D183D8B"/>
    <w:rsid w:val="0D385B96"/>
    <w:rsid w:val="0D9A270D"/>
    <w:rsid w:val="0DFB62F4"/>
    <w:rsid w:val="0F8525C7"/>
    <w:rsid w:val="0F8E1F32"/>
    <w:rsid w:val="0FA86370"/>
    <w:rsid w:val="0FAD1102"/>
    <w:rsid w:val="0FCE263A"/>
    <w:rsid w:val="0FFD0285"/>
    <w:rsid w:val="100A2AD5"/>
    <w:rsid w:val="105E23FD"/>
    <w:rsid w:val="1210719E"/>
    <w:rsid w:val="12534B7F"/>
    <w:rsid w:val="131A2354"/>
    <w:rsid w:val="13572805"/>
    <w:rsid w:val="1371484A"/>
    <w:rsid w:val="13DD5B51"/>
    <w:rsid w:val="144E242F"/>
    <w:rsid w:val="15CD62D8"/>
    <w:rsid w:val="15E74C42"/>
    <w:rsid w:val="15E76B10"/>
    <w:rsid w:val="15F108C0"/>
    <w:rsid w:val="16427A63"/>
    <w:rsid w:val="168F16E1"/>
    <w:rsid w:val="16D61D13"/>
    <w:rsid w:val="16F44CA1"/>
    <w:rsid w:val="17C0471D"/>
    <w:rsid w:val="17E22AF6"/>
    <w:rsid w:val="180A4C18"/>
    <w:rsid w:val="18641CC8"/>
    <w:rsid w:val="1882587C"/>
    <w:rsid w:val="188B3FAB"/>
    <w:rsid w:val="188B3FDD"/>
    <w:rsid w:val="18CF706F"/>
    <w:rsid w:val="195F5C8D"/>
    <w:rsid w:val="19854D49"/>
    <w:rsid w:val="198C6EB9"/>
    <w:rsid w:val="199A353D"/>
    <w:rsid w:val="199A3EEC"/>
    <w:rsid w:val="1A03119D"/>
    <w:rsid w:val="1A163D48"/>
    <w:rsid w:val="1A847F3A"/>
    <w:rsid w:val="1A871AF0"/>
    <w:rsid w:val="1AFD67FA"/>
    <w:rsid w:val="1B683762"/>
    <w:rsid w:val="1B6F510E"/>
    <w:rsid w:val="1BC35DD7"/>
    <w:rsid w:val="1C3D4670"/>
    <w:rsid w:val="1C7D3C0B"/>
    <w:rsid w:val="1DF33C73"/>
    <w:rsid w:val="1E4A50D6"/>
    <w:rsid w:val="1E513FF3"/>
    <w:rsid w:val="1E58492F"/>
    <w:rsid w:val="1E6C2189"/>
    <w:rsid w:val="1E9E4C6F"/>
    <w:rsid w:val="1EB72CBE"/>
    <w:rsid w:val="1EE254C5"/>
    <w:rsid w:val="1F0B19A2"/>
    <w:rsid w:val="1F0B7BF4"/>
    <w:rsid w:val="1F3103CD"/>
    <w:rsid w:val="1FA6038F"/>
    <w:rsid w:val="1FDE32AE"/>
    <w:rsid w:val="20417F0B"/>
    <w:rsid w:val="204C59E3"/>
    <w:rsid w:val="20581851"/>
    <w:rsid w:val="205872DC"/>
    <w:rsid w:val="209440AA"/>
    <w:rsid w:val="20A47CE5"/>
    <w:rsid w:val="21957C48"/>
    <w:rsid w:val="22B41B6C"/>
    <w:rsid w:val="22EA4115"/>
    <w:rsid w:val="23121493"/>
    <w:rsid w:val="23EE2DA2"/>
    <w:rsid w:val="24C24E93"/>
    <w:rsid w:val="24CB09E4"/>
    <w:rsid w:val="24D35B51"/>
    <w:rsid w:val="255351D2"/>
    <w:rsid w:val="25680762"/>
    <w:rsid w:val="27223D2C"/>
    <w:rsid w:val="274A023D"/>
    <w:rsid w:val="279B274F"/>
    <w:rsid w:val="27F35DC7"/>
    <w:rsid w:val="28786A7C"/>
    <w:rsid w:val="2A2878AC"/>
    <w:rsid w:val="2A4027B6"/>
    <w:rsid w:val="2B02634F"/>
    <w:rsid w:val="2B086ABE"/>
    <w:rsid w:val="2B366200"/>
    <w:rsid w:val="2B80490E"/>
    <w:rsid w:val="2B917593"/>
    <w:rsid w:val="2BA221D1"/>
    <w:rsid w:val="2BF950DA"/>
    <w:rsid w:val="2C070504"/>
    <w:rsid w:val="2C8D2AB6"/>
    <w:rsid w:val="2C9605CD"/>
    <w:rsid w:val="2D2F7B08"/>
    <w:rsid w:val="2D56633C"/>
    <w:rsid w:val="2E50117F"/>
    <w:rsid w:val="2FBF3CD4"/>
    <w:rsid w:val="3052239C"/>
    <w:rsid w:val="307849BD"/>
    <w:rsid w:val="30996FC4"/>
    <w:rsid w:val="31425049"/>
    <w:rsid w:val="3143321D"/>
    <w:rsid w:val="31A11CF2"/>
    <w:rsid w:val="31E3055C"/>
    <w:rsid w:val="327F0285"/>
    <w:rsid w:val="32B5139A"/>
    <w:rsid w:val="32F63AD0"/>
    <w:rsid w:val="33641D7E"/>
    <w:rsid w:val="339C6263"/>
    <w:rsid w:val="349D1C6A"/>
    <w:rsid w:val="350902DA"/>
    <w:rsid w:val="352769B2"/>
    <w:rsid w:val="353C4AB3"/>
    <w:rsid w:val="35AE518D"/>
    <w:rsid w:val="3618626E"/>
    <w:rsid w:val="367C70FA"/>
    <w:rsid w:val="36CB4A75"/>
    <w:rsid w:val="373B5FD7"/>
    <w:rsid w:val="374471F6"/>
    <w:rsid w:val="37525D90"/>
    <w:rsid w:val="376711B7"/>
    <w:rsid w:val="387274C6"/>
    <w:rsid w:val="38DC4A54"/>
    <w:rsid w:val="38E33686"/>
    <w:rsid w:val="38F04F73"/>
    <w:rsid w:val="39262466"/>
    <w:rsid w:val="399121BC"/>
    <w:rsid w:val="3A753164"/>
    <w:rsid w:val="3AF50B4B"/>
    <w:rsid w:val="3B854432"/>
    <w:rsid w:val="3C1341C6"/>
    <w:rsid w:val="3C1D7713"/>
    <w:rsid w:val="3C44256E"/>
    <w:rsid w:val="3C4F6F1A"/>
    <w:rsid w:val="3DE03BA2"/>
    <w:rsid w:val="3EE01E9A"/>
    <w:rsid w:val="40600DAE"/>
    <w:rsid w:val="40702075"/>
    <w:rsid w:val="407D1B7C"/>
    <w:rsid w:val="40D6419C"/>
    <w:rsid w:val="40DA5B0B"/>
    <w:rsid w:val="410E65D0"/>
    <w:rsid w:val="41197AF6"/>
    <w:rsid w:val="414B67C3"/>
    <w:rsid w:val="4205655B"/>
    <w:rsid w:val="43EC6769"/>
    <w:rsid w:val="444D0F16"/>
    <w:rsid w:val="45170B21"/>
    <w:rsid w:val="45314B7C"/>
    <w:rsid w:val="458E6BD6"/>
    <w:rsid w:val="46074774"/>
    <w:rsid w:val="47481D38"/>
    <w:rsid w:val="47AC3472"/>
    <w:rsid w:val="47CF7161"/>
    <w:rsid w:val="47E03808"/>
    <w:rsid w:val="48303B74"/>
    <w:rsid w:val="486C69DA"/>
    <w:rsid w:val="487C48F7"/>
    <w:rsid w:val="48D72771"/>
    <w:rsid w:val="499A379E"/>
    <w:rsid w:val="49A64064"/>
    <w:rsid w:val="49EA57FA"/>
    <w:rsid w:val="4A0D058E"/>
    <w:rsid w:val="4B285C9E"/>
    <w:rsid w:val="4BBE3774"/>
    <w:rsid w:val="4C1E179B"/>
    <w:rsid w:val="4C8E2698"/>
    <w:rsid w:val="4CD15F76"/>
    <w:rsid w:val="4CD244A8"/>
    <w:rsid w:val="4CF114C9"/>
    <w:rsid w:val="4D38643A"/>
    <w:rsid w:val="4D9C3FEE"/>
    <w:rsid w:val="4DBC24E7"/>
    <w:rsid w:val="4DDF048D"/>
    <w:rsid w:val="4E564138"/>
    <w:rsid w:val="4F8000AB"/>
    <w:rsid w:val="4F826A34"/>
    <w:rsid w:val="4FD13E25"/>
    <w:rsid w:val="503652CC"/>
    <w:rsid w:val="509B32F3"/>
    <w:rsid w:val="51051E45"/>
    <w:rsid w:val="515F0512"/>
    <w:rsid w:val="519E7677"/>
    <w:rsid w:val="525F5585"/>
    <w:rsid w:val="52732E4A"/>
    <w:rsid w:val="52C620F8"/>
    <w:rsid w:val="532C6003"/>
    <w:rsid w:val="53F02939"/>
    <w:rsid w:val="53FA141E"/>
    <w:rsid w:val="548A5AC1"/>
    <w:rsid w:val="54B020C8"/>
    <w:rsid w:val="54BC55D4"/>
    <w:rsid w:val="54F039E5"/>
    <w:rsid w:val="56310FE7"/>
    <w:rsid w:val="56384123"/>
    <w:rsid w:val="56802FA7"/>
    <w:rsid w:val="56B140A6"/>
    <w:rsid w:val="573F75D0"/>
    <w:rsid w:val="57DA1460"/>
    <w:rsid w:val="584E2691"/>
    <w:rsid w:val="585E72A6"/>
    <w:rsid w:val="586C6306"/>
    <w:rsid w:val="588C0756"/>
    <w:rsid w:val="590F039F"/>
    <w:rsid w:val="59103135"/>
    <w:rsid w:val="5949397D"/>
    <w:rsid w:val="59756D30"/>
    <w:rsid w:val="59A728E8"/>
    <w:rsid w:val="59C503C4"/>
    <w:rsid w:val="59CB77F6"/>
    <w:rsid w:val="59D55136"/>
    <w:rsid w:val="5A020A23"/>
    <w:rsid w:val="5A13112F"/>
    <w:rsid w:val="5A24333C"/>
    <w:rsid w:val="5A2A7328"/>
    <w:rsid w:val="5A7F6F1D"/>
    <w:rsid w:val="5A957839"/>
    <w:rsid w:val="5AA66061"/>
    <w:rsid w:val="5AD102F4"/>
    <w:rsid w:val="5B1E5956"/>
    <w:rsid w:val="5B204327"/>
    <w:rsid w:val="5B291D9C"/>
    <w:rsid w:val="5B57504B"/>
    <w:rsid w:val="5B6C5E29"/>
    <w:rsid w:val="5B79353B"/>
    <w:rsid w:val="5BED4A53"/>
    <w:rsid w:val="5C0E40DB"/>
    <w:rsid w:val="5C2547AE"/>
    <w:rsid w:val="5C5872E8"/>
    <w:rsid w:val="5C725A0E"/>
    <w:rsid w:val="5E4813D2"/>
    <w:rsid w:val="5EF66ECF"/>
    <w:rsid w:val="5F78491E"/>
    <w:rsid w:val="601F6096"/>
    <w:rsid w:val="6077727E"/>
    <w:rsid w:val="60864C74"/>
    <w:rsid w:val="609F4139"/>
    <w:rsid w:val="60B2199E"/>
    <w:rsid w:val="61811074"/>
    <w:rsid w:val="618F19E3"/>
    <w:rsid w:val="622A2D57"/>
    <w:rsid w:val="625405BD"/>
    <w:rsid w:val="6287513D"/>
    <w:rsid w:val="629B6995"/>
    <w:rsid w:val="62F615EE"/>
    <w:rsid w:val="637B2EF8"/>
    <w:rsid w:val="639808F7"/>
    <w:rsid w:val="64CA1511"/>
    <w:rsid w:val="64EE729B"/>
    <w:rsid w:val="657D531C"/>
    <w:rsid w:val="65E46075"/>
    <w:rsid w:val="663E515C"/>
    <w:rsid w:val="66AC2E4B"/>
    <w:rsid w:val="66B36583"/>
    <w:rsid w:val="66E841A8"/>
    <w:rsid w:val="676B2D66"/>
    <w:rsid w:val="67D41F95"/>
    <w:rsid w:val="67E26EC2"/>
    <w:rsid w:val="67F62241"/>
    <w:rsid w:val="689E165F"/>
    <w:rsid w:val="68DD2925"/>
    <w:rsid w:val="68FA16F3"/>
    <w:rsid w:val="69146636"/>
    <w:rsid w:val="6985242A"/>
    <w:rsid w:val="69B94967"/>
    <w:rsid w:val="69F06D97"/>
    <w:rsid w:val="6A0445F0"/>
    <w:rsid w:val="6A46375F"/>
    <w:rsid w:val="6A8A6E36"/>
    <w:rsid w:val="6AFC23DB"/>
    <w:rsid w:val="6BE91CF0"/>
    <w:rsid w:val="6C554F5B"/>
    <w:rsid w:val="6C5D4A5F"/>
    <w:rsid w:val="6C691001"/>
    <w:rsid w:val="6C9003BD"/>
    <w:rsid w:val="6CB57B39"/>
    <w:rsid w:val="6CC6493B"/>
    <w:rsid w:val="6CCE0EE6"/>
    <w:rsid w:val="6CED2E22"/>
    <w:rsid w:val="6DA62B86"/>
    <w:rsid w:val="6DB303A1"/>
    <w:rsid w:val="6F075A97"/>
    <w:rsid w:val="70587444"/>
    <w:rsid w:val="710D6480"/>
    <w:rsid w:val="716950A9"/>
    <w:rsid w:val="716952A0"/>
    <w:rsid w:val="72663448"/>
    <w:rsid w:val="7271188A"/>
    <w:rsid w:val="728E2BEA"/>
    <w:rsid w:val="72B11E4B"/>
    <w:rsid w:val="72C10748"/>
    <w:rsid w:val="72F24D0E"/>
    <w:rsid w:val="73117641"/>
    <w:rsid w:val="735E44B4"/>
    <w:rsid w:val="73663B80"/>
    <w:rsid w:val="741C4C2C"/>
    <w:rsid w:val="74264B50"/>
    <w:rsid w:val="747F756F"/>
    <w:rsid w:val="749136B6"/>
    <w:rsid w:val="74FC3819"/>
    <w:rsid w:val="75095CAE"/>
    <w:rsid w:val="751F6782"/>
    <w:rsid w:val="759A0127"/>
    <w:rsid w:val="76A60DB6"/>
    <w:rsid w:val="76BD3C36"/>
    <w:rsid w:val="77543075"/>
    <w:rsid w:val="7775693D"/>
    <w:rsid w:val="77957B2F"/>
    <w:rsid w:val="77B5517C"/>
    <w:rsid w:val="77F27954"/>
    <w:rsid w:val="782724DB"/>
    <w:rsid w:val="784A3412"/>
    <w:rsid w:val="786727A1"/>
    <w:rsid w:val="78C93D31"/>
    <w:rsid w:val="790C61F3"/>
    <w:rsid w:val="79144124"/>
    <w:rsid w:val="79397309"/>
    <w:rsid w:val="795F1843"/>
    <w:rsid w:val="79BF6786"/>
    <w:rsid w:val="79D815F5"/>
    <w:rsid w:val="79F006ED"/>
    <w:rsid w:val="7A135B1C"/>
    <w:rsid w:val="7A1F0F66"/>
    <w:rsid w:val="7A28432B"/>
    <w:rsid w:val="7A57793D"/>
    <w:rsid w:val="7A636667"/>
    <w:rsid w:val="7A6B246A"/>
    <w:rsid w:val="7B444965"/>
    <w:rsid w:val="7B476A33"/>
    <w:rsid w:val="7BC92391"/>
    <w:rsid w:val="7C3E0167"/>
    <w:rsid w:val="7CBE210E"/>
    <w:rsid w:val="7DCB394B"/>
    <w:rsid w:val="7DFC50DA"/>
    <w:rsid w:val="7E817AC0"/>
    <w:rsid w:val="7E98627B"/>
    <w:rsid w:val="7EC42148"/>
    <w:rsid w:val="7F254D4C"/>
    <w:rsid w:val="7F480FCB"/>
    <w:rsid w:val="7F725360"/>
    <w:rsid w:val="7FC74379"/>
    <w:rsid w:val="7FD479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iPriority="99"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semiHidden/>
    <w:qFormat/>
    <w:uiPriority w:val="0"/>
  </w:style>
  <w:style w:type="paragraph" w:styleId="12">
    <w:name w:val="toc 6"/>
    <w:basedOn w:val="13"/>
    <w:next w:val="1"/>
    <w:semiHidden/>
    <w:qFormat/>
    <w:uiPriority w:val="0"/>
  </w:style>
  <w:style w:type="paragraph" w:styleId="13">
    <w:name w:val="toc 5"/>
    <w:basedOn w:val="14"/>
    <w:next w:val="1"/>
    <w:semiHidden/>
    <w:qFormat/>
    <w:uiPriority w:val="0"/>
  </w:style>
  <w:style w:type="paragraph" w:styleId="14">
    <w:name w:val="toc 4"/>
    <w:basedOn w:val="15"/>
    <w:next w:val="1"/>
    <w:semiHidden/>
    <w:qFormat/>
    <w:uiPriority w:val="0"/>
  </w:style>
  <w:style w:type="paragraph" w:styleId="15">
    <w:name w:val="toc 3"/>
    <w:basedOn w:val="16"/>
    <w:next w:val="1"/>
    <w:semiHidden/>
    <w:qFormat/>
    <w:uiPriority w:val="0"/>
  </w:style>
  <w:style w:type="paragraph" w:styleId="16">
    <w:name w:val="toc 2"/>
    <w:basedOn w:val="17"/>
    <w:next w:val="1"/>
    <w:semiHidden/>
    <w:qFormat/>
    <w:uiPriority w:val="0"/>
  </w:style>
  <w:style w:type="paragraph" w:styleId="17">
    <w:name w:val="toc 1"/>
    <w:next w:val="1"/>
    <w:semiHidden/>
    <w:qFormat/>
    <w:uiPriority w:val="0"/>
    <w:pPr>
      <w:jc w:val="both"/>
    </w:pPr>
    <w:rPr>
      <w:rFonts w:ascii="宋体" w:hAnsi="Times New Roman" w:eastAsia="宋体" w:cs="Times New Roman"/>
      <w:sz w:val="21"/>
      <w:lang w:val="en-US" w:eastAsia="zh-CN" w:bidi="ar-SA"/>
    </w:rPr>
  </w:style>
  <w:style w:type="paragraph" w:styleId="18">
    <w:name w:val="Normal Indent"/>
    <w:basedOn w:val="1"/>
    <w:unhideWhenUsed/>
    <w:qFormat/>
    <w:uiPriority w:val="99"/>
    <w:pPr>
      <w:ind w:firstLine="420" w:firstLineChars="200"/>
    </w:pPr>
  </w:style>
  <w:style w:type="paragraph" w:styleId="19">
    <w:name w:val="Document Map"/>
    <w:basedOn w:val="1"/>
    <w:semiHidden/>
    <w:qFormat/>
    <w:uiPriority w:val="0"/>
    <w:pPr>
      <w:shd w:val="clear" w:color="auto" w:fill="000080"/>
    </w:pPr>
  </w:style>
  <w:style w:type="paragraph" w:styleId="20">
    <w:name w:val="annotation text"/>
    <w:basedOn w:val="1"/>
    <w:qFormat/>
    <w:uiPriority w:val="0"/>
    <w:pPr>
      <w:jc w:val="left"/>
    </w:pPr>
  </w:style>
  <w:style w:type="paragraph" w:styleId="21">
    <w:name w:val="Body Text Indent"/>
    <w:basedOn w:val="1"/>
    <w:unhideWhenUsed/>
    <w:qFormat/>
    <w:uiPriority w:val="99"/>
    <w:pPr>
      <w:spacing w:after="120"/>
      <w:ind w:left="420" w:leftChars="200"/>
    </w:pPr>
  </w:style>
  <w:style w:type="paragraph" w:styleId="22">
    <w:name w:val="HTML Address"/>
    <w:basedOn w:val="1"/>
    <w:qFormat/>
    <w:uiPriority w:val="0"/>
    <w:rPr>
      <w:i/>
      <w:iCs/>
    </w:rPr>
  </w:style>
  <w:style w:type="paragraph" w:styleId="23">
    <w:name w:val="Plain Text"/>
    <w:basedOn w:val="1"/>
    <w:qFormat/>
    <w:uiPriority w:val="0"/>
    <w:rPr>
      <w:rFonts w:ascii="宋体" w:hAnsi="Courier New"/>
      <w:szCs w:val="20"/>
    </w:rPr>
  </w:style>
  <w:style w:type="paragraph" w:styleId="24">
    <w:name w:val="toc 8"/>
    <w:basedOn w:val="11"/>
    <w:next w:val="1"/>
    <w:semiHidden/>
    <w:qFormat/>
    <w:uiPriority w:val="0"/>
  </w:style>
  <w:style w:type="paragraph" w:styleId="25">
    <w:name w:val="Date"/>
    <w:basedOn w:val="1"/>
    <w:next w:val="1"/>
    <w:qFormat/>
    <w:uiPriority w:val="0"/>
    <w:pPr>
      <w:ind w:left="100" w:leftChars="2500"/>
    </w:pPr>
  </w:style>
  <w:style w:type="paragraph" w:styleId="26">
    <w:name w:val="endnote text"/>
    <w:basedOn w:val="1"/>
    <w:unhideWhenUsed/>
    <w:qFormat/>
    <w:uiPriority w:val="99"/>
    <w:pPr>
      <w:snapToGrid w:val="0"/>
    </w:pPr>
    <w:rPr>
      <w:rFonts w:ascii="Calibri" w:hAnsi="Calibri"/>
    </w:rPr>
  </w:style>
  <w:style w:type="paragraph" w:styleId="27">
    <w:name w:val="Balloon Text"/>
    <w:basedOn w:val="1"/>
    <w:semiHidden/>
    <w:qFormat/>
    <w:uiPriority w:val="0"/>
    <w:rPr>
      <w:sz w:val="18"/>
      <w:szCs w:val="18"/>
    </w:rPr>
  </w:style>
  <w:style w:type="paragraph" w:styleId="28">
    <w:name w:val="footer"/>
    <w:basedOn w:val="1"/>
    <w:qFormat/>
    <w:uiPriority w:val="0"/>
    <w:pPr>
      <w:tabs>
        <w:tab w:val="center" w:pos="4153"/>
        <w:tab w:val="right" w:pos="8306"/>
      </w:tabs>
      <w:snapToGrid w:val="0"/>
      <w:ind w:right="210" w:rightChars="100"/>
      <w:jc w:val="righ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footnote text"/>
    <w:basedOn w:val="1"/>
    <w:semiHidden/>
    <w:qFormat/>
    <w:uiPriority w:val="0"/>
    <w:pPr>
      <w:snapToGrid w:val="0"/>
      <w:jc w:val="left"/>
    </w:pPr>
    <w:rPr>
      <w:sz w:val="18"/>
      <w:szCs w:val="18"/>
    </w:rPr>
  </w:style>
  <w:style w:type="paragraph" w:styleId="31">
    <w:name w:val="toc 9"/>
    <w:basedOn w:val="24"/>
    <w:next w:val="1"/>
    <w:semiHidden/>
    <w:qFormat/>
    <w:uiPriority w:val="0"/>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3">
    <w:name w:val="Title"/>
    <w:basedOn w:val="1"/>
    <w:qFormat/>
    <w:uiPriority w:val="0"/>
    <w:pPr>
      <w:spacing w:before="240" w:after="60"/>
      <w:jc w:val="center"/>
      <w:outlineLvl w:val="0"/>
    </w:pPr>
    <w:rPr>
      <w:rFonts w:ascii="Arial" w:hAnsi="Arial" w:cs="Arial"/>
      <w:b/>
      <w:bCs/>
      <w:sz w:val="32"/>
      <w:szCs w:val="32"/>
    </w:r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bCs/>
    </w:rPr>
  </w:style>
  <w:style w:type="character" w:styleId="38">
    <w:name w:val="page number"/>
    <w:qFormat/>
    <w:uiPriority w:val="0"/>
    <w:rPr>
      <w:rFonts w:ascii="Times New Roman" w:hAnsi="Times New Roman" w:eastAsia="宋体"/>
      <w:sz w:val="18"/>
    </w:rPr>
  </w:style>
  <w:style w:type="character" w:styleId="39">
    <w:name w:val="FollowedHyperlink"/>
    <w:basedOn w:val="36"/>
    <w:qFormat/>
    <w:uiPriority w:val="0"/>
    <w:rPr>
      <w:color w:val="338DE6"/>
      <w:u w:val="none"/>
    </w:rPr>
  </w:style>
  <w:style w:type="character" w:styleId="40">
    <w:name w:val="Emphasis"/>
    <w:basedOn w:val="36"/>
    <w:qFormat/>
    <w:uiPriority w:val="0"/>
  </w:style>
  <w:style w:type="character" w:styleId="41">
    <w:name w:val="HTML Definition"/>
    <w:qFormat/>
    <w:uiPriority w:val="0"/>
    <w:rPr>
      <w:i/>
      <w:iCs/>
    </w:rPr>
  </w:style>
  <w:style w:type="character" w:styleId="42">
    <w:name w:val="HTML Typewriter"/>
    <w:qFormat/>
    <w:uiPriority w:val="0"/>
    <w:rPr>
      <w:rFonts w:ascii="Courier New" w:hAnsi="Courier New"/>
      <w:sz w:val="20"/>
      <w:szCs w:val="20"/>
    </w:rPr>
  </w:style>
  <w:style w:type="character" w:styleId="43">
    <w:name w:val="HTML Acronym"/>
    <w:basedOn w:val="36"/>
    <w:qFormat/>
    <w:uiPriority w:val="0"/>
  </w:style>
  <w:style w:type="character" w:styleId="44">
    <w:name w:val="HTML Variable"/>
    <w:qFormat/>
    <w:uiPriority w:val="0"/>
    <w:rPr>
      <w:i/>
      <w:iCs/>
    </w:rPr>
  </w:style>
  <w:style w:type="character" w:styleId="45">
    <w:name w:val="Hyperlink"/>
    <w:qFormat/>
    <w:uiPriority w:val="0"/>
    <w:rPr>
      <w:rFonts w:ascii="Times New Roman" w:hAnsi="Times New Roman" w:eastAsia="宋体"/>
      <w:color w:val="auto"/>
      <w:spacing w:val="0"/>
      <w:w w:val="100"/>
      <w:position w:val="0"/>
      <w:sz w:val="21"/>
      <w:u w:val="none"/>
      <w:vertAlign w:val="baseline"/>
    </w:rPr>
  </w:style>
  <w:style w:type="character" w:styleId="46">
    <w:name w:val="HTML Code"/>
    <w:basedOn w:val="36"/>
    <w:qFormat/>
    <w:uiPriority w:val="0"/>
    <w:rPr>
      <w:rFonts w:hint="default" w:ascii="serif" w:hAnsi="serif" w:eastAsia="serif" w:cs="serif"/>
      <w:sz w:val="21"/>
      <w:szCs w:val="21"/>
    </w:rPr>
  </w:style>
  <w:style w:type="character" w:styleId="47">
    <w:name w:val="annotation reference"/>
    <w:basedOn w:val="36"/>
    <w:qFormat/>
    <w:uiPriority w:val="0"/>
    <w:rPr>
      <w:sz w:val="21"/>
      <w:szCs w:val="21"/>
    </w:rPr>
  </w:style>
  <w:style w:type="character" w:styleId="48">
    <w:name w:val="HTML Cite"/>
    <w:basedOn w:val="36"/>
    <w:qFormat/>
    <w:uiPriority w:val="0"/>
  </w:style>
  <w:style w:type="character" w:styleId="49">
    <w:name w:val="footnote reference"/>
    <w:semiHidden/>
    <w:qFormat/>
    <w:uiPriority w:val="0"/>
    <w:rPr>
      <w:vertAlign w:val="superscript"/>
    </w:rPr>
  </w:style>
  <w:style w:type="character" w:styleId="50">
    <w:name w:val="HTML Keyboard"/>
    <w:qFormat/>
    <w:uiPriority w:val="0"/>
    <w:rPr>
      <w:rFonts w:ascii="Courier New" w:hAnsi="Courier New"/>
      <w:sz w:val="20"/>
      <w:szCs w:val="20"/>
    </w:rPr>
  </w:style>
  <w:style w:type="character" w:styleId="51">
    <w:name w:val="HTML Sample"/>
    <w:qFormat/>
    <w:uiPriority w:val="0"/>
    <w:rPr>
      <w:rFonts w:ascii="Courier New" w:hAnsi="Courier New"/>
    </w:rPr>
  </w:style>
  <w:style w:type="character" w:customStyle="1" w:styleId="52">
    <w:name w:val="HTML 站点"/>
    <w:qFormat/>
    <w:uiPriority w:val="0"/>
    <w:rPr>
      <w:i/>
      <w:iCs/>
    </w:rPr>
  </w:style>
  <w:style w:type="character" w:customStyle="1" w:styleId="53">
    <w:name w:val="个人答复风格"/>
    <w:qFormat/>
    <w:uiPriority w:val="0"/>
    <w:rPr>
      <w:rFonts w:ascii="Arial" w:hAnsi="Arial" w:eastAsia="宋体" w:cs="Arial"/>
      <w:color w:val="auto"/>
      <w:sz w:val="20"/>
    </w:rPr>
  </w:style>
  <w:style w:type="character" w:customStyle="1" w:styleId="54">
    <w:name w:val="段 Char"/>
    <w:link w:val="55"/>
    <w:qFormat/>
    <w:uiPriority w:val="0"/>
    <w:rPr>
      <w:rFonts w:ascii="宋体"/>
      <w:sz w:val="21"/>
      <w:lang w:val="en-US" w:eastAsia="zh-CN" w:bidi="ar-SA"/>
    </w:rPr>
  </w:style>
  <w:style w:type="paragraph" w:customStyle="1" w:styleId="55">
    <w:name w:val="段"/>
    <w:link w:val="5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56">
    <w:name w:val="个人撰写风格"/>
    <w:qFormat/>
    <w:uiPriority w:val="0"/>
    <w:rPr>
      <w:rFonts w:ascii="Arial" w:hAnsi="Arial" w:eastAsia="宋体" w:cs="Arial"/>
      <w:color w:val="auto"/>
      <w:sz w:val="20"/>
    </w:rPr>
  </w:style>
  <w:style w:type="character" w:customStyle="1" w:styleId="57">
    <w:name w:val="high-light-bg4"/>
    <w:qFormat/>
    <w:uiPriority w:val="0"/>
  </w:style>
  <w:style w:type="character" w:customStyle="1" w:styleId="58">
    <w:name w:val="HTML 编码"/>
    <w:qFormat/>
    <w:uiPriority w:val="0"/>
    <w:rPr>
      <w:rFonts w:ascii="Courier New" w:hAnsi="Courier New"/>
      <w:sz w:val="20"/>
      <w:szCs w:val="20"/>
    </w:rPr>
  </w:style>
  <w:style w:type="character" w:customStyle="1" w:styleId="59">
    <w:name w:val="发布"/>
    <w:qFormat/>
    <w:uiPriority w:val="0"/>
    <w:rPr>
      <w:rFonts w:ascii="黑体" w:eastAsia="黑体"/>
      <w:spacing w:val="22"/>
      <w:w w:val="100"/>
      <w:position w:val="3"/>
      <w:sz w:val="28"/>
    </w:rPr>
  </w:style>
  <w:style w:type="paragraph" w:customStyle="1" w:styleId="60">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1">
    <w:name w:val="封面标准号2"/>
    <w:basedOn w:val="60"/>
    <w:qFormat/>
    <w:uiPriority w:val="0"/>
    <w:pPr>
      <w:framePr w:w="9138" w:h="1244" w:hRule="exact" w:wrap="around" w:vAnchor="page" w:hAnchor="margin" w:y="2908"/>
      <w:adjustRightInd w:val="0"/>
      <w:spacing w:before="357" w:line="280" w:lineRule="exact"/>
    </w:pPr>
  </w:style>
  <w:style w:type="paragraph" w:customStyle="1" w:styleId="62">
    <w:name w:val="标准书眉一"/>
    <w:qFormat/>
    <w:uiPriority w:val="0"/>
    <w:pPr>
      <w:jc w:val="both"/>
    </w:pPr>
    <w:rPr>
      <w:rFonts w:ascii="Times New Roman" w:hAnsi="Times New Roman" w:eastAsia="宋体" w:cs="Times New Roman"/>
      <w:lang w:val="en-US" w:eastAsia="zh-CN" w:bidi="ar-SA"/>
    </w:rPr>
  </w:style>
  <w:style w:type="paragraph" w:customStyle="1" w:styleId="63">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64">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65">
    <w:name w:val="附录图标题"/>
    <w:next w:val="55"/>
    <w:qFormat/>
    <w:uiPriority w:val="0"/>
    <w:pPr>
      <w:jc w:val="center"/>
    </w:pPr>
    <w:rPr>
      <w:rFonts w:ascii="黑体" w:hAnsi="Times New Roman" w:eastAsia="黑体" w:cs="Times New Roman"/>
      <w:sz w:val="21"/>
      <w:lang w:val="en-US" w:eastAsia="zh-CN" w:bidi="ar-SA"/>
    </w:rPr>
  </w:style>
  <w:style w:type="paragraph" w:customStyle="1" w:styleId="66">
    <w:name w:val="附录二级条标题"/>
    <w:basedOn w:val="67"/>
    <w:next w:val="55"/>
    <w:qFormat/>
    <w:uiPriority w:val="0"/>
    <w:pPr>
      <w:numPr>
        <w:ilvl w:val="3"/>
      </w:numPr>
      <w:outlineLvl w:val="3"/>
    </w:pPr>
  </w:style>
  <w:style w:type="paragraph" w:customStyle="1" w:styleId="67">
    <w:name w:val="附录一级条标题"/>
    <w:basedOn w:val="68"/>
    <w:next w:val="55"/>
    <w:qFormat/>
    <w:uiPriority w:val="0"/>
    <w:pPr>
      <w:numPr>
        <w:ilvl w:val="2"/>
      </w:numPr>
      <w:autoSpaceDN w:val="0"/>
      <w:spacing w:beforeLines="0" w:afterLines="0"/>
      <w:outlineLvl w:val="2"/>
    </w:pPr>
  </w:style>
  <w:style w:type="paragraph" w:customStyle="1" w:styleId="68">
    <w:name w:val="附录章标题"/>
    <w:next w:val="55"/>
    <w:qFormat/>
    <w:uiPriority w:val="0"/>
    <w:pPr>
      <w:numPr>
        <w:ilvl w:val="1"/>
        <w:numId w:val="1"/>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69">
    <w:name w:val="实施日期"/>
    <w:basedOn w:val="70"/>
    <w:qFormat/>
    <w:uiPriority w:val="0"/>
    <w:pPr>
      <w:framePr w:hSpace="0" w:wrap="around" w:xAlign="right"/>
      <w:jc w:val="right"/>
    </w:pPr>
  </w:style>
  <w:style w:type="paragraph" w:customStyle="1" w:styleId="7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1">
    <w:name w:val="封面正文"/>
    <w:qFormat/>
    <w:uiPriority w:val="0"/>
    <w:pPr>
      <w:jc w:val="both"/>
    </w:pPr>
    <w:rPr>
      <w:rFonts w:ascii="Times New Roman" w:hAnsi="Times New Roman" w:eastAsia="宋体" w:cs="Times New Roman"/>
      <w:lang w:val="en-US" w:eastAsia="zh-CN" w:bidi="ar-SA"/>
    </w:rPr>
  </w:style>
  <w:style w:type="paragraph" w:customStyle="1" w:styleId="7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3">
    <w:name w:val="附录四级条标题"/>
    <w:basedOn w:val="74"/>
    <w:next w:val="55"/>
    <w:qFormat/>
    <w:uiPriority w:val="0"/>
    <w:pPr>
      <w:numPr>
        <w:ilvl w:val="5"/>
      </w:numPr>
      <w:outlineLvl w:val="5"/>
    </w:pPr>
  </w:style>
  <w:style w:type="paragraph" w:customStyle="1" w:styleId="74">
    <w:name w:val="附录三级条标题"/>
    <w:basedOn w:val="66"/>
    <w:next w:val="55"/>
    <w:qFormat/>
    <w:uiPriority w:val="0"/>
    <w:pPr>
      <w:numPr>
        <w:ilvl w:val="4"/>
      </w:numPr>
      <w:outlineLvl w:val="4"/>
    </w:pPr>
  </w:style>
  <w:style w:type="paragraph" w:customStyle="1" w:styleId="75">
    <w:name w:val="注×："/>
    <w:qFormat/>
    <w:uiPriority w:val="0"/>
    <w:pPr>
      <w:widowControl w:val="0"/>
      <w:numPr>
        <w:ilvl w:val="0"/>
        <w:numId w:val="2"/>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76">
    <w:name w:val="条文脚注"/>
    <w:basedOn w:val="30"/>
    <w:qFormat/>
    <w:uiPriority w:val="0"/>
    <w:pPr>
      <w:ind w:left="780" w:leftChars="200" w:hanging="360" w:hangingChars="200"/>
      <w:jc w:val="both"/>
    </w:pPr>
    <w:rPr>
      <w:rFonts w:ascii="宋体"/>
    </w:rPr>
  </w:style>
  <w:style w:type="paragraph" w:customStyle="1" w:styleId="77">
    <w:name w:val="注："/>
    <w:next w:val="55"/>
    <w:qFormat/>
    <w:uiPriority w:val="0"/>
    <w:pPr>
      <w:widowControl w:val="0"/>
      <w:numPr>
        <w:ilvl w:val="0"/>
        <w:numId w:val="3"/>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78">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9">
    <w:name w:val="发布部门"/>
    <w:next w:val="55"/>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80">
    <w:name w:val="参考文献、索引标题"/>
    <w:basedOn w:val="81"/>
    <w:next w:val="1"/>
    <w:qFormat/>
    <w:uiPriority w:val="0"/>
    <w:pPr>
      <w:numPr>
        <w:numId w:val="0"/>
      </w:numPr>
      <w:spacing w:after="200"/>
    </w:pPr>
    <w:rPr>
      <w:sz w:val="21"/>
    </w:rPr>
  </w:style>
  <w:style w:type="paragraph" w:customStyle="1" w:styleId="81">
    <w:name w:val="前言、引言标题"/>
    <w:next w:val="1"/>
    <w:qFormat/>
    <w:uiPriority w:val="0"/>
    <w:pPr>
      <w:numPr>
        <w:ilvl w:val="0"/>
        <w:numId w:val="4"/>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2">
    <w:name w:val="章标题"/>
    <w:next w:val="55"/>
    <w:link w:val="128"/>
    <w:qFormat/>
    <w:uiPriority w:val="0"/>
    <w:pPr>
      <w:numPr>
        <w:ilvl w:val="1"/>
        <w:numId w:val="4"/>
      </w:numPr>
      <w:spacing w:beforeLines="50" w:afterLines="50"/>
      <w:jc w:val="both"/>
      <w:outlineLvl w:val="1"/>
    </w:pPr>
    <w:rPr>
      <w:rFonts w:ascii="黑体" w:hAnsi="Times New Roman" w:eastAsia="黑体" w:cs="Times New Roman"/>
      <w:sz w:val="21"/>
      <w:lang w:val="en-US" w:eastAsia="zh-CN" w:bidi="ar-SA"/>
    </w:rPr>
  </w:style>
  <w:style w:type="paragraph" w:customStyle="1" w:styleId="8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8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85">
    <w:name w:val="五级条标题"/>
    <w:basedOn w:val="86"/>
    <w:next w:val="55"/>
    <w:qFormat/>
    <w:uiPriority w:val="0"/>
    <w:pPr>
      <w:numPr>
        <w:ilvl w:val="6"/>
      </w:numPr>
      <w:outlineLvl w:val="6"/>
    </w:pPr>
  </w:style>
  <w:style w:type="paragraph" w:customStyle="1" w:styleId="86">
    <w:name w:val="四级条标题"/>
    <w:basedOn w:val="87"/>
    <w:next w:val="55"/>
    <w:qFormat/>
    <w:uiPriority w:val="0"/>
    <w:pPr>
      <w:numPr>
        <w:ilvl w:val="5"/>
      </w:numPr>
      <w:outlineLvl w:val="5"/>
    </w:pPr>
  </w:style>
  <w:style w:type="paragraph" w:customStyle="1" w:styleId="87">
    <w:name w:val="三级条标题"/>
    <w:basedOn w:val="88"/>
    <w:next w:val="55"/>
    <w:qFormat/>
    <w:uiPriority w:val="0"/>
    <w:pPr>
      <w:numPr>
        <w:ilvl w:val="4"/>
      </w:numPr>
      <w:outlineLvl w:val="4"/>
    </w:pPr>
  </w:style>
  <w:style w:type="paragraph" w:customStyle="1" w:styleId="88">
    <w:name w:val="二级条标题"/>
    <w:basedOn w:val="89"/>
    <w:next w:val="55"/>
    <w:qFormat/>
    <w:uiPriority w:val="0"/>
    <w:pPr>
      <w:numPr>
        <w:ilvl w:val="3"/>
      </w:numPr>
      <w:outlineLvl w:val="3"/>
    </w:pPr>
  </w:style>
  <w:style w:type="paragraph" w:customStyle="1" w:styleId="89">
    <w:name w:val="一级条标题"/>
    <w:basedOn w:val="82"/>
    <w:next w:val="55"/>
    <w:qFormat/>
    <w:uiPriority w:val="0"/>
    <w:pPr>
      <w:numPr>
        <w:ilvl w:val="2"/>
        <w:numId w:val="0"/>
      </w:numPr>
      <w:spacing w:beforeLines="0" w:afterLines="0"/>
      <w:outlineLvl w:val="2"/>
    </w:pPr>
  </w:style>
  <w:style w:type="paragraph" w:customStyle="1" w:styleId="90">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91">
    <w:name w:val="无标题条"/>
    <w:next w:val="55"/>
    <w:qFormat/>
    <w:uiPriority w:val="0"/>
    <w:pPr>
      <w:jc w:val="both"/>
    </w:pPr>
    <w:rPr>
      <w:rFonts w:ascii="Times New Roman" w:hAnsi="Times New Roman" w:eastAsia="宋体" w:cs="Times New Roman"/>
      <w:sz w:val="21"/>
      <w:lang w:val="en-US" w:eastAsia="zh-CN" w:bidi="ar-SA"/>
    </w:rPr>
  </w:style>
  <w:style w:type="paragraph" w:customStyle="1" w:styleId="9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93">
    <w:name w:val="二级无标题条"/>
    <w:basedOn w:val="1"/>
    <w:qFormat/>
    <w:uiPriority w:val="0"/>
    <w:pPr>
      <w:numPr>
        <w:ilvl w:val="3"/>
        <w:numId w:val="5"/>
      </w:numPr>
    </w:pPr>
  </w:style>
  <w:style w:type="paragraph" w:customStyle="1" w:styleId="9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95">
    <w:name w:val="正文表标题"/>
    <w:next w:val="55"/>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6">
    <w:name w:val="一级无标题条"/>
    <w:basedOn w:val="1"/>
    <w:qFormat/>
    <w:uiPriority w:val="0"/>
    <w:pPr>
      <w:numPr>
        <w:ilvl w:val="2"/>
        <w:numId w:val="5"/>
      </w:numPr>
    </w:pPr>
  </w:style>
  <w:style w:type="paragraph" w:customStyle="1" w:styleId="97">
    <w:name w:val="列项——"/>
    <w:qFormat/>
    <w:uiPriority w:val="0"/>
    <w:pPr>
      <w:widowControl w:val="0"/>
      <w:numPr>
        <w:ilvl w:val="0"/>
        <w:numId w:val="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98">
    <w:name w:val="示例"/>
    <w:next w:val="55"/>
    <w:qFormat/>
    <w:uiPriority w:val="0"/>
    <w:pPr>
      <w:numPr>
        <w:ilvl w:val="0"/>
        <w:numId w:val="8"/>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99">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0">
    <w:name w:val="附录表标题"/>
    <w:next w:val="55"/>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01">
    <w:name w:val="四级无标题条"/>
    <w:basedOn w:val="1"/>
    <w:qFormat/>
    <w:uiPriority w:val="0"/>
    <w:pPr>
      <w:numPr>
        <w:ilvl w:val="5"/>
        <w:numId w:val="5"/>
      </w:numPr>
    </w:pPr>
  </w:style>
  <w:style w:type="paragraph" w:customStyle="1" w:styleId="102">
    <w:name w:val="封面标准代替信息"/>
    <w:basedOn w:val="61"/>
    <w:qFormat/>
    <w:uiPriority w:val="0"/>
    <w:pPr>
      <w:framePr w:wrap="around"/>
      <w:spacing w:before="57"/>
    </w:pPr>
    <w:rPr>
      <w:rFonts w:ascii="宋体"/>
      <w:sz w:val="21"/>
    </w:rPr>
  </w:style>
  <w:style w:type="paragraph" w:customStyle="1" w:styleId="103">
    <w:name w:val="封面标准英文名称"/>
    <w:qFormat/>
    <w:uiPriority w:val="99"/>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4">
    <w:name w:val="列项·"/>
    <w:qFormat/>
    <w:uiPriority w:val="0"/>
    <w:pPr>
      <w:numPr>
        <w:ilvl w:val="0"/>
        <w:numId w:val="9"/>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05">
    <w:name w:val="附录五级条标题"/>
    <w:basedOn w:val="73"/>
    <w:next w:val="55"/>
    <w:qFormat/>
    <w:uiPriority w:val="0"/>
    <w:pPr>
      <w:numPr>
        <w:ilvl w:val="6"/>
      </w:numPr>
      <w:outlineLvl w:val="6"/>
    </w:pPr>
  </w:style>
  <w:style w:type="paragraph" w:customStyle="1" w:styleId="10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07">
    <w:name w:val="HTML 预先格式化"/>
    <w:basedOn w:val="1"/>
    <w:qFormat/>
    <w:uiPriority w:val="0"/>
    <w:rPr>
      <w:rFonts w:ascii="Courier New" w:hAnsi="Courier New" w:cs="楷体_GB2312"/>
      <w:sz w:val="20"/>
      <w:szCs w:val="20"/>
    </w:rPr>
  </w:style>
  <w:style w:type="paragraph" w:customStyle="1" w:styleId="108">
    <w:name w:val="标准书眉_偶数页"/>
    <w:basedOn w:val="109"/>
    <w:next w:val="1"/>
    <w:qFormat/>
    <w:uiPriority w:val="0"/>
    <w:pPr>
      <w:tabs>
        <w:tab w:val="center" w:pos="4154"/>
        <w:tab w:val="right" w:pos="8306"/>
      </w:tabs>
      <w:jc w:val="left"/>
    </w:pPr>
  </w:style>
  <w:style w:type="paragraph" w:customStyle="1" w:styleId="10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10">
    <w:name w:val="正文图标题"/>
    <w:next w:val="55"/>
    <w:qFormat/>
    <w:uiPriority w:val="0"/>
    <w:pPr>
      <w:numPr>
        <w:ilvl w:val="0"/>
        <w:numId w:val="10"/>
      </w:numPr>
      <w:jc w:val="center"/>
    </w:pPr>
    <w:rPr>
      <w:rFonts w:ascii="黑体" w:hAnsi="Times New Roman" w:eastAsia="黑体" w:cs="Times New Roman"/>
      <w:sz w:val="21"/>
      <w:lang w:val="en-US" w:eastAsia="zh-CN" w:bidi="ar-SA"/>
    </w:rPr>
  </w:style>
  <w:style w:type="paragraph" w:customStyle="1" w:styleId="11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2">
    <w:name w:val="五级无标题条"/>
    <w:basedOn w:val="1"/>
    <w:qFormat/>
    <w:uiPriority w:val="0"/>
    <w:pPr>
      <w:numPr>
        <w:ilvl w:val="6"/>
        <w:numId w:val="5"/>
      </w:numPr>
    </w:pPr>
  </w:style>
  <w:style w:type="paragraph" w:customStyle="1" w:styleId="113">
    <w:name w:val="其他发布部门"/>
    <w:basedOn w:val="79"/>
    <w:qFormat/>
    <w:uiPriority w:val="0"/>
    <w:pPr>
      <w:framePr w:wrap="around"/>
      <w:spacing w:line="0" w:lineRule="atLeast"/>
    </w:pPr>
    <w:rPr>
      <w:rFonts w:ascii="黑体" w:eastAsia="黑体"/>
      <w:b w:val="0"/>
    </w:rPr>
  </w:style>
  <w:style w:type="paragraph" w:customStyle="1" w:styleId="114">
    <w:name w:val="三级无标题条"/>
    <w:basedOn w:val="1"/>
    <w:qFormat/>
    <w:uiPriority w:val="0"/>
    <w:pPr>
      <w:numPr>
        <w:ilvl w:val="4"/>
        <w:numId w:val="5"/>
      </w:numPr>
    </w:pPr>
  </w:style>
  <w:style w:type="paragraph" w:customStyle="1" w:styleId="115">
    <w:name w:val="标准"/>
    <w:basedOn w:val="1"/>
    <w:qFormat/>
    <w:uiPriority w:val="0"/>
    <w:pPr>
      <w:adjustRightInd w:val="0"/>
      <w:spacing w:line="312" w:lineRule="atLeast"/>
      <w:jc w:val="center"/>
      <w:textAlignment w:val="baseline"/>
    </w:pPr>
    <w:rPr>
      <w:kern w:val="0"/>
      <w:szCs w:val="20"/>
    </w:rPr>
  </w:style>
  <w:style w:type="paragraph" w:customStyle="1" w:styleId="116">
    <w:name w:val="目次、标准名称标题"/>
    <w:basedOn w:val="81"/>
    <w:next w:val="55"/>
    <w:qFormat/>
    <w:uiPriority w:val="0"/>
    <w:pPr>
      <w:numPr>
        <w:numId w:val="0"/>
      </w:numPr>
      <w:spacing w:line="460" w:lineRule="exact"/>
    </w:pPr>
  </w:style>
  <w:style w:type="paragraph" w:customStyle="1" w:styleId="117">
    <w:name w:val="图表脚注"/>
    <w:next w:val="55"/>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18">
    <w:name w:val="附录标识"/>
    <w:basedOn w:val="81"/>
    <w:qFormat/>
    <w:uiPriority w:val="0"/>
    <w:pPr>
      <w:numPr>
        <w:ilvl w:val="0"/>
        <w:numId w:val="1"/>
      </w:numPr>
      <w:tabs>
        <w:tab w:val="left" w:pos="6405"/>
      </w:tabs>
      <w:spacing w:after="200"/>
    </w:pPr>
    <w:rPr>
      <w:sz w:val="21"/>
    </w:rPr>
  </w:style>
  <w:style w:type="paragraph" w:customStyle="1" w:styleId="119">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0">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table" w:customStyle="1" w:styleId="121">
    <w:name w:val="网格型1"/>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2">
    <w:name w:val="List Paragraph"/>
    <w:basedOn w:val="1"/>
    <w:qFormat/>
    <w:uiPriority w:val="34"/>
    <w:pPr>
      <w:ind w:firstLine="420" w:firstLineChars="200"/>
    </w:pPr>
  </w:style>
  <w:style w:type="character" w:styleId="123">
    <w:name w:val="Placeholder Text"/>
    <w:basedOn w:val="36"/>
    <w:unhideWhenUsed/>
    <w:qFormat/>
    <w:uiPriority w:val="99"/>
    <w:rPr>
      <w:color w:val="808080"/>
    </w:rPr>
  </w:style>
  <w:style w:type="character" w:customStyle="1" w:styleId="124">
    <w:name w:val="fontborder"/>
    <w:basedOn w:val="36"/>
    <w:qFormat/>
    <w:uiPriority w:val="0"/>
    <w:rPr>
      <w:bdr w:val="single" w:color="000000" w:sz="6" w:space="0"/>
    </w:rPr>
  </w:style>
  <w:style w:type="character" w:customStyle="1" w:styleId="125">
    <w:name w:val="fontstrikethrough"/>
    <w:basedOn w:val="36"/>
    <w:qFormat/>
    <w:uiPriority w:val="0"/>
    <w:rPr>
      <w:strike/>
    </w:rPr>
  </w:style>
  <w:style w:type="character" w:customStyle="1" w:styleId="126">
    <w:name w:val="font01"/>
    <w:qFormat/>
    <w:uiPriority w:val="0"/>
    <w:rPr>
      <w:rFonts w:hint="default" w:ascii="Times New Roman" w:hAnsi="Times New Roman" w:cs="Times New Roman"/>
      <w:color w:val="000000"/>
      <w:sz w:val="24"/>
      <w:szCs w:val="24"/>
      <w:u w:val="none"/>
    </w:rPr>
  </w:style>
  <w:style w:type="character" w:customStyle="1" w:styleId="127">
    <w:name w:val="font11"/>
    <w:basedOn w:val="36"/>
    <w:qFormat/>
    <w:uiPriority w:val="0"/>
    <w:rPr>
      <w:rFonts w:hint="eastAsia" w:ascii="宋体" w:hAnsi="宋体" w:eastAsia="宋体" w:cs="宋体"/>
      <w:color w:val="000000"/>
      <w:sz w:val="24"/>
      <w:szCs w:val="24"/>
      <w:u w:val="none"/>
    </w:rPr>
  </w:style>
  <w:style w:type="character" w:customStyle="1" w:styleId="128">
    <w:name w:val="章标题 Char"/>
    <w:link w:val="82"/>
    <w:qFormat/>
    <w:uiPriority w:val="0"/>
    <w:rPr>
      <w:rFonts w:ascii="黑体" w:eastAsia="黑体"/>
      <w:sz w:val="21"/>
    </w:rPr>
  </w:style>
  <w:style w:type="character" w:customStyle="1" w:styleId="129">
    <w:name w:val="标题 2 字符"/>
    <w:link w:val="3"/>
    <w:qFormat/>
    <w:uiPriority w:val="0"/>
    <w:rPr>
      <w:rFonts w:ascii="Arial" w:hAnsi="Arial" w:eastAsia="黑体"/>
      <w:b/>
      <w:bCs/>
      <w:sz w:val="32"/>
      <w:szCs w:val="32"/>
    </w:rPr>
  </w:style>
  <w:style w:type="character" w:customStyle="1" w:styleId="130">
    <w:name w:val="标题 1 字符"/>
    <w:link w:val="2"/>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wmf"/><Relationship Id="rId17" Type="http://schemas.openxmlformats.org/officeDocument/2006/relationships/oleObject" Target="embeddings/oleObject2.bin"/><Relationship Id="rId16" Type="http://schemas.openxmlformats.org/officeDocument/2006/relationships/image" Target="media/image2.wmf"/><Relationship Id="rId15" Type="http://schemas.openxmlformats.org/officeDocument/2006/relationships/oleObject" Target="embeddings/oleObject1.bin"/><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0F31C6-04A7-4BA6-B89D-0CF04D764175}">
  <ds:schemaRefs/>
</ds:datastoreItem>
</file>

<file path=docProps/app.xml><?xml version="1.0" encoding="utf-8"?>
<Properties xmlns="http://schemas.openxmlformats.org/officeDocument/2006/extended-properties" xmlns:vt="http://schemas.openxmlformats.org/officeDocument/2006/docPropsVTypes">
  <Template>Normal.dotm</Template>
  <Company>中国标准研究中心</Company>
  <Pages>6</Pages>
  <Words>1586</Words>
  <Characters>1952</Characters>
  <Lines>122</Lines>
  <Paragraphs>121</Paragraphs>
  <TotalTime>2</TotalTime>
  <ScaleCrop>false</ScaleCrop>
  <LinksUpToDate>false</LinksUpToDate>
  <CharactersWithSpaces>3417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2021-09-28T08:14:00Z</dcterms:created>
  <dc:creator>南方稀土高技术股份有限公司</dc:creator>
  <cp:lastModifiedBy>王玉娇</cp:lastModifiedBy>
  <cp:lastPrinted>2022-02-15T07:36:00Z</cp:lastPrinted>
  <dcterms:modified xsi:type="dcterms:W3CDTF">2026-09-07T08:42:21Z</dcterms:modified>
  <dc:title>前    言</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2F25D84642EC4336973D5D29088D5D06</vt:lpwstr>
  </property>
  <property fmtid="{D5CDD505-2E9C-101B-9397-08002B2CF9AE}" pid="4" name="KSOTemplateDocerSaveRecord">
    <vt:lpwstr>eyJoZGlkIjoiOGRmMmRiNGFjZDI4YWUzZDgwMjA5ZWI2NDRiNmMzZTgiLCJ1c2VySWQiOiI0MjA2Njc1MzAifQ==</vt:lpwstr>
  </property>
</Properties>
</file>