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83D3EA">
      <w:pPr>
        <w:jc w:val="center"/>
        <w:rPr>
          <w:sz w:val="44"/>
          <w:szCs w:val="44"/>
        </w:rPr>
      </w:pPr>
      <w:bookmarkStart w:id="0" w:name="OLE_LINK10"/>
      <w:r>
        <w:rPr>
          <w:sz w:val="44"/>
          <w:szCs w:val="44"/>
        </w:rPr>
        <w:t>磷酸锰铁锂化学分析方法</w:t>
      </w:r>
    </w:p>
    <w:p w14:paraId="27FEC848">
      <w:pPr>
        <w:jc w:val="center"/>
        <w:rPr>
          <w:sz w:val="44"/>
          <w:szCs w:val="44"/>
        </w:rPr>
      </w:pPr>
      <w:bookmarkStart w:id="1" w:name="OLE_LINK13"/>
      <w:r>
        <w:rPr>
          <w:sz w:val="44"/>
          <w:szCs w:val="44"/>
        </w:rPr>
        <w:t>第3部分：碳和硫含量的测定</w:t>
      </w:r>
      <w:bookmarkEnd w:id="1"/>
      <w:r>
        <w:rPr>
          <w:sz w:val="44"/>
          <w:szCs w:val="44"/>
        </w:rPr>
        <w:t xml:space="preserve">  </w:t>
      </w:r>
    </w:p>
    <w:p w14:paraId="4B229E68">
      <w:pPr>
        <w:jc w:val="center"/>
        <w:rPr>
          <w:sz w:val="44"/>
          <w:szCs w:val="44"/>
        </w:rPr>
      </w:pPr>
      <w:r>
        <w:rPr>
          <w:sz w:val="44"/>
          <w:szCs w:val="44"/>
        </w:rPr>
        <w:t>高频感应炉燃烧红外吸收法</w:t>
      </w:r>
      <w:bookmarkEnd w:id="0"/>
    </w:p>
    <w:p w14:paraId="37D50AC9">
      <w:pPr>
        <w:jc w:val="center"/>
        <w:rPr>
          <w:sz w:val="44"/>
          <w:szCs w:val="44"/>
        </w:rPr>
      </w:pPr>
    </w:p>
    <w:p w14:paraId="5F9840EB">
      <w:pPr>
        <w:jc w:val="center"/>
        <w:rPr>
          <w:sz w:val="44"/>
          <w:szCs w:val="44"/>
        </w:rPr>
      </w:pPr>
    </w:p>
    <w:p w14:paraId="62528142">
      <w:pPr>
        <w:jc w:val="center"/>
        <w:rPr>
          <w:sz w:val="44"/>
          <w:szCs w:val="44"/>
        </w:rPr>
      </w:pPr>
      <w:r>
        <w:rPr>
          <w:rFonts w:hint="eastAsia"/>
          <w:sz w:val="44"/>
          <w:szCs w:val="44"/>
        </w:rPr>
        <w:t>试</w:t>
      </w:r>
    </w:p>
    <w:p w14:paraId="7E64B20D">
      <w:pPr>
        <w:jc w:val="center"/>
        <w:rPr>
          <w:sz w:val="44"/>
          <w:szCs w:val="44"/>
        </w:rPr>
      </w:pPr>
    </w:p>
    <w:p w14:paraId="75B5F9E0">
      <w:pPr>
        <w:jc w:val="center"/>
        <w:rPr>
          <w:sz w:val="44"/>
          <w:szCs w:val="44"/>
        </w:rPr>
      </w:pPr>
      <w:r>
        <w:rPr>
          <w:sz w:val="44"/>
          <w:szCs w:val="44"/>
        </w:rPr>
        <w:t>验</w:t>
      </w:r>
    </w:p>
    <w:p w14:paraId="5889B7A0">
      <w:pPr>
        <w:jc w:val="center"/>
        <w:rPr>
          <w:sz w:val="44"/>
          <w:szCs w:val="44"/>
        </w:rPr>
      </w:pPr>
    </w:p>
    <w:p w14:paraId="18791360">
      <w:pPr>
        <w:jc w:val="center"/>
        <w:rPr>
          <w:sz w:val="44"/>
          <w:szCs w:val="44"/>
        </w:rPr>
      </w:pPr>
      <w:r>
        <w:rPr>
          <w:sz w:val="44"/>
          <w:szCs w:val="44"/>
        </w:rPr>
        <w:t>报</w:t>
      </w:r>
    </w:p>
    <w:p w14:paraId="046D71D9">
      <w:pPr>
        <w:jc w:val="center"/>
        <w:rPr>
          <w:sz w:val="44"/>
          <w:szCs w:val="44"/>
        </w:rPr>
      </w:pPr>
    </w:p>
    <w:p w14:paraId="39C374DE">
      <w:pPr>
        <w:jc w:val="center"/>
        <w:rPr>
          <w:sz w:val="44"/>
          <w:szCs w:val="44"/>
        </w:rPr>
      </w:pPr>
      <w:r>
        <w:rPr>
          <w:sz w:val="44"/>
          <w:szCs w:val="44"/>
        </w:rPr>
        <w:t>告</w:t>
      </w:r>
    </w:p>
    <w:p w14:paraId="455B5FD7">
      <w:pPr>
        <w:jc w:val="center"/>
      </w:pPr>
    </w:p>
    <w:p w14:paraId="61E69319">
      <w:pPr>
        <w:jc w:val="center"/>
      </w:pPr>
    </w:p>
    <w:p w14:paraId="098170EA">
      <w:pPr>
        <w:jc w:val="center"/>
      </w:pPr>
    </w:p>
    <w:p w14:paraId="0854F50D">
      <w:pPr>
        <w:spacing w:line="360" w:lineRule="auto"/>
        <w:rPr>
          <w:kern w:val="0"/>
          <w:sz w:val="30"/>
          <w:szCs w:val="30"/>
        </w:rPr>
      </w:pPr>
    </w:p>
    <w:p w14:paraId="56E16080">
      <w:pPr>
        <w:spacing w:line="360" w:lineRule="auto"/>
        <w:rPr>
          <w:kern w:val="0"/>
          <w:sz w:val="30"/>
          <w:szCs w:val="30"/>
        </w:rPr>
      </w:pPr>
    </w:p>
    <w:p w14:paraId="647D8982">
      <w:pPr>
        <w:spacing w:line="360" w:lineRule="auto"/>
        <w:rPr>
          <w:kern w:val="0"/>
          <w:sz w:val="30"/>
          <w:szCs w:val="30"/>
        </w:rPr>
      </w:pPr>
    </w:p>
    <w:p w14:paraId="12009516">
      <w:pPr>
        <w:spacing w:line="360" w:lineRule="auto"/>
        <w:rPr>
          <w:kern w:val="0"/>
          <w:sz w:val="30"/>
          <w:szCs w:val="30"/>
        </w:rPr>
      </w:pPr>
    </w:p>
    <w:p w14:paraId="3AB66A4F">
      <w:pPr>
        <w:spacing w:line="360" w:lineRule="auto"/>
        <w:rPr>
          <w:kern w:val="0"/>
          <w:sz w:val="30"/>
          <w:szCs w:val="30"/>
        </w:rPr>
      </w:pPr>
    </w:p>
    <w:p w14:paraId="36F428EB">
      <w:pPr>
        <w:jc w:val="center"/>
        <w:rPr>
          <w:kern w:val="0"/>
          <w:sz w:val="28"/>
          <w:szCs w:val="28"/>
        </w:rPr>
      </w:pPr>
      <w:r>
        <w:rPr>
          <w:kern w:val="0"/>
          <w:sz w:val="28"/>
          <w:szCs w:val="28"/>
        </w:rPr>
        <w:t>北矿检测技术股份有限公司</w:t>
      </w:r>
    </w:p>
    <w:p w14:paraId="0258C895">
      <w:pPr>
        <w:jc w:val="center"/>
        <w:rPr>
          <w:sz w:val="28"/>
          <w:szCs w:val="28"/>
        </w:rPr>
      </w:pPr>
      <w:r>
        <w:rPr>
          <w:kern w:val="0"/>
          <w:sz w:val="28"/>
          <w:szCs w:val="28"/>
        </w:rPr>
        <w:t>二零二六年</w:t>
      </w:r>
      <w:r>
        <w:rPr>
          <w:rFonts w:hint="eastAsia"/>
          <w:kern w:val="0"/>
          <w:sz w:val="28"/>
          <w:szCs w:val="28"/>
          <w:lang w:val="en-US" w:eastAsia="zh-CN"/>
        </w:rPr>
        <w:t>六</w:t>
      </w:r>
      <w:r>
        <w:rPr>
          <w:kern w:val="0"/>
          <w:sz w:val="28"/>
          <w:szCs w:val="28"/>
        </w:rPr>
        <w:t>月</w:t>
      </w:r>
    </w:p>
    <w:p w14:paraId="6C506269">
      <w:pPr>
        <w:jc w:val="center"/>
        <w:rPr>
          <w:rFonts w:eastAsia="黑体"/>
          <w:bCs/>
          <w:sz w:val="28"/>
          <w:szCs w:val="28"/>
        </w:rPr>
      </w:pPr>
    </w:p>
    <w:p w14:paraId="147E997C">
      <w:pPr>
        <w:spacing w:before="312" w:beforeLines="100" w:after="312" w:afterLines="100"/>
        <w:rPr>
          <w:rFonts w:eastAsia="黑体"/>
          <w:szCs w:val="20"/>
        </w:rPr>
      </w:pPr>
      <w:r>
        <w:rPr>
          <w:rFonts w:eastAsia="黑体"/>
          <w:szCs w:val="20"/>
        </w:rPr>
        <w:t>1 方法原理</w:t>
      </w:r>
    </w:p>
    <w:p w14:paraId="23C5C500">
      <w:pPr>
        <w:ind w:firstLine="420"/>
      </w:pPr>
      <w:r>
        <w:t>在助熔剂存在下，于高频感应炉内通入氧气流，使试料在高温下燃烧，碳、硫分别生成二氧化碳、二氧化硫气体，由氧气载至红外吸收池，仪器自动测量其对红外能的吸收，碳、硫含量的分析结果由显示器以百分含量直接显示。</w:t>
      </w:r>
    </w:p>
    <w:p w14:paraId="2758119E">
      <w:pPr>
        <w:spacing w:before="312" w:beforeLines="100" w:after="312" w:afterLines="100"/>
        <w:rPr>
          <w:rFonts w:eastAsia="黑体"/>
          <w:szCs w:val="20"/>
        </w:rPr>
      </w:pPr>
      <w:r>
        <w:rPr>
          <w:rFonts w:eastAsia="黑体"/>
          <w:szCs w:val="20"/>
        </w:rPr>
        <w:t>2 范围</w:t>
      </w:r>
    </w:p>
    <w:p w14:paraId="7F3A8FE1">
      <w:pPr>
        <w:ind w:firstLine="420"/>
      </w:pPr>
      <w:r>
        <w:t>本文件描述了</w:t>
      </w:r>
      <w:r>
        <w:rPr>
          <w:rFonts w:hint="eastAsia" w:ascii="宋体" w:hAnsi="宋体"/>
        </w:rPr>
        <w:t>高频感应炉燃烧红外吸收法测定磷酸锰铁锂中碳和硫含量的测定方法。</w:t>
      </w:r>
      <w:r>
        <w:t>测定范围：碳</w:t>
      </w:r>
      <w:bookmarkStart w:id="2" w:name="OLE_LINK20"/>
      <w:r>
        <w:t>0.10%～6.00%</w:t>
      </w:r>
      <w:bookmarkEnd w:id="2"/>
      <w:r>
        <w:t>，硫0.001</w:t>
      </w:r>
      <w:r>
        <w:rPr>
          <w:rFonts w:hint="eastAsia"/>
        </w:rPr>
        <w:t>0</w:t>
      </w:r>
      <w:r>
        <w:t>%～0.</w:t>
      </w:r>
      <w:r>
        <w:rPr>
          <w:rFonts w:hint="eastAsia"/>
        </w:rPr>
        <w:t>25</w:t>
      </w:r>
      <w:r>
        <w:t>%。</w:t>
      </w:r>
    </w:p>
    <w:p w14:paraId="6D486811">
      <w:pPr>
        <w:spacing w:before="312" w:beforeLines="100" w:after="312" w:afterLines="100"/>
        <w:rPr>
          <w:rFonts w:eastAsia="黑体"/>
          <w:szCs w:val="20"/>
        </w:rPr>
      </w:pPr>
      <w:r>
        <w:rPr>
          <w:rFonts w:eastAsia="黑体"/>
          <w:szCs w:val="20"/>
        </w:rPr>
        <w:t>3 试剂和材料</w:t>
      </w:r>
    </w:p>
    <w:p w14:paraId="2C614031">
      <w:r>
        <w:rPr>
          <w:rFonts w:eastAsia="黑体"/>
        </w:rPr>
        <w:t>3.1</w:t>
      </w:r>
      <w:r>
        <w:t xml:space="preserve"> 铁助熔剂，C＜0.0005%，S＜0.0005%。</w:t>
      </w:r>
    </w:p>
    <w:p w14:paraId="386B1382">
      <w:r>
        <w:rPr>
          <w:rFonts w:eastAsia="黑体"/>
        </w:rPr>
        <w:t>3.2</w:t>
      </w:r>
      <w:r>
        <w:t xml:space="preserve"> 钨助熔剂，C＜0.00</w:t>
      </w:r>
      <w:r>
        <w:rPr>
          <w:rFonts w:hint="eastAsia"/>
        </w:rPr>
        <w:t>08</w:t>
      </w:r>
      <w:r>
        <w:t xml:space="preserve">%，S＜0.0005%。 </w:t>
      </w:r>
    </w:p>
    <w:p w14:paraId="62CFB262">
      <w:r>
        <w:rPr>
          <w:rFonts w:eastAsia="黑体"/>
        </w:rPr>
        <w:t>3.3</w:t>
      </w:r>
      <w:r>
        <w:t xml:space="preserve"> 无水过氯酸镁。</w:t>
      </w:r>
    </w:p>
    <w:p w14:paraId="733E07C0">
      <w:r>
        <w:rPr>
          <w:rFonts w:eastAsia="黑体"/>
        </w:rPr>
        <w:t>3.4</w:t>
      </w:r>
      <w:r>
        <w:t xml:space="preserve"> 烧碱石棉。</w:t>
      </w:r>
    </w:p>
    <w:p w14:paraId="2507D771">
      <w:r>
        <w:rPr>
          <w:rFonts w:eastAsia="黑体"/>
        </w:rPr>
        <w:t>3.5</w:t>
      </w:r>
      <w:r>
        <w:t xml:space="preserve"> 玻璃棉。</w:t>
      </w:r>
    </w:p>
    <w:p w14:paraId="7A29A4CB">
      <w:r>
        <w:rPr>
          <w:rFonts w:eastAsia="黑体"/>
        </w:rPr>
        <w:t>3.6</w:t>
      </w:r>
      <w:r>
        <w:t xml:space="preserve"> 脱脂棉。</w:t>
      </w:r>
    </w:p>
    <w:p w14:paraId="22939F39">
      <w:r>
        <w:rPr>
          <w:rFonts w:eastAsia="黑体"/>
        </w:rPr>
        <w:t xml:space="preserve">3.7 </w:t>
      </w:r>
      <w:r>
        <w:t>镀铂硅胶。</w:t>
      </w:r>
    </w:p>
    <w:p w14:paraId="45626FC6">
      <w:r>
        <w:rPr>
          <w:rFonts w:eastAsia="黑体"/>
        </w:rPr>
        <w:t xml:space="preserve">3.8 </w:t>
      </w:r>
      <w:bookmarkStart w:id="3" w:name="OLE_LINK3"/>
      <w:r>
        <w:t>坩埚</w:t>
      </w:r>
      <w:bookmarkEnd w:id="3"/>
      <w:r>
        <w:t>（</w:t>
      </w:r>
      <w:r>
        <w:rPr>
          <w:i/>
          <w:iCs/>
        </w:rPr>
        <w:t>φ</w:t>
      </w:r>
      <w:r>
        <w:t>24 mm×25 mm）：使用前应于1200 ℃氧气流中灼烧1～1.5 h，取出置于干燥器内冷却备用（两天内有效）。</w:t>
      </w:r>
    </w:p>
    <w:p w14:paraId="2D1D1633">
      <w:pPr>
        <w:spacing w:line="360" w:lineRule="exact"/>
        <w:rPr>
          <w:color w:val="000000"/>
          <w:szCs w:val="21"/>
        </w:rPr>
      </w:pPr>
      <w:r>
        <w:rPr>
          <w:rFonts w:eastAsia="黑体"/>
        </w:rPr>
        <w:t>3.9</w:t>
      </w:r>
      <w:r>
        <w:t xml:space="preserve"> </w:t>
      </w:r>
      <w:r>
        <w:rPr>
          <w:color w:val="000000"/>
          <w:szCs w:val="21"/>
        </w:rPr>
        <w:t>标准样品</w:t>
      </w:r>
    </w:p>
    <w:p w14:paraId="116A3A58">
      <w:pPr>
        <w:ind w:firstLine="420" w:firstLineChars="200"/>
        <w:rPr>
          <w:color w:val="000000"/>
          <w:szCs w:val="21"/>
        </w:rPr>
      </w:pPr>
      <w:r>
        <w:rPr>
          <w:color w:val="000000"/>
          <w:szCs w:val="21"/>
        </w:rPr>
        <w:t>碳、硫含量与待测样品相近的有证标准物质。</w:t>
      </w:r>
    </w:p>
    <w:p w14:paraId="247D8CB3">
      <w:pPr>
        <w:spacing w:before="312" w:beforeLines="100" w:after="312" w:afterLines="100"/>
        <w:rPr>
          <w:rFonts w:eastAsia="黑体"/>
          <w:szCs w:val="20"/>
        </w:rPr>
      </w:pPr>
      <w:r>
        <w:rPr>
          <w:rFonts w:eastAsia="黑体"/>
          <w:szCs w:val="20"/>
        </w:rPr>
        <w:t>4 仪器</w:t>
      </w:r>
    </w:p>
    <w:p w14:paraId="1F276907">
      <w:pPr>
        <w:ind w:firstLine="420" w:firstLineChars="200"/>
      </w:pPr>
      <w:r>
        <w:t>高频感应红外碳硫分析仪。</w:t>
      </w:r>
    </w:p>
    <w:p w14:paraId="7B356716">
      <w:pPr>
        <w:ind w:firstLine="420" w:firstLineChars="200"/>
        <w:jc w:val="left"/>
        <w:rPr>
          <w:szCs w:val="21"/>
        </w:rPr>
      </w:pPr>
      <w:r>
        <w:rPr>
          <w:szCs w:val="21"/>
        </w:rPr>
        <w:t>仪器应能达到下列指标：</w:t>
      </w:r>
    </w:p>
    <w:p w14:paraId="74C6B764">
      <w:pPr>
        <w:ind w:firstLine="420" w:firstLineChars="200"/>
        <w:jc w:val="left"/>
        <w:rPr>
          <w:szCs w:val="21"/>
        </w:rPr>
      </w:pPr>
      <w:r>
        <w:t>——</w:t>
      </w:r>
      <w:r>
        <w:rPr>
          <w:szCs w:val="21"/>
        </w:rPr>
        <w:t>高频炉功率：1.0 kw～2.5 kw；</w:t>
      </w:r>
    </w:p>
    <w:p w14:paraId="44A17560">
      <w:pPr>
        <w:ind w:firstLine="420" w:firstLineChars="200"/>
        <w:jc w:val="left"/>
        <w:rPr>
          <w:szCs w:val="21"/>
        </w:rPr>
      </w:pPr>
      <w:r>
        <w:t>——</w:t>
      </w:r>
      <w:r>
        <w:rPr>
          <w:szCs w:val="21"/>
        </w:rPr>
        <w:t>频率＞6.0 MHz；</w:t>
      </w:r>
    </w:p>
    <w:p w14:paraId="0871B091">
      <w:pPr>
        <w:ind w:firstLine="420" w:firstLineChars="200"/>
        <w:jc w:val="left"/>
        <w:rPr>
          <w:szCs w:val="21"/>
        </w:rPr>
      </w:pPr>
      <w:r>
        <w:t>——</w:t>
      </w:r>
      <w:r>
        <w:rPr>
          <w:szCs w:val="21"/>
        </w:rPr>
        <w:t xml:space="preserve">检测器灵敏度：1 </w:t>
      </w:r>
      <w:r>
        <w:rPr>
          <w:szCs w:val="21"/>
        </w:rPr>
        <w:sym w:font="Symbol" w:char="F06D"/>
      </w:r>
      <w:r>
        <w:rPr>
          <w:szCs w:val="21"/>
        </w:rPr>
        <w:t>g /g。</w:t>
      </w:r>
    </w:p>
    <w:p w14:paraId="40256FAC">
      <w:pPr>
        <w:spacing w:before="312" w:beforeLines="100" w:after="312" w:afterLines="100"/>
        <w:rPr>
          <w:rFonts w:eastAsia="黑体"/>
          <w:szCs w:val="20"/>
        </w:rPr>
      </w:pPr>
      <w:r>
        <w:rPr>
          <w:rFonts w:eastAsia="黑体"/>
          <w:szCs w:val="20"/>
        </w:rPr>
        <w:t>5 样品</w:t>
      </w:r>
    </w:p>
    <w:p w14:paraId="28CF73E9">
      <w:pPr>
        <w:pStyle w:val="12"/>
        <w:ind w:firstLine="0" w:firstLineChars="0"/>
        <w:rPr>
          <w:rFonts w:ascii="Times New Roman"/>
          <w:szCs w:val="21"/>
        </w:rPr>
      </w:pPr>
      <w:r>
        <w:rPr>
          <w:rFonts w:ascii="Times New Roman"/>
        </w:rPr>
        <w:t>5.1 样品粒度应不大于</w:t>
      </w:r>
      <w:r>
        <w:rPr>
          <w:rFonts w:ascii="Times New Roman"/>
          <w:szCs w:val="21"/>
        </w:rPr>
        <w:t>100 μm。</w:t>
      </w:r>
    </w:p>
    <w:p w14:paraId="12EE6BEB">
      <w:pPr>
        <w:rPr>
          <w:szCs w:val="21"/>
        </w:rPr>
      </w:pPr>
      <w:r>
        <w:t>5.2 样品应于1</w:t>
      </w:r>
      <w:r>
        <w:rPr>
          <w:rFonts w:hint="eastAsia"/>
        </w:rPr>
        <w:t xml:space="preserve">05 </w:t>
      </w:r>
      <w:r>
        <w:t>℃±5 ℃烘箱中烘2h，取出</w:t>
      </w:r>
      <w:r>
        <w:rPr>
          <w:szCs w:val="21"/>
        </w:rPr>
        <w:t>并置于干燥器中冷却至室温。</w:t>
      </w:r>
    </w:p>
    <w:p w14:paraId="5654595E">
      <w:pPr>
        <w:spacing w:before="312" w:beforeLines="100" w:after="312" w:afterLines="100"/>
        <w:rPr>
          <w:rFonts w:hint="eastAsia" w:ascii="黑体" w:hAnsi="黑体" w:eastAsia="黑体"/>
          <w:szCs w:val="20"/>
        </w:rPr>
      </w:pPr>
      <w:r>
        <w:rPr>
          <w:rFonts w:hint="eastAsia" w:ascii="黑体" w:hAnsi="黑体" w:eastAsia="黑体"/>
          <w:szCs w:val="20"/>
          <w:lang w:val="en-US" w:eastAsia="zh-CN"/>
        </w:rPr>
        <w:t>6</w:t>
      </w:r>
      <w:r>
        <w:rPr>
          <w:rFonts w:hint="eastAsia" w:ascii="黑体" w:hAnsi="黑体" w:eastAsia="黑体"/>
          <w:szCs w:val="20"/>
        </w:rPr>
        <w:t xml:space="preserve"> 试验步骤</w:t>
      </w:r>
    </w:p>
    <w:p w14:paraId="638431F5">
      <w:pPr>
        <w:rPr>
          <w:rFonts w:hint="eastAsia" w:ascii="黑体" w:eastAsia="黑体"/>
          <w:bCs/>
          <w:color w:val="000000"/>
          <w:szCs w:val="21"/>
        </w:rPr>
      </w:pPr>
      <w:r>
        <w:rPr>
          <w:rFonts w:hint="eastAsia" w:ascii="黑体" w:eastAsia="黑体"/>
          <w:bCs/>
          <w:color w:val="000000"/>
          <w:szCs w:val="21"/>
          <w:lang w:val="en-US" w:eastAsia="zh-CN"/>
        </w:rPr>
        <w:t>6</w:t>
      </w:r>
      <w:r>
        <w:rPr>
          <w:rFonts w:hint="eastAsia" w:ascii="黑体" w:eastAsia="黑体"/>
          <w:bCs/>
          <w:color w:val="000000"/>
          <w:szCs w:val="21"/>
        </w:rPr>
        <w:t>.</w:t>
      </w:r>
      <w:r>
        <w:rPr>
          <w:rFonts w:hint="eastAsia" w:ascii="黑体" w:eastAsia="黑体"/>
          <w:bCs/>
          <w:color w:val="000000"/>
          <w:szCs w:val="21"/>
          <w:lang w:val="en-US" w:eastAsia="zh-CN"/>
        </w:rPr>
        <w:t>1</w:t>
      </w:r>
      <w:r>
        <w:rPr>
          <w:rFonts w:hint="eastAsia" w:ascii="黑体" w:eastAsia="黑体"/>
          <w:bCs/>
          <w:color w:val="000000"/>
          <w:szCs w:val="21"/>
        </w:rPr>
        <w:t xml:space="preserve"> 仪器准备</w:t>
      </w:r>
    </w:p>
    <w:p w14:paraId="4D7C3E49">
      <w:pPr>
        <w:ind w:firstLine="420" w:firstLineChars="200"/>
      </w:pPr>
      <w:r>
        <w:rPr>
          <w:rFonts w:hint="eastAsia"/>
          <w:lang w:val="en-US" w:eastAsia="zh-CN"/>
        </w:rPr>
        <w:t>仪器分析前应预热，调试检查仪器，使仪器各参数处于正常状态；利用仪器检漏程序或其他辅助设备确定仪器无漏气现象。参考</w:t>
      </w:r>
      <w:r>
        <w:t>附录</w:t>
      </w:r>
      <w:r>
        <w:rPr>
          <w:rFonts w:hint="eastAsia"/>
        </w:rPr>
        <w:t>B</w:t>
      </w:r>
      <w:r>
        <w:t>确定测定条件，</w:t>
      </w:r>
      <w:r>
        <w:rPr>
          <w:rFonts w:hint="eastAsia"/>
        </w:rPr>
        <w:t>按</w:t>
      </w:r>
      <w:r>
        <w:t>仪器说明书准备好仪器待用。</w:t>
      </w:r>
    </w:p>
    <w:p w14:paraId="50939CFF">
      <w:pPr>
        <w:rPr>
          <w:rFonts w:hint="eastAsia" w:ascii="黑体" w:eastAsia="黑体"/>
          <w:bCs/>
          <w:color w:val="000000"/>
          <w:szCs w:val="21"/>
          <w:lang w:val="en-US" w:eastAsia="zh-CN"/>
        </w:rPr>
      </w:pPr>
      <w:r>
        <w:rPr>
          <w:rFonts w:hint="eastAsia" w:ascii="黑体" w:eastAsia="黑体"/>
          <w:bCs/>
          <w:color w:val="000000"/>
          <w:szCs w:val="21"/>
          <w:lang w:val="en-US" w:eastAsia="zh-CN"/>
        </w:rPr>
        <w:t>6</w:t>
      </w:r>
      <w:r>
        <w:rPr>
          <w:rFonts w:hint="eastAsia" w:ascii="黑体" w:eastAsia="黑体"/>
          <w:bCs/>
          <w:color w:val="000000"/>
          <w:szCs w:val="21"/>
        </w:rPr>
        <w:t>.</w:t>
      </w:r>
      <w:r>
        <w:rPr>
          <w:rFonts w:hint="eastAsia" w:ascii="黑体" w:eastAsia="黑体"/>
          <w:bCs/>
          <w:color w:val="000000"/>
          <w:szCs w:val="21"/>
          <w:lang w:val="en-US" w:eastAsia="zh-CN"/>
        </w:rPr>
        <w:t>2</w:t>
      </w:r>
      <w:r>
        <w:rPr>
          <w:rFonts w:hint="eastAsia" w:ascii="黑体" w:eastAsia="黑体"/>
          <w:bCs/>
          <w:color w:val="000000"/>
          <w:szCs w:val="21"/>
        </w:rPr>
        <w:t xml:space="preserve"> 空白</w:t>
      </w:r>
      <w:r>
        <w:rPr>
          <w:rFonts w:hint="eastAsia" w:ascii="黑体" w:eastAsia="黑体"/>
          <w:bCs/>
          <w:color w:val="000000"/>
          <w:szCs w:val="21"/>
          <w:lang w:val="en-US" w:eastAsia="zh-CN"/>
        </w:rPr>
        <w:t>试验</w:t>
      </w:r>
    </w:p>
    <w:p w14:paraId="4368AE32">
      <w:pPr>
        <w:ind w:firstLine="420"/>
        <w:rPr>
          <w:rFonts w:hint="default" w:eastAsia="宋体"/>
          <w:lang w:val="en-US" w:eastAsia="zh-CN"/>
        </w:rPr>
      </w:pPr>
      <w:r>
        <w:rPr>
          <w:rFonts w:hint="eastAsia"/>
        </w:rPr>
        <w:t>称取0.</w:t>
      </w:r>
      <w:r>
        <w:rPr>
          <w:rFonts w:hint="eastAsia"/>
          <w:lang w:val="en-US" w:eastAsia="zh-CN"/>
        </w:rPr>
        <w:t xml:space="preserve">3 </w:t>
      </w:r>
      <w:r>
        <w:rPr>
          <w:rFonts w:hint="eastAsia"/>
        </w:rPr>
        <w:t>g</w:t>
      </w:r>
      <w:r>
        <w:rPr>
          <w:rFonts w:ascii="宋体" w:hAnsi="宋体"/>
          <w:color w:val="000000"/>
          <w:kern w:val="0"/>
          <w:szCs w:val="21"/>
        </w:rPr>
        <w:t>铁助熔剂</w:t>
      </w:r>
      <w:r>
        <w:rPr>
          <w:rFonts w:hint="eastAsia" w:ascii="宋体" w:hAnsi="宋体"/>
          <w:color w:val="000000"/>
          <w:kern w:val="0"/>
          <w:szCs w:val="21"/>
        </w:rPr>
        <w:t>(</w:t>
      </w:r>
      <w:r>
        <w:rPr>
          <w:rFonts w:hint="eastAsia" w:ascii="宋体" w:hAnsi="宋体"/>
          <w:color w:val="000000"/>
          <w:kern w:val="0"/>
          <w:szCs w:val="21"/>
          <w:lang w:val="en-US" w:eastAsia="zh-CN"/>
        </w:rPr>
        <w:t>3</w:t>
      </w:r>
      <w:r>
        <w:rPr>
          <w:rFonts w:hint="eastAsia" w:ascii="宋体" w:hAnsi="宋体"/>
          <w:color w:val="000000"/>
          <w:kern w:val="0"/>
          <w:szCs w:val="21"/>
        </w:rPr>
        <w:t>.1)、</w:t>
      </w:r>
      <w:r>
        <w:rPr>
          <w:rFonts w:hint="eastAsia" w:hAnsi="宋体"/>
        </w:rPr>
        <w:t>1.</w:t>
      </w:r>
      <w:r>
        <w:rPr>
          <w:rFonts w:hint="eastAsia" w:hAnsi="宋体"/>
          <w:lang w:val="en-US" w:eastAsia="zh-CN"/>
        </w:rPr>
        <w:t xml:space="preserve">5 </w:t>
      </w:r>
      <w:r>
        <w:rPr>
          <w:rFonts w:hint="eastAsia" w:hAnsi="宋体"/>
        </w:rPr>
        <w:t>g</w:t>
      </w:r>
      <w:r>
        <w:rPr>
          <w:rFonts w:ascii="宋体" w:hAnsi="宋体"/>
          <w:kern w:val="0"/>
          <w:szCs w:val="21"/>
        </w:rPr>
        <w:t>钨助熔剂</w:t>
      </w:r>
      <w:r>
        <w:rPr>
          <w:rFonts w:hint="eastAsia" w:ascii="宋体" w:hAnsi="宋体"/>
          <w:kern w:val="0"/>
          <w:szCs w:val="21"/>
        </w:rPr>
        <w:t>（</w:t>
      </w:r>
      <w:r>
        <w:rPr>
          <w:rFonts w:hint="eastAsia" w:ascii="宋体" w:hAnsi="宋体"/>
          <w:kern w:val="0"/>
          <w:szCs w:val="21"/>
          <w:lang w:val="en-US" w:eastAsia="zh-CN"/>
        </w:rPr>
        <w:t>3</w:t>
      </w:r>
      <w:r>
        <w:rPr>
          <w:rFonts w:hint="eastAsia" w:ascii="宋体" w:hAnsi="宋体"/>
          <w:kern w:val="0"/>
          <w:szCs w:val="21"/>
        </w:rPr>
        <w:t>.2）置于</w:t>
      </w:r>
      <w:r>
        <w:rPr>
          <w:rFonts w:hint="eastAsia"/>
        </w:rPr>
        <w:t>坩埚（</w:t>
      </w:r>
      <w:r>
        <w:rPr>
          <w:rFonts w:hint="eastAsia"/>
          <w:lang w:val="en-US" w:eastAsia="zh-CN"/>
        </w:rPr>
        <w:t>3</w:t>
      </w:r>
      <w:r>
        <w:rPr>
          <w:rFonts w:hint="eastAsia"/>
        </w:rPr>
        <w:t>.8）中，按</w:t>
      </w:r>
      <w:r>
        <w:t>仪器说明书中“自动”校准</w:t>
      </w:r>
      <w:r>
        <w:rPr>
          <w:rFonts w:hint="eastAsia"/>
        </w:rPr>
        <w:t>空白</w:t>
      </w:r>
      <w:r>
        <w:t>步骤进行操作，</w:t>
      </w:r>
      <w:r>
        <w:rPr>
          <w:rFonts w:hint="eastAsia"/>
        </w:rPr>
        <w:t>重复测定直至读</w:t>
      </w:r>
      <w:r>
        <w:rPr>
          <w:rFonts w:hint="eastAsia"/>
          <w:lang w:val="en-US" w:eastAsia="zh-CN"/>
        </w:rPr>
        <w:t>数</w:t>
      </w:r>
      <w:r>
        <w:rPr>
          <w:rFonts w:hint="eastAsia"/>
        </w:rPr>
        <w:t>比较稳定为止。</w:t>
      </w:r>
      <w:r>
        <w:rPr>
          <w:rFonts w:hint="eastAsia"/>
          <w:lang w:val="en-US" w:eastAsia="zh-CN"/>
        </w:rPr>
        <w:t>空白值不大于0.0003%，极差不大于0.0002%，至少测定</w:t>
      </w:r>
      <w:r>
        <w:rPr>
          <w:rFonts w:hint="eastAsia"/>
        </w:rPr>
        <w:t>三次，计算平均值并输入仪器，测定样品时仪器自动扣除空白值。</w:t>
      </w:r>
      <w:r>
        <w:rPr>
          <w:rFonts w:hint="eastAsia"/>
          <w:lang w:val="en-US" w:eastAsia="zh-CN"/>
        </w:rPr>
        <w:t>不能进行空白校准的，记录空白值。</w:t>
      </w:r>
    </w:p>
    <w:p w14:paraId="3326F79F">
      <w:pPr>
        <w:rPr>
          <w:rFonts w:hint="eastAsia" w:ascii="黑体" w:eastAsia="黑体"/>
          <w:bCs/>
          <w:color w:val="000000"/>
          <w:szCs w:val="21"/>
          <w:lang w:val="en-US" w:eastAsia="zh-CN"/>
        </w:rPr>
      </w:pPr>
      <w:r>
        <w:rPr>
          <w:rFonts w:hint="eastAsia" w:ascii="黑体" w:eastAsia="黑体"/>
          <w:bCs/>
          <w:color w:val="000000"/>
          <w:szCs w:val="21"/>
          <w:lang w:val="en-US" w:eastAsia="zh-CN"/>
        </w:rPr>
        <w:t>6</w:t>
      </w:r>
      <w:r>
        <w:rPr>
          <w:rFonts w:hint="eastAsia" w:ascii="黑体" w:eastAsia="黑体"/>
          <w:bCs/>
          <w:color w:val="000000"/>
          <w:szCs w:val="21"/>
        </w:rPr>
        <w:t>.</w:t>
      </w:r>
      <w:r>
        <w:rPr>
          <w:rFonts w:hint="eastAsia" w:ascii="黑体" w:eastAsia="黑体"/>
          <w:bCs/>
          <w:color w:val="000000"/>
          <w:szCs w:val="21"/>
          <w:lang w:val="en-US" w:eastAsia="zh-CN"/>
        </w:rPr>
        <w:t>3</w:t>
      </w:r>
      <w:r>
        <w:rPr>
          <w:rFonts w:hint="eastAsia" w:ascii="黑体" w:eastAsia="黑体"/>
          <w:bCs/>
          <w:color w:val="000000"/>
          <w:szCs w:val="21"/>
        </w:rPr>
        <w:t>仪器</w:t>
      </w:r>
      <w:r>
        <w:rPr>
          <w:rFonts w:hint="eastAsia" w:ascii="黑体" w:eastAsia="黑体"/>
          <w:bCs/>
          <w:color w:val="000000"/>
          <w:szCs w:val="21"/>
          <w:lang w:val="en-US" w:eastAsia="zh-CN"/>
        </w:rPr>
        <w:t>校准</w:t>
      </w:r>
    </w:p>
    <w:p w14:paraId="036984E4">
      <w:r>
        <w:rPr>
          <w:rFonts w:hint="eastAsia"/>
          <w:lang w:val="en-US" w:eastAsia="zh-CN"/>
        </w:rPr>
        <w:t>6</w:t>
      </w:r>
      <w:r>
        <w:t>.</w:t>
      </w:r>
      <w:r>
        <w:rPr>
          <w:rFonts w:hint="eastAsia"/>
          <w:lang w:val="en-US" w:eastAsia="zh-CN"/>
        </w:rPr>
        <w:t>3</w:t>
      </w:r>
      <w:r>
        <w:t>.1 称取 0.</w:t>
      </w:r>
      <w:r>
        <w:rPr>
          <w:rFonts w:hint="eastAsia"/>
        </w:rPr>
        <w:t>1</w:t>
      </w:r>
      <w:r>
        <w:t xml:space="preserve"> g标准样</w:t>
      </w:r>
      <w:r>
        <w:rPr>
          <w:rFonts w:hint="eastAsia"/>
        </w:rPr>
        <w:t>品</w:t>
      </w:r>
      <w:r>
        <w:t>（</w:t>
      </w:r>
      <w:r>
        <w:rPr>
          <w:rFonts w:hint="eastAsia"/>
          <w:lang w:val="en-US" w:eastAsia="zh-CN"/>
        </w:rPr>
        <w:t>3</w:t>
      </w:r>
      <w:r>
        <w:t>.</w:t>
      </w:r>
      <w:r>
        <w:rPr>
          <w:rFonts w:hint="eastAsia"/>
        </w:rPr>
        <w:t>9</w:t>
      </w:r>
      <w:r>
        <w:t>），置于</w:t>
      </w:r>
      <w:r>
        <w:rPr>
          <w:rFonts w:hint="eastAsia" w:hAnsi="宋体"/>
        </w:rPr>
        <w:t>铺有0.</w:t>
      </w:r>
      <w:r>
        <w:rPr>
          <w:rFonts w:hint="eastAsia" w:hAnsi="宋体"/>
          <w:lang w:val="en-US" w:eastAsia="zh-CN"/>
        </w:rPr>
        <w:t>3</w:t>
      </w:r>
      <w:r>
        <w:rPr>
          <w:rFonts w:hint="eastAsia" w:hAnsi="宋体"/>
        </w:rPr>
        <w:t xml:space="preserve"> g铁助熔剂</w:t>
      </w:r>
      <w:r>
        <w:rPr>
          <w:rFonts w:hint="eastAsia" w:hAnsi="宋体"/>
          <w:lang w:eastAsia="zh-CN"/>
        </w:rPr>
        <w:t>（</w:t>
      </w:r>
      <w:r>
        <w:rPr>
          <w:rFonts w:hint="eastAsia" w:hAnsi="宋体"/>
          <w:lang w:val="en-US" w:eastAsia="zh-CN"/>
        </w:rPr>
        <w:t>3.1</w:t>
      </w:r>
      <w:r>
        <w:rPr>
          <w:rFonts w:hint="eastAsia" w:hAnsi="宋体"/>
          <w:lang w:eastAsia="zh-CN"/>
        </w:rPr>
        <w:t>）</w:t>
      </w:r>
      <w:r>
        <w:rPr>
          <w:rFonts w:hint="eastAsia" w:hAnsi="宋体"/>
        </w:rPr>
        <w:t>的</w:t>
      </w:r>
      <w:r>
        <w:rPr>
          <w:rFonts w:hint="eastAsia"/>
        </w:rPr>
        <w:t>坩埚</w:t>
      </w:r>
      <w:r>
        <w:t>（</w:t>
      </w:r>
      <w:r>
        <w:rPr>
          <w:rFonts w:hint="eastAsia"/>
          <w:lang w:val="en-US" w:eastAsia="zh-CN"/>
        </w:rPr>
        <w:t>3</w:t>
      </w:r>
      <w:r>
        <w:t>.</w:t>
      </w:r>
      <w:r>
        <w:rPr>
          <w:rFonts w:hint="eastAsia"/>
        </w:rPr>
        <w:t>8</w:t>
      </w:r>
      <w:r>
        <w:t>）中，</w:t>
      </w:r>
      <w:r>
        <w:rPr>
          <w:rFonts w:hint="eastAsia"/>
        </w:rPr>
        <w:t>再覆盖</w:t>
      </w:r>
      <w:r>
        <w:rPr>
          <w:rFonts w:hint="eastAsia" w:hAnsi="宋体"/>
        </w:rPr>
        <w:t>1.</w:t>
      </w:r>
      <w:r>
        <w:rPr>
          <w:rFonts w:hint="eastAsia" w:hAnsi="宋体"/>
          <w:lang w:val="en-US" w:eastAsia="zh-CN"/>
        </w:rPr>
        <w:t>5</w:t>
      </w:r>
      <w:r>
        <w:rPr>
          <w:rFonts w:hint="eastAsia" w:hAnsi="宋体"/>
        </w:rPr>
        <w:t xml:space="preserve"> g</w:t>
      </w:r>
      <w:r>
        <w:rPr>
          <w:rFonts w:ascii="宋体" w:hAnsi="宋体"/>
          <w:color w:val="000000"/>
          <w:kern w:val="0"/>
          <w:szCs w:val="21"/>
        </w:rPr>
        <w:t>钨助熔剂</w:t>
      </w:r>
      <w:r>
        <w:rPr>
          <w:rFonts w:hint="eastAsia" w:ascii="宋体" w:hAnsi="宋体"/>
          <w:color w:val="000000"/>
          <w:kern w:val="0"/>
          <w:szCs w:val="21"/>
        </w:rPr>
        <w:t>（</w:t>
      </w:r>
      <w:r>
        <w:rPr>
          <w:rFonts w:hint="eastAsia"/>
          <w:lang w:val="en-US" w:eastAsia="zh-CN"/>
        </w:rPr>
        <w:t>3</w:t>
      </w:r>
      <w:r>
        <w:t>.</w:t>
      </w:r>
      <w:r>
        <w:rPr>
          <w:rFonts w:hint="eastAsia"/>
        </w:rPr>
        <w:t>2</w:t>
      </w:r>
      <w:r>
        <w:rPr>
          <w:rFonts w:hint="eastAsia" w:ascii="宋体" w:hAnsi="宋体"/>
          <w:color w:val="000000"/>
          <w:kern w:val="0"/>
          <w:szCs w:val="21"/>
        </w:rPr>
        <w:t>）</w:t>
      </w:r>
      <w:r>
        <w:t>。</w:t>
      </w:r>
    </w:p>
    <w:p w14:paraId="68E59839">
      <w:pPr>
        <w:rPr>
          <w:color w:val="000000"/>
        </w:rPr>
      </w:pPr>
      <w:r>
        <w:rPr>
          <w:rFonts w:hint="eastAsia"/>
          <w:color w:val="000000"/>
          <w:lang w:val="en-US" w:eastAsia="zh-CN"/>
        </w:rPr>
        <w:t>6</w:t>
      </w:r>
      <w:r>
        <w:rPr>
          <w:color w:val="000000"/>
        </w:rPr>
        <w:t>.</w:t>
      </w:r>
      <w:r>
        <w:rPr>
          <w:rFonts w:hint="eastAsia"/>
          <w:color w:val="000000"/>
          <w:lang w:val="en-US" w:eastAsia="zh-CN"/>
        </w:rPr>
        <w:t>3</w:t>
      </w:r>
      <w:r>
        <w:rPr>
          <w:color w:val="000000"/>
        </w:rPr>
        <w:t>.2 将</w:t>
      </w:r>
      <w:r>
        <w:rPr>
          <w:rFonts w:hint="eastAsia"/>
          <w:color w:val="000000"/>
        </w:rPr>
        <w:t>坩埚</w:t>
      </w:r>
      <w:r>
        <w:rPr>
          <w:color w:val="000000"/>
        </w:rPr>
        <w:t>放到</w:t>
      </w:r>
      <w:r>
        <w:rPr>
          <w:rFonts w:hint="eastAsia"/>
          <w:lang w:val="en-US" w:eastAsia="zh-CN"/>
        </w:rPr>
        <w:t>高频感应炉</w:t>
      </w:r>
      <w:r>
        <w:rPr>
          <w:color w:val="000000"/>
        </w:rPr>
        <w:t>的支座上，升到燃烧位置，</w:t>
      </w:r>
      <w:bookmarkStart w:id="4" w:name="OLE_LINK7"/>
      <w:r>
        <w:rPr>
          <w:rFonts w:hint="eastAsia"/>
          <w:color w:val="000000"/>
        </w:rPr>
        <w:t>按</w:t>
      </w:r>
      <w:r>
        <w:rPr>
          <w:color w:val="000000"/>
        </w:rPr>
        <w:t>仪器说明书中“自动”校准步骤进行操作，</w:t>
      </w:r>
      <w:bookmarkEnd w:id="4"/>
      <w:r>
        <w:rPr>
          <w:rFonts w:hint="eastAsia"/>
          <w:color w:val="000000"/>
        </w:rPr>
        <w:t>重</w:t>
      </w:r>
      <w:r>
        <w:rPr>
          <w:color w:val="000000"/>
        </w:rPr>
        <w:t>复做2～3个标准样</w:t>
      </w:r>
      <w:r>
        <w:rPr>
          <w:rFonts w:hint="eastAsia"/>
          <w:color w:val="000000"/>
        </w:rPr>
        <w:t>品</w:t>
      </w:r>
      <w:r>
        <w:rPr>
          <w:color w:val="000000"/>
        </w:rPr>
        <w:t>，通过“自动”校准步骤，直到标准</w:t>
      </w:r>
      <w:r>
        <w:rPr>
          <w:rFonts w:hint="eastAsia"/>
          <w:color w:val="000000"/>
        </w:rPr>
        <w:t>样品</w:t>
      </w:r>
      <w:r>
        <w:rPr>
          <w:color w:val="000000"/>
        </w:rPr>
        <w:t>中碳</w:t>
      </w:r>
      <w:r>
        <w:rPr>
          <w:rFonts w:hint="eastAsia"/>
          <w:color w:val="000000"/>
        </w:rPr>
        <w:t>、硫</w:t>
      </w:r>
      <w:r>
        <w:rPr>
          <w:color w:val="000000"/>
        </w:rPr>
        <w:t>的结果稳定在误差范围内为止。</w:t>
      </w:r>
    </w:p>
    <w:p w14:paraId="17120461">
      <w:pPr>
        <w:rPr>
          <w:rFonts w:hint="eastAsia" w:ascii="黑体" w:eastAsia="黑体"/>
          <w:bCs/>
          <w:color w:val="000000"/>
          <w:szCs w:val="21"/>
        </w:rPr>
      </w:pPr>
      <w:r>
        <w:rPr>
          <w:rFonts w:hint="eastAsia" w:ascii="黑体" w:eastAsia="黑体"/>
          <w:bCs/>
          <w:color w:val="000000"/>
          <w:szCs w:val="21"/>
          <w:lang w:val="en-US" w:eastAsia="zh-CN"/>
        </w:rPr>
        <w:t>6</w:t>
      </w:r>
      <w:r>
        <w:rPr>
          <w:rFonts w:hint="eastAsia" w:ascii="黑体" w:eastAsia="黑体"/>
          <w:bCs/>
          <w:color w:val="000000"/>
          <w:szCs w:val="21"/>
        </w:rPr>
        <w:t>.</w:t>
      </w:r>
      <w:r>
        <w:rPr>
          <w:rFonts w:hint="eastAsia" w:ascii="黑体" w:eastAsia="黑体"/>
          <w:bCs/>
          <w:color w:val="000000"/>
          <w:szCs w:val="21"/>
          <w:lang w:val="en-US" w:eastAsia="zh-CN"/>
        </w:rPr>
        <w:t>4</w:t>
      </w:r>
      <w:r>
        <w:rPr>
          <w:rFonts w:hint="eastAsia" w:ascii="黑体" w:eastAsia="黑体"/>
          <w:bCs/>
          <w:color w:val="000000"/>
          <w:szCs w:val="21"/>
        </w:rPr>
        <w:t xml:space="preserve"> 试料</w:t>
      </w:r>
    </w:p>
    <w:p w14:paraId="79185803">
      <w:pPr>
        <w:pStyle w:val="12"/>
        <w:ind w:firstLine="420"/>
        <w:rPr>
          <w:rFonts w:hint="eastAsia" w:ascii="Times New Roman" w:hAnsi="宋体"/>
        </w:rPr>
      </w:pPr>
      <w:r>
        <w:rPr>
          <w:rFonts w:hint="eastAsia" w:ascii="Times New Roman" w:hAnsi="宋体"/>
        </w:rPr>
        <w:t>称取0.1</w:t>
      </w:r>
      <w:r>
        <w:rPr>
          <w:rFonts w:hint="eastAsia" w:ascii="Times New Roman" w:hAnsi="宋体"/>
          <w:lang w:val="en-US" w:eastAsia="zh-CN"/>
        </w:rPr>
        <w:t xml:space="preserve"> </w:t>
      </w:r>
      <w:r>
        <w:rPr>
          <w:rFonts w:hint="eastAsia" w:ascii="Times New Roman" w:hAnsi="宋体"/>
        </w:rPr>
        <w:t>g样品（</w:t>
      </w:r>
      <w:r>
        <w:rPr>
          <w:rFonts w:hint="eastAsia" w:ascii="Times New Roman" w:hAnsi="宋体"/>
          <w:lang w:val="en-US" w:eastAsia="zh-CN"/>
        </w:rPr>
        <w:t>5</w:t>
      </w:r>
      <w:r>
        <w:rPr>
          <w:rFonts w:hint="eastAsia" w:ascii="Times New Roman" w:hAnsi="宋体"/>
        </w:rPr>
        <w:t>），精确至0.0001</w:t>
      </w:r>
      <w:r>
        <w:rPr>
          <w:rFonts w:hint="eastAsia" w:ascii="Times New Roman" w:hAnsi="宋体"/>
          <w:lang w:val="en-US" w:eastAsia="zh-CN"/>
        </w:rPr>
        <w:t xml:space="preserve"> </w:t>
      </w:r>
      <w:r>
        <w:rPr>
          <w:rFonts w:hint="eastAsia" w:ascii="Times New Roman" w:hAnsi="宋体"/>
        </w:rPr>
        <w:t>g。</w:t>
      </w:r>
    </w:p>
    <w:p w14:paraId="3820BBFE">
      <w:pPr>
        <w:rPr>
          <w:rFonts w:ascii="黑体" w:hAnsi="黑体" w:eastAsia="黑体"/>
        </w:rPr>
      </w:pPr>
      <w:r>
        <w:rPr>
          <w:rFonts w:hint="eastAsia" w:ascii="黑体" w:eastAsia="黑体"/>
          <w:bCs/>
          <w:color w:val="000000"/>
          <w:szCs w:val="21"/>
          <w:lang w:val="en-US" w:eastAsia="zh-CN"/>
        </w:rPr>
        <w:t>6</w:t>
      </w:r>
      <w:r>
        <w:rPr>
          <w:rFonts w:hint="eastAsia" w:ascii="黑体" w:eastAsia="黑体"/>
          <w:bCs/>
          <w:color w:val="000000"/>
          <w:szCs w:val="21"/>
        </w:rPr>
        <w:t>.</w:t>
      </w:r>
      <w:r>
        <w:rPr>
          <w:rFonts w:hint="eastAsia" w:ascii="黑体" w:eastAsia="黑体"/>
          <w:bCs/>
          <w:color w:val="000000"/>
          <w:szCs w:val="21"/>
          <w:lang w:val="en-US" w:eastAsia="zh-CN"/>
        </w:rPr>
        <w:t>5</w:t>
      </w:r>
      <w:r>
        <w:rPr>
          <w:rFonts w:hint="eastAsia" w:ascii="黑体" w:eastAsia="黑体"/>
          <w:bCs/>
          <w:szCs w:val="21"/>
        </w:rPr>
        <w:t>平行试验</w:t>
      </w:r>
    </w:p>
    <w:p w14:paraId="1EC30377">
      <w:pPr>
        <w:pStyle w:val="12"/>
        <w:ind w:firstLine="420"/>
        <w:rPr>
          <w:rFonts w:hint="eastAsia" w:ascii="黑体" w:hAnsi="黑体" w:eastAsia="黑体"/>
        </w:rPr>
      </w:pPr>
      <w:r>
        <w:rPr>
          <w:rFonts w:hint="eastAsia" w:ascii="Times New Roman" w:hAnsi="宋体"/>
        </w:rPr>
        <w:t>平行做两份试验，取其平均值。</w:t>
      </w:r>
    </w:p>
    <w:p w14:paraId="79400975">
      <w:pPr>
        <w:rPr>
          <w:rFonts w:hint="eastAsia" w:ascii="黑体" w:eastAsia="黑体"/>
          <w:bCs/>
          <w:szCs w:val="21"/>
        </w:rPr>
      </w:pPr>
      <w:r>
        <w:rPr>
          <w:rFonts w:hint="eastAsia" w:ascii="黑体" w:eastAsia="黑体"/>
          <w:bCs/>
          <w:szCs w:val="21"/>
          <w:lang w:val="en-US" w:eastAsia="zh-CN"/>
        </w:rPr>
        <w:t>6</w:t>
      </w:r>
      <w:r>
        <w:rPr>
          <w:rFonts w:hint="eastAsia" w:ascii="黑体" w:eastAsia="黑体"/>
          <w:bCs/>
          <w:szCs w:val="21"/>
        </w:rPr>
        <w:t>.</w:t>
      </w:r>
      <w:r>
        <w:rPr>
          <w:rFonts w:hint="eastAsia" w:ascii="黑体" w:eastAsia="黑体"/>
          <w:bCs/>
          <w:szCs w:val="21"/>
          <w:lang w:val="en-US" w:eastAsia="zh-CN"/>
        </w:rPr>
        <w:t>6</w:t>
      </w:r>
      <w:r>
        <w:rPr>
          <w:rFonts w:hint="eastAsia" w:ascii="黑体" w:eastAsia="黑体"/>
          <w:bCs/>
          <w:szCs w:val="21"/>
        </w:rPr>
        <w:t xml:space="preserve"> 测定</w:t>
      </w:r>
    </w:p>
    <w:p w14:paraId="64E9D88A">
      <w:r>
        <w:rPr>
          <w:rFonts w:hint="eastAsia"/>
          <w:lang w:val="en-US" w:eastAsia="zh-CN"/>
        </w:rPr>
        <w:t>6</w:t>
      </w:r>
      <w:r>
        <w:t>.</w:t>
      </w:r>
      <w:r>
        <w:rPr>
          <w:rFonts w:hint="eastAsia"/>
          <w:lang w:val="en-US" w:eastAsia="zh-CN"/>
        </w:rPr>
        <w:t>6</w:t>
      </w:r>
      <w:r>
        <w:t xml:space="preserve">.1 </w:t>
      </w:r>
      <w:r>
        <w:rPr>
          <w:rFonts w:hint="eastAsia"/>
        </w:rPr>
        <w:t>将试料</w:t>
      </w:r>
      <w:r>
        <w:rPr>
          <w:rFonts w:hint="eastAsia"/>
          <w:lang w:eastAsia="zh-CN"/>
        </w:rPr>
        <w:t>（</w:t>
      </w:r>
      <w:r>
        <w:rPr>
          <w:rFonts w:hint="eastAsia"/>
          <w:lang w:val="en-US" w:eastAsia="zh-CN"/>
        </w:rPr>
        <w:t>6.4</w:t>
      </w:r>
      <w:r>
        <w:rPr>
          <w:rFonts w:hint="eastAsia"/>
          <w:lang w:eastAsia="zh-CN"/>
        </w:rPr>
        <w:t>）</w:t>
      </w:r>
      <w:r>
        <w:t>置于</w:t>
      </w:r>
      <w:r>
        <w:rPr>
          <w:rFonts w:hint="eastAsia" w:hAnsi="宋体"/>
        </w:rPr>
        <w:t>铺有0.</w:t>
      </w:r>
      <w:r>
        <w:rPr>
          <w:rFonts w:hint="eastAsia" w:hAnsi="宋体"/>
          <w:lang w:val="en-US" w:eastAsia="zh-CN"/>
        </w:rPr>
        <w:t>3</w:t>
      </w:r>
      <w:r>
        <w:rPr>
          <w:rFonts w:hint="eastAsia" w:hAnsi="宋体"/>
        </w:rPr>
        <w:t xml:space="preserve"> g铁助熔剂</w:t>
      </w:r>
      <w:r>
        <w:rPr>
          <w:rFonts w:hint="eastAsia" w:hAnsi="宋体"/>
          <w:lang w:eastAsia="zh-CN"/>
        </w:rPr>
        <w:t>（</w:t>
      </w:r>
      <w:r>
        <w:rPr>
          <w:rFonts w:hint="eastAsia" w:hAnsi="宋体"/>
          <w:lang w:val="en-US" w:eastAsia="zh-CN"/>
        </w:rPr>
        <w:t>3.1</w:t>
      </w:r>
      <w:r>
        <w:rPr>
          <w:rFonts w:hint="eastAsia" w:hAnsi="宋体"/>
          <w:lang w:eastAsia="zh-CN"/>
        </w:rPr>
        <w:t>）</w:t>
      </w:r>
      <w:r>
        <w:rPr>
          <w:rFonts w:hint="eastAsia" w:hAnsi="宋体"/>
        </w:rPr>
        <w:t>的</w:t>
      </w:r>
      <w:r>
        <w:rPr>
          <w:rFonts w:hint="eastAsia"/>
        </w:rPr>
        <w:t>坩埚</w:t>
      </w:r>
      <w:r>
        <w:t>（</w:t>
      </w:r>
      <w:r>
        <w:rPr>
          <w:rFonts w:hint="eastAsia"/>
          <w:lang w:val="en-US" w:eastAsia="zh-CN"/>
        </w:rPr>
        <w:t>3.</w:t>
      </w:r>
      <w:r>
        <w:rPr>
          <w:rFonts w:hint="eastAsia"/>
        </w:rPr>
        <w:t>8</w:t>
      </w:r>
      <w:r>
        <w:t>）中，</w:t>
      </w:r>
      <w:r>
        <w:rPr>
          <w:rFonts w:hint="eastAsia"/>
        </w:rPr>
        <w:t>再覆盖</w:t>
      </w:r>
      <w:r>
        <w:rPr>
          <w:rFonts w:hint="eastAsia" w:hAnsi="宋体"/>
        </w:rPr>
        <w:t>1.</w:t>
      </w:r>
      <w:r>
        <w:rPr>
          <w:rFonts w:hint="eastAsia" w:hAnsi="宋体"/>
          <w:lang w:val="en-US" w:eastAsia="zh-CN"/>
        </w:rPr>
        <w:t>5</w:t>
      </w:r>
      <w:r>
        <w:rPr>
          <w:rFonts w:hint="eastAsia" w:hAnsi="宋体"/>
        </w:rPr>
        <w:t xml:space="preserve"> g</w:t>
      </w:r>
      <w:r>
        <w:rPr>
          <w:rFonts w:ascii="宋体" w:hAnsi="宋体"/>
          <w:kern w:val="0"/>
          <w:szCs w:val="21"/>
        </w:rPr>
        <w:t>钨助熔剂</w:t>
      </w:r>
      <w:r>
        <w:rPr>
          <w:rFonts w:hint="eastAsia" w:ascii="宋体" w:hAnsi="宋体"/>
          <w:kern w:val="0"/>
          <w:szCs w:val="21"/>
        </w:rPr>
        <w:t>（</w:t>
      </w:r>
      <w:r>
        <w:rPr>
          <w:rFonts w:hint="eastAsia"/>
          <w:lang w:val="en-US" w:eastAsia="zh-CN"/>
        </w:rPr>
        <w:t>3</w:t>
      </w:r>
      <w:r>
        <w:t>.</w:t>
      </w:r>
      <w:r>
        <w:rPr>
          <w:rFonts w:hint="eastAsia"/>
        </w:rPr>
        <w:t>2</w:t>
      </w:r>
      <w:r>
        <w:rPr>
          <w:rFonts w:hint="eastAsia" w:ascii="宋体" w:hAnsi="宋体"/>
          <w:kern w:val="0"/>
          <w:szCs w:val="21"/>
        </w:rPr>
        <w:t>）</w:t>
      </w:r>
      <w:r>
        <w:t>。</w:t>
      </w:r>
    </w:p>
    <w:p w14:paraId="6E700142">
      <w:pPr>
        <w:rPr>
          <w:rFonts w:hint="eastAsia"/>
          <w:lang w:eastAsia="zh-CN"/>
        </w:rPr>
      </w:pPr>
      <w:r>
        <w:rPr>
          <w:rFonts w:hint="eastAsia"/>
          <w:lang w:val="en-US" w:eastAsia="zh-CN"/>
        </w:rPr>
        <w:t>6</w:t>
      </w:r>
      <w:r>
        <w:t>.</w:t>
      </w:r>
      <w:r>
        <w:rPr>
          <w:rFonts w:hint="eastAsia"/>
          <w:lang w:val="en-US" w:eastAsia="zh-CN"/>
        </w:rPr>
        <w:t>6</w:t>
      </w:r>
      <w:r>
        <w:t>.2 将</w:t>
      </w:r>
      <w:r>
        <w:rPr>
          <w:rFonts w:hint="eastAsia"/>
        </w:rPr>
        <w:t>坩埚</w:t>
      </w:r>
      <w:r>
        <w:t>放到</w:t>
      </w:r>
      <w:r>
        <w:rPr>
          <w:rFonts w:hint="eastAsia"/>
          <w:lang w:val="en-US" w:eastAsia="zh-CN"/>
        </w:rPr>
        <w:t>高频感应炉</w:t>
      </w:r>
      <w:r>
        <w:t>的支座上，升到燃烧位置，</w:t>
      </w:r>
      <w:r>
        <w:rPr>
          <w:rFonts w:hint="eastAsia"/>
        </w:rPr>
        <w:t>按</w:t>
      </w:r>
      <w:r>
        <w:t>仪器说明书中“自动”分析步骤操作，仪器自动扣除空白值后显示并打印出碳</w:t>
      </w:r>
      <w:r>
        <w:rPr>
          <w:rFonts w:hint="eastAsia"/>
        </w:rPr>
        <w:t>、硫</w:t>
      </w:r>
      <w:r>
        <w:t>的含量</w:t>
      </w:r>
      <w:r>
        <w:rPr>
          <w:rFonts w:hint="eastAsia"/>
          <w:lang w:eastAsia="zh-CN"/>
        </w:rPr>
        <w:t>。</w:t>
      </w:r>
    </w:p>
    <w:p w14:paraId="0EACE492">
      <w:pPr>
        <w:spacing w:before="312" w:beforeLines="100" w:after="312" w:afterLines="100"/>
        <w:rPr>
          <w:rFonts w:eastAsia="黑体"/>
          <w:szCs w:val="20"/>
        </w:rPr>
      </w:pPr>
      <w:r>
        <w:rPr>
          <w:rFonts w:eastAsia="黑体"/>
          <w:szCs w:val="20"/>
        </w:rPr>
        <w:t>7结果与讨论</w:t>
      </w:r>
    </w:p>
    <w:p w14:paraId="02137D6D">
      <w:pPr>
        <w:rPr>
          <w:rFonts w:eastAsia="黑体"/>
          <w:bCs/>
          <w:szCs w:val="21"/>
        </w:rPr>
      </w:pPr>
      <w:r>
        <w:rPr>
          <w:rFonts w:eastAsia="黑体"/>
          <w:bCs/>
          <w:szCs w:val="21"/>
        </w:rPr>
        <w:t>7.1 助熔剂</w:t>
      </w:r>
    </w:p>
    <w:p w14:paraId="64D186E7">
      <w:pPr>
        <w:rPr>
          <w:rFonts w:eastAsia="黑体"/>
          <w:bCs/>
          <w:szCs w:val="21"/>
        </w:rPr>
      </w:pPr>
      <w:r>
        <w:rPr>
          <w:rFonts w:eastAsia="黑体"/>
          <w:bCs/>
          <w:szCs w:val="21"/>
        </w:rPr>
        <w:t>7.1.1 助熔剂的选择</w:t>
      </w:r>
    </w:p>
    <w:p w14:paraId="062B5360">
      <w:pPr>
        <w:ind w:firstLine="420" w:firstLineChars="200"/>
      </w:pPr>
      <w:r>
        <w:t>用燃烧法测定碳和硫时，为使样品中的碳和硫充分氧化释放出来，通常需添加助熔剂。助熔剂的主要作用是提供样品的氧化热量，改变熔化特性，使燃烧稳定。选择合适的助熔剂能够提高碳和硫的释放率和测量精度。纯铁是高电磁感性金属，可弥补测试样品电测感性不足，有效提升样品的导磁性，使样品燃烧充分。钨助熔剂是高熔点金属，具有发热值高，可提高试样的热容量，提高样品的流动性。但钨有粘性，用量过大时，会造成气体流动不畅。</w:t>
      </w:r>
    </w:p>
    <w:p w14:paraId="6C9674F8">
      <w:r>
        <w:t>锡助熔剂具有发热和稳燃作用，利于样品的流动性和包裹性。但是，锡对硫有吸附作用，易导致硫的测定结果明显偏低。</w:t>
      </w:r>
    </w:p>
    <w:p w14:paraId="084E7259">
      <w:pPr>
        <w:ind w:firstLine="420" w:firstLineChars="200"/>
      </w:pPr>
      <w:r>
        <w:t>本试验选择其中</w:t>
      </w:r>
      <w:r>
        <w:rPr>
          <w:rFonts w:hint="eastAsia"/>
          <w:highlight w:val="none"/>
          <w:lang w:val="en-US" w:eastAsia="zh-CN"/>
        </w:rPr>
        <w:t>3#</w:t>
      </w:r>
      <w:r>
        <w:t>磷酸锰铁锂样品做试验，通过改变助熔剂加入量观察熔样情况和释放曲线，选择最佳助熔剂，结合实际工作经验，分别加入不同量的助溶剂，试验结果见表1。</w:t>
      </w:r>
    </w:p>
    <w:p w14:paraId="44858737">
      <w:pPr>
        <w:spacing w:line="360" w:lineRule="auto"/>
        <w:jc w:val="center"/>
      </w:pPr>
      <w:r>
        <w:t>表1 助熔剂的选择</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1986"/>
        <w:gridCol w:w="2693"/>
        <w:gridCol w:w="1418"/>
        <w:gridCol w:w="1609"/>
      </w:tblGrid>
      <w:tr w14:paraId="7A967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vAlign w:val="center"/>
          </w:tcPr>
          <w:p w14:paraId="373BD2F8">
            <w:pPr>
              <w:jc w:val="center"/>
              <w:rPr>
                <w:sz w:val="21"/>
                <w:szCs w:val="21"/>
              </w:rPr>
            </w:pPr>
            <w:r>
              <w:rPr>
                <w:sz w:val="21"/>
                <w:szCs w:val="21"/>
              </w:rPr>
              <w:t>编号</w:t>
            </w:r>
          </w:p>
        </w:tc>
        <w:tc>
          <w:tcPr>
            <w:tcW w:w="1165" w:type="pct"/>
            <w:vAlign w:val="center"/>
          </w:tcPr>
          <w:p w14:paraId="0D193A9B">
            <w:pPr>
              <w:jc w:val="center"/>
              <w:rPr>
                <w:sz w:val="21"/>
                <w:szCs w:val="21"/>
              </w:rPr>
            </w:pPr>
            <w:r>
              <w:rPr>
                <w:sz w:val="21"/>
                <w:szCs w:val="21"/>
              </w:rPr>
              <w:t>助熔剂</w:t>
            </w:r>
          </w:p>
        </w:tc>
        <w:tc>
          <w:tcPr>
            <w:tcW w:w="1580" w:type="pct"/>
            <w:vAlign w:val="center"/>
          </w:tcPr>
          <w:p w14:paraId="1BE9FCDD">
            <w:pPr>
              <w:jc w:val="center"/>
              <w:rPr>
                <w:sz w:val="21"/>
                <w:szCs w:val="21"/>
              </w:rPr>
            </w:pPr>
            <w:r>
              <w:rPr>
                <w:sz w:val="21"/>
                <w:szCs w:val="21"/>
              </w:rPr>
              <w:t>试样熔融情况</w:t>
            </w:r>
          </w:p>
        </w:tc>
        <w:tc>
          <w:tcPr>
            <w:tcW w:w="832" w:type="pct"/>
            <w:vAlign w:val="center"/>
          </w:tcPr>
          <w:p w14:paraId="5AFC44C3">
            <w:pPr>
              <w:jc w:val="center"/>
              <w:rPr>
                <w:sz w:val="21"/>
                <w:szCs w:val="21"/>
              </w:rPr>
            </w:pPr>
            <w:r>
              <w:rPr>
                <w:sz w:val="21"/>
                <w:szCs w:val="21"/>
              </w:rPr>
              <w:t>碳测定结果/%</w:t>
            </w:r>
          </w:p>
        </w:tc>
        <w:tc>
          <w:tcPr>
            <w:tcW w:w="944" w:type="pct"/>
            <w:vAlign w:val="center"/>
          </w:tcPr>
          <w:p w14:paraId="39767B0C">
            <w:pPr>
              <w:jc w:val="center"/>
              <w:rPr>
                <w:sz w:val="21"/>
                <w:szCs w:val="21"/>
              </w:rPr>
            </w:pPr>
            <w:r>
              <w:rPr>
                <w:sz w:val="21"/>
                <w:szCs w:val="21"/>
              </w:rPr>
              <w:t>硫测定结果</w:t>
            </w:r>
          </w:p>
          <w:p w14:paraId="15E717D6">
            <w:pPr>
              <w:jc w:val="center"/>
              <w:rPr>
                <w:sz w:val="21"/>
                <w:szCs w:val="21"/>
              </w:rPr>
            </w:pPr>
            <w:r>
              <w:rPr>
                <w:sz w:val="21"/>
                <w:szCs w:val="21"/>
              </w:rPr>
              <w:t>/%</w:t>
            </w:r>
          </w:p>
        </w:tc>
      </w:tr>
      <w:tr w14:paraId="456EE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vAlign w:val="center"/>
          </w:tcPr>
          <w:p w14:paraId="79A2A4F4">
            <w:pPr>
              <w:jc w:val="center"/>
              <w:rPr>
                <w:sz w:val="21"/>
                <w:szCs w:val="21"/>
              </w:rPr>
            </w:pPr>
            <w:r>
              <w:rPr>
                <w:sz w:val="21"/>
                <w:szCs w:val="21"/>
              </w:rPr>
              <w:t>1</w:t>
            </w:r>
          </w:p>
        </w:tc>
        <w:tc>
          <w:tcPr>
            <w:tcW w:w="1165" w:type="pct"/>
            <w:vAlign w:val="center"/>
          </w:tcPr>
          <w:p w14:paraId="6F9F0AC4">
            <w:pPr>
              <w:jc w:val="center"/>
              <w:rPr>
                <w:sz w:val="21"/>
                <w:szCs w:val="21"/>
              </w:rPr>
            </w:pPr>
            <w:r>
              <w:rPr>
                <w:sz w:val="21"/>
                <w:szCs w:val="21"/>
              </w:rPr>
              <w:t>铁粒+样品</w:t>
            </w:r>
          </w:p>
        </w:tc>
        <w:tc>
          <w:tcPr>
            <w:tcW w:w="1580" w:type="pct"/>
            <w:vAlign w:val="center"/>
          </w:tcPr>
          <w:p w14:paraId="436CF139">
            <w:pPr>
              <w:jc w:val="center"/>
              <w:rPr>
                <w:sz w:val="21"/>
                <w:szCs w:val="21"/>
              </w:rPr>
            </w:pPr>
            <w:r>
              <w:rPr>
                <w:sz w:val="21"/>
                <w:szCs w:val="21"/>
              </w:rPr>
              <w:t>几乎不溶，熔体呈块状，加</w:t>
            </w:r>
            <w:r>
              <w:rPr>
                <w:rFonts w:hint="eastAsia"/>
                <w:sz w:val="21"/>
                <w:szCs w:val="21"/>
              </w:rPr>
              <w:t>入量超过0.4g</w:t>
            </w:r>
            <w:r>
              <w:rPr>
                <w:sz w:val="21"/>
                <w:szCs w:val="21"/>
              </w:rPr>
              <w:t>容易飞溅</w:t>
            </w:r>
          </w:p>
        </w:tc>
        <w:tc>
          <w:tcPr>
            <w:tcW w:w="832" w:type="pct"/>
            <w:vAlign w:val="center"/>
          </w:tcPr>
          <w:p w14:paraId="21B45AA5">
            <w:pPr>
              <w:jc w:val="center"/>
              <w:rPr>
                <w:sz w:val="21"/>
                <w:szCs w:val="21"/>
              </w:rPr>
            </w:pPr>
            <w:r>
              <w:rPr>
                <w:rFonts w:hint="eastAsia"/>
                <w:sz w:val="21"/>
                <w:szCs w:val="21"/>
              </w:rPr>
              <w:t>2.22，2.12</w:t>
            </w:r>
          </w:p>
        </w:tc>
        <w:tc>
          <w:tcPr>
            <w:tcW w:w="944" w:type="pct"/>
            <w:vAlign w:val="center"/>
          </w:tcPr>
          <w:p w14:paraId="1813E9BB">
            <w:pPr>
              <w:jc w:val="center"/>
              <w:rPr>
                <w:sz w:val="21"/>
                <w:szCs w:val="21"/>
              </w:rPr>
            </w:pPr>
            <w:r>
              <w:rPr>
                <w:rFonts w:hint="eastAsia"/>
                <w:sz w:val="21"/>
                <w:szCs w:val="21"/>
              </w:rPr>
              <w:t>0.0523，0.0374</w:t>
            </w:r>
          </w:p>
        </w:tc>
      </w:tr>
      <w:tr w14:paraId="23570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vAlign w:val="center"/>
          </w:tcPr>
          <w:p w14:paraId="49A5F704">
            <w:pPr>
              <w:jc w:val="center"/>
              <w:rPr>
                <w:sz w:val="21"/>
                <w:szCs w:val="21"/>
              </w:rPr>
            </w:pPr>
            <w:r>
              <w:rPr>
                <w:sz w:val="21"/>
                <w:szCs w:val="21"/>
              </w:rPr>
              <w:t>2</w:t>
            </w:r>
          </w:p>
        </w:tc>
        <w:tc>
          <w:tcPr>
            <w:tcW w:w="1165" w:type="pct"/>
            <w:vAlign w:val="center"/>
          </w:tcPr>
          <w:p w14:paraId="7F0240B9">
            <w:pPr>
              <w:jc w:val="center"/>
              <w:rPr>
                <w:sz w:val="21"/>
                <w:szCs w:val="21"/>
              </w:rPr>
            </w:pPr>
            <w:r>
              <w:rPr>
                <w:sz w:val="21"/>
                <w:szCs w:val="21"/>
              </w:rPr>
              <w:t>钨粒+样品</w:t>
            </w:r>
          </w:p>
        </w:tc>
        <w:tc>
          <w:tcPr>
            <w:tcW w:w="1580" w:type="pct"/>
            <w:vAlign w:val="center"/>
          </w:tcPr>
          <w:p w14:paraId="1479E51B">
            <w:pPr>
              <w:jc w:val="center"/>
              <w:rPr>
                <w:sz w:val="21"/>
                <w:szCs w:val="21"/>
              </w:rPr>
            </w:pPr>
            <w:r>
              <w:rPr>
                <w:sz w:val="21"/>
                <w:szCs w:val="21"/>
              </w:rPr>
              <w:t>熔体聚集，熔融不均匀未完全散开，加多灰尘较多</w:t>
            </w:r>
          </w:p>
        </w:tc>
        <w:tc>
          <w:tcPr>
            <w:tcW w:w="832" w:type="pct"/>
            <w:vAlign w:val="center"/>
          </w:tcPr>
          <w:p w14:paraId="4B6E40D5">
            <w:pPr>
              <w:jc w:val="center"/>
              <w:rPr>
                <w:sz w:val="21"/>
                <w:szCs w:val="21"/>
              </w:rPr>
            </w:pPr>
            <w:r>
              <w:rPr>
                <w:rFonts w:hint="eastAsia"/>
                <w:sz w:val="21"/>
                <w:szCs w:val="21"/>
              </w:rPr>
              <w:t>2.51，2.50</w:t>
            </w:r>
          </w:p>
        </w:tc>
        <w:tc>
          <w:tcPr>
            <w:tcW w:w="944" w:type="pct"/>
            <w:vAlign w:val="center"/>
          </w:tcPr>
          <w:p w14:paraId="7A855FF4">
            <w:pPr>
              <w:jc w:val="center"/>
              <w:rPr>
                <w:sz w:val="21"/>
                <w:szCs w:val="21"/>
              </w:rPr>
            </w:pPr>
            <w:r>
              <w:rPr>
                <w:rFonts w:hint="eastAsia"/>
                <w:sz w:val="21"/>
                <w:szCs w:val="21"/>
              </w:rPr>
              <w:t>0.107，0.108</w:t>
            </w:r>
          </w:p>
        </w:tc>
      </w:tr>
      <w:tr w14:paraId="6F8E2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vAlign w:val="center"/>
          </w:tcPr>
          <w:p w14:paraId="5C88CCF2">
            <w:pPr>
              <w:jc w:val="center"/>
              <w:rPr>
                <w:sz w:val="21"/>
                <w:szCs w:val="21"/>
              </w:rPr>
            </w:pPr>
            <w:r>
              <w:rPr>
                <w:sz w:val="21"/>
                <w:szCs w:val="21"/>
              </w:rPr>
              <w:t>3</w:t>
            </w:r>
          </w:p>
        </w:tc>
        <w:tc>
          <w:tcPr>
            <w:tcW w:w="1165" w:type="pct"/>
            <w:vAlign w:val="center"/>
          </w:tcPr>
          <w:p w14:paraId="072B3BB4">
            <w:pPr>
              <w:jc w:val="center"/>
              <w:rPr>
                <w:sz w:val="21"/>
                <w:szCs w:val="21"/>
              </w:rPr>
            </w:pPr>
            <w:r>
              <w:rPr>
                <w:sz w:val="21"/>
                <w:szCs w:val="21"/>
              </w:rPr>
              <w:t>锡粒+样品</w:t>
            </w:r>
          </w:p>
        </w:tc>
        <w:tc>
          <w:tcPr>
            <w:tcW w:w="1580" w:type="pct"/>
            <w:vAlign w:val="center"/>
          </w:tcPr>
          <w:p w14:paraId="209E2F6D">
            <w:pPr>
              <w:jc w:val="center"/>
              <w:rPr>
                <w:sz w:val="21"/>
                <w:szCs w:val="21"/>
              </w:rPr>
            </w:pPr>
            <w:r>
              <w:rPr>
                <w:sz w:val="21"/>
                <w:szCs w:val="21"/>
              </w:rPr>
              <w:t>熔融不完全，有结块</w:t>
            </w:r>
          </w:p>
        </w:tc>
        <w:tc>
          <w:tcPr>
            <w:tcW w:w="832" w:type="pct"/>
            <w:vAlign w:val="center"/>
          </w:tcPr>
          <w:p w14:paraId="7F35FDB3">
            <w:pPr>
              <w:jc w:val="center"/>
              <w:rPr>
                <w:rFonts w:hint="default" w:eastAsia="宋体"/>
                <w:sz w:val="21"/>
                <w:szCs w:val="21"/>
                <w:lang w:val="en-US" w:eastAsia="zh-CN"/>
              </w:rPr>
            </w:pPr>
            <w:r>
              <w:rPr>
                <w:rFonts w:hint="eastAsia"/>
                <w:sz w:val="21"/>
                <w:szCs w:val="21"/>
                <w:lang w:val="en-US" w:eastAsia="zh-CN"/>
              </w:rPr>
              <w:t>2.16，2.21</w:t>
            </w:r>
          </w:p>
        </w:tc>
        <w:tc>
          <w:tcPr>
            <w:tcW w:w="944" w:type="pct"/>
            <w:vAlign w:val="center"/>
          </w:tcPr>
          <w:p w14:paraId="61E7BD1C">
            <w:pPr>
              <w:jc w:val="center"/>
              <w:rPr>
                <w:rFonts w:hint="default" w:eastAsia="宋体"/>
                <w:sz w:val="21"/>
                <w:szCs w:val="21"/>
                <w:lang w:val="en-US" w:eastAsia="zh-CN"/>
              </w:rPr>
            </w:pPr>
            <w:r>
              <w:rPr>
                <w:rFonts w:hint="eastAsia"/>
                <w:sz w:val="21"/>
                <w:szCs w:val="21"/>
                <w:lang w:val="en-US" w:eastAsia="zh-CN"/>
              </w:rPr>
              <w:t>0.0242，0.0250</w:t>
            </w:r>
          </w:p>
        </w:tc>
      </w:tr>
      <w:tr w14:paraId="27E5D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vAlign w:val="center"/>
          </w:tcPr>
          <w:p w14:paraId="3AF749A4">
            <w:pPr>
              <w:jc w:val="center"/>
              <w:rPr>
                <w:sz w:val="21"/>
                <w:szCs w:val="21"/>
              </w:rPr>
            </w:pPr>
            <w:r>
              <w:rPr>
                <w:sz w:val="21"/>
                <w:szCs w:val="21"/>
              </w:rPr>
              <w:t>4</w:t>
            </w:r>
          </w:p>
        </w:tc>
        <w:tc>
          <w:tcPr>
            <w:tcW w:w="1165" w:type="pct"/>
            <w:vAlign w:val="center"/>
          </w:tcPr>
          <w:p w14:paraId="3BD0FC02">
            <w:pPr>
              <w:jc w:val="center"/>
              <w:rPr>
                <w:sz w:val="21"/>
                <w:szCs w:val="21"/>
              </w:rPr>
            </w:pPr>
            <w:r>
              <w:rPr>
                <w:sz w:val="21"/>
                <w:szCs w:val="21"/>
              </w:rPr>
              <w:t>铁粒+样品+锡粒</w:t>
            </w:r>
          </w:p>
        </w:tc>
        <w:tc>
          <w:tcPr>
            <w:tcW w:w="1580" w:type="pct"/>
            <w:vAlign w:val="center"/>
          </w:tcPr>
          <w:p w14:paraId="5B60B3FD">
            <w:pPr>
              <w:jc w:val="center"/>
              <w:rPr>
                <w:rFonts w:hint="default" w:eastAsia="宋体"/>
                <w:sz w:val="21"/>
                <w:szCs w:val="21"/>
                <w:lang w:val="en-US" w:eastAsia="zh-CN"/>
              </w:rPr>
            </w:pPr>
            <w:r>
              <w:rPr>
                <w:sz w:val="21"/>
                <w:szCs w:val="21"/>
              </w:rPr>
              <w:t>熔融不完全，</w:t>
            </w:r>
            <w:r>
              <w:rPr>
                <w:rFonts w:hint="eastAsia"/>
                <w:sz w:val="21"/>
                <w:szCs w:val="21"/>
                <w:lang w:val="en-US" w:eastAsia="zh-CN"/>
              </w:rPr>
              <w:t>硫的峰拖尾严重</w:t>
            </w:r>
          </w:p>
        </w:tc>
        <w:tc>
          <w:tcPr>
            <w:tcW w:w="832" w:type="pct"/>
            <w:vAlign w:val="center"/>
          </w:tcPr>
          <w:p w14:paraId="6381A45E">
            <w:pPr>
              <w:jc w:val="center"/>
              <w:rPr>
                <w:rFonts w:hint="default" w:eastAsia="宋体"/>
                <w:sz w:val="21"/>
                <w:szCs w:val="21"/>
                <w:lang w:val="en-US" w:eastAsia="zh-CN"/>
              </w:rPr>
            </w:pPr>
            <w:r>
              <w:rPr>
                <w:rFonts w:hint="eastAsia"/>
                <w:sz w:val="21"/>
                <w:szCs w:val="21"/>
                <w:lang w:val="en-US" w:eastAsia="zh-CN"/>
              </w:rPr>
              <w:t>2.33，2.35</w:t>
            </w:r>
          </w:p>
        </w:tc>
        <w:tc>
          <w:tcPr>
            <w:tcW w:w="944" w:type="pct"/>
            <w:vAlign w:val="center"/>
          </w:tcPr>
          <w:p w14:paraId="71941979">
            <w:pPr>
              <w:jc w:val="center"/>
              <w:rPr>
                <w:rFonts w:hint="default" w:eastAsia="宋体"/>
                <w:sz w:val="21"/>
                <w:szCs w:val="21"/>
                <w:lang w:val="en-US" w:eastAsia="zh-CN"/>
              </w:rPr>
            </w:pPr>
            <w:r>
              <w:rPr>
                <w:rFonts w:hint="eastAsia"/>
                <w:sz w:val="21"/>
                <w:szCs w:val="21"/>
                <w:lang w:val="en-US" w:eastAsia="zh-CN"/>
              </w:rPr>
              <w:t>0.0694，0.0840</w:t>
            </w:r>
          </w:p>
        </w:tc>
      </w:tr>
      <w:tr w14:paraId="0828B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vAlign w:val="center"/>
          </w:tcPr>
          <w:p w14:paraId="36FEA9A5">
            <w:pPr>
              <w:jc w:val="center"/>
              <w:rPr>
                <w:sz w:val="21"/>
                <w:szCs w:val="21"/>
              </w:rPr>
            </w:pPr>
            <w:r>
              <w:rPr>
                <w:sz w:val="21"/>
                <w:szCs w:val="21"/>
              </w:rPr>
              <w:t>5</w:t>
            </w:r>
          </w:p>
        </w:tc>
        <w:tc>
          <w:tcPr>
            <w:tcW w:w="1165" w:type="pct"/>
            <w:vAlign w:val="center"/>
          </w:tcPr>
          <w:p w14:paraId="62BEF448">
            <w:pPr>
              <w:jc w:val="center"/>
              <w:rPr>
                <w:sz w:val="21"/>
                <w:szCs w:val="21"/>
              </w:rPr>
            </w:pPr>
            <w:r>
              <w:rPr>
                <w:sz w:val="21"/>
                <w:szCs w:val="21"/>
              </w:rPr>
              <w:t>钨粒+样品+锡粒</w:t>
            </w:r>
          </w:p>
        </w:tc>
        <w:tc>
          <w:tcPr>
            <w:tcW w:w="1580" w:type="pct"/>
            <w:vAlign w:val="center"/>
          </w:tcPr>
          <w:p w14:paraId="52AE6A16">
            <w:pPr>
              <w:jc w:val="center"/>
              <w:rPr>
                <w:rFonts w:hint="eastAsia" w:eastAsia="宋体"/>
                <w:sz w:val="21"/>
                <w:szCs w:val="21"/>
                <w:lang w:eastAsia="zh-CN"/>
              </w:rPr>
            </w:pPr>
            <w:r>
              <w:rPr>
                <w:sz w:val="21"/>
                <w:szCs w:val="21"/>
              </w:rPr>
              <w:t>熔融不彻底，粉尘多，部分呈颗粒状</w:t>
            </w:r>
            <w:r>
              <w:rPr>
                <w:rFonts w:hint="eastAsia"/>
                <w:sz w:val="21"/>
                <w:szCs w:val="21"/>
                <w:lang w:eastAsia="zh-CN"/>
              </w:rPr>
              <w:t>，</w:t>
            </w:r>
            <w:r>
              <w:rPr>
                <w:rFonts w:hint="eastAsia"/>
                <w:sz w:val="21"/>
                <w:szCs w:val="21"/>
                <w:lang w:val="en-US" w:eastAsia="zh-CN"/>
              </w:rPr>
              <w:t>硫的峰拖尾</w:t>
            </w:r>
          </w:p>
        </w:tc>
        <w:tc>
          <w:tcPr>
            <w:tcW w:w="832" w:type="pct"/>
            <w:vAlign w:val="center"/>
          </w:tcPr>
          <w:p w14:paraId="27812501">
            <w:pPr>
              <w:jc w:val="center"/>
              <w:rPr>
                <w:rFonts w:hint="default" w:eastAsia="宋体"/>
                <w:sz w:val="21"/>
                <w:szCs w:val="21"/>
                <w:lang w:val="en-US" w:eastAsia="zh-CN"/>
              </w:rPr>
            </w:pPr>
            <w:r>
              <w:rPr>
                <w:rFonts w:hint="eastAsia"/>
                <w:sz w:val="21"/>
                <w:szCs w:val="21"/>
                <w:lang w:val="en-US" w:eastAsia="zh-CN"/>
              </w:rPr>
              <w:t>2.51，2.48</w:t>
            </w:r>
          </w:p>
        </w:tc>
        <w:tc>
          <w:tcPr>
            <w:tcW w:w="944" w:type="pct"/>
            <w:vAlign w:val="center"/>
          </w:tcPr>
          <w:p w14:paraId="3DEBDFEC">
            <w:pPr>
              <w:jc w:val="center"/>
              <w:rPr>
                <w:rFonts w:hint="default" w:eastAsia="宋体"/>
                <w:sz w:val="21"/>
                <w:szCs w:val="21"/>
                <w:lang w:val="en-US" w:eastAsia="zh-CN"/>
              </w:rPr>
            </w:pPr>
            <w:r>
              <w:rPr>
                <w:rFonts w:hint="eastAsia"/>
                <w:sz w:val="21"/>
                <w:szCs w:val="21"/>
                <w:lang w:val="en-US" w:eastAsia="zh-CN"/>
              </w:rPr>
              <w:t>0.102，0.104</w:t>
            </w:r>
          </w:p>
        </w:tc>
      </w:tr>
      <w:tr w14:paraId="41A6C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vAlign w:val="center"/>
          </w:tcPr>
          <w:p w14:paraId="1D398B58">
            <w:pPr>
              <w:jc w:val="center"/>
              <w:rPr>
                <w:sz w:val="21"/>
                <w:szCs w:val="21"/>
              </w:rPr>
            </w:pPr>
            <w:r>
              <w:rPr>
                <w:sz w:val="21"/>
                <w:szCs w:val="21"/>
              </w:rPr>
              <w:t>6</w:t>
            </w:r>
          </w:p>
        </w:tc>
        <w:tc>
          <w:tcPr>
            <w:tcW w:w="1165" w:type="pct"/>
            <w:vAlign w:val="center"/>
          </w:tcPr>
          <w:p w14:paraId="43A367D7">
            <w:pPr>
              <w:jc w:val="center"/>
              <w:rPr>
                <w:sz w:val="21"/>
                <w:szCs w:val="21"/>
              </w:rPr>
            </w:pPr>
            <w:r>
              <w:rPr>
                <w:sz w:val="21"/>
                <w:szCs w:val="21"/>
              </w:rPr>
              <w:t>铁粒+样品+钨粒</w:t>
            </w:r>
          </w:p>
        </w:tc>
        <w:tc>
          <w:tcPr>
            <w:tcW w:w="1580" w:type="pct"/>
            <w:vAlign w:val="center"/>
          </w:tcPr>
          <w:p w14:paraId="6ED377C6">
            <w:pPr>
              <w:jc w:val="center"/>
              <w:rPr>
                <w:sz w:val="21"/>
                <w:szCs w:val="21"/>
              </w:rPr>
            </w:pPr>
            <w:r>
              <w:rPr>
                <w:sz w:val="21"/>
                <w:szCs w:val="21"/>
              </w:rPr>
              <w:t>熔融</w:t>
            </w:r>
            <w:r>
              <w:rPr>
                <w:rFonts w:hint="eastAsia"/>
                <w:sz w:val="21"/>
                <w:szCs w:val="21"/>
              </w:rPr>
              <w:t>良</w:t>
            </w:r>
            <w:r>
              <w:rPr>
                <w:sz w:val="21"/>
                <w:szCs w:val="21"/>
              </w:rPr>
              <w:t>好，表面光滑，不</w:t>
            </w:r>
            <w:r>
              <w:rPr>
                <w:rFonts w:hint="eastAsia"/>
                <w:sz w:val="21"/>
                <w:szCs w:val="21"/>
              </w:rPr>
              <w:t>迸</w:t>
            </w:r>
            <w:r>
              <w:rPr>
                <w:sz w:val="21"/>
                <w:szCs w:val="21"/>
              </w:rPr>
              <w:t>溅</w:t>
            </w:r>
          </w:p>
        </w:tc>
        <w:tc>
          <w:tcPr>
            <w:tcW w:w="832" w:type="pct"/>
            <w:vAlign w:val="center"/>
          </w:tcPr>
          <w:p w14:paraId="52DB3CB4">
            <w:pPr>
              <w:jc w:val="center"/>
              <w:rPr>
                <w:sz w:val="21"/>
                <w:szCs w:val="21"/>
              </w:rPr>
            </w:pPr>
            <w:r>
              <w:rPr>
                <w:rFonts w:hint="eastAsia"/>
                <w:sz w:val="21"/>
                <w:szCs w:val="21"/>
              </w:rPr>
              <w:t>2.51，2.50</w:t>
            </w:r>
          </w:p>
        </w:tc>
        <w:tc>
          <w:tcPr>
            <w:tcW w:w="944" w:type="pct"/>
            <w:vAlign w:val="center"/>
          </w:tcPr>
          <w:p w14:paraId="462490E5">
            <w:pPr>
              <w:jc w:val="center"/>
              <w:rPr>
                <w:rFonts w:hint="eastAsia" w:eastAsia="宋体"/>
                <w:sz w:val="21"/>
                <w:szCs w:val="21"/>
                <w:lang w:eastAsia="zh-CN"/>
              </w:rPr>
            </w:pPr>
            <w:r>
              <w:rPr>
                <w:rFonts w:hint="eastAsia"/>
                <w:sz w:val="21"/>
                <w:szCs w:val="21"/>
              </w:rPr>
              <w:t>0.10</w:t>
            </w:r>
            <w:r>
              <w:rPr>
                <w:rFonts w:hint="eastAsia"/>
                <w:sz w:val="21"/>
                <w:szCs w:val="21"/>
                <w:lang w:val="en-US" w:eastAsia="zh-CN"/>
              </w:rPr>
              <w:t>7</w:t>
            </w:r>
            <w:r>
              <w:rPr>
                <w:rFonts w:hint="eastAsia"/>
                <w:sz w:val="21"/>
                <w:szCs w:val="21"/>
              </w:rPr>
              <w:t>，0.10</w:t>
            </w:r>
            <w:r>
              <w:rPr>
                <w:rFonts w:hint="eastAsia"/>
                <w:sz w:val="21"/>
                <w:szCs w:val="21"/>
                <w:lang w:val="en-US" w:eastAsia="zh-CN"/>
              </w:rPr>
              <w:t>8</w:t>
            </w:r>
          </w:p>
        </w:tc>
      </w:tr>
      <w:tr w14:paraId="0DA7C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vAlign w:val="center"/>
          </w:tcPr>
          <w:p w14:paraId="41461FF9">
            <w:pPr>
              <w:jc w:val="center"/>
              <w:rPr>
                <w:sz w:val="21"/>
                <w:szCs w:val="21"/>
              </w:rPr>
            </w:pPr>
            <w:r>
              <w:rPr>
                <w:rFonts w:hint="eastAsia"/>
                <w:sz w:val="21"/>
                <w:szCs w:val="21"/>
              </w:rPr>
              <w:t>7</w:t>
            </w:r>
          </w:p>
        </w:tc>
        <w:tc>
          <w:tcPr>
            <w:tcW w:w="1165" w:type="pct"/>
            <w:vAlign w:val="center"/>
          </w:tcPr>
          <w:p w14:paraId="5007E386">
            <w:pPr>
              <w:jc w:val="center"/>
              <w:rPr>
                <w:sz w:val="21"/>
                <w:szCs w:val="21"/>
              </w:rPr>
            </w:pPr>
            <w:r>
              <w:rPr>
                <w:sz w:val="21"/>
                <w:szCs w:val="21"/>
              </w:rPr>
              <w:t>铁粒+样品+钨粒</w:t>
            </w:r>
            <w:r>
              <w:rPr>
                <w:rFonts w:hint="eastAsia"/>
                <w:sz w:val="21"/>
                <w:szCs w:val="21"/>
              </w:rPr>
              <w:t>+锡粒</w:t>
            </w:r>
          </w:p>
        </w:tc>
        <w:tc>
          <w:tcPr>
            <w:tcW w:w="1580" w:type="pct"/>
            <w:vAlign w:val="center"/>
          </w:tcPr>
          <w:p w14:paraId="68B633B9">
            <w:pPr>
              <w:jc w:val="center"/>
              <w:rPr>
                <w:sz w:val="21"/>
                <w:szCs w:val="21"/>
              </w:rPr>
            </w:pPr>
            <w:r>
              <w:rPr>
                <w:rFonts w:hint="eastAsia"/>
                <w:sz w:val="21"/>
                <w:szCs w:val="21"/>
              </w:rPr>
              <w:t>熔体良好，但有少许迸溅</w:t>
            </w:r>
          </w:p>
        </w:tc>
        <w:tc>
          <w:tcPr>
            <w:tcW w:w="832" w:type="pct"/>
            <w:vAlign w:val="center"/>
          </w:tcPr>
          <w:p w14:paraId="38536A21">
            <w:pPr>
              <w:jc w:val="center"/>
              <w:rPr>
                <w:rFonts w:hint="default" w:eastAsia="宋体"/>
                <w:sz w:val="21"/>
                <w:szCs w:val="21"/>
                <w:lang w:val="en-US" w:eastAsia="zh-CN"/>
              </w:rPr>
            </w:pPr>
            <w:r>
              <w:rPr>
                <w:rFonts w:hint="eastAsia"/>
                <w:sz w:val="21"/>
                <w:szCs w:val="21"/>
                <w:lang w:val="en-US" w:eastAsia="zh-CN"/>
              </w:rPr>
              <w:t>2.48，2.50</w:t>
            </w:r>
          </w:p>
        </w:tc>
        <w:tc>
          <w:tcPr>
            <w:tcW w:w="944" w:type="pct"/>
            <w:vAlign w:val="center"/>
          </w:tcPr>
          <w:p w14:paraId="52A10661">
            <w:pPr>
              <w:jc w:val="center"/>
              <w:rPr>
                <w:rFonts w:hint="default" w:eastAsia="宋体"/>
                <w:sz w:val="21"/>
                <w:szCs w:val="21"/>
                <w:lang w:val="en-US" w:eastAsia="zh-CN"/>
              </w:rPr>
            </w:pPr>
            <w:r>
              <w:rPr>
                <w:rFonts w:hint="eastAsia"/>
                <w:sz w:val="21"/>
                <w:szCs w:val="21"/>
                <w:lang w:val="en-US" w:eastAsia="zh-CN"/>
              </w:rPr>
              <w:t>0.107，0.109</w:t>
            </w:r>
          </w:p>
        </w:tc>
      </w:tr>
    </w:tbl>
    <w:p w14:paraId="7D8FC1F5">
      <w:pPr>
        <w:ind w:firstLine="420" w:firstLineChars="200"/>
      </w:pPr>
      <w:r>
        <w:t>试验</w:t>
      </w:r>
      <w:r>
        <w:rPr>
          <w:rFonts w:hint="eastAsia"/>
          <w:lang w:val="en-US" w:eastAsia="zh-CN"/>
        </w:rPr>
        <w:t>结果</w:t>
      </w:r>
      <w:r>
        <w:t>表明：加入铁、钨、锡单一助溶剂</w:t>
      </w:r>
      <w:r>
        <w:rPr>
          <w:rFonts w:hint="eastAsia"/>
          <w:lang w:val="en-US" w:eastAsia="zh-CN"/>
        </w:rPr>
        <w:t>时</w:t>
      </w:r>
      <w:r>
        <w:t>，熔融不完全，有结块，样品燃烧不充分</w:t>
      </w:r>
      <w:r>
        <w:rPr>
          <w:rFonts w:hint="eastAsia"/>
          <w:color w:val="auto"/>
          <w:lang w:eastAsia="zh-CN"/>
        </w:rPr>
        <w:t>；</w:t>
      </w:r>
      <w:r>
        <w:t>锡+纯铁为助熔剂，样品燃烧不完全，表面有小坑，不光滑，粉尘多，硫的释放曲线差，峰值信号低；钨+锡为助熔剂，样品熔融不彻底，粉尘多；铁+钨为助熔剂，样品熔融很好，表面光滑，不喷溅，粉尘极少，碳和硫释放曲线平滑，峰型好。铁粒+钨粒</w:t>
      </w:r>
      <w:r>
        <w:rPr>
          <w:rFonts w:hint="eastAsia"/>
        </w:rPr>
        <w:t>+锡粒</w:t>
      </w:r>
      <w:r>
        <w:t>为助熔剂</w:t>
      </w:r>
      <w:r>
        <w:rPr>
          <w:rFonts w:hint="eastAsia"/>
        </w:rPr>
        <w:t>，熔体良好，但是</w:t>
      </w:r>
      <w:r>
        <w:rPr>
          <w:rFonts w:hint="eastAsia"/>
          <w:lang w:val="en-US" w:eastAsia="zh-CN"/>
        </w:rPr>
        <w:t>坩埚外侧有</w:t>
      </w:r>
      <w:r>
        <w:rPr>
          <w:rFonts w:hint="eastAsia"/>
        </w:rPr>
        <w:t>有少许迸溅</w:t>
      </w:r>
      <w:r>
        <w:rPr>
          <w:rFonts w:hint="eastAsia"/>
          <w:lang w:val="en-US" w:eastAsia="zh-CN"/>
        </w:rPr>
        <w:t>的黑色颗粒</w:t>
      </w:r>
      <w:r>
        <w:rPr>
          <w:rFonts w:hint="eastAsia"/>
        </w:rPr>
        <w:t>。</w:t>
      </w:r>
      <w:r>
        <w:t>因此，本试验</w:t>
      </w:r>
      <w:r>
        <w:rPr>
          <w:rFonts w:hint="eastAsia"/>
        </w:rPr>
        <w:t>推荐使用</w:t>
      </w:r>
      <w:r>
        <w:t>铁+钨作为助熔剂。</w:t>
      </w:r>
    </w:p>
    <w:p w14:paraId="5A81B07E">
      <w:pPr>
        <w:rPr>
          <w:szCs w:val="21"/>
        </w:rPr>
      </w:pPr>
      <w:r>
        <w:rPr>
          <w:rFonts w:eastAsia="黑体"/>
          <w:bCs/>
          <w:szCs w:val="21"/>
        </w:rPr>
        <w:t>7.1.2  助熔剂的用量</w:t>
      </w:r>
    </w:p>
    <w:p w14:paraId="7D8D3E02">
      <w:pPr>
        <w:ind w:firstLine="420" w:firstLineChars="200"/>
      </w:pPr>
      <w:r>
        <w:t>在分析试样时，加入助熔剂助熔发热，增加样品流动性及覆盖样品防止飞溅</w:t>
      </w:r>
      <w:r>
        <w:rPr>
          <w:rFonts w:hint="eastAsia"/>
          <w:lang w:eastAsia="zh-CN"/>
        </w:rPr>
        <w:t>。</w:t>
      </w:r>
      <w:r>
        <w:t>助熔剂选择合适，用量适当，会加速样品氧化熔融提高碳硫的释放率和测定的精度。因此，助熔剂的多少，影响试样中碳和硫量的释放率。量太少，燃烧不完全；量太多，粉尘大，易产生吸附，影响测定结果准确度。</w:t>
      </w:r>
    </w:p>
    <w:p w14:paraId="2C9DF26E">
      <w:pPr>
        <w:ind w:firstLine="420" w:firstLineChars="200"/>
      </w:pPr>
      <w:r>
        <w:t>先对纯铁和纯钨助熔剂的空白进行测定，纯铁助熔剂在0.3g～0.6g之间没有显著变化，纯钨助熔剂在0.5g～2.0g之间没有显著变化。</w:t>
      </w:r>
    </w:p>
    <w:p w14:paraId="2A8E7FC1">
      <w:pPr>
        <w:ind w:firstLine="420" w:firstLineChars="200"/>
      </w:pPr>
      <w:r>
        <w:t xml:space="preserve">称取0.10g </w:t>
      </w:r>
      <w:r>
        <w:rPr>
          <w:rFonts w:hint="eastAsia"/>
          <w:highlight w:val="none"/>
          <w:lang w:val="en-US" w:eastAsia="zh-CN"/>
        </w:rPr>
        <w:t>3#</w:t>
      </w:r>
      <w:r>
        <w:t>磷酸锰铁锂试样，</w:t>
      </w:r>
      <w:r>
        <w:rPr>
          <w:rFonts w:hint="eastAsia"/>
        </w:rPr>
        <w:t>控制</w:t>
      </w:r>
      <w:r>
        <w:t>钨助溶剂的加入量为1.5g，依次改变纯铁助熔剂的量，观察熔样情况和释放曲线，结果见表2。</w:t>
      </w:r>
    </w:p>
    <w:p w14:paraId="69F3FCA2">
      <w:pPr>
        <w:spacing w:before="156" w:beforeLines="50" w:after="156" w:afterLines="50"/>
        <w:jc w:val="center"/>
        <w:rPr>
          <w:rFonts w:eastAsia="黑体"/>
          <w:szCs w:val="21"/>
        </w:rPr>
      </w:pPr>
      <w:r>
        <w:rPr>
          <w:rFonts w:eastAsia="黑体"/>
          <w:szCs w:val="21"/>
        </w:rPr>
        <w:t>表2 纯铁助熔剂加入量试验</w:t>
      </w:r>
    </w:p>
    <w:tbl>
      <w:tblPr>
        <w:tblStyle w:val="9"/>
        <w:tblW w:w="5000" w:type="pct"/>
        <w:jc w:val="center"/>
        <w:tblLayout w:type="autofit"/>
        <w:tblCellMar>
          <w:top w:w="0" w:type="dxa"/>
          <w:left w:w="108" w:type="dxa"/>
          <w:bottom w:w="0" w:type="dxa"/>
          <w:right w:w="108" w:type="dxa"/>
        </w:tblCellMar>
      </w:tblPr>
      <w:tblGrid>
        <w:gridCol w:w="2123"/>
        <w:gridCol w:w="1470"/>
        <w:gridCol w:w="1763"/>
        <w:gridCol w:w="1552"/>
        <w:gridCol w:w="1614"/>
      </w:tblGrid>
      <w:tr w14:paraId="3003394D">
        <w:tblPrEx>
          <w:tblCellMar>
            <w:top w:w="0" w:type="dxa"/>
            <w:left w:w="108" w:type="dxa"/>
            <w:bottom w:w="0" w:type="dxa"/>
            <w:right w:w="108" w:type="dxa"/>
          </w:tblCellMar>
        </w:tblPrEx>
        <w:trPr>
          <w:trHeight w:val="360" w:hRule="atLeast"/>
          <w:jc w:val="center"/>
        </w:trPr>
        <w:tc>
          <w:tcPr>
            <w:tcW w:w="1245" w:type="pct"/>
            <w:tcBorders>
              <w:top w:val="single" w:color="auto" w:sz="4" w:space="0"/>
              <w:left w:val="single" w:color="auto" w:sz="4" w:space="0"/>
              <w:bottom w:val="single" w:color="auto" w:sz="4" w:space="0"/>
              <w:right w:val="single" w:color="auto" w:sz="4" w:space="0"/>
            </w:tcBorders>
            <w:vAlign w:val="center"/>
          </w:tcPr>
          <w:p w14:paraId="030CB8BE">
            <w:pPr>
              <w:widowControl/>
              <w:spacing w:line="276" w:lineRule="auto"/>
              <w:jc w:val="center"/>
              <w:rPr>
                <w:b/>
                <w:kern w:val="0"/>
                <w:sz w:val="21"/>
                <w:szCs w:val="21"/>
              </w:rPr>
            </w:pPr>
            <w:r>
              <w:rPr>
                <w:b/>
                <w:kern w:val="0"/>
                <w:sz w:val="21"/>
                <w:szCs w:val="21"/>
              </w:rPr>
              <w:t>纯铁助熔剂加入量/g</w:t>
            </w:r>
          </w:p>
        </w:tc>
        <w:tc>
          <w:tcPr>
            <w:tcW w:w="862" w:type="pct"/>
            <w:tcBorders>
              <w:top w:val="single" w:color="auto" w:sz="4" w:space="0"/>
              <w:left w:val="nil"/>
              <w:bottom w:val="single" w:color="auto" w:sz="4" w:space="0"/>
              <w:right w:val="single" w:color="auto" w:sz="4" w:space="0"/>
            </w:tcBorders>
            <w:vAlign w:val="center"/>
          </w:tcPr>
          <w:p w14:paraId="027741A4">
            <w:pPr>
              <w:widowControl/>
              <w:spacing w:line="276" w:lineRule="auto"/>
              <w:jc w:val="center"/>
              <w:rPr>
                <w:b/>
                <w:kern w:val="0"/>
                <w:sz w:val="21"/>
                <w:szCs w:val="21"/>
              </w:rPr>
            </w:pPr>
            <w:r>
              <w:rPr>
                <w:b/>
                <w:kern w:val="0"/>
                <w:sz w:val="21"/>
                <w:szCs w:val="21"/>
              </w:rPr>
              <w:t>熔样情况</w:t>
            </w:r>
          </w:p>
        </w:tc>
        <w:tc>
          <w:tcPr>
            <w:tcW w:w="1034" w:type="pct"/>
            <w:tcBorders>
              <w:top w:val="single" w:color="auto" w:sz="4" w:space="0"/>
              <w:left w:val="nil"/>
              <w:bottom w:val="single" w:color="auto" w:sz="4" w:space="0"/>
              <w:right w:val="single" w:color="auto" w:sz="4" w:space="0"/>
            </w:tcBorders>
            <w:vAlign w:val="center"/>
          </w:tcPr>
          <w:p w14:paraId="47AAAD3A">
            <w:pPr>
              <w:widowControl/>
              <w:spacing w:line="276" w:lineRule="auto"/>
              <w:jc w:val="center"/>
              <w:rPr>
                <w:b/>
                <w:kern w:val="0"/>
                <w:sz w:val="21"/>
                <w:szCs w:val="21"/>
              </w:rPr>
            </w:pPr>
            <w:r>
              <w:rPr>
                <w:b/>
                <w:kern w:val="0"/>
                <w:sz w:val="21"/>
                <w:szCs w:val="21"/>
              </w:rPr>
              <w:t>硫曲线释放情况</w:t>
            </w:r>
          </w:p>
        </w:tc>
        <w:tc>
          <w:tcPr>
            <w:tcW w:w="910" w:type="pct"/>
            <w:tcBorders>
              <w:top w:val="single" w:color="auto" w:sz="4" w:space="0"/>
              <w:left w:val="nil"/>
              <w:bottom w:val="single" w:color="auto" w:sz="4" w:space="0"/>
              <w:right w:val="single" w:color="auto" w:sz="4" w:space="0"/>
            </w:tcBorders>
            <w:vAlign w:val="center"/>
          </w:tcPr>
          <w:p w14:paraId="1763C295">
            <w:pPr>
              <w:widowControl/>
              <w:spacing w:line="276" w:lineRule="auto"/>
              <w:jc w:val="center"/>
              <w:rPr>
                <w:b/>
                <w:kern w:val="0"/>
                <w:sz w:val="21"/>
                <w:szCs w:val="21"/>
              </w:rPr>
            </w:pPr>
            <w:r>
              <w:rPr>
                <w:b/>
                <w:kern w:val="0"/>
                <w:sz w:val="21"/>
                <w:szCs w:val="21"/>
              </w:rPr>
              <w:t>碳的测定值/%</w:t>
            </w:r>
          </w:p>
        </w:tc>
        <w:tc>
          <w:tcPr>
            <w:tcW w:w="946" w:type="pct"/>
            <w:tcBorders>
              <w:top w:val="single" w:color="auto" w:sz="4" w:space="0"/>
              <w:left w:val="nil"/>
              <w:bottom w:val="single" w:color="auto" w:sz="4" w:space="0"/>
              <w:right w:val="single" w:color="auto" w:sz="4" w:space="0"/>
            </w:tcBorders>
            <w:vAlign w:val="center"/>
          </w:tcPr>
          <w:p w14:paraId="6AC9D7E8">
            <w:pPr>
              <w:widowControl/>
              <w:spacing w:line="276" w:lineRule="auto"/>
              <w:jc w:val="center"/>
              <w:rPr>
                <w:b/>
                <w:kern w:val="0"/>
                <w:sz w:val="21"/>
                <w:szCs w:val="21"/>
              </w:rPr>
            </w:pPr>
            <w:r>
              <w:rPr>
                <w:b/>
                <w:kern w:val="0"/>
                <w:sz w:val="21"/>
                <w:szCs w:val="21"/>
              </w:rPr>
              <w:t>硫的测定值/%</w:t>
            </w:r>
          </w:p>
        </w:tc>
      </w:tr>
      <w:tr w14:paraId="03D52B4C">
        <w:tblPrEx>
          <w:tblCellMar>
            <w:top w:w="0" w:type="dxa"/>
            <w:left w:w="108" w:type="dxa"/>
            <w:bottom w:w="0" w:type="dxa"/>
            <w:right w:w="108" w:type="dxa"/>
          </w:tblCellMar>
        </w:tblPrEx>
        <w:trPr>
          <w:trHeight w:val="360" w:hRule="atLeast"/>
          <w:jc w:val="center"/>
        </w:trPr>
        <w:tc>
          <w:tcPr>
            <w:tcW w:w="1245" w:type="pct"/>
            <w:tcBorders>
              <w:top w:val="nil"/>
              <w:left w:val="single" w:color="auto" w:sz="4" w:space="0"/>
              <w:bottom w:val="single" w:color="auto" w:sz="4" w:space="0"/>
              <w:right w:val="single" w:color="auto" w:sz="4" w:space="0"/>
            </w:tcBorders>
            <w:vAlign w:val="center"/>
          </w:tcPr>
          <w:p w14:paraId="0BD2A65F">
            <w:pPr>
              <w:widowControl/>
              <w:spacing w:line="276" w:lineRule="auto"/>
              <w:jc w:val="center"/>
              <w:rPr>
                <w:kern w:val="0"/>
                <w:sz w:val="21"/>
                <w:szCs w:val="21"/>
              </w:rPr>
            </w:pPr>
            <w:r>
              <w:rPr>
                <w:kern w:val="0"/>
                <w:sz w:val="21"/>
                <w:szCs w:val="21"/>
              </w:rPr>
              <w:t>0.</w:t>
            </w:r>
            <w:r>
              <w:rPr>
                <w:rFonts w:hint="eastAsia"/>
                <w:kern w:val="0"/>
                <w:sz w:val="21"/>
                <w:szCs w:val="21"/>
              </w:rPr>
              <w:t>1</w:t>
            </w:r>
            <w:r>
              <w:rPr>
                <w:kern w:val="0"/>
                <w:sz w:val="21"/>
                <w:szCs w:val="21"/>
              </w:rPr>
              <w:t>0</w:t>
            </w:r>
          </w:p>
        </w:tc>
        <w:tc>
          <w:tcPr>
            <w:tcW w:w="862" w:type="pct"/>
            <w:tcBorders>
              <w:top w:val="nil"/>
              <w:left w:val="nil"/>
              <w:bottom w:val="single" w:color="auto" w:sz="4" w:space="0"/>
              <w:right w:val="single" w:color="auto" w:sz="4" w:space="0"/>
            </w:tcBorders>
            <w:vAlign w:val="center"/>
          </w:tcPr>
          <w:p w14:paraId="5766987C">
            <w:pPr>
              <w:widowControl/>
              <w:spacing w:line="276" w:lineRule="auto"/>
              <w:jc w:val="center"/>
              <w:rPr>
                <w:kern w:val="0"/>
                <w:sz w:val="21"/>
                <w:szCs w:val="21"/>
              </w:rPr>
            </w:pPr>
            <w:r>
              <w:rPr>
                <w:rFonts w:hint="eastAsia"/>
                <w:kern w:val="0"/>
                <w:sz w:val="21"/>
                <w:szCs w:val="21"/>
              </w:rPr>
              <w:t>熔体有些</w:t>
            </w:r>
            <w:r>
              <w:rPr>
                <w:kern w:val="0"/>
                <w:sz w:val="21"/>
                <w:szCs w:val="21"/>
              </w:rPr>
              <w:t>粗糙</w:t>
            </w:r>
          </w:p>
        </w:tc>
        <w:tc>
          <w:tcPr>
            <w:tcW w:w="1034" w:type="pct"/>
            <w:tcBorders>
              <w:top w:val="nil"/>
              <w:left w:val="nil"/>
              <w:bottom w:val="single" w:color="auto" w:sz="4" w:space="0"/>
              <w:right w:val="single" w:color="auto" w:sz="4" w:space="0"/>
            </w:tcBorders>
            <w:vAlign w:val="center"/>
          </w:tcPr>
          <w:p w14:paraId="4E3E949D">
            <w:pPr>
              <w:widowControl/>
              <w:spacing w:line="276" w:lineRule="auto"/>
              <w:jc w:val="center"/>
              <w:rPr>
                <w:kern w:val="0"/>
                <w:sz w:val="21"/>
                <w:szCs w:val="21"/>
              </w:rPr>
            </w:pPr>
            <w:r>
              <w:rPr>
                <w:kern w:val="0"/>
                <w:sz w:val="21"/>
                <w:szCs w:val="21"/>
              </w:rPr>
              <w:t>峰形不稳定，有时较差</w:t>
            </w:r>
          </w:p>
        </w:tc>
        <w:tc>
          <w:tcPr>
            <w:tcW w:w="910" w:type="pct"/>
            <w:tcBorders>
              <w:top w:val="nil"/>
              <w:left w:val="nil"/>
              <w:bottom w:val="single" w:color="auto" w:sz="4" w:space="0"/>
              <w:right w:val="single" w:color="auto" w:sz="4" w:space="0"/>
            </w:tcBorders>
            <w:vAlign w:val="center"/>
          </w:tcPr>
          <w:p w14:paraId="780E69F4">
            <w:pPr>
              <w:widowControl/>
              <w:spacing w:line="276" w:lineRule="auto"/>
              <w:jc w:val="center"/>
              <w:rPr>
                <w:kern w:val="0"/>
                <w:sz w:val="21"/>
                <w:szCs w:val="21"/>
              </w:rPr>
            </w:pPr>
            <w:r>
              <w:rPr>
                <w:rFonts w:hint="eastAsia"/>
                <w:kern w:val="0"/>
                <w:sz w:val="21"/>
                <w:szCs w:val="21"/>
              </w:rPr>
              <w:t>2.50，2.44</w:t>
            </w:r>
          </w:p>
        </w:tc>
        <w:tc>
          <w:tcPr>
            <w:tcW w:w="946" w:type="pct"/>
            <w:tcBorders>
              <w:top w:val="nil"/>
              <w:left w:val="nil"/>
              <w:bottom w:val="single" w:color="auto" w:sz="4" w:space="0"/>
              <w:right w:val="single" w:color="auto" w:sz="4" w:space="0"/>
            </w:tcBorders>
            <w:vAlign w:val="center"/>
          </w:tcPr>
          <w:p w14:paraId="54D54BAD">
            <w:pPr>
              <w:widowControl/>
              <w:spacing w:line="276" w:lineRule="auto"/>
              <w:jc w:val="center"/>
              <w:rPr>
                <w:kern w:val="0"/>
                <w:sz w:val="21"/>
                <w:szCs w:val="21"/>
              </w:rPr>
            </w:pPr>
            <w:r>
              <w:rPr>
                <w:rFonts w:hint="eastAsia"/>
                <w:kern w:val="0"/>
                <w:sz w:val="21"/>
                <w:szCs w:val="21"/>
              </w:rPr>
              <w:t>0.108，0.110</w:t>
            </w:r>
          </w:p>
        </w:tc>
      </w:tr>
      <w:tr w14:paraId="27AB3473">
        <w:tblPrEx>
          <w:tblCellMar>
            <w:top w:w="0" w:type="dxa"/>
            <w:left w:w="108" w:type="dxa"/>
            <w:bottom w:w="0" w:type="dxa"/>
            <w:right w:w="108" w:type="dxa"/>
          </w:tblCellMar>
        </w:tblPrEx>
        <w:trPr>
          <w:trHeight w:val="360" w:hRule="atLeast"/>
          <w:jc w:val="center"/>
        </w:trPr>
        <w:tc>
          <w:tcPr>
            <w:tcW w:w="1245" w:type="pct"/>
            <w:tcBorders>
              <w:top w:val="nil"/>
              <w:left w:val="single" w:color="auto" w:sz="4" w:space="0"/>
              <w:bottom w:val="single" w:color="auto" w:sz="4" w:space="0"/>
              <w:right w:val="single" w:color="auto" w:sz="4" w:space="0"/>
            </w:tcBorders>
            <w:vAlign w:val="center"/>
          </w:tcPr>
          <w:p w14:paraId="16B40268">
            <w:pPr>
              <w:widowControl/>
              <w:spacing w:line="276" w:lineRule="auto"/>
              <w:jc w:val="center"/>
              <w:rPr>
                <w:kern w:val="0"/>
                <w:sz w:val="21"/>
                <w:szCs w:val="21"/>
              </w:rPr>
            </w:pPr>
            <w:r>
              <w:rPr>
                <w:kern w:val="0"/>
                <w:sz w:val="21"/>
                <w:szCs w:val="21"/>
              </w:rPr>
              <w:t>0.</w:t>
            </w:r>
            <w:r>
              <w:rPr>
                <w:rFonts w:hint="eastAsia"/>
                <w:kern w:val="0"/>
                <w:sz w:val="21"/>
                <w:szCs w:val="21"/>
              </w:rPr>
              <w:t>2</w:t>
            </w:r>
            <w:r>
              <w:rPr>
                <w:kern w:val="0"/>
                <w:sz w:val="21"/>
                <w:szCs w:val="21"/>
              </w:rPr>
              <w:t>0</w:t>
            </w:r>
          </w:p>
        </w:tc>
        <w:tc>
          <w:tcPr>
            <w:tcW w:w="862" w:type="pct"/>
            <w:tcBorders>
              <w:top w:val="nil"/>
              <w:left w:val="nil"/>
              <w:bottom w:val="single" w:color="auto" w:sz="4" w:space="0"/>
              <w:right w:val="single" w:color="auto" w:sz="4" w:space="0"/>
            </w:tcBorders>
            <w:vAlign w:val="center"/>
          </w:tcPr>
          <w:p w14:paraId="0B9B757B">
            <w:pPr>
              <w:widowControl/>
              <w:spacing w:line="276" w:lineRule="auto"/>
              <w:jc w:val="center"/>
              <w:rPr>
                <w:kern w:val="0"/>
                <w:sz w:val="21"/>
                <w:szCs w:val="21"/>
              </w:rPr>
            </w:pPr>
            <w:r>
              <w:rPr>
                <w:rFonts w:hint="eastAsia"/>
                <w:kern w:val="0"/>
                <w:sz w:val="21"/>
                <w:szCs w:val="21"/>
              </w:rPr>
              <w:t>熔体</w:t>
            </w:r>
            <w:r>
              <w:rPr>
                <w:kern w:val="0"/>
                <w:sz w:val="21"/>
                <w:szCs w:val="21"/>
              </w:rPr>
              <w:t>较平滑，有小坑</w:t>
            </w:r>
          </w:p>
        </w:tc>
        <w:tc>
          <w:tcPr>
            <w:tcW w:w="1034" w:type="pct"/>
            <w:tcBorders>
              <w:top w:val="nil"/>
              <w:left w:val="nil"/>
              <w:bottom w:val="single" w:color="auto" w:sz="4" w:space="0"/>
              <w:right w:val="single" w:color="auto" w:sz="4" w:space="0"/>
            </w:tcBorders>
            <w:vAlign w:val="center"/>
          </w:tcPr>
          <w:p w14:paraId="44C7564D">
            <w:pPr>
              <w:widowControl/>
              <w:spacing w:line="276" w:lineRule="auto"/>
              <w:jc w:val="center"/>
              <w:rPr>
                <w:kern w:val="0"/>
                <w:sz w:val="21"/>
                <w:szCs w:val="21"/>
              </w:rPr>
            </w:pPr>
            <w:r>
              <w:rPr>
                <w:rFonts w:hint="eastAsia"/>
                <w:kern w:val="0"/>
                <w:sz w:val="21"/>
                <w:szCs w:val="21"/>
              </w:rPr>
              <w:t>硫偶尔会有</w:t>
            </w:r>
            <w:r>
              <w:rPr>
                <w:kern w:val="0"/>
                <w:sz w:val="21"/>
                <w:szCs w:val="21"/>
              </w:rPr>
              <w:t>双峰</w:t>
            </w:r>
            <w:r>
              <w:rPr>
                <w:rFonts w:hint="eastAsia"/>
                <w:kern w:val="0"/>
                <w:sz w:val="21"/>
                <w:szCs w:val="21"/>
              </w:rPr>
              <w:t>的情况</w:t>
            </w:r>
            <w:r>
              <w:rPr>
                <w:kern w:val="0"/>
                <w:sz w:val="21"/>
                <w:szCs w:val="21"/>
              </w:rPr>
              <w:t>出现</w:t>
            </w:r>
          </w:p>
        </w:tc>
        <w:tc>
          <w:tcPr>
            <w:tcW w:w="910" w:type="pct"/>
            <w:tcBorders>
              <w:top w:val="nil"/>
              <w:left w:val="nil"/>
              <w:bottom w:val="single" w:color="auto" w:sz="4" w:space="0"/>
              <w:right w:val="single" w:color="auto" w:sz="4" w:space="0"/>
            </w:tcBorders>
            <w:vAlign w:val="center"/>
          </w:tcPr>
          <w:p w14:paraId="47B3833E">
            <w:pPr>
              <w:widowControl/>
              <w:spacing w:line="276" w:lineRule="auto"/>
              <w:jc w:val="center"/>
              <w:rPr>
                <w:kern w:val="0"/>
                <w:sz w:val="21"/>
                <w:szCs w:val="21"/>
              </w:rPr>
            </w:pPr>
            <w:r>
              <w:rPr>
                <w:rFonts w:hint="eastAsia"/>
                <w:kern w:val="0"/>
                <w:sz w:val="21"/>
                <w:szCs w:val="21"/>
              </w:rPr>
              <w:t>2.47，2.45</w:t>
            </w:r>
          </w:p>
        </w:tc>
        <w:tc>
          <w:tcPr>
            <w:tcW w:w="946" w:type="pct"/>
            <w:tcBorders>
              <w:top w:val="nil"/>
              <w:left w:val="nil"/>
              <w:bottom w:val="single" w:color="auto" w:sz="4" w:space="0"/>
              <w:right w:val="single" w:color="auto" w:sz="4" w:space="0"/>
            </w:tcBorders>
            <w:vAlign w:val="center"/>
          </w:tcPr>
          <w:p w14:paraId="4446CDCA">
            <w:pPr>
              <w:widowControl/>
              <w:spacing w:line="276" w:lineRule="auto"/>
              <w:jc w:val="center"/>
              <w:rPr>
                <w:kern w:val="0"/>
                <w:sz w:val="21"/>
                <w:szCs w:val="21"/>
              </w:rPr>
            </w:pPr>
            <w:r>
              <w:rPr>
                <w:rFonts w:hint="eastAsia"/>
                <w:kern w:val="0"/>
                <w:sz w:val="21"/>
                <w:szCs w:val="21"/>
              </w:rPr>
              <w:t>0.108，0.110</w:t>
            </w:r>
          </w:p>
        </w:tc>
      </w:tr>
      <w:tr w14:paraId="571EAB25">
        <w:tblPrEx>
          <w:tblCellMar>
            <w:top w:w="0" w:type="dxa"/>
            <w:left w:w="108" w:type="dxa"/>
            <w:bottom w:w="0" w:type="dxa"/>
            <w:right w:w="108" w:type="dxa"/>
          </w:tblCellMar>
        </w:tblPrEx>
        <w:trPr>
          <w:trHeight w:val="360" w:hRule="atLeast"/>
          <w:jc w:val="center"/>
        </w:trPr>
        <w:tc>
          <w:tcPr>
            <w:tcW w:w="1245" w:type="pct"/>
            <w:tcBorders>
              <w:top w:val="nil"/>
              <w:left w:val="single" w:color="auto" w:sz="4" w:space="0"/>
              <w:bottom w:val="single" w:color="auto" w:sz="4" w:space="0"/>
              <w:right w:val="single" w:color="auto" w:sz="4" w:space="0"/>
            </w:tcBorders>
            <w:vAlign w:val="center"/>
          </w:tcPr>
          <w:p w14:paraId="31BDE74E">
            <w:pPr>
              <w:widowControl/>
              <w:spacing w:line="276" w:lineRule="auto"/>
              <w:jc w:val="center"/>
              <w:rPr>
                <w:kern w:val="0"/>
                <w:sz w:val="21"/>
                <w:szCs w:val="21"/>
              </w:rPr>
            </w:pPr>
            <w:r>
              <w:rPr>
                <w:kern w:val="0"/>
                <w:sz w:val="21"/>
                <w:szCs w:val="21"/>
              </w:rPr>
              <w:t>0.</w:t>
            </w:r>
            <w:r>
              <w:rPr>
                <w:rFonts w:hint="eastAsia"/>
                <w:kern w:val="0"/>
                <w:sz w:val="21"/>
                <w:szCs w:val="21"/>
              </w:rPr>
              <w:t>3</w:t>
            </w:r>
            <w:r>
              <w:rPr>
                <w:kern w:val="0"/>
                <w:sz w:val="21"/>
                <w:szCs w:val="21"/>
              </w:rPr>
              <w:t>0</w:t>
            </w:r>
          </w:p>
        </w:tc>
        <w:tc>
          <w:tcPr>
            <w:tcW w:w="862" w:type="pct"/>
            <w:tcBorders>
              <w:top w:val="nil"/>
              <w:left w:val="nil"/>
              <w:bottom w:val="single" w:color="auto" w:sz="4" w:space="0"/>
              <w:right w:val="single" w:color="auto" w:sz="4" w:space="0"/>
            </w:tcBorders>
            <w:vAlign w:val="center"/>
          </w:tcPr>
          <w:p w14:paraId="3FE2FEBF">
            <w:pPr>
              <w:widowControl/>
              <w:spacing w:line="276" w:lineRule="auto"/>
              <w:jc w:val="center"/>
              <w:rPr>
                <w:kern w:val="0"/>
                <w:sz w:val="21"/>
                <w:szCs w:val="21"/>
              </w:rPr>
            </w:pPr>
            <w:r>
              <w:rPr>
                <w:rFonts w:hint="eastAsia"/>
                <w:kern w:val="0"/>
                <w:sz w:val="21"/>
                <w:szCs w:val="21"/>
              </w:rPr>
              <w:t>熔体较</w:t>
            </w:r>
            <w:r>
              <w:rPr>
                <w:kern w:val="0"/>
                <w:sz w:val="21"/>
                <w:szCs w:val="21"/>
              </w:rPr>
              <w:t>平滑</w:t>
            </w:r>
          </w:p>
        </w:tc>
        <w:tc>
          <w:tcPr>
            <w:tcW w:w="1034" w:type="pct"/>
            <w:tcBorders>
              <w:top w:val="nil"/>
              <w:left w:val="nil"/>
              <w:bottom w:val="single" w:color="auto" w:sz="4" w:space="0"/>
              <w:right w:val="single" w:color="auto" w:sz="4" w:space="0"/>
            </w:tcBorders>
            <w:vAlign w:val="center"/>
          </w:tcPr>
          <w:p w14:paraId="6A8130BC">
            <w:pPr>
              <w:widowControl/>
              <w:spacing w:line="276" w:lineRule="auto"/>
              <w:jc w:val="center"/>
              <w:rPr>
                <w:kern w:val="0"/>
                <w:sz w:val="21"/>
                <w:szCs w:val="21"/>
              </w:rPr>
            </w:pPr>
            <w:r>
              <w:rPr>
                <w:kern w:val="0"/>
                <w:sz w:val="21"/>
                <w:szCs w:val="21"/>
              </w:rPr>
              <w:t>释放曲线</w:t>
            </w:r>
            <w:r>
              <w:rPr>
                <w:rFonts w:hint="eastAsia"/>
                <w:kern w:val="0"/>
                <w:sz w:val="21"/>
                <w:szCs w:val="21"/>
              </w:rPr>
              <w:t>比较平滑</w:t>
            </w:r>
          </w:p>
        </w:tc>
        <w:tc>
          <w:tcPr>
            <w:tcW w:w="910" w:type="pct"/>
            <w:tcBorders>
              <w:top w:val="nil"/>
              <w:left w:val="nil"/>
              <w:bottom w:val="single" w:color="auto" w:sz="4" w:space="0"/>
              <w:right w:val="single" w:color="auto" w:sz="4" w:space="0"/>
            </w:tcBorders>
            <w:vAlign w:val="center"/>
          </w:tcPr>
          <w:p w14:paraId="2E049048">
            <w:pPr>
              <w:widowControl/>
              <w:spacing w:line="276" w:lineRule="auto"/>
              <w:jc w:val="center"/>
              <w:rPr>
                <w:kern w:val="0"/>
                <w:sz w:val="21"/>
                <w:szCs w:val="21"/>
              </w:rPr>
            </w:pPr>
            <w:r>
              <w:rPr>
                <w:rFonts w:hint="eastAsia"/>
                <w:kern w:val="0"/>
                <w:sz w:val="21"/>
                <w:szCs w:val="21"/>
              </w:rPr>
              <w:t>2.47，2.46</w:t>
            </w:r>
          </w:p>
        </w:tc>
        <w:tc>
          <w:tcPr>
            <w:tcW w:w="946" w:type="pct"/>
            <w:tcBorders>
              <w:top w:val="nil"/>
              <w:left w:val="nil"/>
              <w:bottom w:val="single" w:color="auto" w:sz="4" w:space="0"/>
              <w:right w:val="single" w:color="auto" w:sz="4" w:space="0"/>
            </w:tcBorders>
            <w:vAlign w:val="center"/>
          </w:tcPr>
          <w:p w14:paraId="328648AF">
            <w:pPr>
              <w:widowControl/>
              <w:spacing w:line="276" w:lineRule="auto"/>
              <w:jc w:val="center"/>
              <w:rPr>
                <w:kern w:val="0"/>
                <w:sz w:val="21"/>
                <w:szCs w:val="21"/>
              </w:rPr>
            </w:pPr>
            <w:r>
              <w:rPr>
                <w:rFonts w:hint="eastAsia"/>
                <w:kern w:val="0"/>
                <w:sz w:val="21"/>
                <w:szCs w:val="21"/>
              </w:rPr>
              <w:t>0.105，0.107</w:t>
            </w:r>
          </w:p>
        </w:tc>
      </w:tr>
      <w:tr w14:paraId="4C1E50DC">
        <w:tblPrEx>
          <w:tblCellMar>
            <w:top w:w="0" w:type="dxa"/>
            <w:left w:w="108" w:type="dxa"/>
            <w:bottom w:w="0" w:type="dxa"/>
            <w:right w:w="108" w:type="dxa"/>
          </w:tblCellMar>
        </w:tblPrEx>
        <w:trPr>
          <w:trHeight w:val="360" w:hRule="atLeast"/>
          <w:jc w:val="center"/>
        </w:trPr>
        <w:tc>
          <w:tcPr>
            <w:tcW w:w="1245" w:type="pct"/>
            <w:tcBorders>
              <w:top w:val="nil"/>
              <w:left w:val="single" w:color="auto" w:sz="4" w:space="0"/>
              <w:bottom w:val="single" w:color="auto" w:sz="4" w:space="0"/>
              <w:right w:val="single" w:color="auto" w:sz="4" w:space="0"/>
            </w:tcBorders>
            <w:vAlign w:val="center"/>
          </w:tcPr>
          <w:p w14:paraId="2C87F320">
            <w:pPr>
              <w:widowControl/>
              <w:spacing w:line="276" w:lineRule="auto"/>
              <w:jc w:val="center"/>
              <w:rPr>
                <w:kern w:val="0"/>
                <w:sz w:val="21"/>
                <w:szCs w:val="21"/>
              </w:rPr>
            </w:pPr>
            <w:r>
              <w:rPr>
                <w:kern w:val="0"/>
                <w:sz w:val="21"/>
                <w:szCs w:val="21"/>
              </w:rPr>
              <w:t>0.</w:t>
            </w:r>
            <w:r>
              <w:rPr>
                <w:rFonts w:hint="eastAsia"/>
                <w:kern w:val="0"/>
                <w:sz w:val="21"/>
                <w:szCs w:val="21"/>
              </w:rPr>
              <w:t>4</w:t>
            </w:r>
            <w:r>
              <w:rPr>
                <w:kern w:val="0"/>
                <w:sz w:val="21"/>
                <w:szCs w:val="21"/>
              </w:rPr>
              <w:t>0</w:t>
            </w:r>
          </w:p>
        </w:tc>
        <w:tc>
          <w:tcPr>
            <w:tcW w:w="862" w:type="pct"/>
            <w:tcBorders>
              <w:top w:val="nil"/>
              <w:left w:val="nil"/>
              <w:bottom w:val="single" w:color="auto" w:sz="4" w:space="0"/>
              <w:right w:val="single" w:color="auto" w:sz="4" w:space="0"/>
            </w:tcBorders>
            <w:vAlign w:val="center"/>
          </w:tcPr>
          <w:p w14:paraId="0DED25A0">
            <w:pPr>
              <w:widowControl/>
              <w:spacing w:line="276" w:lineRule="auto"/>
              <w:jc w:val="center"/>
              <w:rPr>
                <w:kern w:val="0"/>
                <w:sz w:val="21"/>
                <w:szCs w:val="21"/>
              </w:rPr>
            </w:pPr>
            <w:r>
              <w:rPr>
                <w:kern w:val="0"/>
                <w:sz w:val="21"/>
                <w:szCs w:val="21"/>
              </w:rPr>
              <w:t>平滑，但有少量飞溅</w:t>
            </w:r>
          </w:p>
        </w:tc>
        <w:tc>
          <w:tcPr>
            <w:tcW w:w="1034" w:type="pct"/>
            <w:tcBorders>
              <w:top w:val="nil"/>
              <w:left w:val="nil"/>
              <w:bottom w:val="single" w:color="auto" w:sz="4" w:space="0"/>
              <w:right w:val="single" w:color="auto" w:sz="4" w:space="0"/>
            </w:tcBorders>
            <w:vAlign w:val="center"/>
          </w:tcPr>
          <w:p w14:paraId="406C4932">
            <w:pPr>
              <w:widowControl/>
              <w:spacing w:line="276" w:lineRule="auto"/>
              <w:jc w:val="center"/>
              <w:rPr>
                <w:kern w:val="0"/>
                <w:sz w:val="21"/>
                <w:szCs w:val="21"/>
              </w:rPr>
            </w:pPr>
            <w:r>
              <w:rPr>
                <w:kern w:val="0"/>
                <w:sz w:val="21"/>
                <w:szCs w:val="21"/>
              </w:rPr>
              <w:t>释放曲线流畅</w:t>
            </w:r>
          </w:p>
        </w:tc>
        <w:tc>
          <w:tcPr>
            <w:tcW w:w="910" w:type="pct"/>
            <w:tcBorders>
              <w:top w:val="nil"/>
              <w:left w:val="nil"/>
              <w:bottom w:val="single" w:color="auto" w:sz="4" w:space="0"/>
              <w:right w:val="single" w:color="auto" w:sz="4" w:space="0"/>
            </w:tcBorders>
            <w:vAlign w:val="center"/>
          </w:tcPr>
          <w:p w14:paraId="238F7B4E">
            <w:pPr>
              <w:widowControl/>
              <w:spacing w:line="276" w:lineRule="auto"/>
              <w:jc w:val="center"/>
              <w:rPr>
                <w:kern w:val="0"/>
                <w:sz w:val="21"/>
                <w:szCs w:val="21"/>
              </w:rPr>
            </w:pPr>
            <w:r>
              <w:rPr>
                <w:rFonts w:hint="eastAsia"/>
                <w:kern w:val="0"/>
                <w:sz w:val="21"/>
                <w:szCs w:val="21"/>
              </w:rPr>
              <w:t>2.45，2.48</w:t>
            </w:r>
          </w:p>
        </w:tc>
        <w:tc>
          <w:tcPr>
            <w:tcW w:w="946" w:type="pct"/>
            <w:tcBorders>
              <w:top w:val="nil"/>
              <w:left w:val="nil"/>
              <w:bottom w:val="single" w:color="auto" w:sz="4" w:space="0"/>
              <w:right w:val="single" w:color="auto" w:sz="4" w:space="0"/>
            </w:tcBorders>
            <w:vAlign w:val="center"/>
          </w:tcPr>
          <w:p w14:paraId="4AE26CC0">
            <w:pPr>
              <w:widowControl/>
              <w:spacing w:line="276" w:lineRule="auto"/>
              <w:jc w:val="center"/>
              <w:rPr>
                <w:kern w:val="0"/>
                <w:sz w:val="21"/>
                <w:szCs w:val="21"/>
              </w:rPr>
            </w:pPr>
            <w:r>
              <w:rPr>
                <w:rFonts w:hint="eastAsia"/>
                <w:kern w:val="0"/>
                <w:sz w:val="21"/>
                <w:szCs w:val="21"/>
              </w:rPr>
              <w:t>0.104，0.106</w:t>
            </w:r>
          </w:p>
        </w:tc>
      </w:tr>
      <w:tr w14:paraId="12DA25DC">
        <w:tblPrEx>
          <w:tblCellMar>
            <w:top w:w="0" w:type="dxa"/>
            <w:left w:w="108" w:type="dxa"/>
            <w:bottom w:w="0" w:type="dxa"/>
            <w:right w:w="108" w:type="dxa"/>
          </w:tblCellMar>
        </w:tblPrEx>
        <w:trPr>
          <w:trHeight w:val="360" w:hRule="atLeast"/>
          <w:jc w:val="center"/>
        </w:trPr>
        <w:tc>
          <w:tcPr>
            <w:tcW w:w="1245" w:type="pct"/>
            <w:tcBorders>
              <w:top w:val="nil"/>
              <w:left w:val="single" w:color="auto" w:sz="4" w:space="0"/>
              <w:bottom w:val="single" w:color="auto" w:sz="4" w:space="0"/>
              <w:right w:val="single" w:color="auto" w:sz="4" w:space="0"/>
            </w:tcBorders>
            <w:vAlign w:val="center"/>
          </w:tcPr>
          <w:p w14:paraId="0B552B8E">
            <w:pPr>
              <w:widowControl/>
              <w:spacing w:line="276" w:lineRule="auto"/>
              <w:jc w:val="center"/>
              <w:rPr>
                <w:kern w:val="0"/>
                <w:sz w:val="21"/>
                <w:szCs w:val="21"/>
              </w:rPr>
            </w:pPr>
            <w:r>
              <w:rPr>
                <w:kern w:val="0"/>
                <w:sz w:val="21"/>
                <w:szCs w:val="21"/>
              </w:rPr>
              <w:t>0.</w:t>
            </w:r>
            <w:r>
              <w:rPr>
                <w:rFonts w:hint="eastAsia"/>
                <w:kern w:val="0"/>
                <w:sz w:val="21"/>
                <w:szCs w:val="21"/>
              </w:rPr>
              <w:t>5</w:t>
            </w:r>
            <w:r>
              <w:rPr>
                <w:kern w:val="0"/>
                <w:sz w:val="21"/>
                <w:szCs w:val="21"/>
              </w:rPr>
              <w:t>0</w:t>
            </w:r>
          </w:p>
        </w:tc>
        <w:tc>
          <w:tcPr>
            <w:tcW w:w="862" w:type="pct"/>
            <w:tcBorders>
              <w:top w:val="nil"/>
              <w:left w:val="nil"/>
              <w:bottom w:val="single" w:color="auto" w:sz="4" w:space="0"/>
              <w:right w:val="single" w:color="auto" w:sz="4" w:space="0"/>
            </w:tcBorders>
            <w:vAlign w:val="center"/>
          </w:tcPr>
          <w:p w14:paraId="06983D96">
            <w:pPr>
              <w:widowControl/>
              <w:spacing w:line="276" w:lineRule="auto"/>
              <w:jc w:val="center"/>
              <w:rPr>
                <w:kern w:val="0"/>
                <w:sz w:val="21"/>
                <w:szCs w:val="21"/>
              </w:rPr>
            </w:pPr>
            <w:r>
              <w:rPr>
                <w:kern w:val="0"/>
                <w:sz w:val="21"/>
                <w:szCs w:val="21"/>
              </w:rPr>
              <w:t>平滑，有少量飞溅</w:t>
            </w:r>
          </w:p>
        </w:tc>
        <w:tc>
          <w:tcPr>
            <w:tcW w:w="1034" w:type="pct"/>
            <w:tcBorders>
              <w:top w:val="nil"/>
              <w:left w:val="nil"/>
              <w:bottom w:val="single" w:color="auto" w:sz="4" w:space="0"/>
              <w:right w:val="single" w:color="auto" w:sz="4" w:space="0"/>
            </w:tcBorders>
            <w:vAlign w:val="center"/>
          </w:tcPr>
          <w:p w14:paraId="22D714CF">
            <w:pPr>
              <w:widowControl/>
              <w:spacing w:line="276" w:lineRule="auto"/>
              <w:jc w:val="center"/>
              <w:rPr>
                <w:kern w:val="0"/>
                <w:sz w:val="21"/>
                <w:szCs w:val="21"/>
              </w:rPr>
            </w:pPr>
            <w:r>
              <w:rPr>
                <w:kern w:val="0"/>
                <w:sz w:val="21"/>
                <w:szCs w:val="21"/>
              </w:rPr>
              <w:t>释放曲线流畅</w:t>
            </w:r>
          </w:p>
        </w:tc>
        <w:tc>
          <w:tcPr>
            <w:tcW w:w="910" w:type="pct"/>
            <w:tcBorders>
              <w:top w:val="nil"/>
              <w:left w:val="nil"/>
              <w:bottom w:val="single" w:color="auto" w:sz="4" w:space="0"/>
              <w:right w:val="single" w:color="auto" w:sz="4" w:space="0"/>
            </w:tcBorders>
            <w:vAlign w:val="center"/>
          </w:tcPr>
          <w:p w14:paraId="6F685DA8">
            <w:pPr>
              <w:widowControl/>
              <w:spacing w:line="276" w:lineRule="auto"/>
              <w:jc w:val="center"/>
              <w:rPr>
                <w:kern w:val="0"/>
                <w:sz w:val="21"/>
                <w:szCs w:val="21"/>
              </w:rPr>
            </w:pPr>
            <w:r>
              <w:rPr>
                <w:rFonts w:hint="eastAsia"/>
                <w:kern w:val="0"/>
                <w:sz w:val="21"/>
                <w:szCs w:val="21"/>
              </w:rPr>
              <w:t>2.44，2.45</w:t>
            </w:r>
          </w:p>
        </w:tc>
        <w:tc>
          <w:tcPr>
            <w:tcW w:w="946" w:type="pct"/>
            <w:tcBorders>
              <w:top w:val="nil"/>
              <w:left w:val="nil"/>
              <w:bottom w:val="single" w:color="auto" w:sz="4" w:space="0"/>
              <w:right w:val="single" w:color="auto" w:sz="4" w:space="0"/>
            </w:tcBorders>
            <w:vAlign w:val="center"/>
          </w:tcPr>
          <w:p w14:paraId="300305AB">
            <w:pPr>
              <w:widowControl/>
              <w:spacing w:line="276" w:lineRule="auto"/>
              <w:jc w:val="center"/>
              <w:rPr>
                <w:kern w:val="0"/>
                <w:sz w:val="21"/>
                <w:szCs w:val="21"/>
              </w:rPr>
            </w:pPr>
            <w:r>
              <w:rPr>
                <w:rFonts w:hint="eastAsia"/>
                <w:kern w:val="0"/>
                <w:sz w:val="21"/>
                <w:szCs w:val="21"/>
              </w:rPr>
              <w:t>0.105，0.102</w:t>
            </w:r>
          </w:p>
        </w:tc>
      </w:tr>
    </w:tbl>
    <w:p w14:paraId="74F24268">
      <w:pPr>
        <w:ind w:firstLine="420" w:firstLineChars="200"/>
      </w:pPr>
      <w:r>
        <w:t>从表2可以看出，加入0.</w:t>
      </w:r>
      <w:r>
        <w:rPr>
          <w:rFonts w:hint="eastAsia"/>
        </w:rPr>
        <w:t xml:space="preserve">1 </w:t>
      </w:r>
      <w:r>
        <w:t>g</w:t>
      </w:r>
      <w:r>
        <w:rPr>
          <w:rFonts w:hint="eastAsia"/>
        </w:rPr>
        <w:t>和0.2 g</w:t>
      </w:r>
      <w:r>
        <w:t>纯铁助熔剂时，样品</w:t>
      </w:r>
      <w:r>
        <w:rPr>
          <w:rFonts w:hint="eastAsia"/>
        </w:rPr>
        <w:t>有时</w:t>
      </w:r>
      <w:r>
        <w:t>熔融不完全，</w:t>
      </w:r>
      <w:r>
        <w:rPr>
          <w:rFonts w:hint="eastAsia"/>
          <w:kern w:val="0"/>
          <w:szCs w:val="21"/>
        </w:rPr>
        <w:t>硫偶尔会有</w:t>
      </w:r>
      <w:r>
        <w:rPr>
          <w:kern w:val="0"/>
          <w:szCs w:val="21"/>
        </w:rPr>
        <w:t>双峰</w:t>
      </w:r>
      <w:r>
        <w:rPr>
          <w:rFonts w:hint="eastAsia"/>
          <w:kern w:val="0"/>
          <w:szCs w:val="21"/>
        </w:rPr>
        <w:t>的情况</w:t>
      </w:r>
      <w:r>
        <w:rPr>
          <w:kern w:val="0"/>
          <w:szCs w:val="21"/>
        </w:rPr>
        <w:t>出现</w:t>
      </w:r>
      <w:r>
        <w:rPr>
          <w:rFonts w:hint="eastAsia"/>
          <w:kern w:val="0"/>
          <w:szCs w:val="21"/>
        </w:rPr>
        <w:t>，</w:t>
      </w:r>
      <w:r>
        <w:rPr>
          <w:rFonts w:hint="eastAsia"/>
        </w:rPr>
        <w:t>容易造成测定结果的偏差</w:t>
      </w:r>
      <w:r>
        <w:t>。加入0.</w:t>
      </w:r>
      <w:r>
        <w:rPr>
          <w:rFonts w:hint="eastAsia"/>
        </w:rPr>
        <w:t xml:space="preserve">3 </w:t>
      </w:r>
      <w:r>
        <w:t>g以上纯铁助熔剂时，碳和硫的释放曲线</w:t>
      </w:r>
      <w:r>
        <w:rPr>
          <w:rFonts w:hint="eastAsia"/>
        </w:rPr>
        <w:t>平滑，峰形完好。随着铁加入量的增加，熔体会有少量飞溅，影响测定结果的准确性</w:t>
      </w:r>
      <w:r>
        <w:t>。因此</w:t>
      </w:r>
      <w:r>
        <w:rPr>
          <w:rFonts w:hint="eastAsia"/>
        </w:rPr>
        <w:t>推荐</w:t>
      </w:r>
      <w:r>
        <w:t>纯铁助熔剂的加入量为0.</w:t>
      </w:r>
      <w:r>
        <w:rPr>
          <w:rFonts w:hint="eastAsia"/>
        </w:rPr>
        <w:t xml:space="preserve">3 </w:t>
      </w:r>
      <w:r>
        <w:t>g。</w:t>
      </w:r>
    </w:p>
    <w:p w14:paraId="794FF642">
      <w:pPr>
        <w:ind w:firstLine="420" w:firstLineChars="200"/>
      </w:pPr>
      <w:r>
        <w:t>以纯铁助熔剂</w:t>
      </w:r>
      <w:r>
        <w:rPr>
          <w:rFonts w:hint="eastAsia"/>
        </w:rPr>
        <w:t>的</w:t>
      </w:r>
      <w:r>
        <w:t>加入量为0.</w:t>
      </w:r>
      <w:r>
        <w:rPr>
          <w:rFonts w:hint="eastAsia"/>
        </w:rPr>
        <w:t xml:space="preserve">3 </w:t>
      </w:r>
      <w:r>
        <w:t>g，依次改变纯钨助熔剂的量，从1.0</w:t>
      </w:r>
      <w:r>
        <w:rPr>
          <w:rFonts w:hint="eastAsia"/>
        </w:rPr>
        <w:t xml:space="preserve"> </w:t>
      </w:r>
      <w:r>
        <w:t>g～2.0</w:t>
      </w:r>
      <w:r>
        <w:rPr>
          <w:rFonts w:hint="eastAsia"/>
        </w:rPr>
        <w:t xml:space="preserve"> </w:t>
      </w:r>
      <w:r>
        <w:t>g，测定值变化不大。但是纯钨助熔剂的量增大时，燃烧后的坩埚有黄色WO</w:t>
      </w:r>
      <w:r>
        <w:rPr>
          <w:vertAlign w:val="subscript"/>
        </w:rPr>
        <w:t>3</w:t>
      </w:r>
      <w:r>
        <w:t>生成，建议纯钨助熔剂的加入量为1.5</w:t>
      </w:r>
      <w:r>
        <w:rPr>
          <w:rFonts w:hint="eastAsia"/>
        </w:rPr>
        <w:t xml:space="preserve"> </w:t>
      </w:r>
      <w:r>
        <w:t>g。</w:t>
      </w:r>
    </w:p>
    <w:p w14:paraId="215A934C">
      <w:pPr>
        <w:ind w:firstLine="420" w:firstLineChars="200"/>
      </w:pPr>
      <w:r>
        <w:t>因此，本试验</w:t>
      </w:r>
      <w:r>
        <w:rPr>
          <w:rFonts w:hint="eastAsia"/>
        </w:rPr>
        <w:t>方法推荐使用</w:t>
      </w:r>
      <w:r>
        <w:t>0.</w:t>
      </w:r>
      <w:r>
        <w:rPr>
          <w:rFonts w:hint="eastAsia"/>
        </w:rPr>
        <w:t xml:space="preserve">3 </w:t>
      </w:r>
      <w:r>
        <w:t>g纯铁助熔剂与1.5</w:t>
      </w:r>
      <w:r>
        <w:rPr>
          <w:rFonts w:hint="eastAsia"/>
        </w:rPr>
        <w:t xml:space="preserve"> </w:t>
      </w:r>
      <w:r>
        <w:t>g纯钨助熔剂作为试样助熔剂。</w:t>
      </w:r>
    </w:p>
    <w:p w14:paraId="10554810">
      <w:pPr>
        <w:rPr>
          <w:rFonts w:eastAsia="黑体"/>
          <w:bCs/>
          <w:szCs w:val="21"/>
        </w:rPr>
      </w:pPr>
      <w:r>
        <w:rPr>
          <w:rFonts w:eastAsia="黑体"/>
          <w:bCs/>
          <w:szCs w:val="21"/>
        </w:rPr>
        <w:t>7.1.3  助熔剂的加入顺序</w:t>
      </w:r>
    </w:p>
    <w:p w14:paraId="61CECB2A">
      <w:pPr>
        <w:ind w:firstLine="420" w:firstLineChars="200"/>
      </w:pPr>
      <w:r>
        <w:t>助熔剂不仅具有增加样品中导磁物质、降低样品熔点的作用，而且还有提高燃烧温度、增加样品流动性，使样品燃烧更加充分等作用。所以在分析过程中，助熔剂与样品的加入顺序直接影响燃烧效果和分析结果的稳定性。</w:t>
      </w:r>
    </w:p>
    <w:p w14:paraId="2A7FBDF3">
      <w:pPr>
        <w:spacing w:line="360" w:lineRule="auto"/>
        <w:jc w:val="center"/>
      </w:pPr>
      <w:r>
        <w:t xml:space="preserve">表3 </w:t>
      </w:r>
      <w:r>
        <w:rPr>
          <w:rFonts w:hint="eastAsia"/>
        </w:rPr>
        <w:t>助溶剂</w:t>
      </w:r>
      <w:r>
        <w:t>的</w:t>
      </w:r>
      <w:r>
        <w:rPr>
          <w:rFonts w:hint="eastAsia"/>
        </w:rPr>
        <w:t>加入顺序</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36"/>
        <w:gridCol w:w="2636"/>
        <w:gridCol w:w="3150"/>
      </w:tblGrid>
      <w:tr w14:paraId="66CC9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Align w:val="center"/>
          </w:tcPr>
          <w:p w14:paraId="6E7012CE">
            <w:pPr>
              <w:spacing w:line="360" w:lineRule="auto"/>
              <w:jc w:val="center"/>
              <w:rPr>
                <w:sz w:val="21"/>
                <w:szCs w:val="21"/>
              </w:rPr>
            </w:pPr>
            <w:r>
              <w:rPr>
                <w:rFonts w:hint="eastAsia"/>
                <w:sz w:val="21"/>
                <w:szCs w:val="21"/>
              </w:rPr>
              <w:t>助溶剂</w:t>
            </w:r>
            <w:r>
              <w:rPr>
                <w:sz w:val="21"/>
                <w:szCs w:val="21"/>
              </w:rPr>
              <w:t>的</w:t>
            </w:r>
            <w:r>
              <w:rPr>
                <w:rFonts w:hint="eastAsia"/>
                <w:sz w:val="21"/>
                <w:szCs w:val="21"/>
              </w:rPr>
              <w:t>加入顺序</w:t>
            </w:r>
          </w:p>
        </w:tc>
        <w:tc>
          <w:tcPr>
            <w:tcW w:w="1546" w:type="pct"/>
            <w:vAlign w:val="center"/>
          </w:tcPr>
          <w:p w14:paraId="060F46D3">
            <w:pPr>
              <w:spacing w:line="360" w:lineRule="auto"/>
              <w:jc w:val="center"/>
              <w:rPr>
                <w:sz w:val="21"/>
                <w:szCs w:val="21"/>
              </w:rPr>
            </w:pPr>
            <w:r>
              <w:rPr>
                <w:sz w:val="21"/>
                <w:szCs w:val="21"/>
              </w:rPr>
              <w:t>碳含量/%</w:t>
            </w:r>
          </w:p>
        </w:tc>
        <w:tc>
          <w:tcPr>
            <w:tcW w:w="1848" w:type="pct"/>
            <w:vAlign w:val="center"/>
          </w:tcPr>
          <w:p w14:paraId="573C01D1">
            <w:pPr>
              <w:spacing w:line="360" w:lineRule="auto"/>
              <w:jc w:val="center"/>
              <w:rPr>
                <w:sz w:val="21"/>
                <w:szCs w:val="21"/>
              </w:rPr>
            </w:pPr>
            <w:r>
              <w:rPr>
                <w:sz w:val="21"/>
                <w:szCs w:val="21"/>
              </w:rPr>
              <w:t>硫含量/%</w:t>
            </w:r>
          </w:p>
        </w:tc>
      </w:tr>
      <w:tr w14:paraId="709FA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Align w:val="center"/>
          </w:tcPr>
          <w:p w14:paraId="34F4D077">
            <w:pPr>
              <w:spacing w:line="360" w:lineRule="auto"/>
              <w:jc w:val="center"/>
              <w:rPr>
                <w:sz w:val="21"/>
                <w:szCs w:val="21"/>
              </w:rPr>
            </w:pPr>
            <w:r>
              <w:rPr>
                <w:sz w:val="21"/>
                <w:szCs w:val="21"/>
              </w:rPr>
              <w:t>钨粒</w:t>
            </w:r>
            <w:r>
              <w:rPr>
                <w:rFonts w:hint="eastAsia"/>
                <w:sz w:val="21"/>
                <w:szCs w:val="21"/>
              </w:rPr>
              <w:t>+</w:t>
            </w:r>
            <w:r>
              <w:rPr>
                <w:sz w:val="21"/>
                <w:szCs w:val="21"/>
              </w:rPr>
              <w:t>铁粒</w:t>
            </w:r>
            <w:r>
              <w:rPr>
                <w:rFonts w:hint="eastAsia"/>
                <w:sz w:val="21"/>
                <w:szCs w:val="21"/>
              </w:rPr>
              <w:t>+</w:t>
            </w:r>
            <w:r>
              <w:rPr>
                <w:sz w:val="21"/>
                <w:szCs w:val="21"/>
              </w:rPr>
              <w:t>样品</w:t>
            </w:r>
          </w:p>
        </w:tc>
        <w:tc>
          <w:tcPr>
            <w:tcW w:w="1546" w:type="pct"/>
            <w:vAlign w:val="center"/>
          </w:tcPr>
          <w:p w14:paraId="79670CEB">
            <w:pPr>
              <w:spacing w:line="360" w:lineRule="auto"/>
              <w:jc w:val="center"/>
              <w:rPr>
                <w:sz w:val="21"/>
                <w:szCs w:val="21"/>
              </w:rPr>
            </w:pPr>
            <w:r>
              <w:rPr>
                <w:rFonts w:hint="eastAsia"/>
                <w:sz w:val="21"/>
                <w:szCs w:val="21"/>
              </w:rPr>
              <w:t>2.32，2.31</w:t>
            </w:r>
          </w:p>
        </w:tc>
        <w:tc>
          <w:tcPr>
            <w:tcW w:w="1848" w:type="pct"/>
            <w:vAlign w:val="center"/>
          </w:tcPr>
          <w:p w14:paraId="0D4DF9A7">
            <w:pPr>
              <w:spacing w:line="360" w:lineRule="auto"/>
              <w:jc w:val="center"/>
              <w:rPr>
                <w:sz w:val="21"/>
                <w:szCs w:val="21"/>
              </w:rPr>
            </w:pPr>
            <w:r>
              <w:rPr>
                <w:rFonts w:hint="eastAsia"/>
                <w:sz w:val="21"/>
                <w:szCs w:val="21"/>
              </w:rPr>
              <w:t>0.104，0.105</w:t>
            </w:r>
          </w:p>
        </w:tc>
      </w:tr>
      <w:tr w14:paraId="089FF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Align w:val="center"/>
          </w:tcPr>
          <w:p w14:paraId="0E1C302A">
            <w:pPr>
              <w:spacing w:line="360" w:lineRule="auto"/>
              <w:jc w:val="center"/>
              <w:rPr>
                <w:sz w:val="21"/>
                <w:szCs w:val="21"/>
              </w:rPr>
            </w:pPr>
            <w:r>
              <w:rPr>
                <w:sz w:val="21"/>
                <w:szCs w:val="21"/>
              </w:rPr>
              <w:t>样品</w:t>
            </w:r>
            <w:r>
              <w:rPr>
                <w:rFonts w:hint="eastAsia"/>
                <w:sz w:val="21"/>
                <w:szCs w:val="21"/>
              </w:rPr>
              <w:t>+</w:t>
            </w:r>
            <w:r>
              <w:rPr>
                <w:sz w:val="21"/>
                <w:szCs w:val="21"/>
              </w:rPr>
              <w:t>钨粒</w:t>
            </w:r>
            <w:r>
              <w:rPr>
                <w:rFonts w:hint="eastAsia"/>
                <w:sz w:val="21"/>
                <w:szCs w:val="21"/>
              </w:rPr>
              <w:t>+</w:t>
            </w:r>
            <w:r>
              <w:rPr>
                <w:sz w:val="21"/>
                <w:szCs w:val="21"/>
              </w:rPr>
              <w:t>铁粒</w:t>
            </w:r>
          </w:p>
        </w:tc>
        <w:tc>
          <w:tcPr>
            <w:tcW w:w="1546" w:type="pct"/>
            <w:vAlign w:val="center"/>
          </w:tcPr>
          <w:p w14:paraId="14D5796F">
            <w:pPr>
              <w:spacing w:line="360" w:lineRule="auto"/>
              <w:jc w:val="center"/>
              <w:rPr>
                <w:sz w:val="21"/>
                <w:szCs w:val="21"/>
              </w:rPr>
            </w:pPr>
            <w:r>
              <w:rPr>
                <w:rFonts w:hint="eastAsia"/>
                <w:sz w:val="21"/>
                <w:szCs w:val="21"/>
              </w:rPr>
              <w:t>2.48，2.47</w:t>
            </w:r>
          </w:p>
        </w:tc>
        <w:tc>
          <w:tcPr>
            <w:tcW w:w="1848" w:type="pct"/>
            <w:vAlign w:val="center"/>
          </w:tcPr>
          <w:p w14:paraId="204B4819">
            <w:pPr>
              <w:spacing w:line="360" w:lineRule="auto"/>
              <w:jc w:val="center"/>
              <w:rPr>
                <w:sz w:val="21"/>
                <w:szCs w:val="21"/>
              </w:rPr>
            </w:pPr>
            <w:r>
              <w:rPr>
                <w:rFonts w:hint="eastAsia"/>
                <w:sz w:val="21"/>
                <w:szCs w:val="21"/>
              </w:rPr>
              <w:t>0.106，0.107</w:t>
            </w:r>
          </w:p>
        </w:tc>
      </w:tr>
      <w:tr w14:paraId="02E3F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5" w:type="pct"/>
            <w:vAlign w:val="center"/>
          </w:tcPr>
          <w:p w14:paraId="5232AB2C">
            <w:pPr>
              <w:spacing w:line="360" w:lineRule="auto"/>
              <w:jc w:val="center"/>
              <w:rPr>
                <w:sz w:val="21"/>
                <w:szCs w:val="21"/>
              </w:rPr>
            </w:pPr>
            <w:r>
              <w:rPr>
                <w:sz w:val="21"/>
                <w:szCs w:val="21"/>
              </w:rPr>
              <w:t>铁粒</w:t>
            </w:r>
            <w:r>
              <w:rPr>
                <w:rFonts w:hint="eastAsia"/>
                <w:sz w:val="21"/>
                <w:szCs w:val="21"/>
              </w:rPr>
              <w:t>+</w:t>
            </w:r>
            <w:r>
              <w:rPr>
                <w:sz w:val="21"/>
                <w:szCs w:val="21"/>
              </w:rPr>
              <w:t>样品</w:t>
            </w:r>
            <w:r>
              <w:rPr>
                <w:rFonts w:hint="eastAsia"/>
                <w:sz w:val="21"/>
                <w:szCs w:val="21"/>
              </w:rPr>
              <w:t>+</w:t>
            </w:r>
            <w:r>
              <w:rPr>
                <w:sz w:val="21"/>
                <w:szCs w:val="21"/>
              </w:rPr>
              <w:t>钨粒</w:t>
            </w:r>
          </w:p>
        </w:tc>
        <w:tc>
          <w:tcPr>
            <w:tcW w:w="1546" w:type="pct"/>
            <w:vAlign w:val="center"/>
          </w:tcPr>
          <w:p w14:paraId="34598589">
            <w:pPr>
              <w:spacing w:line="360" w:lineRule="auto"/>
              <w:jc w:val="center"/>
              <w:rPr>
                <w:sz w:val="21"/>
                <w:szCs w:val="21"/>
              </w:rPr>
            </w:pPr>
            <w:r>
              <w:rPr>
                <w:rFonts w:hint="eastAsia"/>
                <w:sz w:val="21"/>
                <w:szCs w:val="21"/>
              </w:rPr>
              <w:t>2.49，2.47</w:t>
            </w:r>
          </w:p>
        </w:tc>
        <w:tc>
          <w:tcPr>
            <w:tcW w:w="1848" w:type="pct"/>
            <w:vAlign w:val="center"/>
          </w:tcPr>
          <w:p w14:paraId="4A3D8A49">
            <w:pPr>
              <w:spacing w:line="360" w:lineRule="auto"/>
              <w:jc w:val="center"/>
              <w:rPr>
                <w:sz w:val="21"/>
                <w:szCs w:val="21"/>
              </w:rPr>
            </w:pPr>
            <w:r>
              <w:rPr>
                <w:rFonts w:hint="eastAsia"/>
                <w:sz w:val="21"/>
                <w:szCs w:val="21"/>
              </w:rPr>
              <w:t>0.105，0.105</w:t>
            </w:r>
          </w:p>
        </w:tc>
      </w:tr>
    </w:tbl>
    <w:p w14:paraId="4B00612D">
      <w:pPr>
        <w:ind w:firstLine="420" w:firstLineChars="200"/>
      </w:pPr>
    </w:p>
    <w:p w14:paraId="7585E22F">
      <w:pPr>
        <w:ind w:firstLine="420" w:firstLineChars="200"/>
      </w:pPr>
      <w:r>
        <w:t>以钨粒、铁粒、样品的顺序加入，部分样品燃烧</w:t>
      </w:r>
      <w:r>
        <w:rPr>
          <w:rFonts w:hint="eastAsia"/>
        </w:rPr>
        <w:t>不充分</w:t>
      </w:r>
      <w:r>
        <w:t>，</w:t>
      </w:r>
      <w:r>
        <w:rPr>
          <w:rFonts w:hint="eastAsia"/>
        </w:rPr>
        <w:t>硫的峰形不好，</w:t>
      </w:r>
      <w:r>
        <w:t>导致</w:t>
      </w:r>
      <w:r>
        <w:rPr>
          <w:rFonts w:hint="eastAsia"/>
        </w:rPr>
        <w:t>测定</w:t>
      </w:r>
      <w:r>
        <w:t>结果偏低。以样品、钨粒、铁粒的顺序加入</w:t>
      </w:r>
      <w:r>
        <w:rPr>
          <w:rFonts w:hint="eastAsia"/>
        </w:rPr>
        <w:t>和</w:t>
      </w:r>
      <w:r>
        <w:t>以铁粒、样品、钨粒的顺序加入，</w:t>
      </w:r>
      <w:r>
        <w:rPr>
          <w:rFonts w:hint="eastAsia"/>
        </w:rPr>
        <w:t>两种加入方式测定结果都相对稳定可靠。本实验推荐</w:t>
      </w:r>
      <w:r>
        <w:t>铁粒、样品、钨粒的顺序加入</w:t>
      </w:r>
      <w:r>
        <w:rPr>
          <w:rFonts w:hint="eastAsia"/>
        </w:rPr>
        <w:t>，因为</w:t>
      </w:r>
      <w:r>
        <w:t>铁在底部增强感应，点火可靠，燃烧平稳，样品被包裹在助溶剂中，可以有效的避免喷溅，上层钨粒提高燃烧温度，保证碳和硫的充分释放，测定结果稳定准确。分析结束后燃烧室内石英管比较干净，且管壁上熔体飞溅物极少，</w:t>
      </w:r>
      <w:r>
        <w:rPr>
          <w:rFonts w:hint="eastAsia"/>
        </w:rPr>
        <w:t>可以</w:t>
      </w:r>
      <w:r>
        <w:t>有效延长石英管的使用寿命。</w:t>
      </w:r>
    </w:p>
    <w:p w14:paraId="371B4E45">
      <w:pPr>
        <w:rPr>
          <w:rFonts w:eastAsia="黑体"/>
          <w:bCs/>
          <w:szCs w:val="21"/>
        </w:rPr>
      </w:pPr>
      <w:r>
        <w:rPr>
          <w:rFonts w:eastAsia="黑体"/>
          <w:bCs/>
          <w:szCs w:val="21"/>
        </w:rPr>
        <w:t>7.2 称样量的选择</w:t>
      </w:r>
    </w:p>
    <w:p w14:paraId="3497C633">
      <w:pPr>
        <w:spacing w:line="360" w:lineRule="auto"/>
        <w:rPr>
          <w:bCs/>
          <w:kern w:val="0"/>
          <w:szCs w:val="21"/>
        </w:rPr>
      </w:pPr>
      <w:r>
        <w:t xml:space="preserve">    </w:t>
      </w:r>
      <w:r>
        <w:rPr>
          <w:bCs/>
          <w:kern w:val="0"/>
          <w:szCs w:val="21"/>
        </w:rPr>
        <w:t>选取试验样品进行称样量的条件试验，结果见表</w:t>
      </w:r>
      <w:r>
        <w:rPr>
          <w:rFonts w:hint="eastAsia"/>
          <w:bCs/>
          <w:kern w:val="0"/>
          <w:szCs w:val="21"/>
        </w:rPr>
        <w:t>4</w:t>
      </w:r>
      <w:r>
        <w:rPr>
          <w:bCs/>
          <w:kern w:val="0"/>
          <w:szCs w:val="21"/>
        </w:rPr>
        <w:t>。</w:t>
      </w:r>
    </w:p>
    <w:p w14:paraId="5F78FDA7">
      <w:pPr>
        <w:spacing w:line="360" w:lineRule="auto"/>
        <w:jc w:val="center"/>
      </w:pPr>
      <w:r>
        <w:t>表</w:t>
      </w:r>
      <w:r>
        <w:rPr>
          <w:rFonts w:hint="eastAsia"/>
        </w:rPr>
        <w:t>4</w:t>
      </w:r>
      <w:r>
        <w:t xml:space="preserve"> 称样量的选择</w:t>
      </w:r>
    </w:p>
    <w:tbl>
      <w:tblPr>
        <w:tblStyle w:val="1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5"/>
        <w:gridCol w:w="2340"/>
        <w:gridCol w:w="2253"/>
        <w:gridCol w:w="2692"/>
      </w:tblGrid>
      <w:tr w14:paraId="64540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pct"/>
            <w:vAlign w:val="center"/>
          </w:tcPr>
          <w:p w14:paraId="6F6EBFA5">
            <w:pPr>
              <w:spacing w:line="360" w:lineRule="auto"/>
              <w:jc w:val="center"/>
              <w:rPr>
                <w:sz w:val="21"/>
                <w:szCs w:val="21"/>
              </w:rPr>
            </w:pPr>
            <w:r>
              <w:rPr>
                <w:sz w:val="21"/>
                <w:szCs w:val="21"/>
              </w:rPr>
              <w:t>称样量/g</w:t>
            </w:r>
          </w:p>
        </w:tc>
        <w:tc>
          <w:tcPr>
            <w:tcW w:w="1373" w:type="pct"/>
            <w:vAlign w:val="center"/>
          </w:tcPr>
          <w:p w14:paraId="48613AD0">
            <w:pPr>
              <w:spacing w:line="360" w:lineRule="auto"/>
              <w:jc w:val="center"/>
              <w:rPr>
                <w:sz w:val="21"/>
                <w:szCs w:val="21"/>
              </w:rPr>
            </w:pPr>
            <w:r>
              <w:rPr>
                <w:sz w:val="21"/>
                <w:szCs w:val="21"/>
              </w:rPr>
              <w:t>试样熔融及出峰情况</w:t>
            </w:r>
          </w:p>
        </w:tc>
        <w:tc>
          <w:tcPr>
            <w:tcW w:w="1322" w:type="pct"/>
            <w:vAlign w:val="center"/>
          </w:tcPr>
          <w:p w14:paraId="2BA106E7">
            <w:pPr>
              <w:spacing w:line="360" w:lineRule="auto"/>
              <w:jc w:val="center"/>
              <w:rPr>
                <w:sz w:val="21"/>
                <w:szCs w:val="21"/>
              </w:rPr>
            </w:pPr>
            <w:r>
              <w:rPr>
                <w:sz w:val="21"/>
                <w:szCs w:val="21"/>
              </w:rPr>
              <w:t>碳含量/%</w:t>
            </w:r>
          </w:p>
        </w:tc>
        <w:tc>
          <w:tcPr>
            <w:tcW w:w="1580" w:type="pct"/>
            <w:vAlign w:val="center"/>
          </w:tcPr>
          <w:p w14:paraId="654E62D4">
            <w:pPr>
              <w:spacing w:line="360" w:lineRule="auto"/>
              <w:jc w:val="center"/>
              <w:rPr>
                <w:sz w:val="21"/>
                <w:szCs w:val="21"/>
              </w:rPr>
            </w:pPr>
            <w:r>
              <w:rPr>
                <w:sz w:val="21"/>
                <w:szCs w:val="21"/>
              </w:rPr>
              <w:t>硫含量/%</w:t>
            </w:r>
          </w:p>
        </w:tc>
      </w:tr>
      <w:tr w14:paraId="7B7DF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pct"/>
            <w:vAlign w:val="center"/>
          </w:tcPr>
          <w:p w14:paraId="3B48561D">
            <w:pPr>
              <w:spacing w:line="360" w:lineRule="auto"/>
              <w:jc w:val="center"/>
              <w:rPr>
                <w:sz w:val="21"/>
                <w:szCs w:val="21"/>
              </w:rPr>
            </w:pPr>
            <w:r>
              <w:rPr>
                <w:sz w:val="21"/>
                <w:szCs w:val="21"/>
              </w:rPr>
              <w:t>0.05</w:t>
            </w:r>
          </w:p>
        </w:tc>
        <w:tc>
          <w:tcPr>
            <w:tcW w:w="1373" w:type="pct"/>
            <w:vAlign w:val="center"/>
          </w:tcPr>
          <w:p w14:paraId="52D82EC3">
            <w:pPr>
              <w:spacing w:line="360" w:lineRule="auto"/>
              <w:jc w:val="center"/>
              <w:rPr>
                <w:sz w:val="21"/>
                <w:szCs w:val="21"/>
              </w:rPr>
            </w:pPr>
            <w:bookmarkStart w:id="5" w:name="OLE_LINK2"/>
            <w:bookmarkStart w:id="6" w:name="OLE_LINK1"/>
            <w:r>
              <w:rPr>
                <w:sz w:val="21"/>
                <w:szCs w:val="21"/>
              </w:rPr>
              <w:t>熔体光滑，峰形光滑，无飞溅</w:t>
            </w:r>
            <w:bookmarkEnd w:id="5"/>
            <w:bookmarkEnd w:id="6"/>
          </w:p>
        </w:tc>
        <w:tc>
          <w:tcPr>
            <w:tcW w:w="1322" w:type="pct"/>
            <w:vAlign w:val="center"/>
          </w:tcPr>
          <w:p w14:paraId="625FC7C0">
            <w:pPr>
              <w:spacing w:line="360" w:lineRule="auto"/>
              <w:jc w:val="center"/>
              <w:rPr>
                <w:rFonts w:hint="default" w:eastAsia="宋体"/>
                <w:sz w:val="21"/>
                <w:szCs w:val="21"/>
                <w:lang w:val="en-US" w:eastAsia="zh-CN"/>
              </w:rPr>
            </w:pPr>
            <w:r>
              <w:rPr>
                <w:rFonts w:hint="eastAsia"/>
                <w:sz w:val="21"/>
                <w:szCs w:val="21"/>
              </w:rPr>
              <w:t>2.43，2.48</w:t>
            </w:r>
          </w:p>
        </w:tc>
        <w:tc>
          <w:tcPr>
            <w:tcW w:w="1580" w:type="pct"/>
            <w:vAlign w:val="center"/>
          </w:tcPr>
          <w:p w14:paraId="20EFCFE8">
            <w:pPr>
              <w:spacing w:line="360" w:lineRule="auto"/>
              <w:jc w:val="center"/>
              <w:rPr>
                <w:rFonts w:hint="default" w:eastAsia="宋体"/>
                <w:sz w:val="21"/>
                <w:szCs w:val="21"/>
                <w:lang w:val="en-US" w:eastAsia="zh-CN"/>
              </w:rPr>
            </w:pPr>
            <w:r>
              <w:rPr>
                <w:rFonts w:hint="eastAsia"/>
                <w:sz w:val="21"/>
                <w:szCs w:val="21"/>
              </w:rPr>
              <w:t>0.101，0.110</w:t>
            </w:r>
          </w:p>
        </w:tc>
      </w:tr>
      <w:tr w14:paraId="1FCAA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pct"/>
            <w:vAlign w:val="center"/>
          </w:tcPr>
          <w:p w14:paraId="650CE450">
            <w:pPr>
              <w:spacing w:line="360" w:lineRule="auto"/>
              <w:jc w:val="center"/>
              <w:rPr>
                <w:sz w:val="21"/>
                <w:szCs w:val="21"/>
              </w:rPr>
            </w:pPr>
            <w:r>
              <w:rPr>
                <w:sz w:val="21"/>
                <w:szCs w:val="21"/>
              </w:rPr>
              <w:t>0.10</w:t>
            </w:r>
          </w:p>
        </w:tc>
        <w:tc>
          <w:tcPr>
            <w:tcW w:w="1373" w:type="pct"/>
            <w:vAlign w:val="center"/>
          </w:tcPr>
          <w:p w14:paraId="31D76AE2">
            <w:pPr>
              <w:spacing w:line="360" w:lineRule="auto"/>
              <w:jc w:val="center"/>
              <w:rPr>
                <w:sz w:val="21"/>
                <w:szCs w:val="21"/>
              </w:rPr>
            </w:pPr>
            <w:r>
              <w:rPr>
                <w:sz w:val="21"/>
                <w:szCs w:val="21"/>
              </w:rPr>
              <w:t>熔体光滑，峰形光滑，无飞溅</w:t>
            </w:r>
          </w:p>
        </w:tc>
        <w:tc>
          <w:tcPr>
            <w:tcW w:w="1322" w:type="pct"/>
            <w:vAlign w:val="center"/>
          </w:tcPr>
          <w:p w14:paraId="5EB06380">
            <w:pPr>
              <w:spacing w:line="360" w:lineRule="auto"/>
              <w:jc w:val="center"/>
              <w:rPr>
                <w:rFonts w:hint="default" w:eastAsia="宋体"/>
                <w:sz w:val="21"/>
                <w:szCs w:val="21"/>
                <w:lang w:val="en-US" w:eastAsia="zh-CN"/>
              </w:rPr>
            </w:pPr>
            <w:r>
              <w:rPr>
                <w:rFonts w:hint="eastAsia"/>
                <w:sz w:val="21"/>
                <w:szCs w:val="21"/>
              </w:rPr>
              <w:t>2.48，2.49</w:t>
            </w:r>
          </w:p>
        </w:tc>
        <w:tc>
          <w:tcPr>
            <w:tcW w:w="1580" w:type="pct"/>
            <w:vAlign w:val="center"/>
          </w:tcPr>
          <w:p w14:paraId="64E30FF5">
            <w:pPr>
              <w:spacing w:line="360" w:lineRule="auto"/>
              <w:jc w:val="center"/>
              <w:rPr>
                <w:rFonts w:hint="default" w:eastAsia="宋体"/>
                <w:sz w:val="21"/>
                <w:szCs w:val="21"/>
                <w:lang w:val="en-US" w:eastAsia="zh-CN"/>
              </w:rPr>
            </w:pPr>
            <w:r>
              <w:rPr>
                <w:rFonts w:hint="eastAsia"/>
                <w:sz w:val="21"/>
                <w:szCs w:val="21"/>
              </w:rPr>
              <w:t>0.106，0.105</w:t>
            </w:r>
          </w:p>
        </w:tc>
      </w:tr>
      <w:tr w14:paraId="0BE2D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pct"/>
            <w:vAlign w:val="center"/>
          </w:tcPr>
          <w:p w14:paraId="344A1CBA">
            <w:pPr>
              <w:spacing w:line="360" w:lineRule="auto"/>
              <w:jc w:val="center"/>
              <w:rPr>
                <w:rFonts w:hint="eastAsia"/>
                <w:sz w:val="21"/>
                <w:szCs w:val="21"/>
              </w:rPr>
            </w:pPr>
            <w:r>
              <w:rPr>
                <w:sz w:val="21"/>
                <w:szCs w:val="21"/>
              </w:rPr>
              <w:t>0.</w:t>
            </w:r>
            <w:r>
              <w:rPr>
                <w:rFonts w:hint="eastAsia"/>
                <w:sz w:val="21"/>
                <w:szCs w:val="21"/>
              </w:rPr>
              <w:t>15</w:t>
            </w:r>
          </w:p>
        </w:tc>
        <w:tc>
          <w:tcPr>
            <w:tcW w:w="1373" w:type="pct"/>
            <w:vAlign w:val="center"/>
          </w:tcPr>
          <w:p w14:paraId="4530D387">
            <w:pPr>
              <w:spacing w:line="360" w:lineRule="auto"/>
              <w:jc w:val="center"/>
              <w:rPr>
                <w:sz w:val="21"/>
                <w:szCs w:val="21"/>
              </w:rPr>
            </w:pPr>
            <w:r>
              <w:rPr>
                <w:sz w:val="21"/>
                <w:szCs w:val="21"/>
              </w:rPr>
              <w:t>熔体光滑，硫峰</w:t>
            </w:r>
            <w:r>
              <w:rPr>
                <w:rFonts w:hint="eastAsia"/>
                <w:sz w:val="21"/>
                <w:szCs w:val="21"/>
              </w:rPr>
              <w:t>光滑</w:t>
            </w:r>
            <w:r>
              <w:rPr>
                <w:sz w:val="21"/>
                <w:szCs w:val="21"/>
              </w:rPr>
              <w:t>，无飞溅</w:t>
            </w:r>
          </w:p>
        </w:tc>
        <w:tc>
          <w:tcPr>
            <w:tcW w:w="1322" w:type="pct"/>
            <w:vAlign w:val="center"/>
          </w:tcPr>
          <w:p w14:paraId="102C6B30">
            <w:pPr>
              <w:spacing w:line="360" w:lineRule="auto"/>
              <w:jc w:val="center"/>
              <w:rPr>
                <w:rFonts w:hint="default" w:eastAsia="宋体"/>
                <w:sz w:val="21"/>
                <w:szCs w:val="21"/>
                <w:lang w:val="en-US" w:eastAsia="zh-CN"/>
              </w:rPr>
            </w:pPr>
            <w:r>
              <w:rPr>
                <w:rFonts w:hint="eastAsia"/>
                <w:sz w:val="21"/>
                <w:szCs w:val="21"/>
              </w:rPr>
              <w:t>2.48，2.46</w:t>
            </w:r>
          </w:p>
        </w:tc>
        <w:tc>
          <w:tcPr>
            <w:tcW w:w="1580" w:type="pct"/>
            <w:vAlign w:val="center"/>
          </w:tcPr>
          <w:p w14:paraId="66886659">
            <w:pPr>
              <w:spacing w:line="360" w:lineRule="auto"/>
              <w:jc w:val="center"/>
              <w:rPr>
                <w:rFonts w:hint="default" w:eastAsia="宋体"/>
                <w:sz w:val="21"/>
                <w:szCs w:val="21"/>
                <w:lang w:val="en-US" w:eastAsia="zh-CN"/>
              </w:rPr>
            </w:pPr>
            <w:r>
              <w:rPr>
                <w:rFonts w:hint="eastAsia"/>
                <w:sz w:val="21"/>
                <w:szCs w:val="21"/>
              </w:rPr>
              <w:t>0.106，0.108</w:t>
            </w:r>
          </w:p>
        </w:tc>
      </w:tr>
      <w:tr w14:paraId="6026F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pct"/>
            <w:vAlign w:val="center"/>
          </w:tcPr>
          <w:p w14:paraId="2E679490">
            <w:pPr>
              <w:spacing w:line="360" w:lineRule="auto"/>
              <w:jc w:val="center"/>
              <w:rPr>
                <w:sz w:val="21"/>
                <w:szCs w:val="21"/>
              </w:rPr>
            </w:pPr>
            <w:r>
              <w:rPr>
                <w:sz w:val="21"/>
                <w:szCs w:val="21"/>
              </w:rPr>
              <w:t>0.</w:t>
            </w:r>
            <w:r>
              <w:rPr>
                <w:rFonts w:hint="eastAsia"/>
                <w:sz w:val="21"/>
                <w:szCs w:val="21"/>
              </w:rPr>
              <w:t>2</w:t>
            </w:r>
            <w:r>
              <w:rPr>
                <w:sz w:val="21"/>
                <w:szCs w:val="21"/>
              </w:rPr>
              <w:t>0</w:t>
            </w:r>
          </w:p>
        </w:tc>
        <w:tc>
          <w:tcPr>
            <w:tcW w:w="1373" w:type="pct"/>
            <w:vAlign w:val="center"/>
          </w:tcPr>
          <w:p w14:paraId="6E6069E9">
            <w:pPr>
              <w:spacing w:line="360" w:lineRule="auto"/>
              <w:jc w:val="center"/>
              <w:rPr>
                <w:sz w:val="21"/>
                <w:szCs w:val="21"/>
              </w:rPr>
            </w:pPr>
            <w:r>
              <w:rPr>
                <w:sz w:val="21"/>
                <w:szCs w:val="21"/>
              </w:rPr>
              <w:t>熔体光滑，硫峰有点拖尾，有少许飞溅</w:t>
            </w:r>
          </w:p>
        </w:tc>
        <w:tc>
          <w:tcPr>
            <w:tcW w:w="1322" w:type="pct"/>
            <w:vAlign w:val="center"/>
          </w:tcPr>
          <w:p w14:paraId="18ABA3A4">
            <w:pPr>
              <w:spacing w:line="360" w:lineRule="auto"/>
              <w:jc w:val="center"/>
              <w:rPr>
                <w:rFonts w:hint="default" w:eastAsia="宋体"/>
                <w:sz w:val="21"/>
                <w:szCs w:val="21"/>
                <w:lang w:val="en-US" w:eastAsia="zh-CN"/>
              </w:rPr>
            </w:pPr>
            <w:r>
              <w:rPr>
                <w:rFonts w:hint="eastAsia"/>
                <w:sz w:val="21"/>
                <w:szCs w:val="21"/>
              </w:rPr>
              <w:t>2.46，2.47</w:t>
            </w:r>
          </w:p>
        </w:tc>
        <w:tc>
          <w:tcPr>
            <w:tcW w:w="1580" w:type="pct"/>
            <w:vAlign w:val="center"/>
          </w:tcPr>
          <w:p w14:paraId="2619E447">
            <w:pPr>
              <w:spacing w:line="360" w:lineRule="auto"/>
              <w:jc w:val="center"/>
              <w:rPr>
                <w:rFonts w:hint="default" w:eastAsia="宋体"/>
                <w:sz w:val="21"/>
                <w:szCs w:val="21"/>
                <w:lang w:val="en-US" w:eastAsia="zh-CN"/>
              </w:rPr>
            </w:pPr>
            <w:r>
              <w:rPr>
                <w:rFonts w:hint="eastAsia"/>
                <w:sz w:val="21"/>
                <w:szCs w:val="21"/>
              </w:rPr>
              <w:t>0.102，</w:t>
            </w:r>
            <w:r>
              <w:rPr>
                <w:rFonts w:hint="eastAsia"/>
                <w:sz w:val="21"/>
                <w:szCs w:val="21"/>
                <w:lang w:val="en-US" w:eastAsia="zh-CN"/>
              </w:rPr>
              <w:t>0.106</w:t>
            </w:r>
          </w:p>
        </w:tc>
      </w:tr>
      <w:tr w14:paraId="571E5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5" w:type="pct"/>
            <w:vAlign w:val="center"/>
          </w:tcPr>
          <w:p w14:paraId="7249A9F4">
            <w:pPr>
              <w:spacing w:line="360" w:lineRule="auto"/>
              <w:jc w:val="center"/>
              <w:rPr>
                <w:rFonts w:hint="eastAsia"/>
                <w:sz w:val="21"/>
                <w:szCs w:val="21"/>
              </w:rPr>
            </w:pPr>
            <w:r>
              <w:rPr>
                <w:rFonts w:hint="eastAsia"/>
                <w:sz w:val="21"/>
                <w:szCs w:val="21"/>
              </w:rPr>
              <w:t>0.25</w:t>
            </w:r>
          </w:p>
        </w:tc>
        <w:tc>
          <w:tcPr>
            <w:tcW w:w="1373" w:type="pct"/>
            <w:vAlign w:val="center"/>
          </w:tcPr>
          <w:p w14:paraId="0F09D747">
            <w:pPr>
              <w:spacing w:line="360" w:lineRule="auto"/>
              <w:jc w:val="center"/>
              <w:rPr>
                <w:sz w:val="21"/>
                <w:szCs w:val="21"/>
              </w:rPr>
            </w:pPr>
            <w:r>
              <w:rPr>
                <w:sz w:val="21"/>
                <w:szCs w:val="21"/>
              </w:rPr>
              <w:t>熔体光滑，硫峰有点拖尾，有少许飞溅</w:t>
            </w:r>
          </w:p>
        </w:tc>
        <w:tc>
          <w:tcPr>
            <w:tcW w:w="1322" w:type="pct"/>
            <w:vAlign w:val="center"/>
          </w:tcPr>
          <w:p w14:paraId="079465FC">
            <w:pPr>
              <w:spacing w:line="360" w:lineRule="auto"/>
              <w:jc w:val="center"/>
              <w:rPr>
                <w:rFonts w:hint="default" w:eastAsia="宋体"/>
                <w:sz w:val="21"/>
                <w:szCs w:val="21"/>
                <w:lang w:val="en-US" w:eastAsia="zh-CN"/>
              </w:rPr>
            </w:pPr>
            <w:r>
              <w:rPr>
                <w:rFonts w:hint="eastAsia"/>
                <w:sz w:val="21"/>
                <w:szCs w:val="21"/>
              </w:rPr>
              <w:t>2.47，2.42</w:t>
            </w:r>
          </w:p>
        </w:tc>
        <w:tc>
          <w:tcPr>
            <w:tcW w:w="1580" w:type="pct"/>
            <w:vAlign w:val="center"/>
          </w:tcPr>
          <w:p w14:paraId="631927F2">
            <w:pPr>
              <w:spacing w:line="360" w:lineRule="auto"/>
              <w:jc w:val="center"/>
              <w:rPr>
                <w:rFonts w:hint="default" w:eastAsia="宋体"/>
                <w:sz w:val="21"/>
                <w:szCs w:val="21"/>
                <w:lang w:val="en-US" w:eastAsia="zh-CN"/>
              </w:rPr>
            </w:pPr>
            <w:r>
              <w:rPr>
                <w:rFonts w:hint="eastAsia"/>
                <w:sz w:val="21"/>
                <w:szCs w:val="21"/>
              </w:rPr>
              <w:t>0.104，0.102</w:t>
            </w:r>
          </w:p>
        </w:tc>
      </w:tr>
    </w:tbl>
    <w:p w14:paraId="6BA3B692">
      <w:pPr>
        <w:spacing w:line="360" w:lineRule="auto"/>
        <w:ind w:firstLine="420"/>
      </w:pPr>
      <w:r>
        <w:t>当称样量</w:t>
      </w:r>
      <w:r>
        <w:rPr>
          <w:rFonts w:hint="eastAsia"/>
          <w:lang w:val="en-US" w:eastAsia="zh-CN"/>
        </w:rPr>
        <w:t>小于等</w:t>
      </w:r>
      <w:r>
        <w:t>于</w:t>
      </w:r>
      <w:r>
        <w:rPr>
          <w:rFonts w:hint="eastAsia"/>
        </w:rPr>
        <w:t xml:space="preserve">0.05 </w:t>
      </w:r>
      <w:r>
        <w:t>g时，称量误差较大，样品代表性不足；当称样量在0.1</w:t>
      </w:r>
      <w:r>
        <w:rPr>
          <w:rFonts w:hint="eastAsia"/>
        </w:rPr>
        <w:t xml:space="preserve">0 g~0.15 </w:t>
      </w:r>
      <w:r>
        <w:t>g时，坩埚内熔体光滑且峰曲线好，测定结果准确，随着称样量的增加，</w:t>
      </w:r>
      <w:bookmarkStart w:id="7" w:name="_GoBack"/>
      <w:r>
        <w:t>逐渐出现出峰拖尾，少许飞溅的现象，</w:t>
      </w:r>
      <w:bookmarkEnd w:id="7"/>
      <w:r>
        <w:t>综合考虑</w:t>
      </w:r>
      <w:r>
        <w:rPr>
          <w:rFonts w:hint="eastAsia"/>
        </w:rPr>
        <w:t>推荐</w:t>
      </w:r>
      <w:r>
        <w:t>称样量为0.1</w:t>
      </w:r>
      <w:r>
        <w:rPr>
          <w:rFonts w:hint="eastAsia"/>
        </w:rPr>
        <w:t xml:space="preserve">0 g~0.15 </w:t>
      </w:r>
      <w:r>
        <w:t>g。</w:t>
      </w:r>
    </w:p>
    <w:p w14:paraId="3E0F4574">
      <w:pPr>
        <w:rPr>
          <w:rFonts w:eastAsia="黑体"/>
          <w:bCs/>
          <w:szCs w:val="21"/>
        </w:rPr>
      </w:pPr>
      <w:r>
        <w:rPr>
          <w:rFonts w:eastAsia="黑体"/>
          <w:bCs/>
          <w:szCs w:val="21"/>
        </w:rPr>
        <w:t>7.3 方法检出限和测定下限</w:t>
      </w:r>
    </w:p>
    <w:p w14:paraId="0DDA0C3E">
      <w:pPr>
        <w:spacing w:line="360" w:lineRule="auto"/>
        <w:ind w:firstLine="420"/>
      </w:pPr>
      <w:r>
        <w:rPr>
          <w:rFonts w:hint="eastAsia"/>
        </w:rPr>
        <w:t>按照样品的分析流程，仅加入助溶剂进行测定，记录每次测定的碳和硫测定结果。</w:t>
      </w:r>
    </w:p>
    <w:p w14:paraId="6AE8476F">
      <w:pPr>
        <w:spacing w:line="360" w:lineRule="auto"/>
        <w:ind w:firstLine="420"/>
      </w:pPr>
      <w:r>
        <w:t>检出限：以连续测定11次空白值的3倍标准偏差计算检出限。</w:t>
      </w:r>
    </w:p>
    <w:p w14:paraId="6C09546C">
      <w:pPr>
        <w:spacing w:line="360" w:lineRule="auto"/>
      </w:pPr>
      <w:r>
        <w:t xml:space="preserve">    测定下限：以连续测定11次空白值标准偏差10倍对应的含量作为分析方法测定下限。</w:t>
      </w:r>
    </w:p>
    <w:p w14:paraId="3CF8B10A">
      <w:pPr>
        <w:spacing w:line="360" w:lineRule="auto"/>
        <w:jc w:val="center"/>
      </w:pPr>
      <w:r>
        <w:t>表</w:t>
      </w:r>
      <w:r>
        <w:rPr>
          <w:rFonts w:hint="eastAsia"/>
        </w:rPr>
        <w:t>5</w:t>
      </w:r>
      <w:r>
        <w:t xml:space="preserve"> 碳和硫检出限及测定下限试验</w:t>
      </w:r>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3"/>
        <w:gridCol w:w="2952"/>
        <w:gridCol w:w="1035"/>
        <w:gridCol w:w="1140"/>
        <w:gridCol w:w="1041"/>
        <w:gridCol w:w="1111"/>
      </w:tblGrid>
      <w:tr w14:paraId="10E5C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8" w:type="pct"/>
            <w:vAlign w:val="center"/>
          </w:tcPr>
          <w:p w14:paraId="0232D74E">
            <w:pPr>
              <w:jc w:val="center"/>
              <w:rPr>
                <w:sz w:val="21"/>
                <w:szCs w:val="21"/>
              </w:rPr>
            </w:pPr>
            <w:r>
              <w:rPr>
                <w:sz w:val="21"/>
                <w:szCs w:val="21"/>
              </w:rPr>
              <w:t>测定元素</w:t>
            </w:r>
          </w:p>
        </w:tc>
        <w:tc>
          <w:tcPr>
            <w:tcW w:w="1731" w:type="pct"/>
            <w:vAlign w:val="center"/>
          </w:tcPr>
          <w:p w14:paraId="61136C4B">
            <w:pPr>
              <w:jc w:val="center"/>
              <w:rPr>
                <w:sz w:val="21"/>
                <w:szCs w:val="21"/>
              </w:rPr>
            </w:pPr>
            <w:r>
              <w:rPr>
                <w:sz w:val="21"/>
                <w:szCs w:val="21"/>
              </w:rPr>
              <w:t>空白测定值</w:t>
            </w:r>
          </w:p>
          <w:p w14:paraId="2BACA593">
            <w:pPr>
              <w:jc w:val="center"/>
              <w:rPr>
                <w:sz w:val="21"/>
                <w:szCs w:val="21"/>
              </w:rPr>
            </w:pPr>
            <w:r>
              <w:rPr>
                <w:sz w:val="21"/>
                <w:szCs w:val="21"/>
              </w:rPr>
              <w:t>/%</w:t>
            </w:r>
          </w:p>
        </w:tc>
        <w:tc>
          <w:tcPr>
            <w:tcW w:w="607" w:type="pct"/>
            <w:vAlign w:val="center"/>
          </w:tcPr>
          <w:p w14:paraId="524399AC">
            <w:pPr>
              <w:jc w:val="center"/>
              <w:rPr>
                <w:sz w:val="21"/>
                <w:szCs w:val="21"/>
              </w:rPr>
            </w:pPr>
            <w:r>
              <w:rPr>
                <w:sz w:val="21"/>
                <w:szCs w:val="21"/>
              </w:rPr>
              <w:t>平均值</w:t>
            </w:r>
          </w:p>
          <w:p w14:paraId="1958C32F">
            <w:pPr>
              <w:jc w:val="center"/>
              <w:rPr>
                <w:sz w:val="21"/>
                <w:szCs w:val="21"/>
              </w:rPr>
            </w:pPr>
            <w:r>
              <w:rPr>
                <w:sz w:val="21"/>
                <w:szCs w:val="21"/>
              </w:rPr>
              <w:t>/%</w:t>
            </w:r>
          </w:p>
        </w:tc>
        <w:tc>
          <w:tcPr>
            <w:tcW w:w="668" w:type="pct"/>
            <w:vAlign w:val="center"/>
          </w:tcPr>
          <w:p w14:paraId="43C29A67">
            <w:pPr>
              <w:jc w:val="center"/>
              <w:rPr>
                <w:sz w:val="21"/>
                <w:szCs w:val="21"/>
              </w:rPr>
            </w:pPr>
            <w:r>
              <w:rPr>
                <w:sz w:val="21"/>
                <w:szCs w:val="21"/>
              </w:rPr>
              <w:t>标准偏差</w:t>
            </w:r>
          </w:p>
          <w:p w14:paraId="7D44A030">
            <w:pPr>
              <w:jc w:val="center"/>
              <w:rPr>
                <w:sz w:val="21"/>
                <w:szCs w:val="21"/>
              </w:rPr>
            </w:pPr>
            <w:r>
              <w:rPr>
                <w:sz w:val="21"/>
                <w:szCs w:val="21"/>
              </w:rPr>
              <w:t>/%</w:t>
            </w:r>
          </w:p>
        </w:tc>
        <w:tc>
          <w:tcPr>
            <w:tcW w:w="611" w:type="pct"/>
            <w:vAlign w:val="center"/>
          </w:tcPr>
          <w:p w14:paraId="7EA2D24A">
            <w:pPr>
              <w:jc w:val="center"/>
              <w:rPr>
                <w:sz w:val="21"/>
                <w:szCs w:val="21"/>
              </w:rPr>
            </w:pPr>
            <w:r>
              <w:rPr>
                <w:sz w:val="21"/>
                <w:szCs w:val="21"/>
              </w:rPr>
              <w:t>检出限</w:t>
            </w:r>
          </w:p>
          <w:p w14:paraId="4CC24188">
            <w:pPr>
              <w:jc w:val="center"/>
              <w:rPr>
                <w:sz w:val="21"/>
                <w:szCs w:val="21"/>
              </w:rPr>
            </w:pPr>
            <w:r>
              <w:rPr>
                <w:sz w:val="21"/>
                <w:szCs w:val="21"/>
              </w:rPr>
              <w:t>/%</w:t>
            </w:r>
          </w:p>
        </w:tc>
        <w:tc>
          <w:tcPr>
            <w:tcW w:w="651" w:type="pct"/>
            <w:vAlign w:val="center"/>
          </w:tcPr>
          <w:p w14:paraId="64F9EE5D">
            <w:pPr>
              <w:jc w:val="center"/>
              <w:rPr>
                <w:sz w:val="21"/>
                <w:szCs w:val="21"/>
              </w:rPr>
            </w:pPr>
            <w:r>
              <w:rPr>
                <w:sz w:val="21"/>
                <w:szCs w:val="21"/>
              </w:rPr>
              <w:t>测定下限</w:t>
            </w:r>
          </w:p>
          <w:p w14:paraId="5358CE0E">
            <w:pPr>
              <w:jc w:val="center"/>
              <w:rPr>
                <w:sz w:val="21"/>
                <w:szCs w:val="21"/>
              </w:rPr>
            </w:pPr>
            <w:r>
              <w:rPr>
                <w:sz w:val="21"/>
                <w:szCs w:val="21"/>
              </w:rPr>
              <w:t>/%</w:t>
            </w:r>
          </w:p>
        </w:tc>
      </w:tr>
      <w:tr w14:paraId="71273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8" w:type="pct"/>
            <w:vAlign w:val="center"/>
          </w:tcPr>
          <w:p w14:paraId="3AA262CB">
            <w:pPr>
              <w:spacing w:line="360" w:lineRule="auto"/>
              <w:jc w:val="center"/>
              <w:rPr>
                <w:sz w:val="21"/>
                <w:szCs w:val="21"/>
              </w:rPr>
            </w:pPr>
            <w:r>
              <w:rPr>
                <w:sz w:val="21"/>
                <w:szCs w:val="21"/>
              </w:rPr>
              <w:t>C</w:t>
            </w:r>
          </w:p>
        </w:tc>
        <w:tc>
          <w:tcPr>
            <w:tcW w:w="1731" w:type="pct"/>
            <w:vAlign w:val="center"/>
          </w:tcPr>
          <w:p w14:paraId="5AD59835">
            <w:pPr>
              <w:spacing w:line="360" w:lineRule="auto"/>
              <w:jc w:val="center"/>
              <w:rPr>
                <w:sz w:val="21"/>
                <w:szCs w:val="21"/>
              </w:rPr>
            </w:pPr>
            <w:r>
              <w:rPr>
                <w:sz w:val="21"/>
                <w:szCs w:val="21"/>
              </w:rPr>
              <w:t>0.00041、0.00046、0.00038、0.00044、0.000</w:t>
            </w:r>
            <w:r>
              <w:rPr>
                <w:rFonts w:hint="eastAsia"/>
                <w:sz w:val="21"/>
                <w:szCs w:val="21"/>
              </w:rPr>
              <w:t>36</w:t>
            </w:r>
            <w:r>
              <w:rPr>
                <w:sz w:val="21"/>
                <w:szCs w:val="21"/>
              </w:rPr>
              <w:t>、0.000</w:t>
            </w:r>
            <w:r>
              <w:rPr>
                <w:rFonts w:hint="eastAsia"/>
                <w:sz w:val="21"/>
                <w:szCs w:val="21"/>
              </w:rPr>
              <w:t>57</w:t>
            </w:r>
            <w:r>
              <w:rPr>
                <w:sz w:val="21"/>
                <w:szCs w:val="21"/>
              </w:rPr>
              <w:t>、0.000</w:t>
            </w:r>
            <w:r>
              <w:rPr>
                <w:rFonts w:hint="eastAsia"/>
                <w:sz w:val="21"/>
                <w:szCs w:val="21"/>
              </w:rPr>
              <w:t>42</w:t>
            </w:r>
            <w:r>
              <w:rPr>
                <w:sz w:val="21"/>
                <w:szCs w:val="21"/>
              </w:rPr>
              <w:t>、0.000</w:t>
            </w:r>
            <w:r>
              <w:rPr>
                <w:rFonts w:hint="eastAsia"/>
                <w:sz w:val="21"/>
                <w:szCs w:val="21"/>
              </w:rPr>
              <w:t>4</w:t>
            </w:r>
            <w:r>
              <w:rPr>
                <w:sz w:val="21"/>
                <w:szCs w:val="21"/>
              </w:rPr>
              <w:t>9、0.000</w:t>
            </w:r>
            <w:r>
              <w:rPr>
                <w:rFonts w:hint="eastAsia"/>
                <w:sz w:val="21"/>
                <w:szCs w:val="21"/>
              </w:rPr>
              <w:t>6</w:t>
            </w:r>
            <w:r>
              <w:rPr>
                <w:sz w:val="21"/>
                <w:szCs w:val="21"/>
              </w:rPr>
              <w:t>1、0.000</w:t>
            </w:r>
            <w:r>
              <w:rPr>
                <w:rFonts w:hint="eastAsia"/>
                <w:sz w:val="21"/>
                <w:szCs w:val="21"/>
              </w:rPr>
              <w:t>31</w:t>
            </w:r>
            <w:r>
              <w:rPr>
                <w:sz w:val="21"/>
                <w:szCs w:val="21"/>
              </w:rPr>
              <w:t>、0.000</w:t>
            </w:r>
            <w:r>
              <w:rPr>
                <w:rFonts w:hint="eastAsia"/>
                <w:sz w:val="21"/>
                <w:szCs w:val="21"/>
              </w:rPr>
              <w:t>42</w:t>
            </w:r>
          </w:p>
        </w:tc>
        <w:tc>
          <w:tcPr>
            <w:tcW w:w="607" w:type="pct"/>
            <w:vAlign w:val="center"/>
          </w:tcPr>
          <w:p w14:paraId="4F3D1141">
            <w:pPr>
              <w:spacing w:line="360" w:lineRule="auto"/>
              <w:jc w:val="center"/>
              <w:rPr>
                <w:sz w:val="21"/>
                <w:szCs w:val="21"/>
              </w:rPr>
            </w:pPr>
            <w:r>
              <w:rPr>
                <w:sz w:val="21"/>
                <w:szCs w:val="21"/>
              </w:rPr>
              <w:t>0.000</w:t>
            </w:r>
            <w:r>
              <w:rPr>
                <w:rFonts w:hint="eastAsia"/>
                <w:sz w:val="21"/>
                <w:szCs w:val="21"/>
              </w:rPr>
              <w:t>44</w:t>
            </w:r>
          </w:p>
        </w:tc>
        <w:tc>
          <w:tcPr>
            <w:tcW w:w="668" w:type="pct"/>
            <w:vAlign w:val="center"/>
          </w:tcPr>
          <w:p w14:paraId="74CBC8F2">
            <w:pPr>
              <w:spacing w:line="360" w:lineRule="auto"/>
              <w:jc w:val="center"/>
              <w:rPr>
                <w:sz w:val="21"/>
                <w:szCs w:val="21"/>
              </w:rPr>
            </w:pPr>
            <w:r>
              <w:rPr>
                <w:sz w:val="21"/>
                <w:szCs w:val="21"/>
              </w:rPr>
              <w:t>0.0000</w:t>
            </w:r>
            <w:r>
              <w:rPr>
                <w:rFonts w:hint="eastAsia"/>
                <w:sz w:val="21"/>
                <w:szCs w:val="21"/>
              </w:rPr>
              <w:t>87</w:t>
            </w:r>
          </w:p>
        </w:tc>
        <w:tc>
          <w:tcPr>
            <w:tcW w:w="611" w:type="pct"/>
            <w:vAlign w:val="center"/>
          </w:tcPr>
          <w:p w14:paraId="48E8E00D">
            <w:pPr>
              <w:spacing w:line="360" w:lineRule="auto"/>
              <w:jc w:val="center"/>
              <w:rPr>
                <w:sz w:val="21"/>
                <w:szCs w:val="21"/>
              </w:rPr>
            </w:pPr>
            <w:r>
              <w:rPr>
                <w:sz w:val="21"/>
                <w:szCs w:val="21"/>
              </w:rPr>
              <w:t>0.000</w:t>
            </w:r>
            <w:r>
              <w:rPr>
                <w:rFonts w:hint="eastAsia"/>
                <w:sz w:val="21"/>
                <w:szCs w:val="21"/>
              </w:rPr>
              <w:t>26</w:t>
            </w:r>
          </w:p>
        </w:tc>
        <w:tc>
          <w:tcPr>
            <w:tcW w:w="651" w:type="pct"/>
            <w:vAlign w:val="center"/>
          </w:tcPr>
          <w:p w14:paraId="28E8418B">
            <w:pPr>
              <w:spacing w:line="360" w:lineRule="auto"/>
              <w:jc w:val="center"/>
              <w:rPr>
                <w:sz w:val="21"/>
                <w:szCs w:val="21"/>
              </w:rPr>
            </w:pPr>
            <w:r>
              <w:rPr>
                <w:sz w:val="21"/>
                <w:szCs w:val="21"/>
              </w:rPr>
              <w:t>0.000</w:t>
            </w:r>
            <w:r>
              <w:rPr>
                <w:rFonts w:hint="eastAsia"/>
                <w:sz w:val="21"/>
                <w:szCs w:val="21"/>
              </w:rPr>
              <w:t>87</w:t>
            </w:r>
          </w:p>
        </w:tc>
      </w:tr>
      <w:tr w14:paraId="04635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8" w:type="pct"/>
            <w:vAlign w:val="center"/>
          </w:tcPr>
          <w:p w14:paraId="66A6CA7C">
            <w:pPr>
              <w:spacing w:line="360" w:lineRule="auto"/>
              <w:jc w:val="center"/>
              <w:rPr>
                <w:sz w:val="21"/>
                <w:szCs w:val="21"/>
              </w:rPr>
            </w:pPr>
            <w:r>
              <w:rPr>
                <w:sz w:val="21"/>
                <w:szCs w:val="21"/>
              </w:rPr>
              <w:t>S</w:t>
            </w:r>
          </w:p>
        </w:tc>
        <w:tc>
          <w:tcPr>
            <w:tcW w:w="1731" w:type="pct"/>
            <w:vAlign w:val="center"/>
          </w:tcPr>
          <w:p w14:paraId="27B2ED5C">
            <w:pPr>
              <w:spacing w:line="360" w:lineRule="auto"/>
              <w:jc w:val="center"/>
              <w:rPr>
                <w:rFonts w:hint="default" w:eastAsia="宋体"/>
                <w:sz w:val="21"/>
                <w:szCs w:val="21"/>
                <w:lang w:val="en-US" w:eastAsia="zh-CN"/>
              </w:rPr>
            </w:pPr>
            <w:r>
              <w:rPr>
                <w:sz w:val="21"/>
                <w:szCs w:val="21"/>
              </w:rPr>
              <w:t>0.000</w:t>
            </w:r>
            <w:r>
              <w:rPr>
                <w:rFonts w:hint="eastAsia"/>
                <w:sz w:val="21"/>
                <w:szCs w:val="21"/>
                <w:lang w:val="en-US" w:eastAsia="zh-CN"/>
              </w:rPr>
              <w:t>24</w:t>
            </w:r>
            <w:r>
              <w:rPr>
                <w:sz w:val="21"/>
                <w:szCs w:val="21"/>
              </w:rPr>
              <w:t>、0.000</w:t>
            </w:r>
            <w:r>
              <w:rPr>
                <w:rFonts w:hint="eastAsia"/>
                <w:sz w:val="21"/>
                <w:szCs w:val="21"/>
                <w:lang w:val="en-US" w:eastAsia="zh-CN"/>
              </w:rPr>
              <w:t>3</w:t>
            </w:r>
            <w:r>
              <w:rPr>
                <w:sz w:val="21"/>
                <w:szCs w:val="21"/>
              </w:rPr>
              <w:t>9、0.000</w:t>
            </w:r>
            <w:r>
              <w:rPr>
                <w:rFonts w:hint="eastAsia"/>
                <w:sz w:val="21"/>
                <w:szCs w:val="21"/>
                <w:lang w:val="en-US" w:eastAsia="zh-CN"/>
              </w:rPr>
              <w:t>27</w:t>
            </w:r>
            <w:r>
              <w:rPr>
                <w:sz w:val="21"/>
                <w:szCs w:val="21"/>
              </w:rPr>
              <w:t>、0.000</w:t>
            </w:r>
            <w:r>
              <w:rPr>
                <w:rFonts w:hint="eastAsia"/>
                <w:sz w:val="21"/>
                <w:szCs w:val="21"/>
                <w:lang w:val="en-US" w:eastAsia="zh-CN"/>
              </w:rPr>
              <w:t>31</w:t>
            </w:r>
            <w:r>
              <w:rPr>
                <w:sz w:val="21"/>
                <w:szCs w:val="21"/>
              </w:rPr>
              <w:t>、0.000</w:t>
            </w:r>
            <w:r>
              <w:rPr>
                <w:rFonts w:hint="eastAsia"/>
                <w:sz w:val="21"/>
                <w:szCs w:val="21"/>
                <w:lang w:val="en-US" w:eastAsia="zh-CN"/>
              </w:rPr>
              <w:t>28</w:t>
            </w:r>
            <w:r>
              <w:rPr>
                <w:sz w:val="21"/>
                <w:szCs w:val="21"/>
              </w:rPr>
              <w:t>、0.000</w:t>
            </w:r>
            <w:r>
              <w:rPr>
                <w:rFonts w:hint="eastAsia"/>
                <w:sz w:val="21"/>
                <w:szCs w:val="21"/>
                <w:lang w:val="en-US" w:eastAsia="zh-CN"/>
              </w:rPr>
              <w:t>25</w:t>
            </w:r>
            <w:r>
              <w:rPr>
                <w:sz w:val="21"/>
                <w:szCs w:val="21"/>
              </w:rPr>
              <w:t>、0.000</w:t>
            </w:r>
            <w:r>
              <w:rPr>
                <w:rFonts w:hint="eastAsia"/>
                <w:sz w:val="21"/>
                <w:szCs w:val="21"/>
                <w:lang w:val="en-US" w:eastAsia="zh-CN"/>
              </w:rPr>
              <w:t>36</w:t>
            </w:r>
            <w:r>
              <w:rPr>
                <w:sz w:val="21"/>
                <w:szCs w:val="21"/>
              </w:rPr>
              <w:t>、0.000</w:t>
            </w:r>
            <w:r>
              <w:rPr>
                <w:rFonts w:hint="eastAsia"/>
                <w:sz w:val="21"/>
                <w:szCs w:val="21"/>
                <w:lang w:val="en-US" w:eastAsia="zh-CN"/>
              </w:rPr>
              <w:t>24</w:t>
            </w:r>
            <w:r>
              <w:rPr>
                <w:sz w:val="21"/>
                <w:szCs w:val="21"/>
              </w:rPr>
              <w:t>、0.000</w:t>
            </w:r>
            <w:r>
              <w:rPr>
                <w:rFonts w:hint="eastAsia"/>
                <w:sz w:val="21"/>
                <w:szCs w:val="21"/>
                <w:lang w:val="en-US" w:eastAsia="zh-CN"/>
              </w:rPr>
              <w:t>27</w:t>
            </w:r>
            <w:r>
              <w:rPr>
                <w:sz w:val="21"/>
                <w:szCs w:val="21"/>
              </w:rPr>
              <w:t>、0.000</w:t>
            </w:r>
            <w:r>
              <w:rPr>
                <w:rFonts w:hint="eastAsia"/>
                <w:sz w:val="21"/>
                <w:szCs w:val="21"/>
                <w:lang w:val="en-US" w:eastAsia="zh-CN"/>
              </w:rPr>
              <w:t>32</w:t>
            </w:r>
            <w:r>
              <w:rPr>
                <w:sz w:val="21"/>
                <w:szCs w:val="21"/>
              </w:rPr>
              <w:t>、0.000</w:t>
            </w:r>
            <w:r>
              <w:rPr>
                <w:rFonts w:hint="eastAsia"/>
                <w:sz w:val="21"/>
                <w:szCs w:val="21"/>
                <w:lang w:val="en-US" w:eastAsia="zh-CN"/>
              </w:rPr>
              <w:t>38</w:t>
            </w:r>
          </w:p>
        </w:tc>
        <w:tc>
          <w:tcPr>
            <w:tcW w:w="607" w:type="pct"/>
            <w:vAlign w:val="center"/>
          </w:tcPr>
          <w:p w14:paraId="1648B4FF">
            <w:pPr>
              <w:spacing w:line="360" w:lineRule="auto"/>
              <w:jc w:val="center"/>
              <w:rPr>
                <w:rFonts w:hint="default" w:eastAsia="宋体"/>
                <w:sz w:val="21"/>
                <w:szCs w:val="21"/>
                <w:lang w:val="en-US" w:eastAsia="zh-CN"/>
              </w:rPr>
            </w:pPr>
            <w:r>
              <w:rPr>
                <w:sz w:val="21"/>
                <w:szCs w:val="21"/>
              </w:rPr>
              <w:t>0.000</w:t>
            </w:r>
            <w:r>
              <w:rPr>
                <w:rFonts w:hint="eastAsia"/>
                <w:sz w:val="21"/>
                <w:szCs w:val="21"/>
                <w:lang w:val="en-US" w:eastAsia="zh-CN"/>
              </w:rPr>
              <w:t>30</w:t>
            </w:r>
          </w:p>
        </w:tc>
        <w:tc>
          <w:tcPr>
            <w:tcW w:w="668" w:type="pct"/>
            <w:vAlign w:val="center"/>
          </w:tcPr>
          <w:p w14:paraId="7E54548E">
            <w:pPr>
              <w:spacing w:line="360" w:lineRule="auto"/>
              <w:jc w:val="center"/>
              <w:rPr>
                <w:rFonts w:hint="default" w:eastAsia="宋体"/>
                <w:sz w:val="21"/>
                <w:szCs w:val="21"/>
                <w:lang w:val="en-US" w:eastAsia="zh-CN"/>
              </w:rPr>
            </w:pPr>
            <w:r>
              <w:rPr>
                <w:sz w:val="21"/>
                <w:szCs w:val="21"/>
              </w:rPr>
              <w:t>0.000</w:t>
            </w:r>
            <w:r>
              <w:rPr>
                <w:rFonts w:hint="eastAsia"/>
                <w:sz w:val="21"/>
                <w:szCs w:val="21"/>
                <w:lang w:val="en-US" w:eastAsia="zh-CN"/>
              </w:rPr>
              <w:t>052</w:t>
            </w:r>
          </w:p>
        </w:tc>
        <w:tc>
          <w:tcPr>
            <w:tcW w:w="611" w:type="pct"/>
            <w:vAlign w:val="center"/>
          </w:tcPr>
          <w:p w14:paraId="043CB517">
            <w:pPr>
              <w:spacing w:line="360" w:lineRule="auto"/>
              <w:jc w:val="center"/>
              <w:rPr>
                <w:rFonts w:hint="default" w:eastAsia="宋体"/>
                <w:sz w:val="21"/>
                <w:szCs w:val="21"/>
                <w:lang w:val="en-US" w:eastAsia="zh-CN"/>
              </w:rPr>
            </w:pPr>
            <w:r>
              <w:rPr>
                <w:sz w:val="21"/>
                <w:szCs w:val="21"/>
              </w:rPr>
              <w:t>0.000</w:t>
            </w:r>
            <w:r>
              <w:rPr>
                <w:rFonts w:hint="eastAsia"/>
                <w:sz w:val="21"/>
                <w:szCs w:val="21"/>
                <w:lang w:val="en-US" w:eastAsia="zh-CN"/>
              </w:rPr>
              <w:t>16</w:t>
            </w:r>
          </w:p>
        </w:tc>
        <w:tc>
          <w:tcPr>
            <w:tcW w:w="651" w:type="pct"/>
            <w:vAlign w:val="center"/>
          </w:tcPr>
          <w:p w14:paraId="27FBDD3E">
            <w:pPr>
              <w:spacing w:line="360" w:lineRule="auto"/>
              <w:jc w:val="center"/>
              <w:rPr>
                <w:rFonts w:hint="default" w:eastAsia="宋体"/>
                <w:sz w:val="21"/>
                <w:szCs w:val="21"/>
                <w:lang w:val="en-US" w:eastAsia="zh-CN"/>
              </w:rPr>
            </w:pPr>
            <w:r>
              <w:rPr>
                <w:sz w:val="21"/>
                <w:szCs w:val="21"/>
              </w:rPr>
              <w:t>0.000</w:t>
            </w:r>
            <w:r>
              <w:rPr>
                <w:rFonts w:hint="eastAsia"/>
                <w:sz w:val="21"/>
                <w:szCs w:val="21"/>
                <w:lang w:val="en-US" w:eastAsia="zh-CN"/>
              </w:rPr>
              <w:t>52</w:t>
            </w:r>
          </w:p>
        </w:tc>
      </w:tr>
    </w:tbl>
    <w:p w14:paraId="5BBA7962">
      <w:pPr>
        <w:spacing w:line="360" w:lineRule="auto"/>
        <w:rPr>
          <w:color w:val="444444"/>
          <w:szCs w:val="21"/>
        </w:rPr>
      </w:pPr>
      <w:r>
        <w:rPr>
          <w:color w:val="444444"/>
          <w:szCs w:val="21"/>
        </w:rPr>
        <w:t>由表</w:t>
      </w:r>
      <w:r>
        <w:rPr>
          <w:rFonts w:hint="eastAsia"/>
          <w:color w:val="444444"/>
          <w:szCs w:val="21"/>
        </w:rPr>
        <w:t>5</w:t>
      </w:r>
      <w:r>
        <w:rPr>
          <w:color w:val="444444"/>
          <w:szCs w:val="21"/>
        </w:rPr>
        <w:t>可以得出，碳的检出限为0.00026，测定下限为0.00087，硫的检出限为0.000</w:t>
      </w:r>
      <w:r>
        <w:rPr>
          <w:rFonts w:hint="eastAsia"/>
          <w:color w:val="444444"/>
          <w:szCs w:val="21"/>
          <w:lang w:val="en-US" w:eastAsia="zh-CN"/>
        </w:rPr>
        <w:t>16</w:t>
      </w:r>
      <w:r>
        <w:rPr>
          <w:color w:val="444444"/>
          <w:szCs w:val="21"/>
        </w:rPr>
        <w:t>，测定下限为0.000</w:t>
      </w:r>
      <w:r>
        <w:rPr>
          <w:rFonts w:hint="eastAsia"/>
          <w:color w:val="444444"/>
          <w:szCs w:val="21"/>
          <w:lang w:val="en-US" w:eastAsia="zh-CN"/>
        </w:rPr>
        <w:t>52</w:t>
      </w:r>
      <w:r>
        <w:rPr>
          <w:color w:val="444444"/>
          <w:szCs w:val="21"/>
        </w:rPr>
        <w:t>，满足方法的需要。</w:t>
      </w:r>
    </w:p>
    <w:p w14:paraId="01227D02">
      <w:pPr>
        <w:rPr>
          <w:rFonts w:eastAsia="黑体"/>
          <w:bCs/>
          <w:szCs w:val="21"/>
        </w:rPr>
      </w:pPr>
      <w:r>
        <w:rPr>
          <w:rFonts w:eastAsia="黑体"/>
          <w:bCs/>
          <w:szCs w:val="21"/>
        </w:rPr>
        <w:t>7.4 精密度实验</w:t>
      </w:r>
    </w:p>
    <w:p w14:paraId="2322581F">
      <w:pPr>
        <w:spacing w:line="360" w:lineRule="auto"/>
      </w:pPr>
      <w:r>
        <w:rPr>
          <w:b/>
          <w:color w:val="444444"/>
          <w:szCs w:val="21"/>
        </w:rPr>
        <w:t xml:space="preserve">    </w:t>
      </w:r>
      <w:r>
        <w:rPr>
          <w:color w:val="444444"/>
          <w:szCs w:val="21"/>
        </w:rPr>
        <w:t xml:space="preserve">  按照上述试验方法对样品进</w:t>
      </w:r>
      <w:r>
        <w:t>行精密度试验，结果见表</w:t>
      </w:r>
      <w:r>
        <w:rPr>
          <w:rFonts w:hint="eastAsia"/>
        </w:rPr>
        <w:t>6</w:t>
      </w:r>
      <w:r>
        <w:t>。</w:t>
      </w:r>
    </w:p>
    <w:p w14:paraId="1F0A7A1E">
      <w:pPr>
        <w:spacing w:line="360" w:lineRule="auto"/>
        <w:jc w:val="center"/>
      </w:pPr>
      <w:r>
        <w:t>表</w:t>
      </w:r>
      <w:r>
        <w:rPr>
          <w:rFonts w:hint="eastAsia"/>
        </w:rPr>
        <w:t>6</w:t>
      </w:r>
      <w:r>
        <w:t xml:space="preserve"> 精密度数据</w:t>
      </w:r>
    </w:p>
    <w:tbl>
      <w:tblPr>
        <w:tblStyle w:val="9"/>
        <w:tblpPr w:leftFromText="180" w:rightFromText="180" w:vertAnchor="text" w:horzAnchor="page" w:tblpXSpec="center" w:tblpY="436"/>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1"/>
        <w:gridCol w:w="610"/>
        <w:gridCol w:w="786"/>
        <w:gridCol w:w="611"/>
        <w:gridCol w:w="787"/>
        <w:gridCol w:w="611"/>
        <w:gridCol w:w="611"/>
        <w:gridCol w:w="611"/>
        <w:gridCol w:w="611"/>
        <w:gridCol w:w="611"/>
        <w:gridCol w:w="611"/>
        <w:gridCol w:w="611"/>
        <w:gridCol w:w="700"/>
      </w:tblGrid>
      <w:tr w14:paraId="46FAD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jc w:val="center"/>
        </w:trPr>
        <w:tc>
          <w:tcPr>
            <w:tcW w:w="441" w:type="pct"/>
            <w:shd w:val="clear" w:color="auto" w:fill="auto"/>
            <w:vAlign w:val="center"/>
          </w:tcPr>
          <w:p w14:paraId="5891A1CF">
            <w:pPr>
              <w:spacing w:line="360" w:lineRule="auto"/>
              <w:jc w:val="center"/>
              <w:rPr>
                <w:rFonts w:hint="default" w:ascii="Times New Roman" w:hAnsi="Times New Roman" w:eastAsia="宋体" w:cs="Times New Roman"/>
                <w:bCs/>
                <w:color w:val="444444"/>
                <w:kern w:val="2"/>
                <w:sz w:val="16"/>
                <w:szCs w:val="16"/>
                <w:lang w:val="en-US" w:eastAsia="zh-CN" w:bidi="ar-SA"/>
              </w:rPr>
            </w:pPr>
            <w:r>
              <w:rPr>
                <w:rFonts w:hint="default" w:ascii="Times New Roman" w:hAnsi="Times New Roman" w:cs="Times New Roman"/>
                <w:bCs/>
                <w:color w:val="444444"/>
                <w:sz w:val="16"/>
                <w:szCs w:val="16"/>
              </w:rPr>
              <w:t>样品</w:t>
            </w:r>
          </w:p>
        </w:tc>
        <w:tc>
          <w:tcPr>
            <w:tcW w:w="819" w:type="pct"/>
            <w:gridSpan w:val="2"/>
            <w:shd w:val="clear" w:color="auto" w:fill="auto"/>
            <w:vAlign w:val="center"/>
          </w:tcPr>
          <w:p w14:paraId="32538987">
            <w:pPr>
              <w:spacing w:line="360" w:lineRule="auto"/>
              <w:jc w:val="center"/>
              <w:rPr>
                <w:rFonts w:hint="default" w:ascii="Times New Roman" w:hAnsi="Times New Roman" w:eastAsia="宋体" w:cs="Times New Roman"/>
                <w:bCs/>
                <w:color w:val="444444"/>
                <w:kern w:val="2"/>
                <w:sz w:val="16"/>
                <w:szCs w:val="16"/>
                <w:lang w:val="en-US" w:eastAsia="zh-CN" w:bidi="ar-SA"/>
              </w:rPr>
            </w:pPr>
            <w:r>
              <w:rPr>
                <w:rFonts w:hint="default" w:ascii="Times New Roman" w:hAnsi="Times New Roman" w:cs="Times New Roman"/>
                <w:bCs/>
                <w:color w:val="444444"/>
                <w:sz w:val="16"/>
                <w:szCs w:val="16"/>
                <w:lang w:val="en-US" w:eastAsia="zh-CN"/>
              </w:rPr>
              <w:t>1#</w:t>
            </w:r>
          </w:p>
        </w:tc>
        <w:tc>
          <w:tcPr>
            <w:tcW w:w="819" w:type="pct"/>
            <w:gridSpan w:val="2"/>
            <w:shd w:val="clear" w:color="auto" w:fill="auto"/>
            <w:vAlign w:val="center"/>
          </w:tcPr>
          <w:p w14:paraId="78010A0E">
            <w:pPr>
              <w:spacing w:line="360" w:lineRule="auto"/>
              <w:jc w:val="center"/>
              <w:rPr>
                <w:rFonts w:hint="default" w:ascii="Times New Roman" w:hAnsi="Times New Roman" w:eastAsia="宋体" w:cs="Times New Roman"/>
                <w:bCs/>
                <w:color w:val="444444"/>
                <w:kern w:val="2"/>
                <w:sz w:val="16"/>
                <w:szCs w:val="16"/>
                <w:lang w:val="en-US" w:eastAsia="zh-CN" w:bidi="ar-SA"/>
              </w:rPr>
            </w:pPr>
            <w:r>
              <w:rPr>
                <w:rFonts w:hint="default" w:ascii="Times New Roman" w:hAnsi="Times New Roman" w:cs="Times New Roman"/>
                <w:bCs/>
                <w:color w:val="444444"/>
                <w:sz w:val="16"/>
                <w:szCs w:val="16"/>
                <w:lang w:val="en-US" w:eastAsia="zh-CN"/>
              </w:rPr>
              <w:t>2#</w:t>
            </w:r>
          </w:p>
        </w:tc>
        <w:tc>
          <w:tcPr>
            <w:tcW w:w="716" w:type="pct"/>
            <w:gridSpan w:val="2"/>
            <w:shd w:val="clear" w:color="auto" w:fill="auto"/>
            <w:vAlign w:val="center"/>
          </w:tcPr>
          <w:p w14:paraId="63A0B791">
            <w:pPr>
              <w:spacing w:line="360" w:lineRule="auto"/>
              <w:jc w:val="center"/>
              <w:rPr>
                <w:rFonts w:hint="default" w:ascii="Times New Roman" w:hAnsi="Times New Roman" w:eastAsia="宋体" w:cs="Times New Roman"/>
                <w:bCs/>
                <w:color w:val="444444"/>
                <w:kern w:val="2"/>
                <w:sz w:val="16"/>
                <w:szCs w:val="16"/>
                <w:lang w:val="en-US" w:eastAsia="zh-CN" w:bidi="ar-SA"/>
              </w:rPr>
            </w:pPr>
            <w:r>
              <w:rPr>
                <w:rFonts w:hint="default" w:ascii="Times New Roman" w:hAnsi="Times New Roman" w:cs="Times New Roman"/>
                <w:bCs/>
                <w:color w:val="444444"/>
                <w:sz w:val="16"/>
                <w:szCs w:val="16"/>
                <w:lang w:val="en-US" w:eastAsia="zh-CN"/>
              </w:rPr>
              <w:t>3#</w:t>
            </w:r>
          </w:p>
        </w:tc>
        <w:tc>
          <w:tcPr>
            <w:tcW w:w="716" w:type="pct"/>
            <w:gridSpan w:val="2"/>
            <w:shd w:val="clear" w:color="auto" w:fill="auto"/>
            <w:vAlign w:val="center"/>
          </w:tcPr>
          <w:p w14:paraId="7265ABCD">
            <w:pPr>
              <w:spacing w:line="360" w:lineRule="auto"/>
              <w:jc w:val="center"/>
              <w:rPr>
                <w:rFonts w:hint="default" w:ascii="Times New Roman" w:hAnsi="Times New Roman" w:eastAsia="宋体" w:cs="Times New Roman"/>
                <w:bCs/>
                <w:color w:val="444444"/>
                <w:kern w:val="2"/>
                <w:sz w:val="16"/>
                <w:szCs w:val="16"/>
                <w:lang w:val="en-US" w:eastAsia="zh-CN" w:bidi="ar-SA"/>
              </w:rPr>
            </w:pPr>
            <w:r>
              <w:rPr>
                <w:rFonts w:hint="default" w:ascii="Times New Roman" w:hAnsi="Times New Roman" w:cs="Times New Roman"/>
                <w:bCs/>
                <w:color w:val="444444"/>
                <w:sz w:val="16"/>
                <w:szCs w:val="16"/>
                <w:lang w:val="en-US" w:eastAsia="zh-CN"/>
              </w:rPr>
              <w:t>4#</w:t>
            </w:r>
          </w:p>
        </w:tc>
        <w:tc>
          <w:tcPr>
            <w:tcW w:w="716" w:type="pct"/>
            <w:gridSpan w:val="2"/>
            <w:shd w:val="clear" w:color="auto" w:fill="auto"/>
            <w:vAlign w:val="center"/>
          </w:tcPr>
          <w:p w14:paraId="6F8F8E27">
            <w:pPr>
              <w:spacing w:line="360" w:lineRule="auto"/>
              <w:jc w:val="center"/>
              <w:rPr>
                <w:rFonts w:hint="default" w:ascii="Times New Roman" w:hAnsi="Times New Roman" w:eastAsia="宋体" w:cs="Times New Roman"/>
                <w:bCs/>
                <w:color w:val="444444"/>
                <w:kern w:val="2"/>
                <w:sz w:val="16"/>
                <w:szCs w:val="16"/>
                <w:lang w:val="en-US" w:eastAsia="zh-CN" w:bidi="ar-SA"/>
              </w:rPr>
            </w:pPr>
            <w:r>
              <w:rPr>
                <w:rFonts w:hint="default" w:ascii="Times New Roman" w:hAnsi="Times New Roman" w:cs="Times New Roman"/>
                <w:bCs/>
                <w:color w:val="444444"/>
                <w:sz w:val="16"/>
                <w:szCs w:val="16"/>
                <w:lang w:val="en-US" w:eastAsia="zh-CN"/>
              </w:rPr>
              <w:t>5#</w:t>
            </w:r>
          </w:p>
        </w:tc>
        <w:tc>
          <w:tcPr>
            <w:tcW w:w="768" w:type="pct"/>
            <w:gridSpan w:val="2"/>
            <w:shd w:val="clear" w:color="auto" w:fill="auto"/>
            <w:vAlign w:val="center"/>
          </w:tcPr>
          <w:p w14:paraId="4B8816C1">
            <w:pPr>
              <w:spacing w:line="360" w:lineRule="auto"/>
              <w:jc w:val="center"/>
              <w:rPr>
                <w:rFonts w:hint="default" w:ascii="Times New Roman" w:hAnsi="Times New Roman" w:eastAsia="宋体" w:cs="Times New Roman"/>
                <w:bCs/>
                <w:color w:val="444444"/>
                <w:kern w:val="2"/>
                <w:sz w:val="16"/>
                <w:szCs w:val="16"/>
                <w:lang w:val="en-US" w:eastAsia="zh-CN" w:bidi="ar-SA"/>
              </w:rPr>
            </w:pPr>
            <w:r>
              <w:rPr>
                <w:rFonts w:hint="default" w:ascii="Times New Roman" w:hAnsi="Times New Roman" w:cs="Times New Roman"/>
                <w:bCs/>
                <w:color w:val="444444"/>
                <w:sz w:val="16"/>
                <w:szCs w:val="16"/>
                <w:lang w:val="en-US" w:eastAsia="zh-CN"/>
              </w:rPr>
              <w:t>6#</w:t>
            </w:r>
          </w:p>
        </w:tc>
      </w:tr>
      <w:tr w14:paraId="60394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jc w:val="center"/>
        </w:trPr>
        <w:tc>
          <w:tcPr>
            <w:tcW w:w="441" w:type="pct"/>
            <w:vAlign w:val="center"/>
          </w:tcPr>
          <w:p w14:paraId="36868966">
            <w:pPr>
              <w:spacing w:line="360" w:lineRule="auto"/>
              <w:jc w:val="center"/>
              <w:rPr>
                <w:rFonts w:hint="eastAsia" w:cs="Times New Roman"/>
                <w:bCs/>
                <w:color w:val="444444"/>
                <w:sz w:val="16"/>
                <w:szCs w:val="16"/>
                <w:lang w:val="en-US" w:eastAsia="zh-CN"/>
              </w:rPr>
            </w:pPr>
            <w:r>
              <w:rPr>
                <w:rFonts w:hint="eastAsia" w:cs="Times New Roman"/>
                <w:bCs/>
                <w:color w:val="444444"/>
                <w:sz w:val="16"/>
                <w:szCs w:val="16"/>
                <w:lang w:val="en-US" w:eastAsia="zh-CN"/>
              </w:rPr>
              <w:t>测定</w:t>
            </w:r>
          </w:p>
          <w:p w14:paraId="52EDF960">
            <w:pPr>
              <w:spacing w:line="360" w:lineRule="auto"/>
              <w:jc w:val="center"/>
              <w:rPr>
                <w:rFonts w:hint="default" w:ascii="Times New Roman" w:hAnsi="Times New Roman" w:eastAsia="宋体" w:cs="Times New Roman"/>
                <w:bCs/>
                <w:color w:val="444444"/>
                <w:sz w:val="16"/>
                <w:szCs w:val="16"/>
                <w:lang w:val="en-US" w:eastAsia="zh-CN"/>
              </w:rPr>
            </w:pPr>
            <w:r>
              <w:rPr>
                <w:rFonts w:hint="eastAsia" w:cs="Times New Roman"/>
                <w:bCs/>
                <w:color w:val="444444"/>
                <w:sz w:val="16"/>
                <w:szCs w:val="16"/>
                <w:lang w:val="en-US" w:eastAsia="zh-CN"/>
              </w:rPr>
              <w:t>元素</w:t>
            </w:r>
          </w:p>
        </w:tc>
        <w:tc>
          <w:tcPr>
            <w:tcW w:w="358" w:type="pct"/>
            <w:vAlign w:val="center"/>
          </w:tcPr>
          <w:p w14:paraId="6D0B7E0B">
            <w:pPr>
              <w:keepNext w:val="0"/>
              <w:keepLines w:val="0"/>
              <w:widowControl/>
              <w:suppressLineNumbers w:val="0"/>
              <w:jc w:val="center"/>
              <w:textAlignment w:val="bottom"/>
              <w:rPr>
                <w:rFonts w:hint="default" w:ascii="Times New Roman" w:hAnsi="Times New Roman" w:eastAsia="等线" w:cs="Times New Roman"/>
                <w:i w:val="0"/>
                <w:iCs w:val="0"/>
                <w:color w:val="000000"/>
                <w:kern w:val="0"/>
                <w:sz w:val="16"/>
                <w:szCs w:val="16"/>
                <w:u w:val="none"/>
                <w:lang w:val="en-US" w:eastAsia="zh-CN" w:bidi="ar"/>
              </w:rPr>
            </w:pPr>
            <w:r>
              <w:rPr>
                <w:rFonts w:hint="default" w:ascii="Times New Roman" w:hAnsi="Times New Roman" w:eastAsia="等线" w:cs="Times New Roman"/>
                <w:i w:val="0"/>
                <w:iCs w:val="0"/>
                <w:color w:val="000000"/>
                <w:kern w:val="0"/>
                <w:sz w:val="16"/>
                <w:szCs w:val="16"/>
                <w:u w:val="none"/>
                <w:lang w:val="en-US" w:eastAsia="zh-CN" w:bidi="ar"/>
              </w:rPr>
              <w:t>C</w:t>
            </w:r>
          </w:p>
        </w:tc>
        <w:tc>
          <w:tcPr>
            <w:tcW w:w="461" w:type="pct"/>
            <w:vAlign w:val="center"/>
          </w:tcPr>
          <w:p w14:paraId="6D314A36">
            <w:pPr>
              <w:keepNext w:val="0"/>
              <w:keepLines w:val="0"/>
              <w:widowControl/>
              <w:suppressLineNumbers w:val="0"/>
              <w:jc w:val="center"/>
              <w:textAlignment w:val="bottom"/>
              <w:rPr>
                <w:rFonts w:hint="default" w:ascii="Times New Roman" w:hAnsi="Times New Roman" w:eastAsia="等线" w:cs="Times New Roman"/>
                <w:i w:val="0"/>
                <w:iCs w:val="0"/>
                <w:color w:val="000000"/>
                <w:kern w:val="0"/>
                <w:sz w:val="16"/>
                <w:szCs w:val="16"/>
                <w:u w:val="none"/>
                <w:lang w:val="en-US" w:eastAsia="zh-CN" w:bidi="ar"/>
              </w:rPr>
            </w:pPr>
            <w:r>
              <w:rPr>
                <w:rFonts w:hint="default" w:ascii="Times New Roman" w:hAnsi="Times New Roman" w:eastAsia="等线" w:cs="Times New Roman"/>
                <w:i w:val="0"/>
                <w:iCs w:val="0"/>
                <w:color w:val="000000"/>
                <w:kern w:val="0"/>
                <w:sz w:val="16"/>
                <w:szCs w:val="16"/>
                <w:u w:val="none"/>
                <w:lang w:val="en-US" w:eastAsia="zh-CN" w:bidi="ar"/>
              </w:rPr>
              <w:t>S</w:t>
            </w:r>
          </w:p>
        </w:tc>
        <w:tc>
          <w:tcPr>
            <w:tcW w:w="358" w:type="pct"/>
            <w:shd w:val="clear" w:color="auto" w:fill="auto"/>
            <w:vAlign w:val="center"/>
          </w:tcPr>
          <w:p w14:paraId="58819AAA">
            <w:pPr>
              <w:keepNext w:val="0"/>
              <w:keepLines w:val="0"/>
              <w:widowControl/>
              <w:suppressLineNumbers w:val="0"/>
              <w:jc w:val="center"/>
              <w:textAlignment w:val="bottom"/>
              <w:rPr>
                <w:rFonts w:hint="default" w:ascii="Times New Roman" w:hAnsi="Times New Roman" w:eastAsia="等线" w:cs="Times New Roman"/>
                <w:i w:val="0"/>
                <w:iCs w:val="0"/>
                <w:color w:val="000000"/>
                <w:kern w:val="0"/>
                <w:sz w:val="16"/>
                <w:szCs w:val="16"/>
                <w:u w:val="none"/>
                <w:lang w:val="en-US" w:eastAsia="zh-CN" w:bidi="ar"/>
              </w:rPr>
            </w:pPr>
            <w:r>
              <w:rPr>
                <w:rFonts w:hint="default" w:ascii="Times New Roman" w:hAnsi="Times New Roman" w:eastAsia="等线" w:cs="Times New Roman"/>
                <w:i w:val="0"/>
                <w:iCs w:val="0"/>
                <w:color w:val="000000"/>
                <w:kern w:val="0"/>
                <w:sz w:val="16"/>
                <w:szCs w:val="16"/>
                <w:u w:val="none"/>
                <w:lang w:val="en-US" w:eastAsia="zh-CN" w:bidi="ar"/>
              </w:rPr>
              <w:t>C</w:t>
            </w:r>
          </w:p>
        </w:tc>
        <w:tc>
          <w:tcPr>
            <w:tcW w:w="461" w:type="pct"/>
            <w:shd w:val="clear" w:color="auto" w:fill="auto"/>
            <w:vAlign w:val="center"/>
          </w:tcPr>
          <w:p w14:paraId="66319B44">
            <w:pPr>
              <w:keepNext w:val="0"/>
              <w:keepLines w:val="0"/>
              <w:widowControl/>
              <w:suppressLineNumbers w:val="0"/>
              <w:jc w:val="center"/>
              <w:textAlignment w:val="bottom"/>
              <w:rPr>
                <w:rFonts w:hint="default" w:ascii="Times New Roman" w:hAnsi="Times New Roman" w:eastAsia="等线" w:cs="Times New Roman"/>
                <w:i w:val="0"/>
                <w:iCs w:val="0"/>
                <w:color w:val="000000"/>
                <w:kern w:val="0"/>
                <w:sz w:val="16"/>
                <w:szCs w:val="16"/>
                <w:u w:val="none"/>
                <w:lang w:val="en-US" w:eastAsia="zh-CN" w:bidi="ar"/>
              </w:rPr>
            </w:pPr>
            <w:r>
              <w:rPr>
                <w:rFonts w:hint="default" w:ascii="Times New Roman" w:hAnsi="Times New Roman" w:eastAsia="等线" w:cs="Times New Roman"/>
                <w:i w:val="0"/>
                <w:iCs w:val="0"/>
                <w:color w:val="000000"/>
                <w:kern w:val="0"/>
                <w:sz w:val="16"/>
                <w:szCs w:val="16"/>
                <w:u w:val="none"/>
                <w:lang w:val="en-US" w:eastAsia="zh-CN" w:bidi="ar"/>
              </w:rPr>
              <w:t>S</w:t>
            </w:r>
          </w:p>
        </w:tc>
        <w:tc>
          <w:tcPr>
            <w:tcW w:w="358" w:type="pct"/>
            <w:shd w:val="clear" w:color="auto" w:fill="auto"/>
            <w:vAlign w:val="center"/>
          </w:tcPr>
          <w:p w14:paraId="2AE72734">
            <w:pPr>
              <w:keepNext w:val="0"/>
              <w:keepLines w:val="0"/>
              <w:widowControl/>
              <w:suppressLineNumbers w:val="0"/>
              <w:jc w:val="center"/>
              <w:textAlignment w:val="bottom"/>
              <w:rPr>
                <w:rFonts w:hint="default" w:ascii="Times New Roman" w:hAnsi="Times New Roman" w:eastAsia="等线" w:cs="Times New Roman"/>
                <w:i w:val="0"/>
                <w:iCs w:val="0"/>
                <w:color w:val="000000"/>
                <w:kern w:val="0"/>
                <w:sz w:val="16"/>
                <w:szCs w:val="16"/>
                <w:u w:val="none"/>
                <w:lang w:val="en-US" w:eastAsia="zh-CN" w:bidi="ar"/>
              </w:rPr>
            </w:pPr>
            <w:r>
              <w:rPr>
                <w:rFonts w:hint="default" w:ascii="Times New Roman" w:hAnsi="Times New Roman" w:eastAsia="等线" w:cs="Times New Roman"/>
                <w:i w:val="0"/>
                <w:iCs w:val="0"/>
                <w:color w:val="000000"/>
                <w:kern w:val="0"/>
                <w:sz w:val="16"/>
                <w:szCs w:val="16"/>
                <w:u w:val="none"/>
                <w:lang w:val="en-US" w:eastAsia="zh-CN" w:bidi="ar"/>
              </w:rPr>
              <w:t>C</w:t>
            </w:r>
          </w:p>
        </w:tc>
        <w:tc>
          <w:tcPr>
            <w:tcW w:w="358" w:type="pct"/>
            <w:shd w:val="clear" w:color="auto" w:fill="auto"/>
            <w:vAlign w:val="center"/>
          </w:tcPr>
          <w:p w14:paraId="15F1348F">
            <w:pPr>
              <w:keepNext w:val="0"/>
              <w:keepLines w:val="0"/>
              <w:widowControl/>
              <w:suppressLineNumbers w:val="0"/>
              <w:jc w:val="center"/>
              <w:textAlignment w:val="bottom"/>
              <w:rPr>
                <w:rFonts w:hint="default" w:ascii="Times New Roman" w:hAnsi="Times New Roman" w:eastAsia="等线" w:cs="Times New Roman"/>
                <w:i w:val="0"/>
                <w:iCs w:val="0"/>
                <w:color w:val="000000"/>
                <w:kern w:val="0"/>
                <w:sz w:val="16"/>
                <w:szCs w:val="16"/>
                <w:u w:val="none"/>
                <w:lang w:val="en-US" w:eastAsia="zh-CN" w:bidi="ar"/>
              </w:rPr>
            </w:pPr>
            <w:r>
              <w:rPr>
                <w:rFonts w:hint="default" w:ascii="Times New Roman" w:hAnsi="Times New Roman" w:eastAsia="等线" w:cs="Times New Roman"/>
                <w:i w:val="0"/>
                <w:iCs w:val="0"/>
                <w:color w:val="000000"/>
                <w:kern w:val="0"/>
                <w:sz w:val="16"/>
                <w:szCs w:val="16"/>
                <w:u w:val="none"/>
                <w:lang w:val="en-US" w:eastAsia="zh-CN" w:bidi="ar"/>
              </w:rPr>
              <w:t>S</w:t>
            </w:r>
          </w:p>
        </w:tc>
        <w:tc>
          <w:tcPr>
            <w:tcW w:w="358" w:type="pct"/>
            <w:shd w:val="clear" w:color="auto" w:fill="auto"/>
            <w:vAlign w:val="center"/>
          </w:tcPr>
          <w:p w14:paraId="253F3E63">
            <w:pPr>
              <w:keepNext w:val="0"/>
              <w:keepLines w:val="0"/>
              <w:widowControl/>
              <w:suppressLineNumbers w:val="0"/>
              <w:jc w:val="center"/>
              <w:textAlignment w:val="bottom"/>
              <w:rPr>
                <w:rFonts w:hint="default" w:ascii="Times New Roman" w:hAnsi="Times New Roman" w:eastAsia="等线" w:cs="Times New Roman"/>
                <w:i w:val="0"/>
                <w:iCs w:val="0"/>
                <w:color w:val="000000"/>
                <w:kern w:val="0"/>
                <w:sz w:val="16"/>
                <w:szCs w:val="16"/>
                <w:u w:val="none"/>
                <w:lang w:val="en-US" w:eastAsia="zh-CN" w:bidi="ar"/>
              </w:rPr>
            </w:pPr>
            <w:r>
              <w:rPr>
                <w:rFonts w:hint="default" w:ascii="Times New Roman" w:hAnsi="Times New Roman" w:eastAsia="等线" w:cs="Times New Roman"/>
                <w:i w:val="0"/>
                <w:iCs w:val="0"/>
                <w:color w:val="000000"/>
                <w:kern w:val="0"/>
                <w:sz w:val="16"/>
                <w:szCs w:val="16"/>
                <w:u w:val="none"/>
                <w:lang w:val="en-US" w:eastAsia="zh-CN" w:bidi="ar"/>
              </w:rPr>
              <w:t>C</w:t>
            </w:r>
          </w:p>
        </w:tc>
        <w:tc>
          <w:tcPr>
            <w:tcW w:w="358" w:type="pct"/>
            <w:shd w:val="clear" w:color="auto" w:fill="auto"/>
            <w:vAlign w:val="center"/>
          </w:tcPr>
          <w:p w14:paraId="7634846D">
            <w:pPr>
              <w:keepNext w:val="0"/>
              <w:keepLines w:val="0"/>
              <w:widowControl/>
              <w:suppressLineNumbers w:val="0"/>
              <w:jc w:val="center"/>
              <w:textAlignment w:val="bottom"/>
              <w:rPr>
                <w:rFonts w:hint="default" w:ascii="Times New Roman" w:hAnsi="Times New Roman" w:eastAsia="等线" w:cs="Times New Roman"/>
                <w:i w:val="0"/>
                <w:iCs w:val="0"/>
                <w:color w:val="000000"/>
                <w:kern w:val="0"/>
                <w:sz w:val="16"/>
                <w:szCs w:val="16"/>
                <w:u w:val="none"/>
                <w:lang w:val="en-US" w:eastAsia="zh-CN" w:bidi="ar"/>
              </w:rPr>
            </w:pPr>
            <w:r>
              <w:rPr>
                <w:rFonts w:hint="default" w:ascii="Times New Roman" w:hAnsi="Times New Roman" w:eastAsia="等线" w:cs="Times New Roman"/>
                <w:i w:val="0"/>
                <w:iCs w:val="0"/>
                <w:color w:val="000000"/>
                <w:kern w:val="0"/>
                <w:sz w:val="16"/>
                <w:szCs w:val="16"/>
                <w:u w:val="none"/>
                <w:lang w:val="en-US" w:eastAsia="zh-CN" w:bidi="ar"/>
              </w:rPr>
              <w:t>S</w:t>
            </w:r>
          </w:p>
        </w:tc>
        <w:tc>
          <w:tcPr>
            <w:tcW w:w="358" w:type="pct"/>
            <w:shd w:val="clear" w:color="auto" w:fill="auto"/>
            <w:vAlign w:val="center"/>
          </w:tcPr>
          <w:p w14:paraId="1E983249">
            <w:pPr>
              <w:keepNext w:val="0"/>
              <w:keepLines w:val="0"/>
              <w:widowControl/>
              <w:suppressLineNumbers w:val="0"/>
              <w:jc w:val="center"/>
              <w:textAlignment w:val="bottom"/>
              <w:rPr>
                <w:rFonts w:hint="default" w:ascii="Times New Roman" w:hAnsi="Times New Roman" w:eastAsia="等线" w:cs="Times New Roman"/>
                <w:i w:val="0"/>
                <w:iCs w:val="0"/>
                <w:color w:val="000000"/>
                <w:kern w:val="0"/>
                <w:sz w:val="16"/>
                <w:szCs w:val="16"/>
                <w:u w:val="none"/>
                <w:lang w:val="en-US" w:eastAsia="zh-CN" w:bidi="ar"/>
              </w:rPr>
            </w:pPr>
            <w:r>
              <w:rPr>
                <w:rFonts w:hint="default" w:ascii="Times New Roman" w:hAnsi="Times New Roman" w:eastAsia="等线" w:cs="Times New Roman"/>
                <w:i w:val="0"/>
                <w:iCs w:val="0"/>
                <w:color w:val="000000"/>
                <w:kern w:val="0"/>
                <w:sz w:val="16"/>
                <w:szCs w:val="16"/>
                <w:u w:val="none"/>
                <w:lang w:val="en-US" w:eastAsia="zh-CN" w:bidi="ar"/>
              </w:rPr>
              <w:t>C</w:t>
            </w:r>
          </w:p>
        </w:tc>
        <w:tc>
          <w:tcPr>
            <w:tcW w:w="358" w:type="pct"/>
            <w:shd w:val="clear" w:color="auto" w:fill="auto"/>
            <w:vAlign w:val="center"/>
          </w:tcPr>
          <w:p w14:paraId="46D439EB">
            <w:pPr>
              <w:keepNext w:val="0"/>
              <w:keepLines w:val="0"/>
              <w:widowControl/>
              <w:suppressLineNumbers w:val="0"/>
              <w:jc w:val="center"/>
              <w:textAlignment w:val="bottom"/>
              <w:rPr>
                <w:rFonts w:hint="default" w:ascii="Times New Roman" w:hAnsi="Times New Roman" w:eastAsia="等线" w:cs="Times New Roman"/>
                <w:i w:val="0"/>
                <w:iCs w:val="0"/>
                <w:color w:val="000000"/>
                <w:kern w:val="0"/>
                <w:sz w:val="16"/>
                <w:szCs w:val="16"/>
                <w:u w:val="none"/>
                <w:lang w:val="en-US" w:eastAsia="zh-CN" w:bidi="ar"/>
              </w:rPr>
            </w:pPr>
            <w:r>
              <w:rPr>
                <w:rFonts w:hint="default" w:ascii="Times New Roman" w:hAnsi="Times New Roman" w:eastAsia="等线" w:cs="Times New Roman"/>
                <w:i w:val="0"/>
                <w:iCs w:val="0"/>
                <w:color w:val="000000"/>
                <w:kern w:val="0"/>
                <w:sz w:val="16"/>
                <w:szCs w:val="16"/>
                <w:u w:val="none"/>
                <w:lang w:val="en-US" w:eastAsia="zh-CN" w:bidi="ar"/>
              </w:rPr>
              <w:t>S</w:t>
            </w:r>
          </w:p>
        </w:tc>
        <w:tc>
          <w:tcPr>
            <w:tcW w:w="358" w:type="pct"/>
            <w:shd w:val="clear" w:color="auto" w:fill="auto"/>
            <w:vAlign w:val="center"/>
          </w:tcPr>
          <w:p w14:paraId="6EB9982A">
            <w:pPr>
              <w:keepNext w:val="0"/>
              <w:keepLines w:val="0"/>
              <w:widowControl/>
              <w:suppressLineNumbers w:val="0"/>
              <w:jc w:val="center"/>
              <w:textAlignment w:val="bottom"/>
              <w:rPr>
                <w:rFonts w:hint="default" w:ascii="Times New Roman" w:hAnsi="Times New Roman" w:eastAsia="等线" w:cs="Times New Roman"/>
                <w:i w:val="0"/>
                <w:iCs w:val="0"/>
                <w:color w:val="000000"/>
                <w:kern w:val="0"/>
                <w:sz w:val="16"/>
                <w:szCs w:val="16"/>
                <w:u w:val="none"/>
                <w:lang w:val="en-US" w:eastAsia="zh-CN" w:bidi="ar"/>
              </w:rPr>
            </w:pPr>
            <w:r>
              <w:rPr>
                <w:rFonts w:hint="default" w:ascii="Times New Roman" w:hAnsi="Times New Roman" w:eastAsia="等线" w:cs="Times New Roman"/>
                <w:i w:val="0"/>
                <w:iCs w:val="0"/>
                <w:color w:val="000000"/>
                <w:kern w:val="0"/>
                <w:sz w:val="16"/>
                <w:szCs w:val="16"/>
                <w:u w:val="none"/>
                <w:lang w:val="en-US" w:eastAsia="zh-CN" w:bidi="ar"/>
              </w:rPr>
              <w:t>C</w:t>
            </w:r>
          </w:p>
        </w:tc>
        <w:tc>
          <w:tcPr>
            <w:tcW w:w="410" w:type="pct"/>
            <w:shd w:val="clear" w:color="auto" w:fill="auto"/>
            <w:vAlign w:val="center"/>
          </w:tcPr>
          <w:p w14:paraId="37D0DD8C">
            <w:pPr>
              <w:keepNext w:val="0"/>
              <w:keepLines w:val="0"/>
              <w:widowControl/>
              <w:suppressLineNumbers w:val="0"/>
              <w:jc w:val="center"/>
              <w:textAlignment w:val="bottom"/>
              <w:rPr>
                <w:rFonts w:hint="default" w:ascii="Times New Roman" w:hAnsi="Times New Roman" w:eastAsia="等线" w:cs="Times New Roman"/>
                <w:i w:val="0"/>
                <w:iCs w:val="0"/>
                <w:color w:val="000000"/>
                <w:kern w:val="0"/>
                <w:sz w:val="16"/>
                <w:szCs w:val="16"/>
                <w:u w:val="none"/>
                <w:lang w:val="en-US" w:eastAsia="zh-CN" w:bidi="ar"/>
              </w:rPr>
            </w:pPr>
            <w:r>
              <w:rPr>
                <w:rFonts w:hint="default" w:ascii="Times New Roman" w:hAnsi="Times New Roman" w:eastAsia="等线" w:cs="Times New Roman"/>
                <w:i w:val="0"/>
                <w:iCs w:val="0"/>
                <w:color w:val="000000"/>
                <w:kern w:val="0"/>
                <w:sz w:val="16"/>
                <w:szCs w:val="16"/>
                <w:u w:val="none"/>
                <w:lang w:val="en-US" w:eastAsia="zh-CN" w:bidi="ar"/>
              </w:rPr>
              <w:t>S</w:t>
            </w:r>
          </w:p>
        </w:tc>
      </w:tr>
      <w:tr w14:paraId="7F63C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 w:hRule="atLeast"/>
          <w:jc w:val="center"/>
        </w:trPr>
        <w:tc>
          <w:tcPr>
            <w:tcW w:w="441" w:type="pct"/>
            <w:vMerge w:val="restart"/>
            <w:vAlign w:val="center"/>
          </w:tcPr>
          <w:p w14:paraId="2E291BA7">
            <w:pPr>
              <w:spacing w:line="360" w:lineRule="auto"/>
              <w:jc w:val="center"/>
              <w:rPr>
                <w:rFonts w:hint="default" w:ascii="Times New Roman" w:hAnsi="Times New Roman" w:cs="Times New Roman"/>
                <w:bCs/>
                <w:color w:val="444444"/>
                <w:sz w:val="16"/>
                <w:szCs w:val="16"/>
              </w:rPr>
            </w:pPr>
            <w:r>
              <w:rPr>
                <w:rFonts w:hint="default" w:ascii="Times New Roman" w:hAnsi="Times New Roman" w:cs="Times New Roman"/>
                <w:bCs/>
                <w:color w:val="444444"/>
                <w:sz w:val="16"/>
                <w:szCs w:val="16"/>
              </w:rPr>
              <w:t>测定值/%</w:t>
            </w:r>
          </w:p>
        </w:tc>
        <w:tc>
          <w:tcPr>
            <w:tcW w:w="358" w:type="pct"/>
            <w:vAlign w:val="center"/>
          </w:tcPr>
          <w:p w14:paraId="2EC80854">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0.136</w:t>
            </w:r>
          </w:p>
        </w:tc>
        <w:tc>
          <w:tcPr>
            <w:tcW w:w="461" w:type="pct"/>
            <w:vAlign w:val="center"/>
          </w:tcPr>
          <w:p w14:paraId="698A4478">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0.00849</w:t>
            </w:r>
          </w:p>
        </w:tc>
        <w:tc>
          <w:tcPr>
            <w:tcW w:w="358" w:type="pct"/>
            <w:vAlign w:val="center"/>
          </w:tcPr>
          <w:p w14:paraId="2C370896">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1.56</w:t>
            </w:r>
          </w:p>
        </w:tc>
        <w:tc>
          <w:tcPr>
            <w:tcW w:w="461" w:type="pct"/>
            <w:vAlign w:val="center"/>
          </w:tcPr>
          <w:p w14:paraId="70AF0A9F">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0.00687</w:t>
            </w:r>
          </w:p>
        </w:tc>
        <w:tc>
          <w:tcPr>
            <w:tcW w:w="358" w:type="pct"/>
            <w:vAlign w:val="center"/>
          </w:tcPr>
          <w:p w14:paraId="06C2D4CC">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2.48</w:t>
            </w:r>
          </w:p>
        </w:tc>
        <w:tc>
          <w:tcPr>
            <w:tcW w:w="358" w:type="pct"/>
            <w:vAlign w:val="center"/>
          </w:tcPr>
          <w:p w14:paraId="40975240">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0.105</w:t>
            </w:r>
          </w:p>
        </w:tc>
        <w:tc>
          <w:tcPr>
            <w:tcW w:w="358" w:type="pct"/>
            <w:vAlign w:val="center"/>
          </w:tcPr>
          <w:p w14:paraId="6FF81D93">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2.40</w:t>
            </w:r>
          </w:p>
        </w:tc>
        <w:tc>
          <w:tcPr>
            <w:tcW w:w="358" w:type="pct"/>
            <w:vAlign w:val="center"/>
          </w:tcPr>
          <w:p w14:paraId="49CE8684">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0.157</w:t>
            </w:r>
          </w:p>
        </w:tc>
        <w:tc>
          <w:tcPr>
            <w:tcW w:w="358" w:type="pct"/>
            <w:vAlign w:val="center"/>
          </w:tcPr>
          <w:p w14:paraId="3684BE8A">
            <w:pPr>
              <w:keepNext w:val="0"/>
              <w:keepLines w:val="0"/>
              <w:widowControl/>
              <w:suppressLineNumbers w:val="0"/>
              <w:jc w:val="center"/>
              <w:textAlignment w:val="bottom"/>
              <w:rPr>
                <w:rFonts w:hint="default" w:ascii="Times New Roman" w:hAnsi="Times New Roman" w:cs="Times New Roman"/>
                <w:bCs/>
                <w:color w:val="000000"/>
                <w:sz w:val="16"/>
                <w:szCs w:val="16"/>
              </w:rPr>
            </w:pPr>
            <w:r>
              <w:rPr>
                <w:rFonts w:hint="default" w:ascii="Times New Roman" w:hAnsi="Times New Roman" w:eastAsia="等线" w:cs="Times New Roman"/>
                <w:i w:val="0"/>
                <w:iCs w:val="0"/>
                <w:color w:val="000000"/>
                <w:kern w:val="0"/>
                <w:sz w:val="16"/>
                <w:szCs w:val="16"/>
                <w:u w:val="none"/>
                <w:lang w:val="en-US" w:eastAsia="zh-CN" w:bidi="ar"/>
              </w:rPr>
              <w:t>2.40</w:t>
            </w:r>
          </w:p>
        </w:tc>
        <w:tc>
          <w:tcPr>
            <w:tcW w:w="358" w:type="pct"/>
            <w:vAlign w:val="center"/>
          </w:tcPr>
          <w:p w14:paraId="62D65F7D">
            <w:pPr>
              <w:keepNext w:val="0"/>
              <w:keepLines w:val="0"/>
              <w:widowControl/>
              <w:suppressLineNumbers w:val="0"/>
              <w:jc w:val="center"/>
              <w:textAlignment w:val="bottom"/>
              <w:rPr>
                <w:rFonts w:hint="default" w:ascii="Times New Roman" w:hAnsi="Times New Roman" w:cs="Times New Roman"/>
                <w:bCs/>
                <w:color w:val="000000"/>
                <w:sz w:val="16"/>
                <w:szCs w:val="16"/>
              </w:rPr>
            </w:pPr>
            <w:r>
              <w:rPr>
                <w:rFonts w:hint="default" w:ascii="Times New Roman" w:hAnsi="Times New Roman" w:eastAsia="等线" w:cs="Times New Roman"/>
                <w:i w:val="0"/>
                <w:iCs w:val="0"/>
                <w:color w:val="000000"/>
                <w:kern w:val="0"/>
                <w:sz w:val="16"/>
                <w:szCs w:val="16"/>
                <w:u w:val="none"/>
                <w:lang w:val="en-US" w:eastAsia="zh-CN" w:bidi="ar"/>
              </w:rPr>
              <w:t>0.249</w:t>
            </w:r>
          </w:p>
        </w:tc>
        <w:tc>
          <w:tcPr>
            <w:tcW w:w="358" w:type="pct"/>
            <w:vAlign w:val="center"/>
          </w:tcPr>
          <w:p w14:paraId="57F49AC6">
            <w:pPr>
              <w:keepNext w:val="0"/>
              <w:keepLines w:val="0"/>
              <w:widowControl/>
              <w:suppressLineNumbers w:val="0"/>
              <w:jc w:val="center"/>
              <w:textAlignment w:val="bottom"/>
              <w:rPr>
                <w:rFonts w:hint="default" w:ascii="Times New Roman" w:hAnsi="Times New Roman" w:cs="Times New Roman"/>
                <w:bCs/>
                <w:color w:val="000000"/>
                <w:sz w:val="16"/>
                <w:szCs w:val="16"/>
              </w:rPr>
            </w:pPr>
            <w:r>
              <w:rPr>
                <w:rFonts w:hint="default" w:ascii="Times New Roman" w:hAnsi="Times New Roman" w:eastAsia="等线" w:cs="Times New Roman"/>
                <w:i w:val="0"/>
                <w:iCs w:val="0"/>
                <w:color w:val="000000"/>
                <w:kern w:val="0"/>
                <w:sz w:val="16"/>
                <w:szCs w:val="16"/>
                <w:u w:val="none"/>
                <w:lang w:val="en-US" w:eastAsia="zh-CN" w:bidi="ar"/>
              </w:rPr>
              <w:t>4.03</w:t>
            </w:r>
          </w:p>
        </w:tc>
        <w:tc>
          <w:tcPr>
            <w:tcW w:w="410" w:type="pct"/>
            <w:vAlign w:val="center"/>
          </w:tcPr>
          <w:p w14:paraId="1C7D0D55">
            <w:pPr>
              <w:keepNext w:val="0"/>
              <w:keepLines w:val="0"/>
              <w:widowControl/>
              <w:suppressLineNumbers w:val="0"/>
              <w:jc w:val="center"/>
              <w:textAlignment w:val="bottom"/>
              <w:rPr>
                <w:rFonts w:hint="default" w:ascii="Times New Roman" w:hAnsi="Times New Roman" w:cs="Times New Roman"/>
                <w:bCs/>
                <w:color w:val="000000"/>
                <w:sz w:val="16"/>
                <w:szCs w:val="16"/>
              </w:rPr>
            </w:pPr>
            <w:r>
              <w:rPr>
                <w:rFonts w:hint="default" w:ascii="Times New Roman" w:hAnsi="Times New Roman" w:eastAsia="等线" w:cs="Times New Roman"/>
                <w:i w:val="0"/>
                <w:iCs w:val="0"/>
                <w:color w:val="000000"/>
                <w:kern w:val="0"/>
                <w:sz w:val="16"/>
                <w:szCs w:val="16"/>
                <w:u w:val="none"/>
                <w:lang w:val="en-US" w:eastAsia="zh-CN" w:bidi="ar"/>
              </w:rPr>
              <w:t>0.0389</w:t>
            </w:r>
          </w:p>
        </w:tc>
      </w:tr>
      <w:tr w14:paraId="484D9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441" w:type="pct"/>
            <w:vMerge w:val="continue"/>
            <w:vAlign w:val="center"/>
          </w:tcPr>
          <w:p w14:paraId="584DF8C7">
            <w:pPr>
              <w:spacing w:line="360" w:lineRule="auto"/>
              <w:jc w:val="center"/>
              <w:rPr>
                <w:rFonts w:hint="default" w:ascii="Times New Roman" w:hAnsi="Times New Roman" w:cs="Times New Roman"/>
                <w:sz w:val="16"/>
                <w:szCs w:val="16"/>
              </w:rPr>
            </w:pPr>
          </w:p>
        </w:tc>
        <w:tc>
          <w:tcPr>
            <w:tcW w:w="358" w:type="pct"/>
            <w:vAlign w:val="center"/>
          </w:tcPr>
          <w:p w14:paraId="68F1932A">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0.140</w:t>
            </w:r>
          </w:p>
        </w:tc>
        <w:tc>
          <w:tcPr>
            <w:tcW w:w="461" w:type="pct"/>
            <w:vAlign w:val="center"/>
          </w:tcPr>
          <w:p w14:paraId="6B46A309">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0.00849</w:t>
            </w:r>
          </w:p>
        </w:tc>
        <w:tc>
          <w:tcPr>
            <w:tcW w:w="358" w:type="pct"/>
            <w:vAlign w:val="center"/>
          </w:tcPr>
          <w:p w14:paraId="0164081E">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1.56</w:t>
            </w:r>
          </w:p>
        </w:tc>
        <w:tc>
          <w:tcPr>
            <w:tcW w:w="461" w:type="pct"/>
            <w:vAlign w:val="center"/>
          </w:tcPr>
          <w:p w14:paraId="04C94AD0">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0.00630</w:t>
            </w:r>
          </w:p>
        </w:tc>
        <w:tc>
          <w:tcPr>
            <w:tcW w:w="358" w:type="pct"/>
            <w:vAlign w:val="center"/>
          </w:tcPr>
          <w:p w14:paraId="513CB634">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2.46</w:t>
            </w:r>
          </w:p>
        </w:tc>
        <w:tc>
          <w:tcPr>
            <w:tcW w:w="358" w:type="pct"/>
            <w:vAlign w:val="center"/>
          </w:tcPr>
          <w:p w14:paraId="7CE3BF2C">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0.107</w:t>
            </w:r>
          </w:p>
        </w:tc>
        <w:tc>
          <w:tcPr>
            <w:tcW w:w="358" w:type="pct"/>
            <w:vAlign w:val="center"/>
          </w:tcPr>
          <w:p w14:paraId="13DD362E">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2.42</w:t>
            </w:r>
          </w:p>
        </w:tc>
        <w:tc>
          <w:tcPr>
            <w:tcW w:w="358" w:type="pct"/>
            <w:vAlign w:val="center"/>
          </w:tcPr>
          <w:p w14:paraId="1EBC63ED">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0.156</w:t>
            </w:r>
          </w:p>
        </w:tc>
        <w:tc>
          <w:tcPr>
            <w:tcW w:w="358" w:type="pct"/>
            <w:vAlign w:val="center"/>
          </w:tcPr>
          <w:p w14:paraId="641CD3C3">
            <w:pPr>
              <w:keepNext w:val="0"/>
              <w:keepLines w:val="0"/>
              <w:widowControl/>
              <w:suppressLineNumbers w:val="0"/>
              <w:jc w:val="center"/>
              <w:textAlignment w:val="bottom"/>
              <w:rPr>
                <w:rFonts w:hint="default" w:ascii="Times New Roman" w:hAnsi="Times New Roman" w:cs="Times New Roman"/>
                <w:bCs/>
                <w:color w:val="000000"/>
                <w:sz w:val="16"/>
                <w:szCs w:val="16"/>
              </w:rPr>
            </w:pPr>
            <w:r>
              <w:rPr>
                <w:rFonts w:hint="default" w:ascii="Times New Roman" w:hAnsi="Times New Roman" w:eastAsia="等线" w:cs="Times New Roman"/>
                <w:i w:val="0"/>
                <w:iCs w:val="0"/>
                <w:color w:val="000000"/>
                <w:kern w:val="0"/>
                <w:sz w:val="16"/>
                <w:szCs w:val="16"/>
                <w:u w:val="none"/>
                <w:lang w:val="en-US" w:eastAsia="zh-CN" w:bidi="ar"/>
              </w:rPr>
              <w:t>2.39</w:t>
            </w:r>
          </w:p>
        </w:tc>
        <w:tc>
          <w:tcPr>
            <w:tcW w:w="358" w:type="pct"/>
            <w:vAlign w:val="center"/>
          </w:tcPr>
          <w:p w14:paraId="2DABD7E0">
            <w:pPr>
              <w:keepNext w:val="0"/>
              <w:keepLines w:val="0"/>
              <w:widowControl/>
              <w:suppressLineNumbers w:val="0"/>
              <w:jc w:val="center"/>
              <w:textAlignment w:val="bottom"/>
              <w:rPr>
                <w:rFonts w:hint="default" w:ascii="Times New Roman" w:hAnsi="Times New Roman" w:cs="Times New Roman"/>
                <w:bCs/>
                <w:color w:val="000000"/>
                <w:sz w:val="16"/>
                <w:szCs w:val="16"/>
              </w:rPr>
            </w:pPr>
            <w:r>
              <w:rPr>
                <w:rFonts w:hint="default" w:ascii="Times New Roman" w:hAnsi="Times New Roman" w:eastAsia="等线" w:cs="Times New Roman"/>
                <w:i w:val="0"/>
                <w:iCs w:val="0"/>
                <w:color w:val="000000"/>
                <w:kern w:val="0"/>
                <w:sz w:val="16"/>
                <w:szCs w:val="16"/>
                <w:u w:val="none"/>
                <w:lang w:val="en-US" w:eastAsia="zh-CN" w:bidi="ar"/>
              </w:rPr>
              <w:t>0.251</w:t>
            </w:r>
          </w:p>
        </w:tc>
        <w:tc>
          <w:tcPr>
            <w:tcW w:w="358" w:type="pct"/>
            <w:vAlign w:val="center"/>
          </w:tcPr>
          <w:p w14:paraId="44D18B81">
            <w:pPr>
              <w:keepNext w:val="0"/>
              <w:keepLines w:val="0"/>
              <w:widowControl/>
              <w:suppressLineNumbers w:val="0"/>
              <w:jc w:val="center"/>
              <w:textAlignment w:val="bottom"/>
              <w:rPr>
                <w:rFonts w:hint="default" w:ascii="Times New Roman" w:hAnsi="Times New Roman" w:cs="Times New Roman"/>
                <w:bCs/>
                <w:color w:val="000000"/>
                <w:sz w:val="16"/>
                <w:szCs w:val="16"/>
              </w:rPr>
            </w:pPr>
            <w:r>
              <w:rPr>
                <w:rFonts w:hint="default" w:ascii="Times New Roman" w:hAnsi="Times New Roman" w:eastAsia="等线" w:cs="Times New Roman"/>
                <w:i w:val="0"/>
                <w:iCs w:val="0"/>
                <w:color w:val="000000"/>
                <w:kern w:val="0"/>
                <w:sz w:val="16"/>
                <w:szCs w:val="16"/>
                <w:u w:val="none"/>
                <w:lang w:val="en-US" w:eastAsia="zh-CN" w:bidi="ar"/>
              </w:rPr>
              <w:t>4.02</w:t>
            </w:r>
          </w:p>
        </w:tc>
        <w:tc>
          <w:tcPr>
            <w:tcW w:w="410" w:type="pct"/>
            <w:vAlign w:val="center"/>
          </w:tcPr>
          <w:p w14:paraId="1ECE8B2F">
            <w:pPr>
              <w:keepNext w:val="0"/>
              <w:keepLines w:val="0"/>
              <w:widowControl/>
              <w:suppressLineNumbers w:val="0"/>
              <w:jc w:val="center"/>
              <w:textAlignment w:val="bottom"/>
              <w:rPr>
                <w:rFonts w:hint="default" w:ascii="Times New Roman" w:hAnsi="Times New Roman" w:cs="Times New Roman"/>
                <w:bCs/>
                <w:color w:val="000000"/>
                <w:sz w:val="16"/>
                <w:szCs w:val="16"/>
              </w:rPr>
            </w:pPr>
            <w:r>
              <w:rPr>
                <w:rFonts w:hint="default" w:ascii="Times New Roman" w:hAnsi="Times New Roman" w:eastAsia="等线" w:cs="Times New Roman"/>
                <w:i w:val="0"/>
                <w:iCs w:val="0"/>
                <w:color w:val="000000"/>
                <w:kern w:val="0"/>
                <w:sz w:val="16"/>
                <w:szCs w:val="16"/>
                <w:u w:val="none"/>
                <w:lang w:val="en-US" w:eastAsia="zh-CN" w:bidi="ar"/>
              </w:rPr>
              <w:t>0.0386</w:t>
            </w:r>
          </w:p>
        </w:tc>
      </w:tr>
      <w:tr w14:paraId="741F6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1" w:type="pct"/>
            <w:vMerge w:val="continue"/>
            <w:vAlign w:val="center"/>
          </w:tcPr>
          <w:p w14:paraId="76E540A3">
            <w:pPr>
              <w:spacing w:line="360" w:lineRule="auto"/>
              <w:jc w:val="center"/>
              <w:rPr>
                <w:rFonts w:hint="default" w:ascii="Times New Roman" w:hAnsi="Times New Roman" w:cs="Times New Roman"/>
                <w:bCs/>
                <w:color w:val="444444"/>
                <w:sz w:val="16"/>
                <w:szCs w:val="16"/>
              </w:rPr>
            </w:pPr>
          </w:p>
        </w:tc>
        <w:tc>
          <w:tcPr>
            <w:tcW w:w="358" w:type="pct"/>
            <w:vAlign w:val="center"/>
          </w:tcPr>
          <w:p w14:paraId="607BB588">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0.139</w:t>
            </w:r>
          </w:p>
        </w:tc>
        <w:tc>
          <w:tcPr>
            <w:tcW w:w="461" w:type="pct"/>
            <w:vAlign w:val="center"/>
          </w:tcPr>
          <w:p w14:paraId="3B5F0020">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0.00896</w:t>
            </w:r>
          </w:p>
        </w:tc>
        <w:tc>
          <w:tcPr>
            <w:tcW w:w="358" w:type="pct"/>
            <w:vAlign w:val="center"/>
          </w:tcPr>
          <w:p w14:paraId="455CC949">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1.55</w:t>
            </w:r>
          </w:p>
        </w:tc>
        <w:tc>
          <w:tcPr>
            <w:tcW w:w="461" w:type="pct"/>
            <w:vAlign w:val="center"/>
          </w:tcPr>
          <w:p w14:paraId="2AF96848">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0.00593</w:t>
            </w:r>
          </w:p>
        </w:tc>
        <w:tc>
          <w:tcPr>
            <w:tcW w:w="358" w:type="pct"/>
            <w:vAlign w:val="center"/>
          </w:tcPr>
          <w:p w14:paraId="55D60193">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2.45</w:t>
            </w:r>
          </w:p>
        </w:tc>
        <w:tc>
          <w:tcPr>
            <w:tcW w:w="358" w:type="pct"/>
            <w:vAlign w:val="center"/>
          </w:tcPr>
          <w:p w14:paraId="5BD1CBC6">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0.106</w:t>
            </w:r>
          </w:p>
        </w:tc>
        <w:tc>
          <w:tcPr>
            <w:tcW w:w="358" w:type="pct"/>
            <w:vAlign w:val="center"/>
          </w:tcPr>
          <w:p w14:paraId="0F5B680C">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2.41</w:t>
            </w:r>
          </w:p>
        </w:tc>
        <w:tc>
          <w:tcPr>
            <w:tcW w:w="358" w:type="pct"/>
            <w:vAlign w:val="center"/>
          </w:tcPr>
          <w:p w14:paraId="118010A1">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0.158</w:t>
            </w:r>
          </w:p>
        </w:tc>
        <w:tc>
          <w:tcPr>
            <w:tcW w:w="358" w:type="pct"/>
            <w:vAlign w:val="center"/>
          </w:tcPr>
          <w:p w14:paraId="50BCB86F">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2.37</w:t>
            </w:r>
          </w:p>
        </w:tc>
        <w:tc>
          <w:tcPr>
            <w:tcW w:w="358" w:type="pct"/>
            <w:vAlign w:val="center"/>
          </w:tcPr>
          <w:p w14:paraId="62CEAAB1">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0.252</w:t>
            </w:r>
          </w:p>
        </w:tc>
        <w:tc>
          <w:tcPr>
            <w:tcW w:w="358" w:type="pct"/>
            <w:vAlign w:val="center"/>
          </w:tcPr>
          <w:p w14:paraId="13AC8963">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4.04</w:t>
            </w:r>
          </w:p>
        </w:tc>
        <w:tc>
          <w:tcPr>
            <w:tcW w:w="410" w:type="pct"/>
            <w:vAlign w:val="center"/>
          </w:tcPr>
          <w:p w14:paraId="6A143347">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0.0393</w:t>
            </w:r>
          </w:p>
        </w:tc>
      </w:tr>
      <w:tr w14:paraId="1550E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1" w:type="pct"/>
            <w:vMerge w:val="continue"/>
            <w:vAlign w:val="center"/>
          </w:tcPr>
          <w:p w14:paraId="374C815E">
            <w:pPr>
              <w:spacing w:line="360" w:lineRule="auto"/>
              <w:jc w:val="center"/>
              <w:rPr>
                <w:rFonts w:hint="default" w:ascii="Times New Roman" w:hAnsi="Times New Roman" w:cs="Times New Roman"/>
                <w:bCs/>
                <w:color w:val="444444"/>
                <w:sz w:val="16"/>
                <w:szCs w:val="16"/>
              </w:rPr>
            </w:pPr>
          </w:p>
        </w:tc>
        <w:tc>
          <w:tcPr>
            <w:tcW w:w="358" w:type="pct"/>
            <w:vAlign w:val="center"/>
          </w:tcPr>
          <w:p w14:paraId="2C4E9241">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0.137</w:t>
            </w:r>
          </w:p>
        </w:tc>
        <w:tc>
          <w:tcPr>
            <w:tcW w:w="461" w:type="pct"/>
            <w:vAlign w:val="center"/>
          </w:tcPr>
          <w:p w14:paraId="034138DC">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0.00760</w:t>
            </w:r>
          </w:p>
        </w:tc>
        <w:tc>
          <w:tcPr>
            <w:tcW w:w="358" w:type="pct"/>
            <w:vAlign w:val="center"/>
          </w:tcPr>
          <w:p w14:paraId="036AAFD5">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1.57</w:t>
            </w:r>
          </w:p>
        </w:tc>
        <w:tc>
          <w:tcPr>
            <w:tcW w:w="461" w:type="pct"/>
            <w:vAlign w:val="center"/>
          </w:tcPr>
          <w:p w14:paraId="0A96C949">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0.00682</w:t>
            </w:r>
          </w:p>
        </w:tc>
        <w:tc>
          <w:tcPr>
            <w:tcW w:w="358" w:type="pct"/>
            <w:vAlign w:val="center"/>
          </w:tcPr>
          <w:p w14:paraId="64DE02AD">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2.46</w:t>
            </w:r>
          </w:p>
        </w:tc>
        <w:tc>
          <w:tcPr>
            <w:tcW w:w="358" w:type="pct"/>
            <w:vAlign w:val="center"/>
          </w:tcPr>
          <w:p w14:paraId="15E1595B">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0.104</w:t>
            </w:r>
          </w:p>
        </w:tc>
        <w:tc>
          <w:tcPr>
            <w:tcW w:w="358" w:type="pct"/>
            <w:vAlign w:val="center"/>
          </w:tcPr>
          <w:p w14:paraId="2864294E">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2.42</w:t>
            </w:r>
          </w:p>
        </w:tc>
        <w:tc>
          <w:tcPr>
            <w:tcW w:w="358" w:type="pct"/>
            <w:vAlign w:val="center"/>
          </w:tcPr>
          <w:p w14:paraId="78C138AA">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0.155</w:t>
            </w:r>
          </w:p>
        </w:tc>
        <w:tc>
          <w:tcPr>
            <w:tcW w:w="358" w:type="pct"/>
            <w:vAlign w:val="center"/>
          </w:tcPr>
          <w:p w14:paraId="222D43DF">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2.38</w:t>
            </w:r>
          </w:p>
        </w:tc>
        <w:tc>
          <w:tcPr>
            <w:tcW w:w="358" w:type="pct"/>
            <w:vAlign w:val="center"/>
          </w:tcPr>
          <w:p w14:paraId="600CF4AE">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0.249</w:t>
            </w:r>
          </w:p>
        </w:tc>
        <w:tc>
          <w:tcPr>
            <w:tcW w:w="358" w:type="pct"/>
            <w:vAlign w:val="center"/>
          </w:tcPr>
          <w:p w14:paraId="0DB00BE5">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4.04</w:t>
            </w:r>
          </w:p>
        </w:tc>
        <w:tc>
          <w:tcPr>
            <w:tcW w:w="410" w:type="pct"/>
            <w:vAlign w:val="center"/>
          </w:tcPr>
          <w:p w14:paraId="06CBEAF0">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0.0398</w:t>
            </w:r>
          </w:p>
        </w:tc>
      </w:tr>
      <w:tr w14:paraId="7A74B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1" w:type="pct"/>
            <w:vMerge w:val="continue"/>
            <w:vAlign w:val="center"/>
          </w:tcPr>
          <w:p w14:paraId="4217B9ED">
            <w:pPr>
              <w:spacing w:line="360" w:lineRule="auto"/>
              <w:jc w:val="center"/>
              <w:rPr>
                <w:rFonts w:hint="default" w:ascii="Times New Roman" w:hAnsi="Times New Roman" w:cs="Times New Roman"/>
                <w:bCs/>
                <w:color w:val="444444"/>
                <w:sz w:val="16"/>
                <w:szCs w:val="16"/>
              </w:rPr>
            </w:pPr>
          </w:p>
        </w:tc>
        <w:tc>
          <w:tcPr>
            <w:tcW w:w="358" w:type="pct"/>
            <w:vAlign w:val="center"/>
          </w:tcPr>
          <w:p w14:paraId="2A953659">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0.137</w:t>
            </w:r>
          </w:p>
        </w:tc>
        <w:tc>
          <w:tcPr>
            <w:tcW w:w="461" w:type="pct"/>
            <w:vAlign w:val="center"/>
          </w:tcPr>
          <w:p w14:paraId="54255746">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0.00877</w:t>
            </w:r>
          </w:p>
        </w:tc>
        <w:tc>
          <w:tcPr>
            <w:tcW w:w="358" w:type="pct"/>
            <w:vAlign w:val="center"/>
          </w:tcPr>
          <w:p w14:paraId="3EFAB886">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1.55</w:t>
            </w:r>
          </w:p>
        </w:tc>
        <w:tc>
          <w:tcPr>
            <w:tcW w:w="461" w:type="pct"/>
            <w:vAlign w:val="center"/>
          </w:tcPr>
          <w:p w14:paraId="1795610F">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0.00602</w:t>
            </w:r>
          </w:p>
        </w:tc>
        <w:tc>
          <w:tcPr>
            <w:tcW w:w="358" w:type="pct"/>
            <w:vAlign w:val="center"/>
          </w:tcPr>
          <w:p w14:paraId="7A6CD0A2">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2.47</w:t>
            </w:r>
          </w:p>
        </w:tc>
        <w:tc>
          <w:tcPr>
            <w:tcW w:w="358" w:type="pct"/>
            <w:vAlign w:val="center"/>
          </w:tcPr>
          <w:p w14:paraId="16F30D8F">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0.108</w:t>
            </w:r>
          </w:p>
        </w:tc>
        <w:tc>
          <w:tcPr>
            <w:tcW w:w="358" w:type="pct"/>
            <w:vAlign w:val="center"/>
          </w:tcPr>
          <w:p w14:paraId="5E2DCFC9">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2.41</w:t>
            </w:r>
          </w:p>
        </w:tc>
        <w:tc>
          <w:tcPr>
            <w:tcW w:w="358" w:type="pct"/>
            <w:vAlign w:val="center"/>
          </w:tcPr>
          <w:p w14:paraId="101AB240">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0.155</w:t>
            </w:r>
          </w:p>
        </w:tc>
        <w:tc>
          <w:tcPr>
            <w:tcW w:w="358" w:type="pct"/>
            <w:vAlign w:val="center"/>
          </w:tcPr>
          <w:p w14:paraId="2803AC9E">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2.38</w:t>
            </w:r>
          </w:p>
        </w:tc>
        <w:tc>
          <w:tcPr>
            <w:tcW w:w="358" w:type="pct"/>
            <w:vAlign w:val="center"/>
          </w:tcPr>
          <w:p w14:paraId="65CB20EF">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0.251</w:t>
            </w:r>
          </w:p>
        </w:tc>
        <w:tc>
          <w:tcPr>
            <w:tcW w:w="358" w:type="pct"/>
            <w:vAlign w:val="center"/>
          </w:tcPr>
          <w:p w14:paraId="2634CC63">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4.02</w:t>
            </w:r>
          </w:p>
        </w:tc>
        <w:tc>
          <w:tcPr>
            <w:tcW w:w="410" w:type="pct"/>
            <w:vAlign w:val="center"/>
          </w:tcPr>
          <w:p w14:paraId="6EC37967">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0.0396</w:t>
            </w:r>
          </w:p>
        </w:tc>
      </w:tr>
      <w:tr w14:paraId="328F5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1" w:type="pct"/>
            <w:vMerge w:val="continue"/>
            <w:vAlign w:val="center"/>
          </w:tcPr>
          <w:p w14:paraId="5FB01DD5">
            <w:pPr>
              <w:spacing w:line="360" w:lineRule="auto"/>
              <w:jc w:val="center"/>
              <w:rPr>
                <w:rFonts w:hint="default" w:ascii="Times New Roman" w:hAnsi="Times New Roman" w:cs="Times New Roman"/>
                <w:bCs/>
                <w:color w:val="444444"/>
                <w:sz w:val="16"/>
                <w:szCs w:val="16"/>
              </w:rPr>
            </w:pPr>
          </w:p>
        </w:tc>
        <w:tc>
          <w:tcPr>
            <w:tcW w:w="358" w:type="pct"/>
            <w:vAlign w:val="center"/>
          </w:tcPr>
          <w:p w14:paraId="16E798E6">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0.137</w:t>
            </w:r>
          </w:p>
        </w:tc>
        <w:tc>
          <w:tcPr>
            <w:tcW w:w="461" w:type="pct"/>
            <w:vAlign w:val="center"/>
          </w:tcPr>
          <w:p w14:paraId="78119123">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0.00767</w:t>
            </w:r>
          </w:p>
        </w:tc>
        <w:tc>
          <w:tcPr>
            <w:tcW w:w="358" w:type="pct"/>
            <w:vAlign w:val="center"/>
          </w:tcPr>
          <w:p w14:paraId="26237A9E">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1.56</w:t>
            </w:r>
          </w:p>
        </w:tc>
        <w:tc>
          <w:tcPr>
            <w:tcW w:w="461" w:type="pct"/>
            <w:vAlign w:val="center"/>
          </w:tcPr>
          <w:p w14:paraId="6AE01782">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0.00613</w:t>
            </w:r>
          </w:p>
        </w:tc>
        <w:tc>
          <w:tcPr>
            <w:tcW w:w="358" w:type="pct"/>
            <w:vAlign w:val="center"/>
          </w:tcPr>
          <w:p w14:paraId="5E608CA3">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2.48</w:t>
            </w:r>
          </w:p>
        </w:tc>
        <w:tc>
          <w:tcPr>
            <w:tcW w:w="358" w:type="pct"/>
            <w:vAlign w:val="center"/>
          </w:tcPr>
          <w:p w14:paraId="74F995D5">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0.104</w:t>
            </w:r>
          </w:p>
        </w:tc>
        <w:tc>
          <w:tcPr>
            <w:tcW w:w="358" w:type="pct"/>
            <w:vAlign w:val="center"/>
          </w:tcPr>
          <w:p w14:paraId="4072EF66">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2.43</w:t>
            </w:r>
          </w:p>
        </w:tc>
        <w:tc>
          <w:tcPr>
            <w:tcW w:w="358" w:type="pct"/>
            <w:vAlign w:val="center"/>
          </w:tcPr>
          <w:p w14:paraId="7E06701C">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0.157</w:t>
            </w:r>
          </w:p>
        </w:tc>
        <w:tc>
          <w:tcPr>
            <w:tcW w:w="358" w:type="pct"/>
            <w:vAlign w:val="center"/>
          </w:tcPr>
          <w:p w14:paraId="5DDA514C">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2.39</w:t>
            </w:r>
          </w:p>
        </w:tc>
        <w:tc>
          <w:tcPr>
            <w:tcW w:w="358" w:type="pct"/>
            <w:vAlign w:val="center"/>
          </w:tcPr>
          <w:p w14:paraId="017109C5">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0.252</w:t>
            </w:r>
          </w:p>
        </w:tc>
        <w:tc>
          <w:tcPr>
            <w:tcW w:w="358" w:type="pct"/>
            <w:vAlign w:val="center"/>
          </w:tcPr>
          <w:p w14:paraId="236D1608">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4.05</w:t>
            </w:r>
          </w:p>
        </w:tc>
        <w:tc>
          <w:tcPr>
            <w:tcW w:w="410" w:type="pct"/>
            <w:vAlign w:val="center"/>
          </w:tcPr>
          <w:p w14:paraId="767BF6C3">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0.0401</w:t>
            </w:r>
          </w:p>
        </w:tc>
      </w:tr>
      <w:tr w14:paraId="7B6AC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1" w:type="pct"/>
            <w:vMerge w:val="continue"/>
            <w:vAlign w:val="center"/>
          </w:tcPr>
          <w:p w14:paraId="2A6688E6">
            <w:pPr>
              <w:spacing w:line="360" w:lineRule="auto"/>
              <w:jc w:val="center"/>
              <w:rPr>
                <w:rFonts w:hint="default" w:ascii="Times New Roman" w:hAnsi="Times New Roman" w:cs="Times New Roman"/>
                <w:bCs/>
                <w:color w:val="444444"/>
                <w:sz w:val="16"/>
                <w:szCs w:val="16"/>
              </w:rPr>
            </w:pPr>
          </w:p>
        </w:tc>
        <w:tc>
          <w:tcPr>
            <w:tcW w:w="358" w:type="pct"/>
            <w:vAlign w:val="center"/>
          </w:tcPr>
          <w:p w14:paraId="4BD2B000">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0.136</w:t>
            </w:r>
          </w:p>
        </w:tc>
        <w:tc>
          <w:tcPr>
            <w:tcW w:w="461" w:type="pct"/>
            <w:vAlign w:val="center"/>
          </w:tcPr>
          <w:p w14:paraId="07FA3F76">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0.00882</w:t>
            </w:r>
          </w:p>
        </w:tc>
        <w:tc>
          <w:tcPr>
            <w:tcW w:w="358" w:type="pct"/>
            <w:vAlign w:val="center"/>
          </w:tcPr>
          <w:p w14:paraId="2E747092">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1.54</w:t>
            </w:r>
          </w:p>
        </w:tc>
        <w:tc>
          <w:tcPr>
            <w:tcW w:w="461" w:type="pct"/>
            <w:vAlign w:val="center"/>
          </w:tcPr>
          <w:p w14:paraId="1256CB57">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0.00611</w:t>
            </w:r>
          </w:p>
        </w:tc>
        <w:tc>
          <w:tcPr>
            <w:tcW w:w="358" w:type="pct"/>
            <w:vAlign w:val="center"/>
          </w:tcPr>
          <w:p w14:paraId="2D015CD9">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2.49</w:t>
            </w:r>
          </w:p>
        </w:tc>
        <w:tc>
          <w:tcPr>
            <w:tcW w:w="358" w:type="pct"/>
            <w:vAlign w:val="center"/>
          </w:tcPr>
          <w:p w14:paraId="5C450F40">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0.105</w:t>
            </w:r>
          </w:p>
        </w:tc>
        <w:tc>
          <w:tcPr>
            <w:tcW w:w="358" w:type="pct"/>
            <w:vAlign w:val="center"/>
          </w:tcPr>
          <w:p w14:paraId="7101D287">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2.40</w:t>
            </w:r>
          </w:p>
        </w:tc>
        <w:tc>
          <w:tcPr>
            <w:tcW w:w="358" w:type="pct"/>
            <w:vAlign w:val="center"/>
          </w:tcPr>
          <w:p w14:paraId="4780897E">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0.156</w:t>
            </w:r>
          </w:p>
        </w:tc>
        <w:tc>
          <w:tcPr>
            <w:tcW w:w="358" w:type="pct"/>
            <w:vAlign w:val="center"/>
          </w:tcPr>
          <w:p w14:paraId="1C128214">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2.39</w:t>
            </w:r>
          </w:p>
        </w:tc>
        <w:tc>
          <w:tcPr>
            <w:tcW w:w="358" w:type="pct"/>
            <w:vAlign w:val="center"/>
          </w:tcPr>
          <w:p w14:paraId="242C7E4B">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0.254</w:t>
            </w:r>
          </w:p>
        </w:tc>
        <w:tc>
          <w:tcPr>
            <w:tcW w:w="358" w:type="pct"/>
            <w:vAlign w:val="center"/>
          </w:tcPr>
          <w:p w14:paraId="5B2FD6C4">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4.06</w:t>
            </w:r>
          </w:p>
        </w:tc>
        <w:tc>
          <w:tcPr>
            <w:tcW w:w="410" w:type="pct"/>
            <w:vAlign w:val="center"/>
          </w:tcPr>
          <w:p w14:paraId="6FED08C1">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0.0393</w:t>
            </w:r>
          </w:p>
        </w:tc>
      </w:tr>
      <w:tr w14:paraId="6202E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1" w:type="pct"/>
            <w:vMerge w:val="continue"/>
            <w:vAlign w:val="center"/>
          </w:tcPr>
          <w:p w14:paraId="67446FBF">
            <w:pPr>
              <w:spacing w:line="360" w:lineRule="auto"/>
              <w:jc w:val="center"/>
              <w:rPr>
                <w:rFonts w:hint="default" w:ascii="Times New Roman" w:hAnsi="Times New Roman" w:cs="Times New Roman"/>
                <w:bCs/>
                <w:color w:val="444444"/>
                <w:sz w:val="16"/>
                <w:szCs w:val="16"/>
              </w:rPr>
            </w:pPr>
          </w:p>
        </w:tc>
        <w:tc>
          <w:tcPr>
            <w:tcW w:w="358" w:type="pct"/>
            <w:vAlign w:val="center"/>
          </w:tcPr>
          <w:p w14:paraId="0C595824">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0.139</w:t>
            </w:r>
          </w:p>
        </w:tc>
        <w:tc>
          <w:tcPr>
            <w:tcW w:w="461" w:type="pct"/>
            <w:vAlign w:val="center"/>
          </w:tcPr>
          <w:p w14:paraId="248B8AFF">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0.00797</w:t>
            </w:r>
          </w:p>
        </w:tc>
        <w:tc>
          <w:tcPr>
            <w:tcW w:w="358" w:type="pct"/>
            <w:vAlign w:val="center"/>
          </w:tcPr>
          <w:p w14:paraId="147FA25A">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1.54</w:t>
            </w:r>
          </w:p>
        </w:tc>
        <w:tc>
          <w:tcPr>
            <w:tcW w:w="461" w:type="pct"/>
            <w:vAlign w:val="center"/>
          </w:tcPr>
          <w:p w14:paraId="7D6CF84E">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0.00677</w:t>
            </w:r>
          </w:p>
        </w:tc>
        <w:tc>
          <w:tcPr>
            <w:tcW w:w="358" w:type="pct"/>
            <w:vAlign w:val="center"/>
          </w:tcPr>
          <w:p w14:paraId="032A2A17">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2.47</w:t>
            </w:r>
          </w:p>
        </w:tc>
        <w:tc>
          <w:tcPr>
            <w:tcW w:w="358" w:type="pct"/>
            <w:vAlign w:val="center"/>
          </w:tcPr>
          <w:p w14:paraId="6E19DD36">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0.105</w:t>
            </w:r>
          </w:p>
        </w:tc>
        <w:tc>
          <w:tcPr>
            <w:tcW w:w="358" w:type="pct"/>
            <w:vAlign w:val="center"/>
          </w:tcPr>
          <w:p w14:paraId="0A1B1BB1">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2.40</w:t>
            </w:r>
          </w:p>
        </w:tc>
        <w:tc>
          <w:tcPr>
            <w:tcW w:w="358" w:type="pct"/>
            <w:vAlign w:val="center"/>
          </w:tcPr>
          <w:p w14:paraId="248FC573">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0.157</w:t>
            </w:r>
          </w:p>
        </w:tc>
        <w:tc>
          <w:tcPr>
            <w:tcW w:w="358" w:type="pct"/>
            <w:vAlign w:val="center"/>
          </w:tcPr>
          <w:p w14:paraId="7AFD2860">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2.42</w:t>
            </w:r>
          </w:p>
        </w:tc>
        <w:tc>
          <w:tcPr>
            <w:tcW w:w="358" w:type="pct"/>
            <w:vAlign w:val="center"/>
          </w:tcPr>
          <w:p w14:paraId="31F5C91C">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0.253</w:t>
            </w:r>
          </w:p>
        </w:tc>
        <w:tc>
          <w:tcPr>
            <w:tcW w:w="358" w:type="pct"/>
            <w:vAlign w:val="center"/>
          </w:tcPr>
          <w:p w14:paraId="69DD6E21">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4.02</w:t>
            </w:r>
          </w:p>
        </w:tc>
        <w:tc>
          <w:tcPr>
            <w:tcW w:w="410" w:type="pct"/>
            <w:vAlign w:val="center"/>
          </w:tcPr>
          <w:p w14:paraId="2A4AADB8">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0.0402</w:t>
            </w:r>
          </w:p>
        </w:tc>
      </w:tr>
      <w:tr w14:paraId="3F350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1" w:type="pct"/>
            <w:vMerge w:val="continue"/>
            <w:vAlign w:val="center"/>
          </w:tcPr>
          <w:p w14:paraId="4EEE1080">
            <w:pPr>
              <w:spacing w:line="360" w:lineRule="auto"/>
              <w:jc w:val="center"/>
              <w:rPr>
                <w:rFonts w:hint="default" w:ascii="Times New Roman" w:hAnsi="Times New Roman" w:cs="Times New Roman"/>
                <w:bCs/>
                <w:color w:val="444444"/>
                <w:sz w:val="16"/>
                <w:szCs w:val="16"/>
              </w:rPr>
            </w:pPr>
          </w:p>
        </w:tc>
        <w:tc>
          <w:tcPr>
            <w:tcW w:w="358" w:type="pct"/>
            <w:vAlign w:val="center"/>
          </w:tcPr>
          <w:p w14:paraId="1D28B8FE">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0.137</w:t>
            </w:r>
          </w:p>
        </w:tc>
        <w:tc>
          <w:tcPr>
            <w:tcW w:w="461" w:type="pct"/>
            <w:vAlign w:val="center"/>
          </w:tcPr>
          <w:p w14:paraId="0327265D">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0.00857</w:t>
            </w:r>
          </w:p>
        </w:tc>
        <w:tc>
          <w:tcPr>
            <w:tcW w:w="358" w:type="pct"/>
            <w:vAlign w:val="center"/>
          </w:tcPr>
          <w:p w14:paraId="0C15C381">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1.56</w:t>
            </w:r>
          </w:p>
        </w:tc>
        <w:tc>
          <w:tcPr>
            <w:tcW w:w="461" w:type="pct"/>
            <w:vAlign w:val="center"/>
          </w:tcPr>
          <w:p w14:paraId="739080E2">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0.00593</w:t>
            </w:r>
          </w:p>
        </w:tc>
        <w:tc>
          <w:tcPr>
            <w:tcW w:w="358" w:type="pct"/>
            <w:vAlign w:val="center"/>
          </w:tcPr>
          <w:p w14:paraId="5E11CC79">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2.45</w:t>
            </w:r>
          </w:p>
        </w:tc>
        <w:tc>
          <w:tcPr>
            <w:tcW w:w="358" w:type="pct"/>
            <w:vAlign w:val="center"/>
          </w:tcPr>
          <w:p w14:paraId="5AD95F21">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0.107</w:t>
            </w:r>
          </w:p>
        </w:tc>
        <w:tc>
          <w:tcPr>
            <w:tcW w:w="358" w:type="pct"/>
            <w:vAlign w:val="center"/>
          </w:tcPr>
          <w:p w14:paraId="1F2CF2C8">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2.41</w:t>
            </w:r>
          </w:p>
        </w:tc>
        <w:tc>
          <w:tcPr>
            <w:tcW w:w="358" w:type="pct"/>
            <w:vAlign w:val="center"/>
          </w:tcPr>
          <w:p w14:paraId="24EC6389">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0.155</w:t>
            </w:r>
          </w:p>
        </w:tc>
        <w:tc>
          <w:tcPr>
            <w:tcW w:w="358" w:type="pct"/>
            <w:vAlign w:val="center"/>
          </w:tcPr>
          <w:p w14:paraId="2A993073">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2.38</w:t>
            </w:r>
          </w:p>
        </w:tc>
        <w:tc>
          <w:tcPr>
            <w:tcW w:w="358" w:type="pct"/>
            <w:vAlign w:val="center"/>
          </w:tcPr>
          <w:p w14:paraId="57CF10BA">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0.254</w:t>
            </w:r>
          </w:p>
        </w:tc>
        <w:tc>
          <w:tcPr>
            <w:tcW w:w="358" w:type="pct"/>
            <w:vAlign w:val="center"/>
          </w:tcPr>
          <w:p w14:paraId="64E072A4">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4.01</w:t>
            </w:r>
          </w:p>
        </w:tc>
        <w:tc>
          <w:tcPr>
            <w:tcW w:w="410" w:type="pct"/>
            <w:vAlign w:val="center"/>
          </w:tcPr>
          <w:p w14:paraId="033F13C6">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0.0389</w:t>
            </w:r>
          </w:p>
        </w:tc>
      </w:tr>
      <w:tr w14:paraId="05293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1" w:type="pct"/>
            <w:vMerge w:val="continue"/>
            <w:vAlign w:val="center"/>
          </w:tcPr>
          <w:p w14:paraId="69FB4B4B">
            <w:pPr>
              <w:spacing w:line="360" w:lineRule="auto"/>
              <w:jc w:val="center"/>
              <w:rPr>
                <w:rFonts w:hint="default" w:ascii="Times New Roman" w:hAnsi="Times New Roman" w:cs="Times New Roman"/>
                <w:bCs/>
                <w:color w:val="444444"/>
                <w:sz w:val="16"/>
                <w:szCs w:val="16"/>
              </w:rPr>
            </w:pPr>
          </w:p>
        </w:tc>
        <w:tc>
          <w:tcPr>
            <w:tcW w:w="358" w:type="pct"/>
            <w:vAlign w:val="center"/>
          </w:tcPr>
          <w:p w14:paraId="023C7130">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0.141</w:t>
            </w:r>
          </w:p>
        </w:tc>
        <w:tc>
          <w:tcPr>
            <w:tcW w:w="461" w:type="pct"/>
            <w:vAlign w:val="center"/>
          </w:tcPr>
          <w:p w14:paraId="3F51D9C8">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0.00820</w:t>
            </w:r>
          </w:p>
        </w:tc>
        <w:tc>
          <w:tcPr>
            <w:tcW w:w="358" w:type="pct"/>
            <w:vAlign w:val="center"/>
          </w:tcPr>
          <w:p w14:paraId="78A22C5B">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1.58</w:t>
            </w:r>
          </w:p>
        </w:tc>
        <w:tc>
          <w:tcPr>
            <w:tcW w:w="461" w:type="pct"/>
            <w:vAlign w:val="center"/>
          </w:tcPr>
          <w:p w14:paraId="7B172F89">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0.00612</w:t>
            </w:r>
          </w:p>
        </w:tc>
        <w:tc>
          <w:tcPr>
            <w:tcW w:w="358" w:type="pct"/>
            <w:vAlign w:val="center"/>
          </w:tcPr>
          <w:p w14:paraId="02E25C3B">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2.48</w:t>
            </w:r>
          </w:p>
        </w:tc>
        <w:tc>
          <w:tcPr>
            <w:tcW w:w="358" w:type="pct"/>
            <w:vAlign w:val="center"/>
          </w:tcPr>
          <w:p w14:paraId="613641AA">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0.107</w:t>
            </w:r>
          </w:p>
        </w:tc>
        <w:tc>
          <w:tcPr>
            <w:tcW w:w="358" w:type="pct"/>
            <w:vAlign w:val="center"/>
          </w:tcPr>
          <w:p w14:paraId="5E5EEEC3">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2.39</w:t>
            </w:r>
          </w:p>
        </w:tc>
        <w:tc>
          <w:tcPr>
            <w:tcW w:w="358" w:type="pct"/>
            <w:vAlign w:val="center"/>
          </w:tcPr>
          <w:p w14:paraId="675A7FEE">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0.160</w:t>
            </w:r>
          </w:p>
        </w:tc>
        <w:tc>
          <w:tcPr>
            <w:tcW w:w="358" w:type="pct"/>
            <w:vAlign w:val="center"/>
          </w:tcPr>
          <w:p w14:paraId="281EAA6F">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2.40</w:t>
            </w:r>
          </w:p>
        </w:tc>
        <w:tc>
          <w:tcPr>
            <w:tcW w:w="358" w:type="pct"/>
            <w:vAlign w:val="center"/>
          </w:tcPr>
          <w:p w14:paraId="011D5602">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0.258</w:t>
            </w:r>
          </w:p>
        </w:tc>
        <w:tc>
          <w:tcPr>
            <w:tcW w:w="358" w:type="pct"/>
            <w:vAlign w:val="center"/>
          </w:tcPr>
          <w:p w14:paraId="06A7B822">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3.99</w:t>
            </w:r>
          </w:p>
        </w:tc>
        <w:tc>
          <w:tcPr>
            <w:tcW w:w="410" w:type="pct"/>
            <w:vAlign w:val="center"/>
          </w:tcPr>
          <w:p w14:paraId="0941E13F">
            <w:pPr>
              <w:keepNext w:val="0"/>
              <w:keepLines w:val="0"/>
              <w:widowControl/>
              <w:suppressLineNumbers w:val="0"/>
              <w:jc w:val="center"/>
              <w:textAlignment w:val="bottom"/>
              <w:rPr>
                <w:rFonts w:hint="default" w:ascii="Times New Roman" w:hAnsi="Times New Roman" w:cs="Times New Roman"/>
                <w:sz w:val="16"/>
                <w:szCs w:val="16"/>
              </w:rPr>
            </w:pPr>
            <w:r>
              <w:rPr>
                <w:rFonts w:hint="default" w:ascii="Times New Roman" w:hAnsi="Times New Roman" w:eastAsia="等线" w:cs="Times New Roman"/>
                <w:i w:val="0"/>
                <w:iCs w:val="0"/>
                <w:color w:val="000000"/>
                <w:kern w:val="0"/>
                <w:sz w:val="16"/>
                <w:szCs w:val="16"/>
                <w:u w:val="none"/>
                <w:lang w:val="en-US" w:eastAsia="zh-CN" w:bidi="ar"/>
              </w:rPr>
              <w:t>0.0388</w:t>
            </w:r>
          </w:p>
        </w:tc>
      </w:tr>
      <w:tr w14:paraId="03AED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1" w:type="pct"/>
            <w:vMerge w:val="continue"/>
            <w:vAlign w:val="center"/>
          </w:tcPr>
          <w:p w14:paraId="78C51438">
            <w:pPr>
              <w:spacing w:line="360" w:lineRule="auto"/>
              <w:jc w:val="center"/>
              <w:rPr>
                <w:rFonts w:hint="default" w:ascii="Times New Roman" w:hAnsi="Times New Roman" w:cs="Times New Roman"/>
                <w:bCs/>
                <w:color w:val="444444"/>
                <w:sz w:val="16"/>
                <w:szCs w:val="16"/>
              </w:rPr>
            </w:pPr>
          </w:p>
        </w:tc>
        <w:tc>
          <w:tcPr>
            <w:tcW w:w="358" w:type="pct"/>
            <w:vAlign w:val="center"/>
          </w:tcPr>
          <w:p w14:paraId="7D3E72C3">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0.137</w:t>
            </w:r>
          </w:p>
        </w:tc>
        <w:tc>
          <w:tcPr>
            <w:tcW w:w="461" w:type="pct"/>
            <w:vAlign w:val="center"/>
          </w:tcPr>
          <w:p w14:paraId="3D7CC26C">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0.00771</w:t>
            </w:r>
          </w:p>
        </w:tc>
        <w:tc>
          <w:tcPr>
            <w:tcW w:w="358" w:type="pct"/>
            <w:vAlign w:val="center"/>
          </w:tcPr>
          <w:p w14:paraId="3BADFCB1">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1.55</w:t>
            </w:r>
          </w:p>
        </w:tc>
        <w:tc>
          <w:tcPr>
            <w:tcW w:w="461" w:type="pct"/>
            <w:vAlign w:val="center"/>
          </w:tcPr>
          <w:p w14:paraId="4E3FDD33">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0.00584</w:t>
            </w:r>
          </w:p>
        </w:tc>
        <w:tc>
          <w:tcPr>
            <w:tcW w:w="358" w:type="pct"/>
            <w:vAlign w:val="center"/>
          </w:tcPr>
          <w:p w14:paraId="13409EF2">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2.48</w:t>
            </w:r>
          </w:p>
        </w:tc>
        <w:tc>
          <w:tcPr>
            <w:tcW w:w="358" w:type="pct"/>
            <w:vAlign w:val="center"/>
          </w:tcPr>
          <w:p w14:paraId="7C57A75F">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0.110</w:t>
            </w:r>
          </w:p>
        </w:tc>
        <w:tc>
          <w:tcPr>
            <w:tcW w:w="358" w:type="pct"/>
            <w:vAlign w:val="center"/>
          </w:tcPr>
          <w:p w14:paraId="0C429823">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2.41</w:t>
            </w:r>
          </w:p>
        </w:tc>
        <w:tc>
          <w:tcPr>
            <w:tcW w:w="358" w:type="pct"/>
            <w:vAlign w:val="center"/>
          </w:tcPr>
          <w:p w14:paraId="73F5C40B">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0.153</w:t>
            </w:r>
          </w:p>
        </w:tc>
        <w:tc>
          <w:tcPr>
            <w:tcW w:w="358" w:type="pct"/>
            <w:vAlign w:val="center"/>
          </w:tcPr>
          <w:p w14:paraId="3CE9DDEB">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2.39</w:t>
            </w:r>
          </w:p>
        </w:tc>
        <w:tc>
          <w:tcPr>
            <w:tcW w:w="358" w:type="pct"/>
            <w:vAlign w:val="center"/>
          </w:tcPr>
          <w:p w14:paraId="0E52BE5A">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0.255</w:t>
            </w:r>
          </w:p>
        </w:tc>
        <w:tc>
          <w:tcPr>
            <w:tcW w:w="358" w:type="pct"/>
            <w:vAlign w:val="center"/>
          </w:tcPr>
          <w:p w14:paraId="76ABA189">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4.03</w:t>
            </w:r>
          </w:p>
        </w:tc>
        <w:tc>
          <w:tcPr>
            <w:tcW w:w="410" w:type="pct"/>
            <w:vAlign w:val="center"/>
          </w:tcPr>
          <w:p w14:paraId="061FE741">
            <w:pPr>
              <w:keepNext w:val="0"/>
              <w:keepLines w:val="0"/>
              <w:widowControl/>
              <w:suppressLineNumbers w:val="0"/>
              <w:jc w:val="center"/>
              <w:textAlignment w:val="bottom"/>
              <w:rPr>
                <w:rFonts w:hint="default" w:ascii="Times New Roman" w:hAnsi="Times New Roman" w:cs="Times New Roman"/>
                <w:sz w:val="16"/>
                <w:szCs w:val="16"/>
              </w:rPr>
            </w:pPr>
            <w:r>
              <w:rPr>
                <w:rFonts w:hint="default" w:ascii="Times New Roman" w:hAnsi="Times New Roman" w:eastAsia="等线" w:cs="Times New Roman"/>
                <w:i w:val="0"/>
                <w:iCs w:val="0"/>
                <w:color w:val="000000"/>
                <w:kern w:val="0"/>
                <w:sz w:val="16"/>
                <w:szCs w:val="16"/>
                <w:u w:val="none"/>
                <w:lang w:val="en-US" w:eastAsia="zh-CN" w:bidi="ar"/>
              </w:rPr>
              <w:t>0.0396</w:t>
            </w:r>
          </w:p>
        </w:tc>
      </w:tr>
      <w:tr w14:paraId="1E4CE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1" w:type="pct"/>
            <w:vAlign w:val="center"/>
          </w:tcPr>
          <w:p w14:paraId="02528351">
            <w:pPr>
              <w:spacing w:line="360" w:lineRule="auto"/>
              <w:jc w:val="center"/>
              <w:rPr>
                <w:rFonts w:hint="default" w:ascii="Times New Roman" w:hAnsi="Times New Roman" w:cs="Times New Roman"/>
                <w:bCs/>
                <w:color w:val="444444"/>
                <w:sz w:val="16"/>
                <w:szCs w:val="16"/>
              </w:rPr>
            </w:pPr>
            <w:r>
              <w:rPr>
                <w:rFonts w:hint="default" w:ascii="Times New Roman" w:hAnsi="Times New Roman" w:cs="Times New Roman"/>
                <w:bCs/>
                <w:color w:val="444444"/>
                <w:sz w:val="16"/>
                <w:szCs w:val="16"/>
              </w:rPr>
              <w:t>平均值/%</w:t>
            </w:r>
          </w:p>
        </w:tc>
        <w:tc>
          <w:tcPr>
            <w:tcW w:w="358" w:type="pct"/>
            <w:vAlign w:val="center"/>
          </w:tcPr>
          <w:p w14:paraId="7C08D29D">
            <w:pPr>
              <w:keepNext w:val="0"/>
              <w:keepLines w:val="0"/>
              <w:widowControl/>
              <w:suppressLineNumbers w:val="0"/>
              <w:jc w:val="center"/>
              <w:textAlignment w:val="bottom"/>
              <w:rPr>
                <w:rFonts w:hint="default" w:ascii="Times New Roman" w:hAnsi="Times New Roman" w:cs="Times New Roman"/>
                <w:bCs/>
                <w:color w:val="444444"/>
                <w:sz w:val="16"/>
                <w:szCs w:val="16"/>
                <w:lang w:val="en-US"/>
              </w:rPr>
            </w:pPr>
            <w:r>
              <w:rPr>
                <w:rFonts w:hint="default" w:ascii="Times New Roman" w:hAnsi="Times New Roman" w:eastAsia="等线" w:cs="Times New Roman"/>
                <w:i w:val="0"/>
                <w:iCs w:val="0"/>
                <w:color w:val="000000"/>
                <w:kern w:val="0"/>
                <w:sz w:val="16"/>
                <w:szCs w:val="16"/>
                <w:u w:val="none"/>
                <w:lang w:val="en-US" w:eastAsia="zh-CN" w:bidi="ar"/>
              </w:rPr>
              <w:t>0.138</w:t>
            </w:r>
          </w:p>
        </w:tc>
        <w:tc>
          <w:tcPr>
            <w:tcW w:w="461" w:type="pct"/>
            <w:vAlign w:val="center"/>
          </w:tcPr>
          <w:p w14:paraId="4A2FCAF9">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0.00830</w:t>
            </w:r>
          </w:p>
        </w:tc>
        <w:tc>
          <w:tcPr>
            <w:tcW w:w="358" w:type="pct"/>
            <w:vAlign w:val="center"/>
          </w:tcPr>
          <w:p w14:paraId="63FDBBCA">
            <w:pPr>
              <w:keepNext w:val="0"/>
              <w:keepLines w:val="0"/>
              <w:widowControl/>
              <w:suppressLineNumbers w:val="0"/>
              <w:jc w:val="center"/>
              <w:textAlignment w:val="bottom"/>
              <w:rPr>
                <w:rFonts w:hint="default" w:ascii="Times New Roman" w:hAnsi="Times New Roman" w:cs="Times New Roman"/>
                <w:bCs/>
                <w:color w:val="444444"/>
                <w:sz w:val="16"/>
                <w:szCs w:val="16"/>
                <w:lang w:val="en-US"/>
              </w:rPr>
            </w:pPr>
            <w:r>
              <w:rPr>
                <w:rFonts w:hint="default" w:ascii="Times New Roman" w:hAnsi="Times New Roman" w:eastAsia="等线" w:cs="Times New Roman"/>
                <w:i w:val="0"/>
                <w:iCs w:val="0"/>
                <w:color w:val="000000"/>
                <w:kern w:val="0"/>
                <w:sz w:val="16"/>
                <w:szCs w:val="16"/>
                <w:u w:val="none"/>
                <w:lang w:val="en-US" w:eastAsia="zh-CN" w:bidi="ar"/>
              </w:rPr>
              <w:t>1.56</w:t>
            </w:r>
          </w:p>
        </w:tc>
        <w:tc>
          <w:tcPr>
            <w:tcW w:w="461" w:type="pct"/>
            <w:vAlign w:val="center"/>
          </w:tcPr>
          <w:p w14:paraId="29D5F5BE">
            <w:pPr>
              <w:keepNext w:val="0"/>
              <w:keepLines w:val="0"/>
              <w:widowControl/>
              <w:suppressLineNumbers w:val="0"/>
              <w:jc w:val="center"/>
              <w:textAlignment w:val="bottom"/>
              <w:rPr>
                <w:rFonts w:hint="default" w:ascii="Times New Roman" w:hAnsi="Times New Roman" w:cs="Times New Roman"/>
                <w:bCs/>
                <w:color w:val="444444"/>
                <w:sz w:val="16"/>
                <w:szCs w:val="16"/>
                <w:lang w:val="en-US"/>
              </w:rPr>
            </w:pPr>
            <w:r>
              <w:rPr>
                <w:rFonts w:hint="default" w:ascii="Times New Roman" w:hAnsi="Times New Roman" w:eastAsia="等线" w:cs="Times New Roman"/>
                <w:i w:val="0"/>
                <w:iCs w:val="0"/>
                <w:color w:val="000000"/>
                <w:kern w:val="0"/>
                <w:sz w:val="16"/>
                <w:szCs w:val="16"/>
                <w:u w:val="none"/>
                <w:lang w:val="en-US" w:eastAsia="zh-CN" w:bidi="ar"/>
              </w:rPr>
              <w:t>0.00626</w:t>
            </w:r>
          </w:p>
        </w:tc>
        <w:tc>
          <w:tcPr>
            <w:tcW w:w="358" w:type="pct"/>
            <w:vAlign w:val="center"/>
          </w:tcPr>
          <w:p w14:paraId="2726E946">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2.47</w:t>
            </w:r>
          </w:p>
        </w:tc>
        <w:tc>
          <w:tcPr>
            <w:tcW w:w="358" w:type="pct"/>
            <w:vAlign w:val="center"/>
          </w:tcPr>
          <w:p w14:paraId="7AC1FCE4">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0.106</w:t>
            </w:r>
          </w:p>
        </w:tc>
        <w:tc>
          <w:tcPr>
            <w:tcW w:w="358" w:type="pct"/>
            <w:vAlign w:val="center"/>
          </w:tcPr>
          <w:p w14:paraId="7E89F40A">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2.41</w:t>
            </w:r>
          </w:p>
        </w:tc>
        <w:tc>
          <w:tcPr>
            <w:tcW w:w="358" w:type="pct"/>
            <w:vAlign w:val="center"/>
          </w:tcPr>
          <w:p w14:paraId="787AD402">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0.156</w:t>
            </w:r>
          </w:p>
        </w:tc>
        <w:tc>
          <w:tcPr>
            <w:tcW w:w="358" w:type="pct"/>
            <w:vAlign w:val="center"/>
          </w:tcPr>
          <w:p w14:paraId="45D07B0D">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2.39</w:t>
            </w:r>
          </w:p>
        </w:tc>
        <w:tc>
          <w:tcPr>
            <w:tcW w:w="358" w:type="pct"/>
            <w:vAlign w:val="center"/>
          </w:tcPr>
          <w:p w14:paraId="5A3EE931">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0.253</w:t>
            </w:r>
          </w:p>
        </w:tc>
        <w:tc>
          <w:tcPr>
            <w:tcW w:w="358" w:type="pct"/>
            <w:vAlign w:val="center"/>
          </w:tcPr>
          <w:p w14:paraId="68A37622">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4.03</w:t>
            </w:r>
          </w:p>
        </w:tc>
        <w:tc>
          <w:tcPr>
            <w:tcW w:w="410" w:type="pct"/>
            <w:vAlign w:val="center"/>
          </w:tcPr>
          <w:p w14:paraId="0EEC79C3">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0.0394</w:t>
            </w:r>
          </w:p>
        </w:tc>
      </w:tr>
      <w:tr w14:paraId="51C36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441" w:type="pct"/>
            <w:vAlign w:val="center"/>
          </w:tcPr>
          <w:p w14:paraId="21B61CFC">
            <w:pPr>
              <w:spacing w:line="360" w:lineRule="auto"/>
              <w:jc w:val="center"/>
              <w:rPr>
                <w:rFonts w:hint="default" w:ascii="Times New Roman" w:hAnsi="Times New Roman" w:cs="Times New Roman"/>
                <w:bCs/>
                <w:color w:val="444444"/>
                <w:sz w:val="16"/>
                <w:szCs w:val="16"/>
              </w:rPr>
            </w:pPr>
            <w:r>
              <w:rPr>
                <w:rFonts w:hint="default" w:ascii="Times New Roman" w:hAnsi="Times New Roman" w:cs="Times New Roman"/>
                <w:bCs/>
                <w:color w:val="444444"/>
                <w:sz w:val="16"/>
                <w:szCs w:val="16"/>
              </w:rPr>
              <w:t>RSD/%</w:t>
            </w:r>
          </w:p>
        </w:tc>
        <w:tc>
          <w:tcPr>
            <w:tcW w:w="358" w:type="pct"/>
            <w:vAlign w:val="center"/>
          </w:tcPr>
          <w:p w14:paraId="4D12B98A">
            <w:pPr>
              <w:keepNext w:val="0"/>
              <w:keepLines w:val="0"/>
              <w:widowControl/>
              <w:suppressLineNumbers w:val="0"/>
              <w:jc w:val="center"/>
              <w:textAlignment w:val="bottom"/>
              <w:rPr>
                <w:rFonts w:hint="default" w:ascii="Times New Roman" w:hAnsi="Times New Roman" w:cs="Times New Roman"/>
                <w:bCs/>
                <w:color w:val="444444"/>
                <w:sz w:val="16"/>
                <w:szCs w:val="16"/>
                <w:lang w:val="en-US"/>
              </w:rPr>
            </w:pPr>
            <w:r>
              <w:rPr>
                <w:rFonts w:hint="default" w:ascii="Times New Roman" w:hAnsi="Times New Roman" w:eastAsia="等线" w:cs="Times New Roman"/>
                <w:i w:val="0"/>
                <w:iCs w:val="0"/>
                <w:color w:val="000000"/>
                <w:kern w:val="0"/>
                <w:sz w:val="16"/>
                <w:szCs w:val="16"/>
                <w:u w:val="none"/>
                <w:lang w:val="en-US" w:eastAsia="zh-CN" w:bidi="ar"/>
              </w:rPr>
              <w:t>1.21</w:t>
            </w:r>
          </w:p>
        </w:tc>
        <w:tc>
          <w:tcPr>
            <w:tcW w:w="461" w:type="pct"/>
            <w:vAlign w:val="center"/>
          </w:tcPr>
          <w:p w14:paraId="5886465D">
            <w:pPr>
              <w:keepNext w:val="0"/>
              <w:keepLines w:val="0"/>
              <w:widowControl/>
              <w:suppressLineNumbers w:val="0"/>
              <w:jc w:val="center"/>
              <w:textAlignment w:val="bottom"/>
              <w:rPr>
                <w:rFonts w:hint="default" w:ascii="Times New Roman" w:hAnsi="Times New Roman" w:cs="Times New Roman"/>
                <w:bCs/>
                <w:color w:val="444444"/>
                <w:sz w:val="16"/>
                <w:szCs w:val="16"/>
                <w:lang w:val="en-US"/>
              </w:rPr>
            </w:pPr>
            <w:r>
              <w:rPr>
                <w:rFonts w:hint="default" w:ascii="Times New Roman" w:hAnsi="Times New Roman" w:eastAsia="等线" w:cs="Times New Roman"/>
                <w:i w:val="0"/>
                <w:iCs w:val="0"/>
                <w:color w:val="000000"/>
                <w:kern w:val="0"/>
                <w:sz w:val="16"/>
                <w:szCs w:val="16"/>
                <w:u w:val="none"/>
                <w:lang w:val="en-US" w:eastAsia="zh-CN" w:bidi="ar"/>
              </w:rPr>
              <w:t>5.94</w:t>
            </w:r>
          </w:p>
        </w:tc>
        <w:tc>
          <w:tcPr>
            <w:tcW w:w="358" w:type="pct"/>
            <w:vAlign w:val="center"/>
          </w:tcPr>
          <w:p w14:paraId="0A544402">
            <w:pPr>
              <w:keepNext w:val="0"/>
              <w:keepLines w:val="0"/>
              <w:widowControl/>
              <w:suppressLineNumbers w:val="0"/>
              <w:jc w:val="center"/>
              <w:textAlignment w:val="bottom"/>
              <w:rPr>
                <w:rFonts w:hint="default" w:ascii="Times New Roman" w:hAnsi="Times New Roman" w:cs="Times New Roman"/>
                <w:bCs/>
                <w:color w:val="444444"/>
                <w:sz w:val="16"/>
                <w:szCs w:val="16"/>
                <w:lang w:val="en-US"/>
              </w:rPr>
            </w:pPr>
            <w:r>
              <w:rPr>
                <w:rFonts w:hint="default" w:ascii="Times New Roman" w:hAnsi="Times New Roman" w:eastAsia="等线" w:cs="Times New Roman"/>
                <w:i w:val="0"/>
                <w:iCs w:val="0"/>
                <w:color w:val="000000"/>
                <w:kern w:val="0"/>
                <w:sz w:val="16"/>
                <w:szCs w:val="16"/>
                <w:u w:val="none"/>
                <w:lang w:val="en-US" w:eastAsia="zh-CN" w:bidi="ar"/>
              </w:rPr>
              <w:t>0.775</w:t>
            </w:r>
          </w:p>
        </w:tc>
        <w:tc>
          <w:tcPr>
            <w:tcW w:w="461" w:type="pct"/>
            <w:vAlign w:val="center"/>
          </w:tcPr>
          <w:p w14:paraId="221F7F30">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6.10</w:t>
            </w:r>
          </w:p>
        </w:tc>
        <w:tc>
          <w:tcPr>
            <w:tcW w:w="358" w:type="pct"/>
            <w:vAlign w:val="center"/>
          </w:tcPr>
          <w:p w14:paraId="6F38B441">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0.529</w:t>
            </w:r>
          </w:p>
        </w:tc>
        <w:tc>
          <w:tcPr>
            <w:tcW w:w="358" w:type="pct"/>
            <w:vAlign w:val="center"/>
          </w:tcPr>
          <w:p w14:paraId="59D4CF20">
            <w:pPr>
              <w:keepNext w:val="0"/>
              <w:keepLines w:val="0"/>
              <w:widowControl/>
              <w:suppressLineNumbers w:val="0"/>
              <w:jc w:val="center"/>
              <w:textAlignment w:val="bottom"/>
              <w:rPr>
                <w:rFonts w:hint="default" w:ascii="Times New Roman" w:hAnsi="Times New Roman" w:cs="Times New Roman"/>
                <w:bCs/>
                <w:color w:val="444444"/>
                <w:sz w:val="16"/>
                <w:szCs w:val="16"/>
                <w:lang w:val="en-US"/>
              </w:rPr>
            </w:pPr>
            <w:r>
              <w:rPr>
                <w:rFonts w:hint="default" w:ascii="Times New Roman" w:hAnsi="Times New Roman" w:eastAsia="等线" w:cs="Times New Roman"/>
                <w:i w:val="0"/>
                <w:iCs w:val="0"/>
                <w:color w:val="000000"/>
                <w:kern w:val="0"/>
                <w:sz w:val="16"/>
                <w:szCs w:val="16"/>
                <w:u w:val="none"/>
                <w:lang w:val="en-US" w:eastAsia="zh-CN" w:bidi="ar"/>
              </w:rPr>
              <w:t>1.73</w:t>
            </w:r>
          </w:p>
        </w:tc>
        <w:tc>
          <w:tcPr>
            <w:tcW w:w="358" w:type="pct"/>
            <w:vAlign w:val="center"/>
          </w:tcPr>
          <w:p w14:paraId="71D2B006">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0.495</w:t>
            </w:r>
          </w:p>
        </w:tc>
        <w:tc>
          <w:tcPr>
            <w:tcW w:w="358" w:type="pct"/>
            <w:vAlign w:val="center"/>
          </w:tcPr>
          <w:p w14:paraId="3B59FF41">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1.18</w:t>
            </w:r>
          </w:p>
        </w:tc>
        <w:tc>
          <w:tcPr>
            <w:tcW w:w="358" w:type="pct"/>
            <w:vAlign w:val="center"/>
          </w:tcPr>
          <w:p w14:paraId="49757EA1">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0.561</w:t>
            </w:r>
          </w:p>
        </w:tc>
        <w:tc>
          <w:tcPr>
            <w:tcW w:w="358" w:type="pct"/>
            <w:vAlign w:val="center"/>
          </w:tcPr>
          <w:p w14:paraId="57FA0633">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1.05</w:t>
            </w:r>
          </w:p>
        </w:tc>
        <w:tc>
          <w:tcPr>
            <w:tcW w:w="358" w:type="pct"/>
            <w:vAlign w:val="center"/>
          </w:tcPr>
          <w:p w14:paraId="1BE4BC6C">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0.496</w:t>
            </w:r>
          </w:p>
        </w:tc>
        <w:tc>
          <w:tcPr>
            <w:tcW w:w="410" w:type="pct"/>
            <w:vAlign w:val="center"/>
          </w:tcPr>
          <w:p w14:paraId="5149F3ED">
            <w:pPr>
              <w:keepNext w:val="0"/>
              <w:keepLines w:val="0"/>
              <w:widowControl/>
              <w:suppressLineNumbers w:val="0"/>
              <w:jc w:val="center"/>
              <w:textAlignment w:val="bottom"/>
              <w:rPr>
                <w:rFonts w:hint="default" w:ascii="Times New Roman" w:hAnsi="Times New Roman" w:cs="Times New Roman"/>
                <w:bCs/>
                <w:color w:val="444444"/>
                <w:sz w:val="16"/>
                <w:szCs w:val="16"/>
              </w:rPr>
            </w:pPr>
            <w:r>
              <w:rPr>
                <w:rFonts w:hint="default" w:ascii="Times New Roman" w:hAnsi="Times New Roman" w:eastAsia="等线" w:cs="Times New Roman"/>
                <w:i w:val="0"/>
                <w:iCs w:val="0"/>
                <w:color w:val="000000"/>
                <w:kern w:val="0"/>
                <w:sz w:val="16"/>
                <w:szCs w:val="16"/>
                <w:u w:val="none"/>
                <w:lang w:val="en-US" w:eastAsia="zh-CN" w:bidi="ar"/>
              </w:rPr>
              <w:t>1.36</w:t>
            </w:r>
          </w:p>
        </w:tc>
      </w:tr>
    </w:tbl>
    <w:p w14:paraId="5B490894">
      <w:pPr>
        <w:rPr>
          <w:rFonts w:eastAsia="黑体"/>
          <w:bCs/>
          <w:szCs w:val="21"/>
        </w:rPr>
      </w:pPr>
    </w:p>
    <w:p w14:paraId="419BA9C6">
      <w:pPr>
        <w:rPr>
          <w:rFonts w:eastAsia="黑体"/>
          <w:bCs/>
          <w:szCs w:val="21"/>
        </w:rPr>
      </w:pPr>
      <w:r>
        <w:rPr>
          <w:rFonts w:eastAsia="黑体"/>
          <w:bCs/>
          <w:szCs w:val="21"/>
        </w:rPr>
        <w:t>7.5加标回收实验</w:t>
      </w:r>
    </w:p>
    <w:p w14:paraId="0BCCE3CE">
      <w:pPr>
        <w:spacing w:line="360" w:lineRule="auto"/>
        <w:ind w:firstLine="420" w:firstLineChars="200"/>
      </w:pPr>
      <w:r>
        <w:t>按照试验方法，称取</w:t>
      </w:r>
      <w:r>
        <w:rPr>
          <w:rFonts w:hint="eastAsia"/>
          <w:lang w:val="en-US" w:eastAsia="zh-CN"/>
        </w:rPr>
        <w:t>一定量的</w:t>
      </w:r>
      <w:r>
        <w:t>试验样品，加入编号为YSBC11006-2015标准样品进行加标回收试验，结果见表</w:t>
      </w:r>
      <w:r>
        <w:rPr>
          <w:rFonts w:hint="eastAsia"/>
        </w:rPr>
        <w:t>7和表8</w:t>
      </w:r>
      <w:r>
        <w:t>。</w:t>
      </w:r>
    </w:p>
    <w:p w14:paraId="7FC6FF36">
      <w:pPr>
        <w:spacing w:line="360" w:lineRule="auto"/>
        <w:jc w:val="center"/>
      </w:pPr>
      <w:r>
        <w:t>表</w:t>
      </w:r>
      <w:r>
        <w:rPr>
          <w:rFonts w:hint="eastAsia"/>
        </w:rPr>
        <w:t>7</w:t>
      </w:r>
      <w:r>
        <w:t xml:space="preserve"> 碳的加标回收试验</w:t>
      </w:r>
    </w:p>
    <w:tbl>
      <w:tblPr>
        <w:tblStyle w:val="9"/>
        <w:tblpPr w:leftFromText="180" w:rightFromText="180" w:vertAnchor="text" w:horzAnchor="margin" w:tblpXSpec="center" w:tblpY="153"/>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1416"/>
        <w:gridCol w:w="1560"/>
        <w:gridCol w:w="1703"/>
        <w:gridCol w:w="1389"/>
        <w:gridCol w:w="1495"/>
      </w:tblGrid>
      <w:tr w14:paraId="5AFB5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563" w:type="pct"/>
            <w:vAlign w:val="center"/>
          </w:tcPr>
          <w:p w14:paraId="39034897">
            <w:pPr>
              <w:jc w:val="center"/>
              <w:rPr>
                <w:rFonts w:hint="default" w:ascii="Times New Roman" w:hAnsi="Times New Roman" w:cs="Times New Roman"/>
                <w:sz w:val="21"/>
                <w:szCs w:val="21"/>
              </w:rPr>
            </w:pPr>
            <w:r>
              <w:rPr>
                <w:rFonts w:hint="default" w:ascii="Times New Roman" w:hAnsi="Times New Roman" w:cs="Times New Roman"/>
                <w:color w:val="000000"/>
                <w:sz w:val="21"/>
                <w:szCs w:val="21"/>
              </w:rPr>
              <w:t>称样量</w:t>
            </w:r>
            <w:r>
              <w:rPr>
                <w:rFonts w:hint="default" w:ascii="Times New Roman" w:hAnsi="Times New Roman" w:eastAsia="等线" w:cs="Times New Roman"/>
                <w:color w:val="000000"/>
                <w:sz w:val="21"/>
                <w:szCs w:val="21"/>
              </w:rPr>
              <w:t>/g</w:t>
            </w:r>
          </w:p>
        </w:tc>
        <w:tc>
          <w:tcPr>
            <w:tcW w:w="831" w:type="pct"/>
            <w:vAlign w:val="center"/>
          </w:tcPr>
          <w:p w14:paraId="203BF6DC">
            <w:pPr>
              <w:jc w:val="center"/>
              <w:rPr>
                <w:rFonts w:hint="default" w:ascii="Times New Roman" w:hAnsi="Times New Roman" w:cs="Times New Roman"/>
                <w:sz w:val="21"/>
                <w:szCs w:val="21"/>
              </w:rPr>
            </w:pPr>
            <w:r>
              <w:rPr>
                <w:rFonts w:hint="default" w:ascii="Times New Roman" w:hAnsi="Times New Roman" w:cs="Times New Roman"/>
                <w:color w:val="000000"/>
                <w:sz w:val="21"/>
                <w:szCs w:val="21"/>
              </w:rPr>
              <w:t>样品碳含量/mg</w:t>
            </w:r>
          </w:p>
        </w:tc>
        <w:tc>
          <w:tcPr>
            <w:tcW w:w="915" w:type="pct"/>
            <w:vAlign w:val="center"/>
          </w:tcPr>
          <w:p w14:paraId="377A1670">
            <w:pPr>
              <w:jc w:val="center"/>
              <w:rPr>
                <w:rFonts w:hint="default" w:ascii="Times New Roman" w:hAnsi="Times New Roman" w:cs="Times New Roman"/>
                <w:sz w:val="21"/>
                <w:szCs w:val="21"/>
              </w:rPr>
            </w:pPr>
            <w:r>
              <w:rPr>
                <w:rFonts w:hint="default" w:ascii="Times New Roman" w:hAnsi="Times New Roman" w:cs="Times New Roman"/>
                <w:color w:val="000000"/>
                <w:sz w:val="21"/>
                <w:szCs w:val="21"/>
              </w:rPr>
              <w:t>加入标准样品</w:t>
            </w:r>
            <w:r>
              <w:rPr>
                <w:rFonts w:hint="default" w:ascii="Times New Roman" w:hAnsi="Times New Roman" w:eastAsia="等线" w:cs="Times New Roman"/>
                <w:color w:val="000000"/>
                <w:sz w:val="21"/>
                <w:szCs w:val="21"/>
              </w:rPr>
              <w:t>/g</w:t>
            </w:r>
          </w:p>
        </w:tc>
        <w:tc>
          <w:tcPr>
            <w:tcW w:w="999" w:type="pct"/>
            <w:vAlign w:val="center"/>
          </w:tcPr>
          <w:p w14:paraId="728C34EF">
            <w:pPr>
              <w:jc w:val="center"/>
              <w:rPr>
                <w:rFonts w:hint="default" w:ascii="Times New Roman" w:hAnsi="Times New Roman" w:cs="Times New Roman"/>
                <w:sz w:val="21"/>
                <w:szCs w:val="21"/>
              </w:rPr>
            </w:pPr>
            <w:r>
              <w:rPr>
                <w:rFonts w:hint="default" w:ascii="Times New Roman" w:hAnsi="Times New Roman" w:cs="Times New Roman"/>
                <w:color w:val="000000"/>
                <w:sz w:val="21"/>
                <w:szCs w:val="21"/>
              </w:rPr>
              <w:t>标样中碳含量/mg</w:t>
            </w:r>
          </w:p>
        </w:tc>
        <w:tc>
          <w:tcPr>
            <w:tcW w:w="815" w:type="pct"/>
            <w:vAlign w:val="center"/>
          </w:tcPr>
          <w:p w14:paraId="2560EECA">
            <w:pPr>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测定碳含量</w:t>
            </w:r>
          </w:p>
          <w:p w14:paraId="07D79DE1">
            <w:pPr>
              <w:jc w:val="center"/>
              <w:rPr>
                <w:rFonts w:hint="default" w:ascii="Times New Roman" w:hAnsi="Times New Roman" w:cs="Times New Roman"/>
                <w:sz w:val="21"/>
                <w:szCs w:val="21"/>
              </w:rPr>
            </w:pPr>
            <w:r>
              <w:rPr>
                <w:rFonts w:hint="default" w:ascii="Times New Roman" w:hAnsi="Times New Roman" w:eastAsia="等线" w:cs="Times New Roman"/>
                <w:color w:val="000000"/>
                <w:sz w:val="21"/>
                <w:szCs w:val="21"/>
              </w:rPr>
              <w:t>/mg</w:t>
            </w:r>
          </w:p>
        </w:tc>
        <w:tc>
          <w:tcPr>
            <w:tcW w:w="877" w:type="pct"/>
            <w:vAlign w:val="center"/>
          </w:tcPr>
          <w:p w14:paraId="5718C9E5">
            <w:pPr>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回收率</w:t>
            </w:r>
          </w:p>
          <w:p w14:paraId="4AE24161">
            <w:pPr>
              <w:jc w:val="center"/>
              <w:rPr>
                <w:rFonts w:hint="default" w:ascii="Times New Roman" w:hAnsi="Times New Roman" w:eastAsia="等线" w:cs="Times New Roman"/>
                <w:color w:val="000000"/>
                <w:sz w:val="21"/>
                <w:szCs w:val="21"/>
              </w:rPr>
            </w:pPr>
            <w:r>
              <w:rPr>
                <w:rFonts w:hint="default" w:ascii="Times New Roman" w:hAnsi="Times New Roman" w:eastAsia="等线" w:cs="Times New Roman"/>
                <w:color w:val="000000"/>
                <w:sz w:val="21"/>
                <w:szCs w:val="21"/>
              </w:rPr>
              <w:t>/%</w:t>
            </w:r>
          </w:p>
        </w:tc>
      </w:tr>
      <w:tr w14:paraId="567BA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59" w:type="dxa"/>
            <w:vAlign w:val="center"/>
          </w:tcPr>
          <w:p w14:paraId="6B43A65C">
            <w:pPr>
              <w:keepNext w:val="0"/>
              <w:keepLines w:val="0"/>
              <w:widowControl/>
              <w:suppressLineNumbers w:val="0"/>
              <w:jc w:val="center"/>
              <w:textAlignment w:val="bottom"/>
              <w:rPr>
                <w:rFonts w:hint="default" w:ascii="Times New Roman" w:hAnsi="Times New Roman" w:cs="Times New Roman"/>
                <w:sz w:val="21"/>
                <w:szCs w:val="21"/>
              </w:rPr>
            </w:pPr>
            <w:r>
              <w:rPr>
                <w:rFonts w:hint="default" w:ascii="Times New Roman" w:hAnsi="Times New Roman" w:eastAsia="等线" w:cs="Times New Roman"/>
                <w:i w:val="0"/>
                <w:iCs w:val="0"/>
                <w:color w:val="000000"/>
                <w:kern w:val="0"/>
                <w:sz w:val="21"/>
                <w:szCs w:val="21"/>
                <w:u w:val="none"/>
                <w:lang w:val="en-US" w:eastAsia="zh-CN" w:bidi="ar"/>
              </w:rPr>
              <w:t>0.1046</w:t>
            </w:r>
          </w:p>
        </w:tc>
        <w:tc>
          <w:tcPr>
            <w:tcW w:w="1416" w:type="dxa"/>
            <w:vAlign w:val="center"/>
          </w:tcPr>
          <w:p w14:paraId="1D520CD6">
            <w:pPr>
              <w:keepNext w:val="0"/>
              <w:keepLines w:val="0"/>
              <w:widowControl/>
              <w:suppressLineNumbers w:val="0"/>
              <w:jc w:val="center"/>
              <w:textAlignment w:val="bottom"/>
              <w:rPr>
                <w:rFonts w:hint="default" w:ascii="Times New Roman" w:hAnsi="Times New Roman" w:eastAsia="等线" w:cs="Times New Roman"/>
                <w:sz w:val="21"/>
                <w:szCs w:val="21"/>
              </w:rPr>
            </w:pPr>
            <w:r>
              <w:rPr>
                <w:rFonts w:hint="default" w:ascii="Times New Roman" w:hAnsi="Times New Roman" w:eastAsia="等线" w:cs="Times New Roman"/>
                <w:i w:val="0"/>
                <w:iCs w:val="0"/>
                <w:color w:val="000000"/>
                <w:kern w:val="0"/>
                <w:sz w:val="21"/>
                <w:szCs w:val="21"/>
                <w:u w:val="none"/>
                <w:lang w:val="en-US" w:eastAsia="zh-CN" w:bidi="ar"/>
              </w:rPr>
              <w:t>2.594</w:t>
            </w:r>
          </w:p>
        </w:tc>
        <w:tc>
          <w:tcPr>
            <w:tcW w:w="1560" w:type="dxa"/>
            <w:vAlign w:val="center"/>
          </w:tcPr>
          <w:p w14:paraId="6FC3397E">
            <w:pPr>
              <w:keepNext w:val="0"/>
              <w:keepLines w:val="0"/>
              <w:widowControl/>
              <w:suppressLineNumbers w:val="0"/>
              <w:jc w:val="center"/>
              <w:textAlignment w:val="bottom"/>
              <w:rPr>
                <w:rFonts w:hint="default" w:ascii="Times New Roman" w:hAnsi="Times New Roman" w:cs="Times New Roman"/>
                <w:sz w:val="21"/>
                <w:szCs w:val="21"/>
                <w:lang w:val="en-US"/>
              </w:rPr>
            </w:pPr>
            <w:r>
              <w:rPr>
                <w:rFonts w:hint="default" w:ascii="Times New Roman" w:hAnsi="Times New Roman" w:eastAsia="等线" w:cs="Times New Roman"/>
                <w:i w:val="0"/>
                <w:iCs w:val="0"/>
                <w:color w:val="000000"/>
                <w:kern w:val="0"/>
                <w:sz w:val="21"/>
                <w:szCs w:val="21"/>
                <w:u w:val="none"/>
                <w:lang w:val="en-US" w:eastAsia="zh-CN" w:bidi="ar"/>
              </w:rPr>
              <w:t>0.1060</w:t>
            </w:r>
          </w:p>
        </w:tc>
        <w:tc>
          <w:tcPr>
            <w:tcW w:w="1703" w:type="dxa"/>
            <w:vAlign w:val="center"/>
          </w:tcPr>
          <w:p w14:paraId="2F81891E">
            <w:pPr>
              <w:keepNext w:val="0"/>
              <w:keepLines w:val="0"/>
              <w:widowControl/>
              <w:suppressLineNumbers w:val="0"/>
              <w:jc w:val="center"/>
              <w:textAlignment w:val="bottom"/>
              <w:rPr>
                <w:rFonts w:hint="default" w:ascii="Times New Roman" w:hAnsi="Times New Roman" w:cs="Times New Roman"/>
                <w:sz w:val="21"/>
                <w:szCs w:val="21"/>
              </w:rPr>
            </w:pPr>
            <w:r>
              <w:rPr>
                <w:rFonts w:hint="default" w:ascii="Times New Roman" w:hAnsi="Times New Roman" w:eastAsia="等线" w:cs="Times New Roman"/>
                <w:i w:val="0"/>
                <w:iCs w:val="0"/>
                <w:color w:val="000000"/>
                <w:kern w:val="0"/>
                <w:sz w:val="21"/>
                <w:szCs w:val="21"/>
                <w:u w:val="none"/>
                <w:lang w:val="en-US" w:eastAsia="zh-CN" w:bidi="ar"/>
              </w:rPr>
              <w:t>3.562</w:t>
            </w:r>
          </w:p>
        </w:tc>
        <w:tc>
          <w:tcPr>
            <w:tcW w:w="1389" w:type="dxa"/>
            <w:vAlign w:val="center"/>
          </w:tcPr>
          <w:p w14:paraId="1775FE92">
            <w:pPr>
              <w:keepNext w:val="0"/>
              <w:keepLines w:val="0"/>
              <w:widowControl/>
              <w:suppressLineNumbers w:val="0"/>
              <w:jc w:val="center"/>
              <w:textAlignment w:val="bottom"/>
              <w:rPr>
                <w:rFonts w:hint="default" w:ascii="Times New Roman" w:hAnsi="Times New Roman" w:eastAsia="等线" w:cs="Times New Roman"/>
                <w:sz w:val="21"/>
                <w:szCs w:val="21"/>
              </w:rPr>
            </w:pPr>
            <w:r>
              <w:rPr>
                <w:rFonts w:hint="default" w:ascii="Times New Roman" w:hAnsi="Times New Roman" w:eastAsia="等线" w:cs="Times New Roman"/>
                <w:i w:val="0"/>
                <w:iCs w:val="0"/>
                <w:color w:val="000000"/>
                <w:kern w:val="0"/>
                <w:sz w:val="21"/>
                <w:szCs w:val="21"/>
                <w:u w:val="none"/>
                <w:lang w:val="en-US" w:eastAsia="zh-CN" w:bidi="ar"/>
              </w:rPr>
              <w:t>6.246</w:t>
            </w:r>
          </w:p>
        </w:tc>
        <w:tc>
          <w:tcPr>
            <w:tcW w:w="1495" w:type="dxa"/>
            <w:vAlign w:val="center"/>
          </w:tcPr>
          <w:p w14:paraId="24B3E322">
            <w:pPr>
              <w:keepNext w:val="0"/>
              <w:keepLines w:val="0"/>
              <w:widowControl/>
              <w:suppressLineNumbers w:val="0"/>
              <w:jc w:val="center"/>
              <w:textAlignment w:val="bottom"/>
              <w:rPr>
                <w:rFonts w:hint="default" w:ascii="Times New Roman" w:hAnsi="Times New Roman" w:eastAsia="等线" w:cs="Times New Roman"/>
                <w:sz w:val="21"/>
                <w:szCs w:val="21"/>
              </w:rPr>
            </w:pPr>
            <w:r>
              <w:rPr>
                <w:rFonts w:hint="default" w:ascii="Times New Roman" w:hAnsi="Times New Roman" w:eastAsia="等线" w:cs="Times New Roman"/>
                <w:i w:val="0"/>
                <w:iCs w:val="0"/>
                <w:color w:val="000000"/>
                <w:kern w:val="0"/>
                <w:sz w:val="21"/>
                <w:szCs w:val="21"/>
                <w:u w:val="none"/>
                <w:lang w:val="en-US" w:eastAsia="zh-CN" w:bidi="ar"/>
              </w:rPr>
              <w:t>102.55</w:t>
            </w:r>
          </w:p>
        </w:tc>
      </w:tr>
      <w:tr w14:paraId="3A147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59" w:type="dxa"/>
            <w:vAlign w:val="center"/>
          </w:tcPr>
          <w:p w14:paraId="7BFE3F72">
            <w:pPr>
              <w:keepNext w:val="0"/>
              <w:keepLines w:val="0"/>
              <w:widowControl/>
              <w:suppressLineNumbers w:val="0"/>
              <w:jc w:val="center"/>
              <w:textAlignment w:val="bottom"/>
              <w:rPr>
                <w:rFonts w:hint="default" w:ascii="Times New Roman" w:hAnsi="Times New Roman" w:cs="Times New Roman"/>
                <w:sz w:val="21"/>
                <w:szCs w:val="21"/>
              </w:rPr>
            </w:pPr>
            <w:r>
              <w:rPr>
                <w:rFonts w:hint="default" w:ascii="Times New Roman" w:hAnsi="Times New Roman" w:eastAsia="等线" w:cs="Times New Roman"/>
                <w:i w:val="0"/>
                <w:iCs w:val="0"/>
                <w:color w:val="000000"/>
                <w:kern w:val="0"/>
                <w:sz w:val="21"/>
                <w:szCs w:val="21"/>
                <w:u w:val="none"/>
                <w:lang w:val="en-US" w:eastAsia="zh-CN" w:bidi="ar"/>
              </w:rPr>
              <w:t>0.0599</w:t>
            </w:r>
          </w:p>
        </w:tc>
        <w:tc>
          <w:tcPr>
            <w:tcW w:w="1416" w:type="dxa"/>
            <w:vAlign w:val="center"/>
          </w:tcPr>
          <w:p w14:paraId="63D4F0E6">
            <w:pPr>
              <w:keepNext w:val="0"/>
              <w:keepLines w:val="0"/>
              <w:widowControl/>
              <w:suppressLineNumbers w:val="0"/>
              <w:jc w:val="center"/>
              <w:textAlignment w:val="bottom"/>
              <w:rPr>
                <w:rFonts w:hint="default" w:ascii="Times New Roman" w:hAnsi="Times New Roman" w:eastAsia="等线" w:cs="Times New Roman"/>
                <w:sz w:val="21"/>
                <w:szCs w:val="21"/>
              </w:rPr>
            </w:pPr>
            <w:r>
              <w:rPr>
                <w:rFonts w:hint="default" w:ascii="Times New Roman" w:hAnsi="Times New Roman" w:eastAsia="等线" w:cs="Times New Roman"/>
                <w:i w:val="0"/>
                <w:iCs w:val="0"/>
                <w:color w:val="000000"/>
                <w:kern w:val="0"/>
                <w:sz w:val="21"/>
                <w:szCs w:val="21"/>
                <w:u w:val="none"/>
                <w:lang w:val="en-US" w:eastAsia="zh-CN" w:bidi="ar"/>
              </w:rPr>
              <w:t>1.486</w:t>
            </w:r>
          </w:p>
        </w:tc>
        <w:tc>
          <w:tcPr>
            <w:tcW w:w="1560" w:type="dxa"/>
            <w:vAlign w:val="center"/>
          </w:tcPr>
          <w:p w14:paraId="7B2A8463">
            <w:pPr>
              <w:keepNext w:val="0"/>
              <w:keepLines w:val="0"/>
              <w:widowControl/>
              <w:suppressLineNumbers w:val="0"/>
              <w:jc w:val="center"/>
              <w:textAlignment w:val="bottom"/>
              <w:rPr>
                <w:rFonts w:hint="default" w:ascii="Times New Roman" w:hAnsi="Times New Roman" w:cs="Times New Roman"/>
                <w:sz w:val="21"/>
                <w:szCs w:val="21"/>
                <w:lang w:val="en-US"/>
              </w:rPr>
            </w:pPr>
            <w:r>
              <w:rPr>
                <w:rFonts w:hint="default" w:ascii="Times New Roman" w:hAnsi="Times New Roman" w:eastAsia="等线" w:cs="Times New Roman"/>
                <w:i w:val="0"/>
                <w:iCs w:val="0"/>
                <w:color w:val="000000"/>
                <w:kern w:val="0"/>
                <w:sz w:val="21"/>
                <w:szCs w:val="21"/>
                <w:u w:val="none"/>
                <w:lang w:val="en-US" w:eastAsia="zh-CN" w:bidi="ar"/>
              </w:rPr>
              <w:t>0.0610</w:t>
            </w:r>
          </w:p>
        </w:tc>
        <w:tc>
          <w:tcPr>
            <w:tcW w:w="1703" w:type="dxa"/>
            <w:vAlign w:val="center"/>
          </w:tcPr>
          <w:p w14:paraId="2925CC31">
            <w:pPr>
              <w:keepNext w:val="0"/>
              <w:keepLines w:val="0"/>
              <w:widowControl/>
              <w:suppressLineNumbers w:val="0"/>
              <w:jc w:val="center"/>
              <w:textAlignment w:val="bottom"/>
              <w:rPr>
                <w:rFonts w:hint="default" w:ascii="Times New Roman" w:hAnsi="Times New Roman" w:cs="Times New Roman"/>
                <w:sz w:val="21"/>
                <w:szCs w:val="21"/>
              </w:rPr>
            </w:pPr>
            <w:r>
              <w:rPr>
                <w:rFonts w:hint="default" w:ascii="Times New Roman" w:hAnsi="Times New Roman" w:eastAsia="等线" w:cs="Times New Roman"/>
                <w:i w:val="0"/>
                <w:iCs w:val="0"/>
                <w:color w:val="000000"/>
                <w:kern w:val="0"/>
                <w:sz w:val="21"/>
                <w:szCs w:val="21"/>
                <w:u w:val="none"/>
                <w:lang w:val="en-US" w:eastAsia="zh-CN" w:bidi="ar"/>
              </w:rPr>
              <w:t>2.050</w:t>
            </w:r>
          </w:p>
        </w:tc>
        <w:tc>
          <w:tcPr>
            <w:tcW w:w="1389" w:type="dxa"/>
            <w:vAlign w:val="center"/>
          </w:tcPr>
          <w:p w14:paraId="2A1741F4">
            <w:pPr>
              <w:keepNext w:val="0"/>
              <w:keepLines w:val="0"/>
              <w:widowControl/>
              <w:suppressLineNumbers w:val="0"/>
              <w:jc w:val="center"/>
              <w:textAlignment w:val="bottom"/>
              <w:rPr>
                <w:rFonts w:hint="default" w:ascii="Times New Roman" w:hAnsi="Times New Roman" w:eastAsia="等线" w:cs="Times New Roman"/>
                <w:sz w:val="21"/>
                <w:szCs w:val="21"/>
              </w:rPr>
            </w:pPr>
            <w:r>
              <w:rPr>
                <w:rFonts w:hint="default" w:ascii="Times New Roman" w:hAnsi="Times New Roman" w:eastAsia="等线" w:cs="Times New Roman"/>
                <w:i w:val="0"/>
                <w:iCs w:val="0"/>
                <w:color w:val="000000"/>
                <w:kern w:val="0"/>
                <w:sz w:val="21"/>
                <w:szCs w:val="21"/>
                <w:u w:val="none"/>
                <w:lang w:val="en-US" w:eastAsia="zh-CN" w:bidi="ar"/>
              </w:rPr>
              <w:t>3.517</w:t>
            </w:r>
          </w:p>
        </w:tc>
        <w:tc>
          <w:tcPr>
            <w:tcW w:w="1495" w:type="dxa"/>
            <w:vAlign w:val="center"/>
          </w:tcPr>
          <w:p w14:paraId="5949F26C">
            <w:pPr>
              <w:keepNext w:val="0"/>
              <w:keepLines w:val="0"/>
              <w:widowControl/>
              <w:suppressLineNumbers w:val="0"/>
              <w:jc w:val="center"/>
              <w:textAlignment w:val="bottom"/>
              <w:rPr>
                <w:rFonts w:hint="default" w:ascii="Times New Roman" w:hAnsi="Times New Roman" w:cs="Times New Roman"/>
                <w:sz w:val="21"/>
                <w:szCs w:val="21"/>
              </w:rPr>
            </w:pPr>
            <w:r>
              <w:rPr>
                <w:rFonts w:hint="default" w:ascii="Times New Roman" w:hAnsi="Times New Roman" w:eastAsia="等线" w:cs="Times New Roman"/>
                <w:i w:val="0"/>
                <w:iCs w:val="0"/>
                <w:color w:val="000000"/>
                <w:kern w:val="0"/>
                <w:sz w:val="21"/>
                <w:szCs w:val="21"/>
                <w:u w:val="none"/>
                <w:lang w:val="en-US" w:eastAsia="zh-CN" w:bidi="ar"/>
              </w:rPr>
              <w:t>99.11</w:t>
            </w:r>
          </w:p>
        </w:tc>
      </w:tr>
      <w:tr w14:paraId="5488E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959" w:type="dxa"/>
            <w:vAlign w:val="center"/>
          </w:tcPr>
          <w:p w14:paraId="3CBDC52B">
            <w:pPr>
              <w:keepNext w:val="0"/>
              <w:keepLines w:val="0"/>
              <w:widowControl/>
              <w:suppressLineNumbers w:val="0"/>
              <w:jc w:val="center"/>
              <w:textAlignment w:val="bottom"/>
              <w:rPr>
                <w:rFonts w:hint="default" w:ascii="Times New Roman" w:hAnsi="Times New Roman" w:cs="Times New Roman"/>
                <w:sz w:val="21"/>
                <w:szCs w:val="21"/>
                <w:lang w:val="en-US"/>
              </w:rPr>
            </w:pPr>
            <w:r>
              <w:rPr>
                <w:rFonts w:hint="default" w:ascii="Times New Roman" w:hAnsi="Times New Roman" w:eastAsia="等线" w:cs="Times New Roman"/>
                <w:i w:val="0"/>
                <w:iCs w:val="0"/>
                <w:color w:val="000000"/>
                <w:kern w:val="0"/>
                <w:sz w:val="21"/>
                <w:szCs w:val="21"/>
                <w:u w:val="none"/>
                <w:lang w:val="en-US" w:eastAsia="zh-CN" w:bidi="ar"/>
              </w:rPr>
              <w:t>0.0500</w:t>
            </w:r>
          </w:p>
        </w:tc>
        <w:tc>
          <w:tcPr>
            <w:tcW w:w="1416" w:type="dxa"/>
            <w:vAlign w:val="center"/>
          </w:tcPr>
          <w:p w14:paraId="5741C7DB">
            <w:pPr>
              <w:keepNext w:val="0"/>
              <w:keepLines w:val="0"/>
              <w:widowControl/>
              <w:suppressLineNumbers w:val="0"/>
              <w:jc w:val="center"/>
              <w:textAlignment w:val="bottom"/>
              <w:rPr>
                <w:rFonts w:hint="default" w:ascii="Times New Roman" w:hAnsi="Times New Roman" w:eastAsia="等线" w:cs="Times New Roman"/>
                <w:sz w:val="21"/>
                <w:szCs w:val="21"/>
              </w:rPr>
            </w:pPr>
            <w:r>
              <w:rPr>
                <w:rFonts w:hint="default" w:ascii="Times New Roman" w:hAnsi="Times New Roman" w:eastAsia="等线" w:cs="Times New Roman"/>
                <w:i w:val="0"/>
                <w:iCs w:val="0"/>
                <w:color w:val="000000"/>
                <w:kern w:val="0"/>
                <w:sz w:val="21"/>
                <w:szCs w:val="21"/>
                <w:u w:val="none"/>
                <w:lang w:val="en-US" w:eastAsia="zh-CN" w:bidi="ar"/>
              </w:rPr>
              <w:t>1.240</w:t>
            </w:r>
          </w:p>
        </w:tc>
        <w:tc>
          <w:tcPr>
            <w:tcW w:w="1560" w:type="dxa"/>
            <w:vAlign w:val="center"/>
          </w:tcPr>
          <w:p w14:paraId="119CF01B">
            <w:pPr>
              <w:keepNext w:val="0"/>
              <w:keepLines w:val="0"/>
              <w:widowControl/>
              <w:suppressLineNumbers w:val="0"/>
              <w:jc w:val="center"/>
              <w:textAlignment w:val="bottom"/>
              <w:rPr>
                <w:rFonts w:hint="default" w:ascii="Times New Roman" w:hAnsi="Times New Roman" w:cs="Times New Roman"/>
                <w:sz w:val="21"/>
                <w:szCs w:val="21"/>
              </w:rPr>
            </w:pPr>
            <w:r>
              <w:rPr>
                <w:rFonts w:hint="default" w:ascii="Times New Roman" w:hAnsi="Times New Roman" w:eastAsia="等线" w:cs="Times New Roman"/>
                <w:i w:val="0"/>
                <w:iCs w:val="0"/>
                <w:color w:val="000000"/>
                <w:kern w:val="0"/>
                <w:sz w:val="21"/>
                <w:szCs w:val="21"/>
                <w:u w:val="none"/>
                <w:lang w:val="en-US" w:eastAsia="zh-CN" w:bidi="ar"/>
              </w:rPr>
              <w:t>0.0506</w:t>
            </w:r>
          </w:p>
        </w:tc>
        <w:tc>
          <w:tcPr>
            <w:tcW w:w="1703" w:type="dxa"/>
            <w:vAlign w:val="center"/>
          </w:tcPr>
          <w:p w14:paraId="4CB40397">
            <w:pPr>
              <w:keepNext w:val="0"/>
              <w:keepLines w:val="0"/>
              <w:widowControl/>
              <w:suppressLineNumbers w:val="0"/>
              <w:jc w:val="center"/>
              <w:textAlignment w:val="bottom"/>
              <w:rPr>
                <w:rFonts w:hint="default" w:ascii="Times New Roman" w:hAnsi="Times New Roman" w:cs="Times New Roman"/>
                <w:sz w:val="21"/>
                <w:szCs w:val="21"/>
              </w:rPr>
            </w:pPr>
            <w:r>
              <w:rPr>
                <w:rFonts w:hint="default" w:ascii="Times New Roman" w:hAnsi="Times New Roman" w:eastAsia="等线" w:cs="Times New Roman"/>
                <w:i w:val="0"/>
                <w:iCs w:val="0"/>
                <w:color w:val="000000"/>
                <w:kern w:val="0"/>
                <w:sz w:val="21"/>
                <w:szCs w:val="21"/>
                <w:u w:val="none"/>
                <w:lang w:val="en-US" w:eastAsia="zh-CN" w:bidi="ar"/>
              </w:rPr>
              <w:t>1.700</w:t>
            </w:r>
          </w:p>
        </w:tc>
        <w:tc>
          <w:tcPr>
            <w:tcW w:w="1389" w:type="dxa"/>
            <w:vAlign w:val="center"/>
          </w:tcPr>
          <w:p w14:paraId="30FA9225">
            <w:pPr>
              <w:keepNext w:val="0"/>
              <w:keepLines w:val="0"/>
              <w:widowControl/>
              <w:suppressLineNumbers w:val="0"/>
              <w:jc w:val="center"/>
              <w:textAlignment w:val="bottom"/>
              <w:rPr>
                <w:rFonts w:hint="default" w:ascii="Times New Roman" w:hAnsi="Times New Roman" w:eastAsia="等线" w:cs="Times New Roman"/>
                <w:sz w:val="21"/>
                <w:szCs w:val="21"/>
              </w:rPr>
            </w:pPr>
            <w:r>
              <w:rPr>
                <w:rFonts w:hint="default" w:ascii="Times New Roman" w:hAnsi="Times New Roman" w:eastAsia="等线" w:cs="Times New Roman"/>
                <w:i w:val="0"/>
                <w:iCs w:val="0"/>
                <w:color w:val="000000"/>
                <w:kern w:val="0"/>
                <w:sz w:val="21"/>
                <w:szCs w:val="21"/>
                <w:u w:val="none"/>
                <w:lang w:val="en-US" w:eastAsia="zh-CN" w:bidi="ar"/>
              </w:rPr>
              <w:t>2.955</w:t>
            </w:r>
          </w:p>
        </w:tc>
        <w:tc>
          <w:tcPr>
            <w:tcW w:w="1495" w:type="dxa"/>
            <w:vAlign w:val="center"/>
          </w:tcPr>
          <w:p w14:paraId="17C56A90">
            <w:pPr>
              <w:keepNext w:val="0"/>
              <w:keepLines w:val="0"/>
              <w:widowControl/>
              <w:suppressLineNumbers w:val="0"/>
              <w:jc w:val="center"/>
              <w:textAlignment w:val="bottom"/>
              <w:rPr>
                <w:rFonts w:hint="default" w:ascii="Times New Roman" w:hAnsi="Times New Roman" w:eastAsia="等线" w:cs="Times New Roman"/>
                <w:sz w:val="21"/>
                <w:szCs w:val="21"/>
              </w:rPr>
            </w:pPr>
            <w:r>
              <w:rPr>
                <w:rFonts w:hint="default" w:ascii="Times New Roman" w:hAnsi="Times New Roman" w:eastAsia="等线" w:cs="Times New Roman"/>
                <w:i w:val="0"/>
                <w:iCs w:val="0"/>
                <w:color w:val="000000"/>
                <w:kern w:val="0"/>
                <w:sz w:val="21"/>
                <w:szCs w:val="21"/>
                <w:u w:val="none"/>
                <w:lang w:val="en-US" w:eastAsia="zh-CN" w:bidi="ar"/>
              </w:rPr>
              <w:t>100.85</w:t>
            </w:r>
          </w:p>
        </w:tc>
      </w:tr>
      <w:tr w14:paraId="1EEDE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959" w:type="dxa"/>
            <w:vAlign w:val="center"/>
          </w:tcPr>
          <w:p w14:paraId="3D42C897">
            <w:pPr>
              <w:keepNext w:val="0"/>
              <w:keepLines w:val="0"/>
              <w:widowControl/>
              <w:suppressLineNumbers w:val="0"/>
              <w:jc w:val="center"/>
              <w:textAlignment w:val="bottom"/>
              <w:rPr>
                <w:rFonts w:hint="default" w:ascii="Times New Roman" w:hAnsi="Times New Roman" w:eastAsia="等线" w:cs="Times New Roman"/>
                <w:color w:val="000000"/>
                <w:sz w:val="21"/>
                <w:szCs w:val="21"/>
              </w:rPr>
            </w:pPr>
            <w:r>
              <w:rPr>
                <w:rFonts w:hint="default" w:ascii="Times New Roman" w:hAnsi="Times New Roman" w:eastAsia="等线" w:cs="Times New Roman"/>
                <w:i w:val="0"/>
                <w:iCs w:val="0"/>
                <w:color w:val="000000"/>
                <w:kern w:val="0"/>
                <w:sz w:val="21"/>
                <w:szCs w:val="21"/>
                <w:u w:val="none"/>
                <w:lang w:val="en-US" w:eastAsia="zh-CN" w:bidi="ar"/>
              </w:rPr>
              <w:t>0.0685</w:t>
            </w:r>
          </w:p>
        </w:tc>
        <w:tc>
          <w:tcPr>
            <w:tcW w:w="1416" w:type="dxa"/>
            <w:vAlign w:val="center"/>
          </w:tcPr>
          <w:p w14:paraId="59AA6296">
            <w:pPr>
              <w:keepNext w:val="0"/>
              <w:keepLines w:val="0"/>
              <w:widowControl/>
              <w:suppressLineNumbers w:val="0"/>
              <w:jc w:val="center"/>
              <w:textAlignment w:val="bottom"/>
              <w:rPr>
                <w:rFonts w:hint="default" w:ascii="Times New Roman" w:hAnsi="Times New Roman" w:eastAsia="等线" w:cs="Times New Roman"/>
                <w:color w:val="000000"/>
                <w:sz w:val="21"/>
                <w:szCs w:val="21"/>
              </w:rPr>
            </w:pPr>
            <w:r>
              <w:rPr>
                <w:rFonts w:hint="default" w:ascii="Times New Roman" w:hAnsi="Times New Roman" w:eastAsia="等线" w:cs="Times New Roman"/>
                <w:i w:val="0"/>
                <w:iCs w:val="0"/>
                <w:color w:val="000000"/>
                <w:kern w:val="0"/>
                <w:sz w:val="21"/>
                <w:szCs w:val="21"/>
                <w:u w:val="none"/>
                <w:lang w:val="en-US" w:eastAsia="zh-CN" w:bidi="ar"/>
              </w:rPr>
              <w:t>1.699</w:t>
            </w:r>
          </w:p>
        </w:tc>
        <w:tc>
          <w:tcPr>
            <w:tcW w:w="1560" w:type="dxa"/>
            <w:vAlign w:val="center"/>
          </w:tcPr>
          <w:p w14:paraId="2ADDC45E">
            <w:pPr>
              <w:keepNext w:val="0"/>
              <w:keepLines w:val="0"/>
              <w:widowControl/>
              <w:suppressLineNumbers w:val="0"/>
              <w:jc w:val="center"/>
              <w:textAlignment w:val="bottom"/>
              <w:rPr>
                <w:rFonts w:hint="default" w:ascii="Times New Roman" w:hAnsi="Times New Roman" w:eastAsia="等线" w:cs="Times New Roman"/>
                <w:color w:val="000000"/>
                <w:sz w:val="21"/>
                <w:szCs w:val="21"/>
              </w:rPr>
            </w:pPr>
            <w:r>
              <w:rPr>
                <w:rFonts w:hint="default" w:ascii="Times New Roman" w:hAnsi="Times New Roman" w:eastAsia="等线" w:cs="Times New Roman"/>
                <w:i w:val="0"/>
                <w:iCs w:val="0"/>
                <w:color w:val="000000"/>
                <w:kern w:val="0"/>
                <w:sz w:val="21"/>
                <w:szCs w:val="21"/>
                <w:u w:val="none"/>
                <w:lang w:val="en-US" w:eastAsia="zh-CN" w:bidi="ar"/>
              </w:rPr>
              <w:t>0.1057</w:t>
            </w:r>
          </w:p>
        </w:tc>
        <w:tc>
          <w:tcPr>
            <w:tcW w:w="1703" w:type="dxa"/>
            <w:vAlign w:val="center"/>
          </w:tcPr>
          <w:p w14:paraId="62D6A747">
            <w:pPr>
              <w:keepNext w:val="0"/>
              <w:keepLines w:val="0"/>
              <w:widowControl/>
              <w:suppressLineNumbers w:val="0"/>
              <w:jc w:val="center"/>
              <w:textAlignment w:val="bottom"/>
              <w:rPr>
                <w:rFonts w:hint="default" w:ascii="Times New Roman" w:hAnsi="Times New Roman" w:eastAsia="等线" w:cs="Times New Roman"/>
                <w:color w:val="000000"/>
                <w:sz w:val="21"/>
                <w:szCs w:val="21"/>
              </w:rPr>
            </w:pPr>
            <w:r>
              <w:rPr>
                <w:rFonts w:hint="default" w:ascii="Times New Roman" w:hAnsi="Times New Roman" w:eastAsia="等线" w:cs="Times New Roman"/>
                <w:i w:val="0"/>
                <w:iCs w:val="0"/>
                <w:color w:val="000000"/>
                <w:kern w:val="0"/>
                <w:sz w:val="21"/>
                <w:szCs w:val="21"/>
                <w:u w:val="none"/>
                <w:lang w:val="en-US" w:eastAsia="zh-CN" w:bidi="ar"/>
              </w:rPr>
              <w:t>3.552</w:t>
            </w:r>
          </w:p>
        </w:tc>
        <w:tc>
          <w:tcPr>
            <w:tcW w:w="1389" w:type="dxa"/>
            <w:vAlign w:val="center"/>
          </w:tcPr>
          <w:p w14:paraId="618CCC00">
            <w:pPr>
              <w:keepNext w:val="0"/>
              <w:keepLines w:val="0"/>
              <w:widowControl/>
              <w:suppressLineNumbers w:val="0"/>
              <w:jc w:val="center"/>
              <w:textAlignment w:val="bottom"/>
              <w:rPr>
                <w:rFonts w:hint="default" w:ascii="Times New Roman" w:hAnsi="Times New Roman" w:eastAsia="等线" w:cs="Times New Roman"/>
                <w:sz w:val="21"/>
                <w:szCs w:val="21"/>
              </w:rPr>
            </w:pPr>
            <w:r>
              <w:rPr>
                <w:rFonts w:hint="default" w:ascii="Times New Roman" w:hAnsi="Times New Roman" w:eastAsia="等线" w:cs="Times New Roman"/>
                <w:i w:val="0"/>
                <w:iCs w:val="0"/>
                <w:color w:val="000000"/>
                <w:kern w:val="0"/>
                <w:sz w:val="21"/>
                <w:szCs w:val="21"/>
                <w:u w:val="none"/>
                <w:lang w:val="en-US" w:eastAsia="zh-CN" w:bidi="ar"/>
              </w:rPr>
              <w:t>5.308</w:t>
            </w:r>
          </w:p>
        </w:tc>
        <w:tc>
          <w:tcPr>
            <w:tcW w:w="1495" w:type="dxa"/>
            <w:vAlign w:val="center"/>
          </w:tcPr>
          <w:p w14:paraId="0C357A40">
            <w:pPr>
              <w:keepNext w:val="0"/>
              <w:keepLines w:val="0"/>
              <w:widowControl/>
              <w:suppressLineNumbers w:val="0"/>
              <w:jc w:val="center"/>
              <w:textAlignment w:val="bottom"/>
              <w:rPr>
                <w:rFonts w:hint="default" w:ascii="Times New Roman" w:hAnsi="Times New Roman" w:eastAsia="等线" w:cs="Times New Roman"/>
                <w:color w:val="000000"/>
                <w:sz w:val="21"/>
                <w:szCs w:val="21"/>
              </w:rPr>
            </w:pPr>
            <w:r>
              <w:rPr>
                <w:rFonts w:hint="default" w:ascii="Times New Roman" w:hAnsi="Times New Roman" w:eastAsia="等线" w:cs="Times New Roman"/>
                <w:i w:val="0"/>
                <w:iCs w:val="0"/>
                <w:color w:val="000000"/>
                <w:kern w:val="0"/>
                <w:sz w:val="21"/>
                <w:szCs w:val="21"/>
                <w:u w:val="none"/>
                <w:lang w:val="en-US" w:eastAsia="zh-CN" w:bidi="ar"/>
              </w:rPr>
              <w:t>101.62</w:t>
            </w:r>
          </w:p>
        </w:tc>
      </w:tr>
      <w:tr w14:paraId="27444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959" w:type="dxa"/>
            <w:vAlign w:val="center"/>
          </w:tcPr>
          <w:p w14:paraId="6C49D82A">
            <w:pPr>
              <w:keepNext w:val="0"/>
              <w:keepLines w:val="0"/>
              <w:widowControl/>
              <w:suppressLineNumbers w:val="0"/>
              <w:jc w:val="center"/>
              <w:textAlignment w:val="bottom"/>
              <w:rPr>
                <w:rFonts w:hint="default" w:ascii="Times New Roman" w:hAnsi="Times New Roman" w:eastAsia="等线" w:cs="Times New Roman"/>
                <w:color w:val="000000"/>
                <w:sz w:val="21"/>
                <w:szCs w:val="21"/>
              </w:rPr>
            </w:pPr>
            <w:r>
              <w:rPr>
                <w:rFonts w:hint="default" w:ascii="Times New Roman" w:hAnsi="Times New Roman" w:eastAsia="等线" w:cs="Times New Roman"/>
                <w:i w:val="0"/>
                <w:iCs w:val="0"/>
                <w:color w:val="000000"/>
                <w:kern w:val="0"/>
                <w:sz w:val="21"/>
                <w:szCs w:val="21"/>
                <w:u w:val="none"/>
                <w:lang w:val="en-US" w:eastAsia="zh-CN" w:bidi="ar"/>
              </w:rPr>
              <w:t>0.0684</w:t>
            </w:r>
          </w:p>
        </w:tc>
        <w:tc>
          <w:tcPr>
            <w:tcW w:w="1416" w:type="dxa"/>
            <w:vAlign w:val="center"/>
          </w:tcPr>
          <w:p w14:paraId="521F74ED">
            <w:pPr>
              <w:keepNext w:val="0"/>
              <w:keepLines w:val="0"/>
              <w:widowControl/>
              <w:suppressLineNumbers w:val="0"/>
              <w:jc w:val="center"/>
              <w:textAlignment w:val="bottom"/>
              <w:rPr>
                <w:rFonts w:hint="default" w:ascii="Times New Roman" w:hAnsi="Times New Roman" w:eastAsia="等线" w:cs="Times New Roman"/>
                <w:color w:val="000000"/>
                <w:sz w:val="21"/>
                <w:szCs w:val="21"/>
              </w:rPr>
            </w:pPr>
            <w:r>
              <w:rPr>
                <w:rFonts w:hint="default" w:ascii="Times New Roman" w:hAnsi="Times New Roman" w:eastAsia="等线" w:cs="Times New Roman"/>
                <w:i w:val="0"/>
                <w:iCs w:val="0"/>
                <w:color w:val="000000"/>
                <w:kern w:val="0"/>
                <w:sz w:val="21"/>
                <w:szCs w:val="21"/>
                <w:u w:val="none"/>
                <w:lang w:val="en-US" w:eastAsia="zh-CN" w:bidi="ar"/>
              </w:rPr>
              <w:t>1.696</w:t>
            </w:r>
          </w:p>
        </w:tc>
        <w:tc>
          <w:tcPr>
            <w:tcW w:w="1560" w:type="dxa"/>
            <w:vAlign w:val="center"/>
          </w:tcPr>
          <w:p w14:paraId="116E7500">
            <w:pPr>
              <w:keepNext w:val="0"/>
              <w:keepLines w:val="0"/>
              <w:widowControl/>
              <w:suppressLineNumbers w:val="0"/>
              <w:jc w:val="center"/>
              <w:textAlignment w:val="bottom"/>
              <w:rPr>
                <w:rFonts w:hint="default" w:ascii="Times New Roman" w:hAnsi="Times New Roman" w:eastAsia="等线" w:cs="Times New Roman"/>
                <w:color w:val="000000"/>
                <w:sz w:val="21"/>
                <w:szCs w:val="21"/>
              </w:rPr>
            </w:pPr>
            <w:r>
              <w:rPr>
                <w:rFonts w:hint="default" w:ascii="Times New Roman" w:hAnsi="Times New Roman" w:eastAsia="等线" w:cs="Times New Roman"/>
                <w:i w:val="0"/>
                <w:iCs w:val="0"/>
                <w:color w:val="000000"/>
                <w:kern w:val="0"/>
                <w:sz w:val="21"/>
                <w:szCs w:val="21"/>
                <w:u w:val="none"/>
                <w:lang w:val="en-US" w:eastAsia="zh-CN" w:bidi="ar"/>
              </w:rPr>
              <w:t>0.0642</w:t>
            </w:r>
          </w:p>
        </w:tc>
        <w:tc>
          <w:tcPr>
            <w:tcW w:w="1703" w:type="dxa"/>
            <w:vAlign w:val="center"/>
          </w:tcPr>
          <w:p w14:paraId="684DA201">
            <w:pPr>
              <w:keepNext w:val="0"/>
              <w:keepLines w:val="0"/>
              <w:widowControl/>
              <w:suppressLineNumbers w:val="0"/>
              <w:jc w:val="center"/>
              <w:textAlignment w:val="bottom"/>
              <w:rPr>
                <w:rFonts w:hint="default" w:ascii="Times New Roman" w:hAnsi="Times New Roman" w:eastAsia="等线" w:cs="Times New Roman"/>
                <w:color w:val="000000"/>
                <w:sz w:val="21"/>
                <w:szCs w:val="21"/>
              </w:rPr>
            </w:pPr>
            <w:r>
              <w:rPr>
                <w:rFonts w:hint="default" w:ascii="Times New Roman" w:hAnsi="Times New Roman" w:eastAsia="等线" w:cs="Times New Roman"/>
                <w:i w:val="0"/>
                <w:iCs w:val="0"/>
                <w:color w:val="000000"/>
                <w:kern w:val="0"/>
                <w:sz w:val="21"/>
                <w:szCs w:val="21"/>
                <w:u w:val="none"/>
                <w:lang w:val="en-US" w:eastAsia="zh-CN" w:bidi="ar"/>
              </w:rPr>
              <w:t>2.157</w:t>
            </w:r>
          </w:p>
        </w:tc>
        <w:tc>
          <w:tcPr>
            <w:tcW w:w="1389" w:type="dxa"/>
            <w:vAlign w:val="center"/>
          </w:tcPr>
          <w:p w14:paraId="370884F2">
            <w:pPr>
              <w:keepNext w:val="0"/>
              <w:keepLines w:val="0"/>
              <w:widowControl/>
              <w:suppressLineNumbers w:val="0"/>
              <w:jc w:val="center"/>
              <w:textAlignment w:val="bottom"/>
              <w:rPr>
                <w:rFonts w:hint="default" w:ascii="Times New Roman" w:hAnsi="Times New Roman" w:eastAsia="等线" w:cs="Times New Roman"/>
                <w:sz w:val="21"/>
                <w:szCs w:val="21"/>
              </w:rPr>
            </w:pPr>
            <w:r>
              <w:rPr>
                <w:rFonts w:hint="default" w:ascii="Times New Roman" w:hAnsi="Times New Roman" w:eastAsia="等线" w:cs="Times New Roman"/>
                <w:i w:val="0"/>
                <w:iCs w:val="0"/>
                <w:color w:val="000000"/>
                <w:kern w:val="0"/>
                <w:sz w:val="21"/>
                <w:szCs w:val="21"/>
                <w:u w:val="none"/>
                <w:lang w:val="en-US" w:eastAsia="zh-CN" w:bidi="ar"/>
              </w:rPr>
              <w:t>3.913</w:t>
            </w:r>
          </w:p>
        </w:tc>
        <w:tc>
          <w:tcPr>
            <w:tcW w:w="1495" w:type="dxa"/>
            <w:vAlign w:val="center"/>
          </w:tcPr>
          <w:p w14:paraId="20527172">
            <w:pPr>
              <w:keepNext w:val="0"/>
              <w:keepLines w:val="0"/>
              <w:widowControl/>
              <w:suppressLineNumbers w:val="0"/>
              <w:jc w:val="center"/>
              <w:textAlignment w:val="bottom"/>
              <w:rPr>
                <w:rFonts w:hint="default" w:ascii="Times New Roman" w:hAnsi="Times New Roman" w:eastAsia="等线" w:cs="Times New Roman"/>
                <w:color w:val="000000"/>
                <w:sz w:val="21"/>
                <w:szCs w:val="21"/>
              </w:rPr>
            </w:pPr>
            <w:r>
              <w:rPr>
                <w:rFonts w:hint="default" w:ascii="Times New Roman" w:hAnsi="Times New Roman" w:eastAsia="等线" w:cs="Times New Roman"/>
                <w:i w:val="0"/>
                <w:iCs w:val="0"/>
                <w:color w:val="000000"/>
                <w:kern w:val="0"/>
                <w:sz w:val="21"/>
                <w:szCs w:val="21"/>
                <w:u w:val="none"/>
                <w:lang w:val="en-US" w:eastAsia="zh-CN" w:bidi="ar"/>
              </w:rPr>
              <w:t>102.76</w:t>
            </w:r>
          </w:p>
        </w:tc>
      </w:tr>
      <w:tr w14:paraId="5445C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959" w:type="dxa"/>
            <w:vAlign w:val="center"/>
          </w:tcPr>
          <w:p w14:paraId="4BFD183C">
            <w:pPr>
              <w:keepNext w:val="0"/>
              <w:keepLines w:val="0"/>
              <w:widowControl/>
              <w:suppressLineNumbers w:val="0"/>
              <w:jc w:val="center"/>
              <w:textAlignment w:val="bottom"/>
              <w:rPr>
                <w:rFonts w:hint="default" w:ascii="Times New Roman" w:hAnsi="Times New Roman" w:eastAsia="等线" w:cs="Times New Roman"/>
                <w:i w:val="0"/>
                <w:iCs w:val="0"/>
                <w:color w:val="000000"/>
                <w:kern w:val="0"/>
                <w:sz w:val="21"/>
                <w:szCs w:val="21"/>
                <w:u w:val="none"/>
                <w:lang w:val="en-US" w:eastAsia="zh-CN" w:bidi="ar"/>
              </w:rPr>
            </w:pPr>
            <w:r>
              <w:rPr>
                <w:rFonts w:hint="default" w:ascii="Times New Roman" w:hAnsi="Times New Roman" w:eastAsia="等线" w:cs="Times New Roman"/>
                <w:i w:val="0"/>
                <w:iCs w:val="0"/>
                <w:color w:val="000000"/>
                <w:kern w:val="0"/>
                <w:sz w:val="21"/>
                <w:szCs w:val="21"/>
                <w:u w:val="none"/>
                <w:lang w:val="en-US" w:eastAsia="zh-CN" w:bidi="ar"/>
              </w:rPr>
              <w:t>0.0518</w:t>
            </w:r>
          </w:p>
        </w:tc>
        <w:tc>
          <w:tcPr>
            <w:tcW w:w="1416" w:type="dxa"/>
            <w:vAlign w:val="center"/>
          </w:tcPr>
          <w:p w14:paraId="57B4C56F">
            <w:pPr>
              <w:keepNext w:val="0"/>
              <w:keepLines w:val="0"/>
              <w:widowControl/>
              <w:suppressLineNumbers w:val="0"/>
              <w:jc w:val="center"/>
              <w:textAlignment w:val="bottom"/>
              <w:rPr>
                <w:rFonts w:hint="default" w:ascii="Times New Roman" w:hAnsi="Times New Roman" w:eastAsia="等线" w:cs="Times New Roman"/>
                <w:color w:val="000000"/>
                <w:sz w:val="21"/>
                <w:szCs w:val="21"/>
              </w:rPr>
            </w:pPr>
            <w:r>
              <w:rPr>
                <w:rFonts w:hint="default" w:ascii="Times New Roman" w:hAnsi="Times New Roman" w:eastAsia="等线" w:cs="Times New Roman"/>
                <w:i w:val="0"/>
                <w:iCs w:val="0"/>
                <w:color w:val="000000"/>
                <w:kern w:val="0"/>
                <w:sz w:val="21"/>
                <w:szCs w:val="21"/>
                <w:u w:val="none"/>
                <w:lang w:val="en-US" w:eastAsia="zh-CN" w:bidi="ar"/>
              </w:rPr>
              <w:t>1.285</w:t>
            </w:r>
          </w:p>
        </w:tc>
        <w:tc>
          <w:tcPr>
            <w:tcW w:w="1560" w:type="dxa"/>
            <w:vAlign w:val="center"/>
          </w:tcPr>
          <w:p w14:paraId="18ED2F3C">
            <w:pPr>
              <w:keepNext w:val="0"/>
              <w:keepLines w:val="0"/>
              <w:widowControl/>
              <w:suppressLineNumbers w:val="0"/>
              <w:jc w:val="center"/>
              <w:textAlignment w:val="bottom"/>
              <w:rPr>
                <w:rFonts w:hint="default" w:ascii="Times New Roman" w:hAnsi="Times New Roman" w:eastAsia="等线" w:cs="Times New Roman"/>
                <w:color w:val="000000"/>
                <w:sz w:val="21"/>
                <w:szCs w:val="21"/>
              </w:rPr>
            </w:pPr>
            <w:r>
              <w:rPr>
                <w:rFonts w:hint="default" w:ascii="Times New Roman" w:hAnsi="Times New Roman" w:eastAsia="等线" w:cs="Times New Roman"/>
                <w:i w:val="0"/>
                <w:iCs w:val="0"/>
                <w:color w:val="000000"/>
                <w:kern w:val="0"/>
                <w:sz w:val="21"/>
                <w:szCs w:val="21"/>
                <w:u w:val="none"/>
                <w:lang w:val="en-US" w:eastAsia="zh-CN" w:bidi="ar"/>
              </w:rPr>
              <w:t>0.0503</w:t>
            </w:r>
          </w:p>
        </w:tc>
        <w:tc>
          <w:tcPr>
            <w:tcW w:w="1703" w:type="dxa"/>
            <w:vAlign w:val="center"/>
          </w:tcPr>
          <w:p w14:paraId="1B85ECF1">
            <w:pPr>
              <w:keepNext w:val="0"/>
              <w:keepLines w:val="0"/>
              <w:widowControl/>
              <w:suppressLineNumbers w:val="0"/>
              <w:jc w:val="center"/>
              <w:textAlignment w:val="bottom"/>
              <w:rPr>
                <w:rFonts w:hint="default" w:ascii="Times New Roman" w:hAnsi="Times New Roman" w:eastAsia="等线" w:cs="Times New Roman"/>
                <w:color w:val="000000"/>
                <w:sz w:val="21"/>
                <w:szCs w:val="21"/>
              </w:rPr>
            </w:pPr>
            <w:r>
              <w:rPr>
                <w:rFonts w:hint="default" w:ascii="Times New Roman" w:hAnsi="Times New Roman" w:eastAsia="等线" w:cs="Times New Roman"/>
                <w:i w:val="0"/>
                <w:iCs w:val="0"/>
                <w:color w:val="000000"/>
                <w:kern w:val="0"/>
                <w:sz w:val="21"/>
                <w:szCs w:val="21"/>
                <w:u w:val="none"/>
                <w:lang w:val="en-US" w:eastAsia="zh-CN" w:bidi="ar"/>
              </w:rPr>
              <w:t>1.690</w:t>
            </w:r>
          </w:p>
        </w:tc>
        <w:tc>
          <w:tcPr>
            <w:tcW w:w="1389" w:type="dxa"/>
            <w:vAlign w:val="center"/>
          </w:tcPr>
          <w:p w14:paraId="5512D328">
            <w:pPr>
              <w:keepNext w:val="0"/>
              <w:keepLines w:val="0"/>
              <w:widowControl/>
              <w:suppressLineNumbers w:val="0"/>
              <w:jc w:val="center"/>
              <w:textAlignment w:val="bottom"/>
              <w:rPr>
                <w:rFonts w:hint="default" w:ascii="Times New Roman" w:hAnsi="Times New Roman" w:eastAsia="等线" w:cs="Times New Roman"/>
                <w:sz w:val="21"/>
                <w:szCs w:val="21"/>
              </w:rPr>
            </w:pPr>
            <w:r>
              <w:rPr>
                <w:rFonts w:hint="default" w:ascii="Times New Roman" w:hAnsi="Times New Roman" w:eastAsia="等线" w:cs="Times New Roman"/>
                <w:i w:val="0"/>
                <w:iCs w:val="0"/>
                <w:color w:val="000000"/>
                <w:kern w:val="0"/>
                <w:sz w:val="21"/>
                <w:szCs w:val="21"/>
                <w:u w:val="none"/>
                <w:lang w:val="en-US" w:eastAsia="zh-CN" w:bidi="ar"/>
              </w:rPr>
              <w:t>2.989</w:t>
            </w:r>
          </w:p>
        </w:tc>
        <w:tc>
          <w:tcPr>
            <w:tcW w:w="1495" w:type="dxa"/>
            <w:vAlign w:val="center"/>
          </w:tcPr>
          <w:p w14:paraId="148683E1">
            <w:pPr>
              <w:keepNext w:val="0"/>
              <w:keepLines w:val="0"/>
              <w:widowControl/>
              <w:suppressLineNumbers w:val="0"/>
              <w:jc w:val="center"/>
              <w:textAlignment w:val="bottom"/>
              <w:rPr>
                <w:rFonts w:hint="default" w:ascii="Times New Roman" w:hAnsi="Times New Roman" w:eastAsia="等线" w:cs="Times New Roman"/>
                <w:color w:val="000000"/>
                <w:sz w:val="21"/>
                <w:szCs w:val="21"/>
              </w:rPr>
            </w:pPr>
            <w:r>
              <w:rPr>
                <w:rFonts w:hint="default" w:ascii="Times New Roman" w:hAnsi="Times New Roman" w:eastAsia="等线" w:cs="Times New Roman"/>
                <w:i w:val="0"/>
                <w:iCs w:val="0"/>
                <w:color w:val="000000"/>
                <w:kern w:val="0"/>
                <w:sz w:val="21"/>
                <w:szCs w:val="21"/>
                <w:u w:val="none"/>
                <w:lang w:val="en-US" w:eastAsia="zh-CN" w:bidi="ar"/>
              </w:rPr>
              <w:t>100.87</w:t>
            </w:r>
          </w:p>
        </w:tc>
      </w:tr>
    </w:tbl>
    <w:p w14:paraId="6A1D478B">
      <w:pPr>
        <w:spacing w:line="360" w:lineRule="auto"/>
        <w:jc w:val="center"/>
      </w:pPr>
      <w:r>
        <w:t>表</w:t>
      </w:r>
      <w:r>
        <w:rPr>
          <w:rFonts w:hint="eastAsia"/>
        </w:rPr>
        <w:t>8</w:t>
      </w:r>
      <w:r>
        <w:t xml:space="preserve"> 硫的加标回收试验</w:t>
      </w:r>
    </w:p>
    <w:tbl>
      <w:tblPr>
        <w:tblStyle w:val="9"/>
        <w:tblpPr w:leftFromText="180" w:rightFromText="180" w:vertAnchor="text" w:horzAnchor="margin" w:tblpXSpec="center" w:tblpY="153"/>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8"/>
        <w:gridCol w:w="1415"/>
        <w:gridCol w:w="1560"/>
        <w:gridCol w:w="1704"/>
        <w:gridCol w:w="1388"/>
        <w:gridCol w:w="1497"/>
      </w:tblGrid>
      <w:tr w14:paraId="52534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562" w:type="pct"/>
            <w:vAlign w:val="center"/>
          </w:tcPr>
          <w:p w14:paraId="31C7B9D5">
            <w:pPr>
              <w:jc w:val="center"/>
              <w:rPr>
                <w:rFonts w:hint="default" w:ascii="Times New Roman" w:hAnsi="Times New Roman" w:cs="Times New Roman"/>
                <w:sz w:val="21"/>
                <w:szCs w:val="21"/>
              </w:rPr>
            </w:pPr>
            <w:r>
              <w:rPr>
                <w:rFonts w:hint="default" w:ascii="Times New Roman" w:hAnsi="Times New Roman" w:cs="Times New Roman"/>
                <w:color w:val="000000"/>
                <w:sz w:val="21"/>
                <w:szCs w:val="21"/>
              </w:rPr>
              <w:t>称样量</w:t>
            </w:r>
            <w:r>
              <w:rPr>
                <w:rFonts w:hint="default" w:ascii="Times New Roman" w:hAnsi="Times New Roman" w:eastAsia="等线" w:cs="Times New Roman"/>
                <w:color w:val="000000"/>
                <w:sz w:val="21"/>
                <w:szCs w:val="21"/>
              </w:rPr>
              <w:t>/g</w:t>
            </w:r>
          </w:p>
        </w:tc>
        <w:tc>
          <w:tcPr>
            <w:tcW w:w="830" w:type="pct"/>
            <w:vAlign w:val="center"/>
          </w:tcPr>
          <w:p w14:paraId="5630DF2B">
            <w:pPr>
              <w:jc w:val="center"/>
              <w:rPr>
                <w:rFonts w:hint="default" w:ascii="Times New Roman" w:hAnsi="Times New Roman" w:cs="Times New Roman"/>
                <w:sz w:val="21"/>
                <w:szCs w:val="21"/>
              </w:rPr>
            </w:pPr>
            <w:r>
              <w:rPr>
                <w:rFonts w:hint="default" w:ascii="Times New Roman" w:hAnsi="Times New Roman" w:cs="Times New Roman"/>
                <w:color w:val="000000"/>
                <w:sz w:val="21"/>
                <w:szCs w:val="21"/>
              </w:rPr>
              <w:t>样品硫含量/mg</w:t>
            </w:r>
          </w:p>
        </w:tc>
        <w:tc>
          <w:tcPr>
            <w:tcW w:w="915" w:type="pct"/>
            <w:vAlign w:val="center"/>
          </w:tcPr>
          <w:p w14:paraId="2BEE56B4">
            <w:pPr>
              <w:jc w:val="center"/>
              <w:rPr>
                <w:rFonts w:hint="default" w:ascii="Times New Roman" w:hAnsi="Times New Roman" w:cs="Times New Roman"/>
                <w:sz w:val="21"/>
                <w:szCs w:val="21"/>
              </w:rPr>
            </w:pPr>
            <w:r>
              <w:rPr>
                <w:rFonts w:hint="default" w:ascii="Times New Roman" w:hAnsi="Times New Roman" w:cs="Times New Roman"/>
                <w:color w:val="000000"/>
                <w:sz w:val="21"/>
                <w:szCs w:val="21"/>
              </w:rPr>
              <w:t>加入标准样品</w:t>
            </w:r>
            <w:r>
              <w:rPr>
                <w:rFonts w:hint="default" w:ascii="Times New Roman" w:hAnsi="Times New Roman" w:eastAsia="等线" w:cs="Times New Roman"/>
                <w:color w:val="000000"/>
                <w:sz w:val="21"/>
                <w:szCs w:val="21"/>
              </w:rPr>
              <w:t>/g</w:t>
            </w:r>
          </w:p>
        </w:tc>
        <w:tc>
          <w:tcPr>
            <w:tcW w:w="999" w:type="pct"/>
            <w:vAlign w:val="center"/>
          </w:tcPr>
          <w:p w14:paraId="7181084F">
            <w:pPr>
              <w:jc w:val="center"/>
              <w:rPr>
                <w:rFonts w:hint="default" w:ascii="Times New Roman" w:hAnsi="Times New Roman" w:cs="Times New Roman"/>
                <w:sz w:val="21"/>
                <w:szCs w:val="21"/>
              </w:rPr>
            </w:pPr>
            <w:r>
              <w:rPr>
                <w:rFonts w:hint="default" w:ascii="Times New Roman" w:hAnsi="Times New Roman" w:cs="Times New Roman"/>
                <w:color w:val="000000"/>
                <w:sz w:val="21"/>
                <w:szCs w:val="21"/>
              </w:rPr>
              <w:t>标样中硫含量/mg</w:t>
            </w:r>
          </w:p>
        </w:tc>
        <w:tc>
          <w:tcPr>
            <w:tcW w:w="814" w:type="pct"/>
            <w:vAlign w:val="center"/>
          </w:tcPr>
          <w:p w14:paraId="7E28C57E">
            <w:pPr>
              <w:jc w:val="center"/>
              <w:rPr>
                <w:rFonts w:hint="default" w:ascii="Times New Roman" w:hAnsi="Times New Roman" w:cs="Times New Roman"/>
                <w:sz w:val="21"/>
                <w:szCs w:val="21"/>
              </w:rPr>
            </w:pPr>
            <w:r>
              <w:rPr>
                <w:rFonts w:hint="default" w:ascii="Times New Roman" w:hAnsi="Times New Roman" w:cs="Times New Roman"/>
                <w:color w:val="000000"/>
                <w:sz w:val="21"/>
                <w:szCs w:val="21"/>
              </w:rPr>
              <w:t>测定硫含量</w:t>
            </w:r>
            <w:r>
              <w:rPr>
                <w:rFonts w:hint="default" w:ascii="Times New Roman" w:hAnsi="Times New Roman" w:eastAsia="等线" w:cs="Times New Roman"/>
                <w:color w:val="000000"/>
                <w:sz w:val="21"/>
                <w:szCs w:val="21"/>
              </w:rPr>
              <w:t>/mg</w:t>
            </w:r>
          </w:p>
        </w:tc>
        <w:tc>
          <w:tcPr>
            <w:tcW w:w="877" w:type="pct"/>
            <w:vAlign w:val="center"/>
          </w:tcPr>
          <w:p w14:paraId="7D2D6A48">
            <w:pPr>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回收率</w:t>
            </w:r>
          </w:p>
          <w:p w14:paraId="53BD8427">
            <w:pPr>
              <w:jc w:val="center"/>
              <w:rPr>
                <w:rFonts w:hint="default" w:ascii="Times New Roman" w:hAnsi="Times New Roman" w:cs="Times New Roman"/>
                <w:color w:val="000000"/>
                <w:sz w:val="21"/>
                <w:szCs w:val="21"/>
              </w:rPr>
            </w:pPr>
            <w:r>
              <w:rPr>
                <w:rFonts w:hint="default" w:ascii="Times New Roman" w:hAnsi="Times New Roman" w:eastAsia="等线" w:cs="Times New Roman"/>
                <w:color w:val="000000"/>
                <w:sz w:val="21"/>
                <w:szCs w:val="21"/>
              </w:rPr>
              <w:t>/%</w:t>
            </w:r>
          </w:p>
        </w:tc>
      </w:tr>
      <w:tr w14:paraId="7B9C3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958" w:type="dxa"/>
            <w:vAlign w:val="center"/>
          </w:tcPr>
          <w:p w14:paraId="5F0749CA">
            <w:pPr>
              <w:keepNext w:val="0"/>
              <w:keepLines w:val="0"/>
              <w:widowControl/>
              <w:suppressLineNumbers w:val="0"/>
              <w:jc w:val="center"/>
              <w:textAlignment w:val="bottom"/>
              <w:rPr>
                <w:rFonts w:hint="default" w:ascii="Times New Roman" w:hAnsi="Times New Roman" w:cs="Times New Roman"/>
                <w:sz w:val="21"/>
                <w:szCs w:val="21"/>
              </w:rPr>
            </w:pPr>
            <w:r>
              <w:rPr>
                <w:rFonts w:hint="default" w:ascii="Times New Roman" w:hAnsi="Times New Roman" w:eastAsia="等线" w:cs="Times New Roman"/>
                <w:i w:val="0"/>
                <w:iCs w:val="0"/>
                <w:color w:val="000000"/>
                <w:kern w:val="0"/>
                <w:sz w:val="21"/>
                <w:szCs w:val="21"/>
                <w:u w:val="none"/>
                <w:lang w:val="en-US" w:eastAsia="zh-CN" w:bidi="ar"/>
              </w:rPr>
              <w:t>0.1046</w:t>
            </w:r>
          </w:p>
        </w:tc>
        <w:tc>
          <w:tcPr>
            <w:tcW w:w="1415" w:type="dxa"/>
            <w:vAlign w:val="center"/>
          </w:tcPr>
          <w:p w14:paraId="35A6BCB9">
            <w:pPr>
              <w:keepNext w:val="0"/>
              <w:keepLines w:val="0"/>
              <w:widowControl/>
              <w:suppressLineNumbers w:val="0"/>
              <w:jc w:val="center"/>
              <w:textAlignment w:val="bottom"/>
              <w:rPr>
                <w:rFonts w:hint="default" w:ascii="Times New Roman" w:hAnsi="Times New Roman" w:eastAsia="等线" w:cs="Times New Roman"/>
                <w:sz w:val="21"/>
                <w:szCs w:val="21"/>
              </w:rPr>
            </w:pPr>
            <w:r>
              <w:rPr>
                <w:rFonts w:hint="default" w:ascii="Times New Roman" w:hAnsi="Times New Roman" w:eastAsia="等线" w:cs="Times New Roman"/>
                <w:i w:val="0"/>
                <w:iCs w:val="0"/>
                <w:color w:val="000000"/>
                <w:kern w:val="0"/>
                <w:sz w:val="21"/>
                <w:szCs w:val="21"/>
                <w:u w:val="none"/>
                <w:lang w:val="en-US" w:eastAsia="zh-CN" w:bidi="ar"/>
              </w:rPr>
              <w:t>0.109</w:t>
            </w:r>
          </w:p>
        </w:tc>
        <w:tc>
          <w:tcPr>
            <w:tcW w:w="1560" w:type="dxa"/>
            <w:vAlign w:val="center"/>
          </w:tcPr>
          <w:p w14:paraId="58A2E617">
            <w:pPr>
              <w:keepNext w:val="0"/>
              <w:keepLines w:val="0"/>
              <w:widowControl/>
              <w:suppressLineNumbers w:val="0"/>
              <w:jc w:val="center"/>
              <w:textAlignment w:val="bottom"/>
              <w:rPr>
                <w:rFonts w:hint="default" w:ascii="Times New Roman" w:hAnsi="Times New Roman" w:cs="Times New Roman"/>
                <w:sz w:val="21"/>
                <w:szCs w:val="21"/>
              </w:rPr>
            </w:pPr>
            <w:r>
              <w:rPr>
                <w:rFonts w:hint="default" w:ascii="Times New Roman" w:hAnsi="Times New Roman" w:eastAsia="等线" w:cs="Times New Roman"/>
                <w:i w:val="0"/>
                <w:iCs w:val="0"/>
                <w:color w:val="000000"/>
                <w:kern w:val="0"/>
                <w:sz w:val="21"/>
                <w:szCs w:val="21"/>
                <w:u w:val="none"/>
                <w:lang w:val="en-US" w:eastAsia="zh-CN" w:bidi="ar"/>
              </w:rPr>
              <w:t>0.1060</w:t>
            </w:r>
          </w:p>
        </w:tc>
        <w:tc>
          <w:tcPr>
            <w:tcW w:w="1704" w:type="dxa"/>
            <w:vAlign w:val="center"/>
          </w:tcPr>
          <w:p w14:paraId="7C61D4DF">
            <w:pPr>
              <w:keepNext w:val="0"/>
              <w:keepLines w:val="0"/>
              <w:widowControl/>
              <w:suppressLineNumbers w:val="0"/>
              <w:jc w:val="center"/>
              <w:textAlignment w:val="bottom"/>
              <w:rPr>
                <w:rFonts w:hint="default" w:ascii="Times New Roman" w:hAnsi="Times New Roman" w:eastAsia="等线" w:cs="Times New Roman"/>
                <w:sz w:val="21"/>
                <w:szCs w:val="21"/>
              </w:rPr>
            </w:pPr>
            <w:r>
              <w:rPr>
                <w:rFonts w:hint="default" w:ascii="Times New Roman" w:hAnsi="Times New Roman" w:eastAsia="等线" w:cs="Times New Roman"/>
                <w:i w:val="0"/>
                <w:iCs w:val="0"/>
                <w:color w:val="000000"/>
                <w:kern w:val="0"/>
                <w:sz w:val="21"/>
                <w:szCs w:val="21"/>
                <w:u w:val="none"/>
                <w:lang w:val="en-US" w:eastAsia="zh-CN" w:bidi="ar"/>
              </w:rPr>
              <w:t>0.163</w:t>
            </w:r>
          </w:p>
        </w:tc>
        <w:tc>
          <w:tcPr>
            <w:tcW w:w="1388" w:type="dxa"/>
            <w:vAlign w:val="center"/>
          </w:tcPr>
          <w:p w14:paraId="50306B04">
            <w:pPr>
              <w:keepNext w:val="0"/>
              <w:keepLines w:val="0"/>
              <w:widowControl/>
              <w:suppressLineNumbers w:val="0"/>
              <w:jc w:val="center"/>
              <w:textAlignment w:val="bottom"/>
              <w:rPr>
                <w:rFonts w:hint="default" w:ascii="Times New Roman" w:hAnsi="Times New Roman" w:cs="Times New Roman"/>
                <w:sz w:val="21"/>
                <w:szCs w:val="21"/>
              </w:rPr>
            </w:pPr>
            <w:r>
              <w:rPr>
                <w:rFonts w:hint="default" w:ascii="Times New Roman" w:hAnsi="Times New Roman" w:eastAsia="等线" w:cs="Times New Roman"/>
                <w:i w:val="0"/>
                <w:iCs w:val="0"/>
                <w:color w:val="000000"/>
                <w:kern w:val="0"/>
                <w:sz w:val="21"/>
                <w:szCs w:val="21"/>
                <w:u w:val="none"/>
                <w:lang w:val="en-US" w:eastAsia="zh-CN" w:bidi="ar"/>
              </w:rPr>
              <w:t>0.282</w:t>
            </w:r>
          </w:p>
        </w:tc>
        <w:tc>
          <w:tcPr>
            <w:tcW w:w="1497" w:type="dxa"/>
            <w:vAlign w:val="center"/>
          </w:tcPr>
          <w:p w14:paraId="6C8669F8">
            <w:pPr>
              <w:keepNext w:val="0"/>
              <w:keepLines w:val="0"/>
              <w:widowControl/>
              <w:suppressLineNumbers w:val="0"/>
              <w:jc w:val="center"/>
              <w:textAlignment w:val="bottom"/>
              <w:rPr>
                <w:rFonts w:hint="default" w:ascii="Times New Roman" w:hAnsi="Times New Roman" w:eastAsia="等线" w:cs="Times New Roman"/>
                <w:sz w:val="21"/>
                <w:szCs w:val="21"/>
              </w:rPr>
            </w:pPr>
            <w:r>
              <w:rPr>
                <w:rFonts w:hint="default" w:ascii="Times New Roman" w:hAnsi="Times New Roman" w:eastAsia="等线" w:cs="Times New Roman"/>
                <w:i w:val="0"/>
                <w:iCs w:val="0"/>
                <w:color w:val="000000"/>
                <w:kern w:val="0"/>
                <w:sz w:val="21"/>
                <w:szCs w:val="21"/>
                <w:u w:val="none"/>
                <w:lang w:val="en-US" w:eastAsia="zh-CN" w:bidi="ar"/>
              </w:rPr>
              <w:t>105.85</w:t>
            </w:r>
          </w:p>
        </w:tc>
      </w:tr>
      <w:tr w14:paraId="06423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58" w:type="dxa"/>
            <w:vAlign w:val="center"/>
          </w:tcPr>
          <w:p w14:paraId="31EC3E5C">
            <w:pPr>
              <w:keepNext w:val="0"/>
              <w:keepLines w:val="0"/>
              <w:widowControl/>
              <w:suppressLineNumbers w:val="0"/>
              <w:jc w:val="center"/>
              <w:textAlignment w:val="bottom"/>
              <w:rPr>
                <w:rFonts w:hint="default" w:ascii="Times New Roman" w:hAnsi="Times New Roman" w:cs="Times New Roman"/>
                <w:sz w:val="21"/>
                <w:szCs w:val="21"/>
              </w:rPr>
            </w:pPr>
            <w:r>
              <w:rPr>
                <w:rFonts w:hint="default" w:ascii="Times New Roman" w:hAnsi="Times New Roman" w:eastAsia="等线" w:cs="Times New Roman"/>
                <w:i w:val="0"/>
                <w:iCs w:val="0"/>
                <w:color w:val="000000"/>
                <w:kern w:val="0"/>
                <w:sz w:val="21"/>
                <w:szCs w:val="21"/>
                <w:u w:val="none"/>
                <w:lang w:val="en-US" w:eastAsia="zh-CN" w:bidi="ar"/>
              </w:rPr>
              <w:t>0.0599</w:t>
            </w:r>
          </w:p>
        </w:tc>
        <w:tc>
          <w:tcPr>
            <w:tcW w:w="1415" w:type="dxa"/>
            <w:vAlign w:val="center"/>
          </w:tcPr>
          <w:p w14:paraId="4F212EF4">
            <w:pPr>
              <w:keepNext w:val="0"/>
              <w:keepLines w:val="0"/>
              <w:widowControl/>
              <w:suppressLineNumbers w:val="0"/>
              <w:jc w:val="center"/>
              <w:textAlignment w:val="bottom"/>
              <w:rPr>
                <w:rFonts w:hint="default" w:ascii="Times New Roman" w:hAnsi="Times New Roman" w:eastAsia="等线" w:cs="Times New Roman"/>
                <w:sz w:val="21"/>
                <w:szCs w:val="21"/>
              </w:rPr>
            </w:pPr>
            <w:r>
              <w:rPr>
                <w:rFonts w:hint="default" w:ascii="Times New Roman" w:hAnsi="Times New Roman" w:eastAsia="等线" w:cs="Times New Roman"/>
                <w:i w:val="0"/>
                <w:iCs w:val="0"/>
                <w:color w:val="000000"/>
                <w:kern w:val="0"/>
                <w:sz w:val="21"/>
                <w:szCs w:val="21"/>
                <w:u w:val="none"/>
                <w:lang w:val="en-US" w:eastAsia="zh-CN" w:bidi="ar"/>
              </w:rPr>
              <w:t>0.062</w:t>
            </w:r>
          </w:p>
        </w:tc>
        <w:tc>
          <w:tcPr>
            <w:tcW w:w="1560" w:type="dxa"/>
            <w:vAlign w:val="center"/>
          </w:tcPr>
          <w:p w14:paraId="4713372F">
            <w:pPr>
              <w:keepNext w:val="0"/>
              <w:keepLines w:val="0"/>
              <w:widowControl/>
              <w:suppressLineNumbers w:val="0"/>
              <w:jc w:val="center"/>
              <w:textAlignment w:val="bottom"/>
              <w:rPr>
                <w:rFonts w:hint="default" w:ascii="Times New Roman" w:hAnsi="Times New Roman" w:cs="Times New Roman"/>
                <w:sz w:val="21"/>
                <w:szCs w:val="21"/>
              </w:rPr>
            </w:pPr>
            <w:r>
              <w:rPr>
                <w:rFonts w:hint="default" w:ascii="Times New Roman" w:hAnsi="Times New Roman" w:eastAsia="等线" w:cs="Times New Roman"/>
                <w:i w:val="0"/>
                <w:iCs w:val="0"/>
                <w:color w:val="000000"/>
                <w:kern w:val="0"/>
                <w:sz w:val="21"/>
                <w:szCs w:val="21"/>
                <w:u w:val="none"/>
                <w:lang w:val="en-US" w:eastAsia="zh-CN" w:bidi="ar"/>
              </w:rPr>
              <w:t>0.0610</w:t>
            </w:r>
          </w:p>
        </w:tc>
        <w:tc>
          <w:tcPr>
            <w:tcW w:w="1704" w:type="dxa"/>
            <w:vAlign w:val="center"/>
          </w:tcPr>
          <w:p w14:paraId="4738D92B">
            <w:pPr>
              <w:keepNext w:val="0"/>
              <w:keepLines w:val="0"/>
              <w:widowControl/>
              <w:suppressLineNumbers w:val="0"/>
              <w:jc w:val="center"/>
              <w:textAlignment w:val="bottom"/>
              <w:rPr>
                <w:rFonts w:hint="default" w:ascii="Times New Roman" w:hAnsi="Times New Roman" w:cs="Times New Roman"/>
                <w:sz w:val="21"/>
                <w:szCs w:val="21"/>
              </w:rPr>
            </w:pPr>
            <w:r>
              <w:rPr>
                <w:rFonts w:hint="default" w:ascii="Times New Roman" w:hAnsi="Times New Roman" w:eastAsia="等线" w:cs="Times New Roman"/>
                <w:i w:val="0"/>
                <w:iCs w:val="0"/>
                <w:color w:val="000000"/>
                <w:kern w:val="0"/>
                <w:sz w:val="21"/>
                <w:szCs w:val="21"/>
                <w:u w:val="none"/>
                <w:lang w:val="en-US" w:eastAsia="zh-CN" w:bidi="ar"/>
              </w:rPr>
              <w:t>0.094</w:t>
            </w:r>
          </w:p>
        </w:tc>
        <w:tc>
          <w:tcPr>
            <w:tcW w:w="1388" w:type="dxa"/>
            <w:vAlign w:val="center"/>
          </w:tcPr>
          <w:p w14:paraId="6AF03151">
            <w:pPr>
              <w:keepNext w:val="0"/>
              <w:keepLines w:val="0"/>
              <w:widowControl/>
              <w:suppressLineNumbers w:val="0"/>
              <w:jc w:val="center"/>
              <w:textAlignment w:val="bottom"/>
              <w:rPr>
                <w:rFonts w:hint="default" w:ascii="Times New Roman" w:hAnsi="Times New Roman" w:eastAsia="等线" w:cs="Times New Roman"/>
                <w:sz w:val="21"/>
                <w:szCs w:val="21"/>
              </w:rPr>
            </w:pPr>
            <w:r>
              <w:rPr>
                <w:rFonts w:hint="default" w:ascii="Times New Roman" w:hAnsi="Times New Roman" w:eastAsia="等线" w:cs="Times New Roman"/>
                <w:i w:val="0"/>
                <w:iCs w:val="0"/>
                <w:color w:val="000000"/>
                <w:kern w:val="0"/>
                <w:sz w:val="21"/>
                <w:szCs w:val="21"/>
                <w:u w:val="none"/>
                <w:lang w:val="en-US" w:eastAsia="zh-CN" w:bidi="ar"/>
              </w:rPr>
              <w:t>0.155</w:t>
            </w:r>
          </w:p>
        </w:tc>
        <w:tc>
          <w:tcPr>
            <w:tcW w:w="1497" w:type="dxa"/>
            <w:vAlign w:val="center"/>
          </w:tcPr>
          <w:p w14:paraId="1BA0E371">
            <w:pPr>
              <w:keepNext w:val="0"/>
              <w:keepLines w:val="0"/>
              <w:widowControl/>
              <w:suppressLineNumbers w:val="0"/>
              <w:jc w:val="center"/>
              <w:textAlignment w:val="bottom"/>
              <w:rPr>
                <w:rFonts w:hint="default" w:ascii="Times New Roman" w:hAnsi="Times New Roman" w:eastAsia="等线" w:cs="Times New Roman"/>
                <w:sz w:val="21"/>
                <w:szCs w:val="21"/>
              </w:rPr>
            </w:pPr>
            <w:r>
              <w:rPr>
                <w:rFonts w:hint="default" w:ascii="Times New Roman" w:hAnsi="Times New Roman" w:eastAsia="等线" w:cs="Times New Roman"/>
                <w:i w:val="0"/>
                <w:iCs w:val="0"/>
                <w:color w:val="000000"/>
                <w:kern w:val="0"/>
                <w:sz w:val="21"/>
                <w:szCs w:val="21"/>
                <w:u w:val="none"/>
                <w:lang w:val="en-US" w:eastAsia="zh-CN" w:bidi="ar"/>
              </w:rPr>
              <w:t>98.94</w:t>
            </w:r>
          </w:p>
        </w:tc>
      </w:tr>
      <w:tr w14:paraId="4B74A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958" w:type="dxa"/>
            <w:vAlign w:val="center"/>
          </w:tcPr>
          <w:p w14:paraId="35916B66">
            <w:pPr>
              <w:keepNext w:val="0"/>
              <w:keepLines w:val="0"/>
              <w:widowControl/>
              <w:suppressLineNumbers w:val="0"/>
              <w:jc w:val="center"/>
              <w:textAlignment w:val="bottom"/>
              <w:rPr>
                <w:rFonts w:hint="default" w:ascii="Times New Roman" w:hAnsi="Times New Roman" w:cs="Times New Roman"/>
                <w:sz w:val="21"/>
                <w:szCs w:val="21"/>
              </w:rPr>
            </w:pPr>
            <w:r>
              <w:rPr>
                <w:rFonts w:hint="default" w:ascii="Times New Roman" w:hAnsi="Times New Roman" w:eastAsia="等线" w:cs="Times New Roman"/>
                <w:i w:val="0"/>
                <w:iCs w:val="0"/>
                <w:color w:val="000000"/>
                <w:kern w:val="0"/>
                <w:sz w:val="21"/>
                <w:szCs w:val="21"/>
                <w:u w:val="none"/>
                <w:lang w:val="en-US" w:eastAsia="zh-CN" w:bidi="ar"/>
              </w:rPr>
              <w:t>0.0500</w:t>
            </w:r>
          </w:p>
        </w:tc>
        <w:tc>
          <w:tcPr>
            <w:tcW w:w="1415" w:type="dxa"/>
            <w:vAlign w:val="center"/>
          </w:tcPr>
          <w:p w14:paraId="26D1FCF3">
            <w:pPr>
              <w:keepNext w:val="0"/>
              <w:keepLines w:val="0"/>
              <w:widowControl/>
              <w:suppressLineNumbers w:val="0"/>
              <w:jc w:val="center"/>
              <w:textAlignment w:val="bottom"/>
              <w:rPr>
                <w:rFonts w:hint="default" w:ascii="Times New Roman" w:hAnsi="Times New Roman" w:eastAsia="等线" w:cs="Times New Roman"/>
                <w:sz w:val="21"/>
                <w:szCs w:val="21"/>
              </w:rPr>
            </w:pPr>
            <w:r>
              <w:rPr>
                <w:rFonts w:hint="default" w:ascii="Times New Roman" w:hAnsi="Times New Roman" w:eastAsia="等线" w:cs="Times New Roman"/>
                <w:i w:val="0"/>
                <w:iCs w:val="0"/>
                <w:color w:val="000000"/>
                <w:kern w:val="0"/>
                <w:sz w:val="21"/>
                <w:szCs w:val="21"/>
                <w:u w:val="none"/>
                <w:lang w:val="en-US" w:eastAsia="zh-CN" w:bidi="ar"/>
              </w:rPr>
              <w:t>0.052</w:t>
            </w:r>
          </w:p>
        </w:tc>
        <w:tc>
          <w:tcPr>
            <w:tcW w:w="1560" w:type="dxa"/>
            <w:vAlign w:val="center"/>
          </w:tcPr>
          <w:p w14:paraId="60E1C866">
            <w:pPr>
              <w:keepNext w:val="0"/>
              <w:keepLines w:val="0"/>
              <w:widowControl/>
              <w:suppressLineNumbers w:val="0"/>
              <w:jc w:val="center"/>
              <w:textAlignment w:val="bottom"/>
              <w:rPr>
                <w:rFonts w:hint="default" w:ascii="Times New Roman" w:hAnsi="Times New Roman" w:cs="Times New Roman"/>
                <w:sz w:val="21"/>
                <w:szCs w:val="21"/>
              </w:rPr>
            </w:pPr>
            <w:r>
              <w:rPr>
                <w:rFonts w:hint="default" w:ascii="Times New Roman" w:hAnsi="Times New Roman" w:eastAsia="等线" w:cs="Times New Roman"/>
                <w:i w:val="0"/>
                <w:iCs w:val="0"/>
                <w:color w:val="000000"/>
                <w:kern w:val="0"/>
                <w:sz w:val="21"/>
                <w:szCs w:val="21"/>
                <w:u w:val="none"/>
                <w:lang w:val="en-US" w:eastAsia="zh-CN" w:bidi="ar"/>
              </w:rPr>
              <w:t>0.0506</w:t>
            </w:r>
          </w:p>
        </w:tc>
        <w:tc>
          <w:tcPr>
            <w:tcW w:w="1704" w:type="dxa"/>
            <w:vAlign w:val="center"/>
          </w:tcPr>
          <w:p w14:paraId="50D1CDE4">
            <w:pPr>
              <w:keepNext w:val="0"/>
              <w:keepLines w:val="0"/>
              <w:widowControl/>
              <w:suppressLineNumbers w:val="0"/>
              <w:jc w:val="center"/>
              <w:textAlignment w:val="bottom"/>
              <w:rPr>
                <w:rFonts w:hint="default" w:ascii="Times New Roman" w:hAnsi="Times New Roman" w:eastAsia="等线" w:cs="Times New Roman"/>
                <w:sz w:val="21"/>
                <w:szCs w:val="21"/>
              </w:rPr>
            </w:pPr>
            <w:r>
              <w:rPr>
                <w:rFonts w:hint="default" w:ascii="Times New Roman" w:hAnsi="Times New Roman" w:eastAsia="等线" w:cs="Times New Roman"/>
                <w:i w:val="0"/>
                <w:iCs w:val="0"/>
                <w:color w:val="000000"/>
                <w:kern w:val="0"/>
                <w:sz w:val="21"/>
                <w:szCs w:val="21"/>
                <w:u w:val="none"/>
                <w:lang w:val="en-US" w:eastAsia="zh-CN" w:bidi="ar"/>
              </w:rPr>
              <w:t>0.078</w:t>
            </w:r>
          </w:p>
        </w:tc>
        <w:tc>
          <w:tcPr>
            <w:tcW w:w="1388" w:type="dxa"/>
            <w:vAlign w:val="center"/>
          </w:tcPr>
          <w:p w14:paraId="1BD47FB1">
            <w:pPr>
              <w:keepNext w:val="0"/>
              <w:keepLines w:val="0"/>
              <w:widowControl/>
              <w:suppressLineNumbers w:val="0"/>
              <w:jc w:val="center"/>
              <w:textAlignment w:val="bottom"/>
              <w:rPr>
                <w:rFonts w:hint="default" w:ascii="Times New Roman" w:hAnsi="Times New Roman" w:eastAsia="等线" w:cs="Times New Roman"/>
                <w:sz w:val="21"/>
                <w:szCs w:val="21"/>
              </w:rPr>
            </w:pPr>
            <w:r>
              <w:rPr>
                <w:rFonts w:hint="default" w:ascii="Times New Roman" w:hAnsi="Times New Roman" w:eastAsia="等线" w:cs="Times New Roman"/>
                <w:i w:val="0"/>
                <w:iCs w:val="0"/>
                <w:color w:val="000000"/>
                <w:kern w:val="0"/>
                <w:sz w:val="21"/>
                <w:szCs w:val="21"/>
                <w:u w:val="none"/>
                <w:lang w:val="en-US" w:eastAsia="zh-CN" w:bidi="ar"/>
              </w:rPr>
              <w:t>0.128</w:t>
            </w:r>
          </w:p>
        </w:tc>
        <w:tc>
          <w:tcPr>
            <w:tcW w:w="1497" w:type="dxa"/>
            <w:vAlign w:val="center"/>
          </w:tcPr>
          <w:p w14:paraId="4233774D">
            <w:pPr>
              <w:keepNext w:val="0"/>
              <w:keepLines w:val="0"/>
              <w:widowControl/>
              <w:suppressLineNumbers w:val="0"/>
              <w:jc w:val="center"/>
              <w:textAlignment w:val="bottom"/>
              <w:rPr>
                <w:rFonts w:hint="default" w:ascii="Times New Roman" w:hAnsi="Times New Roman" w:eastAsia="等线" w:cs="Times New Roman"/>
                <w:sz w:val="21"/>
                <w:szCs w:val="21"/>
              </w:rPr>
            </w:pPr>
            <w:r>
              <w:rPr>
                <w:rFonts w:hint="default" w:ascii="Times New Roman" w:hAnsi="Times New Roman" w:eastAsia="等线" w:cs="Times New Roman"/>
                <w:i w:val="0"/>
                <w:iCs w:val="0"/>
                <w:color w:val="000000"/>
                <w:kern w:val="0"/>
                <w:sz w:val="21"/>
                <w:szCs w:val="21"/>
                <w:u w:val="none"/>
                <w:lang w:val="en-US" w:eastAsia="zh-CN" w:bidi="ar"/>
              </w:rPr>
              <w:t>96.97</w:t>
            </w:r>
          </w:p>
        </w:tc>
      </w:tr>
      <w:tr w14:paraId="438D5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958" w:type="dxa"/>
            <w:vAlign w:val="center"/>
          </w:tcPr>
          <w:p w14:paraId="774DB1E8">
            <w:pPr>
              <w:keepNext w:val="0"/>
              <w:keepLines w:val="0"/>
              <w:widowControl/>
              <w:suppressLineNumbers w:val="0"/>
              <w:jc w:val="center"/>
              <w:textAlignment w:val="bottom"/>
              <w:rPr>
                <w:rFonts w:hint="default" w:ascii="Times New Roman" w:hAnsi="Times New Roman" w:eastAsia="等线" w:cs="Times New Roman"/>
                <w:color w:val="000000"/>
                <w:sz w:val="21"/>
                <w:szCs w:val="21"/>
              </w:rPr>
            </w:pPr>
            <w:r>
              <w:rPr>
                <w:rFonts w:hint="default" w:ascii="Times New Roman" w:hAnsi="Times New Roman" w:eastAsia="等线" w:cs="Times New Roman"/>
                <w:i w:val="0"/>
                <w:iCs w:val="0"/>
                <w:color w:val="000000"/>
                <w:kern w:val="0"/>
                <w:sz w:val="21"/>
                <w:szCs w:val="21"/>
                <w:u w:val="none"/>
                <w:lang w:val="en-US" w:eastAsia="zh-CN" w:bidi="ar"/>
              </w:rPr>
              <w:t>0.0685</w:t>
            </w:r>
          </w:p>
        </w:tc>
        <w:tc>
          <w:tcPr>
            <w:tcW w:w="1415" w:type="dxa"/>
            <w:vAlign w:val="center"/>
          </w:tcPr>
          <w:p w14:paraId="268D40EC">
            <w:pPr>
              <w:keepNext w:val="0"/>
              <w:keepLines w:val="0"/>
              <w:widowControl/>
              <w:suppressLineNumbers w:val="0"/>
              <w:jc w:val="center"/>
              <w:textAlignment w:val="bottom"/>
              <w:rPr>
                <w:rFonts w:hint="default" w:ascii="Times New Roman" w:hAnsi="Times New Roman" w:eastAsia="等线" w:cs="Times New Roman"/>
                <w:color w:val="000000"/>
                <w:sz w:val="21"/>
                <w:szCs w:val="21"/>
              </w:rPr>
            </w:pPr>
            <w:r>
              <w:rPr>
                <w:rFonts w:hint="default" w:ascii="Times New Roman" w:hAnsi="Times New Roman" w:eastAsia="等线" w:cs="Times New Roman"/>
                <w:i w:val="0"/>
                <w:iCs w:val="0"/>
                <w:color w:val="000000"/>
                <w:kern w:val="0"/>
                <w:sz w:val="21"/>
                <w:szCs w:val="21"/>
                <w:u w:val="none"/>
                <w:lang w:val="en-US" w:eastAsia="zh-CN" w:bidi="ar"/>
              </w:rPr>
              <w:t>0.071</w:t>
            </w:r>
          </w:p>
        </w:tc>
        <w:tc>
          <w:tcPr>
            <w:tcW w:w="1560" w:type="dxa"/>
            <w:vAlign w:val="center"/>
          </w:tcPr>
          <w:p w14:paraId="3E4BBE3F">
            <w:pPr>
              <w:keepNext w:val="0"/>
              <w:keepLines w:val="0"/>
              <w:widowControl/>
              <w:suppressLineNumbers w:val="0"/>
              <w:jc w:val="center"/>
              <w:textAlignment w:val="bottom"/>
              <w:rPr>
                <w:rFonts w:hint="default" w:ascii="Times New Roman" w:hAnsi="Times New Roman" w:eastAsia="等线" w:cs="Times New Roman"/>
                <w:color w:val="000000"/>
                <w:sz w:val="21"/>
                <w:szCs w:val="21"/>
              </w:rPr>
            </w:pPr>
            <w:r>
              <w:rPr>
                <w:rFonts w:hint="default" w:ascii="Times New Roman" w:hAnsi="Times New Roman" w:eastAsia="等线" w:cs="Times New Roman"/>
                <w:i w:val="0"/>
                <w:iCs w:val="0"/>
                <w:color w:val="000000"/>
                <w:kern w:val="0"/>
                <w:sz w:val="21"/>
                <w:szCs w:val="21"/>
                <w:u w:val="none"/>
                <w:lang w:val="en-US" w:eastAsia="zh-CN" w:bidi="ar"/>
              </w:rPr>
              <w:t>0.1057</w:t>
            </w:r>
          </w:p>
        </w:tc>
        <w:tc>
          <w:tcPr>
            <w:tcW w:w="1704" w:type="dxa"/>
            <w:vAlign w:val="center"/>
          </w:tcPr>
          <w:p w14:paraId="597CDDC1">
            <w:pPr>
              <w:keepNext w:val="0"/>
              <w:keepLines w:val="0"/>
              <w:widowControl/>
              <w:suppressLineNumbers w:val="0"/>
              <w:jc w:val="center"/>
              <w:textAlignment w:val="bottom"/>
              <w:rPr>
                <w:rFonts w:hint="default" w:ascii="Times New Roman" w:hAnsi="Times New Roman" w:eastAsia="等线" w:cs="Times New Roman"/>
                <w:color w:val="000000"/>
                <w:sz w:val="21"/>
                <w:szCs w:val="21"/>
              </w:rPr>
            </w:pPr>
            <w:r>
              <w:rPr>
                <w:rFonts w:hint="default" w:ascii="Times New Roman" w:hAnsi="Times New Roman" w:eastAsia="等线" w:cs="Times New Roman"/>
                <w:i w:val="0"/>
                <w:iCs w:val="0"/>
                <w:color w:val="000000"/>
                <w:kern w:val="0"/>
                <w:sz w:val="21"/>
                <w:szCs w:val="21"/>
                <w:u w:val="none"/>
                <w:lang w:val="en-US" w:eastAsia="zh-CN" w:bidi="ar"/>
              </w:rPr>
              <w:t>0.163</w:t>
            </w:r>
          </w:p>
        </w:tc>
        <w:tc>
          <w:tcPr>
            <w:tcW w:w="1388" w:type="dxa"/>
            <w:vAlign w:val="center"/>
          </w:tcPr>
          <w:p w14:paraId="6ACA89CD">
            <w:pPr>
              <w:keepNext w:val="0"/>
              <w:keepLines w:val="0"/>
              <w:widowControl/>
              <w:suppressLineNumbers w:val="0"/>
              <w:jc w:val="center"/>
              <w:textAlignment w:val="bottom"/>
              <w:rPr>
                <w:rFonts w:hint="default" w:ascii="Times New Roman" w:hAnsi="Times New Roman" w:eastAsia="等线" w:cs="Times New Roman"/>
                <w:color w:val="000000"/>
                <w:sz w:val="21"/>
                <w:szCs w:val="21"/>
              </w:rPr>
            </w:pPr>
            <w:r>
              <w:rPr>
                <w:rFonts w:hint="default" w:ascii="Times New Roman" w:hAnsi="Times New Roman" w:eastAsia="等线" w:cs="Times New Roman"/>
                <w:i w:val="0"/>
                <w:iCs w:val="0"/>
                <w:color w:val="000000"/>
                <w:kern w:val="0"/>
                <w:sz w:val="21"/>
                <w:szCs w:val="21"/>
                <w:u w:val="none"/>
                <w:lang w:val="en-US" w:eastAsia="zh-CN" w:bidi="ar"/>
              </w:rPr>
              <w:t>0.236</w:t>
            </w:r>
          </w:p>
        </w:tc>
        <w:tc>
          <w:tcPr>
            <w:tcW w:w="1497" w:type="dxa"/>
            <w:vAlign w:val="center"/>
          </w:tcPr>
          <w:p w14:paraId="78320B55">
            <w:pPr>
              <w:keepNext w:val="0"/>
              <w:keepLines w:val="0"/>
              <w:widowControl/>
              <w:suppressLineNumbers w:val="0"/>
              <w:jc w:val="center"/>
              <w:textAlignment w:val="bottom"/>
              <w:rPr>
                <w:rFonts w:hint="default" w:ascii="Times New Roman" w:hAnsi="Times New Roman" w:eastAsia="等线" w:cs="Times New Roman"/>
                <w:color w:val="000000"/>
                <w:sz w:val="21"/>
                <w:szCs w:val="21"/>
              </w:rPr>
            </w:pPr>
            <w:r>
              <w:rPr>
                <w:rFonts w:hint="default" w:ascii="Times New Roman" w:hAnsi="Times New Roman" w:eastAsia="等线" w:cs="Times New Roman"/>
                <w:i w:val="0"/>
                <w:iCs w:val="0"/>
                <w:color w:val="000000"/>
                <w:kern w:val="0"/>
                <w:sz w:val="21"/>
                <w:szCs w:val="21"/>
                <w:u w:val="none"/>
                <w:lang w:val="en-US" w:eastAsia="zh-CN" w:bidi="ar"/>
              </w:rPr>
              <w:t>101.46</w:t>
            </w:r>
          </w:p>
        </w:tc>
      </w:tr>
      <w:tr w14:paraId="7EBEF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958" w:type="dxa"/>
            <w:vAlign w:val="center"/>
          </w:tcPr>
          <w:p w14:paraId="5C76745F">
            <w:pPr>
              <w:keepNext w:val="0"/>
              <w:keepLines w:val="0"/>
              <w:widowControl/>
              <w:suppressLineNumbers w:val="0"/>
              <w:jc w:val="center"/>
              <w:textAlignment w:val="bottom"/>
              <w:rPr>
                <w:rFonts w:hint="default" w:ascii="Times New Roman" w:hAnsi="Times New Roman" w:eastAsia="等线" w:cs="Times New Roman"/>
                <w:color w:val="000000"/>
                <w:sz w:val="21"/>
                <w:szCs w:val="21"/>
              </w:rPr>
            </w:pPr>
            <w:r>
              <w:rPr>
                <w:rFonts w:hint="default" w:ascii="Times New Roman" w:hAnsi="Times New Roman" w:eastAsia="等线" w:cs="Times New Roman"/>
                <w:i w:val="0"/>
                <w:iCs w:val="0"/>
                <w:color w:val="000000"/>
                <w:kern w:val="0"/>
                <w:sz w:val="21"/>
                <w:szCs w:val="21"/>
                <w:u w:val="none"/>
                <w:lang w:val="en-US" w:eastAsia="zh-CN" w:bidi="ar"/>
              </w:rPr>
              <w:t>0.0684</w:t>
            </w:r>
          </w:p>
        </w:tc>
        <w:tc>
          <w:tcPr>
            <w:tcW w:w="1415" w:type="dxa"/>
            <w:vAlign w:val="center"/>
          </w:tcPr>
          <w:p w14:paraId="1E863122">
            <w:pPr>
              <w:keepNext w:val="0"/>
              <w:keepLines w:val="0"/>
              <w:widowControl/>
              <w:suppressLineNumbers w:val="0"/>
              <w:jc w:val="center"/>
              <w:textAlignment w:val="bottom"/>
              <w:rPr>
                <w:rFonts w:hint="default" w:ascii="Times New Roman" w:hAnsi="Times New Roman" w:eastAsia="等线" w:cs="Times New Roman"/>
                <w:color w:val="000000"/>
                <w:sz w:val="21"/>
                <w:szCs w:val="21"/>
              </w:rPr>
            </w:pPr>
            <w:r>
              <w:rPr>
                <w:rFonts w:hint="default" w:ascii="Times New Roman" w:hAnsi="Times New Roman" w:eastAsia="等线" w:cs="Times New Roman"/>
                <w:i w:val="0"/>
                <w:iCs w:val="0"/>
                <w:color w:val="000000"/>
                <w:kern w:val="0"/>
                <w:sz w:val="21"/>
                <w:szCs w:val="21"/>
                <w:u w:val="none"/>
                <w:lang w:val="en-US" w:eastAsia="zh-CN" w:bidi="ar"/>
              </w:rPr>
              <w:t>0.071</w:t>
            </w:r>
          </w:p>
        </w:tc>
        <w:tc>
          <w:tcPr>
            <w:tcW w:w="1560" w:type="dxa"/>
            <w:vAlign w:val="center"/>
          </w:tcPr>
          <w:p w14:paraId="0D11A2F9">
            <w:pPr>
              <w:keepNext w:val="0"/>
              <w:keepLines w:val="0"/>
              <w:widowControl/>
              <w:suppressLineNumbers w:val="0"/>
              <w:jc w:val="center"/>
              <w:textAlignment w:val="bottom"/>
              <w:rPr>
                <w:rFonts w:hint="default" w:ascii="Times New Roman" w:hAnsi="Times New Roman" w:eastAsia="等线" w:cs="Times New Roman"/>
                <w:color w:val="000000"/>
                <w:sz w:val="21"/>
                <w:szCs w:val="21"/>
              </w:rPr>
            </w:pPr>
            <w:r>
              <w:rPr>
                <w:rFonts w:hint="default" w:ascii="Times New Roman" w:hAnsi="Times New Roman" w:eastAsia="等线" w:cs="Times New Roman"/>
                <w:i w:val="0"/>
                <w:iCs w:val="0"/>
                <w:color w:val="000000"/>
                <w:kern w:val="0"/>
                <w:sz w:val="21"/>
                <w:szCs w:val="21"/>
                <w:u w:val="none"/>
                <w:lang w:val="en-US" w:eastAsia="zh-CN" w:bidi="ar"/>
              </w:rPr>
              <w:t>0.0642</w:t>
            </w:r>
          </w:p>
        </w:tc>
        <w:tc>
          <w:tcPr>
            <w:tcW w:w="1704" w:type="dxa"/>
            <w:vAlign w:val="center"/>
          </w:tcPr>
          <w:p w14:paraId="6D9B9F5A">
            <w:pPr>
              <w:keepNext w:val="0"/>
              <w:keepLines w:val="0"/>
              <w:widowControl/>
              <w:suppressLineNumbers w:val="0"/>
              <w:jc w:val="center"/>
              <w:textAlignment w:val="bottom"/>
              <w:rPr>
                <w:rFonts w:hint="default" w:ascii="Times New Roman" w:hAnsi="Times New Roman" w:eastAsia="等线" w:cs="Times New Roman"/>
                <w:color w:val="000000"/>
                <w:sz w:val="21"/>
                <w:szCs w:val="21"/>
              </w:rPr>
            </w:pPr>
            <w:r>
              <w:rPr>
                <w:rFonts w:hint="default" w:ascii="Times New Roman" w:hAnsi="Times New Roman" w:eastAsia="等线" w:cs="Times New Roman"/>
                <w:i w:val="0"/>
                <w:iCs w:val="0"/>
                <w:color w:val="000000"/>
                <w:kern w:val="0"/>
                <w:sz w:val="21"/>
                <w:szCs w:val="21"/>
                <w:u w:val="none"/>
                <w:lang w:val="en-US" w:eastAsia="zh-CN" w:bidi="ar"/>
              </w:rPr>
              <w:t>0.099</w:t>
            </w:r>
          </w:p>
        </w:tc>
        <w:tc>
          <w:tcPr>
            <w:tcW w:w="1388" w:type="dxa"/>
            <w:vAlign w:val="center"/>
          </w:tcPr>
          <w:p w14:paraId="6A5266CF">
            <w:pPr>
              <w:keepNext w:val="0"/>
              <w:keepLines w:val="0"/>
              <w:widowControl/>
              <w:suppressLineNumbers w:val="0"/>
              <w:jc w:val="center"/>
              <w:textAlignment w:val="bottom"/>
              <w:rPr>
                <w:rFonts w:hint="default" w:ascii="Times New Roman" w:hAnsi="Times New Roman" w:eastAsia="等线" w:cs="Times New Roman"/>
                <w:color w:val="000000"/>
                <w:sz w:val="21"/>
                <w:szCs w:val="21"/>
              </w:rPr>
            </w:pPr>
            <w:r>
              <w:rPr>
                <w:rFonts w:hint="default" w:ascii="Times New Roman" w:hAnsi="Times New Roman" w:eastAsia="等线" w:cs="Times New Roman"/>
                <w:i w:val="0"/>
                <w:iCs w:val="0"/>
                <w:color w:val="000000"/>
                <w:kern w:val="0"/>
                <w:sz w:val="21"/>
                <w:szCs w:val="21"/>
                <w:u w:val="none"/>
                <w:lang w:val="en-US" w:eastAsia="zh-CN" w:bidi="ar"/>
              </w:rPr>
              <w:t>0.173</w:t>
            </w:r>
          </w:p>
        </w:tc>
        <w:tc>
          <w:tcPr>
            <w:tcW w:w="1497" w:type="dxa"/>
            <w:vAlign w:val="center"/>
          </w:tcPr>
          <w:p w14:paraId="3A066252">
            <w:pPr>
              <w:keepNext w:val="0"/>
              <w:keepLines w:val="0"/>
              <w:widowControl/>
              <w:suppressLineNumbers w:val="0"/>
              <w:jc w:val="center"/>
              <w:textAlignment w:val="bottom"/>
              <w:rPr>
                <w:rFonts w:hint="default" w:ascii="Times New Roman" w:hAnsi="Times New Roman" w:eastAsia="等线" w:cs="Times New Roman"/>
                <w:color w:val="000000"/>
                <w:sz w:val="21"/>
                <w:szCs w:val="21"/>
              </w:rPr>
            </w:pPr>
            <w:r>
              <w:rPr>
                <w:rFonts w:hint="default" w:ascii="Times New Roman" w:hAnsi="Times New Roman" w:eastAsia="等线" w:cs="Times New Roman"/>
                <w:i w:val="0"/>
                <w:iCs w:val="0"/>
                <w:color w:val="000000"/>
                <w:kern w:val="0"/>
                <w:sz w:val="21"/>
                <w:szCs w:val="21"/>
                <w:u w:val="none"/>
                <w:lang w:val="en-US" w:eastAsia="zh-CN" w:bidi="ar"/>
              </w:rPr>
              <w:t>102.67</w:t>
            </w:r>
          </w:p>
        </w:tc>
      </w:tr>
      <w:tr w14:paraId="5C2A5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958" w:type="dxa"/>
            <w:vAlign w:val="center"/>
          </w:tcPr>
          <w:p w14:paraId="37704884">
            <w:pPr>
              <w:keepNext w:val="0"/>
              <w:keepLines w:val="0"/>
              <w:widowControl/>
              <w:suppressLineNumbers w:val="0"/>
              <w:jc w:val="center"/>
              <w:textAlignment w:val="bottom"/>
              <w:rPr>
                <w:rFonts w:hint="default" w:ascii="Times New Roman" w:hAnsi="Times New Roman" w:eastAsia="等线" w:cs="Times New Roman"/>
                <w:color w:val="000000"/>
                <w:sz w:val="21"/>
                <w:szCs w:val="21"/>
              </w:rPr>
            </w:pPr>
            <w:r>
              <w:rPr>
                <w:rFonts w:hint="default" w:ascii="Times New Roman" w:hAnsi="Times New Roman" w:eastAsia="等线" w:cs="Times New Roman"/>
                <w:i w:val="0"/>
                <w:iCs w:val="0"/>
                <w:color w:val="000000"/>
                <w:kern w:val="0"/>
                <w:sz w:val="21"/>
                <w:szCs w:val="21"/>
                <w:u w:val="none"/>
                <w:lang w:val="en-US" w:eastAsia="zh-CN" w:bidi="ar"/>
              </w:rPr>
              <w:t>0.0518</w:t>
            </w:r>
          </w:p>
        </w:tc>
        <w:tc>
          <w:tcPr>
            <w:tcW w:w="1415" w:type="dxa"/>
            <w:vAlign w:val="center"/>
          </w:tcPr>
          <w:p w14:paraId="29DDCE70">
            <w:pPr>
              <w:keepNext w:val="0"/>
              <w:keepLines w:val="0"/>
              <w:widowControl/>
              <w:suppressLineNumbers w:val="0"/>
              <w:jc w:val="center"/>
              <w:textAlignment w:val="bottom"/>
              <w:rPr>
                <w:rFonts w:hint="default" w:ascii="Times New Roman" w:hAnsi="Times New Roman" w:eastAsia="等线" w:cs="Times New Roman"/>
                <w:color w:val="000000"/>
                <w:sz w:val="21"/>
                <w:szCs w:val="21"/>
              </w:rPr>
            </w:pPr>
            <w:r>
              <w:rPr>
                <w:rFonts w:hint="default" w:ascii="Times New Roman" w:hAnsi="Times New Roman" w:eastAsia="等线" w:cs="Times New Roman"/>
                <w:i w:val="0"/>
                <w:iCs w:val="0"/>
                <w:color w:val="000000"/>
                <w:kern w:val="0"/>
                <w:sz w:val="21"/>
                <w:szCs w:val="21"/>
                <w:u w:val="none"/>
                <w:lang w:val="en-US" w:eastAsia="zh-CN" w:bidi="ar"/>
              </w:rPr>
              <w:t>0.054</w:t>
            </w:r>
          </w:p>
        </w:tc>
        <w:tc>
          <w:tcPr>
            <w:tcW w:w="1560" w:type="dxa"/>
            <w:vAlign w:val="center"/>
          </w:tcPr>
          <w:p w14:paraId="1F1B1AB3">
            <w:pPr>
              <w:keepNext w:val="0"/>
              <w:keepLines w:val="0"/>
              <w:widowControl/>
              <w:suppressLineNumbers w:val="0"/>
              <w:jc w:val="center"/>
              <w:textAlignment w:val="bottom"/>
              <w:rPr>
                <w:rFonts w:hint="default" w:ascii="Times New Roman" w:hAnsi="Times New Roman" w:eastAsia="等线" w:cs="Times New Roman"/>
                <w:color w:val="000000"/>
                <w:sz w:val="21"/>
                <w:szCs w:val="21"/>
              </w:rPr>
            </w:pPr>
            <w:r>
              <w:rPr>
                <w:rFonts w:hint="default" w:ascii="Times New Roman" w:hAnsi="Times New Roman" w:eastAsia="等线" w:cs="Times New Roman"/>
                <w:i w:val="0"/>
                <w:iCs w:val="0"/>
                <w:color w:val="000000"/>
                <w:kern w:val="0"/>
                <w:sz w:val="21"/>
                <w:szCs w:val="21"/>
                <w:u w:val="none"/>
                <w:lang w:val="en-US" w:eastAsia="zh-CN" w:bidi="ar"/>
              </w:rPr>
              <w:t>0.0503</w:t>
            </w:r>
          </w:p>
        </w:tc>
        <w:tc>
          <w:tcPr>
            <w:tcW w:w="1704" w:type="dxa"/>
            <w:vAlign w:val="center"/>
          </w:tcPr>
          <w:p w14:paraId="4B9C7928">
            <w:pPr>
              <w:keepNext w:val="0"/>
              <w:keepLines w:val="0"/>
              <w:widowControl/>
              <w:suppressLineNumbers w:val="0"/>
              <w:jc w:val="center"/>
              <w:textAlignment w:val="bottom"/>
              <w:rPr>
                <w:rFonts w:hint="default" w:ascii="Times New Roman" w:hAnsi="Times New Roman" w:eastAsia="等线" w:cs="Times New Roman"/>
                <w:color w:val="000000"/>
                <w:sz w:val="21"/>
                <w:szCs w:val="21"/>
              </w:rPr>
            </w:pPr>
            <w:r>
              <w:rPr>
                <w:rFonts w:hint="default" w:ascii="Times New Roman" w:hAnsi="Times New Roman" w:eastAsia="等线" w:cs="Times New Roman"/>
                <w:i w:val="0"/>
                <w:iCs w:val="0"/>
                <w:color w:val="000000"/>
                <w:kern w:val="0"/>
                <w:sz w:val="21"/>
                <w:szCs w:val="21"/>
                <w:u w:val="none"/>
                <w:lang w:val="en-US" w:eastAsia="zh-CN" w:bidi="ar"/>
              </w:rPr>
              <w:t>0.077</w:t>
            </w:r>
          </w:p>
        </w:tc>
        <w:tc>
          <w:tcPr>
            <w:tcW w:w="1388" w:type="dxa"/>
            <w:vAlign w:val="center"/>
          </w:tcPr>
          <w:p w14:paraId="67B2079A">
            <w:pPr>
              <w:keepNext w:val="0"/>
              <w:keepLines w:val="0"/>
              <w:widowControl/>
              <w:suppressLineNumbers w:val="0"/>
              <w:jc w:val="center"/>
              <w:textAlignment w:val="bottom"/>
              <w:rPr>
                <w:rFonts w:hint="default" w:ascii="Times New Roman" w:hAnsi="Times New Roman" w:eastAsia="等线" w:cs="Times New Roman"/>
                <w:color w:val="000000"/>
                <w:sz w:val="21"/>
                <w:szCs w:val="21"/>
              </w:rPr>
            </w:pPr>
            <w:r>
              <w:rPr>
                <w:rFonts w:hint="default" w:ascii="Times New Roman" w:hAnsi="Times New Roman" w:eastAsia="等线" w:cs="Times New Roman"/>
                <w:i w:val="0"/>
                <w:iCs w:val="0"/>
                <w:color w:val="000000"/>
                <w:kern w:val="0"/>
                <w:sz w:val="21"/>
                <w:szCs w:val="21"/>
                <w:u w:val="none"/>
                <w:lang w:val="en-US" w:eastAsia="zh-CN" w:bidi="ar"/>
              </w:rPr>
              <w:t>0.128</w:t>
            </w:r>
          </w:p>
        </w:tc>
        <w:tc>
          <w:tcPr>
            <w:tcW w:w="1497" w:type="dxa"/>
            <w:vAlign w:val="center"/>
          </w:tcPr>
          <w:p w14:paraId="384FC620">
            <w:pPr>
              <w:keepNext w:val="0"/>
              <w:keepLines w:val="0"/>
              <w:widowControl/>
              <w:suppressLineNumbers w:val="0"/>
              <w:jc w:val="center"/>
              <w:textAlignment w:val="bottom"/>
              <w:rPr>
                <w:rFonts w:hint="default" w:ascii="Times New Roman" w:hAnsi="Times New Roman" w:eastAsia="等线" w:cs="Times New Roman"/>
                <w:color w:val="000000"/>
                <w:sz w:val="21"/>
                <w:szCs w:val="21"/>
              </w:rPr>
            </w:pPr>
            <w:r>
              <w:rPr>
                <w:rFonts w:hint="default" w:ascii="Times New Roman" w:hAnsi="Times New Roman" w:eastAsia="等线" w:cs="Times New Roman"/>
                <w:i w:val="0"/>
                <w:iCs w:val="0"/>
                <w:color w:val="000000"/>
                <w:kern w:val="0"/>
                <w:sz w:val="21"/>
                <w:szCs w:val="21"/>
                <w:u w:val="none"/>
                <w:lang w:val="en-US" w:eastAsia="zh-CN" w:bidi="ar"/>
              </w:rPr>
              <w:t>95.48</w:t>
            </w:r>
          </w:p>
        </w:tc>
      </w:tr>
    </w:tbl>
    <w:p w14:paraId="34DB3A9E">
      <w:pPr>
        <w:spacing w:line="360" w:lineRule="auto"/>
        <w:ind w:firstLine="420" w:firstLineChars="200"/>
        <w:rPr>
          <w:szCs w:val="21"/>
        </w:rPr>
      </w:pPr>
      <w:r>
        <w:t>实验结果显示，碳的</w:t>
      </w:r>
      <w:r>
        <w:rPr>
          <w:szCs w:val="21"/>
        </w:rPr>
        <w:t>加标回收率在</w:t>
      </w:r>
      <w:r>
        <w:rPr>
          <w:color w:val="000000"/>
          <w:kern w:val="0"/>
          <w:sz w:val="22"/>
          <w:szCs w:val="22"/>
          <w:lang w:bidi="ar"/>
        </w:rPr>
        <w:t>9</w:t>
      </w:r>
      <w:r>
        <w:rPr>
          <w:rFonts w:hint="eastAsia"/>
          <w:color w:val="000000"/>
          <w:kern w:val="0"/>
          <w:sz w:val="22"/>
          <w:szCs w:val="22"/>
          <w:lang w:val="en-US" w:eastAsia="zh-CN" w:bidi="ar"/>
        </w:rPr>
        <w:t>9</w:t>
      </w:r>
      <w:r>
        <w:rPr>
          <w:color w:val="000000"/>
          <w:kern w:val="0"/>
          <w:sz w:val="22"/>
          <w:szCs w:val="22"/>
          <w:lang w:bidi="ar"/>
        </w:rPr>
        <w:t>.</w:t>
      </w:r>
      <w:r>
        <w:rPr>
          <w:rFonts w:hint="eastAsia"/>
          <w:color w:val="000000"/>
          <w:kern w:val="0"/>
          <w:sz w:val="22"/>
          <w:szCs w:val="22"/>
          <w:lang w:val="en-US" w:eastAsia="zh-CN" w:bidi="ar"/>
        </w:rPr>
        <w:t>11</w:t>
      </w:r>
      <w:r>
        <w:rPr>
          <w:szCs w:val="21"/>
        </w:rPr>
        <w:t>%~</w:t>
      </w:r>
      <w:r>
        <w:rPr>
          <w:color w:val="000000"/>
          <w:kern w:val="0"/>
          <w:sz w:val="22"/>
          <w:szCs w:val="22"/>
          <w:lang w:bidi="ar"/>
        </w:rPr>
        <w:t>10</w:t>
      </w:r>
      <w:r>
        <w:rPr>
          <w:rFonts w:hint="eastAsia"/>
          <w:color w:val="000000"/>
          <w:kern w:val="0"/>
          <w:sz w:val="22"/>
          <w:szCs w:val="22"/>
          <w:lang w:bidi="ar"/>
        </w:rPr>
        <w:t>2</w:t>
      </w:r>
      <w:r>
        <w:rPr>
          <w:color w:val="000000"/>
          <w:kern w:val="0"/>
          <w:sz w:val="22"/>
          <w:szCs w:val="22"/>
          <w:lang w:bidi="ar"/>
        </w:rPr>
        <w:t>.</w:t>
      </w:r>
      <w:r>
        <w:rPr>
          <w:rFonts w:hint="eastAsia"/>
          <w:color w:val="000000"/>
          <w:kern w:val="0"/>
          <w:sz w:val="22"/>
          <w:szCs w:val="22"/>
          <w:lang w:val="en-US" w:eastAsia="zh-CN" w:bidi="ar"/>
        </w:rPr>
        <w:t>76</w:t>
      </w:r>
      <w:r>
        <w:rPr>
          <w:szCs w:val="21"/>
        </w:rPr>
        <w:t>%，</w:t>
      </w:r>
      <w:r>
        <w:t>硫的</w:t>
      </w:r>
      <w:r>
        <w:rPr>
          <w:szCs w:val="21"/>
        </w:rPr>
        <w:t>加标回收率在</w:t>
      </w:r>
      <w:r>
        <w:rPr>
          <w:color w:val="000000"/>
          <w:kern w:val="0"/>
          <w:sz w:val="22"/>
          <w:szCs w:val="22"/>
          <w:lang w:bidi="ar"/>
        </w:rPr>
        <w:t>9</w:t>
      </w:r>
      <w:r>
        <w:rPr>
          <w:rFonts w:hint="eastAsia"/>
          <w:color w:val="000000"/>
          <w:kern w:val="0"/>
          <w:sz w:val="22"/>
          <w:szCs w:val="22"/>
          <w:lang w:val="en-US" w:eastAsia="zh-CN" w:bidi="ar"/>
        </w:rPr>
        <w:t>5.48</w:t>
      </w:r>
      <w:r>
        <w:rPr>
          <w:szCs w:val="21"/>
        </w:rPr>
        <w:t>%~</w:t>
      </w:r>
      <w:r>
        <w:rPr>
          <w:color w:val="000000"/>
          <w:kern w:val="0"/>
          <w:sz w:val="22"/>
          <w:szCs w:val="22"/>
          <w:lang w:bidi="ar"/>
        </w:rPr>
        <w:t>10</w:t>
      </w:r>
      <w:r>
        <w:rPr>
          <w:rFonts w:hint="eastAsia"/>
          <w:color w:val="000000"/>
          <w:kern w:val="0"/>
          <w:sz w:val="22"/>
          <w:szCs w:val="22"/>
          <w:lang w:val="en-US" w:eastAsia="zh-CN" w:bidi="ar"/>
        </w:rPr>
        <w:t>5.85</w:t>
      </w:r>
      <w:r>
        <w:rPr>
          <w:szCs w:val="21"/>
        </w:rPr>
        <w:t>%，回收率良好。</w:t>
      </w:r>
    </w:p>
    <w:p w14:paraId="59649078">
      <w:pPr>
        <w:pStyle w:val="6"/>
        <w:tabs>
          <w:tab w:val="left" w:pos="426"/>
        </w:tabs>
        <w:spacing w:before="156" w:beforeLines="50" w:after="156" w:afterLines="50" w:line="360" w:lineRule="auto"/>
        <w:rPr>
          <w:rFonts w:ascii="Times New Roman" w:hAnsi="Times New Roman" w:cs="Times New Roman"/>
          <w:b/>
        </w:rPr>
      </w:pPr>
      <w:r>
        <w:rPr>
          <w:rFonts w:ascii="Times New Roman" w:hAnsi="Times New Roman" w:cs="Times New Roman"/>
          <w:b/>
        </w:rPr>
        <w:t>9  结论</w:t>
      </w:r>
    </w:p>
    <w:p w14:paraId="020739F8">
      <w:pPr>
        <w:spacing w:line="360" w:lineRule="auto"/>
        <w:ind w:firstLine="420" w:firstLineChars="200"/>
        <w:rPr>
          <w:color w:val="444444"/>
        </w:rPr>
      </w:pPr>
      <w:r>
        <w:rPr>
          <w:color w:val="444444"/>
        </w:rPr>
        <w:t>本方法采用高频燃烧红外吸收法测定</w:t>
      </w:r>
      <w:r>
        <w:rPr>
          <w:szCs w:val="21"/>
        </w:rPr>
        <w:t>磷酸锰铁锂中碳和硫的含量</w:t>
      </w:r>
      <w:r>
        <w:rPr>
          <w:color w:val="444444"/>
        </w:rPr>
        <w:t>，通过条件试验选定最佳测试条件，对实际样品进行测试，精密度较好，</w:t>
      </w:r>
      <w:r>
        <w:t>碳的</w:t>
      </w:r>
      <w:r>
        <w:rPr>
          <w:szCs w:val="21"/>
        </w:rPr>
        <w:t>加标回收率在</w:t>
      </w:r>
      <w:r>
        <w:rPr>
          <w:color w:val="000000"/>
          <w:kern w:val="0"/>
          <w:sz w:val="22"/>
          <w:szCs w:val="22"/>
          <w:lang w:bidi="ar"/>
        </w:rPr>
        <w:t>9</w:t>
      </w:r>
      <w:r>
        <w:rPr>
          <w:rFonts w:hint="eastAsia"/>
          <w:color w:val="000000"/>
          <w:kern w:val="0"/>
          <w:sz w:val="22"/>
          <w:szCs w:val="22"/>
          <w:lang w:val="en-US" w:eastAsia="zh-CN" w:bidi="ar"/>
        </w:rPr>
        <w:t>9</w:t>
      </w:r>
      <w:r>
        <w:rPr>
          <w:color w:val="000000"/>
          <w:kern w:val="0"/>
          <w:sz w:val="22"/>
          <w:szCs w:val="22"/>
          <w:lang w:bidi="ar"/>
        </w:rPr>
        <w:t>.</w:t>
      </w:r>
      <w:r>
        <w:rPr>
          <w:rFonts w:hint="eastAsia"/>
          <w:color w:val="000000"/>
          <w:kern w:val="0"/>
          <w:sz w:val="22"/>
          <w:szCs w:val="22"/>
          <w:lang w:val="en-US" w:eastAsia="zh-CN" w:bidi="ar"/>
        </w:rPr>
        <w:t>11</w:t>
      </w:r>
      <w:r>
        <w:rPr>
          <w:szCs w:val="21"/>
        </w:rPr>
        <w:t>%~</w:t>
      </w:r>
      <w:r>
        <w:rPr>
          <w:color w:val="000000"/>
          <w:kern w:val="0"/>
          <w:sz w:val="22"/>
          <w:szCs w:val="22"/>
          <w:lang w:bidi="ar"/>
        </w:rPr>
        <w:t>10</w:t>
      </w:r>
      <w:r>
        <w:rPr>
          <w:rFonts w:hint="eastAsia"/>
          <w:color w:val="000000"/>
          <w:kern w:val="0"/>
          <w:sz w:val="22"/>
          <w:szCs w:val="22"/>
          <w:lang w:bidi="ar"/>
        </w:rPr>
        <w:t>2</w:t>
      </w:r>
      <w:r>
        <w:rPr>
          <w:color w:val="000000"/>
          <w:kern w:val="0"/>
          <w:sz w:val="22"/>
          <w:szCs w:val="22"/>
          <w:lang w:bidi="ar"/>
        </w:rPr>
        <w:t>.</w:t>
      </w:r>
      <w:r>
        <w:rPr>
          <w:rFonts w:hint="eastAsia"/>
          <w:color w:val="000000"/>
          <w:kern w:val="0"/>
          <w:sz w:val="22"/>
          <w:szCs w:val="22"/>
          <w:lang w:val="en-US" w:eastAsia="zh-CN" w:bidi="ar"/>
        </w:rPr>
        <w:t>76</w:t>
      </w:r>
      <w:r>
        <w:rPr>
          <w:szCs w:val="21"/>
        </w:rPr>
        <w:t>%，</w:t>
      </w:r>
      <w:r>
        <w:t>硫的</w:t>
      </w:r>
      <w:r>
        <w:rPr>
          <w:szCs w:val="21"/>
        </w:rPr>
        <w:t>加标回收率在</w:t>
      </w:r>
      <w:r>
        <w:rPr>
          <w:color w:val="000000"/>
          <w:kern w:val="0"/>
          <w:sz w:val="22"/>
          <w:szCs w:val="22"/>
          <w:lang w:bidi="ar"/>
        </w:rPr>
        <w:t>9</w:t>
      </w:r>
      <w:r>
        <w:rPr>
          <w:rFonts w:hint="eastAsia"/>
          <w:color w:val="000000"/>
          <w:kern w:val="0"/>
          <w:sz w:val="22"/>
          <w:szCs w:val="22"/>
          <w:lang w:val="en-US" w:eastAsia="zh-CN" w:bidi="ar"/>
        </w:rPr>
        <w:t>5.48</w:t>
      </w:r>
      <w:r>
        <w:rPr>
          <w:szCs w:val="21"/>
        </w:rPr>
        <w:t>%~</w:t>
      </w:r>
      <w:r>
        <w:rPr>
          <w:color w:val="000000"/>
          <w:kern w:val="0"/>
          <w:sz w:val="22"/>
          <w:szCs w:val="22"/>
          <w:lang w:bidi="ar"/>
        </w:rPr>
        <w:t>10</w:t>
      </w:r>
      <w:r>
        <w:rPr>
          <w:rFonts w:hint="eastAsia"/>
          <w:color w:val="000000"/>
          <w:kern w:val="0"/>
          <w:sz w:val="22"/>
          <w:szCs w:val="22"/>
          <w:lang w:val="en-US" w:eastAsia="zh-CN" w:bidi="ar"/>
        </w:rPr>
        <w:t>5.85</w:t>
      </w:r>
      <w:r>
        <w:rPr>
          <w:szCs w:val="21"/>
        </w:rPr>
        <w:t>%，，</w:t>
      </w:r>
      <w:r>
        <w:rPr>
          <w:color w:val="444444"/>
        </w:rPr>
        <w:t>方法准确度高、检出限低、检测速度快，可推荐作为标准分析方法。</w:t>
      </w:r>
    </w:p>
    <w:p w14:paraId="0979AB53">
      <w:pPr>
        <w:spacing w:line="360" w:lineRule="auto"/>
        <w:rPr>
          <w:color w:val="444444"/>
          <w:szCs w:val="21"/>
        </w:rPr>
      </w:pPr>
    </w:p>
    <w:p w14:paraId="05CEDDFE"/>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884827"/>
    <w:multiLevelType w:val="multilevel"/>
    <w:tmpl w:val="5E884827"/>
    <w:lvl w:ilvl="0" w:tentative="0">
      <w:start w:val="1"/>
      <w:numFmt w:val="decimal"/>
      <w:lvlText w:val="%1"/>
      <w:lvlJc w:val="left"/>
      <w:pPr>
        <w:tabs>
          <w:tab w:val="left" w:pos="420"/>
        </w:tabs>
        <w:ind w:left="420" w:hanging="420"/>
      </w:pPr>
      <w:rPr>
        <w:rFonts w:hint="default"/>
      </w:rPr>
    </w:lvl>
    <w:lvl w:ilvl="1" w:tentative="0">
      <w:start w:val="0"/>
      <w:numFmt w:val="none"/>
      <w:pStyle w:val="13"/>
      <w:lvlText w:val=""/>
      <w:lvlJc w:val="left"/>
      <w:pPr>
        <w:tabs>
          <w:tab w:val="left" w:pos="360"/>
        </w:tabs>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none"/>
      <w:lvlText w:val=""/>
      <w:lvlJc w:val="left"/>
      <w:pPr>
        <w:tabs>
          <w:tab w:val="left" w:pos="360"/>
        </w:tabs>
      </w:pPr>
    </w:lvl>
    <w:lvl w:ilvl="5" w:tentative="0">
      <w:start w:val="0"/>
      <w:numFmt w:val="none"/>
      <w:lvlText w:val=""/>
      <w:lvlJc w:val="left"/>
      <w:pPr>
        <w:tabs>
          <w:tab w:val="left" w:pos="360"/>
        </w:tabs>
      </w:pPr>
    </w:lvl>
    <w:lvl w:ilvl="6" w:tentative="0">
      <w:start w:val="0"/>
      <w:numFmt w:val="none"/>
      <w:lvlText w:val=""/>
      <w:lvlJc w:val="left"/>
      <w:pPr>
        <w:tabs>
          <w:tab w:val="left" w:pos="360"/>
        </w:tabs>
      </w:pPr>
    </w:lvl>
    <w:lvl w:ilvl="7" w:tentative="0">
      <w:start w:val="0"/>
      <w:numFmt w:val="none"/>
      <w:lvlText w:val=""/>
      <w:lvlJc w:val="left"/>
      <w:pPr>
        <w:tabs>
          <w:tab w:val="left" w:pos="360"/>
        </w:tabs>
      </w:pPr>
    </w:lvl>
    <w:lvl w:ilvl="8" w:tentative="0">
      <w:start w:val="0"/>
      <w:numFmt w:val="none"/>
      <w:lvlText w:val=""/>
      <w:lvlJc w:val="left"/>
      <w:pPr>
        <w:tabs>
          <w:tab w:val="left" w:pos="360"/>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D37"/>
    <w:rsid w:val="00000730"/>
    <w:rsid w:val="0001337F"/>
    <w:rsid w:val="00014496"/>
    <w:rsid w:val="000447E0"/>
    <w:rsid w:val="00046FDA"/>
    <w:rsid w:val="0008415B"/>
    <w:rsid w:val="00101CEC"/>
    <w:rsid w:val="00127568"/>
    <w:rsid w:val="00127B82"/>
    <w:rsid w:val="001A2323"/>
    <w:rsid w:val="001F1EB5"/>
    <w:rsid w:val="00240585"/>
    <w:rsid w:val="002A4E82"/>
    <w:rsid w:val="002C3C71"/>
    <w:rsid w:val="002E0C37"/>
    <w:rsid w:val="0036337F"/>
    <w:rsid w:val="00366D1B"/>
    <w:rsid w:val="003B1E93"/>
    <w:rsid w:val="003B75D3"/>
    <w:rsid w:val="003C45DE"/>
    <w:rsid w:val="003C6369"/>
    <w:rsid w:val="00433101"/>
    <w:rsid w:val="00462B1C"/>
    <w:rsid w:val="004E1F01"/>
    <w:rsid w:val="004E6CE6"/>
    <w:rsid w:val="005D0B23"/>
    <w:rsid w:val="005F6E6A"/>
    <w:rsid w:val="00643CC8"/>
    <w:rsid w:val="006B11A4"/>
    <w:rsid w:val="006B733B"/>
    <w:rsid w:val="0072714E"/>
    <w:rsid w:val="00752D37"/>
    <w:rsid w:val="007654EF"/>
    <w:rsid w:val="007E4E17"/>
    <w:rsid w:val="00805A93"/>
    <w:rsid w:val="00895A42"/>
    <w:rsid w:val="008A170F"/>
    <w:rsid w:val="008A47EC"/>
    <w:rsid w:val="008C6A1F"/>
    <w:rsid w:val="008D1DBC"/>
    <w:rsid w:val="00A55CDD"/>
    <w:rsid w:val="00AA445E"/>
    <w:rsid w:val="00AD0594"/>
    <w:rsid w:val="00C53531"/>
    <w:rsid w:val="00CD692D"/>
    <w:rsid w:val="00D036B1"/>
    <w:rsid w:val="00D14FAE"/>
    <w:rsid w:val="00D27EBA"/>
    <w:rsid w:val="00D30448"/>
    <w:rsid w:val="00D343E1"/>
    <w:rsid w:val="00D34AAA"/>
    <w:rsid w:val="00D60205"/>
    <w:rsid w:val="00E1541F"/>
    <w:rsid w:val="00E16176"/>
    <w:rsid w:val="00E3233A"/>
    <w:rsid w:val="00EB07CE"/>
    <w:rsid w:val="00EE6CA7"/>
    <w:rsid w:val="00EF02F1"/>
    <w:rsid w:val="00FA1236"/>
    <w:rsid w:val="00FA6CD0"/>
    <w:rsid w:val="00FC6EA1"/>
    <w:rsid w:val="01A016D9"/>
    <w:rsid w:val="021C178F"/>
    <w:rsid w:val="04D9643E"/>
    <w:rsid w:val="07437ACB"/>
    <w:rsid w:val="10697FD4"/>
    <w:rsid w:val="11D020A7"/>
    <w:rsid w:val="1235042F"/>
    <w:rsid w:val="12B15FFF"/>
    <w:rsid w:val="159B7EEA"/>
    <w:rsid w:val="17952A22"/>
    <w:rsid w:val="187529D9"/>
    <w:rsid w:val="19B94CB3"/>
    <w:rsid w:val="1B7725C5"/>
    <w:rsid w:val="1DFD6E91"/>
    <w:rsid w:val="23257E00"/>
    <w:rsid w:val="25901EF1"/>
    <w:rsid w:val="275C1F52"/>
    <w:rsid w:val="27E42FC4"/>
    <w:rsid w:val="2A536815"/>
    <w:rsid w:val="2D547B65"/>
    <w:rsid w:val="2E2F565B"/>
    <w:rsid w:val="31290AA8"/>
    <w:rsid w:val="31632691"/>
    <w:rsid w:val="31A919E1"/>
    <w:rsid w:val="34694C78"/>
    <w:rsid w:val="35DC5B9F"/>
    <w:rsid w:val="3A0B2CF9"/>
    <w:rsid w:val="3CBD3899"/>
    <w:rsid w:val="3CCC63E4"/>
    <w:rsid w:val="3E135399"/>
    <w:rsid w:val="3E261EFC"/>
    <w:rsid w:val="43305DCE"/>
    <w:rsid w:val="457B352B"/>
    <w:rsid w:val="4AFF5FAF"/>
    <w:rsid w:val="4D5A6B8B"/>
    <w:rsid w:val="4D901140"/>
    <w:rsid w:val="4E7C0211"/>
    <w:rsid w:val="4EA51F9E"/>
    <w:rsid w:val="4F7F1F52"/>
    <w:rsid w:val="538A03E0"/>
    <w:rsid w:val="5429355B"/>
    <w:rsid w:val="54B305F4"/>
    <w:rsid w:val="56E017F0"/>
    <w:rsid w:val="57BF1302"/>
    <w:rsid w:val="57CE38F4"/>
    <w:rsid w:val="587A1708"/>
    <w:rsid w:val="59BE5287"/>
    <w:rsid w:val="5A3115B5"/>
    <w:rsid w:val="5C290A98"/>
    <w:rsid w:val="60CD2ACA"/>
    <w:rsid w:val="60E16353"/>
    <w:rsid w:val="65150451"/>
    <w:rsid w:val="66EE143C"/>
    <w:rsid w:val="676237FF"/>
    <w:rsid w:val="678E0047"/>
    <w:rsid w:val="69C42446"/>
    <w:rsid w:val="69D810EC"/>
    <w:rsid w:val="69F71592"/>
    <w:rsid w:val="6ACB1CDF"/>
    <w:rsid w:val="6B5B0E80"/>
    <w:rsid w:val="6C580C23"/>
    <w:rsid w:val="6D5A0849"/>
    <w:rsid w:val="6D656DF9"/>
    <w:rsid w:val="6F820F9D"/>
    <w:rsid w:val="700C41FF"/>
    <w:rsid w:val="70F53728"/>
    <w:rsid w:val="71B623E4"/>
    <w:rsid w:val="74BA6798"/>
    <w:rsid w:val="78376779"/>
    <w:rsid w:val="78FF0D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3"/>
    <w:next w:val="4"/>
    <w:unhideWhenUsed/>
    <w:qFormat/>
    <w:uiPriority w:val="9"/>
    <w:pPr>
      <w:keepNext/>
      <w:keepLines/>
      <w:spacing w:line="415" w:lineRule="auto"/>
      <w:outlineLvl w:val="1"/>
    </w:pPr>
    <w:rPr>
      <w:rFonts w:ascii="Cambria" w:hAnsi="Cambria" w:eastAsia="黑体"/>
      <w:bCs/>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toc 1"/>
    <w:basedOn w:val="1"/>
    <w:next w:val="1"/>
    <w:qFormat/>
    <w:uiPriority w:val="39"/>
    <w:pPr>
      <w:adjustRightInd w:val="0"/>
      <w:spacing w:line="360" w:lineRule="atLeast"/>
      <w:jc w:val="left"/>
      <w:textAlignment w:val="baseline"/>
    </w:pPr>
    <w:rPr>
      <w:kern w:val="0"/>
      <w:sz w:val="24"/>
      <w:szCs w:val="20"/>
    </w:rPr>
  </w:style>
  <w:style w:type="paragraph" w:customStyle="1" w:styleId="4">
    <w:name w:val="Char"/>
    <w:basedOn w:val="1"/>
    <w:qFormat/>
    <w:uiPriority w:val="0"/>
    <w:pPr>
      <w:adjustRightInd w:val="0"/>
      <w:snapToGrid w:val="0"/>
      <w:ind w:firstLine="466"/>
      <w:textAlignment w:val="baseline"/>
    </w:pPr>
  </w:style>
  <w:style w:type="paragraph" w:styleId="5">
    <w:name w:val="annotation text"/>
    <w:basedOn w:val="1"/>
    <w:qFormat/>
    <w:uiPriority w:val="0"/>
    <w:pPr>
      <w:jc w:val="left"/>
    </w:pPr>
  </w:style>
  <w:style w:type="paragraph" w:styleId="6">
    <w:name w:val="Plain Text"/>
    <w:basedOn w:val="1"/>
    <w:link w:val="16"/>
    <w:qFormat/>
    <w:uiPriority w:val="0"/>
    <w:rPr>
      <w:rFonts w:ascii="宋体" w:hAnsi="Courier New" w:cs="Courier New"/>
      <w:szCs w:val="21"/>
    </w:rPr>
  </w:style>
  <w:style w:type="paragraph" w:styleId="7">
    <w:name w:val="footer"/>
    <w:basedOn w:val="1"/>
    <w:link w:val="15"/>
    <w:qFormat/>
    <w:uiPriority w:val="0"/>
    <w:pPr>
      <w:tabs>
        <w:tab w:val="center" w:pos="4153"/>
        <w:tab w:val="right" w:pos="8306"/>
      </w:tabs>
      <w:snapToGrid w:val="0"/>
      <w:jc w:val="left"/>
    </w:pPr>
    <w:rPr>
      <w:sz w:val="18"/>
      <w:szCs w:val="18"/>
    </w:rPr>
  </w:style>
  <w:style w:type="paragraph" w:styleId="8">
    <w:name w:val="header"/>
    <w:basedOn w:val="1"/>
    <w:link w:val="14"/>
    <w:qFormat/>
    <w:uiPriority w:val="0"/>
    <w:pPr>
      <w:tabs>
        <w:tab w:val="center" w:pos="4153"/>
        <w:tab w:val="right" w:pos="8306"/>
      </w:tabs>
      <w:snapToGrid w:val="0"/>
      <w:jc w:val="center"/>
    </w:pPr>
    <w:rPr>
      <w:sz w:val="18"/>
      <w:szCs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3">
    <w:name w:val="章标题"/>
    <w:next w:val="12"/>
    <w:qFormat/>
    <w:uiPriority w:val="0"/>
    <w:pPr>
      <w:numPr>
        <w:ilvl w:val="1"/>
        <w:numId w:val="1"/>
      </w:numPr>
      <w:spacing w:before="156" w:beforeLines="50" w:after="156" w:afterLines="50"/>
      <w:jc w:val="both"/>
      <w:outlineLvl w:val="1"/>
    </w:pPr>
    <w:rPr>
      <w:rFonts w:ascii="黑体" w:hAnsi="Calibri" w:eastAsia="黑体" w:cs="Times New Roman"/>
      <w:sz w:val="21"/>
      <w:lang w:val="en-US" w:eastAsia="zh-CN" w:bidi="ar-SA"/>
    </w:rPr>
  </w:style>
  <w:style w:type="character" w:customStyle="1" w:styleId="14">
    <w:name w:val="页眉 字符"/>
    <w:basedOn w:val="11"/>
    <w:link w:val="8"/>
    <w:qFormat/>
    <w:uiPriority w:val="0"/>
    <w:rPr>
      <w:rFonts w:ascii="Times New Roman" w:hAnsi="Times New Roman"/>
      <w:kern w:val="2"/>
      <w:sz w:val="18"/>
      <w:szCs w:val="18"/>
    </w:rPr>
  </w:style>
  <w:style w:type="character" w:customStyle="1" w:styleId="15">
    <w:name w:val="页脚 字符"/>
    <w:basedOn w:val="11"/>
    <w:link w:val="7"/>
    <w:qFormat/>
    <w:uiPriority w:val="0"/>
    <w:rPr>
      <w:rFonts w:ascii="Times New Roman" w:hAnsi="Times New Roman"/>
      <w:kern w:val="2"/>
      <w:sz w:val="18"/>
      <w:szCs w:val="18"/>
    </w:rPr>
  </w:style>
  <w:style w:type="character" w:customStyle="1" w:styleId="16">
    <w:name w:val="纯文本 字符"/>
    <w:basedOn w:val="11"/>
    <w:link w:val="6"/>
    <w:qFormat/>
    <w:uiPriority w:val="0"/>
    <w:rPr>
      <w:rFonts w:ascii="宋体" w:hAnsi="Courier New" w:cs="Courier New"/>
      <w:kern w:val="2"/>
      <w:sz w:val="21"/>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3797</Words>
  <Characters>5617</Characters>
  <Lines>252</Lines>
  <Paragraphs>296</Paragraphs>
  <TotalTime>1</TotalTime>
  <ScaleCrop>false</ScaleCrop>
  <LinksUpToDate>false</LinksUpToDate>
  <CharactersWithSpaces>5712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2026-04-07T02:13:00Z</dcterms:created>
  <dc:creator>huosh</dc:creator>
  <cp:lastModifiedBy>秋波</cp:lastModifiedBy>
  <dcterms:modified xsi:type="dcterms:W3CDTF">2026-09-02T02:47:34Z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eyJoZGlkIjoiNTU0ZmIwYTQ3NzlmZGUxZmU3Zjk0M2IyZTNmM2IxNjAiLCJ1c2VySWQiOiIyOTYxNzg3MzcifQ==</vt:lpwstr>
  </property>
  <property fmtid="{D5CDD505-2E9C-101B-9397-08002B2CF9AE}" pid="4" name="ICV">
    <vt:lpwstr>3820FF6BD26946F58D0AFB1CD06A77BD_13</vt:lpwstr>
  </property>
</Properties>
</file>