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03401E4">
      <w:pPr>
        <w:widowControl/>
        <w:snapToGrid w:val="0"/>
        <w:spacing w:after="156" w:afterLines="50" w:line="400" w:lineRule="exact"/>
        <w:jc w:val="left"/>
        <w:rPr>
          <w:kern w:val="0"/>
          <w:sz w:val="24"/>
        </w:rPr>
      </w:pPr>
      <w:r>
        <w:rPr>
          <w:kern w:val="0"/>
          <w:sz w:val="24"/>
        </w:rPr>
        <w:t>附件：</w:t>
      </w:r>
    </w:p>
    <w:p w14:paraId="2FF002D5">
      <w:pPr>
        <w:widowControl/>
        <w:spacing w:after="156" w:afterLines="50"/>
        <w:jc w:val="center"/>
        <w:rPr>
          <w:rFonts w:eastAsia="黑体"/>
          <w:color w:val="000000"/>
          <w:sz w:val="24"/>
        </w:rPr>
      </w:pPr>
      <w:r>
        <w:rPr>
          <w:rFonts w:eastAsia="黑体"/>
          <w:kern w:val="0"/>
          <w:sz w:val="24"/>
        </w:rPr>
        <w:t>会议</w:t>
      </w:r>
      <w:r>
        <w:rPr>
          <w:rFonts w:hint="eastAsia" w:eastAsia="黑体"/>
          <w:kern w:val="0"/>
          <w:sz w:val="24"/>
          <w:lang w:val="en-US" w:eastAsia="zh-CN"/>
        </w:rPr>
        <w:t>审定和预审</w:t>
      </w:r>
      <w:r>
        <w:rPr>
          <w:rFonts w:hint="eastAsia" w:eastAsia="黑体"/>
          <w:kern w:val="0"/>
          <w:sz w:val="24"/>
        </w:rPr>
        <w:t>的</w:t>
      </w:r>
      <w:r>
        <w:rPr>
          <w:rFonts w:eastAsia="黑体"/>
          <w:kern w:val="0"/>
          <w:sz w:val="24"/>
        </w:rPr>
        <w:t>标准项目</w:t>
      </w:r>
    </w:p>
    <w:tbl>
      <w:tblPr>
        <w:tblStyle w:val="3"/>
        <w:tblW w:w="502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45"/>
        <w:gridCol w:w="390"/>
        <w:gridCol w:w="2219"/>
        <w:gridCol w:w="2623"/>
        <w:gridCol w:w="2346"/>
        <w:gridCol w:w="634"/>
      </w:tblGrid>
      <w:tr w14:paraId="737CC6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01" w:type="pct"/>
            <w:noWrap w:val="0"/>
            <w:vAlign w:val="center"/>
          </w:tcPr>
          <w:p w14:paraId="71D616FB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序号</w:t>
            </w:r>
          </w:p>
        </w:tc>
        <w:tc>
          <w:tcPr>
            <w:tcW w:w="227" w:type="pct"/>
            <w:noWrap w:val="0"/>
            <w:vAlign w:val="center"/>
          </w:tcPr>
          <w:p w14:paraId="5061B271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  <w:t>组别</w:t>
            </w:r>
          </w:p>
        </w:tc>
        <w:tc>
          <w:tcPr>
            <w:tcW w:w="1296" w:type="pct"/>
            <w:noWrap w:val="0"/>
            <w:vAlign w:val="center"/>
          </w:tcPr>
          <w:p w14:paraId="4EE0CB8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计划文号及编号</w:t>
            </w:r>
          </w:p>
        </w:tc>
        <w:tc>
          <w:tcPr>
            <w:tcW w:w="1532" w:type="pct"/>
            <w:noWrap w:val="0"/>
            <w:vAlign w:val="center"/>
          </w:tcPr>
          <w:p w14:paraId="6957F67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项目名称</w:t>
            </w:r>
          </w:p>
        </w:tc>
        <w:tc>
          <w:tcPr>
            <w:tcW w:w="1370" w:type="pct"/>
            <w:noWrap w:val="0"/>
            <w:vAlign w:val="center"/>
          </w:tcPr>
          <w:p w14:paraId="048C3FE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牵头单位</w:t>
            </w:r>
          </w:p>
        </w:tc>
        <w:tc>
          <w:tcPr>
            <w:tcW w:w="370" w:type="pct"/>
            <w:noWrap w:val="0"/>
            <w:vAlign w:val="center"/>
          </w:tcPr>
          <w:p w14:paraId="24B8EA4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备注</w:t>
            </w:r>
          </w:p>
        </w:tc>
      </w:tr>
      <w:tr w14:paraId="2C79A7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01" w:type="pct"/>
            <w:tcBorders>
              <w:right w:val="single" w:color="auto" w:sz="4" w:space="0"/>
            </w:tcBorders>
            <w:noWrap w:val="0"/>
            <w:vAlign w:val="center"/>
          </w:tcPr>
          <w:p w14:paraId="58DF4BC6">
            <w:pPr>
              <w:pStyle w:val="5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</w:p>
        </w:tc>
        <w:tc>
          <w:tcPr>
            <w:tcW w:w="227" w:type="pct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07F73491">
            <w:pPr>
              <w:keepNext w:val="0"/>
              <w:keepLines w:val="0"/>
              <w:pageBreakBefore w:val="0"/>
              <w:kinsoku/>
              <w:wordWrap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第一组</w:t>
            </w:r>
          </w:p>
        </w:tc>
        <w:tc>
          <w:tcPr>
            <w:tcW w:w="129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ADF90B0">
            <w:pPr>
              <w:pStyle w:val="6"/>
              <w:keepNext w:val="0"/>
              <w:keepLines w:val="0"/>
              <w:pageBreakBefore w:val="0"/>
              <w:kinsoku/>
              <w:wordWrap/>
              <w:overflowPunct/>
              <w:topLinePunct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baseline"/>
              <w:rPr>
                <w:rFonts w:hint="eastAsia" w:ascii="宋体" w:hAnsi="宋体" w:eastAsia="宋体" w:cs="宋体"/>
                <w:color w:val="auto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trike w:val="0"/>
                <w:dstrike w:val="0"/>
                <w:kern w:val="0"/>
                <w:sz w:val="21"/>
                <w:szCs w:val="21"/>
                <w:lang w:eastAsia="zh-CN"/>
              </w:rPr>
              <w:t>工信厅科</w:t>
            </w:r>
            <w:r>
              <w:rPr>
                <w:rFonts w:hint="eastAsia" w:ascii="宋体" w:hAnsi="宋体" w:eastAsia="宋体" w:cs="宋体"/>
                <w:strike w:val="0"/>
                <w:dstrike w:val="0"/>
                <w:sz w:val="21"/>
                <w:szCs w:val="21"/>
              </w:rPr>
              <w:t>[</w:t>
            </w:r>
            <w:r>
              <w:rPr>
                <w:rFonts w:hint="eastAsia" w:ascii="宋体" w:hAnsi="宋体" w:eastAsia="宋体" w:cs="宋体"/>
                <w:strike w:val="0"/>
                <w:dstrike w:val="0"/>
                <w:kern w:val="0"/>
                <w:sz w:val="21"/>
                <w:szCs w:val="21"/>
                <w:lang w:eastAsia="zh-CN"/>
              </w:rPr>
              <w:t>202</w:t>
            </w:r>
            <w:r>
              <w:rPr>
                <w:rFonts w:hint="eastAsia" w:ascii="宋体" w:hAnsi="宋体" w:eastAsia="宋体" w:cs="宋体"/>
                <w:strike w:val="0"/>
                <w:dstrike w:val="0"/>
                <w:kern w:val="0"/>
                <w:sz w:val="21"/>
                <w:szCs w:val="21"/>
                <w:lang w:val="en-US" w:eastAsia="zh-CN"/>
              </w:rPr>
              <w:t>5</w:t>
            </w:r>
            <w:r>
              <w:rPr>
                <w:rFonts w:hint="eastAsia" w:ascii="宋体" w:hAnsi="宋体" w:eastAsia="宋体" w:cs="宋体"/>
                <w:strike w:val="0"/>
                <w:dstrike w:val="0"/>
                <w:sz w:val="21"/>
                <w:szCs w:val="21"/>
              </w:rPr>
              <w:t>]</w:t>
            </w:r>
            <w:r>
              <w:rPr>
                <w:rFonts w:hint="eastAsia" w:ascii="宋体" w:hAnsi="宋体" w:eastAsia="宋体" w:cs="宋体"/>
                <w:strike w:val="0"/>
                <w:dstrike w:val="0"/>
                <w:kern w:val="0"/>
                <w:sz w:val="21"/>
                <w:szCs w:val="21"/>
                <w:lang w:val="en-US" w:eastAsia="zh-CN"/>
              </w:rPr>
              <w:t>52</w:t>
            </w:r>
            <w:r>
              <w:rPr>
                <w:rFonts w:hint="eastAsia" w:ascii="宋体" w:hAnsi="宋体" w:eastAsia="宋体" w:cs="宋体"/>
                <w:strike w:val="0"/>
                <w:dstrike w:val="0"/>
                <w:kern w:val="0"/>
                <w:sz w:val="21"/>
                <w:szCs w:val="21"/>
                <w:lang w:eastAsia="zh-CN"/>
              </w:rPr>
              <w:t>8号</w:t>
            </w:r>
          </w:p>
          <w:p w14:paraId="546B6561">
            <w:pPr>
              <w:pStyle w:val="6"/>
              <w:keepNext w:val="0"/>
              <w:keepLines w:val="0"/>
              <w:pageBreakBefore w:val="0"/>
              <w:kinsoku/>
              <w:wordWrap/>
              <w:overflowPunct/>
              <w:topLinePunct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baseline"/>
              <w:rPr>
                <w:rFonts w:hint="eastAsia" w:ascii="宋体" w:hAnsi="宋体" w:eastAsia="宋体" w:cs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pacing w:val="0"/>
                <w:sz w:val="21"/>
                <w:szCs w:val="21"/>
              </w:rPr>
              <w:t>2025-1648T-YS</w:t>
            </w:r>
          </w:p>
        </w:tc>
        <w:tc>
          <w:tcPr>
            <w:tcW w:w="153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34B88AC">
            <w:pPr>
              <w:pStyle w:val="6"/>
              <w:keepNext w:val="0"/>
              <w:keepLines w:val="0"/>
              <w:pageBreakBefore w:val="0"/>
              <w:kinsoku/>
              <w:wordWrap/>
              <w:overflowPunct/>
              <w:topLinePunct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both"/>
              <w:textAlignment w:val="baseline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pacing w:val="0"/>
                <w:sz w:val="21"/>
                <w:szCs w:val="21"/>
                <w:highlight w:val="none"/>
              </w:rPr>
              <w:t>硅多晶用硅粉</w:t>
            </w:r>
          </w:p>
        </w:tc>
        <w:tc>
          <w:tcPr>
            <w:tcW w:w="137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71D9CB6">
            <w:pPr>
              <w:rPr>
                <w:rFonts w:hint="eastAsia" w:ascii="宋体" w:hAnsi="宋体" w:eastAsia="宋体" w:cs="宋体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pacing w:val="0"/>
                <w:sz w:val="21"/>
                <w:szCs w:val="21"/>
              </w:rPr>
              <w:t>洛阳中硅高科技有限公司</w:t>
            </w:r>
          </w:p>
        </w:tc>
        <w:tc>
          <w:tcPr>
            <w:tcW w:w="37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E7C1BCC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-SA"/>
              </w:rPr>
              <w:t>审定</w:t>
            </w:r>
          </w:p>
        </w:tc>
      </w:tr>
      <w:tr w14:paraId="336329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01" w:type="pct"/>
            <w:tcBorders>
              <w:right w:val="single" w:color="auto" w:sz="4" w:space="0"/>
            </w:tcBorders>
            <w:noWrap w:val="0"/>
            <w:vAlign w:val="center"/>
          </w:tcPr>
          <w:p w14:paraId="52B31C09">
            <w:pPr>
              <w:pStyle w:val="5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</w:p>
        </w:tc>
        <w:tc>
          <w:tcPr>
            <w:tcW w:w="227" w:type="pct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4AE0E901">
            <w:pPr>
              <w:keepNext w:val="0"/>
              <w:keepLines w:val="0"/>
              <w:pageBreakBefore w:val="0"/>
              <w:kinsoku/>
              <w:wordWrap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</w:p>
        </w:tc>
        <w:tc>
          <w:tcPr>
            <w:tcW w:w="129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6FB0470">
            <w:pPr>
              <w:pStyle w:val="6"/>
              <w:keepNext w:val="0"/>
              <w:keepLines w:val="0"/>
              <w:pageBreakBefore w:val="0"/>
              <w:kinsoku/>
              <w:wordWrap/>
              <w:overflowPunct/>
              <w:topLinePunct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baseline"/>
              <w:rPr>
                <w:rFonts w:hint="eastAsia" w:ascii="宋体" w:hAnsi="宋体" w:eastAsia="宋体" w:cs="宋体"/>
                <w:color w:val="auto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trike w:val="0"/>
                <w:dstrike w:val="0"/>
                <w:kern w:val="0"/>
                <w:sz w:val="21"/>
                <w:szCs w:val="21"/>
                <w:lang w:eastAsia="zh-CN"/>
              </w:rPr>
              <w:t>工信厅科</w:t>
            </w:r>
            <w:r>
              <w:rPr>
                <w:rFonts w:hint="eastAsia" w:ascii="宋体" w:hAnsi="宋体" w:eastAsia="宋体" w:cs="宋体"/>
                <w:strike w:val="0"/>
                <w:dstrike w:val="0"/>
                <w:sz w:val="21"/>
                <w:szCs w:val="21"/>
              </w:rPr>
              <w:t>[</w:t>
            </w:r>
            <w:r>
              <w:rPr>
                <w:rFonts w:hint="eastAsia" w:ascii="宋体" w:hAnsi="宋体" w:eastAsia="宋体" w:cs="宋体"/>
                <w:strike w:val="0"/>
                <w:dstrike w:val="0"/>
                <w:kern w:val="0"/>
                <w:sz w:val="21"/>
                <w:szCs w:val="21"/>
                <w:lang w:eastAsia="zh-CN"/>
              </w:rPr>
              <w:t>202</w:t>
            </w:r>
            <w:r>
              <w:rPr>
                <w:rFonts w:hint="eastAsia" w:ascii="宋体" w:hAnsi="宋体" w:eastAsia="宋体" w:cs="宋体"/>
                <w:strike w:val="0"/>
                <w:dstrike w:val="0"/>
                <w:kern w:val="0"/>
                <w:sz w:val="21"/>
                <w:szCs w:val="21"/>
                <w:lang w:val="en-US" w:eastAsia="zh-CN"/>
              </w:rPr>
              <w:t>5</w:t>
            </w:r>
            <w:r>
              <w:rPr>
                <w:rFonts w:hint="eastAsia" w:ascii="宋体" w:hAnsi="宋体" w:eastAsia="宋体" w:cs="宋体"/>
                <w:strike w:val="0"/>
                <w:dstrike w:val="0"/>
                <w:sz w:val="21"/>
                <w:szCs w:val="21"/>
              </w:rPr>
              <w:t>]</w:t>
            </w:r>
            <w:r>
              <w:rPr>
                <w:rFonts w:hint="eastAsia" w:ascii="宋体" w:hAnsi="宋体" w:eastAsia="宋体" w:cs="宋体"/>
                <w:strike w:val="0"/>
                <w:dstrike w:val="0"/>
                <w:kern w:val="0"/>
                <w:sz w:val="21"/>
                <w:szCs w:val="21"/>
                <w:lang w:val="en-US" w:eastAsia="zh-CN"/>
              </w:rPr>
              <w:t>52</w:t>
            </w:r>
            <w:r>
              <w:rPr>
                <w:rFonts w:hint="eastAsia" w:ascii="宋体" w:hAnsi="宋体" w:eastAsia="宋体" w:cs="宋体"/>
                <w:strike w:val="0"/>
                <w:dstrike w:val="0"/>
                <w:kern w:val="0"/>
                <w:sz w:val="21"/>
                <w:szCs w:val="21"/>
                <w:lang w:eastAsia="zh-CN"/>
              </w:rPr>
              <w:t>8号</w:t>
            </w:r>
          </w:p>
          <w:p w14:paraId="09CE3CEB">
            <w:pPr>
              <w:pStyle w:val="6"/>
              <w:keepNext w:val="0"/>
              <w:keepLines w:val="0"/>
              <w:pageBreakBefore w:val="0"/>
              <w:kinsoku/>
              <w:wordWrap/>
              <w:overflowPunct/>
              <w:topLinePunct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baseline"/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0"/>
                <w:sz w:val="21"/>
                <w:szCs w:val="21"/>
              </w:rPr>
              <w:t>2025-1381T-YS</w:t>
            </w:r>
          </w:p>
        </w:tc>
        <w:tc>
          <w:tcPr>
            <w:tcW w:w="153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D435402">
            <w:pPr>
              <w:pStyle w:val="6"/>
              <w:keepNext w:val="0"/>
              <w:keepLines w:val="0"/>
              <w:pageBreakBefore w:val="0"/>
              <w:kinsoku/>
              <w:wordWrap/>
              <w:overflowPunct/>
              <w:topLinePunct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both"/>
              <w:textAlignment w:val="baseline"/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pacing w:val="0"/>
                <w:sz w:val="21"/>
                <w:szCs w:val="21"/>
              </w:rPr>
              <w:t>碳化硅用硅粉</w:t>
            </w:r>
          </w:p>
        </w:tc>
        <w:tc>
          <w:tcPr>
            <w:tcW w:w="137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1EFB9F5">
            <w:pPr>
              <w:rPr>
                <w:rFonts w:hint="eastAsia" w:ascii="宋体" w:hAnsi="宋体" w:eastAsia="宋体" w:cs="宋体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pacing w:val="0"/>
                <w:sz w:val="21"/>
                <w:szCs w:val="21"/>
              </w:rPr>
              <w:t>陕西有色天宏瑞科硅材料有限责任公司</w:t>
            </w:r>
          </w:p>
        </w:tc>
        <w:tc>
          <w:tcPr>
            <w:tcW w:w="37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7FC67B4">
            <w:pPr>
              <w:jc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-SA"/>
              </w:rPr>
              <w:t>审定</w:t>
            </w:r>
          </w:p>
        </w:tc>
      </w:tr>
      <w:tr w14:paraId="5B3A61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01" w:type="pct"/>
            <w:tcBorders>
              <w:right w:val="single" w:color="auto" w:sz="4" w:space="0"/>
            </w:tcBorders>
            <w:noWrap w:val="0"/>
            <w:vAlign w:val="center"/>
          </w:tcPr>
          <w:p w14:paraId="40765F5A">
            <w:pPr>
              <w:pStyle w:val="5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</w:p>
        </w:tc>
        <w:tc>
          <w:tcPr>
            <w:tcW w:w="227" w:type="pct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29DD8F16">
            <w:pPr>
              <w:keepNext w:val="0"/>
              <w:keepLines w:val="0"/>
              <w:pageBreakBefore w:val="0"/>
              <w:kinsoku/>
              <w:wordWrap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</w:p>
        </w:tc>
        <w:tc>
          <w:tcPr>
            <w:tcW w:w="129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BC19CA5">
            <w:pPr>
              <w:pStyle w:val="6"/>
              <w:keepNext w:val="0"/>
              <w:keepLines w:val="0"/>
              <w:pageBreakBefore w:val="0"/>
              <w:kinsoku/>
              <w:wordWrap/>
              <w:overflowPunct/>
              <w:topLinePunct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baseline"/>
              <w:rPr>
                <w:rFonts w:hint="eastAsia" w:ascii="宋体" w:hAnsi="宋体" w:eastAsia="宋体" w:cs="宋体"/>
                <w:color w:val="auto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trike w:val="0"/>
                <w:dstrike w:val="0"/>
                <w:kern w:val="0"/>
                <w:sz w:val="21"/>
                <w:szCs w:val="21"/>
                <w:lang w:eastAsia="zh-CN"/>
              </w:rPr>
              <w:t>工信厅科</w:t>
            </w:r>
            <w:r>
              <w:rPr>
                <w:rFonts w:hint="eastAsia" w:ascii="宋体" w:hAnsi="宋体" w:eastAsia="宋体" w:cs="宋体"/>
                <w:strike w:val="0"/>
                <w:dstrike w:val="0"/>
                <w:sz w:val="21"/>
                <w:szCs w:val="21"/>
              </w:rPr>
              <w:t>[</w:t>
            </w:r>
            <w:r>
              <w:rPr>
                <w:rFonts w:hint="eastAsia" w:ascii="宋体" w:hAnsi="宋体" w:eastAsia="宋体" w:cs="宋体"/>
                <w:strike w:val="0"/>
                <w:dstrike w:val="0"/>
                <w:kern w:val="0"/>
                <w:sz w:val="21"/>
                <w:szCs w:val="21"/>
                <w:lang w:eastAsia="zh-CN"/>
              </w:rPr>
              <w:t>202</w:t>
            </w:r>
            <w:r>
              <w:rPr>
                <w:rFonts w:hint="eastAsia" w:ascii="宋体" w:hAnsi="宋体" w:eastAsia="宋体" w:cs="宋体"/>
                <w:strike w:val="0"/>
                <w:dstrike w:val="0"/>
                <w:kern w:val="0"/>
                <w:sz w:val="21"/>
                <w:szCs w:val="21"/>
                <w:lang w:val="en-US" w:eastAsia="zh-CN"/>
              </w:rPr>
              <w:t>5</w:t>
            </w:r>
            <w:r>
              <w:rPr>
                <w:rFonts w:hint="eastAsia" w:ascii="宋体" w:hAnsi="宋体" w:eastAsia="宋体" w:cs="宋体"/>
                <w:strike w:val="0"/>
                <w:dstrike w:val="0"/>
                <w:sz w:val="21"/>
                <w:szCs w:val="21"/>
              </w:rPr>
              <w:t>]</w:t>
            </w:r>
            <w:r>
              <w:rPr>
                <w:rFonts w:hint="eastAsia" w:ascii="宋体" w:hAnsi="宋体" w:eastAsia="宋体" w:cs="宋体"/>
                <w:strike w:val="0"/>
                <w:dstrike w:val="0"/>
                <w:kern w:val="0"/>
                <w:sz w:val="21"/>
                <w:szCs w:val="21"/>
                <w:lang w:val="en-US" w:eastAsia="zh-CN"/>
              </w:rPr>
              <w:t>52</w:t>
            </w:r>
            <w:r>
              <w:rPr>
                <w:rFonts w:hint="eastAsia" w:ascii="宋体" w:hAnsi="宋体" w:eastAsia="宋体" w:cs="宋体"/>
                <w:strike w:val="0"/>
                <w:dstrike w:val="0"/>
                <w:kern w:val="0"/>
                <w:sz w:val="21"/>
                <w:szCs w:val="21"/>
                <w:lang w:eastAsia="zh-CN"/>
              </w:rPr>
              <w:t>8号</w:t>
            </w:r>
          </w:p>
          <w:p w14:paraId="1247B94B">
            <w:pPr>
              <w:pStyle w:val="6"/>
              <w:keepNext w:val="0"/>
              <w:keepLines w:val="0"/>
              <w:pageBreakBefore w:val="0"/>
              <w:kinsoku/>
              <w:wordWrap/>
              <w:overflowPunct/>
              <w:topLinePunct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baseline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spacing w:val="0"/>
                <w:sz w:val="21"/>
                <w:szCs w:val="21"/>
              </w:rPr>
              <w:t>2025-1647T-YS</w:t>
            </w:r>
          </w:p>
        </w:tc>
        <w:tc>
          <w:tcPr>
            <w:tcW w:w="153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BCEDB89">
            <w:pPr>
              <w:pStyle w:val="6"/>
              <w:keepNext w:val="0"/>
              <w:keepLines w:val="0"/>
              <w:pageBreakBefore w:val="0"/>
              <w:kinsoku/>
              <w:wordWrap/>
              <w:overflowPunct/>
              <w:topLinePunct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both"/>
              <w:textAlignment w:val="baseline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pacing w:val="0"/>
                <w:sz w:val="21"/>
                <w:szCs w:val="21"/>
                <w:highlight w:val="none"/>
              </w:rPr>
              <w:t>硅单晶用籽晶</w:t>
            </w:r>
          </w:p>
        </w:tc>
        <w:tc>
          <w:tcPr>
            <w:tcW w:w="137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100A330">
            <w:pP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pacing w:val="0"/>
                <w:sz w:val="21"/>
                <w:szCs w:val="21"/>
              </w:rPr>
              <w:t>浙江海纳半导体股份有限公司</w:t>
            </w:r>
          </w:p>
        </w:tc>
        <w:tc>
          <w:tcPr>
            <w:tcW w:w="37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D8D22F8">
            <w:pPr>
              <w:jc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-SA"/>
              </w:rPr>
              <w:t>审定</w:t>
            </w:r>
          </w:p>
        </w:tc>
      </w:tr>
      <w:tr w14:paraId="5687E1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01" w:type="pct"/>
            <w:tcBorders>
              <w:right w:val="single" w:color="auto" w:sz="4" w:space="0"/>
            </w:tcBorders>
            <w:noWrap w:val="0"/>
            <w:vAlign w:val="center"/>
          </w:tcPr>
          <w:p w14:paraId="09AD7363">
            <w:pPr>
              <w:pStyle w:val="5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</w:p>
        </w:tc>
        <w:tc>
          <w:tcPr>
            <w:tcW w:w="227" w:type="pct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5C8A3422">
            <w:pPr>
              <w:keepNext w:val="0"/>
              <w:keepLines w:val="0"/>
              <w:pageBreakBefore w:val="0"/>
              <w:kinsoku/>
              <w:wordWrap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</w:p>
        </w:tc>
        <w:tc>
          <w:tcPr>
            <w:tcW w:w="129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D57FDA4">
            <w:pPr>
              <w:pStyle w:val="6"/>
              <w:keepNext w:val="0"/>
              <w:keepLines w:val="0"/>
              <w:pageBreakBefore w:val="0"/>
              <w:kinsoku/>
              <w:wordWrap/>
              <w:overflowPunct/>
              <w:topLinePunct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baseline"/>
              <w:rPr>
                <w:rFonts w:hint="eastAsia" w:ascii="宋体" w:hAnsi="宋体" w:eastAsia="宋体" w:cs="宋体"/>
                <w:color w:val="auto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trike w:val="0"/>
                <w:dstrike w:val="0"/>
                <w:kern w:val="0"/>
                <w:sz w:val="21"/>
                <w:szCs w:val="21"/>
                <w:lang w:eastAsia="zh-CN"/>
              </w:rPr>
              <w:t>工信厅科</w:t>
            </w:r>
            <w:r>
              <w:rPr>
                <w:rFonts w:hint="eastAsia" w:ascii="宋体" w:hAnsi="宋体" w:eastAsia="宋体" w:cs="宋体"/>
                <w:strike w:val="0"/>
                <w:dstrike w:val="0"/>
                <w:sz w:val="21"/>
                <w:szCs w:val="21"/>
              </w:rPr>
              <w:t>[</w:t>
            </w:r>
            <w:r>
              <w:rPr>
                <w:rFonts w:hint="eastAsia" w:ascii="宋体" w:hAnsi="宋体" w:eastAsia="宋体" w:cs="宋体"/>
                <w:strike w:val="0"/>
                <w:dstrike w:val="0"/>
                <w:kern w:val="0"/>
                <w:sz w:val="21"/>
                <w:szCs w:val="21"/>
                <w:lang w:eastAsia="zh-CN"/>
              </w:rPr>
              <w:t>202</w:t>
            </w:r>
            <w:r>
              <w:rPr>
                <w:rFonts w:hint="eastAsia" w:ascii="宋体" w:hAnsi="宋体" w:eastAsia="宋体" w:cs="宋体"/>
                <w:strike w:val="0"/>
                <w:dstrike w:val="0"/>
                <w:kern w:val="0"/>
                <w:sz w:val="21"/>
                <w:szCs w:val="21"/>
                <w:lang w:val="en-US" w:eastAsia="zh-CN"/>
              </w:rPr>
              <w:t>5</w:t>
            </w:r>
            <w:r>
              <w:rPr>
                <w:rFonts w:hint="eastAsia" w:ascii="宋体" w:hAnsi="宋体" w:eastAsia="宋体" w:cs="宋体"/>
                <w:strike w:val="0"/>
                <w:dstrike w:val="0"/>
                <w:sz w:val="21"/>
                <w:szCs w:val="21"/>
              </w:rPr>
              <w:t>]</w:t>
            </w:r>
            <w:r>
              <w:rPr>
                <w:rFonts w:hint="eastAsia" w:ascii="宋体" w:hAnsi="宋体" w:eastAsia="宋体" w:cs="宋体"/>
                <w:strike w:val="0"/>
                <w:dstrike w:val="0"/>
                <w:kern w:val="0"/>
                <w:sz w:val="21"/>
                <w:szCs w:val="21"/>
                <w:lang w:val="en-US" w:eastAsia="zh-CN"/>
              </w:rPr>
              <w:t>52</w:t>
            </w:r>
            <w:r>
              <w:rPr>
                <w:rFonts w:hint="eastAsia" w:ascii="宋体" w:hAnsi="宋体" w:eastAsia="宋体" w:cs="宋体"/>
                <w:strike w:val="0"/>
                <w:dstrike w:val="0"/>
                <w:kern w:val="0"/>
                <w:sz w:val="21"/>
                <w:szCs w:val="21"/>
                <w:lang w:eastAsia="zh-CN"/>
              </w:rPr>
              <w:t>8号</w:t>
            </w:r>
          </w:p>
          <w:p w14:paraId="2EF926C5">
            <w:pPr>
              <w:pStyle w:val="6"/>
              <w:keepNext w:val="0"/>
              <w:keepLines w:val="0"/>
              <w:pageBreakBefore w:val="0"/>
              <w:kinsoku/>
              <w:wordWrap/>
              <w:overflowPunct/>
              <w:topLinePunct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baseline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spacing w:val="0"/>
                <w:sz w:val="21"/>
                <w:szCs w:val="21"/>
              </w:rPr>
              <w:t>2025-1379T-YS</w:t>
            </w:r>
          </w:p>
        </w:tc>
        <w:tc>
          <w:tcPr>
            <w:tcW w:w="153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8CD27D1">
            <w:pPr>
              <w:pStyle w:val="6"/>
              <w:keepNext w:val="0"/>
              <w:keepLines w:val="0"/>
              <w:pageBreakBefore w:val="0"/>
              <w:kinsoku/>
              <w:wordWrap/>
              <w:overflowPunct/>
              <w:topLinePunct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both"/>
              <w:textAlignment w:val="baseline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pacing w:val="0"/>
                <w:sz w:val="21"/>
                <w:szCs w:val="21"/>
              </w:rPr>
              <w:t xml:space="preserve">硅多晶表面粉尘含量的测定 </w:t>
            </w:r>
            <w:r>
              <w:rPr>
                <w:rFonts w:hint="eastAsia" w:ascii="Times New Roman" w:hAnsi="Times New Roman" w:eastAsia="宋体" w:cs="Times New Roman"/>
                <w:color w:val="auto"/>
                <w:spacing w:val="0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color w:val="auto"/>
                <w:spacing w:val="0"/>
                <w:sz w:val="21"/>
                <w:szCs w:val="21"/>
              </w:rPr>
              <w:t>重量法</w:t>
            </w:r>
          </w:p>
        </w:tc>
        <w:tc>
          <w:tcPr>
            <w:tcW w:w="137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6BC6142">
            <w:pP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pacing w:val="0"/>
                <w:sz w:val="21"/>
                <w:szCs w:val="21"/>
              </w:rPr>
              <w:t>陕西有色天宏瑞科硅材料有限责任公司</w:t>
            </w:r>
          </w:p>
        </w:tc>
        <w:tc>
          <w:tcPr>
            <w:tcW w:w="37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B96BB67">
            <w:pPr>
              <w:jc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-SA"/>
              </w:rPr>
              <w:t>审定</w:t>
            </w:r>
          </w:p>
        </w:tc>
      </w:tr>
      <w:tr w14:paraId="002438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01" w:type="pct"/>
            <w:tcBorders>
              <w:right w:val="single" w:color="auto" w:sz="4" w:space="0"/>
            </w:tcBorders>
            <w:noWrap w:val="0"/>
            <w:vAlign w:val="center"/>
          </w:tcPr>
          <w:p w14:paraId="68AEC070">
            <w:pPr>
              <w:pStyle w:val="5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</w:p>
        </w:tc>
        <w:tc>
          <w:tcPr>
            <w:tcW w:w="227" w:type="pct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7280AE1F">
            <w:pPr>
              <w:keepNext w:val="0"/>
              <w:keepLines w:val="0"/>
              <w:pageBreakBefore w:val="0"/>
              <w:kinsoku/>
              <w:wordWrap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</w:p>
        </w:tc>
        <w:tc>
          <w:tcPr>
            <w:tcW w:w="129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B6F56F1">
            <w:pPr>
              <w:pStyle w:val="6"/>
              <w:keepNext w:val="0"/>
              <w:keepLines w:val="0"/>
              <w:pageBreakBefore w:val="0"/>
              <w:kinsoku/>
              <w:wordWrap/>
              <w:overflowPunct/>
              <w:topLinePunct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baseline"/>
              <w:rPr>
                <w:rFonts w:hint="eastAsia" w:ascii="宋体" w:hAnsi="宋体" w:eastAsia="宋体" w:cs="宋体"/>
                <w:color w:val="auto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trike w:val="0"/>
                <w:dstrike w:val="0"/>
                <w:kern w:val="0"/>
                <w:sz w:val="21"/>
                <w:szCs w:val="21"/>
                <w:lang w:eastAsia="zh-CN"/>
              </w:rPr>
              <w:t>工信厅科</w:t>
            </w:r>
            <w:r>
              <w:rPr>
                <w:rFonts w:hint="eastAsia" w:ascii="宋体" w:hAnsi="宋体" w:eastAsia="宋体" w:cs="宋体"/>
                <w:strike w:val="0"/>
                <w:dstrike w:val="0"/>
                <w:sz w:val="21"/>
                <w:szCs w:val="21"/>
              </w:rPr>
              <w:t>[</w:t>
            </w:r>
            <w:r>
              <w:rPr>
                <w:rFonts w:hint="eastAsia" w:ascii="宋体" w:hAnsi="宋体" w:eastAsia="宋体" w:cs="宋体"/>
                <w:strike w:val="0"/>
                <w:dstrike w:val="0"/>
                <w:kern w:val="0"/>
                <w:sz w:val="21"/>
                <w:szCs w:val="21"/>
                <w:lang w:eastAsia="zh-CN"/>
              </w:rPr>
              <w:t>202</w:t>
            </w:r>
            <w:r>
              <w:rPr>
                <w:rFonts w:hint="eastAsia" w:ascii="宋体" w:hAnsi="宋体" w:eastAsia="宋体" w:cs="宋体"/>
                <w:strike w:val="0"/>
                <w:dstrike w:val="0"/>
                <w:kern w:val="0"/>
                <w:sz w:val="21"/>
                <w:szCs w:val="21"/>
                <w:lang w:val="en-US" w:eastAsia="zh-CN"/>
              </w:rPr>
              <w:t>5</w:t>
            </w:r>
            <w:r>
              <w:rPr>
                <w:rFonts w:hint="eastAsia" w:ascii="宋体" w:hAnsi="宋体" w:eastAsia="宋体" w:cs="宋体"/>
                <w:strike w:val="0"/>
                <w:dstrike w:val="0"/>
                <w:sz w:val="21"/>
                <w:szCs w:val="21"/>
              </w:rPr>
              <w:t>]</w:t>
            </w:r>
            <w:r>
              <w:rPr>
                <w:rFonts w:hint="eastAsia" w:ascii="宋体" w:hAnsi="宋体" w:eastAsia="宋体" w:cs="宋体"/>
                <w:strike w:val="0"/>
                <w:dstrike w:val="0"/>
                <w:kern w:val="0"/>
                <w:sz w:val="21"/>
                <w:szCs w:val="21"/>
                <w:lang w:val="en-US" w:eastAsia="zh-CN"/>
              </w:rPr>
              <w:t>52</w:t>
            </w:r>
            <w:r>
              <w:rPr>
                <w:rFonts w:hint="eastAsia" w:ascii="宋体" w:hAnsi="宋体" w:eastAsia="宋体" w:cs="宋体"/>
                <w:strike w:val="0"/>
                <w:dstrike w:val="0"/>
                <w:kern w:val="0"/>
                <w:sz w:val="21"/>
                <w:szCs w:val="21"/>
                <w:lang w:eastAsia="zh-CN"/>
              </w:rPr>
              <w:t>8号</w:t>
            </w:r>
          </w:p>
          <w:p w14:paraId="0A31C13A">
            <w:pPr>
              <w:pStyle w:val="6"/>
              <w:keepNext w:val="0"/>
              <w:keepLines w:val="0"/>
              <w:pageBreakBefore w:val="0"/>
              <w:kinsoku/>
              <w:wordWrap/>
              <w:overflowPunct/>
              <w:topLinePunct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baseline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spacing w:val="0"/>
                <w:sz w:val="21"/>
                <w:szCs w:val="21"/>
              </w:rPr>
              <w:t>2025-1380T-YS</w:t>
            </w:r>
          </w:p>
        </w:tc>
        <w:tc>
          <w:tcPr>
            <w:tcW w:w="153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0E13F2E">
            <w:pPr>
              <w:pStyle w:val="6"/>
              <w:keepNext w:val="0"/>
              <w:keepLines w:val="0"/>
              <w:pageBreakBefore w:val="0"/>
              <w:kinsoku/>
              <w:wordWrap/>
              <w:overflowPunct/>
              <w:topLinePunct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both"/>
              <w:textAlignment w:val="baseline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pacing w:val="0"/>
                <w:sz w:val="21"/>
                <w:szCs w:val="21"/>
              </w:rPr>
              <w:t>流化床法颗粒硅体金属含量的测定</w:t>
            </w:r>
            <w:r>
              <w:rPr>
                <w:rFonts w:hint="eastAsia" w:ascii="Times New Roman" w:hAnsi="Times New Roman" w:eastAsia="宋体" w:cs="Times New Roman"/>
                <w:color w:val="auto"/>
                <w:spacing w:val="0"/>
                <w:sz w:val="21"/>
                <w:szCs w:val="21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eastAsia="宋体" w:cs="Times New Roman"/>
                <w:color w:val="auto"/>
                <w:spacing w:val="0"/>
                <w:sz w:val="21"/>
                <w:szCs w:val="21"/>
              </w:rPr>
              <w:t>电感耦合等离子体质谱法</w:t>
            </w:r>
          </w:p>
        </w:tc>
        <w:tc>
          <w:tcPr>
            <w:tcW w:w="137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002DFEE">
            <w:pP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pacing w:val="0"/>
                <w:sz w:val="21"/>
                <w:szCs w:val="21"/>
              </w:rPr>
              <w:t>乐山协鑫新能源科技有限公司</w:t>
            </w:r>
          </w:p>
        </w:tc>
        <w:tc>
          <w:tcPr>
            <w:tcW w:w="37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E0DF45C">
            <w:pPr>
              <w:jc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-SA"/>
              </w:rPr>
              <w:t>审定</w:t>
            </w:r>
          </w:p>
        </w:tc>
      </w:tr>
      <w:tr w14:paraId="68EFDB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01" w:type="pct"/>
            <w:tcBorders>
              <w:right w:val="single" w:color="auto" w:sz="4" w:space="0"/>
            </w:tcBorders>
            <w:noWrap w:val="0"/>
            <w:vAlign w:val="center"/>
          </w:tcPr>
          <w:p w14:paraId="7E0F4B22">
            <w:pPr>
              <w:pStyle w:val="5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</w:p>
        </w:tc>
        <w:tc>
          <w:tcPr>
            <w:tcW w:w="227" w:type="pct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55EF8FDD">
            <w:pPr>
              <w:keepNext w:val="0"/>
              <w:keepLines w:val="0"/>
              <w:pageBreakBefore w:val="0"/>
              <w:kinsoku/>
              <w:wordWrap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</w:p>
        </w:tc>
        <w:tc>
          <w:tcPr>
            <w:tcW w:w="129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562BE08">
            <w:pPr>
              <w:pStyle w:val="6"/>
              <w:keepNext w:val="0"/>
              <w:keepLines w:val="0"/>
              <w:pageBreakBefore w:val="0"/>
              <w:kinsoku/>
              <w:wordWrap/>
              <w:overflowPunct/>
              <w:topLinePunct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baseline"/>
              <w:rPr>
                <w:rFonts w:hint="eastAsia" w:ascii="宋体" w:hAnsi="宋体" w:eastAsia="宋体" w:cs="宋体"/>
                <w:color w:val="auto"/>
                <w:spacing w:val="0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strike w:val="0"/>
                <w:dstrike w:val="0"/>
                <w:kern w:val="0"/>
                <w:sz w:val="21"/>
                <w:szCs w:val="21"/>
                <w:highlight w:val="none"/>
                <w:lang w:eastAsia="zh-CN"/>
              </w:rPr>
              <w:t>工信厅科</w:t>
            </w:r>
            <w:r>
              <w:rPr>
                <w:rFonts w:hint="eastAsia" w:ascii="宋体" w:hAnsi="宋体" w:eastAsia="宋体" w:cs="宋体"/>
                <w:strike w:val="0"/>
                <w:dstrike w:val="0"/>
                <w:sz w:val="21"/>
                <w:szCs w:val="21"/>
                <w:highlight w:val="none"/>
              </w:rPr>
              <w:t>[</w:t>
            </w:r>
            <w:r>
              <w:rPr>
                <w:rFonts w:hint="eastAsia" w:ascii="宋体" w:hAnsi="宋体" w:eastAsia="宋体" w:cs="宋体"/>
                <w:strike w:val="0"/>
                <w:dstrike w:val="0"/>
                <w:kern w:val="0"/>
                <w:sz w:val="21"/>
                <w:szCs w:val="21"/>
                <w:highlight w:val="none"/>
                <w:lang w:eastAsia="zh-CN"/>
              </w:rPr>
              <w:t>202</w:t>
            </w:r>
            <w:r>
              <w:rPr>
                <w:rFonts w:hint="eastAsia" w:ascii="宋体" w:hAnsi="宋体" w:eastAsia="宋体" w:cs="宋体"/>
                <w:strike w:val="0"/>
                <w:dstrike w:val="0"/>
                <w:kern w:val="0"/>
                <w:sz w:val="21"/>
                <w:szCs w:val="21"/>
                <w:highlight w:val="none"/>
                <w:lang w:val="en-US" w:eastAsia="zh-CN"/>
              </w:rPr>
              <w:t>6</w:t>
            </w:r>
            <w:r>
              <w:rPr>
                <w:rFonts w:hint="eastAsia" w:ascii="宋体" w:hAnsi="宋体" w:eastAsia="宋体" w:cs="宋体"/>
                <w:strike w:val="0"/>
                <w:dstrike w:val="0"/>
                <w:sz w:val="21"/>
                <w:szCs w:val="21"/>
                <w:highlight w:val="none"/>
              </w:rPr>
              <w:t>]</w:t>
            </w:r>
            <w:r>
              <w:rPr>
                <w:rFonts w:hint="eastAsia" w:ascii="宋体" w:hAnsi="宋体" w:eastAsia="宋体" w:cs="宋体"/>
                <w:strike w:val="0"/>
                <w:dstrike w:val="0"/>
                <w:kern w:val="0"/>
                <w:sz w:val="21"/>
                <w:szCs w:val="21"/>
                <w:highlight w:val="none"/>
                <w:lang w:val="en-US" w:eastAsia="zh-CN"/>
              </w:rPr>
              <w:t>105</w:t>
            </w:r>
            <w:r>
              <w:rPr>
                <w:rFonts w:hint="eastAsia" w:ascii="宋体" w:hAnsi="宋体" w:eastAsia="宋体" w:cs="宋体"/>
                <w:strike w:val="0"/>
                <w:dstrike w:val="0"/>
                <w:kern w:val="0"/>
                <w:sz w:val="21"/>
                <w:szCs w:val="21"/>
                <w:highlight w:val="none"/>
                <w:lang w:eastAsia="zh-CN"/>
              </w:rPr>
              <w:t>号</w:t>
            </w:r>
          </w:p>
          <w:p w14:paraId="4D249675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spacing w:val="0"/>
                <w:sz w:val="21"/>
                <w:szCs w:val="21"/>
                <w:highlight w:val="none"/>
              </w:rPr>
              <w:t>202</w:t>
            </w:r>
            <w:r>
              <w:rPr>
                <w:rFonts w:hint="eastAsia" w:ascii="宋体" w:hAnsi="宋体" w:eastAsia="宋体" w:cs="宋体"/>
                <w:color w:val="auto"/>
                <w:spacing w:val="0"/>
                <w:sz w:val="21"/>
                <w:szCs w:val="21"/>
                <w:highlight w:val="none"/>
                <w:lang w:val="en-US" w:eastAsia="zh-CN"/>
              </w:rPr>
              <w:t>6</w:t>
            </w:r>
            <w:r>
              <w:rPr>
                <w:rFonts w:hint="eastAsia" w:ascii="宋体" w:hAnsi="宋体" w:eastAsia="宋体" w:cs="宋体"/>
                <w:color w:val="auto"/>
                <w:spacing w:val="0"/>
                <w:sz w:val="21"/>
                <w:szCs w:val="21"/>
                <w:highlight w:val="none"/>
              </w:rPr>
              <w:t>-</w:t>
            </w:r>
            <w:r>
              <w:rPr>
                <w:rFonts w:hint="eastAsia" w:ascii="宋体" w:hAnsi="宋体" w:eastAsia="宋体" w:cs="宋体"/>
                <w:color w:val="auto"/>
                <w:spacing w:val="0"/>
                <w:sz w:val="21"/>
                <w:szCs w:val="21"/>
                <w:highlight w:val="none"/>
                <w:lang w:val="en-US" w:eastAsia="zh-CN"/>
              </w:rPr>
              <w:t>0028</w:t>
            </w:r>
            <w:r>
              <w:rPr>
                <w:rFonts w:hint="eastAsia" w:ascii="宋体" w:hAnsi="宋体" w:eastAsia="宋体" w:cs="宋体"/>
                <w:color w:val="auto"/>
                <w:spacing w:val="0"/>
                <w:sz w:val="21"/>
                <w:szCs w:val="21"/>
                <w:highlight w:val="none"/>
              </w:rPr>
              <w:t>T-YS</w:t>
            </w:r>
          </w:p>
        </w:tc>
        <w:tc>
          <w:tcPr>
            <w:tcW w:w="153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EB09120">
            <w:pPr>
              <w:rPr>
                <w:rFonts w:hint="eastAsia" w:ascii="宋体" w:hAnsi="宋体" w:eastAsia="宋体" w:cs="宋体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i w:val="0"/>
                <w:snapToGrid w:val="0"/>
                <w:color w:val="auto"/>
                <w:spacing w:val="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硅多晶副产硅粉组分的测定 第1部分：氯硅烷含量的测定 气相色谱法</w:t>
            </w:r>
          </w:p>
        </w:tc>
        <w:tc>
          <w:tcPr>
            <w:tcW w:w="137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3E6C071">
            <w:pPr>
              <w:rPr>
                <w:rFonts w:hint="eastAsia" w:ascii="宋体" w:hAnsi="宋体" w:eastAsia="宋体" w:cs="宋体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  <w:lang w:val="en-US" w:eastAsia="zh-CN"/>
              </w:rPr>
              <w:t>内蒙通威高纯晶硅有限公司</w:t>
            </w:r>
          </w:p>
        </w:tc>
        <w:tc>
          <w:tcPr>
            <w:tcW w:w="37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AE1ABBA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highlight w:val="none"/>
                <w:lang w:val="en-US" w:eastAsia="zh-CN"/>
              </w:rPr>
              <w:t>预审</w:t>
            </w:r>
          </w:p>
        </w:tc>
      </w:tr>
      <w:tr w14:paraId="6406AA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01" w:type="pct"/>
            <w:tcBorders>
              <w:right w:val="single" w:color="auto" w:sz="4" w:space="0"/>
            </w:tcBorders>
            <w:noWrap w:val="0"/>
            <w:vAlign w:val="center"/>
          </w:tcPr>
          <w:p w14:paraId="24D4E59F">
            <w:pPr>
              <w:pStyle w:val="5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</w:p>
        </w:tc>
        <w:tc>
          <w:tcPr>
            <w:tcW w:w="227" w:type="pct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5AC94077">
            <w:pPr>
              <w:keepNext w:val="0"/>
              <w:keepLines w:val="0"/>
              <w:pageBreakBefore w:val="0"/>
              <w:kinsoku/>
              <w:wordWrap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</w:p>
        </w:tc>
        <w:tc>
          <w:tcPr>
            <w:tcW w:w="129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827A87B">
            <w:pPr>
              <w:jc w:val="center"/>
              <w:rPr>
                <w:rFonts w:hint="eastAsia" w:ascii="宋体" w:hAnsi="宋体" w:eastAsia="宋体" w:cs="宋体"/>
                <w:strike w:val="0"/>
                <w:dstrike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trike w:val="0"/>
                <w:dstrike w:val="0"/>
                <w:sz w:val="21"/>
                <w:szCs w:val="21"/>
                <w:lang w:val="en-US" w:eastAsia="zh-CN"/>
              </w:rPr>
              <w:t>工信厅科函〔2026〕192号</w:t>
            </w:r>
          </w:p>
          <w:p w14:paraId="68C6CA8F">
            <w:pPr>
              <w:jc w:val="center"/>
              <w:rPr>
                <w:rFonts w:hint="default" w:ascii="宋体" w:hAnsi="宋体" w:eastAsia="宋体" w:cs="宋体"/>
                <w:strike w:val="0"/>
                <w:dstrike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trike w:val="0"/>
                <w:dstrike w:val="0"/>
                <w:sz w:val="21"/>
                <w:szCs w:val="21"/>
                <w:lang w:val="en-US" w:eastAsia="zh-CN"/>
              </w:rPr>
              <w:t>2026-0217T-YS</w:t>
            </w:r>
          </w:p>
        </w:tc>
        <w:tc>
          <w:tcPr>
            <w:tcW w:w="153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6EA455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snapToGrid w:val="0"/>
                <w:color w:val="auto"/>
                <w:spacing w:val="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硅多晶副产硅粉中金属杂质含量的测定</w:t>
            </w:r>
            <w:r>
              <w:rPr>
                <w:rStyle w:val="7"/>
                <w:rFonts w:eastAsia="宋体"/>
                <w:lang w:val="en-US" w:eastAsia="zh-CN" w:bidi="ar"/>
              </w:rPr>
              <w:t xml:space="preserve"> 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电感耦合等离子体发射光谱法</w:t>
            </w:r>
          </w:p>
        </w:tc>
        <w:tc>
          <w:tcPr>
            <w:tcW w:w="137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8117920">
            <w:pPr>
              <w:widowControl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内蒙通威高纯晶硅有限公司</w:t>
            </w:r>
          </w:p>
        </w:tc>
        <w:tc>
          <w:tcPr>
            <w:tcW w:w="37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632CEB5">
            <w:pPr>
              <w:jc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预审</w:t>
            </w:r>
          </w:p>
        </w:tc>
      </w:tr>
      <w:tr w14:paraId="03B3B3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8" w:hRule="atLeast"/>
        </w:trPr>
        <w:tc>
          <w:tcPr>
            <w:tcW w:w="201" w:type="pct"/>
            <w:tcBorders>
              <w:right w:val="single" w:color="auto" w:sz="4" w:space="0"/>
            </w:tcBorders>
            <w:noWrap w:val="0"/>
            <w:vAlign w:val="center"/>
          </w:tcPr>
          <w:p w14:paraId="53A475D4">
            <w:pPr>
              <w:pStyle w:val="5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</w:p>
        </w:tc>
        <w:tc>
          <w:tcPr>
            <w:tcW w:w="227" w:type="pct"/>
            <w:vMerge w:val="restart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658F07CD">
            <w:pPr>
              <w:keepNext w:val="0"/>
              <w:keepLines w:val="0"/>
              <w:pageBreakBefore w:val="0"/>
              <w:kinsoku/>
              <w:wordWrap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  <w:t>第二组</w:t>
            </w:r>
          </w:p>
        </w:tc>
        <w:tc>
          <w:tcPr>
            <w:tcW w:w="129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8F0DC6C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fldChar w:fldCharType="begin"/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instrText xml:space="preserve"> HYPERLINK "http://zxd.sacinfo.org.cn/gb_notice/1727662175388.doc" \t "https://std.samr.gov.cn/noc/search/_blank" </w:instrTex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fldChar w:fldCharType="separate"/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国标委发〔202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5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〕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43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号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fldChar w:fldCharType="end"/>
            </w:r>
          </w:p>
          <w:p w14:paraId="7FAEEB72">
            <w:pPr>
              <w:jc w:val="center"/>
              <w:rPr>
                <w:rFonts w:hint="eastAsia" w:ascii="宋体" w:hAnsi="宋体" w:eastAsia="宋体" w:cs="宋体"/>
                <w:color w:val="auto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20253480-T-469</w:t>
            </w:r>
          </w:p>
        </w:tc>
        <w:tc>
          <w:tcPr>
            <w:tcW w:w="153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F98038C">
            <w:pPr>
              <w:rPr>
                <w:rFonts w:hint="eastAsia" w:ascii="Times New Roman" w:hAnsi="Times New Roman" w:eastAsia="宋体" w:cs="Times New Roman"/>
                <w:color w:val="auto"/>
                <w:spacing w:val="0"/>
                <w:kern w:val="2"/>
                <w:sz w:val="21"/>
                <w:szCs w:val="21"/>
                <w:highlight w:val="red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氮化铝单晶位错密度测试方法</w:t>
            </w:r>
          </w:p>
        </w:tc>
        <w:tc>
          <w:tcPr>
            <w:tcW w:w="137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DC8B1C1">
            <w:pPr>
              <w:rPr>
                <w:rFonts w:hint="eastAsia" w:ascii="宋体" w:hAnsi="宋体" w:eastAsia="宋体" w:cs="宋体"/>
                <w:color w:val="auto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-SA"/>
              </w:rPr>
              <w:t>中国电子科技集团公司第四十六研究所</w:t>
            </w:r>
          </w:p>
        </w:tc>
        <w:tc>
          <w:tcPr>
            <w:tcW w:w="37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2AF31C6">
            <w:pPr>
              <w:jc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-SA"/>
              </w:rPr>
              <w:t>审定</w:t>
            </w:r>
          </w:p>
        </w:tc>
      </w:tr>
      <w:tr w14:paraId="73E881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8" w:hRule="atLeast"/>
        </w:trPr>
        <w:tc>
          <w:tcPr>
            <w:tcW w:w="201" w:type="pct"/>
            <w:tcBorders>
              <w:right w:val="single" w:color="auto" w:sz="4" w:space="0"/>
            </w:tcBorders>
            <w:noWrap w:val="0"/>
            <w:vAlign w:val="center"/>
          </w:tcPr>
          <w:p w14:paraId="73AC0A91">
            <w:pPr>
              <w:pStyle w:val="5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</w:p>
        </w:tc>
        <w:tc>
          <w:tcPr>
            <w:tcW w:w="227" w:type="pct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5FEB92F2">
            <w:pPr>
              <w:keepNext w:val="0"/>
              <w:keepLines w:val="0"/>
              <w:pageBreakBefore w:val="0"/>
              <w:kinsoku/>
              <w:wordWrap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</w:pPr>
          </w:p>
        </w:tc>
        <w:tc>
          <w:tcPr>
            <w:tcW w:w="129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92F510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shd w:val="clear" w:color="auto" w:fill="FFFFFF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</w:rPr>
              <w:fldChar w:fldCharType="begin"/>
            </w: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</w:rPr>
              <w:instrText xml:space="preserve"> HYPERLINK "http://zxd.sacinfo.org.cn/gb_notice/1727662175388.doc" \t "https://std.samr.gov.cn/noc/search/_blank" </w:instrText>
            </w: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</w:rPr>
              <w:fldChar w:fldCharType="separate"/>
            </w: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</w:rPr>
              <w:t>国标委发[202</w:t>
            </w: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  <w:lang w:val="en-US" w:eastAsia="zh-CN"/>
              </w:rPr>
              <w:t>5</w:t>
            </w: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</w:rPr>
              <w:t>]</w:t>
            </w: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  <w:lang w:val="en-US" w:eastAsia="zh-CN"/>
              </w:rPr>
              <w:t>5</w:t>
            </w:r>
            <w:r>
              <w:rPr>
                <w:rFonts w:hint="eastAsia" w:ascii="宋体" w:hAnsi="宋体" w:cs="宋体"/>
                <w:sz w:val="21"/>
                <w:szCs w:val="21"/>
                <w:highlight w:val="none"/>
                <w:lang w:val="en-US" w:eastAsia="zh-CN"/>
              </w:rPr>
              <w:t>2</w:t>
            </w: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</w:rPr>
              <w:t>号</w:t>
            </w: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</w:rPr>
              <w:fldChar w:fldCharType="end"/>
            </w:r>
          </w:p>
          <w:p w14:paraId="0206775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shd w:val="clear" w:color="auto" w:fill="FFFFFF"/>
              </w:rPr>
              <w:t>20255</w:t>
            </w:r>
            <w:r>
              <w:rPr>
                <w:rFonts w:hint="eastAsia" w:ascii="宋体" w:hAnsi="宋体" w:cs="宋体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shd w:val="clear" w:color="auto" w:fill="FFFFFF"/>
                <w:lang w:val="en-US" w:eastAsia="zh-CN"/>
              </w:rPr>
              <w:t>443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shd w:val="clear" w:color="auto" w:fill="FFFFFF"/>
              </w:rPr>
              <w:t>-T-469</w:t>
            </w:r>
          </w:p>
        </w:tc>
        <w:tc>
          <w:tcPr>
            <w:tcW w:w="153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07C8344">
            <w:pP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snapToGrid w:val="0"/>
                <w:color w:val="auto"/>
                <w:spacing w:val="0"/>
                <w:kern w:val="0"/>
                <w:sz w:val="21"/>
                <w:szCs w:val="21"/>
                <w:u w:val="none"/>
                <w:lang w:val="en-US" w:eastAsia="zh-CN" w:bidi="ar"/>
              </w:rPr>
              <w:t>金刚石材料热导率的测定 谐波法</w:t>
            </w:r>
          </w:p>
        </w:tc>
        <w:tc>
          <w:tcPr>
            <w:tcW w:w="137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FA81392">
            <w:pPr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default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-SA"/>
              </w:rPr>
              <w:t>中国电子科技集团公司第五十五研究所 </w:t>
            </w:r>
          </w:p>
        </w:tc>
        <w:tc>
          <w:tcPr>
            <w:tcW w:w="37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E3B01A1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shd w:val="clear" w:color="auto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-SA"/>
              </w:rPr>
              <w:t>审定</w:t>
            </w:r>
          </w:p>
        </w:tc>
      </w:tr>
      <w:tr w14:paraId="76EAE1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01" w:type="pct"/>
            <w:tcBorders>
              <w:right w:val="single" w:color="auto" w:sz="4" w:space="0"/>
            </w:tcBorders>
            <w:noWrap w:val="0"/>
            <w:vAlign w:val="center"/>
          </w:tcPr>
          <w:p w14:paraId="2E21CC46">
            <w:pPr>
              <w:pStyle w:val="5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</w:p>
        </w:tc>
        <w:tc>
          <w:tcPr>
            <w:tcW w:w="227" w:type="pct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09C9E63A">
            <w:pPr>
              <w:keepNext w:val="0"/>
              <w:keepLines w:val="0"/>
              <w:pageBreakBefore w:val="0"/>
              <w:kinsoku/>
              <w:wordWrap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</w:p>
        </w:tc>
        <w:tc>
          <w:tcPr>
            <w:tcW w:w="129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D82659E">
            <w:pPr>
              <w:jc w:val="center"/>
              <w:rPr>
                <w:rFonts w:hint="eastAsia" w:ascii="宋体" w:hAnsi="宋体" w:eastAsia="宋体" w:cs="宋体"/>
                <w:i w:val="0"/>
                <w:snapToGrid w:val="0"/>
                <w:color w:val="auto"/>
                <w:spacing w:val="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fldChar w:fldCharType="begin"/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instrText xml:space="preserve"> HYPERLINK "http://zxd.sacinfo.org.cn/gb_notice/1727662175388.doc" \t "https://std.samr.gov.cn/noc/search/_blank" </w:instrTex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fldChar w:fldCharType="separate"/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国标委发〔202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5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〕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47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号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fldChar w:fldCharType="end"/>
            </w:r>
          </w:p>
          <w:p w14:paraId="07F8A1FA">
            <w:pPr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snapToGrid w:val="0"/>
                <w:color w:val="auto"/>
                <w:spacing w:val="0"/>
                <w:kern w:val="0"/>
                <w:sz w:val="21"/>
                <w:szCs w:val="21"/>
                <w:u w:val="none"/>
                <w:lang w:val="en-US" w:eastAsia="zh-CN" w:bidi="ar"/>
              </w:rPr>
              <w:t>20254547-T-469</w:t>
            </w:r>
          </w:p>
        </w:tc>
        <w:tc>
          <w:tcPr>
            <w:tcW w:w="153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929B0E6">
            <w:pP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snapToGrid w:val="0"/>
                <w:color w:val="auto"/>
                <w:spacing w:val="0"/>
                <w:kern w:val="0"/>
                <w:sz w:val="21"/>
                <w:szCs w:val="21"/>
                <w:u w:val="none"/>
                <w:lang w:val="en-US" w:eastAsia="zh-CN" w:bidi="ar"/>
              </w:rPr>
              <w:t>氧化镓单晶抛光片</w:t>
            </w:r>
          </w:p>
        </w:tc>
        <w:tc>
          <w:tcPr>
            <w:tcW w:w="137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09EE189">
            <w:pPr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default" w:eastAsia="宋体"/>
                <w:sz w:val="21"/>
                <w:szCs w:val="21"/>
                <w:lang w:val="en-US" w:eastAsia="zh-CN"/>
              </w:rPr>
              <w:t>杭州富加镓业科技有限公司</w:t>
            </w:r>
          </w:p>
        </w:tc>
        <w:tc>
          <w:tcPr>
            <w:tcW w:w="37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13EAC80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-SA"/>
              </w:rPr>
              <w:t>审定</w:t>
            </w:r>
          </w:p>
        </w:tc>
      </w:tr>
      <w:tr w14:paraId="0692A2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01" w:type="pct"/>
            <w:tcBorders>
              <w:right w:val="single" w:color="auto" w:sz="4" w:space="0"/>
            </w:tcBorders>
            <w:noWrap w:val="0"/>
            <w:vAlign w:val="center"/>
          </w:tcPr>
          <w:p w14:paraId="6C50436C">
            <w:pPr>
              <w:pStyle w:val="5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</w:p>
        </w:tc>
        <w:tc>
          <w:tcPr>
            <w:tcW w:w="227" w:type="pct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1679DCDE">
            <w:pPr>
              <w:keepNext w:val="0"/>
              <w:keepLines w:val="0"/>
              <w:pageBreakBefore w:val="0"/>
              <w:kinsoku/>
              <w:wordWrap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</w:p>
        </w:tc>
        <w:tc>
          <w:tcPr>
            <w:tcW w:w="129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19C8D94">
            <w:pPr>
              <w:jc w:val="center"/>
              <w:rPr>
                <w:rFonts w:hint="eastAsia" w:ascii="宋体" w:hAnsi="宋体" w:eastAsia="宋体" w:cs="宋体"/>
                <w:i w:val="0"/>
                <w:snapToGrid w:val="0"/>
                <w:color w:val="auto"/>
                <w:spacing w:val="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fldChar w:fldCharType="begin"/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instrText xml:space="preserve"> HYPERLINK "http://zxd.sacinfo.org.cn/gb_notice/1727662175388.doc" \t "https://std.samr.gov.cn/noc/search/_blank" </w:instrTex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fldChar w:fldCharType="separate"/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国标委发〔202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5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〕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47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号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fldChar w:fldCharType="end"/>
            </w:r>
          </w:p>
          <w:p w14:paraId="1991057C">
            <w:pPr>
              <w:pStyle w:val="6"/>
              <w:keepNext w:val="0"/>
              <w:keepLines w:val="0"/>
              <w:pageBreakBefore w:val="0"/>
              <w:kinsoku/>
              <w:wordWrap/>
              <w:overflowPunct/>
              <w:topLinePunct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baseline"/>
              <w:rPr>
                <w:rFonts w:hint="eastAsia" w:ascii="宋体" w:hAnsi="宋体" w:eastAsia="宋体" w:cs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snapToGrid w:val="0"/>
                <w:color w:val="auto"/>
                <w:spacing w:val="0"/>
                <w:kern w:val="0"/>
                <w:sz w:val="21"/>
                <w:szCs w:val="21"/>
                <w:u w:val="none"/>
                <w:lang w:val="en-US" w:eastAsia="zh-CN" w:bidi="ar"/>
              </w:rPr>
              <w:t>20254761-T-469</w:t>
            </w:r>
          </w:p>
        </w:tc>
        <w:tc>
          <w:tcPr>
            <w:tcW w:w="153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18630F6">
            <w:pPr>
              <w:pStyle w:val="6"/>
              <w:keepNext w:val="0"/>
              <w:keepLines w:val="0"/>
              <w:pageBreakBefore w:val="0"/>
              <w:kinsoku/>
              <w:wordWrap/>
              <w:overflowPunct/>
              <w:topLinePunct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both"/>
              <w:textAlignment w:val="baseline"/>
              <w:rPr>
                <w:rFonts w:hint="eastAsia" w:ascii="宋体" w:hAnsi="宋体" w:eastAsia="宋体" w:cs="宋体"/>
                <w:i w:val="0"/>
                <w:snapToGrid w:val="0"/>
                <w:color w:val="auto"/>
                <w:spacing w:val="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snapToGrid w:val="0"/>
                <w:color w:val="auto"/>
                <w:spacing w:val="0"/>
                <w:kern w:val="0"/>
                <w:sz w:val="21"/>
                <w:szCs w:val="21"/>
                <w:u w:val="none"/>
                <w:lang w:val="en-US" w:eastAsia="zh-CN" w:bidi="ar"/>
              </w:rPr>
              <w:t>碳化硅单晶片残余应力的测试 光弹法</w:t>
            </w:r>
          </w:p>
        </w:tc>
        <w:tc>
          <w:tcPr>
            <w:tcW w:w="137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FBEED9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snapToGrid w:val="0"/>
                <w:color w:val="auto"/>
                <w:spacing w:val="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上海天岳半导体材料有限公司</w:t>
            </w:r>
          </w:p>
        </w:tc>
        <w:tc>
          <w:tcPr>
            <w:tcW w:w="37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36FE46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  <w:t>审定</w:t>
            </w:r>
          </w:p>
        </w:tc>
      </w:tr>
      <w:tr w14:paraId="4172A1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01" w:type="pct"/>
            <w:tcBorders>
              <w:right w:val="single" w:color="auto" w:sz="4" w:space="0"/>
            </w:tcBorders>
            <w:noWrap w:val="0"/>
            <w:vAlign w:val="center"/>
          </w:tcPr>
          <w:p w14:paraId="1B787E40">
            <w:pPr>
              <w:pStyle w:val="5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</w:p>
        </w:tc>
        <w:tc>
          <w:tcPr>
            <w:tcW w:w="227" w:type="pct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6F95484E">
            <w:pPr>
              <w:keepNext w:val="0"/>
              <w:keepLines w:val="0"/>
              <w:pageBreakBefore w:val="0"/>
              <w:kinsoku/>
              <w:wordWrap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</w:p>
        </w:tc>
        <w:tc>
          <w:tcPr>
            <w:tcW w:w="129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F6992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国标委发〔2026〕10号</w:t>
            </w:r>
          </w:p>
          <w:p w14:paraId="1A5F272C">
            <w:pPr>
              <w:jc w:val="center"/>
              <w:rPr>
                <w:rFonts w:hint="eastAsia" w:ascii="宋体" w:hAnsi="宋体" w:eastAsia="宋体" w:cs="宋体"/>
                <w:color w:val="auto"/>
                <w:spacing w:val="0"/>
                <w:sz w:val="21"/>
                <w:szCs w:val="21"/>
                <w:highlight w:val="none"/>
              </w:rPr>
            </w:pPr>
            <w:r>
              <w:rPr>
                <w:rFonts w:hint="default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2026050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</w:t>
            </w:r>
            <w:r>
              <w:rPr>
                <w:rFonts w:hint="default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-T-469</w:t>
            </w:r>
          </w:p>
        </w:tc>
        <w:tc>
          <w:tcPr>
            <w:tcW w:w="153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E6F23FF">
            <w:pPr>
              <w:rPr>
                <w:rFonts w:hint="eastAsia" w:ascii="宋体" w:hAnsi="宋体" w:eastAsia="宋体" w:cs="宋体"/>
                <w:i w:val="0"/>
                <w:snapToGrid w:val="0"/>
                <w:color w:val="auto"/>
                <w:spacing w:val="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pacing w:val="0"/>
                <w:kern w:val="2"/>
                <w:sz w:val="21"/>
                <w:szCs w:val="21"/>
                <w:lang w:val="en-US" w:eastAsia="en-US" w:bidi="ar-SA"/>
              </w:rPr>
              <w:fldChar w:fldCharType="begin"/>
            </w:r>
            <w:r>
              <w:rPr>
                <w:rFonts w:hint="default" w:ascii="Times New Roman" w:hAnsi="Times New Roman" w:eastAsia="宋体" w:cs="Times New Roman"/>
                <w:color w:val="auto"/>
                <w:spacing w:val="0"/>
                <w:kern w:val="2"/>
                <w:sz w:val="21"/>
                <w:szCs w:val="21"/>
                <w:lang w:val="en-US" w:eastAsia="en-US" w:bidi="ar-SA"/>
              </w:rPr>
              <w:instrText xml:space="preserve"> HYPERLINK "http://zxd.sacinfo.org.cn/gb/gbdetail/loadview?projectId=1029468" \t "http://zxd.sacinfo.org.cn/gb/project/tb/planProjectMonitoring/_blank" </w:instrText>
            </w:r>
            <w:r>
              <w:rPr>
                <w:rFonts w:hint="default" w:ascii="Times New Roman" w:hAnsi="Times New Roman" w:eastAsia="宋体" w:cs="Times New Roman"/>
                <w:color w:val="auto"/>
                <w:spacing w:val="0"/>
                <w:kern w:val="2"/>
                <w:sz w:val="21"/>
                <w:szCs w:val="21"/>
                <w:lang w:val="en-US" w:eastAsia="en-US" w:bidi="ar-SA"/>
              </w:rPr>
              <w:fldChar w:fldCharType="separate"/>
            </w:r>
            <w:r>
              <w:rPr>
                <w:rFonts w:hint="eastAsia" w:ascii="Times New Roman" w:hAnsi="Times New Roman" w:eastAsia="宋体" w:cs="Times New Roman"/>
                <w:color w:val="auto"/>
                <w:spacing w:val="0"/>
                <w:kern w:val="2"/>
                <w:sz w:val="21"/>
                <w:szCs w:val="21"/>
                <w:lang w:val="en-US" w:eastAsia="en-US" w:bidi="ar-SA"/>
              </w:rPr>
              <w:t>碳化硅多晶</w:t>
            </w:r>
            <w:r>
              <w:rPr>
                <w:rFonts w:hint="eastAsia" w:ascii="Times New Roman" w:hAnsi="Times New Roman" w:eastAsia="宋体" w:cs="Times New Roman"/>
                <w:color w:val="auto"/>
                <w:spacing w:val="0"/>
                <w:kern w:val="2"/>
                <w:sz w:val="21"/>
                <w:szCs w:val="21"/>
                <w:lang w:val="en-US" w:eastAsia="en-US" w:bidi="ar-SA"/>
              </w:rPr>
              <w:fldChar w:fldCharType="end"/>
            </w:r>
          </w:p>
        </w:tc>
        <w:tc>
          <w:tcPr>
            <w:tcW w:w="137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82FCE54">
            <w:pPr>
              <w:rPr>
                <w:rFonts w:hint="eastAsia" w:ascii="宋体" w:hAnsi="宋体" w:eastAsia="宋体" w:cs="宋体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highlight w:val="none"/>
              </w:rPr>
              <w:t>洛阳中硅高科技有限公司</w:t>
            </w:r>
          </w:p>
        </w:tc>
        <w:tc>
          <w:tcPr>
            <w:tcW w:w="37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6C0DCA9">
            <w:pPr>
              <w:jc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  <w:t>预审</w:t>
            </w:r>
          </w:p>
        </w:tc>
      </w:tr>
      <w:tr w14:paraId="56203D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01" w:type="pct"/>
            <w:tcBorders>
              <w:right w:val="single" w:color="auto" w:sz="4" w:space="0"/>
            </w:tcBorders>
            <w:noWrap w:val="0"/>
            <w:vAlign w:val="center"/>
          </w:tcPr>
          <w:p w14:paraId="057431F2">
            <w:pPr>
              <w:pStyle w:val="5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</w:p>
        </w:tc>
        <w:tc>
          <w:tcPr>
            <w:tcW w:w="227" w:type="pct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0025E8FA">
            <w:pPr>
              <w:keepNext w:val="0"/>
              <w:keepLines w:val="0"/>
              <w:pageBreakBefore w:val="0"/>
              <w:kinsoku/>
              <w:wordWrap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</w:p>
        </w:tc>
        <w:tc>
          <w:tcPr>
            <w:tcW w:w="129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C0F853A">
            <w:pPr>
              <w:pStyle w:val="6"/>
              <w:keepNext w:val="0"/>
              <w:keepLines w:val="0"/>
              <w:pageBreakBefore w:val="0"/>
              <w:kinsoku/>
              <w:wordWrap/>
              <w:overflowPunct/>
              <w:topLinePunct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baseline"/>
              <w:rPr>
                <w:rFonts w:hint="eastAsia" w:ascii="宋体" w:hAnsi="宋体" w:eastAsia="宋体" w:cs="宋体"/>
                <w:color w:val="auto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trike w:val="0"/>
                <w:dstrike w:val="0"/>
                <w:kern w:val="0"/>
                <w:sz w:val="21"/>
                <w:szCs w:val="21"/>
                <w:lang w:eastAsia="zh-CN"/>
              </w:rPr>
              <w:t>工信厅科</w:t>
            </w:r>
            <w:r>
              <w:rPr>
                <w:rFonts w:hint="eastAsia" w:ascii="宋体" w:hAnsi="宋体" w:eastAsia="宋体" w:cs="宋体"/>
                <w:strike w:val="0"/>
                <w:dstrike w:val="0"/>
                <w:sz w:val="21"/>
                <w:szCs w:val="21"/>
              </w:rPr>
              <w:t>[</w:t>
            </w:r>
            <w:r>
              <w:rPr>
                <w:rFonts w:hint="eastAsia" w:ascii="宋体" w:hAnsi="宋体" w:eastAsia="宋体" w:cs="宋体"/>
                <w:strike w:val="0"/>
                <w:dstrike w:val="0"/>
                <w:kern w:val="0"/>
                <w:sz w:val="21"/>
                <w:szCs w:val="21"/>
                <w:lang w:eastAsia="zh-CN"/>
              </w:rPr>
              <w:t>202</w:t>
            </w:r>
            <w:r>
              <w:rPr>
                <w:rFonts w:hint="eastAsia" w:ascii="宋体" w:hAnsi="宋体" w:eastAsia="宋体" w:cs="宋体"/>
                <w:strike w:val="0"/>
                <w:dstrike w:val="0"/>
                <w:kern w:val="0"/>
                <w:sz w:val="21"/>
                <w:szCs w:val="21"/>
                <w:lang w:val="en-US" w:eastAsia="zh-CN"/>
              </w:rPr>
              <w:t>5</w:t>
            </w:r>
            <w:r>
              <w:rPr>
                <w:rFonts w:hint="eastAsia" w:ascii="宋体" w:hAnsi="宋体" w:eastAsia="宋体" w:cs="宋体"/>
                <w:strike w:val="0"/>
                <w:dstrike w:val="0"/>
                <w:sz w:val="21"/>
                <w:szCs w:val="21"/>
              </w:rPr>
              <w:t>]</w:t>
            </w:r>
            <w:r>
              <w:rPr>
                <w:rFonts w:hint="eastAsia" w:ascii="宋体" w:hAnsi="宋体" w:eastAsia="宋体" w:cs="宋体"/>
                <w:strike w:val="0"/>
                <w:dstrike w:val="0"/>
                <w:kern w:val="0"/>
                <w:sz w:val="21"/>
                <w:szCs w:val="21"/>
                <w:lang w:val="en-US" w:eastAsia="zh-CN"/>
              </w:rPr>
              <w:t>52</w:t>
            </w:r>
            <w:r>
              <w:rPr>
                <w:rFonts w:hint="eastAsia" w:ascii="宋体" w:hAnsi="宋体" w:eastAsia="宋体" w:cs="宋体"/>
                <w:strike w:val="0"/>
                <w:dstrike w:val="0"/>
                <w:kern w:val="0"/>
                <w:sz w:val="21"/>
                <w:szCs w:val="21"/>
                <w:lang w:eastAsia="zh-CN"/>
              </w:rPr>
              <w:t>8号</w:t>
            </w:r>
          </w:p>
          <w:p w14:paraId="1EEF4AF0">
            <w:pPr>
              <w:jc w:val="center"/>
              <w:rPr>
                <w:rFonts w:hint="default" w:ascii="Times New Roman" w:hAnsi="Times New Roman" w:eastAsia="宋体" w:cs="Times New Roman"/>
                <w:color w:val="auto"/>
                <w:spacing w:val="0"/>
                <w:kern w:val="2"/>
                <w:sz w:val="21"/>
                <w:szCs w:val="21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0"/>
                <w:sz w:val="21"/>
                <w:szCs w:val="21"/>
              </w:rPr>
              <w:t>2025-1382T-YS</w:t>
            </w:r>
          </w:p>
        </w:tc>
        <w:tc>
          <w:tcPr>
            <w:tcW w:w="153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630495C">
            <w:pPr>
              <w:rPr>
                <w:rFonts w:hint="eastAsia" w:ascii="宋体" w:hAnsi="宋体" w:eastAsia="宋体" w:cs="宋体"/>
                <w:i w:val="0"/>
                <w:snapToGrid w:val="0"/>
                <w:color w:val="auto"/>
                <w:spacing w:val="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pacing w:val="0"/>
                <w:sz w:val="21"/>
                <w:szCs w:val="21"/>
              </w:rPr>
              <w:t xml:space="preserve">蓝宝石材料中痕量杂质元素含量的测定 </w:t>
            </w:r>
            <w:r>
              <w:rPr>
                <w:rFonts w:hint="eastAsia" w:ascii="Times New Roman" w:hAnsi="Times New Roman" w:eastAsia="宋体" w:cs="Times New Roman"/>
                <w:color w:val="auto"/>
                <w:spacing w:val="0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color w:val="auto"/>
                <w:spacing w:val="0"/>
                <w:sz w:val="21"/>
                <w:szCs w:val="21"/>
              </w:rPr>
              <w:t>辉光放电质谱法</w:t>
            </w:r>
          </w:p>
        </w:tc>
        <w:tc>
          <w:tcPr>
            <w:tcW w:w="137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5F13253">
            <w:pP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pacing w:val="0"/>
                <w:sz w:val="21"/>
                <w:szCs w:val="21"/>
              </w:rPr>
              <w:t>国标（北京）检验认证有限公司</w:t>
            </w:r>
          </w:p>
        </w:tc>
        <w:tc>
          <w:tcPr>
            <w:tcW w:w="37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BA37BEF">
            <w:pPr>
              <w:jc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-SA"/>
              </w:rPr>
              <w:t>审定</w:t>
            </w:r>
          </w:p>
        </w:tc>
      </w:tr>
      <w:tr w14:paraId="76C813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01" w:type="pct"/>
            <w:tcBorders>
              <w:right w:val="single" w:color="auto" w:sz="4" w:space="0"/>
            </w:tcBorders>
            <w:noWrap w:val="0"/>
            <w:vAlign w:val="center"/>
          </w:tcPr>
          <w:p w14:paraId="630C4FA8">
            <w:pPr>
              <w:pStyle w:val="5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</w:p>
        </w:tc>
        <w:tc>
          <w:tcPr>
            <w:tcW w:w="227" w:type="pct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5110E471">
            <w:pPr>
              <w:keepNext w:val="0"/>
              <w:keepLines w:val="0"/>
              <w:pageBreakBefore w:val="0"/>
              <w:kinsoku/>
              <w:wordWrap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</w:p>
        </w:tc>
        <w:tc>
          <w:tcPr>
            <w:tcW w:w="129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566417C">
            <w:pPr>
              <w:jc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strike w:val="0"/>
                <w:dstrike w:val="0"/>
                <w:sz w:val="21"/>
                <w:szCs w:val="21"/>
                <w:lang w:val="en-US" w:eastAsia="zh-CN"/>
              </w:rPr>
              <w:t>工信厅科函〔2026〕192号</w:t>
            </w:r>
          </w:p>
          <w:p w14:paraId="1F96CA64">
            <w:pPr>
              <w:jc w:val="center"/>
              <w:rPr>
                <w:rFonts w:hint="eastAsia" w:ascii="宋体" w:hAnsi="宋体" w:eastAsia="宋体" w:cs="宋体"/>
                <w:i w:val="0"/>
                <w:snapToGrid w:val="0"/>
                <w:color w:val="auto"/>
                <w:spacing w:val="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2026-0246T-YS</w:t>
            </w:r>
          </w:p>
        </w:tc>
        <w:tc>
          <w:tcPr>
            <w:tcW w:w="153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B2716E4">
            <w:pPr>
              <w:rPr>
                <w:rFonts w:hint="eastAsia" w:ascii="宋体" w:hAnsi="宋体" w:eastAsia="宋体" w:cs="宋体"/>
                <w:i w:val="0"/>
                <w:snapToGrid w:val="0"/>
                <w:color w:val="auto"/>
                <w:spacing w:val="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pacing w:val="0"/>
                <w:kern w:val="2"/>
                <w:sz w:val="21"/>
                <w:szCs w:val="21"/>
                <w:lang w:val="en-US" w:eastAsia="zh-CN" w:bidi="ar-SA"/>
              </w:rPr>
              <w:t>饰品用锗合金</w:t>
            </w:r>
          </w:p>
        </w:tc>
        <w:tc>
          <w:tcPr>
            <w:tcW w:w="137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F210EB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  <w:t>扬州宁达锗业科技股份有限公司</w:t>
            </w:r>
          </w:p>
        </w:tc>
        <w:tc>
          <w:tcPr>
            <w:tcW w:w="37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A6FEF7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  <w:t>预审</w:t>
            </w:r>
          </w:p>
        </w:tc>
      </w:tr>
    </w:tbl>
    <w:p w14:paraId="6CFFE29D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42044C13"/>
    <w:multiLevelType w:val="multilevel"/>
    <w:tmpl w:val="42044C13"/>
    <w:lvl w:ilvl="0" w:tentative="0">
      <w:start w:val="1"/>
      <w:numFmt w:val="decimal"/>
      <w:lvlText w:val="%1"/>
      <w:lvlJc w:val="left"/>
      <w:pPr>
        <w:ind w:left="420" w:hanging="420"/>
      </w:pPr>
      <w:rPr>
        <w:rFonts w:hint="eastAsia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AFE6EA1"/>
    <w:rsid w:val="3AFE6E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List Paragraph"/>
    <w:basedOn w:val="1"/>
    <w:qFormat/>
    <w:uiPriority w:val="34"/>
    <w:pPr>
      <w:ind w:firstLine="420" w:firstLineChars="200"/>
    </w:pPr>
    <w:rPr>
      <w:szCs w:val="20"/>
    </w:rPr>
  </w:style>
  <w:style w:type="paragraph" w:customStyle="1" w:styleId="6">
    <w:name w:val="Table Text"/>
    <w:basedOn w:val="1"/>
    <w:semiHidden/>
    <w:qFormat/>
    <w:uiPriority w:val="0"/>
    <w:rPr>
      <w:rFonts w:ascii="微软雅黑" w:hAnsi="微软雅黑" w:eastAsia="微软雅黑" w:cs="微软雅黑"/>
      <w:sz w:val="18"/>
      <w:szCs w:val="18"/>
      <w:lang w:val="en-US" w:eastAsia="en-US" w:bidi="ar-SA"/>
    </w:rPr>
  </w:style>
  <w:style w:type="character" w:customStyle="1" w:styleId="7">
    <w:name w:val="font31"/>
    <w:basedOn w:val="4"/>
    <w:qFormat/>
    <w:uiPriority w:val="0"/>
    <w:rPr>
      <w:rFonts w:hint="default" w:ascii="Times New Roman" w:hAnsi="Times New Roman" w:cs="Times New Roman"/>
      <w:color w:val="000000"/>
      <w:sz w:val="21"/>
      <w:szCs w:val="21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2026-09-04T11:44:00Z</dcterms:created>
  <dc:creator>WPS_1747749647</dc:creator>
  <cp:lastModifiedBy>WPS_1747749647</cp:lastModifiedBy>
  <dcterms:modified xsi:type="dcterms:W3CDTF">2026-09-04T11:44:38Z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29A6F8F95E5D4CCD8A89FDE6F299DE9D_11</vt:lpwstr>
  </property>
  <property fmtid="{D5CDD505-2E9C-101B-9397-08002B2CF9AE}" pid="4" name="KSOTemplateDocerSaveRecord">
    <vt:lpwstr>eyJoZGlkIjoiNDk0ODU2ZjU2NmVkNzMyMzFjNTc3MjE0NjVlYzEyYTgiLCJ1c2VySWQiOiIxNzA0MDYyMTU1In0=</vt:lpwstr>
  </property>
</Properties>
</file>