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eastAsia="黑体"/>
          <w:b/>
          <w:sz w:val="44"/>
          <w:szCs w:val="44"/>
        </w:rPr>
      </w:pPr>
    </w:p>
    <w:p>
      <w:pPr>
        <w:jc w:val="both"/>
        <w:rPr>
          <w:rFonts w:hint="eastAsia" w:ascii="黑体" w:eastAsia="黑体"/>
          <w:b/>
          <w:sz w:val="44"/>
          <w:szCs w:val="44"/>
        </w:rPr>
      </w:pPr>
    </w:p>
    <w:p>
      <w:pPr>
        <w:jc w:val="center"/>
        <w:rPr>
          <w:rFonts w:hint="eastAsia" w:ascii="黑体" w:eastAsia="黑体"/>
          <w:b/>
          <w:sz w:val="44"/>
          <w:szCs w:val="44"/>
        </w:rPr>
      </w:pPr>
    </w:p>
    <w:p>
      <w:pPr>
        <w:jc w:val="center"/>
        <w:rPr>
          <w:rFonts w:hint="eastAsia" w:ascii="黑体" w:eastAsia="黑体"/>
          <w:b/>
          <w:sz w:val="44"/>
          <w:szCs w:val="44"/>
        </w:rPr>
      </w:pPr>
      <w:r>
        <w:rPr>
          <w:rFonts w:hint="eastAsia" w:ascii="黑体" w:eastAsia="黑体"/>
          <w:b/>
          <w:sz w:val="44"/>
          <w:szCs w:val="44"/>
        </w:rPr>
        <w:t>《铜冶炼PS转炉环保升级改造》</w:t>
      </w:r>
    </w:p>
    <w:p>
      <w:pPr>
        <w:spacing w:line="360" w:lineRule="auto"/>
        <w:jc w:val="center"/>
        <w:rPr>
          <w:rFonts w:hint="eastAsia" w:eastAsia="黑体"/>
          <w:sz w:val="32"/>
          <w:szCs w:val="32"/>
        </w:rPr>
      </w:pPr>
    </w:p>
    <w:p>
      <w:pPr>
        <w:spacing w:line="360" w:lineRule="auto"/>
        <w:jc w:val="center"/>
        <w:rPr>
          <w:rFonts w:hint="eastAsia" w:eastAsia="黑体"/>
          <w:sz w:val="32"/>
          <w:szCs w:val="32"/>
        </w:rPr>
      </w:pPr>
      <w:r>
        <w:rPr>
          <w:rFonts w:hint="eastAsia" w:eastAsia="黑体"/>
          <w:sz w:val="32"/>
          <w:szCs w:val="32"/>
        </w:rPr>
        <w:t>（</w:t>
      </w:r>
      <w:r>
        <w:rPr>
          <w:rFonts w:hint="eastAsia" w:eastAsia="黑体"/>
          <w:sz w:val="32"/>
          <w:szCs w:val="32"/>
          <w:lang w:val="en-US" w:eastAsia="zh-CN"/>
        </w:rPr>
        <w:t>预审</w:t>
      </w:r>
      <w:r>
        <w:rPr>
          <w:rFonts w:hint="eastAsia" w:eastAsia="黑体"/>
          <w:sz w:val="32"/>
          <w:szCs w:val="32"/>
        </w:rPr>
        <w:t>稿）</w:t>
      </w:r>
    </w:p>
    <w:p>
      <w:pPr>
        <w:spacing w:line="360" w:lineRule="auto"/>
        <w:jc w:val="center"/>
        <w:rPr>
          <w:rFonts w:hint="eastAsia" w:eastAsia="黑体"/>
          <w:sz w:val="32"/>
          <w:szCs w:val="32"/>
        </w:rPr>
      </w:pPr>
    </w:p>
    <w:p>
      <w:pPr>
        <w:jc w:val="center"/>
        <w:rPr>
          <w:rFonts w:hint="eastAsia" w:ascii="黑体" w:eastAsia="黑体"/>
          <w:b/>
          <w:sz w:val="44"/>
          <w:szCs w:val="44"/>
        </w:rPr>
      </w:pPr>
      <w:r>
        <w:rPr>
          <w:rFonts w:hint="eastAsia" w:ascii="黑体" w:eastAsia="黑体"/>
          <w:b/>
          <w:sz w:val="44"/>
          <w:szCs w:val="44"/>
        </w:rPr>
        <w:t>编制说明</w:t>
      </w:r>
    </w:p>
    <w:p>
      <w:pPr>
        <w:spacing w:line="360" w:lineRule="auto"/>
        <w:jc w:val="center"/>
        <w:rPr>
          <w:rFonts w:hint="eastAsia" w:eastAsia="黑体"/>
          <w:sz w:val="32"/>
          <w:szCs w:val="32"/>
        </w:rPr>
      </w:pPr>
    </w:p>
    <w:p>
      <w:pPr>
        <w:spacing w:line="360" w:lineRule="auto"/>
        <w:jc w:val="center"/>
        <w:rPr>
          <w:rFonts w:hint="eastAsia" w:eastAsia="黑体"/>
          <w:sz w:val="32"/>
          <w:szCs w:val="32"/>
        </w:rPr>
      </w:pPr>
    </w:p>
    <w:p>
      <w:pPr>
        <w:spacing w:line="360" w:lineRule="auto"/>
        <w:jc w:val="center"/>
        <w:rPr>
          <w:rFonts w:hint="eastAsia" w:eastAsia="黑体"/>
          <w:sz w:val="32"/>
          <w:szCs w:val="32"/>
        </w:rPr>
      </w:pPr>
    </w:p>
    <w:p>
      <w:pPr>
        <w:spacing w:line="360" w:lineRule="auto"/>
        <w:jc w:val="center"/>
        <w:rPr>
          <w:rFonts w:hint="eastAsia" w:eastAsia="黑体"/>
          <w:sz w:val="32"/>
          <w:szCs w:val="32"/>
        </w:rPr>
      </w:pPr>
    </w:p>
    <w:p>
      <w:pPr>
        <w:spacing w:line="360" w:lineRule="auto"/>
        <w:jc w:val="center"/>
        <w:rPr>
          <w:rFonts w:hint="eastAsia" w:eastAsia="黑体"/>
          <w:sz w:val="32"/>
          <w:szCs w:val="32"/>
        </w:rPr>
      </w:pPr>
    </w:p>
    <w:p>
      <w:pPr>
        <w:spacing w:line="360" w:lineRule="auto"/>
        <w:jc w:val="center"/>
        <w:rPr>
          <w:rFonts w:hint="eastAsia" w:eastAsia="黑体"/>
          <w:sz w:val="32"/>
          <w:szCs w:val="32"/>
        </w:rPr>
      </w:pPr>
    </w:p>
    <w:p>
      <w:pPr>
        <w:spacing w:line="360" w:lineRule="auto"/>
        <w:jc w:val="center"/>
        <w:rPr>
          <w:rFonts w:hint="eastAsia" w:eastAsia="黑体"/>
          <w:sz w:val="32"/>
          <w:szCs w:val="32"/>
        </w:rPr>
      </w:pPr>
    </w:p>
    <w:p>
      <w:pPr>
        <w:spacing w:line="480" w:lineRule="exact"/>
        <w:jc w:val="center"/>
        <w:rPr>
          <w:rFonts w:hint="eastAsia"/>
          <w:b/>
          <w:sz w:val="28"/>
          <w:szCs w:val="28"/>
        </w:rPr>
      </w:pPr>
    </w:p>
    <w:p>
      <w:pPr>
        <w:spacing w:line="480" w:lineRule="exact"/>
        <w:jc w:val="center"/>
        <w:rPr>
          <w:rFonts w:hint="eastAsia"/>
          <w:b/>
          <w:sz w:val="28"/>
          <w:szCs w:val="28"/>
        </w:rPr>
      </w:pPr>
    </w:p>
    <w:p>
      <w:pPr>
        <w:spacing w:line="360" w:lineRule="auto"/>
        <w:jc w:val="center"/>
        <w:rPr>
          <w:rFonts w:hint="eastAsia" w:ascii="黑体" w:hAnsi="黑体" w:eastAsia="黑体" w:cs="黑体"/>
          <w:b w:val="0"/>
          <w:bCs/>
          <w:sz w:val="28"/>
          <w:szCs w:val="28"/>
          <w:lang w:val="en-US" w:eastAsia="zh-CN"/>
        </w:rPr>
      </w:pPr>
      <w:r>
        <w:rPr>
          <w:rFonts w:hint="eastAsia" w:ascii="黑体" w:hAnsi="黑体" w:eastAsia="黑体" w:cs="黑体"/>
          <w:b w:val="0"/>
          <w:bCs/>
          <w:sz w:val="28"/>
          <w:szCs w:val="28"/>
        </w:rPr>
        <w:t>主编单位：</w:t>
      </w:r>
      <w:r>
        <w:rPr>
          <w:rFonts w:hint="eastAsia" w:ascii="黑体" w:hAnsi="黑体" w:eastAsia="黑体" w:cs="黑体"/>
          <w:b w:val="0"/>
          <w:bCs/>
          <w:sz w:val="28"/>
          <w:szCs w:val="28"/>
          <w:lang w:val="en-US" w:eastAsia="zh-CN"/>
        </w:rPr>
        <w:t>江西铜业股份有限公司</w:t>
      </w:r>
    </w:p>
    <w:p>
      <w:pPr>
        <w:spacing w:line="360" w:lineRule="auto"/>
        <w:jc w:val="center"/>
        <w:rPr>
          <w:rFonts w:hint="eastAsia" w:ascii="黑体" w:hAnsi="黑体" w:eastAsia="黑体" w:cs="黑体"/>
          <w:b w:val="0"/>
          <w:bCs/>
          <w:sz w:val="28"/>
          <w:szCs w:val="28"/>
          <w:lang w:val="en-US" w:eastAsia="zh-CN"/>
        </w:rPr>
      </w:pPr>
      <w:r>
        <w:rPr>
          <w:rFonts w:hint="eastAsia" w:ascii="黑体" w:hAnsi="黑体" w:eastAsia="黑体" w:cs="黑体"/>
          <w:b w:val="0"/>
          <w:bCs/>
          <w:sz w:val="28"/>
          <w:szCs w:val="28"/>
        </w:rPr>
        <w:t>202</w:t>
      </w:r>
      <w:r>
        <w:rPr>
          <w:rFonts w:hint="eastAsia" w:ascii="黑体" w:hAnsi="黑体" w:eastAsia="黑体" w:cs="黑体"/>
          <w:b w:val="0"/>
          <w:bCs/>
          <w:sz w:val="28"/>
          <w:szCs w:val="28"/>
          <w:lang w:val="en-US" w:eastAsia="zh-CN"/>
        </w:rPr>
        <w:t>6年08月</w:t>
      </w:r>
    </w:p>
    <w:p>
      <w:pPr>
        <w:pStyle w:val="7"/>
        <w:jc w:val="left"/>
        <w:rPr>
          <w:rFonts w:hint="eastAsia" w:ascii="黑体" w:hAnsi="黑体" w:eastAsia="黑体" w:cs="黑体"/>
          <w:b w:val="0"/>
          <w:bCs/>
          <w:sz w:val="28"/>
          <w:szCs w:val="28"/>
        </w:rPr>
        <w:sectPr>
          <w:headerReference r:id="rId3" w:type="default"/>
          <w:footerReference r:id="rId4" w:type="even"/>
          <w:endnotePr>
            <w:numFmt w:val="decimal"/>
          </w:endnotePr>
          <w:pgSz w:w="11906" w:h="16838"/>
          <w:pgMar w:top="1361" w:right="1361" w:bottom="1361" w:left="1361" w:header="851" w:footer="992" w:gutter="0"/>
          <w:pgBorders>
            <w:top w:val="none" w:sz="0" w:space="0"/>
            <w:left w:val="none" w:sz="0" w:space="0"/>
            <w:bottom w:val="none" w:sz="0" w:space="0"/>
            <w:right w:val="none" w:sz="0" w:space="0"/>
          </w:pgBorders>
          <w:pgNumType w:fmt="upperRoman" w:start="1"/>
          <w:cols w:space="720" w:num="1"/>
          <w:docGrid w:linePitch="312" w:charSpace="0"/>
        </w:sectPr>
      </w:pPr>
    </w:p>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outlineLvl w:val="0"/>
        <w:rPr>
          <w:rFonts w:hint="eastAsia" w:ascii="黑体" w:hAnsi="黑体" w:eastAsia="黑体" w:cs="黑体"/>
          <w:szCs w:val="24"/>
          <w:lang w:val="en-US" w:eastAsia="zh-CN"/>
        </w:rPr>
      </w:pPr>
      <w:bookmarkStart w:id="0" w:name="_Toc14748"/>
      <w:r>
        <w:rPr>
          <w:rFonts w:hint="eastAsia" w:eastAsia="黑体"/>
          <w:color w:val="auto"/>
          <w:sz w:val="28"/>
          <w:szCs w:val="28"/>
          <w:lang w:val="en-US" w:eastAsia="zh-CN"/>
        </w:rPr>
        <w:t>目  录</w:t>
      </w:r>
      <w:bookmarkEnd w:id="0"/>
      <w:r>
        <w:rPr>
          <w:rFonts w:hint="eastAsia" w:eastAsia="黑体"/>
          <w:color w:val="auto"/>
          <w:sz w:val="28"/>
          <w:szCs w:val="28"/>
          <w:lang w:val="en-US" w:eastAsia="zh-CN"/>
        </w:rPr>
        <w:fldChar w:fldCharType="begin"/>
      </w:r>
      <w:r>
        <w:rPr>
          <w:rFonts w:hint="eastAsia" w:eastAsia="黑体"/>
          <w:color w:val="auto"/>
          <w:sz w:val="28"/>
          <w:szCs w:val="28"/>
          <w:lang w:val="en-US" w:eastAsia="zh-CN"/>
        </w:rPr>
        <w:instrText xml:space="preserve">TOC \o "1-3" \h \u </w:instrText>
      </w:r>
      <w:r>
        <w:rPr>
          <w:rFonts w:hint="eastAsia" w:eastAsia="黑体"/>
          <w:color w:val="auto"/>
          <w:sz w:val="28"/>
          <w:szCs w:val="28"/>
          <w:lang w:val="en-US" w:eastAsia="zh-CN"/>
        </w:rPr>
        <w:fldChar w:fldCharType="separate"/>
      </w:r>
      <w:r>
        <w:rPr>
          <w:rFonts w:hint="eastAsia" w:ascii="黑体" w:hAnsi="黑体" w:eastAsia="黑体" w:cs="黑体"/>
          <w:color w:val="auto"/>
          <w:szCs w:val="28"/>
          <w:lang w:val="en-US" w:eastAsia="zh-CN"/>
        </w:rPr>
        <w:fldChar w:fldCharType="begin"/>
      </w:r>
      <w:r>
        <w:rPr>
          <w:rFonts w:hint="eastAsia" w:ascii="黑体" w:hAnsi="黑体" w:eastAsia="黑体" w:cs="黑体"/>
          <w:szCs w:val="28"/>
          <w:lang w:val="en-US" w:eastAsia="zh-CN"/>
        </w:rPr>
        <w:instrText xml:space="preserve"> HYPERLINK \l _Toc7168 </w:instrText>
      </w:r>
      <w:r>
        <w:rPr>
          <w:rFonts w:hint="eastAsia" w:ascii="黑体" w:hAnsi="黑体" w:eastAsia="黑体" w:cs="黑体"/>
          <w:szCs w:val="28"/>
          <w:lang w:val="en-US" w:eastAsia="zh-CN"/>
        </w:rPr>
        <w:fldChar w:fldCharType="separate"/>
      </w:r>
    </w:p>
    <w:sdt>
      <w:sdtPr>
        <w:rPr>
          <w:rFonts w:ascii="宋体" w:hAnsi="宋体" w:eastAsia="宋体" w:cstheme="minorBidi"/>
          <w:kern w:val="2"/>
          <w:sz w:val="21"/>
          <w:szCs w:val="22"/>
          <w:lang w:val="en-US" w:eastAsia="zh-CN" w:bidi="ar-SA"/>
        </w:rPr>
        <w:id w:val="147457829"/>
        <w15:color w:val="DBDBDB"/>
        <w:docPartObj>
          <w:docPartGallery w:val="Table of Contents"/>
          <w:docPartUnique/>
        </w:docPartObj>
      </w:sdtPr>
      <w:sdtEndPr>
        <w:rPr>
          <w:rFonts w:ascii="宋体" w:hAnsi="宋体" w:eastAsia="宋体" w:cstheme="minorBidi"/>
          <w:b/>
          <w:kern w:val="2"/>
          <w:sz w:val="21"/>
          <w:szCs w:val="22"/>
          <w:lang w:val="en-US" w:eastAsia="zh-CN" w:bidi="ar-SA"/>
        </w:rPr>
      </w:sdtEndPr>
      <w:sdtContent>
        <w:p>
          <w:pPr>
            <w:spacing w:before="0" w:beforeLines="0" w:after="0" w:afterLines="0" w:line="240" w:lineRule="auto"/>
            <w:ind w:left="0" w:leftChars="0" w:right="0" w:rightChars="0" w:firstLine="0" w:firstLineChars="0"/>
            <w:jc w:val="center"/>
            <w:rPr>
              <w:b/>
            </w:rPr>
          </w:pPr>
          <w:r>
            <w:fldChar w:fldCharType="begin"/>
          </w:r>
          <w:r>
            <w:instrText xml:space="preserve">TOC \o "1-2" \h \u </w:instrText>
          </w:r>
          <w:r>
            <w:fldChar w:fldCharType="separate"/>
          </w:r>
        </w:p>
        <w:p>
          <w:pPr>
            <w:pStyle w:val="14"/>
            <w:tabs>
              <w:tab w:val="right" w:leader="dot" w:pos="8306"/>
            </w:tabs>
            <w:rPr>
              <w:rFonts w:hint="eastAsia" w:ascii="黑体" w:hAnsi="黑体" w:eastAsia="黑体" w:cs="黑体"/>
              <w:b w:val="0"/>
              <w:bCs/>
            </w:rPr>
          </w:pPr>
          <w:r>
            <w:rPr>
              <w:rFonts w:hint="eastAsia" w:ascii="黑体" w:hAnsi="黑体" w:eastAsia="黑体" w:cs="黑体"/>
              <w:b w:val="0"/>
              <w:bCs/>
            </w:rPr>
            <w:fldChar w:fldCharType="begin"/>
          </w:r>
          <w:r>
            <w:rPr>
              <w:rFonts w:hint="eastAsia" w:ascii="黑体" w:hAnsi="黑体" w:eastAsia="黑体" w:cs="黑体"/>
              <w:b w:val="0"/>
              <w:bCs/>
            </w:rPr>
            <w:instrText xml:space="preserve"> HYPERLINK \l _Toc775 </w:instrText>
          </w:r>
          <w:r>
            <w:rPr>
              <w:rFonts w:hint="eastAsia" w:ascii="黑体" w:hAnsi="黑体" w:eastAsia="黑体" w:cs="黑体"/>
              <w:b w:val="0"/>
              <w:bCs/>
            </w:rPr>
            <w:fldChar w:fldCharType="separate"/>
          </w:r>
          <w:r>
            <w:rPr>
              <w:rFonts w:hint="eastAsia" w:ascii="黑体" w:hAnsi="黑体" w:eastAsia="黑体" w:cs="黑体"/>
              <w:b w:val="0"/>
              <w:bCs/>
              <w:lang w:val="en-US" w:eastAsia="zh-CN"/>
            </w:rPr>
            <w:t xml:space="preserve">1 </w:t>
          </w:r>
          <w:r>
            <w:rPr>
              <w:rFonts w:hint="eastAsia" w:ascii="黑体" w:hAnsi="黑体" w:eastAsia="黑体" w:cs="黑体"/>
              <w:b w:val="0"/>
              <w:bCs/>
            </w:rPr>
            <w:t>工作简况</w:t>
          </w:r>
          <w:r>
            <w:rPr>
              <w:rFonts w:hint="eastAsia" w:ascii="黑体" w:hAnsi="黑体" w:eastAsia="黑体" w:cs="黑体"/>
              <w:b w:val="0"/>
              <w:bCs/>
            </w:rPr>
            <w:tab/>
          </w:r>
          <w:r>
            <w:rPr>
              <w:rFonts w:hint="eastAsia" w:ascii="黑体" w:hAnsi="黑体" w:eastAsia="黑体" w:cs="黑体"/>
              <w:b w:val="0"/>
              <w:bCs/>
            </w:rPr>
            <w:fldChar w:fldCharType="begin"/>
          </w:r>
          <w:r>
            <w:rPr>
              <w:rFonts w:hint="eastAsia" w:ascii="黑体" w:hAnsi="黑体" w:eastAsia="黑体" w:cs="黑体"/>
              <w:b w:val="0"/>
              <w:bCs/>
            </w:rPr>
            <w:instrText xml:space="preserve"> PAGEREF _Toc775 \h </w:instrText>
          </w:r>
          <w:r>
            <w:rPr>
              <w:rFonts w:hint="eastAsia" w:ascii="黑体" w:hAnsi="黑体" w:eastAsia="黑体" w:cs="黑体"/>
              <w:b w:val="0"/>
              <w:bCs/>
            </w:rPr>
            <w:fldChar w:fldCharType="separate"/>
          </w:r>
          <w:r>
            <w:rPr>
              <w:rFonts w:hint="eastAsia" w:ascii="黑体" w:hAnsi="黑体" w:eastAsia="黑体" w:cs="黑体"/>
              <w:b w:val="0"/>
              <w:bCs/>
            </w:rPr>
            <w:t>3</w:t>
          </w:r>
          <w:r>
            <w:rPr>
              <w:rFonts w:hint="eastAsia" w:ascii="黑体" w:hAnsi="黑体" w:eastAsia="黑体" w:cs="黑体"/>
              <w:b w:val="0"/>
              <w:bCs/>
            </w:rPr>
            <w:fldChar w:fldCharType="end"/>
          </w:r>
          <w:r>
            <w:rPr>
              <w:rFonts w:hint="eastAsia" w:ascii="黑体" w:hAnsi="黑体" w:eastAsia="黑体" w:cs="黑体"/>
              <w:b w:val="0"/>
              <w:bCs/>
            </w:rPr>
            <w:fldChar w:fldCharType="end"/>
          </w:r>
        </w:p>
        <w:p>
          <w:pPr>
            <w:pStyle w:val="15"/>
            <w:tabs>
              <w:tab w:val="right" w:leader="dot" w:pos="8306"/>
            </w:tabs>
            <w:rPr>
              <w:rFonts w:hint="eastAsia" w:ascii="黑体" w:hAnsi="黑体" w:eastAsia="黑体" w:cs="黑体"/>
              <w:b w:val="0"/>
              <w:bCs/>
            </w:rPr>
          </w:pPr>
          <w:r>
            <w:rPr>
              <w:rFonts w:hint="eastAsia" w:ascii="黑体" w:hAnsi="黑体" w:eastAsia="黑体" w:cs="黑体"/>
              <w:b w:val="0"/>
              <w:bCs/>
            </w:rPr>
            <w:fldChar w:fldCharType="begin"/>
          </w:r>
          <w:r>
            <w:rPr>
              <w:rFonts w:hint="eastAsia" w:ascii="黑体" w:hAnsi="黑体" w:eastAsia="黑体" w:cs="黑体"/>
              <w:b w:val="0"/>
              <w:bCs/>
            </w:rPr>
            <w:instrText xml:space="preserve"> HYPERLINK \l _Toc23923 </w:instrText>
          </w:r>
          <w:r>
            <w:rPr>
              <w:rFonts w:hint="eastAsia" w:ascii="黑体" w:hAnsi="黑体" w:eastAsia="黑体" w:cs="黑体"/>
              <w:b w:val="0"/>
              <w:bCs/>
            </w:rPr>
            <w:fldChar w:fldCharType="separate"/>
          </w:r>
          <w:r>
            <w:rPr>
              <w:rFonts w:hint="eastAsia" w:ascii="黑体" w:hAnsi="黑体" w:eastAsia="黑体" w:cs="黑体"/>
              <w:b w:val="0"/>
              <w:bCs/>
            </w:rPr>
            <w:t>1.1</w:t>
          </w:r>
          <w:r>
            <w:rPr>
              <w:rFonts w:hint="eastAsia" w:ascii="黑体" w:hAnsi="黑体" w:eastAsia="黑体" w:cs="黑体"/>
              <w:b w:val="0"/>
              <w:bCs/>
              <w:lang w:val="en-US" w:eastAsia="zh-CN"/>
            </w:rPr>
            <w:t xml:space="preserve"> </w:t>
          </w:r>
          <w:r>
            <w:rPr>
              <w:rFonts w:hint="eastAsia" w:ascii="黑体" w:hAnsi="黑体" w:eastAsia="黑体" w:cs="黑体"/>
              <w:b w:val="0"/>
              <w:bCs/>
            </w:rPr>
            <w:t>任务来源</w:t>
          </w:r>
          <w:r>
            <w:rPr>
              <w:rFonts w:hint="eastAsia" w:ascii="黑体" w:hAnsi="黑体" w:eastAsia="黑体" w:cs="黑体"/>
              <w:b w:val="0"/>
              <w:bCs/>
            </w:rPr>
            <w:tab/>
          </w:r>
          <w:r>
            <w:rPr>
              <w:rFonts w:hint="eastAsia" w:ascii="黑体" w:hAnsi="黑体" w:eastAsia="黑体" w:cs="黑体"/>
              <w:b w:val="0"/>
              <w:bCs/>
            </w:rPr>
            <w:fldChar w:fldCharType="begin"/>
          </w:r>
          <w:r>
            <w:rPr>
              <w:rFonts w:hint="eastAsia" w:ascii="黑体" w:hAnsi="黑体" w:eastAsia="黑体" w:cs="黑体"/>
              <w:b w:val="0"/>
              <w:bCs/>
            </w:rPr>
            <w:instrText xml:space="preserve"> PAGEREF _Toc23923 \h </w:instrText>
          </w:r>
          <w:r>
            <w:rPr>
              <w:rFonts w:hint="eastAsia" w:ascii="黑体" w:hAnsi="黑体" w:eastAsia="黑体" w:cs="黑体"/>
              <w:b w:val="0"/>
              <w:bCs/>
            </w:rPr>
            <w:fldChar w:fldCharType="separate"/>
          </w:r>
          <w:r>
            <w:rPr>
              <w:rFonts w:hint="eastAsia" w:ascii="黑体" w:hAnsi="黑体" w:eastAsia="黑体" w:cs="黑体"/>
              <w:b w:val="0"/>
              <w:bCs/>
            </w:rPr>
            <w:t>3</w:t>
          </w:r>
          <w:r>
            <w:rPr>
              <w:rFonts w:hint="eastAsia" w:ascii="黑体" w:hAnsi="黑体" w:eastAsia="黑体" w:cs="黑体"/>
              <w:b w:val="0"/>
              <w:bCs/>
            </w:rPr>
            <w:fldChar w:fldCharType="end"/>
          </w:r>
          <w:r>
            <w:rPr>
              <w:rFonts w:hint="eastAsia" w:ascii="黑体" w:hAnsi="黑体" w:eastAsia="黑体" w:cs="黑体"/>
              <w:b w:val="0"/>
              <w:bCs/>
            </w:rPr>
            <w:fldChar w:fldCharType="end"/>
          </w:r>
        </w:p>
        <w:p>
          <w:pPr>
            <w:pStyle w:val="15"/>
            <w:tabs>
              <w:tab w:val="right" w:leader="dot" w:pos="8306"/>
            </w:tabs>
            <w:rPr>
              <w:rFonts w:hint="eastAsia" w:ascii="黑体" w:hAnsi="黑体" w:eastAsia="黑体" w:cs="黑体"/>
              <w:b w:val="0"/>
              <w:bCs/>
            </w:rPr>
          </w:pPr>
          <w:r>
            <w:rPr>
              <w:rFonts w:hint="eastAsia" w:ascii="黑体" w:hAnsi="黑体" w:eastAsia="黑体" w:cs="黑体"/>
              <w:b w:val="0"/>
              <w:bCs/>
            </w:rPr>
            <w:fldChar w:fldCharType="begin"/>
          </w:r>
          <w:r>
            <w:rPr>
              <w:rFonts w:hint="eastAsia" w:ascii="黑体" w:hAnsi="黑体" w:eastAsia="黑体" w:cs="黑体"/>
              <w:b w:val="0"/>
              <w:bCs/>
            </w:rPr>
            <w:instrText xml:space="preserve"> HYPERLINK \l _Toc12646 </w:instrText>
          </w:r>
          <w:r>
            <w:rPr>
              <w:rFonts w:hint="eastAsia" w:ascii="黑体" w:hAnsi="黑体" w:eastAsia="黑体" w:cs="黑体"/>
              <w:b w:val="0"/>
              <w:bCs/>
            </w:rPr>
            <w:fldChar w:fldCharType="separate"/>
          </w:r>
          <w:r>
            <w:rPr>
              <w:rFonts w:hint="eastAsia" w:ascii="黑体" w:hAnsi="黑体" w:eastAsia="黑体" w:cs="黑体"/>
              <w:b w:val="0"/>
              <w:bCs/>
            </w:rPr>
            <w:t>1.2</w:t>
          </w:r>
          <w:r>
            <w:rPr>
              <w:rFonts w:hint="eastAsia" w:ascii="黑体" w:hAnsi="黑体" w:eastAsia="黑体" w:cs="黑体"/>
              <w:b w:val="0"/>
              <w:bCs/>
              <w:lang w:val="en-US" w:eastAsia="zh-CN"/>
            </w:rPr>
            <w:t xml:space="preserve"> </w:t>
          </w:r>
          <w:r>
            <w:rPr>
              <w:rFonts w:hint="eastAsia" w:ascii="黑体" w:hAnsi="黑体" w:eastAsia="黑体" w:cs="黑体"/>
              <w:b w:val="0"/>
              <w:bCs/>
            </w:rPr>
            <w:t>立项目的和意义</w:t>
          </w:r>
          <w:r>
            <w:rPr>
              <w:rFonts w:hint="eastAsia" w:ascii="黑体" w:hAnsi="黑体" w:eastAsia="黑体" w:cs="黑体"/>
              <w:b w:val="0"/>
              <w:bCs/>
            </w:rPr>
            <w:tab/>
          </w:r>
          <w:r>
            <w:rPr>
              <w:rFonts w:hint="eastAsia" w:ascii="黑体" w:hAnsi="黑体" w:eastAsia="黑体" w:cs="黑体"/>
              <w:b w:val="0"/>
              <w:bCs/>
            </w:rPr>
            <w:fldChar w:fldCharType="begin"/>
          </w:r>
          <w:r>
            <w:rPr>
              <w:rFonts w:hint="eastAsia" w:ascii="黑体" w:hAnsi="黑体" w:eastAsia="黑体" w:cs="黑体"/>
              <w:b w:val="0"/>
              <w:bCs/>
            </w:rPr>
            <w:instrText xml:space="preserve"> PAGEREF _Toc12646 \h </w:instrText>
          </w:r>
          <w:r>
            <w:rPr>
              <w:rFonts w:hint="eastAsia" w:ascii="黑体" w:hAnsi="黑体" w:eastAsia="黑体" w:cs="黑体"/>
              <w:b w:val="0"/>
              <w:bCs/>
            </w:rPr>
            <w:fldChar w:fldCharType="separate"/>
          </w:r>
          <w:r>
            <w:rPr>
              <w:rFonts w:hint="eastAsia" w:ascii="黑体" w:hAnsi="黑体" w:eastAsia="黑体" w:cs="黑体"/>
              <w:b w:val="0"/>
              <w:bCs/>
            </w:rPr>
            <w:t>3</w:t>
          </w:r>
          <w:r>
            <w:rPr>
              <w:rFonts w:hint="eastAsia" w:ascii="黑体" w:hAnsi="黑体" w:eastAsia="黑体" w:cs="黑体"/>
              <w:b w:val="0"/>
              <w:bCs/>
            </w:rPr>
            <w:fldChar w:fldCharType="end"/>
          </w:r>
          <w:r>
            <w:rPr>
              <w:rFonts w:hint="eastAsia" w:ascii="黑体" w:hAnsi="黑体" w:eastAsia="黑体" w:cs="黑体"/>
              <w:b w:val="0"/>
              <w:bCs/>
            </w:rPr>
            <w:fldChar w:fldCharType="end"/>
          </w:r>
        </w:p>
        <w:p>
          <w:pPr>
            <w:pStyle w:val="15"/>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_Toc15574 </w:instrText>
          </w:r>
          <w:r>
            <w:rPr>
              <w:rFonts w:hint="eastAsia" w:ascii="黑体" w:hAnsi="黑体" w:eastAsia="黑体" w:cs="黑体"/>
              <w:b w:val="0"/>
              <w:bCs w:val="0"/>
            </w:rPr>
            <w:fldChar w:fldCharType="separate"/>
          </w:r>
          <w:r>
            <w:rPr>
              <w:rFonts w:hint="eastAsia" w:ascii="黑体" w:hAnsi="黑体" w:eastAsia="黑体" w:cs="黑体"/>
              <w:b w:val="0"/>
              <w:bCs w:val="0"/>
            </w:rPr>
            <w:t>1.3</w:t>
          </w:r>
          <w:r>
            <w:rPr>
              <w:rFonts w:hint="eastAsia" w:ascii="黑体" w:hAnsi="黑体" w:eastAsia="黑体" w:cs="黑体"/>
              <w:b w:val="0"/>
              <w:bCs w:val="0"/>
              <w:lang w:val="en-US" w:eastAsia="zh-CN"/>
            </w:rPr>
            <w:t xml:space="preserve"> 主要参加单位和工作成员所作的工作</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_Toc15574 \h </w:instrText>
          </w:r>
          <w:r>
            <w:rPr>
              <w:rFonts w:hint="eastAsia" w:ascii="黑体" w:hAnsi="黑体" w:eastAsia="黑体" w:cs="黑体"/>
              <w:b w:val="0"/>
              <w:bCs w:val="0"/>
            </w:rPr>
            <w:fldChar w:fldCharType="separate"/>
          </w:r>
          <w:r>
            <w:rPr>
              <w:rFonts w:hint="eastAsia" w:ascii="黑体" w:hAnsi="黑体" w:eastAsia="黑体" w:cs="黑体"/>
              <w:b w:val="0"/>
              <w:bCs w:val="0"/>
            </w:rPr>
            <w:t>3</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5"/>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_Toc12762 </w:instrText>
          </w:r>
          <w:r>
            <w:rPr>
              <w:rFonts w:hint="eastAsia" w:ascii="黑体" w:hAnsi="黑体" w:eastAsia="黑体" w:cs="黑体"/>
              <w:b w:val="0"/>
              <w:bCs w:val="0"/>
            </w:rPr>
            <w:fldChar w:fldCharType="separate"/>
          </w:r>
          <w:r>
            <w:rPr>
              <w:rFonts w:hint="eastAsia" w:ascii="黑体" w:hAnsi="黑体" w:eastAsia="黑体" w:cs="黑体"/>
              <w:b w:val="0"/>
              <w:bCs w:val="0"/>
            </w:rPr>
            <w:t>1.4 主要工作过程</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_Toc12762 \h </w:instrText>
          </w:r>
          <w:r>
            <w:rPr>
              <w:rFonts w:hint="eastAsia" w:ascii="黑体" w:hAnsi="黑体" w:eastAsia="黑体" w:cs="黑体"/>
              <w:b w:val="0"/>
              <w:bCs w:val="0"/>
            </w:rPr>
            <w:fldChar w:fldCharType="separate"/>
          </w:r>
          <w:r>
            <w:rPr>
              <w:rFonts w:hint="eastAsia" w:ascii="黑体" w:hAnsi="黑体" w:eastAsia="黑体" w:cs="黑体"/>
              <w:b w:val="0"/>
              <w:bCs w:val="0"/>
            </w:rPr>
            <w:t>4</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4"/>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_Toc1905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 xml:space="preserve">2 </w:t>
          </w:r>
          <w:r>
            <w:rPr>
              <w:rFonts w:hint="eastAsia" w:ascii="黑体" w:hAnsi="黑体" w:eastAsia="黑体" w:cs="黑体"/>
              <w:b w:val="0"/>
              <w:bCs w:val="0"/>
            </w:rPr>
            <w:t>编制原则</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_Toc1905 \h </w:instrText>
          </w:r>
          <w:r>
            <w:rPr>
              <w:rFonts w:hint="eastAsia" w:ascii="黑体" w:hAnsi="黑体" w:eastAsia="黑体" w:cs="黑体"/>
              <w:b w:val="0"/>
              <w:bCs w:val="0"/>
            </w:rPr>
            <w:fldChar w:fldCharType="separate"/>
          </w:r>
          <w:r>
            <w:rPr>
              <w:rFonts w:hint="eastAsia" w:ascii="黑体" w:hAnsi="黑体" w:eastAsia="黑体" w:cs="黑体"/>
              <w:b w:val="0"/>
              <w:bCs w:val="0"/>
            </w:rPr>
            <w:t>5</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4"/>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_Toc23514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3 标准主要技术内容的确定依据</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_Toc23514 \h </w:instrText>
          </w:r>
          <w:r>
            <w:rPr>
              <w:rFonts w:hint="eastAsia" w:ascii="黑体" w:hAnsi="黑体" w:eastAsia="黑体" w:cs="黑体"/>
              <w:b w:val="0"/>
              <w:bCs w:val="0"/>
            </w:rPr>
            <w:fldChar w:fldCharType="separate"/>
          </w:r>
          <w:r>
            <w:rPr>
              <w:rFonts w:hint="eastAsia" w:ascii="黑体" w:hAnsi="黑体" w:eastAsia="黑体" w:cs="黑体"/>
              <w:b w:val="0"/>
              <w:bCs w:val="0"/>
            </w:rPr>
            <w:t>5</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5"/>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_Toc21077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 xml:space="preserve">3.1 </w:t>
          </w:r>
          <w:r>
            <w:rPr>
              <w:rFonts w:hint="eastAsia" w:ascii="黑体" w:hAnsi="黑体" w:eastAsia="黑体" w:cs="黑体"/>
              <w:b w:val="0"/>
              <w:bCs w:val="0"/>
            </w:rPr>
            <w:t>范围</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_Toc21077 \h </w:instrText>
          </w:r>
          <w:r>
            <w:rPr>
              <w:rFonts w:hint="eastAsia" w:ascii="黑体" w:hAnsi="黑体" w:eastAsia="黑体" w:cs="黑体"/>
              <w:b w:val="0"/>
              <w:bCs w:val="0"/>
            </w:rPr>
            <w:fldChar w:fldCharType="separate"/>
          </w:r>
          <w:r>
            <w:rPr>
              <w:rFonts w:hint="eastAsia" w:ascii="黑体" w:hAnsi="黑体" w:eastAsia="黑体" w:cs="黑体"/>
              <w:b w:val="0"/>
              <w:bCs w:val="0"/>
            </w:rPr>
            <w:t>5</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5"/>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_Toc2163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3.2  规范性引用文件</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_Toc2163 \h </w:instrText>
          </w:r>
          <w:r>
            <w:rPr>
              <w:rFonts w:hint="eastAsia" w:ascii="黑体" w:hAnsi="黑体" w:eastAsia="黑体" w:cs="黑体"/>
              <w:b w:val="0"/>
              <w:bCs w:val="0"/>
            </w:rPr>
            <w:fldChar w:fldCharType="separate"/>
          </w:r>
          <w:r>
            <w:rPr>
              <w:rFonts w:hint="eastAsia" w:ascii="黑体" w:hAnsi="黑体" w:eastAsia="黑体" w:cs="黑体"/>
              <w:b w:val="0"/>
              <w:bCs w:val="0"/>
            </w:rPr>
            <w:t>5</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5"/>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_Toc31578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3.</w:t>
          </w:r>
          <w:r>
            <w:rPr>
              <w:rFonts w:hint="eastAsia" w:ascii="黑体" w:hAnsi="黑体" w:eastAsia="黑体" w:cs="黑体"/>
              <w:b w:val="0"/>
              <w:bCs w:val="0"/>
            </w:rPr>
            <w:t>3</w:t>
          </w:r>
          <w:r>
            <w:rPr>
              <w:rFonts w:hint="eastAsia" w:ascii="黑体" w:hAnsi="黑体" w:eastAsia="黑体" w:cs="黑体"/>
              <w:b w:val="0"/>
              <w:bCs w:val="0"/>
              <w:lang w:val="en-US" w:eastAsia="zh-CN"/>
            </w:rPr>
            <w:t xml:space="preserve"> 术语和定义</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_Toc31578 \h </w:instrText>
          </w:r>
          <w:r>
            <w:rPr>
              <w:rFonts w:hint="eastAsia" w:ascii="黑体" w:hAnsi="黑体" w:eastAsia="黑体" w:cs="黑体"/>
              <w:b w:val="0"/>
              <w:bCs w:val="0"/>
            </w:rPr>
            <w:fldChar w:fldCharType="separate"/>
          </w:r>
          <w:r>
            <w:rPr>
              <w:rFonts w:hint="eastAsia" w:ascii="黑体" w:hAnsi="黑体" w:eastAsia="黑体" w:cs="黑体"/>
              <w:b w:val="0"/>
              <w:bCs w:val="0"/>
            </w:rPr>
            <w:t>5</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5"/>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_Toc4904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3.4  总体要求</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_Toc4904 \h </w:instrText>
          </w:r>
          <w:r>
            <w:rPr>
              <w:rFonts w:hint="eastAsia" w:ascii="黑体" w:hAnsi="黑体" w:eastAsia="黑体" w:cs="黑体"/>
              <w:b w:val="0"/>
              <w:bCs w:val="0"/>
            </w:rPr>
            <w:fldChar w:fldCharType="separate"/>
          </w:r>
          <w:r>
            <w:rPr>
              <w:rFonts w:hint="eastAsia" w:ascii="黑体" w:hAnsi="黑体" w:eastAsia="黑体" w:cs="黑体"/>
              <w:b w:val="0"/>
              <w:bCs w:val="0"/>
            </w:rPr>
            <w:t>6</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5"/>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_Toc25590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 xml:space="preserve">3.5  </w:t>
          </w:r>
          <w:r>
            <w:rPr>
              <w:rFonts w:hint="eastAsia" w:ascii="黑体" w:hAnsi="黑体" w:eastAsia="黑体" w:cs="黑体"/>
              <w:b w:val="0"/>
              <w:bCs w:val="0"/>
            </w:rPr>
            <w:t>技术要求</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_Toc25590 \h </w:instrText>
          </w:r>
          <w:r>
            <w:rPr>
              <w:rFonts w:hint="eastAsia" w:ascii="黑体" w:hAnsi="黑体" w:eastAsia="黑体" w:cs="黑体"/>
              <w:b w:val="0"/>
              <w:bCs w:val="0"/>
            </w:rPr>
            <w:fldChar w:fldCharType="separate"/>
          </w:r>
          <w:r>
            <w:rPr>
              <w:rFonts w:hint="eastAsia" w:ascii="黑体" w:hAnsi="黑体" w:eastAsia="黑体" w:cs="黑体"/>
              <w:b w:val="0"/>
              <w:bCs w:val="0"/>
            </w:rPr>
            <w:t>6</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5"/>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_Toc16754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3.6</w:t>
          </w:r>
          <w:r>
            <w:rPr>
              <w:rFonts w:hint="eastAsia" w:ascii="黑体" w:hAnsi="黑体" w:eastAsia="黑体" w:cs="黑体"/>
              <w:b w:val="0"/>
              <w:bCs w:val="0"/>
            </w:rPr>
            <w:t xml:space="preserve">  监测要求</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_Toc16754 \h </w:instrText>
          </w:r>
          <w:r>
            <w:rPr>
              <w:rFonts w:hint="eastAsia" w:ascii="黑体" w:hAnsi="黑体" w:eastAsia="黑体" w:cs="黑体"/>
              <w:b w:val="0"/>
              <w:bCs w:val="0"/>
            </w:rPr>
            <w:fldChar w:fldCharType="separate"/>
          </w:r>
          <w:r>
            <w:rPr>
              <w:rFonts w:hint="eastAsia" w:ascii="黑体" w:hAnsi="黑体" w:eastAsia="黑体" w:cs="黑体"/>
              <w:b w:val="0"/>
              <w:bCs w:val="0"/>
            </w:rPr>
            <w:t>9</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5"/>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_Toc17719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3.7</w:t>
          </w:r>
          <w:r>
            <w:rPr>
              <w:rFonts w:hint="eastAsia" w:ascii="黑体" w:hAnsi="黑体" w:eastAsia="黑体" w:cs="黑体"/>
              <w:b w:val="0"/>
              <w:bCs w:val="0"/>
            </w:rPr>
            <w:t xml:space="preserve">  运行管理</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_Toc17719 \h </w:instrText>
          </w:r>
          <w:r>
            <w:rPr>
              <w:rFonts w:hint="eastAsia" w:ascii="黑体" w:hAnsi="黑体" w:eastAsia="黑体" w:cs="黑体"/>
              <w:b w:val="0"/>
              <w:bCs w:val="0"/>
            </w:rPr>
            <w:fldChar w:fldCharType="separate"/>
          </w:r>
          <w:r>
            <w:rPr>
              <w:rFonts w:hint="eastAsia" w:ascii="黑体" w:hAnsi="黑体" w:eastAsia="黑体" w:cs="黑体"/>
              <w:b w:val="0"/>
              <w:bCs w:val="0"/>
            </w:rPr>
            <w:t>9</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5"/>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_Toc6449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3.8</w:t>
          </w:r>
          <w:r>
            <w:rPr>
              <w:rFonts w:hint="eastAsia" w:ascii="黑体" w:hAnsi="黑体" w:eastAsia="黑体" w:cs="黑体"/>
              <w:b w:val="0"/>
              <w:bCs w:val="0"/>
            </w:rPr>
            <w:t xml:space="preserve">  应急管控</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_Toc6449 \h </w:instrText>
          </w:r>
          <w:r>
            <w:rPr>
              <w:rFonts w:hint="eastAsia" w:ascii="黑体" w:hAnsi="黑体" w:eastAsia="黑体" w:cs="黑体"/>
              <w:b w:val="0"/>
              <w:bCs w:val="0"/>
            </w:rPr>
            <w:fldChar w:fldCharType="separate"/>
          </w:r>
          <w:r>
            <w:rPr>
              <w:rFonts w:hint="eastAsia" w:ascii="黑体" w:hAnsi="黑体" w:eastAsia="黑体" w:cs="黑体"/>
              <w:b w:val="0"/>
              <w:bCs w:val="0"/>
            </w:rPr>
            <w:t>9</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4"/>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_Toc4055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4 标准中涉及专利的情况</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_Toc4055 \h </w:instrText>
          </w:r>
          <w:r>
            <w:rPr>
              <w:rFonts w:hint="eastAsia" w:ascii="黑体" w:hAnsi="黑体" w:eastAsia="黑体" w:cs="黑体"/>
              <w:b w:val="0"/>
              <w:bCs w:val="0"/>
            </w:rPr>
            <w:fldChar w:fldCharType="separate"/>
          </w:r>
          <w:r>
            <w:rPr>
              <w:rFonts w:hint="eastAsia" w:ascii="黑体" w:hAnsi="黑体" w:eastAsia="黑体" w:cs="黑体"/>
              <w:b w:val="0"/>
              <w:bCs w:val="0"/>
            </w:rPr>
            <w:t>10</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4"/>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_Toc25304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5 预期达到的社会、经济效益等情况</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_Toc25304 \h </w:instrText>
          </w:r>
          <w:r>
            <w:rPr>
              <w:rFonts w:hint="eastAsia" w:ascii="黑体" w:hAnsi="黑体" w:eastAsia="黑体" w:cs="黑体"/>
              <w:b w:val="0"/>
              <w:bCs w:val="0"/>
            </w:rPr>
            <w:fldChar w:fldCharType="separate"/>
          </w:r>
          <w:r>
            <w:rPr>
              <w:rFonts w:hint="eastAsia" w:ascii="黑体" w:hAnsi="黑体" w:eastAsia="黑体" w:cs="黑体"/>
              <w:b w:val="0"/>
              <w:bCs w:val="0"/>
            </w:rPr>
            <w:t>10</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5"/>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_Toc22760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5.1 社会效益</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_Toc22760 \h </w:instrText>
          </w:r>
          <w:r>
            <w:rPr>
              <w:rFonts w:hint="eastAsia" w:ascii="黑体" w:hAnsi="黑体" w:eastAsia="黑体" w:cs="黑体"/>
              <w:b w:val="0"/>
              <w:bCs w:val="0"/>
            </w:rPr>
            <w:fldChar w:fldCharType="separate"/>
          </w:r>
          <w:r>
            <w:rPr>
              <w:rFonts w:hint="eastAsia" w:ascii="黑体" w:hAnsi="黑体" w:eastAsia="黑体" w:cs="黑体"/>
              <w:b w:val="0"/>
              <w:bCs w:val="0"/>
            </w:rPr>
            <w:t>10</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5"/>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_Toc11695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5.2 生态效益</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_Toc11695 \h </w:instrText>
          </w:r>
          <w:r>
            <w:rPr>
              <w:rFonts w:hint="eastAsia" w:ascii="黑体" w:hAnsi="黑体" w:eastAsia="黑体" w:cs="黑体"/>
              <w:b w:val="0"/>
              <w:bCs w:val="0"/>
            </w:rPr>
            <w:fldChar w:fldCharType="separate"/>
          </w:r>
          <w:r>
            <w:rPr>
              <w:rFonts w:hint="eastAsia" w:ascii="黑体" w:hAnsi="黑体" w:eastAsia="黑体" w:cs="黑体"/>
              <w:b w:val="0"/>
              <w:bCs w:val="0"/>
            </w:rPr>
            <w:t>10</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4"/>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_Toc15847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6 采用国际标准和国外先进标准的情况</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_Toc15847 \h </w:instrText>
          </w:r>
          <w:r>
            <w:rPr>
              <w:rFonts w:hint="eastAsia" w:ascii="黑体" w:hAnsi="黑体" w:eastAsia="黑体" w:cs="黑体"/>
              <w:b w:val="0"/>
              <w:bCs w:val="0"/>
            </w:rPr>
            <w:fldChar w:fldCharType="separate"/>
          </w:r>
          <w:r>
            <w:rPr>
              <w:rFonts w:hint="eastAsia" w:ascii="黑体" w:hAnsi="黑体" w:eastAsia="黑体" w:cs="黑体"/>
              <w:b w:val="0"/>
              <w:bCs w:val="0"/>
            </w:rPr>
            <w:t>10</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4"/>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_Toc1861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7 与现行法律、法规、强制性国家标准及相关标准协调配套情况</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_Toc1861 \h </w:instrText>
          </w:r>
          <w:r>
            <w:rPr>
              <w:rFonts w:hint="eastAsia" w:ascii="黑体" w:hAnsi="黑体" w:eastAsia="黑体" w:cs="黑体"/>
              <w:b w:val="0"/>
              <w:bCs w:val="0"/>
            </w:rPr>
            <w:fldChar w:fldCharType="separate"/>
          </w:r>
          <w:r>
            <w:rPr>
              <w:rFonts w:hint="eastAsia" w:ascii="黑体" w:hAnsi="黑体" w:eastAsia="黑体" w:cs="黑体"/>
              <w:b w:val="0"/>
              <w:bCs w:val="0"/>
            </w:rPr>
            <w:t>10</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4"/>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_Toc3079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8 重大分歧意见的处理经过和依据</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_Toc3079 \h </w:instrText>
          </w:r>
          <w:r>
            <w:rPr>
              <w:rFonts w:hint="eastAsia" w:ascii="黑体" w:hAnsi="黑体" w:eastAsia="黑体" w:cs="黑体"/>
              <w:b w:val="0"/>
              <w:bCs w:val="0"/>
            </w:rPr>
            <w:fldChar w:fldCharType="separate"/>
          </w:r>
          <w:r>
            <w:rPr>
              <w:rFonts w:hint="eastAsia" w:ascii="黑体" w:hAnsi="黑体" w:eastAsia="黑体" w:cs="黑体"/>
              <w:b w:val="0"/>
              <w:bCs w:val="0"/>
            </w:rPr>
            <w:t>10</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4"/>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_Toc11871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9 作为强制性或推荐性国家标准的建议</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_Toc11871 \h </w:instrText>
          </w:r>
          <w:r>
            <w:rPr>
              <w:rFonts w:hint="eastAsia" w:ascii="黑体" w:hAnsi="黑体" w:eastAsia="黑体" w:cs="黑体"/>
              <w:b w:val="0"/>
              <w:bCs w:val="0"/>
            </w:rPr>
            <w:fldChar w:fldCharType="separate"/>
          </w:r>
          <w:r>
            <w:rPr>
              <w:rFonts w:hint="eastAsia" w:ascii="黑体" w:hAnsi="黑体" w:eastAsia="黑体" w:cs="黑体"/>
              <w:b w:val="0"/>
              <w:bCs w:val="0"/>
            </w:rPr>
            <w:t>10</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4"/>
            <w:tabs>
              <w:tab w:val="right" w:leader="dot" w:pos="8306"/>
            </w:tabs>
            <w:rPr>
              <w:rFonts w:hint="eastAsia" w:ascii="黑体" w:hAnsi="黑体" w:eastAsia="黑体" w:cs="黑体"/>
              <w:b w:val="0"/>
              <w:bCs w:val="0"/>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_Toc31724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10 贯彻标准的要求和措施建议</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_Toc31724 \h </w:instrText>
          </w:r>
          <w:r>
            <w:rPr>
              <w:rFonts w:hint="eastAsia" w:ascii="黑体" w:hAnsi="黑体" w:eastAsia="黑体" w:cs="黑体"/>
              <w:b w:val="0"/>
              <w:bCs w:val="0"/>
            </w:rPr>
            <w:fldChar w:fldCharType="separate"/>
          </w:r>
          <w:r>
            <w:rPr>
              <w:rFonts w:hint="eastAsia" w:ascii="黑体" w:hAnsi="黑体" w:eastAsia="黑体" w:cs="黑体"/>
              <w:b w:val="0"/>
              <w:bCs w:val="0"/>
            </w:rPr>
            <w:t>10</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pPr>
            <w:pStyle w:val="14"/>
            <w:tabs>
              <w:tab w:val="right" w:leader="dot" w:pos="8306"/>
            </w:tabs>
            <w:rPr>
              <w:b/>
            </w:rPr>
          </w:pPr>
          <w:r>
            <w:rPr>
              <w:rFonts w:hint="eastAsia" w:ascii="黑体" w:hAnsi="黑体" w:eastAsia="黑体" w:cs="黑体"/>
              <w:b w:val="0"/>
              <w:bCs w:val="0"/>
            </w:rPr>
            <w:fldChar w:fldCharType="begin"/>
          </w:r>
          <w:r>
            <w:rPr>
              <w:rFonts w:hint="eastAsia" w:ascii="黑体" w:hAnsi="黑体" w:eastAsia="黑体" w:cs="黑体"/>
              <w:b w:val="0"/>
              <w:bCs w:val="0"/>
            </w:rPr>
            <w:instrText xml:space="preserve"> HYPERLINK \l _Toc25146 </w:instrText>
          </w:r>
          <w:r>
            <w:rPr>
              <w:rFonts w:hint="eastAsia" w:ascii="黑体" w:hAnsi="黑体" w:eastAsia="黑体" w:cs="黑体"/>
              <w:b w:val="0"/>
              <w:bCs w:val="0"/>
            </w:rPr>
            <w:fldChar w:fldCharType="separate"/>
          </w:r>
          <w:r>
            <w:rPr>
              <w:rFonts w:hint="eastAsia" w:ascii="黑体" w:hAnsi="黑体" w:eastAsia="黑体" w:cs="黑体"/>
              <w:b w:val="0"/>
              <w:bCs w:val="0"/>
              <w:lang w:val="en-US" w:eastAsia="zh-CN"/>
            </w:rPr>
            <w:t>11 其他主要内容的解释和其他需要说明的事项。</w:t>
          </w:r>
          <w:r>
            <w:rPr>
              <w:rFonts w:hint="eastAsia" w:ascii="黑体" w:hAnsi="黑体" w:eastAsia="黑体" w:cs="黑体"/>
              <w:b w:val="0"/>
              <w:bCs w:val="0"/>
            </w:rPr>
            <w:tab/>
          </w:r>
          <w:r>
            <w:rPr>
              <w:rFonts w:hint="eastAsia" w:ascii="黑体" w:hAnsi="黑体" w:eastAsia="黑体" w:cs="黑体"/>
              <w:b w:val="0"/>
              <w:bCs w:val="0"/>
            </w:rPr>
            <w:fldChar w:fldCharType="begin"/>
          </w:r>
          <w:r>
            <w:rPr>
              <w:rFonts w:hint="eastAsia" w:ascii="黑体" w:hAnsi="黑体" w:eastAsia="黑体" w:cs="黑体"/>
              <w:b w:val="0"/>
              <w:bCs w:val="0"/>
            </w:rPr>
            <w:instrText xml:space="preserve"> PAGEREF _Toc25146 \h </w:instrText>
          </w:r>
          <w:r>
            <w:rPr>
              <w:rFonts w:hint="eastAsia" w:ascii="黑体" w:hAnsi="黑体" w:eastAsia="黑体" w:cs="黑体"/>
              <w:b w:val="0"/>
              <w:bCs w:val="0"/>
            </w:rPr>
            <w:fldChar w:fldCharType="separate"/>
          </w:r>
          <w:r>
            <w:rPr>
              <w:rFonts w:hint="eastAsia" w:ascii="黑体" w:hAnsi="黑体" w:eastAsia="黑体" w:cs="黑体"/>
              <w:b w:val="0"/>
              <w:bCs w:val="0"/>
            </w:rPr>
            <w:t>11</w:t>
          </w:r>
          <w:r>
            <w:rPr>
              <w:rFonts w:hint="eastAsia" w:ascii="黑体" w:hAnsi="黑体" w:eastAsia="黑体" w:cs="黑体"/>
              <w:b w:val="0"/>
              <w:bCs w:val="0"/>
            </w:rPr>
            <w:fldChar w:fldCharType="end"/>
          </w:r>
          <w:r>
            <w:rPr>
              <w:rFonts w:hint="eastAsia" w:ascii="黑体" w:hAnsi="黑体" w:eastAsia="黑体" w:cs="黑体"/>
              <w:b w:val="0"/>
              <w:bCs w:val="0"/>
            </w:rPr>
            <w:fldChar w:fldCharType="end"/>
          </w:r>
        </w:p>
        <w:p>
          <w:r>
            <w:rPr>
              <w:b/>
            </w:rPr>
            <w:fldChar w:fldCharType="end"/>
          </w:r>
        </w:p>
      </w:sdtContent>
    </w:sdt>
    <w:p>
      <w:pPr>
        <w:pStyle w:val="15"/>
        <w:tabs>
          <w:tab w:val="right" w:leader="dot" w:pos="8346"/>
        </w:tabs>
        <w:rPr>
          <w:rFonts w:hint="default"/>
          <w:lang w:val="en-US"/>
        </w:rPr>
      </w:pPr>
      <w:r>
        <w:rPr>
          <w:rFonts w:hint="eastAsia" w:ascii="黑体" w:hAnsi="黑体" w:eastAsia="黑体" w:cs="黑体"/>
          <w:color w:val="auto"/>
          <w:szCs w:val="28"/>
          <w:lang w:val="en-US" w:eastAsia="zh-CN"/>
        </w:rPr>
        <w:fldChar w:fldCharType="end"/>
      </w:r>
    </w:p>
    <w:p>
      <w:pPr>
        <w:rPr>
          <w:rFonts w:hint="eastAsia" w:eastAsia="黑体"/>
          <w:color w:val="auto"/>
          <w:szCs w:val="28"/>
          <w:lang w:val="en-US" w:eastAsia="zh-CN"/>
        </w:rPr>
      </w:pPr>
      <w:r>
        <w:rPr>
          <w:rFonts w:hint="eastAsia" w:eastAsia="黑体"/>
          <w:color w:val="auto"/>
          <w:szCs w:val="28"/>
          <w:lang w:val="en-US" w:eastAsia="zh-CN"/>
        </w:rPr>
        <w:fldChar w:fldCharType="end"/>
      </w:r>
    </w:p>
    <w:p>
      <w:pPr>
        <w:rPr>
          <w:rFonts w:hint="eastAsia" w:eastAsia="黑体"/>
          <w:color w:val="auto"/>
          <w:szCs w:val="28"/>
          <w:lang w:val="en-US" w:eastAsia="zh-CN"/>
        </w:rPr>
      </w:pPr>
    </w:p>
    <w:p>
      <w:pPr>
        <w:rPr>
          <w:rFonts w:hint="eastAsia" w:eastAsia="黑体"/>
          <w:color w:val="auto"/>
          <w:szCs w:val="28"/>
          <w:lang w:val="en-US" w:eastAsia="zh-CN"/>
        </w:rPr>
      </w:pPr>
    </w:p>
    <w:p>
      <w:pPr>
        <w:rPr>
          <w:rFonts w:hint="eastAsia" w:eastAsia="黑体"/>
          <w:color w:val="auto"/>
          <w:szCs w:val="28"/>
          <w:lang w:val="en-US" w:eastAsia="zh-CN"/>
        </w:rPr>
      </w:pPr>
    </w:p>
    <w:p>
      <w:pPr>
        <w:rPr>
          <w:rFonts w:hint="eastAsia" w:eastAsia="黑体"/>
          <w:color w:val="auto"/>
          <w:szCs w:val="28"/>
          <w:lang w:val="en-US" w:eastAsia="zh-CN"/>
        </w:rPr>
      </w:pPr>
    </w:p>
    <w:p>
      <w:pPr>
        <w:rPr>
          <w:rFonts w:hint="eastAsia" w:eastAsia="黑体"/>
          <w:color w:val="auto"/>
          <w:szCs w:val="28"/>
          <w:lang w:val="en-US" w:eastAsia="zh-CN"/>
        </w:rPr>
      </w:pPr>
    </w:p>
    <w:p>
      <w:pPr>
        <w:rPr>
          <w:rFonts w:hint="eastAsia" w:eastAsia="黑体"/>
          <w:color w:val="auto"/>
          <w:szCs w:val="28"/>
          <w:lang w:val="en-US" w:eastAsia="zh-CN"/>
        </w:rPr>
      </w:pPr>
    </w:p>
    <w:p>
      <w:pPr>
        <w:rPr>
          <w:rFonts w:hint="eastAsia" w:eastAsia="黑体"/>
          <w:color w:val="auto"/>
          <w:szCs w:val="28"/>
          <w:lang w:val="en-US" w:eastAsia="zh-CN"/>
        </w:rPr>
      </w:pPr>
    </w:p>
    <w:p>
      <w:pPr>
        <w:rPr>
          <w:rFonts w:hint="eastAsia" w:eastAsia="黑体"/>
          <w:color w:val="auto"/>
          <w:szCs w:val="28"/>
          <w:lang w:val="en-US" w:eastAsia="zh-CN"/>
        </w:rPr>
      </w:pPr>
    </w:p>
    <w:p>
      <w:pPr>
        <w:rPr>
          <w:rFonts w:hint="eastAsia" w:eastAsia="黑体"/>
          <w:color w:val="auto"/>
          <w:szCs w:val="28"/>
          <w:lang w:val="en-US" w:eastAsia="zh-CN"/>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outlineLvl w:val="0"/>
        <w:rPr>
          <w:rFonts w:hint="eastAsia" w:eastAsia="黑体"/>
          <w:color w:val="auto"/>
          <w:sz w:val="28"/>
          <w:szCs w:val="28"/>
          <w:lang w:val="en-US" w:eastAsia="zh-CN"/>
        </w:rPr>
      </w:pPr>
      <w:bookmarkStart w:id="1" w:name="_Toc24520"/>
    </w:p>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outlineLvl w:val="0"/>
        <w:rPr>
          <w:rFonts w:hint="eastAsia" w:eastAsia="黑体"/>
          <w:color w:val="auto"/>
          <w:sz w:val="28"/>
          <w:szCs w:val="28"/>
        </w:rPr>
      </w:pPr>
      <w:r>
        <w:rPr>
          <w:rFonts w:hint="eastAsia" w:eastAsia="黑体"/>
          <w:color w:val="auto"/>
          <w:sz w:val="28"/>
          <w:szCs w:val="28"/>
          <w:lang w:val="en-US" w:eastAsia="zh-CN"/>
        </w:rPr>
        <w:t>《铜冶炼PS转炉环保升级改造》</w:t>
      </w:r>
      <w:r>
        <w:rPr>
          <w:rFonts w:hint="eastAsia" w:eastAsia="黑体"/>
          <w:color w:val="auto"/>
          <w:sz w:val="28"/>
          <w:szCs w:val="28"/>
          <w:lang w:eastAsia="zh-CN"/>
        </w:rPr>
        <w:t>（</w:t>
      </w:r>
      <w:r>
        <w:rPr>
          <w:rFonts w:hint="eastAsia" w:eastAsia="黑体"/>
          <w:color w:val="auto"/>
          <w:sz w:val="28"/>
          <w:szCs w:val="28"/>
          <w:lang w:val="en-US" w:eastAsia="zh-CN"/>
        </w:rPr>
        <w:t>预审稿</w:t>
      </w:r>
      <w:r>
        <w:rPr>
          <w:rFonts w:hint="eastAsia" w:eastAsia="黑体"/>
          <w:color w:val="auto"/>
          <w:sz w:val="28"/>
          <w:szCs w:val="28"/>
          <w:lang w:eastAsia="zh-CN"/>
        </w:rPr>
        <w:t>）</w:t>
      </w:r>
      <w:r>
        <w:rPr>
          <w:rFonts w:hint="eastAsia" w:eastAsia="黑体"/>
          <w:color w:val="auto"/>
          <w:sz w:val="28"/>
          <w:szCs w:val="28"/>
        </w:rPr>
        <w:t>编制说明</w:t>
      </w:r>
      <w:bookmarkEnd w:id="1"/>
    </w:p>
    <w:p>
      <w:pPr>
        <w:pStyle w:val="7"/>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黑体" w:eastAsia="黑体" w:cs="黑体"/>
          <w:b w:val="0"/>
          <w:bCs w:val="0"/>
        </w:rPr>
      </w:pPr>
      <w:bookmarkStart w:id="2" w:name="_Toc13177"/>
      <w:bookmarkStart w:id="3" w:name="_Toc775"/>
      <w:r>
        <w:rPr>
          <w:rFonts w:hint="eastAsia" w:ascii="黑体" w:hAnsi="黑体" w:eastAsia="黑体" w:cs="黑体"/>
          <w:b w:val="0"/>
          <w:bCs w:val="0"/>
          <w:lang w:val="en-US" w:eastAsia="zh-CN"/>
        </w:rPr>
        <w:t xml:space="preserve">1 </w:t>
      </w:r>
      <w:r>
        <w:rPr>
          <w:rFonts w:hint="eastAsia" w:ascii="黑体" w:hAnsi="黑体" w:eastAsia="黑体" w:cs="黑体"/>
          <w:b w:val="0"/>
          <w:bCs w:val="0"/>
        </w:rPr>
        <w:t>工作简况</w:t>
      </w:r>
      <w:bookmarkEnd w:id="2"/>
      <w:bookmarkEnd w:id="3"/>
    </w:p>
    <w:p>
      <w:pPr>
        <w:pStyle w:val="8"/>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textAlignment w:val="auto"/>
        <w:outlineLvl w:val="1"/>
        <w:rPr>
          <w:rFonts w:hint="eastAsia" w:hAnsi="黑体" w:cs="黑体"/>
          <w:b w:val="0"/>
          <w:bCs w:val="0"/>
        </w:rPr>
      </w:pPr>
      <w:bookmarkStart w:id="4" w:name="_Toc4472"/>
      <w:bookmarkStart w:id="5" w:name="_Toc23923"/>
      <w:r>
        <w:rPr>
          <w:rFonts w:hint="eastAsia" w:hAnsi="黑体" w:cs="黑体"/>
          <w:b w:val="0"/>
          <w:bCs w:val="0"/>
        </w:rPr>
        <w:t>1.1</w:t>
      </w:r>
      <w:r>
        <w:rPr>
          <w:rFonts w:hint="eastAsia" w:hAnsi="黑体" w:cs="黑体"/>
          <w:b w:val="0"/>
          <w:bCs w:val="0"/>
          <w:lang w:val="en-US" w:eastAsia="zh-CN"/>
        </w:rPr>
        <w:t xml:space="preserve"> </w:t>
      </w:r>
      <w:r>
        <w:rPr>
          <w:rFonts w:hint="eastAsia" w:hAnsi="黑体" w:cs="黑体"/>
          <w:b w:val="0"/>
          <w:bCs w:val="0"/>
        </w:rPr>
        <w:t>任务来源</w:t>
      </w:r>
      <w:bookmarkEnd w:id="4"/>
      <w:bookmarkEnd w:id="5"/>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FF0000"/>
          <w:sz w:val="21"/>
          <w:szCs w:val="21"/>
          <w:lang w:val="en-US" w:eastAsia="zh-CN"/>
        </w:rPr>
      </w:pPr>
      <w:r>
        <w:rPr>
          <w:rFonts w:hint="eastAsia" w:ascii="宋体" w:hAnsi="宋体" w:eastAsia="宋体" w:cs="宋体"/>
          <w:color w:val="auto"/>
          <w:sz w:val="21"/>
          <w:szCs w:val="21"/>
          <w:lang w:val="en-US" w:eastAsia="zh-CN"/>
        </w:rPr>
        <w:t>本项目来源于全国有色金属标准化技术委员会自修订计划，项目名称为《铜冶炼PS转炉环保升级改造》,</w:t>
      </w:r>
      <w:r>
        <w:rPr>
          <w:rFonts w:hint="eastAsia" w:ascii="宋体" w:hAnsi="宋体" w:eastAsia="宋体" w:cs="宋体"/>
          <w:b w:val="0"/>
          <w:bCs w:val="0"/>
          <w:color w:val="000000" w:themeColor="text1"/>
          <w:sz w:val="21"/>
          <w:szCs w:val="21"/>
          <w:lang w:val="en-US" w:eastAsia="zh-CN"/>
          <w14:textFill>
            <w14:solidFill>
              <w14:schemeClr w14:val="tx1"/>
            </w14:solidFill>
          </w14:textFill>
        </w:rPr>
        <w:t>技术归口单位为全国有色金属标准化技术委员会。标准起草单位由</w:t>
      </w:r>
      <w:r>
        <w:rPr>
          <w:rFonts w:hint="eastAsia" w:ascii="宋体" w:hAnsi="宋体" w:eastAsia="宋体" w:cs="宋体"/>
          <w:color w:val="000000" w:themeColor="text1"/>
          <w:szCs w:val="21"/>
          <w:lang w:eastAsia="zh-CN"/>
          <w14:textFill>
            <w14:solidFill>
              <w14:schemeClr w14:val="tx1"/>
            </w14:solidFill>
          </w14:textFill>
        </w:rPr>
        <w:t>中国有色金属工业技术开发交流中心、中国环境科学研究院、江西铜业股份有限公司、大冶有色金属集团控股有限公司、五矿铜业(湖南</w:t>
      </w:r>
      <w:r>
        <w:rPr>
          <w:rFonts w:hint="eastAsia" w:ascii="宋体" w:hAnsi="宋体" w:eastAsia="宋体" w:cs="宋体"/>
          <w:color w:val="000000" w:themeColor="text1"/>
          <w:szCs w:val="21"/>
          <w:lang w:val="en-US" w:eastAsia="zh-CN"/>
          <w14:textFill>
            <w14:solidFill>
              <w14:schemeClr w14:val="tx1"/>
            </w14:solidFill>
          </w14:textFill>
        </w:rPr>
        <w:t>)有限公司</w:t>
      </w:r>
      <w:r>
        <w:rPr>
          <w:rFonts w:hint="eastAsia" w:ascii="宋体" w:hAnsi="宋体" w:eastAsia="宋体" w:cs="宋体"/>
          <w:color w:val="FF0000"/>
          <w:sz w:val="21"/>
          <w:szCs w:val="21"/>
          <w:lang w:val="en-US" w:eastAsia="zh-CN"/>
        </w:rPr>
        <w:t>。</w:t>
      </w:r>
    </w:p>
    <w:p>
      <w:pPr>
        <w:pStyle w:val="8"/>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textAlignment w:val="auto"/>
        <w:outlineLvl w:val="1"/>
        <w:rPr>
          <w:rFonts w:hint="eastAsia" w:hAnsi="黑体" w:cs="黑体"/>
          <w:b w:val="0"/>
          <w:bCs w:val="0"/>
        </w:rPr>
      </w:pPr>
      <w:bookmarkStart w:id="6" w:name="_Toc12646"/>
      <w:bookmarkStart w:id="7" w:name="_Toc26998"/>
      <w:r>
        <w:rPr>
          <w:rFonts w:hint="eastAsia" w:hAnsi="黑体" w:cs="黑体"/>
          <w:b w:val="0"/>
          <w:bCs w:val="0"/>
        </w:rPr>
        <w:t>1.2</w:t>
      </w:r>
      <w:r>
        <w:rPr>
          <w:rFonts w:hint="eastAsia" w:hAnsi="黑体" w:cs="黑体"/>
          <w:b w:val="0"/>
          <w:bCs w:val="0"/>
          <w:lang w:val="en-US" w:eastAsia="zh-CN"/>
        </w:rPr>
        <w:t xml:space="preserve"> </w:t>
      </w:r>
      <w:r>
        <w:rPr>
          <w:rFonts w:hint="eastAsia" w:hAnsi="黑体" w:cs="黑体"/>
          <w:b w:val="0"/>
          <w:bCs w:val="0"/>
        </w:rPr>
        <w:t>立项目的和意义</w:t>
      </w:r>
      <w:bookmarkEnd w:id="6"/>
      <w:bookmarkEnd w:id="7"/>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cs="黑体"/>
          <w:lang w:val="en-US" w:eastAsia="zh-CN"/>
        </w:rPr>
      </w:pPr>
      <w:bookmarkStart w:id="8" w:name="_Toc27581"/>
      <w:r>
        <w:rPr>
          <w:rFonts w:hint="eastAsia" w:ascii="宋体" w:hAnsi="宋体" w:cs="黑体"/>
          <w:lang w:val="en-US" w:eastAsia="zh-CN"/>
        </w:rPr>
        <w:t>1）政策导向明确，产业环保升级</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cs="黑体"/>
          <w:lang w:val="en-US" w:eastAsia="zh-CN"/>
        </w:rPr>
      </w:pPr>
      <w:r>
        <w:rPr>
          <w:rFonts w:hint="eastAsia" w:ascii="宋体" w:hAnsi="宋体" w:cs="黑体"/>
          <w:lang w:val="en-US" w:eastAsia="zh-CN"/>
        </w:rPr>
        <w:t>当前我国铜冶炼行业管控呈现“严控增量、强制升级、细化减排”的政策导向。依据《铜、镍、钴工业污染物排放标准》（GB 25467-2010）、《工业炉窑大气污染综合治理方案》、《工业重点领域能效标杆水平和基准水平（2023年版）》（发改产业〔2023〕723号）、《铜冶炼行业清洁生产评价指标体系（2024版）》等政策文件要求，需严控新建粗放式转炉产能，督促现有传统PS转炉完成环保升级改造。特别是《产业结构调整指导目录（2024年本）》明确提出鼓励“铜冶炼PS转炉的环保升级改造”。然而，现行标准体系中缺少转炉环保升级的具体技术界定，大量已完成环保升级改造且实现稳定超低排放的PS转炉生产线，其环保评价标准尚不明确，亟需出台专项团体标准以划定改造达标边界。</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cs="黑体"/>
          <w:lang w:val="en-US" w:eastAsia="zh-CN"/>
        </w:rPr>
      </w:pPr>
      <w:r>
        <w:rPr>
          <w:rFonts w:hint="eastAsia" w:ascii="宋体" w:hAnsi="宋体" w:cs="黑体"/>
          <w:lang w:val="en-US" w:eastAsia="zh-CN"/>
        </w:rPr>
        <w:t xml:space="preserve">2）行业标准缺失，管控问题突出  </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cs="黑体"/>
          <w:lang w:val="en-US" w:eastAsia="zh-CN"/>
        </w:rPr>
      </w:pPr>
      <w:r>
        <w:rPr>
          <w:rFonts w:hint="eastAsia" w:ascii="宋体" w:hAnsi="宋体" w:cs="黑体"/>
          <w:lang w:val="en-US" w:eastAsia="zh-CN"/>
        </w:rPr>
        <w:t>现有标准仅明确污染物排放限值，从宏观层面要求传统PS转炉进行环保升级，但未对环保升级后的转炉作出权威技术界定，也未针对两类转炉的差异化结构、负压管控、环集系统及厂房封闭提出量化分级标准。这导致传统PS转炉环保升级标准存在差异化，厂区烟气无组织逸散管控仍存有短板，难以满足精细化、标准化、超低化的管控需求。</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cs="黑体"/>
          <w:lang w:val="en-US" w:eastAsia="zh-CN"/>
        </w:rPr>
      </w:pPr>
      <w:r>
        <w:rPr>
          <w:rFonts w:hint="eastAsia" w:ascii="宋体" w:hAnsi="宋体" w:cs="黑体"/>
          <w:lang w:val="en-US" w:eastAsia="zh-CN"/>
        </w:rPr>
        <w:t>3）经济社会和生态效益显著</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cs="黑体"/>
          <w:lang w:val="en-US" w:eastAsia="zh-CN"/>
        </w:rPr>
      </w:pPr>
      <w:r>
        <w:rPr>
          <w:rFonts w:hint="eastAsia" w:ascii="宋体" w:hAnsi="宋体" w:cs="黑体"/>
          <w:lang w:val="en-US" w:eastAsia="zh-CN"/>
        </w:rPr>
        <w:t>本标准实施后，将推动行业统一改造技术标准，从烟罩密封、厂房封闭、负压管控、环集捕集等全方面控制无组织烟气逸散，提升环保治理水平，促进绿色低碳转型。结合环保转炉投入使用数据与国家标准的对比可知，其各项环保指标均优于国家标准，对改善区域大气环境质量具有重大的环境效益和社会效益。</w:t>
      </w:r>
    </w:p>
    <w:p>
      <w:pPr>
        <w:keepNext w:val="0"/>
        <w:keepLines w:val="0"/>
        <w:pageBreakBefore w:val="0"/>
        <w:widowControl w:val="0"/>
        <w:numPr>
          <w:ilvl w:val="-1"/>
          <w:numId w:val="0"/>
        </w:numPr>
        <w:kinsoku/>
        <w:wordWrap/>
        <w:overflowPunct/>
        <w:topLinePunct w:val="0"/>
        <w:autoSpaceDE/>
        <w:autoSpaceDN/>
        <w:bidi w:val="0"/>
        <w:adjustRightInd/>
        <w:snapToGrid/>
        <w:spacing w:before="157" w:beforeLines="50" w:beforeAutospacing="0" w:after="157" w:afterLines="50" w:afterAutospacing="0" w:line="240" w:lineRule="auto"/>
        <w:jc w:val="center"/>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表1  环保转炉投入使用数据与国家标准对比表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b w:val="0"/>
                <w:bCs w:val="0"/>
                <w:sz w:val="20"/>
                <w:szCs w:val="20"/>
                <w:vertAlign w:val="baseline"/>
                <w:lang w:val="en-US" w:eastAsia="zh-CN"/>
              </w:rPr>
            </w:pPr>
          </w:p>
        </w:tc>
        <w:tc>
          <w:tcPr>
            <w:tcW w:w="2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环保转炉</w:t>
            </w:r>
          </w:p>
        </w:tc>
        <w:tc>
          <w:tcPr>
            <w:tcW w:w="2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企业边界SO₂浓度</w:t>
            </w:r>
          </w:p>
        </w:tc>
        <w:tc>
          <w:tcPr>
            <w:tcW w:w="2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≤0.3mg/m³</w:t>
            </w:r>
          </w:p>
        </w:tc>
        <w:tc>
          <w:tcPr>
            <w:tcW w:w="2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≤0.5mg/m³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企业边界颗粒物浓度</w:t>
            </w:r>
          </w:p>
        </w:tc>
        <w:tc>
          <w:tcPr>
            <w:tcW w:w="2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≤0.5mg/m³</w:t>
            </w:r>
          </w:p>
        </w:tc>
        <w:tc>
          <w:tcPr>
            <w:tcW w:w="2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≤1.0mg/m³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脱硫尾排SO2浓度</w:t>
            </w:r>
          </w:p>
        </w:tc>
        <w:tc>
          <w:tcPr>
            <w:tcW w:w="2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≤100mg/m³</w:t>
            </w:r>
          </w:p>
        </w:tc>
        <w:tc>
          <w:tcPr>
            <w:tcW w:w="2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≤400mg/m³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尾排颗粒物浓度</w:t>
            </w:r>
          </w:p>
        </w:tc>
        <w:tc>
          <w:tcPr>
            <w:tcW w:w="2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≤10mg/m³</w:t>
            </w:r>
          </w:p>
        </w:tc>
        <w:tc>
          <w:tcPr>
            <w:tcW w:w="2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≤80mg/m³</w:t>
            </w:r>
          </w:p>
        </w:tc>
      </w:tr>
    </w:tbl>
    <w:p>
      <w:pPr>
        <w:pStyle w:val="8"/>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textAlignment w:val="auto"/>
        <w:outlineLvl w:val="1"/>
        <w:rPr>
          <w:rFonts w:hint="eastAsia" w:hAnsi="黑体" w:cs="黑体"/>
          <w:b w:val="0"/>
          <w:bCs w:val="0"/>
          <w:lang w:val="en-US" w:eastAsia="zh-CN"/>
        </w:rPr>
      </w:pPr>
      <w:bookmarkStart w:id="9" w:name="_Toc15574"/>
      <w:r>
        <w:rPr>
          <w:rFonts w:hint="eastAsia" w:hAnsi="黑体" w:cs="黑体"/>
          <w:b w:val="0"/>
          <w:bCs w:val="0"/>
        </w:rPr>
        <w:t>1.3</w:t>
      </w:r>
      <w:r>
        <w:rPr>
          <w:rFonts w:hint="eastAsia" w:hAnsi="黑体" w:cs="黑体"/>
          <w:b w:val="0"/>
          <w:bCs w:val="0"/>
          <w:lang w:val="en-US" w:eastAsia="zh-CN"/>
        </w:rPr>
        <w:t xml:space="preserve"> 主要参加单位和工作成员所作的工作</w:t>
      </w:r>
      <w:bookmarkEnd w:id="8"/>
      <w:bookmarkEnd w:id="9"/>
    </w:p>
    <w:p>
      <w:pPr>
        <w:keepNext w:val="0"/>
        <w:keepLines w:val="0"/>
        <w:pageBreakBefore w:val="0"/>
        <w:widowControl w:val="0"/>
        <w:numPr>
          <w:ilvl w:val="-1"/>
          <w:numId w:val="0"/>
        </w:numPr>
        <w:kinsoku/>
        <w:wordWrap/>
        <w:overflowPunct/>
        <w:topLinePunct w:val="0"/>
        <w:autoSpaceDE/>
        <w:autoSpaceDN/>
        <w:bidi w:val="0"/>
        <w:adjustRightInd/>
        <w:snapToGrid/>
        <w:spacing w:before="157" w:beforeLines="50" w:beforeAutospacing="0" w:after="157" w:afterLines="50" w:afterAutospacing="0" w:line="240" w:lineRule="auto"/>
        <w:jc w:val="center"/>
        <w:textAlignment w:val="auto"/>
        <w:rPr>
          <w:rFonts w:hint="eastAsia" w:ascii="黑体" w:hAnsi="黑体" w:eastAsia="黑体" w:cs="黑体"/>
          <w:b w:val="0"/>
          <w:bCs w:val="0"/>
          <w:sz w:val="21"/>
          <w:szCs w:val="21"/>
          <w:lang w:val="en-US" w:eastAsia="zh-CN"/>
        </w:rPr>
      </w:pPr>
      <w:bookmarkStart w:id="10" w:name="_Toc22456"/>
      <w:r>
        <w:rPr>
          <w:rFonts w:hint="eastAsia" w:ascii="黑体" w:hAnsi="黑体" w:eastAsia="黑体" w:cs="黑体"/>
          <w:b w:val="0"/>
          <w:bCs w:val="0"/>
          <w:sz w:val="21"/>
          <w:szCs w:val="21"/>
          <w:lang w:val="en-US" w:eastAsia="zh-CN"/>
        </w:rPr>
        <w:t>表2 主要起草人及工作职责</w:t>
      </w:r>
    </w:p>
    <w:tbl>
      <w:tblPr>
        <w:tblStyle w:val="11"/>
        <w:tblW w:w="87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984"/>
        <w:gridCol w:w="5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起草人</w:t>
            </w:r>
          </w:p>
        </w:tc>
        <w:tc>
          <w:tcPr>
            <w:tcW w:w="1984"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单位</w:t>
            </w:r>
          </w:p>
        </w:tc>
        <w:tc>
          <w:tcPr>
            <w:tcW w:w="5386"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黑体" w:hAnsi="黑体" w:eastAsia="黑体" w:cs="黑体"/>
                <w:b w:val="0"/>
                <w:bCs w:val="0"/>
                <w:sz w:val="21"/>
                <w:szCs w:val="21"/>
                <w:vertAlign w:val="baseline"/>
                <w:lang w:val="en-US" w:eastAsia="zh-CN"/>
              </w:rPr>
            </w:pPr>
            <w:r>
              <w:rPr>
                <w:rFonts w:hint="eastAsia" w:ascii="黑体" w:hAnsi="黑体" w:eastAsia="黑体" w:cs="黑体"/>
                <w:b w:val="0"/>
                <w:bCs w:val="0"/>
                <w:sz w:val="21"/>
                <w:szCs w:val="21"/>
                <w:vertAlign w:val="baseline"/>
                <w:lang w:val="en-US" w:eastAsia="zh-CN"/>
              </w:rPr>
              <w:t>工作职责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宋体" w:hAnsi="宋体" w:eastAsia="宋体" w:cs="宋体"/>
                <w:b w:val="0"/>
                <w:bCs w:val="0"/>
                <w:sz w:val="21"/>
                <w:szCs w:val="21"/>
                <w:vertAlign w:val="baseline"/>
                <w:lang w:val="en-US" w:eastAsia="zh-CN"/>
              </w:rPr>
            </w:pPr>
          </w:p>
        </w:tc>
        <w:tc>
          <w:tcPr>
            <w:tcW w:w="198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default" w:ascii="宋体" w:hAnsi="宋体" w:eastAsia="宋体" w:cs="宋体"/>
                <w:b w:val="0"/>
                <w:bCs w:val="0"/>
                <w:sz w:val="20"/>
                <w:szCs w:val="20"/>
                <w:vertAlign w:val="baseline"/>
                <w:lang w:val="en-US" w:eastAsia="zh-CN"/>
              </w:rPr>
            </w:pPr>
            <w:r>
              <w:rPr>
                <w:rFonts w:hint="eastAsia" w:ascii="宋体" w:hAnsi="宋体"/>
                <w:color w:val="auto"/>
                <w:sz w:val="20"/>
                <w:szCs w:val="20"/>
                <w:lang w:eastAsia="zh-CN"/>
              </w:rPr>
              <w:t>江西铜业股份有限公司</w:t>
            </w:r>
          </w:p>
        </w:tc>
        <w:tc>
          <w:tcPr>
            <w:tcW w:w="538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总体策划、编制、组织实施。负责主要技术的内容编写工作；在标准完善过程中，多次调研成员单位的应用情况，测试并收集现场数据，最终带领编制组完成标准的编制工作。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宋体" w:hAnsi="宋体" w:eastAsia="宋体" w:cs="宋体"/>
                <w:b w:val="0"/>
                <w:bCs w:val="0"/>
                <w:sz w:val="21"/>
                <w:szCs w:val="21"/>
                <w:vertAlign w:val="baseline"/>
                <w:lang w:val="en-US" w:eastAsia="zh-CN"/>
              </w:rPr>
            </w:pPr>
          </w:p>
        </w:tc>
        <w:tc>
          <w:tcPr>
            <w:tcW w:w="198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default" w:ascii="宋体" w:hAnsi="宋体"/>
                <w:color w:val="auto"/>
                <w:sz w:val="20"/>
                <w:szCs w:val="20"/>
                <w:lang w:val="en-US" w:eastAsia="zh-CN"/>
              </w:rPr>
            </w:pPr>
            <w:r>
              <w:rPr>
                <w:rFonts w:hint="eastAsia" w:ascii="宋体" w:hAnsi="宋体" w:eastAsia="宋体" w:cs="宋体"/>
                <w:color w:val="000000" w:themeColor="text1"/>
                <w:szCs w:val="21"/>
                <w:lang w:eastAsia="zh-CN"/>
                <w14:textFill>
                  <w14:solidFill>
                    <w14:schemeClr w14:val="tx1"/>
                  </w14:solidFill>
                </w14:textFill>
              </w:rPr>
              <w:t>中国有色金属工业技术开发交流中心</w:t>
            </w:r>
          </w:p>
        </w:tc>
        <w:tc>
          <w:tcPr>
            <w:tcW w:w="538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lang w:val="en-US" w:eastAsia="zh-CN"/>
              </w:rPr>
              <w:t>作为有色金属科技管理中枢，</w:t>
            </w:r>
            <w:r>
              <w:rPr>
                <w:rFonts w:hint="eastAsia" w:ascii="宋体" w:hAnsi="宋体" w:eastAsia="宋体" w:cs="宋体"/>
                <w:b w:val="0"/>
                <w:bCs w:val="0"/>
                <w:sz w:val="20"/>
                <w:szCs w:val="20"/>
                <w:vertAlign w:val="baseline"/>
                <w:lang w:val="en-US" w:eastAsia="zh-CN"/>
              </w:rPr>
              <w:t>在标准的编制过程中，提出宝贵建议和意见。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宋体" w:hAnsi="宋体" w:eastAsia="宋体" w:cs="宋体"/>
                <w:b w:val="0"/>
                <w:bCs w:val="0"/>
                <w:sz w:val="21"/>
                <w:szCs w:val="21"/>
                <w:vertAlign w:val="baseline"/>
                <w:lang w:val="en-US" w:eastAsia="zh-CN"/>
              </w:rPr>
            </w:pPr>
          </w:p>
        </w:tc>
        <w:tc>
          <w:tcPr>
            <w:tcW w:w="198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color w:val="auto"/>
                <w:sz w:val="20"/>
                <w:szCs w:val="20"/>
                <w:lang w:eastAsia="zh-CN"/>
              </w:rPr>
            </w:pPr>
            <w:r>
              <w:rPr>
                <w:rFonts w:hint="eastAsia" w:ascii="宋体" w:hAnsi="宋体" w:eastAsia="宋体" w:cs="宋体"/>
                <w:color w:val="000000" w:themeColor="text1"/>
                <w:szCs w:val="21"/>
                <w:lang w:eastAsia="zh-CN"/>
                <w14:textFill>
                  <w14:solidFill>
                    <w14:schemeClr w14:val="tx1"/>
                  </w14:solidFill>
                </w14:textFill>
              </w:rPr>
              <w:t>中国环境科学研究院</w:t>
            </w:r>
          </w:p>
        </w:tc>
        <w:tc>
          <w:tcPr>
            <w:tcW w:w="538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b w:val="0"/>
                <w:bCs w:val="0"/>
                <w:sz w:val="20"/>
                <w:szCs w:val="20"/>
                <w:lang w:val="en-US" w:eastAsia="zh-CN"/>
              </w:rPr>
            </w:pPr>
            <w:r>
              <w:rPr>
                <w:rFonts w:hint="eastAsia" w:ascii="宋体" w:hAnsi="宋体" w:eastAsia="宋体" w:cs="宋体"/>
                <w:b w:val="0"/>
                <w:bCs w:val="0"/>
                <w:sz w:val="20"/>
                <w:szCs w:val="20"/>
                <w:lang w:val="en-US" w:eastAsia="zh-CN"/>
              </w:rPr>
              <w:t>作为环保综合科研机构，</w:t>
            </w:r>
            <w:r>
              <w:rPr>
                <w:rFonts w:hint="eastAsia" w:ascii="宋体" w:hAnsi="宋体" w:eastAsia="宋体" w:cs="宋体"/>
                <w:b w:val="0"/>
                <w:bCs w:val="0"/>
                <w:sz w:val="20"/>
                <w:szCs w:val="20"/>
                <w:vertAlign w:val="baseline"/>
                <w:lang w:val="en-US" w:eastAsia="zh-CN"/>
              </w:rPr>
              <w:t>在标准的编制过程中，提出宝贵建议和意见。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宋体" w:hAnsi="宋体" w:eastAsia="宋体" w:cs="宋体"/>
                <w:b w:val="0"/>
                <w:bCs w:val="0"/>
                <w:sz w:val="21"/>
                <w:szCs w:val="21"/>
                <w:vertAlign w:val="baseline"/>
                <w:lang w:val="en-US" w:eastAsia="zh-CN"/>
              </w:rPr>
            </w:pPr>
          </w:p>
        </w:tc>
        <w:tc>
          <w:tcPr>
            <w:tcW w:w="198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rPr>
                <w:rFonts w:hint="default" w:ascii="宋体" w:hAnsi="宋体"/>
                <w:color w:val="auto"/>
                <w:sz w:val="20"/>
                <w:szCs w:val="20"/>
                <w:lang w:val="en-US" w:eastAsia="zh-CN"/>
              </w:rPr>
            </w:pPr>
            <w:r>
              <w:rPr>
                <w:rFonts w:hint="eastAsia" w:ascii="宋体" w:hAnsi="宋体" w:eastAsia="宋体" w:cs="宋体"/>
                <w:color w:val="000000" w:themeColor="text1"/>
                <w:szCs w:val="21"/>
                <w:lang w:eastAsia="zh-CN"/>
                <w14:textFill>
                  <w14:solidFill>
                    <w14:schemeClr w14:val="tx1"/>
                  </w14:solidFill>
                </w14:textFill>
              </w:rPr>
              <w:t>五矿铜业(湖南</w:t>
            </w:r>
            <w:r>
              <w:rPr>
                <w:rFonts w:hint="eastAsia" w:ascii="宋体" w:hAnsi="宋体" w:eastAsia="宋体" w:cs="宋体"/>
                <w:color w:val="000000" w:themeColor="text1"/>
                <w:szCs w:val="21"/>
                <w:lang w:val="en-US" w:eastAsia="zh-CN"/>
                <w14:textFill>
                  <w14:solidFill>
                    <w14:schemeClr w14:val="tx1"/>
                  </w14:solidFill>
                </w14:textFill>
              </w:rPr>
              <w:t>)有限公司</w:t>
            </w:r>
          </w:p>
        </w:tc>
        <w:tc>
          <w:tcPr>
            <w:tcW w:w="538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lang w:val="en-US" w:eastAsia="zh-CN"/>
              </w:rPr>
              <w:t>作为铜冶炼行业代表单位，积极配合标准修订过程，</w:t>
            </w:r>
            <w:r>
              <w:rPr>
                <w:rFonts w:hint="eastAsia" w:ascii="宋体" w:hAnsi="宋体" w:eastAsia="宋体" w:cs="宋体"/>
                <w:b w:val="0"/>
                <w:bCs w:val="0"/>
                <w:sz w:val="20"/>
                <w:szCs w:val="20"/>
                <w:vertAlign w:val="baseline"/>
                <w:lang w:val="en-US" w:eastAsia="zh-CN"/>
              </w:rPr>
              <w:t>在标准的编制过程中，提出宝贵建议和意见。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7"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宋体" w:hAnsi="宋体" w:eastAsia="宋体" w:cs="宋体"/>
                <w:b w:val="0"/>
                <w:bCs w:val="0"/>
                <w:sz w:val="21"/>
                <w:szCs w:val="21"/>
                <w:vertAlign w:val="baseline"/>
                <w:lang w:val="en-US" w:eastAsia="zh-CN"/>
              </w:rPr>
            </w:pPr>
          </w:p>
        </w:tc>
        <w:tc>
          <w:tcPr>
            <w:tcW w:w="198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宋体" w:hAnsi="宋体"/>
                <w:color w:val="auto"/>
                <w:sz w:val="20"/>
                <w:szCs w:val="20"/>
                <w:lang w:val="en-US" w:eastAsia="zh-CN"/>
              </w:rPr>
            </w:pPr>
            <w:r>
              <w:rPr>
                <w:rFonts w:hint="eastAsia" w:ascii="宋体" w:hAnsi="宋体" w:eastAsia="宋体" w:cs="宋体"/>
                <w:color w:val="000000" w:themeColor="text1"/>
                <w:szCs w:val="21"/>
                <w:lang w:eastAsia="zh-CN"/>
                <w14:textFill>
                  <w14:solidFill>
                    <w14:schemeClr w14:val="tx1"/>
                  </w14:solidFill>
                </w14:textFill>
              </w:rPr>
              <w:t>大冶有色金属集团控股有限公司</w:t>
            </w:r>
          </w:p>
        </w:tc>
        <w:tc>
          <w:tcPr>
            <w:tcW w:w="538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both"/>
              <w:textAlignment w:val="auto"/>
              <w:rPr>
                <w:rFonts w:hint="eastAsia"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lang w:val="en-US" w:eastAsia="zh-CN"/>
              </w:rPr>
              <w:t>作为铜冶炼行业代表单位，积极配合标准修订过程，</w:t>
            </w:r>
            <w:r>
              <w:rPr>
                <w:rFonts w:hint="eastAsia" w:ascii="宋体" w:hAnsi="宋体" w:eastAsia="宋体" w:cs="宋体"/>
                <w:b w:val="0"/>
                <w:bCs w:val="0"/>
                <w:sz w:val="20"/>
                <w:szCs w:val="20"/>
                <w:vertAlign w:val="baseline"/>
                <w:lang w:val="en-US" w:eastAsia="zh-CN"/>
              </w:rPr>
              <w:t>在标准的编制过程中，提出宝贵建议和意见。</w:t>
            </w:r>
          </w:p>
        </w:tc>
      </w:tr>
      <w:bookmarkEnd w:id="10"/>
    </w:tbl>
    <w:p>
      <w:pPr>
        <w:pStyle w:val="8"/>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textAlignment w:val="auto"/>
        <w:outlineLvl w:val="1"/>
        <w:rPr>
          <w:rFonts w:hint="eastAsia" w:hAnsi="黑体" w:cs="黑体"/>
          <w:b w:val="0"/>
          <w:bCs w:val="0"/>
        </w:rPr>
      </w:pPr>
      <w:bookmarkStart w:id="11" w:name="_Toc12762"/>
      <w:bookmarkStart w:id="12" w:name="_Toc2050"/>
      <w:r>
        <w:rPr>
          <w:rFonts w:hint="eastAsia" w:hAnsi="黑体" w:cs="黑体"/>
          <w:b w:val="0"/>
          <w:bCs w:val="0"/>
        </w:rPr>
        <w:t>1.4 主要工作过程</w:t>
      </w:r>
      <w:bookmarkEnd w:id="11"/>
      <w:bookmarkEnd w:id="12"/>
    </w:p>
    <w:p>
      <w:pPr>
        <w:pStyle w:val="9"/>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40" w:lineRule="auto"/>
        <w:textAlignment w:val="auto"/>
        <w:outlineLvl w:val="0"/>
        <w:rPr>
          <w:rFonts w:hint="eastAsia" w:ascii="黑体" w:hAnsi="黑体" w:eastAsia="黑体" w:cs="黑体"/>
          <w:b w:val="0"/>
          <w:bCs w:val="0"/>
          <w:color w:val="auto"/>
          <w:sz w:val="21"/>
          <w:szCs w:val="21"/>
          <w:lang w:val="en-US" w:eastAsia="zh-CN"/>
        </w:rPr>
      </w:pPr>
      <w:bookmarkStart w:id="13" w:name="_Toc26654"/>
      <w:bookmarkStart w:id="14" w:name="_Toc17731"/>
      <w:r>
        <w:rPr>
          <w:rFonts w:hint="eastAsia" w:ascii="黑体" w:hAnsi="黑体" w:eastAsia="黑体" w:cs="黑体"/>
          <w:b w:val="0"/>
          <w:bCs w:val="0"/>
          <w:color w:val="auto"/>
          <w:sz w:val="21"/>
          <w:szCs w:val="21"/>
          <w:lang w:val="en-US" w:eastAsia="zh-CN"/>
        </w:rPr>
        <w:t>1.4.1 预研阶段</w:t>
      </w:r>
      <w:bookmarkEnd w:id="13"/>
      <w:bookmarkEnd w:id="14"/>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cs="黑体"/>
          <w:lang w:val="en-US" w:eastAsia="zh-CN"/>
        </w:rPr>
      </w:pPr>
      <w:r>
        <w:rPr>
          <w:rFonts w:hint="eastAsia" w:ascii="宋体" w:hAnsi="宋体" w:eastAsia="宋体" w:cs="宋体"/>
          <w:color w:val="auto"/>
          <w:sz w:val="21"/>
          <w:szCs w:val="21"/>
          <w:lang w:val="en-US" w:eastAsia="zh-CN"/>
        </w:rPr>
        <w:t>标准主编单位</w:t>
      </w:r>
      <w:r>
        <w:rPr>
          <w:rFonts w:hint="eastAsia" w:ascii="宋体" w:hAnsi="宋体"/>
          <w:color w:val="auto"/>
          <w:szCs w:val="21"/>
          <w:lang w:eastAsia="zh-CN"/>
        </w:rPr>
        <w:t>江西铜业股份有限公司，</w:t>
      </w:r>
      <w:r>
        <w:rPr>
          <w:rFonts w:hint="eastAsia" w:ascii="宋体" w:hAnsi="宋体"/>
          <w:color w:val="auto"/>
          <w:szCs w:val="21"/>
          <w:lang w:val="en-US" w:eastAsia="zh-CN"/>
        </w:rPr>
        <w:t>成立于1979年，是中国第一家采用闪速炉炼铜技术的火法炼铜企业，经过40多年发展，目前拥有闪速炉、</w:t>
      </w:r>
      <w:r>
        <w:rPr>
          <w:rFonts w:hint="eastAsia" w:ascii="宋体" w:hAnsi="宋体" w:cs="黑体"/>
        </w:rPr>
        <w:t>PS转炉、侧吹炉、倾动炉、固定式阳极炉</w:t>
      </w:r>
      <w:r>
        <w:rPr>
          <w:rFonts w:hint="eastAsia" w:ascii="宋体" w:hAnsi="宋体" w:cs="黑体"/>
          <w:lang w:val="en-US" w:eastAsia="zh-CN"/>
        </w:rPr>
        <w:t>等多种铜火法冶炼技术炉，在长期实践中积累了丰富铜火法冶炼经验。</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主编单位有关技术人员，都具备有多年铜火法冶炼转炉工作经验，对转炉目前现状及发展目标规划由深入了解。在团标编制过程先后与主要参编单位</w:t>
      </w:r>
      <w:r>
        <w:rPr>
          <w:rFonts w:hint="eastAsia" w:ascii="宋体" w:hAnsi="宋体" w:eastAsia="宋体" w:cs="宋体"/>
          <w:color w:val="000000" w:themeColor="text1"/>
          <w:szCs w:val="21"/>
          <w:lang w:eastAsia="zh-CN"/>
          <w14:textFill>
            <w14:solidFill>
              <w14:schemeClr w14:val="tx1"/>
            </w14:solidFill>
          </w14:textFill>
        </w:rPr>
        <w:t>中国有色金属工业技术开发交流中心、中国环境科学研究院、江西铜业股份有限公司、大冶有色金属集团控股有限公司、五矿铜业(湖南</w:t>
      </w:r>
      <w:r>
        <w:rPr>
          <w:rFonts w:hint="eastAsia" w:ascii="宋体" w:hAnsi="宋体" w:eastAsia="宋体" w:cs="宋体"/>
          <w:color w:val="000000" w:themeColor="text1"/>
          <w:szCs w:val="21"/>
          <w:lang w:val="en-US" w:eastAsia="zh-CN"/>
          <w14:textFill>
            <w14:solidFill>
              <w14:schemeClr w14:val="tx1"/>
            </w14:solidFill>
          </w14:textFill>
        </w:rPr>
        <w:t>)有限公司</w:t>
      </w:r>
      <w:r>
        <w:rPr>
          <w:rFonts w:hint="eastAsia" w:ascii="宋体" w:hAnsi="宋体" w:eastAsia="宋体" w:cs="宋体"/>
          <w:color w:val="000000" w:themeColor="text1"/>
          <w:sz w:val="21"/>
          <w:szCs w:val="21"/>
          <w:lang w:val="en-US" w:eastAsia="zh-CN"/>
          <w14:textFill>
            <w14:solidFill>
              <w14:schemeClr w14:val="tx1"/>
            </w14:solidFill>
          </w14:textFill>
        </w:rPr>
        <w:t>等企业技术人员深入讨论了标准的技术路</w:t>
      </w:r>
      <w:r>
        <w:rPr>
          <w:rFonts w:hint="eastAsia" w:ascii="宋体" w:hAnsi="宋体" w:eastAsia="宋体" w:cs="宋体"/>
          <w:color w:val="auto"/>
          <w:sz w:val="21"/>
          <w:szCs w:val="21"/>
          <w:lang w:val="en-US" w:eastAsia="zh-CN"/>
        </w:rPr>
        <w:t>线与方案，并根据讨论情况，由主编单位整理与撰写，形成标准起草思路。在此基础上完成了标准讨论稿和编制说明。</w:t>
      </w:r>
    </w:p>
    <w:p>
      <w:pPr>
        <w:pStyle w:val="9"/>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40" w:lineRule="auto"/>
        <w:textAlignment w:val="auto"/>
        <w:outlineLvl w:val="0"/>
        <w:rPr>
          <w:rFonts w:hint="eastAsia" w:ascii="黑体" w:hAnsi="黑体" w:eastAsia="黑体" w:cs="黑体"/>
          <w:b w:val="0"/>
          <w:bCs w:val="0"/>
          <w:color w:val="auto"/>
          <w:sz w:val="21"/>
          <w:szCs w:val="21"/>
          <w:lang w:val="en-US" w:eastAsia="zh-CN"/>
        </w:rPr>
      </w:pPr>
      <w:bookmarkStart w:id="15" w:name="_Toc12114"/>
      <w:bookmarkStart w:id="16" w:name="_Toc19031"/>
      <w:r>
        <w:rPr>
          <w:rFonts w:hint="eastAsia" w:ascii="黑体" w:hAnsi="黑体" w:eastAsia="黑体" w:cs="黑体"/>
          <w:b w:val="0"/>
          <w:bCs w:val="0"/>
          <w:color w:val="auto"/>
          <w:sz w:val="21"/>
          <w:szCs w:val="21"/>
          <w:lang w:val="en-US" w:eastAsia="zh-CN"/>
        </w:rPr>
        <w:t>1.4.2 标准立项</w:t>
      </w:r>
      <w:bookmarkEnd w:id="15"/>
      <w:bookmarkEnd w:id="16"/>
    </w:p>
    <w:p>
      <w:pPr>
        <w:ind w:firstLine="420" w:firstLineChars="200"/>
        <w:rPr>
          <w:rFonts w:hint="eastAsia" w:ascii="宋体" w:hAnsi="宋体" w:eastAsia="宋体" w:cs="宋体"/>
          <w:color w:val="FF0000"/>
          <w:sz w:val="21"/>
          <w:szCs w:val="21"/>
          <w:lang w:val="en-US" w:eastAsia="zh-CN"/>
        </w:rPr>
      </w:pPr>
      <w:r>
        <w:rPr>
          <w:rFonts w:hint="eastAsia" w:ascii="宋体" w:hAnsi="宋体" w:eastAsia="宋体" w:cs="宋体"/>
          <w:color w:val="000000" w:themeColor="text1"/>
          <w:sz w:val="21"/>
          <w:szCs w:val="21"/>
          <w:lang w:val="en-US" w:eastAsia="zh-CN"/>
          <w14:textFill>
            <w14:solidFill>
              <w14:schemeClr w14:val="tx1"/>
            </w14:solidFill>
          </w14:textFill>
        </w:rPr>
        <w:t>2026年5月，江西铜业股份有限公司向全国有色技术标准化技术委员会重标委提交了《铜冶炼PS转炉环保升级改造》标准的制定建议书和立项报告等材料。对标准内容进行了征求意见和讨论，全体委员会议论结论为同意修订团体标准。</w:t>
      </w:r>
    </w:p>
    <w:p>
      <w:pPr>
        <w:pStyle w:val="9"/>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40" w:lineRule="auto"/>
        <w:textAlignment w:val="auto"/>
        <w:outlineLvl w:val="0"/>
        <w:rPr>
          <w:rFonts w:hint="eastAsia" w:ascii="黑体" w:hAnsi="黑体" w:eastAsia="黑体" w:cs="黑体"/>
          <w:b w:val="0"/>
          <w:bCs w:val="0"/>
          <w:color w:val="auto"/>
          <w:sz w:val="21"/>
          <w:szCs w:val="21"/>
          <w:lang w:val="en-US" w:eastAsia="zh-CN"/>
        </w:rPr>
      </w:pPr>
      <w:bookmarkStart w:id="17" w:name="_Toc10509"/>
      <w:bookmarkStart w:id="18" w:name="_Toc31008"/>
      <w:r>
        <w:rPr>
          <w:rFonts w:hint="eastAsia" w:ascii="黑体" w:hAnsi="黑体" w:eastAsia="黑体" w:cs="黑体"/>
          <w:b w:val="0"/>
          <w:bCs w:val="0"/>
          <w:color w:val="auto"/>
          <w:sz w:val="21"/>
          <w:szCs w:val="21"/>
          <w:lang w:val="en-US" w:eastAsia="zh-CN"/>
        </w:rPr>
        <w:t>1.4.3 起草阶段</w:t>
      </w:r>
      <w:bookmarkEnd w:id="17"/>
      <w:bookmarkEnd w:id="18"/>
    </w:p>
    <w:p>
      <w:pPr>
        <w:pStyle w:val="3"/>
        <w:keepNext w:val="0"/>
        <w:keepLines w:val="0"/>
        <w:pageBreakBefore w:val="0"/>
        <w:kinsoku/>
        <w:wordWrap/>
        <w:overflowPunct/>
        <w:topLinePunct w:val="0"/>
        <w:autoSpaceDE/>
        <w:autoSpaceDN/>
        <w:bidi w:val="0"/>
        <w:adjustRightInd/>
        <w:snapToGrid/>
        <w:spacing w:after="0" w:line="24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kern w:val="2"/>
          <w:sz w:val="21"/>
          <w:szCs w:val="21"/>
          <w:lang w:val="en-US" w:eastAsia="zh-CN" w:bidi="ar-SA"/>
        </w:rPr>
        <w:t>江西铜业股份有限公司</w:t>
      </w:r>
      <w:r>
        <w:rPr>
          <w:rFonts w:hint="eastAsia" w:ascii="宋体" w:hAnsi="宋体" w:eastAsia="宋体" w:cs="宋体"/>
          <w:color w:val="auto"/>
          <w:sz w:val="21"/>
          <w:szCs w:val="21"/>
          <w:lang w:val="en-US" w:eastAsia="zh-CN"/>
        </w:rPr>
        <w:t>成立了标准起草小组，根据前期的调研结果和现场试验，编制组及时修稿标准文本，形成了《铜冶炼PS转炉环保升级改造》标准征求意见稿及其编制说明。</w:t>
      </w:r>
    </w:p>
    <w:p>
      <w:pPr>
        <w:pStyle w:val="9"/>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40" w:lineRule="auto"/>
        <w:textAlignment w:val="auto"/>
        <w:outlineLvl w:val="0"/>
        <w:rPr>
          <w:rFonts w:hint="eastAsia" w:ascii="黑体" w:hAnsi="黑体" w:eastAsia="黑体" w:cs="黑体"/>
          <w:b w:val="0"/>
          <w:bCs w:val="0"/>
          <w:color w:val="auto"/>
          <w:sz w:val="21"/>
          <w:szCs w:val="21"/>
          <w:lang w:val="en-US" w:eastAsia="zh-CN"/>
        </w:rPr>
      </w:pPr>
      <w:bookmarkStart w:id="19" w:name="_Toc32487"/>
      <w:r>
        <w:rPr>
          <w:rFonts w:hint="eastAsia" w:ascii="黑体" w:hAnsi="黑体" w:eastAsia="黑体" w:cs="黑体"/>
          <w:b w:val="0"/>
          <w:bCs w:val="0"/>
          <w:color w:val="auto"/>
          <w:sz w:val="21"/>
          <w:szCs w:val="21"/>
          <w:lang w:val="en-US" w:eastAsia="zh-CN"/>
        </w:rPr>
        <w:t>1.4.4 征求意见阶段</w:t>
      </w:r>
      <w:bookmarkEnd w:id="19"/>
    </w:p>
    <w:p>
      <w:pPr>
        <w:pStyle w:val="3"/>
        <w:keepNext w:val="0"/>
        <w:keepLines w:val="0"/>
        <w:pageBreakBefore w:val="0"/>
        <w:kinsoku/>
        <w:wordWrap/>
        <w:overflowPunct/>
        <w:topLinePunct w:val="0"/>
        <w:autoSpaceDE/>
        <w:autoSpaceDN/>
        <w:bidi w:val="0"/>
        <w:adjustRightInd/>
        <w:snapToGrid/>
        <w:spacing w:after="0" w:line="24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（1）标准征求意见会议</w:t>
      </w:r>
    </w:p>
    <w:p>
      <w:pPr>
        <w:pStyle w:val="3"/>
        <w:keepNext w:val="0"/>
        <w:keepLines w:val="0"/>
        <w:pageBreakBefore w:val="0"/>
        <w:kinsoku/>
        <w:wordWrap/>
        <w:overflowPunct/>
        <w:topLinePunct w:val="0"/>
        <w:autoSpaceDE/>
        <w:autoSpaceDN/>
        <w:bidi w:val="0"/>
        <w:adjustRightInd/>
        <w:snapToGrid/>
        <w:spacing w:after="0" w:line="24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2026年5月8日，在江西铜业股份有限公司贵溪冶炼厂举行标准项目论证会，对标准的制定方案和草案重点内容进行了讨论，起草单位根据会议纪要对意见进行整理分析。</w:t>
      </w:r>
    </w:p>
    <w:p>
      <w:pPr>
        <w:pStyle w:val="3"/>
        <w:keepNext w:val="0"/>
        <w:keepLines w:val="0"/>
        <w:pageBreakBefore w:val="0"/>
        <w:kinsoku/>
        <w:wordWrap/>
        <w:overflowPunct/>
        <w:topLinePunct w:val="0"/>
        <w:autoSpaceDE/>
        <w:autoSpaceDN/>
        <w:bidi w:val="0"/>
        <w:adjustRightInd/>
        <w:snapToGrid/>
        <w:spacing w:after="0" w:line="240" w:lineRule="auto"/>
        <w:ind w:firstLine="420" w:firstLineChars="200"/>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2026年6月24日，在湖北大冶有色金属集团控股有限公司举行的标准项目论证会中，江西铜业股份有限公司在会议中提交了《铜冶炼PS转炉环保升级改造》草案，对标准的内容进行了讨论，并提出修改意见。</w:t>
      </w:r>
    </w:p>
    <w:p>
      <w:pPr>
        <w:pStyle w:val="3"/>
        <w:keepNext w:val="0"/>
        <w:keepLines w:val="0"/>
        <w:pageBreakBefore w:val="0"/>
        <w:kinsoku/>
        <w:wordWrap/>
        <w:overflowPunct/>
        <w:topLinePunct w:val="0"/>
        <w:autoSpaceDE/>
        <w:autoSpaceDN/>
        <w:bidi w:val="0"/>
        <w:adjustRightInd/>
        <w:snapToGrid/>
        <w:spacing w:after="0" w:line="24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2026年7月14日，在烟台举行有色金属标准工作会议上对《铜冶炼PS转炉环保升级改造》进行了预审，根据与会专家及企业代表认真研究和讨论，形成了有效的修订意见，根据此次会议纪要，形成征求意见稿及其标准说明。</w:t>
      </w:r>
    </w:p>
    <w:p>
      <w:pPr>
        <w:pStyle w:val="3"/>
        <w:keepNext w:val="0"/>
        <w:keepLines w:val="0"/>
        <w:pageBreakBefore w:val="0"/>
        <w:kinsoku/>
        <w:wordWrap/>
        <w:overflowPunct/>
        <w:topLinePunct w:val="0"/>
        <w:autoSpaceDE/>
        <w:autoSpaceDN/>
        <w:bidi w:val="0"/>
        <w:adjustRightInd/>
        <w:snapToGrid/>
        <w:spacing w:after="0" w:line="240" w:lineRule="auto"/>
        <w:ind w:firstLine="420" w:firstLineChars="200"/>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2026年7月18日，在江西铜业股份有限公司贵溪冶炼厂举行有色金属标准工作会议上对《铜冶炼PS转炉环保升级改造》进行了预审，根据与会专家及企业代表认真研究和讨论，形成了有效的修订</w:t>
      </w:r>
      <w:bookmarkStart w:id="124" w:name="_GoBack"/>
      <w:bookmarkEnd w:id="124"/>
      <w:r>
        <w:rPr>
          <w:rFonts w:hint="eastAsia" w:ascii="宋体" w:hAnsi="宋体" w:eastAsia="宋体" w:cs="宋体"/>
          <w:color w:val="auto"/>
          <w:sz w:val="21"/>
          <w:szCs w:val="21"/>
          <w:lang w:val="en-US" w:eastAsia="zh-CN"/>
        </w:rPr>
        <w:t>意见，根据此次会议纪要，形成征求意见稿及其标准说明。</w:t>
      </w:r>
    </w:p>
    <w:p>
      <w:pPr>
        <w:pStyle w:val="9"/>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40" w:lineRule="auto"/>
        <w:textAlignment w:val="auto"/>
        <w:outlineLvl w:val="0"/>
        <w:rPr>
          <w:rFonts w:hint="eastAsia" w:ascii="黑体" w:hAnsi="黑体" w:eastAsia="黑体" w:cs="黑体"/>
          <w:b w:val="0"/>
          <w:bCs w:val="0"/>
          <w:color w:val="auto"/>
          <w:sz w:val="21"/>
          <w:szCs w:val="21"/>
          <w:lang w:val="en-US" w:eastAsia="zh-CN"/>
        </w:rPr>
      </w:pPr>
      <w:bookmarkStart w:id="20" w:name="_Toc4770"/>
      <w:r>
        <w:rPr>
          <w:rFonts w:hint="eastAsia" w:ascii="黑体" w:hAnsi="黑体" w:eastAsia="黑体" w:cs="黑体"/>
          <w:b w:val="0"/>
          <w:bCs w:val="0"/>
          <w:color w:val="auto"/>
          <w:sz w:val="21"/>
          <w:szCs w:val="21"/>
          <w:lang w:val="en-US" w:eastAsia="zh-CN"/>
        </w:rPr>
        <w:t>1.4.5 审查阶段</w:t>
      </w:r>
      <w:bookmarkEnd w:id="20"/>
    </w:p>
    <w:p>
      <w:pPr>
        <w:pStyle w:val="9"/>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40" w:lineRule="auto"/>
        <w:textAlignment w:val="auto"/>
        <w:outlineLvl w:val="0"/>
        <w:rPr>
          <w:rFonts w:hint="eastAsia" w:ascii="黑体" w:hAnsi="黑体" w:eastAsia="黑体" w:cs="黑体"/>
          <w:b w:val="0"/>
          <w:bCs w:val="0"/>
          <w:color w:val="auto"/>
          <w:sz w:val="21"/>
          <w:szCs w:val="21"/>
          <w:lang w:val="en-US" w:eastAsia="zh-CN"/>
        </w:rPr>
      </w:pPr>
      <w:bookmarkStart w:id="21" w:name="_Toc5617"/>
      <w:r>
        <w:rPr>
          <w:rFonts w:hint="eastAsia" w:ascii="黑体" w:hAnsi="黑体" w:eastAsia="黑体" w:cs="黑体"/>
          <w:b w:val="0"/>
          <w:bCs w:val="0"/>
          <w:color w:val="auto"/>
          <w:sz w:val="21"/>
          <w:szCs w:val="21"/>
          <w:lang w:val="en-US" w:eastAsia="zh-CN"/>
        </w:rPr>
        <w:t>1.4.6 报批阶段</w:t>
      </w:r>
      <w:bookmarkEnd w:id="21"/>
    </w:p>
    <w:p>
      <w:pPr>
        <w:pStyle w:val="7"/>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黑体" w:eastAsia="黑体" w:cs="黑体"/>
          <w:b w:val="0"/>
          <w:bCs w:val="0"/>
          <w:color w:val="auto"/>
        </w:rPr>
      </w:pPr>
      <w:bookmarkStart w:id="22" w:name="_Toc1905"/>
      <w:r>
        <w:rPr>
          <w:rFonts w:hint="eastAsia" w:ascii="黑体" w:hAnsi="黑体" w:eastAsia="黑体" w:cs="黑体"/>
          <w:b w:val="0"/>
          <w:bCs w:val="0"/>
          <w:color w:val="auto"/>
          <w:lang w:val="en-US" w:eastAsia="zh-CN"/>
        </w:rPr>
        <w:t xml:space="preserve">2 </w:t>
      </w:r>
      <w:r>
        <w:rPr>
          <w:rFonts w:hint="eastAsia" w:ascii="黑体" w:hAnsi="黑体" w:eastAsia="黑体" w:cs="黑体"/>
          <w:b w:val="0"/>
          <w:bCs w:val="0"/>
          <w:color w:val="auto"/>
        </w:rPr>
        <w:t>编制原则</w:t>
      </w:r>
      <w:bookmarkEnd w:id="22"/>
    </w:p>
    <w:p>
      <w:pPr>
        <w:pStyle w:val="9"/>
        <w:keepNext w:val="0"/>
        <w:keepLines w:val="0"/>
        <w:pageBreakBefore w:val="0"/>
        <w:kinsoku/>
        <w:wordWrap/>
        <w:overflowPunct/>
        <w:topLinePunct w:val="0"/>
        <w:autoSpaceDE/>
        <w:autoSpaceDN/>
        <w:bidi w:val="0"/>
        <w:adjustRightInd/>
        <w:snapToGrid/>
        <w:spacing w:before="0" w:beforeAutospacing="0" w:after="0" w:afterAutospacing="0" w:line="240" w:lineRule="auto"/>
        <w:ind w:firstLine="210" w:firstLineChars="10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（1）本文件按照GB/T 1.1-2020《标准化工作导则 第1部分：标准化文件的结构和起草规定》的规定起草。</w:t>
      </w:r>
    </w:p>
    <w:p>
      <w:pPr>
        <w:pStyle w:val="9"/>
        <w:keepNext w:val="0"/>
        <w:keepLines w:val="0"/>
        <w:pageBreakBefore w:val="0"/>
        <w:kinsoku/>
        <w:wordWrap/>
        <w:overflowPunct/>
        <w:topLinePunct w:val="0"/>
        <w:autoSpaceDE/>
        <w:autoSpaceDN/>
        <w:bidi w:val="0"/>
        <w:adjustRightInd/>
        <w:snapToGrid/>
        <w:spacing w:before="0" w:beforeAutospacing="0" w:after="0" w:afterAutospacing="0" w:line="240" w:lineRule="auto"/>
        <w:ind w:firstLine="210" w:firstLineChars="10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（2）以广泛征求各铜火法冶炼企业和相关单位的意见为基本参照依据。</w:t>
      </w:r>
    </w:p>
    <w:p>
      <w:pPr>
        <w:pStyle w:val="9"/>
        <w:keepNext w:val="0"/>
        <w:keepLines w:val="0"/>
        <w:pageBreakBefore w:val="0"/>
        <w:kinsoku/>
        <w:wordWrap/>
        <w:overflowPunct/>
        <w:topLinePunct w:val="0"/>
        <w:autoSpaceDE/>
        <w:autoSpaceDN/>
        <w:bidi w:val="0"/>
        <w:adjustRightInd/>
        <w:snapToGrid/>
        <w:spacing w:before="0" w:beforeAutospacing="0" w:after="0" w:afterAutospacing="0" w:line="240" w:lineRule="auto"/>
        <w:ind w:firstLine="210" w:firstLineChars="10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（3）本文件编写遵循“先进性、实用性、统一性和规范性”的原则，使标准具有科学性和可操作性。</w:t>
      </w:r>
    </w:p>
    <w:p>
      <w:pPr>
        <w:pStyle w:val="7"/>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黑体" w:eastAsia="黑体" w:cs="黑体"/>
          <w:b w:val="0"/>
          <w:bCs w:val="0"/>
          <w:color w:val="auto"/>
          <w:lang w:val="en-US" w:eastAsia="zh-CN"/>
        </w:rPr>
      </w:pPr>
      <w:bookmarkStart w:id="23" w:name="_Toc23514"/>
      <w:r>
        <w:rPr>
          <w:rFonts w:hint="eastAsia" w:ascii="黑体" w:hAnsi="黑体" w:eastAsia="黑体" w:cs="黑体"/>
          <w:b w:val="0"/>
          <w:bCs w:val="0"/>
          <w:color w:val="auto"/>
          <w:lang w:val="en-US" w:eastAsia="zh-CN"/>
        </w:rPr>
        <w:t>3 标准主要技术内容的确定依据</w:t>
      </w:r>
      <w:bookmarkEnd w:id="23"/>
    </w:p>
    <w:p>
      <w:pPr>
        <w:pStyle w:val="8"/>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textAlignment w:val="auto"/>
        <w:outlineLvl w:val="1"/>
        <w:rPr>
          <w:rFonts w:hint="eastAsia" w:hAnsi="黑体" w:cs="黑体"/>
          <w:b w:val="0"/>
          <w:bCs w:val="0"/>
          <w:lang w:eastAsia="zh-CN"/>
        </w:rPr>
      </w:pPr>
      <w:bookmarkStart w:id="24" w:name="_Toc21077"/>
      <w:bookmarkStart w:id="25" w:name="_Toc17706"/>
      <w:r>
        <w:rPr>
          <w:rFonts w:hint="eastAsia" w:hAnsi="黑体" w:cs="黑体"/>
          <w:b w:val="0"/>
          <w:bCs w:val="0"/>
          <w:lang w:val="en-US" w:eastAsia="zh-CN"/>
        </w:rPr>
        <w:t xml:space="preserve">3.1 </w:t>
      </w:r>
      <w:r>
        <w:rPr>
          <w:rFonts w:hint="eastAsia" w:hAnsi="黑体" w:cs="黑体"/>
          <w:b w:val="0"/>
          <w:bCs w:val="0"/>
        </w:rPr>
        <w:t>范围</w:t>
      </w:r>
      <w:bookmarkEnd w:id="24"/>
    </w:p>
    <w:bookmarkEnd w:id="25"/>
    <w:p>
      <w:pPr>
        <w:pStyle w:val="21"/>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本文件规定了铜火法冶炼工序中PS转炉环保升级改造的</w:t>
      </w:r>
      <w:r>
        <w:rPr>
          <w:rFonts w:hint="eastAsia"/>
          <w:color w:val="000000" w:themeColor="text1"/>
          <w:lang w:val="en-US" w:eastAsia="zh-CN"/>
          <w14:textFill>
            <w14:solidFill>
              <w14:schemeClr w14:val="tx1"/>
            </w14:solidFill>
          </w14:textFill>
        </w:rPr>
        <w:t>总体要求、</w:t>
      </w:r>
      <w:r>
        <w:rPr>
          <w:rFonts w:hint="eastAsia" w:hAnsi="黑体" w:cs="黑体"/>
          <w:bCs/>
          <w:color w:val="000000" w:themeColor="text1"/>
          <w14:textFill>
            <w14:solidFill>
              <w14:schemeClr w14:val="tx1"/>
            </w14:solidFill>
          </w14:textFill>
        </w:rPr>
        <w:t>技术要求</w:t>
      </w:r>
      <w:r>
        <w:rPr>
          <w:rFonts w:hint="eastAsia"/>
          <w:color w:val="000000" w:themeColor="text1"/>
          <w14:textFill>
            <w14:solidFill>
              <w14:schemeClr w14:val="tx1"/>
            </w14:solidFill>
          </w14:textFill>
        </w:rPr>
        <w:t>、监测要求、运行管理及应急管控</w:t>
      </w:r>
      <w:r>
        <w:rPr>
          <w:rFonts w:hint="eastAsia" w:ascii="Times New Roman"/>
          <w:color w:val="000000" w:themeColor="text1"/>
          <w14:textFill>
            <w14:solidFill>
              <w14:schemeClr w14:val="tx1"/>
            </w14:solidFill>
          </w14:textFill>
        </w:rPr>
        <w:t>。</w:t>
      </w:r>
    </w:p>
    <w:p>
      <w:pPr>
        <w:widowControl/>
        <w:spacing w:line="240" w:lineRule="auto"/>
        <w:ind w:firstLine="420" w:firstLineChars="200"/>
        <w:jc w:val="left"/>
        <w:rPr>
          <w:rFonts w:ascii="Times New Roman" w:hAnsi="Times New Roman"/>
          <w:color w:val="000000" w:themeColor="text1"/>
          <w:kern w:val="0"/>
          <w:szCs w:val="20"/>
          <w14:textFill>
            <w14:solidFill>
              <w14:schemeClr w14:val="tx1"/>
            </w14:solidFill>
          </w14:textFill>
        </w:rPr>
      </w:pPr>
      <w:r>
        <w:rPr>
          <w:rFonts w:hint="eastAsia" w:ascii="Times New Roman" w:hAnsi="Times New Roman"/>
          <w:color w:val="000000" w:themeColor="text1"/>
          <w:kern w:val="0"/>
          <w:szCs w:val="20"/>
          <w14:textFill>
            <w14:solidFill>
              <w14:schemeClr w14:val="tx1"/>
            </w14:solidFill>
          </w14:textFill>
        </w:rPr>
        <w:t>本文件适用于铜冶炼企业转炉环保升级改造的规范、标准、监测与运维管理，可作为铜冶炼行业转炉环保升级改造、日常管控及</w:t>
      </w:r>
      <w:r>
        <w:rPr>
          <w:rFonts w:hint="eastAsia" w:ascii="Times New Roman" w:hAnsi="Times New Roman"/>
          <w:color w:val="000000" w:themeColor="text1"/>
          <w:kern w:val="0"/>
          <w:szCs w:val="20"/>
          <w:lang w:val="en-US" w:eastAsia="zh-CN"/>
          <w14:textFill>
            <w14:solidFill>
              <w14:schemeClr w14:val="tx1"/>
            </w14:solidFill>
          </w14:textFill>
        </w:rPr>
        <w:t>验收评价</w:t>
      </w:r>
      <w:r>
        <w:rPr>
          <w:rFonts w:hint="eastAsia" w:ascii="Times New Roman" w:hAnsi="Times New Roman"/>
          <w:color w:val="000000" w:themeColor="text1"/>
          <w:kern w:val="0"/>
          <w:szCs w:val="20"/>
          <w14:textFill>
            <w14:solidFill>
              <w14:schemeClr w14:val="tx1"/>
            </w14:solidFill>
          </w14:textFill>
        </w:rPr>
        <w:t>的技术依据。</w:t>
      </w:r>
    </w:p>
    <w:p>
      <w:pPr>
        <w:pStyle w:val="8"/>
        <w:bidi w:val="0"/>
        <w:spacing w:line="240" w:lineRule="auto"/>
        <w:ind w:left="0" w:leftChars="0"/>
        <w:rPr>
          <w:rFonts w:hint="eastAsia"/>
          <w:b w:val="0"/>
          <w:bCs w:val="0"/>
          <w:color w:val="auto"/>
          <w:lang w:val="en-US" w:eastAsia="zh-CN"/>
        </w:rPr>
      </w:pPr>
    </w:p>
    <w:p>
      <w:pPr>
        <w:pStyle w:val="8"/>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textAlignment w:val="auto"/>
        <w:outlineLvl w:val="1"/>
        <w:rPr>
          <w:rFonts w:hint="eastAsia" w:hAnsi="黑体" w:cs="黑体"/>
          <w:b w:val="0"/>
          <w:bCs w:val="0"/>
          <w:lang w:val="en-US" w:eastAsia="zh-CN"/>
        </w:rPr>
      </w:pPr>
      <w:bookmarkStart w:id="26" w:name="_Toc2163"/>
      <w:r>
        <w:rPr>
          <w:rFonts w:hint="eastAsia" w:hAnsi="黑体" w:cs="黑体"/>
          <w:b w:val="0"/>
          <w:bCs w:val="0"/>
          <w:lang w:val="en-US" w:eastAsia="zh-CN"/>
        </w:rPr>
        <w:t>3.2  规范性引用文件</w:t>
      </w:r>
      <w:bookmarkEnd w:id="26"/>
    </w:p>
    <w:p>
      <w:pPr>
        <w:pStyle w:val="21"/>
        <w:ind w:firstLine="420"/>
        <w:rPr>
          <w:rFonts w:ascii="Times New Roman"/>
          <w:color w:val="000000" w:themeColor="text1"/>
          <w14:textFill>
            <w14:solidFill>
              <w14:schemeClr w14:val="tx1"/>
            </w14:solidFill>
          </w14:textFill>
        </w:rPr>
      </w:pPr>
      <w:r>
        <w:rPr>
          <w:rFonts w:hint="eastAsia" w:ascii="Times New Roman"/>
          <w:color w:val="000000" w:themeColor="text1"/>
          <w14:textFill>
            <w14:solidFill>
              <w14:schemeClr w14:val="tx1"/>
            </w14:solidFill>
          </w14:textFill>
        </w:rPr>
        <w:t>GB 16297 大气污染物综合排放标准</w:t>
      </w:r>
    </w:p>
    <w:p>
      <w:pPr>
        <w:pStyle w:val="21"/>
        <w:ind w:firstLine="420"/>
        <w:rPr>
          <w:rFonts w:hint="eastAsia" w:ascii="Times New Roman"/>
          <w:color w:val="000000" w:themeColor="text1"/>
          <w14:textFill>
            <w14:solidFill>
              <w14:schemeClr w14:val="tx1"/>
            </w14:solidFill>
          </w14:textFill>
        </w:rPr>
      </w:pPr>
      <w:r>
        <w:rPr>
          <w:rFonts w:hint="eastAsia" w:ascii="Times New Roman"/>
          <w:color w:val="000000" w:themeColor="text1"/>
          <w14:textFill>
            <w14:solidFill>
              <w14:schemeClr w14:val="tx1"/>
            </w14:solidFill>
          </w14:textFill>
        </w:rPr>
        <w:t>GB 25467</w:t>
      </w:r>
      <w:r>
        <w:rPr>
          <w:rFonts w:hint="eastAsia" w:ascii="Times New Roman"/>
          <w:color w:val="000000" w:themeColor="text1"/>
          <w:lang w:val="en-US" w:eastAsia="zh-CN"/>
          <w14:textFill>
            <w14:solidFill>
              <w14:schemeClr w14:val="tx1"/>
            </w14:solidFill>
          </w14:textFill>
        </w:rPr>
        <w:t xml:space="preserve"> </w:t>
      </w:r>
      <w:r>
        <w:rPr>
          <w:rFonts w:hint="eastAsia" w:ascii="Times New Roman"/>
          <w:color w:val="000000" w:themeColor="text1"/>
          <w14:textFill>
            <w14:solidFill>
              <w14:schemeClr w14:val="tx1"/>
            </w14:solidFill>
          </w14:textFill>
        </w:rPr>
        <w:t>铜、镍、钴工业污染物排放标准</w:t>
      </w:r>
    </w:p>
    <w:p>
      <w:pPr>
        <w:pStyle w:val="21"/>
        <w:ind w:firstLine="420"/>
        <w:rPr>
          <w:rFonts w:hint="eastAsia" w:ascii="Times New Roman"/>
          <w:color w:val="000000" w:themeColor="text1"/>
          <w14:textFill>
            <w14:solidFill>
              <w14:schemeClr w14:val="tx1"/>
            </w14:solidFill>
          </w14:textFill>
        </w:rPr>
      </w:pPr>
      <w:r>
        <w:rPr>
          <w:rFonts w:hint="eastAsia" w:ascii="Times New Roman"/>
          <w:color w:val="000000" w:themeColor="text1"/>
          <w14:textFill>
            <w14:solidFill>
              <w14:schemeClr w14:val="tx1"/>
            </w14:solidFill>
          </w14:textFill>
        </w:rPr>
        <w:t>GB</w:t>
      </w:r>
      <w:r>
        <w:rPr>
          <w:rFonts w:hint="eastAsia" w:ascii="Times New Roman"/>
          <w:color w:val="000000" w:themeColor="text1"/>
          <w:lang w:val="en-US" w:eastAsia="zh-CN"/>
          <w14:textFill>
            <w14:solidFill>
              <w14:schemeClr w14:val="tx1"/>
            </w14:solidFill>
          </w14:textFill>
        </w:rPr>
        <w:t xml:space="preserve"> </w:t>
      </w:r>
      <w:r>
        <w:rPr>
          <w:rFonts w:hint="eastAsia" w:ascii="Times New Roman"/>
          <w:color w:val="000000" w:themeColor="text1"/>
          <w14:textFill>
            <w14:solidFill>
              <w14:schemeClr w14:val="tx1"/>
            </w14:solidFill>
          </w14:textFill>
        </w:rPr>
        <w:t>50016</w:t>
      </w:r>
      <w:r>
        <w:rPr>
          <w:rFonts w:hint="eastAsia" w:ascii="Times New Roman"/>
          <w:color w:val="000000" w:themeColor="text1"/>
          <w:lang w:val="en-US" w:eastAsia="zh-CN"/>
          <w14:textFill>
            <w14:solidFill>
              <w14:schemeClr w14:val="tx1"/>
            </w14:solidFill>
          </w14:textFill>
        </w:rPr>
        <w:t xml:space="preserve"> </w:t>
      </w:r>
      <w:r>
        <w:rPr>
          <w:rFonts w:hint="eastAsia" w:ascii="Times New Roman"/>
          <w:color w:val="000000" w:themeColor="text1"/>
          <w14:textFill>
            <w14:solidFill>
              <w14:schemeClr w14:val="tx1"/>
            </w14:solidFill>
          </w14:textFill>
        </w:rPr>
        <w:t>建筑设计防火规范</w:t>
      </w:r>
    </w:p>
    <w:p>
      <w:pPr>
        <w:pStyle w:val="21"/>
        <w:ind w:firstLine="420"/>
        <w:rPr>
          <w:rFonts w:ascii="Times New Roman"/>
          <w:color w:val="000000" w:themeColor="text1"/>
          <w14:textFill>
            <w14:solidFill>
              <w14:schemeClr w14:val="tx1"/>
            </w14:solidFill>
          </w14:textFill>
        </w:rPr>
      </w:pPr>
      <w:r>
        <w:rPr>
          <w:rFonts w:hint="eastAsia" w:ascii="Times New Roman"/>
          <w:color w:val="000000" w:themeColor="text1"/>
          <w14:textFill>
            <w14:solidFill>
              <w14:schemeClr w14:val="tx1"/>
            </w14:solidFill>
          </w14:textFill>
        </w:rPr>
        <w:t>HJ 989 排污单位自行监测技术指南 有色金属工业</w:t>
      </w:r>
    </w:p>
    <w:p>
      <w:pPr>
        <w:pStyle w:val="21"/>
        <w:ind w:firstLine="420"/>
        <w:rPr>
          <w:rFonts w:hint="eastAsia" w:ascii="Times New Roman"/>
          <w:color w:val="000000" w:themeColor="text1"/>
          <w14:textFill>
            <w14:solidFill>
              <w14:schemeClr w14:val="tx1"/>
            </w14:solidFill>
          </w14:textFill>
        </w:rPr>
      </w:pPr>
      <w:r>
        <w:rPr>
          <w:rFonts w:hint="eastAsia" w:ascii="Times New Roman"/>
          <w:color w:val="000000" w:themeColor="text1"/>
          <w14:textFill>
            <w14:solidFill>
              <w14:schemeClr w14:val="tx1"/>
            </w14:solidFill>
          </w14:textFill>
        </w:rPr>
        <w:t>HJ 1405 排污单位污染物排放口监测点位设置技术规范</w:t>
      </w:r>
    </w:p>
    <w:p>
      <w:pPr>
        <w:pStyle w:val="21"/>
        <w:ind w:firstLine="420"/>
        <w:rPr>
          <w:rFonts w:ascii="Times New Roman"/>
          <w:strike/>
          <w:color w:val="000000" w:themeColor="text1"/>
          <w14:textFill>
            <w14:solidFill>
              <w14:schemeClr w14:val="tx1"/>
            </w14:solidFill>
          </w14:textFill>
        </w:rPr>
      </w:pPr>
      <w:r>
        <w:rPr>
          <w:rFonts w:ascii="Times New Roman"/>
          <w:color w:val="000000" w:themeColor="text1"/>
          <w14:textFill>
            <w14:solidFill>
              <w14:schemeClr w14:val="tx1"/>
            </w14:solidFill>
          </w14:textFill>
        </w:rPr>
        <w:t>HJ/T 55</w:t>
      </w:r>
      <w:r>
        <w:rPr>
          <w:rFonts w:hint="eastAsia" w:ascii="Times New Roman"/>
          <w:color w:val="000000" w:themeColor="text1"/>
          <w14:textFill>
            <w14:solidFill>
              <w14:schemeClr w14:val="tx1"/>
            </w14:solidFill>
          </w14:textFill>
        </w:rPr>
        <w:t xml:space="preserve"> </w:t>
      </w:r>
      <w:r>
        <w:rPr>
          <w:rFonts w:ascii="Times New Roman"/>
          <w:color w:val="000000" w:themeColor="text1"/>
          <w14:textFill>
            <w14:solidFill>
              <w14:schemeClr w14:val="tx1"/>
            </w14:solidFill>
          </w14:textFill>
        </w:rPr>
        <w:t>大气污染物无组织排放监测技术导则</w:t>
      </w:r>
    </w:p>
    <w:p>
      <w:pPr>
        <w:pStyle w:val="21"/>
        <w:ind w:firstLine="420"/>
        <w:rPr>
          <w:rFonts w:hint="eastAsia" w:ascii="Times New Roman"/>
          <w:color w:val="000000" w:themeColor="text1"/>
          <w14:textFill>
            <w14:solidFill>
              <w14:schemeClr w14:val="tx1"/>
            </w14:solidFill>
          </w14:textFill>
        </w:rPr>
      </w:pPr>
      <w:r>
        <w:rPr>
          <w:rFonts w:hint="eastAsia" w:ascii="Times New Roman"/>
          <w:color w:val="000000" w:themeColor="text1"/>
          <w14:textFill>
            <w14:solidFill>
              <w14:schemeClr w14:val="tx1"/>
            </w14:solidFill>
          </w14:textFill>
        </w:rPr>
        <w:t>T/CNIA 0217</w:t>
      </w:r>
      <w:r>
        <w:rPr>
          <w:rFonts w:hint="eastAsia" w:ascii="Times New Roman"/>
          <w:color w:val="000000" w:themeColor="text1"/>
          <w:lang w:val="en-US" w:eastAsia="zh-CN"/>
          <w14:textFill>
            <w14:solidFill>
              <w14:schemeClr w14:val="tx1"/>
            </w14:solidFill>
          </w14:textFill>
        </w:rPr>
        <w:t xml:space="preserve"> </w:t>
      </w:r>
      <w:r>
        <w:rPr>
          <w:rFonts w:hint="eastAsia" w:ascii="Times New Roman"/>
          <w:color w:val="000000" w:themeColor="text1"/>
          <w14:textFill>
            <w14:solidFill>
              <w14:schemeClr w14:val="tx1"/>
            </w14:solidFill>
          </w14:textFill>
        </w:rPr>
        <w:t>铜冶炼转炉智能捅风眼机技术规范</w:t>
      </w:r>
    </w:p>
    <w:p>
      <w:pPr>
        <w:pStyle w:val="21"/>
      </w:pPr>
      <w:r>
        <w:rPr>
          <w:rFonts w:hint="eastAsia"/>
          <w:lang w:eastAsia="zh-CN"/>
        </w:rPr>
        <w:t>《</w:t>
      </w:r>
      <w:r>
        <w:t>重污染天气重点行业应急减排措施制定技术指南（2020年修订版）</w:t>
      </w:r>
      <w:r>
        <w:rPr>
          <w:rFonts w:hint="eastAsia"/>
          <w:lang w:eastAsia="zh-CN"/>
        </w:rPr>
        <w:t>》（</w:t>
      </w:r>
      <w:r>
        <w:rPr>
          <w:rFonts w:hint="eastAsia"/>
          <w:lang w:val="en-US" w:eastAsia="zh-CN"/>
        </w:rPr>
        <w:t>环办大气函</w:t>
      </w:r>
      <w:r>
        <w:rPr>
          <w:rFonts w:hint="eastAsia"/>
          <w:lang w:eastAsia="zh-CN"/>
        </w:rPr>
        <w:t>[</w:t>
      </w:r>
      <w:r>
        <w:rPr>
          <w:rFonts w:hint="eastAsia"/>
          <w:lang w:val="en-US" w:eastAsia="zh-CN"/>
        </w:rPr>
        <w:t>2020</w:t>
      </w:r>
      <w:r>
        <w:rPr>
          <w:rFonts w:hint="eastAsia"/>
          <w:lang w:eastAsia="zh-CN"/>
        </w:rPr>
        <w:t>]</w:t>
      </w:r>
      <w:r>
        <w:rPr>
          <w:rFonts w:hint="eastAsia"/>
          <w:lang w:val="en-US" w:eastAsia="zh-CN"/>
        </w:rPr>
        <w:t>3</w:t>
      </w:r>
      <w:r>
        <w:rPr>
          <w:rFonts w:hint="eastAsia"/>
          <w:lang w:eastAsia="zh-CN"/>
        </w:rPr>
        <w:t>4</w:t>
      </w:r>
      <w:r>
        <w:rPr>
          <w:rFonts w:hint="eastAsia"/>
          <w:lang w:val="en-US" w:eastAsia="zh-CN"/>
        </w:rPr>
        <w:t>0</w:t>
      </w:r>
      <w:r>
        <w:rPr>
          <w:rFonts w:hint="eastAsia"/>
          <w:lang w:eastAsia="zh-CN"/>
        </w:rPr>
        <w:t>号）</w:t>
      </w:r>
    </w:p>
    <w:p>
      <w:pPr>
        <w:pStyle w:val="8"/>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textAlignment w:val="auto"/>
        <w:outlineLvl w:val="1"/>
        <w:rPr>
          <w:rFonts w:hint="eastAsia"/>
          <w:b w:val="0"/>
          <w:bCs w:val="0"/>
          <w:lang w:val="en-US" w:eastAsia="zh-CN"/>
        </w:rPr>
      </w:pPr>
      <w:bookmarkStart w:id="27" w:name="_Toc31578"/>
      <w:r>
        <w:rPr>
          <w:rFonts w:hint="eastAsia"/>
          <w:b w:val="0"/>
          <w:bCs w:val="0"/>
          <w:lang w:val="en-US" w:eastAsia="zh-CN"/>
        </w:rPr>
        <w:t>3.</w:t>
      </w:r>
      <w:r>
        <w:rPr>
          <w:rFonts w:hint="eastAsia"/>
          <w:b w:val="0"/>
          <w:bCs w:val="0"/>
        </w:rPr>
        <w:t>3</w:t>
      </w:r>
      <w:r>
        <w:rPr>
          <w:rFonts w:hint="eastAsia"/>
          <w:b w:val="0"/>
          <w:bCs w:val="0"/>
          <w:lang w:val="en-US" w:eastAsia="zh-CN"/>
        </w:rPr>
        <w:t xml:space="preserve"> 术语和定义</w:t>
      </w:r>
      <w:bookmarkEnd w:id="27"/>
    </w:p>
    <w:p>
      <w:pPr>
        <w:pStyle w:val="18"/>
        <w:keepNext w:val="0"/>
        <w:keepLines w:val="0"/>
        <w:pageBreakBefore w:val="0"/>
        <w:widowControl/>
        <w:kinsoku/>
        <w:wordWrap/>
        <w:overflowPunct/>
        <w:topLinePunct w:val="0"/>
        <w:autoSpaceDE/>
        <w:autoSpaceDN/>
        <w:bidi w:val="0"/>
        <w:adjustRightInd/>
        <w:snapToGrid/>
        <w:spacing w:line="240" w:lineRule="auto"/>
        <w:ind w:right="0" w:firstLine="420" w:firstLineChars="200"/>
        <w:jc w:val="left"/>
        <w:textAlignment w:val="auto"/>
        <w:rPr>
          <w:rFonts w:hint="eastAsia" w:ascii="宋体" w:hAnsi="宋体" w:eastAsia="宋体"/>
          <w:spacing w:val="0"/>
          <w:kern w:val="2"/>
          <w:sz w:val="21"/>
          <w:szCs w:val="21"/>
          <w:lang w:eastAsia="zh-CN"/>
        </w:rPr>
      </w:pPr>
      <w:r>
        <w:rPr>
          <w:rFonts w:hint="eastAsia" w:ascii="宋体" w:hAnsi="宋体" w:eastAsia="宋体"/>
          <w:spacing w:val="0"/>
          <w:kern w:val="2"/>
          <w:sz w:val="21"/>
          <w:szCs w:val="21"/>
        </w:rPr>
        <w:t>下列术语和定义适用于本文件</w:t>
      </w:r>
      <w:r>
        <w:rPr>
          <w:rFonts w:hint="eastAsia" w:ascii="宋体" w:hAnsi="宋体" w:eastAsia="宋体"/>
          <w:spacing w:val="0"/>
          <w:kern w:val="2"/>
          <w:sz w:val="21"/>
          <w:szCs w:val="21"/>
          <w:lang w:eastAsia="zh-CN"/>
        </w:rPr>
        <w:t>。</w:t>
      </w:r>
    </w:p>
    <w:p>
      <w:pPr>
        <w:pStyle w:val="22"/>
        <w:keepNext w:val="0"/>
        <w:keepLines w:val="0"/>
        <w:pageBreakBefore w:val="0"/>
        <w:widowControl/>
        <w:kinsoku/>
        <w:wordWrap/>
        <w:overflowPunct/>
        <w:topLinePunct w:val="0"/>
        <w:autoSpaceDE/>
        <w:autoSpaceDN/>
        <w:bidi w:val="0"/>
        <w:adjustRightInd w:val="0"/>
        <w:snapToGrid/>
        <w:spacing w:beforeLines="0" w:afterLines="0"/>
        <w:textAlignment w:val="auto"/>
        <w:outlineLvl w:val="9"/>
        <w:rPr>
          <w:rFonts w:hint="eastAsia" w:hAnsi="黑体" w:cs="黑体"/>
          <w:bCs/>
          <w:color w:val="000000" w:themeColor="text1"/>
          <w:lang w:val="en-US" w:eastAsia="zh-CN"/>
          <w14:textFill>
            <w14:solidFill>
              <w14:schemeClr w14:val="tx1"/>
            </w14:solidFill>
          </w14:textFill>
        </w:rPr>
      </w:pPr>
      <w:bookmarkStart w:id="28" w:name="_Toc32018"/>
      <w:bookmarkStart w:id="29" w:name="heading_6"/>
      <w:bookmarkStart w:id="30" w:name="_Toc31003"/>
      <w:bookmarkStart w:id="31" w:name="_Toc17487"/>
      <w:bookmarkStart w:id="32" w:name="_Toc26457"/>
      <w:r>
        <w:rPr>
          <w:rFonts w:hint="eastAsia" w:hAnsi="黑体" w:cs="黑体"/>
          <w:bCs/>
          <w:color w:val="000000" w:themeColor="text1"/>
          <w:lang w:val="en-US" w:eastAsia="zh-CN"/>
          <w14:textFill>
            <w14:solidFill>
              <w14:schemeClr w14:val="tx1"/>
            </w14:solidFill>
          </w14:textFill>
        </w:rPr>
        <w:t xml:space="preserve">3.3.1 转炉工艺烟气 </w:t>
      </w:r>
      <w:r>
        <w:rPr>
          <w:rFonts w:hint="eastAsia" w:hAnsi="黑体" w:cs="黑体"/>
          <w:color w:val="000000" w:themeColor="text1"/>
          <w:kern w:val="2"/>
          <w:sz w:val="21"/>
          <w:szCs w:val="21"/>
          <w:u w:val="none"/>
          <w:lang w:val="en-US" w:eastAsia="zh-CN" w:bidi="ar-SA"/>
          <w14:textFill>
            <w14:solidFill>
              <w14:schemeClr w14:val="tx1"/>
            </w14:solidFill>
          </w14:textFill>
        </w:rPr>
        <w:t>p</w:t>
      </w:r>
      <w:r>
        <w:rPr>
          <w:rFonts w:hint="eastAsia" w:ascii="黑体" w:hAnsi="黑体" w:eastAsia="黑体" w:cs="黑体"/>
          <w:color w:val="000000" w:themeColor="text1"/>
          <w:kern w:val="2"/>
          <w:sz w:val="21"/>
          <w:szCs w:val="21"/>
          <w:u w:val="none"/>
          <w:lang w:val="en-US" w:eastAsia="zh-CN" w:bidi="ar-SA"/>
          <w14:textFill>
            <w14:solidFill>
              <w14:schemeClr w14:val="tx1"/>
            </w14:solidFill>
          </w14:textFill>
        </w:rPr>
        <w:t>rocess flue gas of converter</w:t>
      </w:r>
      <w:bookmarkEnd w:id="28"/>
    </w:p>
    <w:p>
      <w:pPr>
        <w:keepNext w:val="0"/>
        <w:keepLines w:val="0"/>
        <w:pageBreakBefore w:val="0"/>
        <w:kinsoku/>
        <w:wordWrap/>
        <w:overflowPunct/>
        <w:topLinePunct w:val="0"/>
        <w:autoSpaceDE/>
        <w:autoSpaceDN/>
        <w:bidi w:val="0"/>
        <w:adjustRightInd w:val="0"/>
        <w:snapToGrid/>
        <w:spacing w:line="240" w:lineRule="auto"/>
        <w:ind w:firstLine="420" w:firstLineChars="200"/>
        <w:jc w:val="left"/>
        <w:textAlignment w:val="auto"/>
        <w:rPr>
          <w:rFonts w:hint="eastAsia" w:ascii="宋体" w:hAnsi="宋体" w:cs="宋体"/>
          <w:color w:val="000000" w:themeColor="text1"/>
          <w:u w:val="none"/>
          <w:lang w:val="en-US" w:eastAsia="zh-CN"/>
          <w14:textFill>
            <w14:solidFill>
              <w14:schemeClr w14:val="tx1"/>
            </w14:solidFill>
          </w14:textFill>
        </w:rPr>
      </w:pPr>
      <w:r>
        <w:rPr>
          <w:rFonts w:hint="eastAsia" w:ascii="宋体" w:hAnsi="宋体" w:eastAsia="宋体" w:cs="宋体"/>
          <w:color w:val="000000" w:themeColor="text1"/>
          <w:sz w:val="21"/>
          <w:szCs w:val="21"/>
          <w:u w:val="none"/>
          <w14:textFill>
            <w14:solidFill>
              <w14:schemeClr w14:val="tx1"/>
            </w14:solidFill>
          </w14:textFill>
        </w:rPr>
        <w:t>冰铜在转炉吹炼过程中产生，经</w:t>
      </w:r>
      <w:r>
        <w:rPr>
          <w:rFonts w:hint="eastAsia" w:ascii="宋体" w:hAnsi="宋体" w:cs="宋体"/>
          <w:color w:val="000000" w:themeColor="text1"/>
          <w:sz w:val="21"/>
          <w:szCs w:val="21"/>
          <w:u w:val="none"/>
          <w:lang w:val="en-US" w:eastAsia="zh-CN"/>
          <w14:textFill>
            <w14:solidFill>
              <w14:schemeClr w14:val="tx1"/>
            </w14:solidFill>
          </w14:textFill>
        </w:rPr>
        <w:t>固定</w:t>
      </w:r>
      <w:r>
        <w:rPr>
          <w:rFonts w:hint="eastAsia" w:ascii="宋体" w:hAnsi="宋体" w:eastAsia="宋体" w:cs="宋体"/>
          <w:color w:val="000000" w:themeColor="text1"/>
          <w:sz w:val="21"/>
          <w:szCs w:val="21"/>
          <w:u w:val="none"/>
          <w14:textFill>
            <w14:solidFill>
              <w14:schemeClr w14:val="tx1"/>
            </w14:solidFill>
          </w14:textFill>
        </w:rPr>
        <w:t>烟罩收集、</w:t>
      </w:r>
      <w:r>
        <w:rPr>
          <w:rFonts w:hint="eastAsia" w:ascii="宋体" w:hAnsi="宋体" w:cs="宋体"/>
          <w:color w:val="000000" w:themeColor="text1"/>
          <w:sz w:val="21"/>
          <w:szCs w:val="21"/>
          <w:u w:val="none"/>
          <w:lang w:val="en-US" w:eastAsia="zh-CN"/>
          <w14:textFill>
            <w14:solidFill>
              <w14:schemeClr w14:val="tx1"/>
            </w14:solidFill>
          </w14:textFill>
        </w:rPr>
        <w:t>排烟管</w:t>
      </w:r>
      <w:r>
        <w:rPr>
          <w:rFonts w:hint="eastAsia" w:ascii="宋体" w:hAnsi="宋体" w:eastAsia="宋体" w:cs="宋体"/>
          <w:color w:val="000000" w:themeColor="text1"/>
          <w:sz w:val="21"/>
          <w:szCs w:val="21"/>
          <w:u w:val="none"/>
          <w14:textFill>
            <w14:solidFill>
              <w14:schemeClr w14:val="tx1"/>
            </w14:solidFill>
          </w14:textFill>
        </w:rPr>
        <w:t>道</w:t>
      </w:r>
      <w:r>
        <w:rPr>
          <w:rFonts w:hint="eastAsia" w:ascii="宋体" w:hAnsi="宋体" w:cs="宋体"/>
          <w:color w:val="000000" w:themeColor="text1"/>
          <w:sz w:val="21"/>
          <w:szCs w:val="21"/>
          <w:u w:val="none"/>
          <w:lang w:val="en-US" w:eastAsia="zh-CN"/>
          <w14:textFill>
            <w14:solidFill>
              <w14:schemeClr w14:val="tx1"/>
            </w14:solidFill>
          </w14:textFill>
        </w:rPr>
        <w:t>引入，</w:t>
      </w:r>
      <w:r>
        <w:rPr>
          <w:rFonts w:hint="eastAsia" w:ascii="宋体" w:hAnsi="宋体" w:eastAsia="宋体" w:cs="宋体"/>
          <w:color w:val="000000" w:themeColor="text1"/>
          <w:sz w:val="21"/>
          <w:szCs w:val="21"/>
          <w:u w:val="none"/>
          <w14:textFill>
            <w14:solidFill>
              <w14:schemeClr w14:val="tx1"/>
            </w14:solidFill>
          </w14:textFill>
        </w:rPr>
        <w:t>送制酸系统的高温工艺烟气。</w:t>
      </w:r>
    </w:p>
    <w:p>
      <w:pPr>
        <w:pStyle w:val="22"/>
        <w:keepNext w:val="0"/>
        <w:keepLines w:val="0"/>
        <w:pageBreakBefore w:val="0"/>
        <w:widowControl/>
        <w:kinsoku/>
        <w:wordWrap/>
        <w:overflowPunct/>
        <w:topLinePunct w:val="0"/>
        <w:autoSpaceDE/>
        <w:autoSpaceDN/>
        <w:bidi w:val="0"/>
        <w:adjustRightInd w:val="0"/>
        <w:snapToGrid/>
        <w:spacing w:beforeLines="0" w:afterLines="0"/>
        <w:textAlignment w:val="auto"/>
        <w:outlineLvl w:val="9"/>
        <w:rPr>
          <w:rFonts w:hint="eastAsia" w:hAnsi="黑体" w:cs="黑体"/>
          <w:bCs/>
          <w:color w:val="000000" w:themeColor="text1"/>
          <w:lang w:val="en-US" w:eastAsia="zh-CN"/>
          <w14:textFill>
            <w14:solidFill>
              <w14:schemeClr w14:val="tx1"/>
            </w14:solidFill>
          </w14:textFill>
        </w:rPr>
      </w:pPr>
      <w:bookmarkStart w:id="33" w:name="_Toc23057"/>
      <w:r>
        <w:rPr>
          <w:rFonts w:hint="eastAsia" w:hAnsi="黑体" w:cs="黑体"/>
          <w:bCs/>
          <w:color w:val="000000" w:themeColor="text1"/>
          <w:lang w:val="en-US" w:eastAsia="zh-CN"/>
          <w14:textFill>
            <w14:solidFill>
              <w14:schemeClr w14:val="tx1"/>
            </w14:solidFill>
          </w14:textFill>
        </w:rPr>
        <w:t>3.3.2 转炉环集烟气 enclosure collected flue gas of converter</w:t>
      </w:r>
      <w:bookmarkEnd w:id="33"/>
    </w:p>
    <w:p>
      <w:pPr>
        <w:keepNext w:val="0"/>
        <w:keepLines w:val="0"/>
        <w:pageBreakBefore w:val="0"/>
        <w:kinsoku/>
        <w:wordWrap/>
        <w:overflowPunct/>
        <w:topLinePunct w:val="0"/>
        <w:autoSpaceDE/>
        <w:autoSpaceDN/>
        <w:bidi w:val="0"/>
        <w:adjustRightInd w:val="0"/>
        <w:snapToGrid/>
        <w:spacing w:line="240" w:lineRule="auto"/>
        <w:ind w:firstLine="420" w:firstLineChars="200"/>
        <w:jc w:val="left"/>
        <w:textAlignment w:val="auto"/>
        <w:rPr>
          <w:rFonts w:hint="eastAsia" w:hAnsi="黑体" w:cs="黑体"/>
          <w:bCs/>
          <w:color w:val="000000" w:themeColor="text1"/>
          <w:lang w:val="en-US" w:eastAsia="zh-CN"/>
          <w14:textFill>
            <w14:solidFill>
              <w14:schemeClr w14:val="tx1"/>
            </w14:solidFill>
          </w14:textFill>
        </w:rPr>
      </w:pPr>
      <w:r>
        <w:rPr>
          <w:rFonts w:hint="eastAsia" w:ascii="宋体" w:hAnsi="宋体" w:eastAsia="宋体" w:cs="宋体"/>
          <w:color w:val="000000" w:themeColor="text1"/>
          <w:sz w:val="21"/>
          <w:szCs w:val="21"/>
          <w:u w:val="none"/>
          <w14:textFill>
            <w14:solidFill>
              <w14:schemeClr w14:val="tx1"/>
            </w14:solidFill>
          </w14:textFill>
        </w:rPr>
        <w:t>转炉</w:t>
      </w:r>
      <w:r>
        <w:rPr>
          <w:rFonts w:hint="eastAsia" w:ascii="宋体" w:hAnsi="宋体" w:cs="宋体"/>
          <w:color w:val="000000" w:themeColor="text1"/>
          <w:sz w:val="21"/>
          <w:szCs w:val="21"/>
          <w:u w:val="none"/>
          <w:lang w:val="en-US" w:eastAsia="zh-CN"/>
          <w14:textFill>
            <w14:solidFill>
              <w14:schemeClr w14:val="tx1"/>
            </w14:solidFill>
          </w14:textFill>
        </w:rPr>
        <w:t>在</w:t>
      </w:r>
      <w:r>
        <w:rPr>
          <w:rFonts w:hint="eastAsia" w:ascii="宋体" w:hAnsi="宋体" w:eastAsia="宋体" w:cs="宋体"/>
          <w:color w:val="000000" w:themeColor="text1"/>
          <w:sz w:val="21"/>
          <w:szCs w:val="21"/>
          <w:u w:val="none"/>
          <w14:textFill>
            <w14:solidFill>
              <w14:schemeClr w14:val="tx1"/>
            </w14:solidFill>
          </w14:textFill>
        </w:rPr>
        <w:t>摇炉加料、</w:t>
      </w:r>
      <w:r>
        <w:rPr>
          <w:rFonts w:hint="eastAsia" w:ascii="宋体" w:hAnsi="宋体" w:cs="宋体"/>
          <w:color w:val="000000" w:themeColor="text1"/>
          <w:sz w:val="21"/>
          <w:szCs w:val="21"/>
          <w:u w:val="none"/>
          <w:lang w:val="en-US" w:eastAsia="zh-CN"/>
          <w14:textFill>
            <w14:solidFill>
              <w14:schemeClr w14:val="tx1"/>
            </w14:solidFill>
          </w14:textFill>
        </w:rPr>
        <w:t>倒</w:t>
      </w:r>
      <w:r>
        <w:rPr>
          <w:rFonts w:hint="eastAsia" w:ascii="宋体" w:hAnsi="宋体" w:eastAsia="宋体" w:cs="宋体"/>
          <w:color w:val="000000" w:themeColor="text1"/>
          <w:sz w:val="21"/>
          <w:szCs w:val="21"/>
          <w:u w:val="none"/>
          <w14:textFill>
            <w14:solidFill>
              <w14:schemeClr w14:val="tx1"/>
            </w14:solidFill>
          </w14:textFill>
        </w:rPr>
        <w:t>渣、出铜等工况下从炉口及熔体转运区域逸散，通过环集集烟系统捕集的逸散烟气。</w:t>
      </w:r>
    </w:p>
    <w:p>
      <w:pPr>
        <w:pStyle w:val="22"/>
        <w:keepNext w:val="0"/>
        <w:keepLines w:val="0"/>
        <w:pageBreakBefore w:val="0"/>
        <w:widowControl/>
        <w:kinsoku/>
        <w:wordWrap/>
        <w:overflowPunct/>
        <w:topLinePunct w:val="0"/>
        <w:autoSpaceDE/>
        <w:autoSpaceDN/>
        <w:bidi w:val="0"/>
        <w:adjustRightInd w:val="0"/>
        <w:snapToGrid/>
        <w:spacing w:beforeLines="0" w:afterLines="0"/>
        <w:textAlignment w:val="auto"/>
        <w:outlineLvl w:val="9"/>
        <w:rPr>
          <w:rFonts w:hint="default" w:hAnsi="黑体" w:cs="黑体"/>
          <w:bCs/>
          <w:color w:val="000000" w:themeColor="text1"/>
          <w:lang w:val="en-US" w:eastAsia="zh-CN"/>
          <w14:textFill>
            <w14:solidFill>
              <w14:schemeClr w14:val="tx1"/>
            </w14:solidFill>
          </w14:textFill>
        </w:rPr>
      </w:pPr>
      <w:bookmarkStart w:id="34" w:name="_Toc2127"/>
      <w:r>
        <w:rPr>
          <w:rFonts w:hint="eastAsia" w:hAnsi="黑体" w:cs="黑体"/>
          <w:bCs/>
          <w:color w:val="000000" w:themeColor="text1"/>
          <w:lang w:val="en-US" w:eastAsia="zh-CN"/>
          <w14:textFill>
            <w14:solidFill>
              <w14:schemeClr w14:val="tx1"/>
            </w14:solidFill>
          </w14:textFill>
        </w:rPr>
        <w:t>3.3.3转炉吹炼无组织</w:t>
      </w:r>
      <w:bookmarkEnd w:id="29"/>
      <w:r>
        <w:rPr>
          <w:rFonts w:hint="eastAsia" w:hAnsi="黑体" w:cs="黑体"/>
          <w:bCs/>
          <w:color w:val="000000" w:themeColor="text1"/>
          <w:lang w:val="en-US" w:eastAsia="zh-CN"/>
          <w14:textFill>
            <w14:solidFill>
              <w14:schemeClr w14:val="tx1"/>
            </w14:solidFill>
          </w14:textFill>
        </w:rPr>
        <w:t>烟气</w:t>
      </w:r>
      <w:bookmarkEnd w:id="30"/>
      <w:bookmarkEnd w:id="31"/>
      <w:bookmarkEnd w:id="32"/>
      <w:r>
        <w:rPr>
          <w:rFonts w:hint="eastAsia" w:hAnsi="黑体" w:cs="黑体"/>
          <w:bCs/>
          <w:color w:val="000000" w:themeColor="text1"/>
          <w:lang w:val="en-US" w:eastAsia="zh-CN"/>
          <w14:textFill>
            <w14:solidFill>
              <w14:schemeClr w14:val="tx1"/>
            </w14:solidFill>
          </w14:textFill>
        </w:rPr>
        <w:t xml:space="preserve"> unorganized fumes from basic oxygen furnace blowing</w:t>
      </w:r>
      <w:bookmarkEnd w:id="34"/>
    </w:p>
    <w:p>
      <w:pPr>
        <w:keepNext w:val="0"/>
        <w:keepLines w:val="0"/>
        <w:pageBreakBefore w:val="0"/>
        <w:kinsoku/>
        <w:wordWrap/>
        <w:overflowPunct/>
        <w:topLinePunct w:val="0"/>
        <w:autoSpaceDE/>
        <w:autoSpaceDN/>
        <w:bidi w:val="0"/>
        <w:adjustRightInd w:val="0"/>
        <w:snapToGrid/>
        <w:spacing w:line="240" w:lineRule="auto"/>
        <w:ind w:firstLine="420" w:firstLineChars="200"/>
        <w:jc w:val="left"/>
        <w:textAlignment w:val="auto"/>
        <w:rPr>
          <w:rFonts w:hint="eastAsia" w:ascii="宋体" w:hAnsi="宋体" w:eastAsia="宋体" w:cs="宋体"/>
          <w:color w:val="000000" w:themeColor="text1"/>
          <w:sz w:val="21"/>
          <w:szCs w:val="21"/>
          <w:u w:val="none"/>
          <w14:textFill>
            <w14:solidFill>
              <w14:schemeClr w14:val="tx1"/>
            </w14:solidFill>
          </w14:textFill>
        </w:rPr>
      </w:pPr>
      <w:r>
        <w:rPr>
          <w:rFonts w:hint="eastAsia" w:ascii="宋体" w:hAnsi="宋体" w:eastAsia="宋体" w:cs="宋体"/>
          <w:color w:val="000000" w:themeColor="text1"/>
          <w:sz w:val="21"/>
          <w:szCs w:val="21"/>
          <w:u w:val="none"/>
          <w14:textFill>
            <w14:solidFill>
              <w14:schemeClr w14:val="tx1"/>
            </w14:solidFill>
          </w14:textFill>
        </w:rPr>
        <w:t>转炉</w:t>
      </w:r>
      <w:r>
        <w:rPr>
          <w:rFonts w:hint="eastAsia" w:ascii="宋体" w:hAnsi="宋体" w:cs="宋体"/>
          <w:color w:val="000000" w:themeColor="text1"/>
          <w:sz w:val="21"/>
          <w:szCs w:val="21"/>
          <w:u w:val="none"/>
          <w:lang w:val="en-US" w:eastAsia="zh-CN"/>
          <w14:textFill>
            <w14:solidFill>
              <w14:schemeClr w14:val="tx1"/>
            </w14:solidFill>
          </w14:textFill>
        </w:rPr>
        <w:t>热态物料吊运及进料过程中</w:t>
      </w:r>
      <w:r>
        <w:rPr>
          <w:rFonts w:hint="eastAsia" w:ascii="宋体" w:hAnsi="宋体" w:eastAsia="宋体" w:cs="宋体"/>
          <w:color w:val="000000" w:themeColor="text1"/>
          <w:sz w:val="21"/>
          <w:szCs w:val="21"/>
          <w:u w:val="none"/>
          <w14:textFill>
            <w14:solidFill>
              <w14:schemeClr w14:val="tx1"/>
            </w14:solidFill>
          </w14:textFill>
        </w:rPr>
        <w:t>，未被</w:t>
      </w:r>
      <w:r>
        <w:rPr>
          <w:rFonts w:hint="eastAsia" w:ascii="宋体" w:hAnsi="宋体" w:cs="宋体"/>
          <w:color w:val="000000" w:themeColor="text1"/>
          <w:sz w:val="21"/>
          <w:szCs w:val="21"/>
          <w:u w:val="none"/>
          <w:lang w:val="en-US" w:eastAsia="zh-CN"/>
          <w14:textFill>
            <w14:solidFill>
              <w14:schemeClr w14:val="tx1"/>
            </w14:solidFill>
          </w14:textFill>
        </w:rPr>
        <w:t>工艺</w:t>
      </w:r>
      <w:r>
        <w:rPr>
          <w:rFonts w:hint="eastAsia" w:ascii="宋体" w:hAnsi="宋体" w:eastAsia="宋体" w:cs="宋体"/>
          <w:color w:val="000000" w:themeColor="text1"/>
          <w:sz w:val="21"/>
          <w:szCs w:val="21"/>
          <w:u w:val="none"/>
          <w14:textFill>
            <w14:solidFill>
              <w14:schemeClr w14:val="tx1"/>
            </w14:solidFill>
          </w14:textFill>
        </w:rPr>
        <w:t>烟罩、环集集烟系统捕集，自由扩散于厂房内的逸散烟气。</w:t>
      </w:r>
    </w:p>
    <w:p>
      <w:pPr>
        <w:pStyle w:val="22"/>
        <w:keepNext w:val="0"/>
        <w:keepLines w:val="0"/>
        <w:pageBreakBefore w:val="0"/>
        <w:widowControl/>
        <w:kinsoku/>
        <w:wordWrap/>
        <w:overflowPunct/>
        <w:topLinePunct w:val="0"/>
        <w:autoSpaceDE/>
        <w:autoSpaceDN/>
        <w:bidi w:val="0"/>
        <w:adjustRightInd w:val="0"/>
        <w:snapToGrid/>
        <w:spacing w:beforeLines="0" w:afterLines="0"/>
        <w:ind w:firstLine="0" w:firstLineChars="0"/>
        <w:textAlignment w:val="auto"/>
        <w:outlineLvl w:val="9"/>
        <w:rPr>
          <w:rFonts w:hint="default" w:hAnsi="黑体" w:cs="黑体"/>
          <w:bCs/>
          <w:color w:val="000000" w:themeColor="text1"/>
          <w:lang w:val="en-US" w:eastAsia="zh-CN"/>
          <w14:textFill>
            <w14:solidFill>
              <w14:schemeClr w14:val="tx1"/>
            </w14:solidFill>
          </w14:textFill>
        </w:rPr>
      </w:pPr>
      <w:bookmarkStart w:id="35" w:name="_Toc10965"/>
      <w:bookmarkStart w:id="36" w:name="_Toc27971"/>
      <w:bookmarkStart w:id="37" w:name="_Toc8800"/>
      <w:bookmarkStart w:id="38" w:name="_Toc3803"/>
      <w:r>
        <w:rPr>
          <w:rFonts w:hint="eastAsia" w:hAnsi="黑体" w:cs="黑体"/>
          <w:bCs/>
          <w:color w:val="000000" w:themeColor="text1"/>
          <w:lang w:val="en-US" w:eastAsia="zh-CN"/>
          <w14:textFill>
            <w14:solidFill>
              <w14:schemeClr w14:val="tx1"/>
            </w14:solidFill>
          </w14:textFill>
        </w:rPr>
        <w:t>3.3.4 可动烟罩 movable hood of converter</w:t>
      </w:r>
      <w:bookmarkEnd w:id="35"/>
    </w:p>
    <w:p>
      <w:pPr>
        <w:keepNext w:val="0"/>
        <w:keepLines w:val="0"/>
        <w:pageBreakBefore w:val="0"/>
        <w:kinsoku/>
        <w:wordWrap/>
        <w:overflowPunct/>
        <w:topLinePunct w:val="0"/>
        <w:autoSpaceDE/>
        <w:autoSpaceDN/>
        <w:bidi w:val="0"/>
        <w:adjustRightInd w:val="0"/>
        <w:snapToGrid/>
        <w:spacing w:line="240" w:lineRule="auto"/>
        <w:ind w:left="216" w:leftChars="103" w:firstLine="420" w:firstLineChars="200"/>
        <w:jc w:val="left"/>
        <w:textAlignment w:val="auto"/>
        <w:rPr>
          <w:rFonts w:hint="eastAsia" w:ascii="宋体" w:hAnsi="宋体" w:eastAsia="宋体" w:cs="宋体"/>
          <w:color w:val="000000" w:themeColor="text1"/>
          <w:sz w:val="21"/>
          <w:szCs w:val="21"/>
          <w:u w:val="none"/>
          <w14:textFill>
            <w14:solidFill>
              <w14:schemeClr w14:val="tx1"/>
            </w14:solidFill>
          </w14:textFill>
        </w:rPr>
      </w:pPr>
      <w:r>
        <w:rPr>
          <w:rFonts w:hint="eastAsia" w:ascii="宋体" w:hAnsi="宋体" w:eastAsia="宋体" w:cs="宋体"/>
          <w:color w:val="000000" w:themeColor="text1"/>
          <w:sz w:val="21"/>
          <w:szCs w:val="21"/>
          <w:u w:val="none"/>
          <w14:textFill>
            <w14:solidFill>
              <w14:schemeClr w14:val="tx1"/>
            </w14:solidFill>
          </w14:textFill>
        </w:rPr>
        <w:t>配备驱动机构，可升降移动</w:t>
      </w:r>
      <w:r>
        <w:rPr>
          <w:rFonts w:hint="eastAsia" w:ascii="宋体" w:hAnsi="宋体" w:cs="宋体"/>
          <w:color w:val="000000" w:themeColor="text1"/>
          <w:sz w:val="21"/>
          <w:szCs w:val="21"/>
          <w:u w:val="none"/>
          <w:lang w:eastAsia="zh-CN"/>
          <w14:textFill>
            <w14:solidFill>
              <w14:schemeClr w14:val="tx1"/>
            </w14:solidFill>
          </w14:textFill>
        </w:rPr>
        <w:t>。</w:t>
      </w:r>
      <w:r>
        <w:rPr>
          <w:rFonts w:hint="eastAsia" w:ascii="宋体" w:hAnsi="宋体" w:eastAsia="宋体" w:cs="宋体"/>
          <w:color w:val="000000" w:themeColor="text1"/>
          <w:sz w:val="21"/>
          <w:szCs w:val="21"/>
          <w:u w:val="none"/>
          <w14:textFill>
            <w14:solidFill>
              <w14:schemeClr w14:val="tx1"/>
            </w14:solidFill>
          </w14:textFill>
        </w:rPr>
        <w:t>吹炼时封闭炉口，摇炉加料、倒渣、出铜时移开，</w:t>
      </w:r>
      <w:r>
        <w:rPr>
          <w:rFonts w:hint="eastAsia" w:ascii="宋体" w:hAnsi="宋体" w:cs="宋体"/>
          <w:color w:val="000000" w:themeColor="text1"/>
          <w:sz w:val="21"/>
          <w:szCs w:val="21"/>
          <w:u w:val="none"/>
          <w:lang w:val="en-US" w:eastAsia="zh-CN"/>
          <w14:textFill>
            <w14:solidFill>
              <w14:schemeClr w14:val="tx1"/>
            </w14:solidFill>
          </w14:textFill>
        </w:rPr>
        <w:t>配合固定烟罩形成炉口包覆空间，</w:t>
      </w:r>
      <w:r>
        <w:rPr>
          <w:rFonts w:hint="eastAsia" w:ascii="宋体" w:hAnsi="宋体" w:eastAsia="宋体" w:cs="宋体"/>
          <w:color w:val="000000" w:themeColor="text1"/>
          <w:sz w:val="21"/>
          <w:szCs w:val="21"/>
          <w:u w:val="none"/>
          <w14:textFill>
            <w14:solidFill>
              <w14:schemeClr w14:val="tx1"/>
            </w14:solidFill>
          </w14:textFill>
        </w:rPr>
        <w:t>协同收集转炉工艺烟气的烟罩。</w:t>
      </w:r>
    </w:p>
    <w:p>
      <w:pPr>
        <w:pStyle w:val="22"/>
        <w:keepNext w:val="0"/>
        <w:keepLines w:val="0"/>
        <w:pageBreakBefore w:val="0"/>
        <w:widowControl/>
        <w:kinsoku/>
        <w:wordWrap/>
        <w:overflowPunct/>
        <w:topLinePunct w:val="0"/>
        <w:autoSpaceDE/>
        <w:autoSpaceDN/>
        <w:bidi w:val="0"/>
        <w:adjustRightInd w:val="0"/>
        <w:snapToGrid/>
        <w:spacing w:beforeLines="0" w:afterLines="0"/>
        <w:ind w:left="0" w:leftChars="0" w:firstLine="0" w:firstLineChars="0"/>
        <w:textAlignment w:val="auto"/>
        <w:outlineLvl w:val="9"/>
        <w:rPr>
          <w:rFonts w:hint="eastAsia" w:hAnsi="黑体" w:cs="黑体"/>
          <w:bCs/>
          <w:color w:val="000000" w:themeColor="text1"/>
          <w:lang w:val="en-US" w:eastAsia="zh-CN"/>
          <w14:textFill>
            <w14:solidFill>
              <w14:schemeClr w14:val="tx1"/>
            </w14:solidFill>
          </w14:textFill>
        </w:rPr>
      </w:pPr>
      <w:bookmarkStart w:id="39" w:name="_Toc1203"/>
      <w:r>
        <w:rPr>
          <w:rFonts w:hint="eastAsia" w:hAnsi="黑体" w:cs="黑体"/>
          <w:bCs/>
          <w:color w:val="000000" w:themeColor="text1"/>
          <w:lang w:val="en-US" w:eastAsia="zh-CN"/>
          <w14:textFill>
            <w14:solidFill>
              <w14:schemeClr w14:val="tx1"/>
            </w14:solidFill>
          </w14:textFill>
        </w:rPr>
        <w:t>3.3.5 弹簧烟罩 elastic hood of converter</w:t>
      </w:r>
      <w:bookmarkEnd w:id="39"/>
    </w:p>
    <w:p>
      <w:pPr>
        <w:keepNext w:val="0"/>
        <w:keepLines w:val="0"/>
        <w:pageBreakBefore w:val="0"/>
        <w:kinsoku/>
        <w:wordWrap/>
        <w:overflowPunct/>
        <w:topLinePunct w:val="0"/>
        <w:autoSpaceDE/>
        <w:autoSpaceDN/>
        <w:bidi w:val="0"/>
        <w:adjustRightInd w:val="0"/>
        <w:snapToGrid/>
        <w:spacing w:line="240" w:lineRule="auto"/>
        <w:ind w:left="218" w:leftChars="104" w:firstLine="420" w:firstLineChars="200"/>
        <w:jc w:val="left"/>
        <w:textAlignment w:val="auto"/>
        <w:rPr>
          <w:rFonts w:hint="eastAsia" w:ascii="宋体" w:hAnsi="宋体" w:eastAsia="宋体" w:cs="宋体"/>
          <w:color w:val="000000" w:themeColor="text1"/>
          <w:sz w:val="21"/>
          <w:szCs w:val="21"/>
          <w:u w:val="none"/>
          <w14:textFill>
            <w14:solidFill>
              <w14:schemeClr w14:val="tx1"/>
            </w14:solidFill>
          </w14:textFill>
        </w:rPr>
      </w:pPr>
      <w:r>
        <w:rPr>
          <w:rFonts w:hint="eastAsia" w:ascii="宋体" w:hAnsi="宋体" w:eastAsia="宋体" w:cs="宋体"/>
          <w:color w:val="000000" w:themeColor="text1"/>
          <w:sz w:val="21"/>
          <w:szCs w:val="21"/>
          <w:u w:val="none"/>
          <w14:textFill>
            <w14:solidFill>
              <w14:schemeClr w14:val="tx1"/>
            </w14:solidFill>
          </w14:textFill>
        </w:rPr>
        <w:t>与转炉固定烟罩相连，采用</w:t>
      </w:r>
      <w:r>
        <w:rPr>
          <w:rFonts w:hint="eastAsia" w:ascii="宋体" w:hAnsi="宋体" w:cs="宋体"/>
          <w:color w:val="000000" w:themeColor="text1"/>
          <w:sz w:val="21"/>
          <w:szCs w:val="21"/>
          <w:u w:val="none"/>
          <w:lang w:val="en-US" w:eastAsia="zh-CN"/>
          <w14:textFill>
            <w14:solidFill>
              <w14:schemeClr w14:val="tx1"/>
            </w14:solidFill>
          </w14:textFill>
        </w:rPr>
        <w:t>平衡</w:t>
      </w:r>
      <w:r>
        <w:rPr>
          <w:rFonts w:hint="eastAsia" w:ascii="宋体" w:hAnsi="宋体" w:eastAsia="宋体" w:cs="宋体"/>
          <w:color w:val="000000" w:themeColor="text1"/>
          <w:sz w:val="21"/>
          <w:szCs w:val="21"/>
          <w:u w:val="none"/>
          <w14:textFill>
            <w14:solidFill>
              <w14:schemeClr w14:val="tx1"/>
            </w14:solidFill>
          </w14:textFill>
        </w:rPr>
        <w:t>配重作为吊挂缓冲机构</w:t>
      </w:r>
      <w:r>
        <w:rPr>
          <w:rFonts w:hint="eastAsia" w:ascii="宋体" w:hAnsi="宋体" w:cs="宋体"/>
          <w:color w:val="000000" w:themeColor="text1"/>
          <w:sz w:val="21"/>
          <w:szCs w:val="21"/>
          <w:u w:val="none"/>
          <w:lang w:val="en-US" w:eastAsia="zh-CN"/>
          <w14:textFill>
            <w14:solidFill>
              <w14:schemeClr w14:val="tx1"/>
            </w14:solidFill>
          </w14:textFill>
        </w:rPr>
        <w:t>,</w:t>
      </w:r>
      <w:r>
        <w:rPr>
          <w:rFonts w:hint="eastAsia" w:ascii="宋体" w:hAnsi="宋体" w:eastAsia="宋体" w:cs="宋体"/>
          <w:color w:val="000000" w:themeColor="text1"/>
          <w:sz w:val="21"/>
          <w:szCs w:val="21"/>
          <w:u w:val="none"/>
          <w14:textFill>
            <w14:solidFill>
              <w14:schemeClr w14:val="tx1"/>
            </w14:solidFill>
          </w14:textFill>
        </w:rPr>
        <w:t>行车进料吊钩下压时烟罩向下退让，进料完成后依靠配重自重自动回弹复位密闭集烟区域，用于收集转炉环集烟气的</w:t>
      </w:r>
      <w:r>
        <w:rPr>
          <w:rFonts w:hint="eastAsia" w:ascii="宋体" w:hAnsi="宋体" w:cs="宋体"/>
          <w:color w:val="000000" w:themeColor="text1"/>
          <w:sz w:val="21"/>
          <w:szCs w:val="21"/>
          <w:u w:val="none"/>
          <w:lang w:val="en-US" w:eastAsia="zh-CN"/>
          <w14:textFill>
            <w14:solidFill>
              <w14:schemeClr w14:val="tx1"/>
            </w14:solidFill>
          </w14:textFill>
        </w:rPr>
        <w:t>装置</w:t>
      </w:r>
      <w:r>
        <w:rPr>
          <w:rFonts w:hint="eastAsia" w:ascii="宋体" w:hAnsi="宋体" w:eastAsia="宋体" w:cs="宋体"/>
          <w:color w:val="000000" w:themeColor="text1"/>
          <w:sz w:val="21"/>
          <w:szCs w:val="21"/>
          <w:u w:val="none"/>
          <w14:textFill>
            <w14:solidFill>
              <w14:schemeClr w14:val="tx1"/>
            </w14:solidFill>
          </w14:textFill>
        </w:rPr>
        <w:t>。</w:t>
      </w:r>
    </w:p>
    <w:p>
      <w:pPr>
        <w:pStyle w:val="22"/>
        <w:keepNext w:val="0"/>
        <w:keepLines w:val="0"/>
        <w:pageBreakBefore w:val="0"/>
        <w:widowControl/>
        <w:kinsoku/>
        <w:wordWrap/>
        <w:overflowPunct/>
        <w:topLinePunct w:val="0"/>
        <w:autoSpaceDE/>
        <w:autoSpaceDN/>
        <w:bidi w:val="0"/>
        <w:adjustRightInd w:val="0"/>
        <w:snapToGrid/>
        <w:spacing w:beforeLines="0" w:afterLines="0"/>
        <w:ind w:left="0" w:leftChars="0" w:firstLine="0" w:firstLineChars="0"/>
        <w:textAlignment w:val="auto"/>
        <w:outlineLvl w:val="9"/>
        <w:rPr>
          <w:rFonts w:hint="default" w:hAnsi="黑体" w:cs="黑体"/>
          <w:bCs/>
          <w:color w:val="000000" w:themeColor="text1"/>
          <w14:textFill>
            <w14:solidFill>
              <w14:schemeClr w14:val="tx1"/>
            </w14:solidFill>
          </w14:textFill>
        </w:rPr>
      </w:pPr>
      <w:bookmarkStart w:id="40" w:name="_Toc5949"/>
      <w:r>
        <w:rPr>
          <w:rFonts w:hint="eastAsia" w:hAnsi="黑体" w:cs="黑体"/>
          <w:bCs/>
          <w:color w:val="000000" w:themeColor="text1"/>
          <w:lang w:val="en-US" w:eastAsia="zh-CN"/>
          <w14:textFill>
            <w14:solidFill>
              <w14:schemeClr w14:val="tx1"/>
            </w14:solidFill>
          </w14:textFill>
        </w:rPr>
        <w:t xml:space="preserve">3.3.6 </w:t>
      </w:r>
      <w:r>
        <w:rPr>
          <w:rFonts w:hint="eastAsia" w:hAnsi="黑体" w:cs="黑体"/>
          <w:bCs/>
          <w:strike w:val="0"/>
          <w:color w:val="000000" w:themeColor="text1"/>
          <w:lang w:val="en-US" w:eastAsia="zh-CN"/>
          <w14:textFill>
            <w14:solidFill>
              <w14:schemeClr w14:val="tx1"/>
            </w14:solidFill>
          </w14:textFill>
        </w:rPr>
        <w:t>对开</w:t>
      </w:r>
      <w:r>
        <w:rPr>
          <w:rFonts w:hAnsi="黑体" w:cs="黑体"/>
          <w:bCs/>
          <w:color w:val="000000" w:themeColor="text1"/>
          <w14:textFill>
            <w14:solidFill>
              <w14:schemeClr w14:val="tx1"/>
            </w14:solidFill>
          </w14:textFill>
        </w:rPr>
        <w:t>式烟罩</w:t>
      </w:r>
      <w:bookmarkEnd w:id="36"/>
      <w:bookmarkEnd w:id="37"/>
      <w:bookmarkEnd w:id="38"/>
      <w:r>
        <w:rPr>
          <w:rFonts w:hint="eastAsia" w:hAnsi="黑体" w:cs="黑体"/>
          <w:bCs/>
          <w:color w:val="000000" w:themeColor="text1"/>
          <w14:textFill>
            <w14:solidFill>
              <w14:schemeClr w14:val="tx1"/>
            </w14:solidFill>
          </w14:textFill>
        </w:rPr>
        <w:t xml:space="preserve"> </w:t>
      </w:r>
      <w:r>
        <w:rPr>
          <w:rFonts w:hint="eastAsia" w:ascii="黑体" w:hAnsi="黑体" w:eastAsia="黑体" w:cs="黑体"/>
          <w:color w:val="000000" w:themeColor="text1"/>
          <w:kern w:val="2"/>
          <w:sz w:val="21"/>
          <w:szCs w:val="21"/>
          <w:u w:val="none"/>
          <w:lang w:val="en-US" w:eastAsia="zh-CN" w:bidi="ar-SA"/>
          <w14:textFill>
            <w14:solidFill>
              <w14:schemeClr w14:val="tx1"/>
            </w14:solidFill>
          </w14:textFill>
        </w:rPr>
        <w:t>enclosed range hood</w:t>
      </w:r>
      <w:bookmarkEnd w:id="40"/>
    </w:p>
    <w:p>
      <w:pPr>
        <w:keepNext w:val="0"/>
        <w:keepLines w:val="0"/>
        <w:pageBreakBefore w:val="0"/>
        <w:kinsoku/>
        <w:wordWrap/>
        <w:overflowPunct/>
        <w:topLinePunct w:val="0"/>
        <w:autoSpaceDE/>
        <w:autoSpaceDN/>
        <w:bidi w:val="0"/>
        <w:adjustRightInd w:val="0"/>
        <w:snapToGrid/>
        <w:spacing w:line="240" w:lineRule="auto"/>
        <w:ind w:left="218" w:leftChars="104" w:firstLine="420" w:firstLineChars="200"/>
        <w:jc w:val="left"/>
        <w:textAlignment w:val="auto"/>
        <w:rPr>
          <w:rFonts w:hint="eastAsia" w:ascii="宋体" w:hAnsi="宋体" w:eastAsia="宋体" w:cs="宋体"/>
          <w:color w:val="000000" w:themeColor="text1"/>
          <w:sz w:val="21"/>
          <w:szCs w:val="21"/>
          <w:u w:val="none"/>
          <w14:textFill>
            <w14:solidFill>
              <w14:schemeClr w14:val="tx1"/>
            </w14:solidFill>
          </w14:textFill>
        </w:rPr>
      </w:pPr>
      <w:bookmarkStart w:id="41" w:name="_Toc22609"/>
      <w:bookmarkStart w:id="42" w:name="_Toc11193"/>
      <w:bookmarkStart w:id="43" w:name="_Toc30719"/>
      <w:r>
        <w:rPr>
          <w:rFonts w:hint="eastAsia" w:ascii="宋体" w:hAnsi="宋体" w:eastAsia="宋体" w:cs="宋体"/>
          <w:color w:val="000000" w:themeColor="text1"/>
          <w:sz w:val="21"/>
          <w:szCs w:val="21"/>
          <w:u w:val="none"/>
          <w14:textFill>
            <w14:solidFill>
              <w14:schemeClr w14:val="tx1"/>
            </w14:solidFill>
          </w14:textFill>
        </w:rPr>
        <w:t>由左右对称罩体构成，通过驱动机构</w:t>
      </w:r>
      <w:r>
        <w:rPr>
          <w:rFonts w:hint="eastAsia" w:ascii="宋体" w:hAnsi="宋体" w:cs="宋体"/>
          <w:color w:val="000000" w:themeColor="text1"/>
          <w:sz w:val="21"/>
          <w:szCs w:val="21"/>
          <w:u w:val="none"/>
          <w:lang w:val="en-US" w:eastAsia="zh-CN"/>
          <w14:textFill>
            <w14:solidFill>
              <w14:schemeClr w14:val="tx1"/>
            </w14:solidFill>
          </w14:textFill>
        </w:rPr>
        <w:t>实现</w:t>
      </w:r>
      <w:r>
        <w:rPr>
          <w:rFonts w:hint="eastAsia" w:ascii="宋体" w:hAnsi="宋体" w:eastAsia="宋体" w:cs="宋体"/>
          <w:color w:val="000000" w:themeColor="text1"/>
          <w:sz w:val="21"/>
          <w:szCs w:val="21"/>
          <w:u w:val="none"/>
          <w14:textFill>
            <w14:solidFill>
              <w14:schemeClr w14:val="tx1"/>
            </w14:solidFill>
          </w14:textFill>
        </w:rPr>
        <w:t>水平</w:t>
      </w:r>
      <w:r>
        <w:rPr>
          <w:rFonts w:hint="eastAsia" w:ascii="宋体" w:hAnsi="宋体" w:cs="宋体"/>
          <w:color w:val="000000" w:themeColor="text1"/>
          <w:sz w:val="21"/>
          <w:szCs w:val="21"/>
          <w:u w:val="none"/>
          <w:lang w:val="en-US" w:eastAsia="zh-CN"/>
          <w14:textFill>
            <w14:solidFill>
              <w14:schemeClr w14:val="tx1"/>
            </w14:solidFill>
          </w14:textFill>
        </w:rPr>
        <w:t>开闭，用于</w:t>
      </w:r>
      <w:r>
        <w:rPr>
          <w:rFonts w:hint="eastAsia" w:ascii="宋体" w:hAnsi="宋体" w:eastAsia="宋体" w:cs="宋体"/>
          <w:color w:val="000000" w:themeColor="text1"/>
          <w:sz w:val="21"/>
          <w:szCs w:val="21"/>
          <w:u w:val="none"/>
          <w14:textFill>
            <w14:solidFill>
              <w14:schemeClr w14:val="tx1"/>
            </w14:solidFill>
          </w14:textFill>
        </w:rPr>
        <w:t>收集转炉</w:t>
      </w:r>
      <w:r>
        <w:rPr>
          <w:rFonts w:hint="eastAsia" w:ascii="宋体" w:hAnsi="宋体" w:cs="宋体"/>
          <w:color w:val="000000" w:themeColor="text1"/>
          <w:sz w:val="21"/>
          <w:szCs w:val="21"/>
          <w:u w:val="none"/>
          <w:lang w:val="en-US" w:eastAsia="zh-CN"/>
          <w14:textFill>
            <w14:solidFill>
              <w14:schemeClr w14:val="tx1"/>
            </w14:solidFill>
          </w14:textFill>
        </w:rPr>
        <w:t>摇炉、倒渣、出铜时弹簧烟罩、固定烟罩少量外逸的环集烟气的</w:t>
      </w:r>
      <w:r>
        <w:rPr>
          <w:rFonts w:hint="eastAsia" w:ascii="宋体" w:hAnsi="宋体" w:eastAsia="宋体" w:cs="宋体"/>
          <w:color w:val="000000" w:themeColor="text1"/>
          <w:sz w:val="21"/>
          <w:szCs w:val="21"/>
          <w:u w:val="none"/>
          <w14:textFill>
            <w14:solidFill>
              <w14:schemeClr w14:val="tx1"/>
            </w14:solidFill>
          </w14:textFill>
        </w:rPr>
        <w:t>集烟设备。</w:t>
      </w:r>
    </w:p>
    <w:bookmarkEnd w:id="41"/>
    <w:bookmarkEnd w:id="42"/>
    <w:bookmarkEnd w:id="43"/>
    <w:p>
      <w:pPr>
        <w:pStyle w:val="22"/>
        <w:keepNext w:val="0"/>
        <w:keepLines w:val="0"/>
        <w:pageBreakBefore w:val="0"/>
        <w:widowControl/>
        <w:kinsoku/>
        <w:wordWrap/>
        <w:overflowPunct/>
        <w:topLinePunct w:val="0"/>
        <w:autoSpaceDE/>
        <w:autoSpaceDN/>
        <w:bidi w:val="0"/>
        <w:adjustRightInd w:val="0"/>
        <w:snapToGrid/>
        <w:spacing w:beforeLines="0" w:afterLines="0"/>
        <w:ind w:left="0" w:leftChars="0" w:firstLine="0" w:firstLineChars="0"/>
        <w:textAlignment w:val="auto"/>
        <w:outlineLvl w:val="9"/>
        <w:rPr>
          <w:rFonts w:hint="default" w:hAnsi="黑体" w:cs="黑体"/>
          <w:bCs/>
          <w:color w:val="000000" w:themeColor="text1"/>
          <w14:textFill>
            <w14:solidFill>
              <w14:schemeClr w14:val="tx1"/>
            </w14:solidFill>
          </w14:textFill>
        </w:rPr>
      </w:pPr>
      <w:bookmarkStart w:id="44" w:name="_Toc13625"/>
      <w:bookmarkStart w:id="45" w:name="_Toc7966"/>
      <w:bookmarkStart w:id="46" w:name="_Toc4574"/>
      <w:r>
        <w:rPr>
          <w:rFonts w:hint="eastAsia" w:hAnsi="黑体" w:cs="黑体"/>
          <w:bCs/>
          <w:color w:val="000000" w:themeColor="text1"/>
          <w:lang w:val="en-US" w:eastAsia="zh-CN"/>
          <w14:textFill>
            <w14:solidFill>
              <w14:schemeClr w14:val="tx1"/>
            </w14:solidFill>
          </w14:textFill>
        </w:rPr>
        <w:t xml:space="preserve">3.3.7 </w:t>
      </w:r>
      <w:r>
        <w:rPr>
          <w:rFonts w:hAnsi="黑体" w:cs="黑体"/>
          <w:bCs/>
          <w:color w:val="000000" w:themeColor="text1"/>
          <w14:textFill>
            <w14:solidFill>
              <w14:schemeClr w14:val="tx1"/>
            </w14:solidFill>
          </w14:textFill>
        </w:rPr>
        <w:t>封闭</w:t>
      </w:r>
      <w:r>
        <w:rPr>
          <w:rFonts w:hint="eastAsia" w:hAnsi="黑体" w:cs="黑体"/>
          <w:bCs/>
          <w:color w:val="000000" w:themeColor="text1"/>
          <w:lang w:val="en-US" w:eastAsia="zh-CN"/>
          <w14:textFill>
            <w14:solidFill>
              <w14:schemeClr w14:val="tx1"/>
            </w14:solidFill>
          </w14:textFill>
        </w:rPr>
        <w:t>式</w:t>
      </w:r>
      <w:r>
        <w:rPr>
          <w:rFonts w:hAnsi="黑体" w:cs="黑体"/>
          <w:bCs/>
          <w:color w:val="000000" w:themeColor="text1"/>
          <w14:textFill>
            <w14:solidFill>
              <w14:schemeClr w14:val="tx1"/>
            </w14:solidFill>
          </w14:textFill>
        </w:rPr>
        <w:t>主厂房</w:t>
      </w:r>
      <w:bookmarkEnd w:id="44"/>
      <w:bookmarkEnd w:id="45"/>
      <w:r>
        <w:rPr>
          <w:rFonts w:hint="eastAsia" w:hAnsi="黑体" w:cs="黑体"/>
          <w:bCs/>
          <w:color w:val="000000" w:themeColor="text1"/>
          <w14:textFill>
            <w14:solidFill>
              <w14:schemeClr w14:val="tx1"/>
            </w14:solidFill>
          </w14:textFill>
        </w:rPr>
        <w:t xml:space="preserve"> </w:t>
      </w:r>
      <w:r>
        <w:rPr>
          <w:rFonts w:hint="eastAsia" w:ascii="黑体" w:hAnsi="黑体" w:eastAsia="黑体" w:cs="黑体"/>
          <w:color w:val="000000" w:themeColor="text1"/>
          <w:kern w:val="2"/>
          <w:sz w:val="21"/>
          <w:szCs w:val="21"/>
          <w:u w:val="none"/>
          <w:lang w:val="en-US" w:eastAsia="zh-CN" w:bidi="ar-SA"/>
          <w14:textFill>
            <w14:solidFill>
              <w14:schemeClr w14:val="tx1"/>
            </w14:solidFill>
          </w14:textFill>
        </w:rPr>
        <w:t>enclosed main factory building</w:t>
      </w:r>
      <w:bookmarkEnd w:id="46"/>
    </w:p>
    <w:p>
      <w:pPr>
        <w:pStyle w:val="7"/>
        <w:keepNext w:val="0"/>
        <w:keepLines w:val="0"/>
        <w:pageBreakBefore w:val="0"/>
        <w:widowControl w:val="0"/>
        <w:kinsoku/>
        <w:wordWrap/>
        <w:overflowPunct/>
        <w:topLinePunct w:val="0"/>
        <w:autoSpaceDE/>
        <w:autoSpaceDN/>
        <w:bidi w:val="0"/>
        <w:adjustRightInd/>
        <w:snapToGrid/>
        <w:spacing w:after="313" w:afterLines="100" w:line="240" w:lineRule="auto"/>
        <w:ind w:firstLine="420" w:firstLineChars="200"/>
        <w:textAlignment w:val="auto"/>
      </w:pPr>
      <w:r>
        <w:t>除逃生应急通道</w:t>
      </w:r>
      <w:r>
        <w:rPr>
          <w:rFonts w:hint="eastAsia"/>
          <w:lang w:val="en-US" w:eastAsia="zh-CN"/>
        </w:rPr>
        <w:t>及消防通道</w:t>
      </w:r>
      <w:r>
        <w:t>外，转炉吹炼熔体吊运区</w:t>
      </w:r>
      <w:r>
        <w:rPr>
          <w:rFonts w:hint="eastAsia"/>
        </w:rPr>
        <w:t>范围内</w:t>
      </w:r>
      <w:r>
        <w:t>厂房</w:t>
      </w:r>
      <w:r>
        <w:rPr>
          <w:rFonts w:hint="eastAsia"/>
        </w:rPr>
        <w:t>的</w:t>
      </w:r>
      <w:r>
        <w:t>屋面、门窗、气窗等敞开口位进行整体封闭</w:t>
      </w:r>
      <w:r>
        <w:rPr>
          <w:rFonts w:hint="eastAsia"/>
        </w:rPr>
        <w:t>的吹炼主厂房</w:t>
      </w:r>
      <w:r>
        <w:t>。</w:t>
      </w:r>
    </w:p>
    <w:p>
      <w:pPr>
        <w:pStyle w:val="8"/>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textAlignment w:val="auto"/>
        <w:outlineLvl w:val="1"/>
        <w:rPr>
          <w:rFonts w:hint="default"/>
          <w:b w:val="0"/>
          <w:bCs w:val="0"/>
          <w:lang w:val="en-US" w:eastAsia="zh-CN"/>
        </w:rPr>
      </w:pPr>
      <w:bookmarkStart w:id="47" w:name="_Toc15191"/>
      <w:bookmarkStart w:id="48" w:name="_Toc30868"/>
      <w:bookmarkStart w:id="49" w:name="_Toc23114"/>
      <w:bookmarkStart w:id="50" w:name="_Toc21739"/>
      <w:bookmarkStart w:id="51" w:name="_Toc4904"/>
      <w:r>
        <w:rPr>
          <w:rFonts w:hint="eastAsia"/>
          <w:b w:val="0"/>
          <w:bCs w:val="0"/>
          <w:lang w:val="en-US" w:eastAsia="zh-CN"/>
        </w:rPr>
        <w:t>3.4  总体要求</w:t>
      </w:r>
      <w:bookmarkEnd w:id="47"/>
      <w:bookmarkEnd w:id="48"/>
      <w:bookmarkEnd w:id="49"/>
      <w:bookmarkEnd w:id="50"/>
      <w:bookmarkEnd w:id="51"/>
    </w:p>
    <w:p>
      <w:pPr>
        <w:spacing w:line="240" w:lineRule="auto"/>
        <w:jc w:val="left"/>
        <w:rPr>
          <w:rFonts w:hint="eastAsia" w:ascii="宋体" w:hAnsi="宋体" w:eastAsia="宋体" w:cs="宋体"/>
          <w:color w:val="000000" w:themeColor="text1"/>
          <w:lang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 xml:space="preserve">3.4.1 </w:t>
      </w:r>
      <w:r>
        <w:rPr>
          <w:rFonts w:hint="eastAsia" w:ascii="宋体" w:hAnsi="宋体" w:cs="宋体"/>
          <w:color w:val="000000" w:themeColor="text1"/>
          <w14:textFill>
            <w14:solidFill>
              <w14:schemeClr w14:val="tx1"/>
            </w14:solidFill>
          </w14:textFill>
        </w:rPr>
        <w:t>所有转炉吹炼工序应秉持“密闭控源、负压集气、有效治理、</w:t>
      </w:r>
      <w:r>
        <w:rPr>
          <w:rFonts w:hint="eastAsia" w:ascii="宋体" w:hAnsi="宋体" w:cs="宋体"/>
          <w:color w:val="000000" w:themeColor="text1"/>
          <w:lang w:val="en-US" w:eastAsia="zh-CN"/>
          <w14:textFill>
            <w14:solidFill>
              <w14:schemeClr w14:val="tx1"/>
            </w14:solidFill>
          </w14:textFill>
        </w:rPr>
        <w:t>安全合规、</w:t>
      </w:r>
      <w:r>
        <w:rPr>
          <w:rFonts w:hint="eastAsia" w:ascii="宋体" w:hAnsi="宋体" w:cs="宋体"/>
          <w:color w:val="000000" w:themeColor="text1"/>
          <w14:textFill>
            <w14:solidFill>
              <w14:schemeClr w14:val="tx1"/>
            </w14:solidFill>
          </w14:textFill>
        </w:rPr>
        <w:t>实时监控、规范运维”的环保升级改造总体原则，</w:t>
      </w:r>
      <w:r>
        <w:rPr>
          <w:rFonts w:hint="eastAsia" w:ascii="宋体" w:hAnsi="宋体" w:cs="宋体"/>
          <w:color w:val="000000" w:themeColor="text1"/>
          <w:lang w:val="en-US" w:eastAsia="zh-CN"/>
          <w14:textFill>
            <w14:solidFill>
              <w14:schemeClr w14:val="tx1"/>
            </w14:solidFill>
          </w14:textFill>
        </w:rPr>
        <w:t>针对工艺烟气、环集烟气、无组织烟气分别实施有效提升改造措施</w:t>
      </w:r>
      <w:r>
        <w:rPr>
          <w:rFonts w:hint="eastAsia" w:ascii="宋体" w:hAnsi="宋体" w:cs="宋体"/>
          <w:color w:val="000000" w:themeColor="text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216" w:leftChars="103" w:firstLine="0" w:firstLineChars="0"/>
        <w:jc w:val="center"/>
        <w:textAlignment w:val="auto"/>
        <w:rPr>
          <w:rFonts w:hint="eastAsia" w:ascii="黑体" w:hAnsi="黑体" w:eastAsia="黑体" w:cs="黑体"/>
          <w:color w:val="000000" w:themeColor="text1"/>
          <w:sz w:val="21"/>
          <w:szCs w:val="21"/>
          <w:lang w:val="en-US" w:eastAsia="zh-CN"/>
          <w14:textFill>
            <w14:solidFill>
              <w14:schemeClr w14:val="tx1"/>
            </w14:solidFill>
          </w14:textFill>
        </w:rPr>
      </w:pPr>
      <w:r>
        <w:rPr>
          <w:rFonts w:hint="eastAsia" w:ascii="黑体" w:hAnsi="黑体" w:eastAsia="黑体" w:cs="黑体"/>
          <w:color w:val="000000" w:themeColor="text1"/>
          <w:sz w:val="21"/>
          <w:szCs w:val="21"/>
          <w:lang w:val="en-US" w:eastAsia="zh-CN"/>
          <w14:textFill>
            <w14:solidFill>
              <w14:schemeClr w14:val="tx1"/>
            </w14:solidFill>
          </w14:textFill>
        </w:rPr>
        <w:drawing>
          <wp:inline distT="0" distB="0" distL="114300" distR="114300">
            <wp:extent cx="5919470" cy="1802130"/>
            <wp:effectExtent l="9525" t="9525" r="14605" b="17145"/>
            <wp:docPr id="16" name="图片 16" descr="d3d51318-61bd-48a7-99fd-19e51d79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d3d51318-61bd-48a7-99fd-19e51d792088"/>
                    <pic:cNvPicPr>
                      <a:picLocks noChangeAspect="1"/>
                    </pic:cNvPicPr>
                  </pic:nvPicPr>
                  <pic:blipFill>
                    <a:blip r:embed="rId6"/>
                    <a:stretch>
                      <a:fillRect/>
                    </a:stretch>
                  </pic:blipFill>
                  <pic:spPr>
                    <a:xfrm>
                      <a:off x="0" y="0"/>
                      <a:ext cx="5919470" cy="1802130"/>
                    </a:xfrm>
                    <a:prstGeom prst="rect">
                      <a:avLst/>
                    </a:prstGeom>
                    <a:ln>
                      <a:solidFill>
                        <a:schemeClr val="tx1"/>
                      </a:solidFill>
                    </a:ln>
                  </pic:spPr>
                </pic:pic>
              </a:graphicData>
            </a:graphic>
          </wp:inline>
        </w:drawing>
      </w:r>
    </w:p>
    <w:p>
      <w:pPr>
        <w:spacing w:line="240" w:lineRule="auto"/>
        <w:jc w:val="left"/>
        <w:rPr>
          <w:rFonts w:hint="eastAsia" w:ascii="宋体" w:hAnsi="宋体" w:cs="宋体"/>
          <w:color w:val="000000" w:themeColor="text1"/>
          <w:lang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 xml:space="preserve">3.4.2 </w:t>
      </w:r>
      <w:r>
        <w:rPr>
          <w:rFonts w:hint="eastAsia" w:ascii="宋体" w:hAnsi="宋体" w:cs="宋体"/>
          <w:color w:val="000000" w:themeColor="text1"/>
          <w14:textFill>
            <w14:solidFill>
              <w14:schemeClr w14:val="tx1"/>
            </w14:solidFill>
          </w14:textFill>
        </w:rPr>
        <w:t>现有</w:t>
      </w:r>
      <w:r>
        <w:rPr>
          <w:rFonts w:hint="eastAsia" w:ascii="宋体" w:hAnsi="宋体" w:cs="宋体"/>
          <w:color w:val="000000" w:themeColor="text1"/>
          <w:lang w:val="en-US" w:eastAsia="zh-CN"/>
          <w14:textFill>
            <w14:solidFill>
              <w14:schemeClr w14:val="tx1"/>
            </w14:solidFill>
          </w14:textFill>
        </w:rPr>
        <w:t>PS</w:t>
      </w:r>
      <w:r>
        <w:rPr>
          <w:rFonts w:hint="eastAsia" w:ascii="宋体" w:hAnsi="宋体" w:cs="宋体"/>
          <w:color w:val="000000" w:themeColor="text1"/>
          <w14:textFill>
            <w14:solidFill>
              <w14:schemeClr w14:val="tx1"/>
            </w14:solidFill>
          </w14:textFill>
        </w:rPr>
        <w:t>转炉需按照本标准要求完成升级改造，满足无组织烟气管控指标要求</w:t>
      </w:r>
      <w:r>
        <w:rPr>
          <w:rFonts w:hint="eastAsia" w:ascii="宋体" w:hAnsi="宋体" w:cs="宋体"/>
          <w:color w:val="000000" w:themeColor="text1"/>
          <w:lang w:eastAsia="zh-CN"/>
          <w14:textFill>
            <w14:solidFill>
              <w14:schemeClr w14:val="tx1"/>
            </w14:solidFill>
          </w14:textFill>
        </w:rPr>
        <w:t>。</w:t>
      </w:r>
    </w:p>
    <w:p>
      <w:pPr>
        <w:spacing w:line="240" w:lineRule="auto"/>
        <w:jc w:val="left"/>
        <w:rPr>
          <w:rFonts w:hint="eastAsia" w:hAnsi="黑体" w:cs="黑体"/>
          <w:bCs/>
          <w:color w:val="000000" w:themeColor="text1"/>
          <w14:textFill>
            <w14:solidFill>
              <w14:schemeClr w14:val="tx1"/>
            </w14:solidFill>
          </w14:textFill>
        </w:rPr>
      </w:pPr>
      <w:r>
        <w:rPr>
          <w:rFonts w:hint="eastAsia" w:ascii="黑体" w:hAnsi="黑体" w:eastAsia="黑体" w:cs="黑体"/>
          <w:bCs/>
          <w:color w:val="000000" w:themeColor="text1"/>
          <w:lang w:val="en-US" w:eastAsia="zh-CN"/>
          <w14:textFill>
            <w14:solidFill>
              <w14:schemeClr w14:val="tx1"/>
            </w14:solidFill>
          </w14:textFill>
        </w:rPr>
        <w:t xml:space="preserve">3.4.3 </w:t>
      </w:r>
      <w:r>
        <w:rPr>
          <w:rFonts w:hint="eastAsia" w:hAnsi="黑体" w:cs="黑体"/>
          <w:bCs/>
          <w:color w:val="000000" w:themeColor="text1"/>
          <w14:textFill>
            <w14:solidFill>
              <w14:schemeClr w14:val="tx1"/>
            </w14:solidFill>
          </w14:textFill>
        </w:rPr>
        <w:t>应遵循“源头管控、过程可控、运维闭环、应急兜底”的原则，针对转炉设备结构与作业模式，建立标准化、全流程管控体系，明确岗位操作、设备运维、台账记录、应急处置等全维度要求，保障无组织烟气</w:t>
      </w:r>
      <w:r>
        <w:rPr>
          <w:rFonts w:hint="eastAsia" w:hAnsi="黑体" w:cs="黑体"/>
          <w:bCs/>
          <w:color w:val="000000" w:themeColor="text1"/>
          <w:lang w:val="en-US" w:eastAsia="zh-CN"/>
          <w14:textFill>
            <w14:solidFill>
              <w14:schemeClr w14:val="tx1"/>
            </w14:solidFill>
          </w14:textFill>
        </w:rPr>
        <w:t>长期有效管控</w:t>
      </w:r>
      <w:r>
        <w:rPr>
          <w:rFonts w:hint="eastAsia" w:hAnsi="黑体" w:cs="黑体"/>
          <w:bCs/>
          <w:color w:val="000000" w:themeColor="text1"/>
          <w14:textFill>
            <w14:solidFill>
              <w14:schemeClr w14:val="tx1"/>
            </w14:solidFill>
          </w14:textFill>
        </w:rPr>
        <w:t>。</w:t>
      </w:r>
    </w:p>
    <w:p>
      <w:pPr>
        <w:pStyle w:val="22"/>
        <w:spacing w:before="312" w:beforeLines="-2147483648" w:after="312" w:afterLines="-2147483648" w:line="240" w:lineRule="auto"/>
        <w:outlineLvl w:val="1"/>
        <w:rPr>
          <w:rFonts w:hint="default" w:hAnsi="黑体" w:cs="黑体"/>
          <w:bCs/>
          <w:color w:val="000000" w:themeColor="text1"/>
          <w14:textFill>
            <w14:solidFill>
              <w14:schemeClr w14:val="tx1"/>
            </w14:solidFill>
          </w14:textFill>
        </w:rPr>
      </w:pPr>
      <w:bookmarkStart w:id="52" w:name="_Toc5981"/>
      <w:bookmarkStart w:id="53" w:name="_Toc1375"/>
      <w:bookmarkStart w:id="54" w:name="_Toc22030"/>
      <w:bookmarkStart w:id="55" w:name="_Toc15092"/>
      <w:bookmarkStart w:id="56" w:name="_Toc25590"/>
      <w:r>
        <w:rPr>
          <w:rFonts w:hint="eastAsia" w:hAnsi="黑体" w:cs="黑体"/>
          <w:bCs/>
          <w:color w:val="000000" w:themeColor="text1"/>
          <w:lang w:val="en-US" w:eastAsia="zh-CN"/>
          <w14:textFill>
            <w14:solidFill>
              <w14:schemeClr w14:val="tx1"/>
            </w14:solidFill>
          </w14:textFill>
        </w:rPr>
        <w:t xml:space="preserve">3.5  </w:t>
      </w:r>
      <w:r>
        <w:rPr>
          <w:rFonts w:hAnsi="黑体" w:cs="黑体"/>
          <w:bCs/>
          <w:color w:val="000000" w:themeColor="text1"/>
          <w14:textFill>
            <w14:solidFill>
              <w14:schemeClr w14:val="tx1"/>
            </w14:solidFill>
          </w14:textFill>
        </w:rPr>
        <w:t>技术要求</w:t>
      </w:r>
      <w:bookmarkEnd w:id="52"/>
      <w:bookmarkEnd w:id="53"/>
      <w:bookmarkEnd w:id="54"/>
      <w:bookmarkEnd w:id="55"/>
      <w:bookmarkEnd w:id="56"/>
    </w:p>
    <w:p>
      <w:pPr>
        <w:pStyle w:val="22"/>
        <w:spacing w:before="156" w:beforeLines="50" w:after="156" w:afterLines="50"/>
        <w:rPr>
          <w:rFonts w:hint="default" w:hAnsi="黑体" w:cs="黑体"/>
          <w:bCs/>
          <w:color w:val="000000" w:themeColor="text1"/>
          <w14:textFill>
            <w14:solidFill>
              <w14:schemeClr w14:val="tx1"/>
            </w14:solidFill>
          </w14:textFill>
        </w:rPr>
      </w:pPr>
      <w:bookmarkStart w:id="57" w:name="_Toc20947"/>
      <w:bookmarkStart w:id="58" w:name="_Toc15098"/>
      <w:bookmarkStart w:id="59" w:name="_Toc6182"/>
      <w:bookmarkStart w:id="60" w:name="heading_12"/>
      <w:bookmarkStart w:id="61" w:name="_Toc18345"/>
      <w:bookmarkStart w:id="62" w:name="_Toc28333"/>
      <w:r>
        <w:rPr>
          <w:rFonts w:hint="eastAsia" w:hAnsi="黑体" w:cs="黑体"/>
          <w:bCs/>
          <w:color w:val="000000" w:themeColor="text1"/>
          <w:lang w:val="en-US" w:eastAsia="zh-CN"/>
          <w14:textFill>
            <w14:solidFill>
              <w14:schemeClr w14:val="tx1"/>
            </w14:solidFill>
          </w14:textFill>
        </w:rPr>
        <w:t>3.5.1 转炉工艺烟气治理技术要求</w:t>
      </w:r>
      <w:bookmarkEnd w:id="57"/>
      <w:bookmarkEnd w:id="58"/>
      <w:bookmarkEnd w:id="59"/>
      <w:bookmarkEnd w:id="60"/>
      <w:bookmarkEnd w:id="61"/>
      <w:bookmarkEnd w:id="62"/>
    </w:p>
    <w:p>
      <w:pPr>
        <w:spacing w:line="240" w:lineRule="auto"/>
        <w:ind w:firstLine="420" w:firstLineChars="200"/>
        <w:jc w:val="left"/>
        <w:outlineLvl w:val="2"/>
        <w:rPr>
          <w:rFonts w:hint="eastAsia" w:ascii="宋体" w:hAnsi="宋体" w:cs="宋体"/>
          <w:color w:val="000000" w:themeColor="text1"/>
          <w:lang w:eastAsia="zh-CN"/>
          <w14:textFill>
            <w14:solidFill>
              <w14:schemeClr w14:val="tx1"/>
            </w14:solidFill>
          </w14:textFill>
        </w:rPr>
      </w:pPr>
      <w:bookmarkStart w:id="63" w:name="heading_18"/>
      <w:r>
        <w:rPr>
          <w:rFonts w:hint="eastAsia" w:ascii="宋体" w:hAnsi="宋体" w:cs="宋体"/>
          <w:color w:val="000000" w:themeColor="text1"/>
          <w14:textFill>
            <w14:solidFill>
              <w14:schemeClr w14:val="tx1"/>
            </w14:solidFill>
          </w14:textFill>
        </w:rPr>
        <w:t>应配置</w:t>
      </w:r>
      <w:r>
        <w:rPr>
          <w:rFonts w:hint="eastAsia" w:ascii="宋体" w:hAnsi="宋体" w:cs="宋体"/>
          <w:color w:val="000000" w:themeColor="text1"/>
          <w:lang w:val="en-US" w:eastAsia="zh-CN"/>
          <w14:textFill>
            <w14:solidFill>
              <w14:schemeClr w14:val="tx1"/>
            </w14:solidFill>
          </w14:textFill>
        </w:rPr>
        <w:t>固定</w:t>
      </w:r>
      <w:r>
        <w:rPr>
          <w:rFonts w:hint="eastAsia" w:ascii="宋体" w:hAnsi="宋体" w:cs="宋体"/>
          <w:color w:val="000000" w:themeColor="text1"/>
          <w14:textFill>
            <w14:solidFill>
              <w14:schemeClr w14:val="tx1"/>
            </w14:solidFill>
          </w14:textFill>
        </w:rPr>
        <w:t>烟罩</w:t>
      </w:r>
      <w:r>
        <w:rPr>
          <w:rFonts w:hint="eastAsia" w:ascii="宋体" w:hAnsi="宋体" w:cs="宋体"/>
          <w:color w:val="000000" w:themeColor="text1"/>
          <w:lang w:eastAsia="zh-CN"/>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可动烟罩，配套的排烟、收尘、制酸系统，实现工艺烟气的收集。同时</w:t>
      </w:r>
      <w:r>
        <w:rPr>
          <w:rFonts w:hint="eastAsia" w:ascii="宋体" w:hAnsi="宋体" w:cs="宋体"/>
          <w:color w:val="000000" w:themeColor="text1"/>
          <w14:textFill>
            <w14:solidFill>
              <w14:schemeClr w14:val="tx1"/>
            </w14:solidFill>
          </w14:textFill>
        </w:rPr>
        <w:t>配备全自动捅风眼机，稳定吹炼风量，保障</w:t>
      </w:r>
      <w:r>
        <w:rPr>
          <w:rFonts w:hint="eastAsia" w:ascii="宋体" w:hAnsi="宋体" w:cs="宋体"/>
          <w:color w:val="000000" w:themeColor="text1"/>
          <w:lang w:val="en-US" w:eastAsia="zh-CN"/>
          <w14:textFill>
            <w14:solidFill>
              <w14:schemeClr w14:val="tx1"/>
            </w14:solidFill>
          </w14:textFill>
        </w:rPr>
        <w:t>转炉工艺烟气压力</w:t>
      </w:r>
      <w:r>
        <w:rPr>
          <w:rFonts w:hint="eastAsia" w:ascii="宋体" w:hAnsi="宋体" w:cs="宋体"/>
          <w:color w:val="000000" w:themeColor="text1"/>
          <w14:textFill>
            <w14:solidFill>
              <w14:schemeClr w14:val="tx1"/>
            </w14:solidFill>
          </w14:textFill>
        </w:rPr>
        <w:t>稳定</w:t>
      </w:r>
      <w:r>
        <w:rPr>
          <w:rFonts w:hint="eastAsia" w:ascii="宋体" w:hAnsi="宋体" w:cs="宋体"/>
          <w:color w:val="000000" w:themeColor="text1"/>
          <w:lang w:eastAsia="zh-CN"/>
          <w14:textFill>
            <w14:solidFill>
              <w14:schemeClr w14:val="tx1"/>
            </w14:solidFill>
          </w14:textFill>
        </w:rPr>
        <w:t>。</w:t>
      </w:r>
    </w:p>
    <w:p>
      <w:pPr>
        <w:spacing w:line="240" w:lineRule="auto"/>
        <w:ind w:firstLine="420" w:firstLineChars="200"/>
        <w:jc w:val="left"/>
        <w:outlineLvl w:val="2"/>
        <w:rPr>
          <w:rFonts w:hint="eastAsia" w:ascii="宋体" w:hAnsi="宋体" w:cs="宋体"/>
          <w:color w:val="000000" w:themeColor="text1"/>
          <w:lang w:eastAsia="zh-CN"/>
          <w14:textFill>
            <w14:solidFill>
              <w14:schemeClr w14:val="tx1"/>
            </w14:solidFill>
          </w14:textFill>
        </w:rPr>
      </w:pPr>
      <w:r>
        <w:rPr>
          <w:rFonts w:hint="eastAsia" w:ascii="宋体" w:hAnsi="宋体" w:cs="宋体"/>
          <w:color w:val="000000" w:themeColor="text1"/>
          <w14:textFill>
            <w14:solidFill>
              <w14:schemeClr w14:val="tx1"/>
            </w14:solidFill>
          </w14:textFill>
        </w:rPr>
        <w:t>宜采用智能化手段辅助管控吹炼生产全过程，</w:t>
      </w:r>
      <w:r>
        <w:rPr>
          <w:rFonts w:hint="eastAsia" w:ascii="宋体" w:hAnsi="宋体" w:cs="宋体"/>
          <w:color w:val="000000" w:themeColor="text1"/>
          <w:lang w:val="en-US" w:eastAsia="zh-CN"/>
          <w14:textFill>
            <w14:solidFill>
              <w14:schemeClr w14:val="tx1"/>
            </w14:solidFill>
          </w14:textFill>
        </w:rPr>
        <w:t>进一步保障工艺</w:t>
      </w:r>
      <w:r>
        <w:rPr>
          <w:rFonts w:hint="eastAsia" w:ascii="宋体" w:hAnsi="宋体" w:cs="宋体"/>
          <w:color w:val="000000" w:themeColor="text1"/>
          <w14:textFill>
            <w14:solidFill>
              <w14:schemeClr w14:val="tx1"/>
            </w14:solidFill>
          </w14:textFill>
        </w:rPr>
        <w:t>烟气</w:t>
      </w:r>
      <w:r>
        <w:rPr>
          <w:rFonts w:hint="eastAsia" w:ascii="宋体" w:hAnsi="宋体" w:cs="宋体"/>
          <w:color w:val="000000" w:themeColor="text1"/>
          <w:lang w:val="en-US" w:eastAsia="zh-CN"/>
          <w14:textFill>
            <w14:solidFill>
              <w14:schemeClr w14:val="tx1"/>
            </w14:solidFill>
          </w14:textFill>
        </w:rPr>
        <w:t>压力流量稳定</w:t>
      </w:r>
      <w:r>
        <w:rPr>
          <w:rFonts w:hint="eastAsia" w:ascii="宋体" w:hAnsi="宋体" w:cs="宋体"/>
          <w:color w:val="000000" w:themeColor="text1"/>
          <w:lang w:eastAsia="zh-CN"/>
          <w14:textFill>
            <w14:solidFill>
              <w14:schemeClr w14:val="tx1"/>
            </w14:solidFill>
          </w14:textFill>
        </w:rPr>
        <w:t>。</w:t>
      </w:r>
    </w:p>
    <w:p>
      <w:pPr>
        <w:pStyle w:val="22"/>
        <w:keepNext w:val="0"/>
        <w:keepLines w:val="0"/>
        <w:pageBreakBefore w:val="0"/>
        <w:widowControl/>
        <w:kinsoku/>
        <w:wordWrap/>
        <w:overflowPunct/>
        <w:topLinePunct w:val="0"/>
        <w:autoSpaceDE/>
        <w:autoSpaceDN/>
        <w:bidi w:val="0"/>
        <w:adjustRightInd w:val="0"/>
        <w:snapToGrid/>
        <w:spacing w:before="156" w:beforeLines="50" w:after="156" w:afterLines="50"/>
        <w:textAlignment w:val="auto"/>
        <w:outlineLvl w:val="9"/>
        <w:rPr>
          <w:rFonts w:hint="eastAsia" w:hAnsi="黑体" w:cs="黑体"/>
          <w:bCs/>
          <w:color w:val="000000" w:themeColor="text1"/>
          <w:lang w:val="en-US" w:eastAsia="zh-CN"/>
          <w14:textFill>
            <w14:solidFill>
              <w14:schemeClr w14:val="tx1"/>
            </w14:solidFill>
          </w14:textFill>
        </w:rPr>
      </w:pPr>
      <w:bookmarkStart w:id="64" w:name="_Toc17235"/>
      <w:r>
        <w:rPr>
          <w:rFonts w:hint="eastAsia" w:hAnsi="黑体" w:cs="黑体"/>
          <w:bCs/>
          <w:color w:val="000000" w:themeColor="text1"/>
          <w:lang w:val="en-US" w:eastAsia="zh-CN"/>
          <w14:textFill>
            <w14:solidFill>
              <w14:schemeClr w14:val="tx1"/>
            </w14:solidFill>
          </w14:textFill>
        </w:rPr>
        <w:t>3.5.1.1固定烟罩及可动烟罩技术要求</w:t>
      </w:r>
      <w:bookmarkEnd w:id="64"/>
    </w:p>
    <w:p>
      <w:pPr>
        <w:numPr>
          <w:ilvl w:val="0"/>
          <w:numId w:val="2"/>
        </w:numPr>
        <w:spacing w:line="240" w:lineRule="auto"/>
        <w:ind w:leftChars="0" w:firstLine="420" w:firstLineChars="2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应配置固定烟罩、可动烟罩，构建炉口密闭集烟结构，实现吹炼工况下工艺烟气的高效收集。</w:t>
      </w:r>
    </w:p>
    <w:p>
      <w:pPr>
        <w:spacing w:line="240" w:lineRule="auto"/>
        <w:ind w:left="0" w:leftChars="0" w:firstLine="420" w:firstLineChars="200"/>
        <w:jc w:val="left"/>
        <w:outlineLvl w:val="2"/>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b）</w:t>
      </w:r>
      <w:r>
        <w:rPr>
          <w:rFonts w:hint="eastAsia" w:ascii="宋体" w:hAnsi="宋体" w:cs="宋体"/>
          <w:color w:val="000000" w:themeColor="text1"/>
          <w:lang w:val="en-US" w:eastAsia="zh-CN"/>
          <w14:textFill>
            <w14:solidFill>
              <w14:schemeClr w14:val="tx1"/>
            </w14:solidFill>
          </w14:textFill>
        </w:rPr>
        <w:t>固定</w:t>
      </w:r>
      <w:r>
        <w:rPr>
          <w:rFonts w:hint="eastAsia" w:ascii="宋体" w:hAnsi="宋体" w:cs="宋体"/>
          <w:color w:val="000000" w:themeColor="text1"/>
          <w14:textFill>
            <w14:solidFill>
              <w14:schemeClr w14:val="tx1"/>
            </w14:solidFill>
          </w14:textFill>
        </w:rPr>
        <w:t>烟罩主体</w:t>
      </w:r>
      <w:r>
        <w:rPr>
          <w:rFonts w:hint="eastAsia" w:ascii="宋体" w:hAnsi="宋体" w:cs="宋体"/>
          <w:color w:val="000000" w:themeColor="text1"/>
          <w:lang w:val="en-US" w:eastAsia="zh-CN"/>
          <w14:textFill>
            <w14:solidFill>
              <w14:schemeClr w14:val="tx1"/>
            </w14:solidFill>
          </w14:textFill>
        </w:rPr>
        <w:t>宜采用性能不低于材质Q235B型耐热钢，主体厚度不小于</w:t>
      </w:r>
      <w:r>
        <w:rPr>
          <w:rFonts w:hint="eastAsia" w:ascii="宋体" w:hAnsi="宋体" w:cs="宋体"/>
          <w:color w:val="auto"/>
          <w:lang w:val="en-US" w:eastAsia="zh-CN"/>
        </w:rPr>
        <w:t>12</w:t>
      </w:r>
      <w:r>
        <w:rPr>
          <w:rFonts w:hint="eastAsia" w:ascii="宋体" w:hAnsi="宋体" w:cs="宋体"/>
          <w:color w:val="000000" w:themeColor="text1"/>
          <w:lang w:val="en-US" w:eastAsia="zh-CN"/>
          <w14:textFill>
            <w14:solidFill>
              <w14:schemeClr w14:val="tx1"/>
            </w14:solidFill>
          </w14:textFill>
        </w:rPr>
        <w:t>mm</w:t>
      </w:r>
      <w:r>
        <w:rPr>
          <w:rFonts w:hint="eastAsia" w:ascii="宋体" w:hAnsi="宋体" w:cs="宋体"/>
          <w:color w:val="000000" w:themeColor="text1"/>
          <w14:textFill>
            <w14:solidFill>
              <w14:schemeClr w14:val="tx1"/>
            </w14:solidFill>
          </w14:textFill>
        </w:rPr>
        <w:t>。</w:t>
      </w:r>
    </w:p>
    <w:p>
      <w:pPr>
        <w:spacing w:line="240" w:lineRule="auto"/>
        <w:ind w:left="0" w:leftChars="0" w:firstLine="420" w:firstLineChars="200"/>
        <w:jc w:val="left"/>
        <w:outlineLvl w:val="2"/>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c</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固定</w:t>
      </w:r>
      <w:r>
        <w:rPr>
          <w:rFonts w:hint="eastAsia" w:ascii="宋体" w:hAnsi="宋体" w:cs="宋体"/>
          <w:color w:val="000000" w:themeColor="text1"/>
          <w14:textFill>
            <w14:solidFill>
              <w14:schemeClr w14:val="tx1"/>
            </w14:solidFill>
          </w14:textFill>
        </w:rPr>
        <w:t>烟罩所有活动对接、拼接装配部位，应敷设</w:t>
      </w:r>
      <w:r>
        <w:rPr>
          <w:rFonts w:hint="eastAsia" w:ascii="宋体" w:hAnsi="宋体" w:cs="宋体"/>
          <w:color w:val="000000" w:themeColor="text1"/>
          <w:lang w:val="en-US" w:eastAsia="zh-CN"/>
          <w14:textFill>
            <w14:solidFill>
              <w14:schemeClr w14:val="tx1"/>
            </w14:solidFill>
          </w14:textFill>
        </w:rPr>
        <w:t>石棉带等</w:t>
      </w:r>
      <w:r>
        <w:rPr>
          <w:rFonts w:hint="eastAsia" w:ascii="宋体" w:hAnsi="宋体" w:cs="宋体"/>
          <w:color w:val="000000" w:themeColor="text1"/>
          <w14:textFill>
            <w14:solidFill>
              <w14:schemeClr w14:val="tx1"/>
            </w14:solidFill>
          </w14:textFill>
        </w:rPr>
        <w:t>密封材料，</w:t>
      </w:r>
      <w:r>
        <w:rPr>
          <w:rFonts w:hint="eastAsia" w:ascii="宋体" w:hAnsi="宋体" w:cs="宋体"/>
          <w:strike w:val="0"/>
          <w:dstrike w:val="0"/>
          <w:color w:val="000000" w:themeColor="text1"/>
          <w:lang w:val="en-US" w:eastAsia="zh-CN"/>
          <w14:textFill>
            <w14:solidFill>
              <w14:schemeClr w14:val="tx1"/>
            </w14:solidFill>
          </w14:textFill>
        </w:rPr>
        <w:t>实现</w:t>
      </w:r>
      <w:r>
        <w:rPr>
          <w:rFonts w:hint="eastAsia" w:ascii="宋体" w:hAnsi="宋体" w:cs="宋体"/>
          <w:strike w:val="0"/>
          <w:dstrike w:val="0"/>
          <w:color w:val="auto"/>
        </w:rPr>
        <w:t>全方位封堵。</w:t>
      </w:r>
    </w:p>
    <w:p>
      <w:pPr>
        <w:spacing w:line="240" w:lineRule="auto"/>
        <w:ind w:left="0" w:leftChars="0" w:firstLine="420" w:firstLineChars="2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d</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转炉炉口与固定烟罩内轮廓尺寸应完全覆盖转炉炉口，横向单侧加宽不小于 300mm，轴向前后加长不小于 300mm，满足转炉倾炉、加料动态位移无烟气外溢。转炉整体密闭烟罩外包尺寸应覆盖炉体、炉口全部逸散点位。炉口外廓与固定烟罩下沿口之间的距离不高于200mm。</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216" w:leftChars="103" w:firstLine="0" w:firstLineChars="0"/>
        <w:jc w:val="center"/>
        <w:textAlignment w:val="auto"/>
        <w:rPr>
          <w:rFonts w:hint="default" w:ascii="黑体" w:hAnsi="黑体" w:eastAsia="黑体" w:cs="黑体"/>
          <w:color w:val="000000" w:themeColor="text1"/>
          <w:sz w:val="21"/>
          <w:szCs w:val="21"/>
          <w:lang w:val="en-US" w:eastAsia="zh-CN"/>
          <w14:textFill>
            <w14:solidFill>
              <w14:schemeClr w14:val="tx1"/>
            </w14:solidFill>
          </w14:textFill>
        </w:rPr>
      </w:pPr>
      <w:r>
        <w:rPr>
          <w:rFonts w:hint="default" w:ascii="黑体" w:hAnsi="黑体" w:eastAsia="黑体" w:cs="黑体"/>
          <w:color w:val="000000" w:themeColor="text1"/>
          <w:sz w:val="21"/>
          <w:szCs w:val="21"/>
          <w:lang w:val="en-US" w:eastAsia="zh-CN"/>
          <w14:textFill>
            <w14:solidFill>
              <w14:schemeClr w14:val="tx1"/>
            </w14:solidFill>
          </w14:textFill>
        </w:rPr>
        <w:drawing>
          <wp:inline distT="0" distB="0" distL="114300" distR="114300">
            <wp:extent cx="4829175" cy="3454400"/>
            <wp:effectExtent l="9525" t="9525" r="19050" b="22225"/>
            <wp:docPr id="20" name="图片 20" descr="6c75b32859d93d0c39e241de4c688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6c75b32859d93d0c39e241de4c688581"/>
                    <pic:cNvPicPr>
                      <a:picLocks noChangeAspect="1"/>
                    </pic:cNvPicPr>
                  </pic:nvPicPr>
                  <pic:blipFill>
                    <a:blip r:embed="rId7"/>
                    <a:stretch>
                      <a:fillRect/>
                    </a:stretch>
                  </pic:blipFill>
                  <pic:spPr>
                    <a:xfrm>
                      <a:off x="0" y="0"/>
                      <a:ext cx="4829175" cy="3454400"/>
                    </a:xfrm>
                    <a:prstGeom prst="rect">
                      <a:avLst/>
                    </a:prstGeom>
                    <a:ln w="3175">
                      <a:solidFill>
                        <a:schemeClr val="tx1"/>
                      </a:solidFill>
                    </a:ln>
                  </pic:spPr>
                </pic:pic>
              </a:graphicData>
            </a:graphic>
          </wp:inline>
        </w:drawing>
      </w:r>
    </w:p>
    <w:p>
      <w:pPr>
        <w:pStyle w:val="22"/>
        <w:keepNext w:val="0"/>
        <w:keepLines w:val="0"/>
        <w:pageBreakBefore w:val="0"/>
        <w:widowControl/>
        <w:kinsoku/>
        <w:wordWrap/>
        <w:overflowPunct/>
        <w:topLinePunct w:val="0"/>
        <w:autoSpaceDE/>
        <w:autoSpaceDN/>
        <w:bidi w:val="0"/>
        <w:adjustRightInd w:val="0"/>
        <w:snapToGrid/>
        <w:spacing w:before="156" w:beforeLines="50" w:after="156" w:afterLines="50"/>
        <w:textAlignment w:val="auto"/>
        <w:outlineLvl w:val="9"/>
        <w:rPr>
          <w:rFonts w:hint="default" w:hAnsi="黑体" w:cs="黑体"/>
          <w:bCs/>
          <w:color w:val="000000" w:themeColor="text1"/>
          <w:lang w:val="en-US" w:eastAsia="zh-CN"/>
          <w14:textFill>
            <w14:solidFill>
              <w14:schemeClr w14:val="tx1"/>
            </w14:solidFill>
          </w14:textFill>
        </w:rPr>
      </w:pPr>
      <w:bookmarkStart w:id="65" w:name="_Toc1292"/>
      <w:r>
        <w:rPr>
          <w:rFonts w:hint="eastAsia" w:hAnsi="黑体" w:cs="黑体"/>
          <w:bCs/>
          <w:color w:val="000000" w:themeColor="text1"/>
          <w:lang w:val="en-US" w:eastAsia="zh-CN"/>
          <w14:textFill>
            <w14:solidFill>
              <w14:schemeClr w14:val="tx1"/>
            </w14:solidFill>
          </w14:textFill>
        </w:rPr>
        <w:t>3.5.1.2 配套排烟、收尘、制酸系统技术要求</w:t>
      </w:r>
      <w:bookmarkEnd w:id="65"/>
    </w:p>
    <w:p>
      <w:pPr>
        <w:spacing w:line="240" w:lineRule="auto"/>
        <w:ind w:left="630" w:leftChars="200" w:hanging="210" w:hangingChars="100"/>
        <w:jc w:val="left"/>
        <w:outlineLvl w:val="2"/>
        <w:rPr>
          <w:rFonts w:hint="eastAsia" w:ascii="宋体" w:hAnsi="宋体" w:cs="宋体"/>
          <w:color w:val="auto"/>
          <w:lang w:val="en-US" w:eastAsia="zh-CN"/>
        </w:rPr>
      </w:pPr>
      <w:r>
        <w:rPr>
          <w:rFonts w:hint="eastAsia" w:ascii="宋体" w:hAnsi="宋体" w:cs="宋体"/>
          <w:color w:val="auto"/>
        </w:rPr>
        <w:t>a）</w:t>
      </w:r>
      <w:r>
        <w:rPr>
          <w:rFonts w:hint="eastAsia" w:ascii="宋体" w:hAnsi="宋体" w:cs="宋体"/>
          <w:color w:val="auto"/>
          <w:lang w:val="en-US" w:eastAsia="zh-CN"/>
        </w:rPr>
        <w:t>应配套建设完整的排烟、收尘及制酸系统，对收集的转炉工艺烟气统一输送、净化及资源化处置，保障工艺烟气全流程有效治理。</w:t>
      </w:r>
    </w:p>
    <w:p>
      <w:pPr>
        <w:spacing w:line="240" w:lineRule="auto"/>
        <w:ind w:left="630" w:leftChars="200" w:hanging="210" w:hangingChars="100"/>
        <w:jc w:val="left"/>
        <w:outlineLvl w:val="2"/>
        <w:rPr>
          <w:sz w:val="21"/>
        </w:rPr>
      </w:pPr>
      <w:r>
        <w:rPr>
          <w:rFonts w:hint="eastAsia" w:ascii="宋体" w:hAnsi="宋体" w:cs="宋体"/>
          <w:color w:val="000000" w:themeColor="text1"/>
          <w14:textFill>
            <w14:solidFill>
              <w14:schemeClr w14:val="tx1"/>
            </w14:solidFill>
          </w14:textFill>
        </w:rPr>
        <w:t>b）工艺烟气分段负压要求：</w:t>
      </w:r>
      <w:r>
        <w:rPr>
          <w:rFonts w:hint="eastAsia" w:ascii="宋体" w:hAnsi="宋体" w:cs="宋体"/>
          <w:color w:val="auto"/>
        </w:rPr>
        <w:t>锅炉入口负压</w:t>
      </w:r>
      <w:r>
        <w:rPr>
          <w:rFonts w:hint="eastAsia" w:ascii="宋体" w:hAnsi="宋体" w:cs="宋体"/>
          <w:color w:val="auto"/>
          <w:lang w:val="en-US" w:eastAsia="zh-CN"/>
        </w:rPr>
        <w:t>不小于</w:t>
      </w:r>
      <w:r>
        <w:rPr>
          <w:rFonts w:hint="eastAsia" w:ascii="宋体" w:hAnsi="宋体" w:cs="宋体"/>
          <w:color w:val="auto"/>
        </w:rPr>
        <w:t>-</w:t>
      </w:r>
      <w:r>
        <w:rPr>
          <w:rFonts w:hint="eastAsia" w:ascii="宋体" w:hAnsi="宋体" w:cs="宋体"/>
          <w:color w:val="auto"/>
          <w:lang w:val="en-US" w:eastAsia="zh-CN"/>
        </w:rPr>
        <w:t>3</w:t>
      </w:r>
      <w:r>
        <w:rPr>
          <w:rFonts w:hint="eastAsia" w:ascii="宋体" w:hAnsi="宋体" w:cs="宋体"/>
          <w:color w:val="auto"/>
        </w:rPr>
        <w:t>0Pa；电收尘入</w:t>
      </w:r>
      <w:r>
        <w:rPr>
          <w:rFonts w:hint="eastAsia" w:ascii="宋体" w:hAnsi="宋体" w:cs="宋体"/>
          <w:color w:val="auto"/>
          <w:lang w:val="en-US" w:eastAsia="zh-CN"/>
        </w:rPr>
        <w:t>口不小于</w:t>
      </w:r>
      <w:r>
        <w:rPr>
          <w:rFonts w:hint="eastAsia" w:ascii="宋体" w:hAnsi="宋体" w:cs="宋体"/>
          <w:color w:val="auto"/>
        </w:rPr>
        <w:t>-</w:t>
      </w:r>
      <w:r>
        <w:rPr>
          <w:rFonts w:hint="eastAsia" w:ascii="宋体" w:hAnsi="宋体" w:cs="宋体"/>
          <w:color w:val="auto"/>
          <w:lang w:val="en-US" w:eastAsia="zh-CN"/>
        </w:rPr>
        <w:t>15</w:t>
      </w:r>
      <w:r>
        <w:rPr>
          <w:rFonts w:hint="eastAsia" w:ascii="宋体" w:hAnsi="宋体" w:cs="宋体"/>
          <w:color w:val="auto"/>
        </w:rPr>
        <w:t>0Pa</w:t>
      </w:r>
      <w:r>
        <w:rPr>
          <w:rFonts w:hint="eastAsia" w:ascii="宋体" w:hAnsi="宋体" w:cs="宋体"/>
          <w:color w:val="000000" w:themeColor="text1"/>
          <w14:textFill>
            <w14:solidFill>
              <w14:schemeClr w14:val="tx1"/>
            </w14:solidFill>
          </w14:textFill>
        </w:rPr>
        <w:t>。</w:t>
      </w:r>
    </w:p>
    <w:p>
      <w:pPr>
        <w:spacing w:line="240" w:lineRule="auto"/>
        <w:ind w:left="630" w:leftChars="200" w:hanging="210" w:hangingChars="100"/>
        <w:jc w:val="center"/>
        <w:outlineLvl w:val="9"/>
        <w:rPr>
          <w:rFonts w:hint="eastAsia" w:eastAsia="宋体"/>
          <w:lang w:eastAsia="zh-CN"/>
        </w:rPr>
      </w:pP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216" w:leftChars="103" w:firstLine="0" w:firstLineChars="0"/>
        <w:jc w:val="center"/>
        <w:textAlignment w:val="auto"/>
        <w:rPr>
          <w:rFonts w:hint="default" w:ascii="黑体" w:hAnsi="黑体" w:eastAsia="黑体" w:cs="黑体"/>
          <w:color w:val="000000" w:themeColor="text1"/>
          <w:sz w:val="21"/>
          <w:szCs w:val="21"/>
          <w:lang w:val="en-US" w:eastAsia="zh-CN"/>
          <w14:textFill>
            <w14:solidFill>
              <w14:schemeClr w14:val="tx1"/>
            </w14:solidFill>
          </w14:textFill>
        </w:rPr>
      </w:pPr>
      <w:r>
        <w:rPr>
          <w:rFonts w:hint="default" w:ascii="黑体" w:hAnsi="黑体" w:eastAsia="黑体" w:cs="黑体"/>
          <w:color w:val="000000" w:themeColor="text1"/>
          <w:sz w:val="21"/>
          <w:szCs w:val="21"/>
          <w:lang w:val="en-US" w:eastAsia="zh-CN"/>
          <w14:textFill>
            <w14:solidFill>
              <w14:schemeClr w14:val="tx1"/>
            </w14:solidFill>
          </w14:textFill>
        </w:rPr>
        <w:drawing>
          <wp:inline distT="0" distB="0" distL="114300" distR="114300">
            <wp:extent cx="5923915" cy="2121535"/>
            <wp:effectExtent l="9525" t="9525" r="10160" b="21590"/>
            <wp:docPr id="15" name="图片 15" descr="205f7153-f81f-4356-a240-61a7f69ac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05f7153-f81f-4356-a240-61a7f69ac748"/>
                    <pic:cNvPicPr>
                      <a:picLocks noChangeAspect="1"/>
                    </pic:cNvPicPr>
                  </pic:nvPicPr>
                  <pic:blipFill>
                    <a:blip r:embed="rId8"/>
                    <a:stretch>
                      <a:fillRect/>
                    </a:stretch>
                  </pic:blipFill>
                  <pic:spPr>
                    <a:xfrm>
                      <a:off x="0" y="0"/>
                      <a:ext cx="5923915" cy="2121535"/>
                    </a:xfrm>
                    <a:prstGeom prst="rect">
                      <a:avLst/>
                    </a:prstGeom>
                    <a:ln>
                      <a:solidFill>
                        <a:schemeClr val="tx1"/>
                      </a:solidFill>
                    </a:ln>
                  </pic:spPr>
                </pic:pic>
              </a:graphicData>
            </a:graphic>
          </wp:inline>
        </w:drawing>
      </w:r>
    </w:p>
    <w:p>
      <w:pPr>
        <w:spacing w:line="240" w:lineRule="auto"/>
        <w:ind w:left="210" w:leftChars="100" w:firstLine="420" w:firstLineChars="200"/>
        <w:jc w:val="left"/>
        <w:outlineLvl w:val="2"/>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c）工艺烟气经制酸及尾气脱硫后，烟气SO2、颗粒物应符合</w:t>
      </w:r>
      <w:r>
        <w:rPr>
          <w:rFonts w:hint="eastAsia" w:ascii="宋体" w:hAnsi="宋体" w:eastAsia="宋体" w:cs="宋体"/>
          <w:color w:val="000000" w:themeColor="text1"/>
          <w:kern w:val="2"/>
          <w:sz w:val="21"/>
          <w:szCs w:val="21"/>
          <w:lang w:val="en-US" w:eastAsia="zh-CN" w:bidi="ar-SA"/>
          <w14:textFill>
            <w14:solidFill>
              <w14:schemeClr w14:val="tx1"/>
            </w14:solidFill>
          </w14:textFill>
        </w:rPr>
        <w:t>污染天气重点行业应急减排措施制定技术指南（2020年修订版）铜冶炼行业绩效分级指标B级企业要求</w:t>
      </w:r>
      <w:r>
        <w:rPr>
          <w:rFonts w:hint="eastAsia" w:ascii="宋体" w:hAnsi="宋体" w:cs="宋体"/>
          <w:color w:val="000000" w:themeColor="text1"/>
          <w:kern w:val="2"/>
          <w:sz w:val="21"/>
          <w:szCs w:val="21"/>
          <w:lang w:val="en-US" w:eastAsia="zh-CN" w:bidi="ar-SA"/>
          <w14:textFill>
            <w14:solidFill>
              <w14:schemeClr w14:val="tx1"/>
            </w14:solidFill>
          </w14:textFill>
        </w:rPr>
        <w:t>。</w:t>
      </w:r>
    </w:p>
    <w:p>
      <w:pPr>
        <w:pStyle w:val="22"/>
        <w:keepNext w:val="0"/>
        <w:keepLines w:val="0"/>
        <w:pageBreakBefore w:val="0"/>
        <w:widowControl/>
        <w:kinsoku/>
        <w:wordWrap/>
        <w:overflowPunct/>
        <w:topLinePunct w:val="0"/>
        <w:autoSpaceDE/>
        <w:autoSpaceDN/>
        <w:bidi w:val="0"/>
        <w:adjustRightInd w:val="0"/>
        <w:snapToGrid/>
        <w:spacing w:before="156" w:beforeLines="50" w:after="156" w:afterLines="50"/>
        <w:ind w:left="216" w:leftChars="103" w:firstLine="0" w:firstLineChars="0"/>
        <w:textAlignment w:val="auto"/>
        <w:outlineLvl w:val="9"/>
        <w:rPr>
          <w:rFonts w:hint="eastAsia" w:hAnsi="黑体" w:cs="黑体"/>
          <w:bCs/>
          <w:color w:val="000000" w:themeColor="text1"/>
          <w:lang w:val="en-US" w:eastAsia="zh-CN"/>
          <w14:textFill>
            <w14:solidFill>
              <w14:schemeClr w14:val="tx1"/>
            </w14:solidFill>
          </w14:textFill>
        </w:rPr>
      </w:pPr>
      <w:bookmarkStart w:id="66" w:name="_Toc26308"/>
      <w:r>
        <w:rPr>
          <w:rFonts w:hint="eastAsia" w:hAnsi="黑体" w:cs="黑体"/>
          <w:bCs/>
          <w:color w:val="000000" w:themeColor="text1"/>
          <w:lang w:val="en-US" w:eastAsia="zh-CN"/>
          <w14:textFill>
            <w14:solidFill>
              <w14:schemeClr w14:val="tx1"/>
            </w14:solidFill>
          </w14:textFill>
        </w:rPr>
        <w:t>3.5.1.3 全自动捅风眼机技术要求</w:t>
      </w:r>
      <w:bookmarkEnd w:id="66"/>
    </w:p>
    <w:p>
      <w:pPr>
        <w:spacing w:line="240" w:lineRule="auto"/>
        <w:ind w:left="630" w:leftChars="300" w:firstLine="0" w:firstLineChars="0"/>
        <w:jc w:val="left"/>
        <w:outlineLvl w:val="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全自动捅风眼机详细技术要求参考</w:t>
      </w:r>
      <w:r>
        <w:rPr>
          <w:rFonts w:hint="eastAsia" w:ascii="Times New Roman"/>
          <w:color w:val="000000" w:themeColor="text1"/>
          <w14:textFill>
            <w14:solidFill>
              <w14:schemeClr w14:val="tx1"/>
            </w14:solidFill>
          </w14:textFill>
        </w:rPr>
        <w:t>T/CNIA 0217</w:t>
      </w:r>
      <w:r>
        <w:rPr>
          <w:rFonts w:hint="eastAsia" w:ascii="Times New Roman"/>
          <w:color w:val="000000" w:themeColor="text1"/>
          <w:lang w:val="en-US" w:eastAsia="zh-CN"/>
          <w14:textFill>
            <w14:solidFill>
              <w14:schemeClr w14:val="tx1"/>
            </w14:solidFill>
          </w14:textFill>
        </w:rPr>
        <w:t>要求。</w:t>
      </w:r>
    </w:p>
    <w:p>
      <w:pPr>
        <w:pStyle w:val="22"/>
        <w:keepNext w:val="0"/>
        <w:keepLines w:val="0"/>
        <w:pageBreakBefore w:val="0"/>
        <w:widowControl/>
        <w:kinsoku/>
        <w:wordWrap/>
        <w:overflowPunct/>
        <w:topLinePunct w:val="0"/>
        <w:autoSpaceDE/>
        <w:autoSpaceDN/>
        <w:bidi w:val="0"/>
        <w:adjustRightInd w:val="0"/>
        <w:snapToGrid/>
        <w:spacing w:before="156" w:beforeLines="50" w:after="156" w:afterLines="50"/>
        <w:ind w:left="216" w:leftChars="103" w:firstLine="0" w:firstLineChars="0"/>
        <w:textAlignment w:val="auto"/>
        <w:outlineLvl w:val="9"/>
        <w:rPr>
          <w:rFonts w:hint="default" w:hAnsi="黑体" w:cs="黑体"/>
          <w:bCs/>
          <w:color w:val="000000" w:themeColor="text1"/>
          <w:lang w:val="en-US" w:eastAsia="zh-CN"/>
          <w14:textFill>
            <w14:solidFill>
              <w14:schemeClr w14:val="tx1"/>
            </w14:solidFill>
          </w14:textFill>
        </w:rPr>
      </w:pPr>
      <w:bookmarkStart w:id="67" w:name="_Toc26465"/>
      <w:r>
        <w:rPr>
          <w:rFonts w:hint="eastAsia" w:hAnsi="黑体" w:cs="黑体"/>
          <w:bCs/>
          <w:color w:val="000000" w:themeColor="text1"/>
          <w:lang w:val="en-US" w:eastAsia="zh-CN"/>
          <w14:textFill>
            <w14:solidFill>
              <w14:schemeClr w14:val="tx1"/>
            </w14:solidFill>
          </w14:textFill>
        </w:rPr>
        <w:t>3.5.1.4 智能辅助控制要求</w:t>
      </w:r>
      <w:bookmarkEnd w:id="67"/>
    </w:p>
    <w:p>
      <w:pPr>
        <w:pStyle w:val="23"/>
        <w:numPr>
          <w:ilvl w:val="0"/>
          <w:numId w:val="0"/>
        </w:numPr>
        <w:ind w:leftChars="104" w:firstLine="420" w:firstLineChars="20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a</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宜配置终点智能判断系统，通过冶炼工况与智能算法的结合实现吹炼终点精准判断，</w:t>
      </w:r>
      <w:r>
        <w:rPr>
          <w:rFonts w:hint="eastAsia" w:hAnsi="宋体" w:cs="宋体"/>
          <w:color w:val="000000" w:themeColor="text1"/>
          <w:szCs w:val="21"/>
          <w14:textFill>
            <w14:solidFill>
              <w14:schemeClr w14:val="tx1"/>
            </w14:solidFill>
          </w14:textFill>
        </w:rPr>
        <w:t>有效抑制欠吹、过吹等异常工况引发的无组织烟气逸散。</w:t>
      </w:r>
    </w:p>
    <w:p>
      <w:pPr>
        <w:pStyle w:val="23"/>
        <w:numPr>
          <w:ilvl w:val="0"/>
          <w:numId w:val="0"/>
        </w:numPr>
        <w:ind w:leftChars="104" w:firstLine="420" w:firstLineChars="200"/>
        <w:rPr>
          <w:color w:val="000000" w:themeColor="text1"/>
          <w14:textFill>
            <w14:solidFill>
              <w14:schemeClr w14:val="tx1"/>
            </w14:solidFill>
          </w14:textFill>
        </w:rPr>
      </w:pPr>
      <w:r>
        <w:rPr>
          <w:rFonts w:hint="eastAsia" w:hAnsi="宋体" w:cs="宋体"/>
          <w:color w:val="000000" w:themeColor="text1"/>
          <w:lang w:val="en-US" w:eastAsia="zh-CN"/>
          <w14:textFill>
            <w14:solidFill>
              <w14:schemeClr w14:val="tx1"/>
            </w14:solidFill>
          </w14:textFill>
        </w:rPr>
        <w:t>b)</w:t>
      </w:r>
      <w:r>
        <w:rPr>
          <w:rFonts w:hint="eastAsia" w:ascii="宋体" w:hAnsi="宋体" w:cs="宋体"/>
          <w:color w:val="000000" w:themeColor="text1"/>
          <w:lang w:val="en-US" w:eastAsia="zh-CN"/>
          <w14:textFill>
            <w14:solidFill>
              <w14:schemeClr w14:val="tx1"/>
            </w14:solidFill>
          </w14:textFill>
        </w:rPr>
        <w:t>宜采用智能化或程序化手段辅助开停风过程，通过点击进入自动开风程序，系统自动检索炉体各关键连锁，连锁正常显示准备就绪，打开炉顶集烟阀的同时执行排烟系统钟罩、闸板自动打开、可动烟罩半开、送风阀自动打开，系统提示将炉体角度起炉到40度，当风量大于20000NM3/h和压力50kpa时，系统提示起炉到吹炼角度，同时可动烟罩自动关闭，炉顶集烟阀延时20秒自动关闭，转炉自动开风结束。转炉自动停风操作，点击自动停风程序启动，系统自动设定导叶开度5%、自动打开炉顶集烟阀、可动烟罩半开，当风量小于28000NM3/h和压力小于80kpa时，系统提示将炉体角度倒炉至60度，手动关闭送风阀即可。</w:t>
      </w:r>
    </w:p>
    <w:p>
      <w:pPr>
        <w:pStyle w:val="22"/>
        <w:spacing w:before="156" w:beforeLines="50" w:after="156" w:afterLines="50"/>
        <w:rPr>
          <w:rFonts w:hint="default" w:hAnsi="黑体" w:cs="黑体"/>
          <w:bCs/>
          <w:color w:val="000000" w:themeColor="text1"/>
          <w:lang w:val="en-US" w:eastAsia="zh-CN"/>
          <w14:textFill>
            <w14:solidFill>
              <w14:schemeClr w14:val="tx1"/>
            </w14:solidFill>
          </w14:textFill>
        </w:rPr>
      </w:pPr>
      <w:bookmarkStart w:id="68" w:name="_Toc21966"/>
      <w:bookmarkStart w:id="69" w:name="_Toc10828"/>
      <w:bookmarkStart w:id="70" w:name="_Toc25838"/>
      <w:bookmarkStart w:id="71" w:name="_Toc13779"/>
      <w:bookmarkStart w:id="72" w:name="_Toc26536"/>
      <w:r>
        <w:rPr>
          <w:rFonts w:hint="eastAsia" w:hAnsi="黑体" w:cs="黑体"/>
          <w:bCs/>
          <w:color w:val="000000" w:themeColor="text1"/>
          <w:lang w:val="en-US" w:eastAsia="zh-CN"/>
          <w14:textFill>
            <w14:solidFill>
              <w14:schemeClr w14:val="tx1"/>
            </w14:solidFill>
          </w14:textFill>
        </w:rPr>
        <w:t>3.5.2 转炉环集烟气治理技术要求</w:t>
      </w:r>
      <w:bookmarkEnd w:id="63"/>
      <w:bookmarkEnd w:id="68"/>
      <w:bookmarkEnd w:id="69"/>
      <w:bookmarkEnd w:id="70"/>
      <w:bookmarkEnd w:id="71"/>
      <w:bookmarkEnd w:id="72"/>
    </w:p>
    <w:p>
      <w:pPr>
        <w:spacing w:line="240" w:lineRule="auto"/>
        <w:ind w:left="218" w:leftChars="104" w:firstLine="420" w:firstLineChars="200"/>
        <w:jc w:val="left"/>
        <w:outlineLvl w:val="2"/>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应配</w:t>
      </w:r>
      <w:r>
        <w:rPr>
          <w:rFonts w:hint="eastAsia" w:ascii="宋体" w:hAnsi="宋体" w:cs="宋体"/>
          <w:color w:val="000000" w:themeColor="text1"/>
          <w:lang w:val="en-US" w:eastAsia="zh-CN"/>
          <w14:textFill>
            <w14:solidFill>
              <w14:schemeClr w14:val="tx1"/>
            </w14:solidFill>
          </w14:textFill>
        </w:rPr>
        <w:t>置弹簧烟罩、</w:t>
      </w:r>
      <w:r>
        <w:rPr>
          <w:rFonts w:hint="eastAsia" w:hAnsi="黑体" w:cs="黑体"/>
          <w:bCs/>
          <w:strike w:val="0"/>
          <w:color w:val="000000" w:themeColor="text1"/>
          <w:lang w:val="en-US" w:eastAsia="zh-CN"/>
          <w14:textFill>
            <w14:solidFill>
              <w14:schemeClr w14:val="tx1"/>
            </w14:solidFill>
          </w14:textFill>
        </w:rPr>
        <w:t>对开</w:t>
      </w:r>
      <w:r>
        <w:rPr>
          <w:rFonts w:hAnsi="黑体" w:cs="黑体"/>
          <w:bCs/>
          <w:color w:val="000000" w:themeColor="text1"/>
          <w14:textFill>
            <w14:solidFill>
              <w14:schemeClr w14:val="tx1"/>
            </w14:solidFill>
          </w14:textFill>
        </w:rPr>
        <w:t>式烟罩</w:t>
      </w:r>
      <w:r>
        <w:rPr>
          <w:rFonts w:hint="eastAsia" w:hAnsi="黑体" w:cs="黑体"/>
          <w:bCs/>
          <w:color w:val="000000" w:themeColor="text1"/>
          <w:lang w:val="en-US" w:eastAsia="zh-CN"/>
          <w14:textFill>
            <w14:solidFill>
              <w14:schemeClr w14:val="tx1"/>
            </w14:solidFill>
          </w14:textFill>
        </w:rPr>
        <w:t>及配套的</w:t>
      </w:r>
      <w:r>
        <w:rPr>
          <w:rFonts w:hint="eastAsia" w:ascii="宋体" w:hAnsi="宋体" w:cs="宋体"/>
          <w:color w:val="000000" w:themeColor="text1"/>
          <w14:textFill>
            <w14:solidFill>
              <w14:schemeClr w14:val="tx1"/>
            </w14:solidFill>
          </w14:textFill>
        </w:rPr>
        <w:t>环境集烟系统，实现</w:t>
      </w:r>
      <w:r>
        <w:rPr>
          <w:rFonts w:hint="eastAsia" w:ascii="宋体" w:hAnsi="宋体" w:cs="宋体"/>
          <w:color w:val="000000" w:themeColor="text1"/>
          <w:lang w:val="en-US" w:eastAsia="zh-CN"/>
          <w14:textFill>
            <w14:solidFill>
              <w14:schemeClr w14:val="tx1"/>
            </w14:solidFill>
          </w14:textFill>
        </w:rPr>
        <w:t>转炉环集烟气高效</w:t>
      </w:r>
      <w:r>
        <w:rPr>
          <w:rFonts w:hint="eastAsia" w:ascii="宋体" w:hAnsi="宋体" w:cs="宋体"/>
          <w:color w:val="000000" w:themeColor="text1"/>
          <w14:textFill>
            <w14:solidFill>
              <w14:schemeClr w14:val="tx1"/>
            </w14:solidFill>
          </w14:textFill>
        </w:rPr>
        <w:t>收集</w:t>
      </w:r>
      <w:r>
        <w:rPr>
          <w:rFonts w:hint="eastAsia" w:ascii="宋体" w:hAnsi="宋体" w:cs="宋体"/>
          <w:color w:val="000000" w:themeColor="text1"/>
          <w:lang w:val="en-US" w:eastAsia="zh-CN"/>
          <w14:textFill>
            <w14:solidFill>
              <w14:schemeClr w14:val="tx1"/>
            </w14:solidFill>
          </w14:textFill>
        </w:rPr>
        <w:t>及处理</w:t>
      </w:r>
      <w:r>
        <w:rPr>
          <w:rFonts w:hint="eastAsia" w:ascii="宋体" w:hAnsi="宋体" w:cs="宋体"/>
          <w:color w:val="000000" w:themeColor="text1"/>
          <w:lang w:eastAsia="zh-CN"/>
          <w14:textFill>
            <w14:solidFill>
              <w14:schemeClr w14:val="tx1"/>
            </w14:solidFill>
          </w14:textFill>
        </w:rPr>
        <w:t>。</w:t>
      </w:r>
    </w:p>
    <w:p>
      <w:pPr>
        <w:pStyle w:val="22"/>
        <w:keepNext w:val="0"/>
        <w:keepLines w:val="0"/>
        <w:pageBreakBefore w:val="0"/>
        <w:widowControl/>
        <w:kinsoku/>
        <w:wordWrap/>
        <w:overflowPunct/>
        <w:topLinePunct w:val="0"/>
        <w:autoSpaceDE/>
        <w:autoSpaceDN/>
        <w:bidi w:val="0"/>
        <w:adjustRightInd w:val="0"/>
        <w:snapToGrid/>
        <w:spacing w:before="156" w:beforeLines="50" w:after="156" w:afterLines="50"/>
        <w:textAlignment w:val="auto"/>
        <w:outlineLvl w:val="9"/>
        <w:rPr>
          <w:rFonts w:hint="eastAsia" w:hAnsi="黑体" w:cs="黑体"/>
          <w:bCs/>
          <w:color w:val="000000" w:themeColor="text1"/>
          <w:lang w:val="en-US" w:eastAsia="zh-CN"/>
          <w14:textFill>
            <w14:solidFill>
              <w14:schemeClr w14:val="tx1"/>
            </w14:solidFill>
          </w14:textFill>
        </w:rPr>
      </w:pPr>
      <w:bookmarkStart w:id="73" w:name="_Toc23567"/>
      <w:r>
        <w:rPr>
          <w:rFonts w:hint="eastAsia" w:hAnsi="黑体" w:cs="黑体"/>
          <w:bCs/>
          <w:color w:val="000000" w:themeColor="text1"/>
          <w:lang w:val="en-US" w:eastAsia="zh-CN"/>
          <w14:textFill>
            <w14:solidFill>
              <w14:schemeClr w14:val="tx1"/>
            </w14:solidFill>
          </w14:textFill>
        </w:rPr>
        <w:t>3.5.2.1 弹簧烟罩及对开式烟罩要求</w:t>
      </w:r>
      <w:bookmarkEnd w:id="73"/>
    </w:p>
    <w:p>
      <w:pPr>
        <w:spacing w:line="240" w:lineRule="auto"/>
        <w:ind w:left="218" w:leftChars="104" w:firstLine="420" w:firstLineChars="2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a）应配置配重式弹簧烟罩，与固定烟罩可靠连接，采用平衡配重吊挂缓冲结构，应具备自重回弹复位功能，可适配行车加料作业，快速闭合密封间隙，依托系统负压实现环集烟气收集。</w:t>
      </w:r>
    </w:p>
    <w:p>
      <w:pPr>
        <w:spacing w:line="240" w:lineRule="auto"/>
        <w:ind w:left="218" w:leftChars="104" w:firstLine="420" w:firstLineChars="200"/>
        <w:jc w:val="left"/>
        <w:outlineLvl w:val="2"/>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b）弹簧烟罩整体材质宜采用性能不低于Q235B钢材，其中面板宜采用不低于5mm厚钢板，加强筋宜采用不小</w:t>
      </w:r>
      <w:r>
        <w:rPr>
          <w:rFonts w:hint="eastAsia" w:ascii="宋体" w:hAnsi="宋体" w:cs="宋体"/>
          <w:color w:val="auto"/>
          <w:lang w:val="en-US" w:eastAsia="zh-CN"/>
        </w:rPr>
        <w:t>于90</w:t>
      </w:r>
      <w:r>
        <w:rPr>
          <w:rFonts w:hint="default" w:ascii="Arial" w:hAnsi="Arial" w:cs="Arial"/>
          <w:color w:val="auto"/>
          <w:lang w:val="en-US" w:eastAsia="zh-CN"/>
        </w:rPr>
        <w:t>×</w:t>
      </w:r>
      <w:r>
        <w:rPr>
          <w:rFonts w:hint="eastAsia" w:ascii="宋体" w:hAnsi="宋体" w:cs="宋体"/>
          <w:color w:val="auto"/>
          <w:lang w:val="en-US" w:eastAsia="zh-CN"/>
        </w:rPr>
        <w:t>6mm</w:t>
      </w:r>
      <w:r>
        <w:rPr>
          <w:rFonts w:hint="eastAsia" w:ascii="宋体" w:hAnsi="宋体" w:cs="宋体"/>
          <w:color w:val="000000" w:themeColor="text1"/>
          <w:lang w:val="en-US" w:eastAsia="zh-CN"/>
          <w14:textFill>
            <w14:solidFill>
              <w14:schemeClr w14:val="tx1"/>
            </w14:solidFill>
          </w14:textFill>
        </w:rPr>
        <w:t>的等边角钢。</w:t>
      </w:r>
    </w:p>
    <w:p>
      <w:pPr>
        <w:spacing w:line="240" w:lineRule="auto"/>
        <w:ind w:left="218" w:leftChars="104" w:firstLine="420" w:firstLineChars="2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c</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对开式烟罩配套平移驱动及导向机构。</w:t>
      </w:r>
    </w:p>
    <w:p>
      <w:pPr>
        <w:spacing w:line="240" w:lineRule="auto"/>
        <w:ind w:left="218" w:leftChars="104" w:firstLine="420" w:firstLineChars="2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d）对开式烟罩上结构宜采用水冷式，下部结构宜采用不小于10mmQ235B钢板焊接，炉体上方间隙不高于20mm。</w:t>
      </w:r>
    </w:p>
    <w:p>
      <w:pPr>
        <w:spacing w:line="240" w:lineRule="auto"/>
        <w:ind w:left="218" w:leftChars="104" w:firstLine="420" w:firstLineChars="2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e）各烟罩对接、活动衔接部位宜采用陶瓷纤维布等密封材料进行密封，装配间隙不大于10mm。</w:t>
      </w:r>
    </w:p>
    <w:p>
      <w:pPr>
        <w:pStyle w:val="22"/>
        <w:keepNext w:val="0"/>
        <w:keepLines w:val="0"/>
        <w:pageBreakBefore w:val="0"/>
        <w:widowControl/>
        <w:kinsoku/>
        <w:wordWrap/>
        <w:overflowPunct/>
        <w:topLinePunct w:val="0"/>
        <w:autoSpaceDE/>
        <w:autoSpaceDN/>
        <w:bidi w:val="0"/>
        <w:adjustRightInd w:val="0"/>
        <w:snapToGrid/>
        <w:spacing w:before="156" w:beforeLines="50" w:after="156" w:afterLines="50"/>
        <w:textAlignment w:val="auto"/>
        <w:outlineLvl w:val="9"/>
        <w:rPr>
          <w:rFonts w:hint="eastAsia" w:hAnsi="黑体" w:cs="黑体"/>
          <w:bCs/>
          <w:color w:val="000000" w:themeColor="text1"/>
          <w:lang w:val="en-US" w:eastAsia="zh-CN"/>
          <w14:textFill>
            <w14:solidFill>
              <w14:schemeClr w14:val="tx1"/>
            </w14:solidFill>
          </w14:textFill>
        </w:rPr>
      </w:pPr>
      <w:bookmarkStart w:id="74" w:name="_Toc7556"/>
      <w:r>
        <w:rPr>
          <w:rFonts w:hint="eastAsia" w:hAnsi="黑体" w:cs="黑体"/>
          <w:bCs/>
          <w:color w:val="000000" w:themeColor="text1"/>
          <w:lang w:val="en-US" w:eastAsia="zh-CN"/>
          <w14:textFill>
            <w14:solidFill>
              <w14:schemeClr w14:val="tx1"/>
            </w14:solidFill>
          </w14:textFill>
        </w:rPr>
        <w:t>3.5.2.2环境集烟系统要求</w:t>
      </w:r>
      <w:bookmarkEnd w:id="74"/>
    </w:p>
    <w:p>
      <w:pPr>
        <w:spacing w:line="240" w:lineRule="auto"/>
        <w:ind w:firstLine="420" w:firstLineChars="2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a）应配置转炉环境集烟管道，保障烟气收集稳定性。</w:t>
      </w:r>
    </w:p>
    <w:p>
      <w:pPr>
        <w:spacing w:line="240" w:lineRule="auto"/>
        <w:ind w:firstLine="420" w:firstLineChars="2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b）应配置集烟风机、流量调节阀门、实时压力监测仪表、专用集烟输送管道及完整的末端烟气治理设施，设备配置齐全，转炉每处集烟口设计烟气量不小于10000Nm3/h，集烟风机能力不低于40万Nm3/h。</w:t>
      </w:r>
    </w:p>
    <w:p>
      <w:pPr>
        <w:spacing w:line="240" w:lineRule="auto"/>
        <w:ind w:left="0" w:leftChars="0" w:firstLine="420" w:firstLineChars="2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c）环集系统负压控制要求：休风状态负压不小于-30Pa；加料、吹炼、倒渣、出铜、摇炉作业状态负压不小于-60Pa。</w:t>
      </w:r>
    </w:p>
    <w:p>
      <w:pPr>
        <w:spacing w:line="240" w:lineRule="auto"/>
        <w:ind w:left="0" w:leftChars="0" w:firstLine="420" w:firstLineChars="2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d）环集烟气经脱硫系统处理后，尾排SO2及颗粒物应符合</w:t>
      </w:r>
      <w:r>
        <w:rPr>
          <w:rFonts w:hint="eastAsia" w:ascii="宋体" w:hAnsi="宋体" w:eastAsia="宋体" w:cs="宋体"/>
          <w:color w:val="000000" w:themeColor="text1"/>
          <w:kern w:val="2"/>
          <w:sz w:val="21"/>
          <w:szCs w:val="21"/>
          <w:lang w:val="en-US" w:eastAsia="zh-CN" w:bidi="ar-SA"/>
          <w14:textFill>
            <w14:solidFill>
              <w14:schemeClr w14:val="tx1"/>
            </w14:solidFill>
          </w14:textFill>
        </w:rPr>
        <w:t>重污染天气重点行业应急减排措施制定技术指南（2020年修订版）铜冶炼行业绩效分级指标B级企业要求</w:t>
      </w:r>
      <w:r>
        <w:rPr>
          <w:rFonts w:hint="eastAsia" w:ascii="宋体" w:hAnsi="宋体" w:cs="宋体"/>
          <w:color w:val="000000" w:themeColor="text1"/>
          <w:lang w:val="en-US" w:eastAsia="zh-CN"/>
          <w14:textFill>
            <w14:solidFill>
              <w14:schemeClr w14:val="tx1"/>
            </w14:solidFill>
          </w14:textFill>
        </w:rPr>
        <w:t>，</w:t>
      </w:r>
      <w:r>
        <w:rPr>
          <w:rFonts w:hint="eastAsia" w:ascii="宋体" w:hAnsi="宋体" w:cs="宋体"/>
          <w:color w:val="000000" w:themeColor="text1"/>
          <w:lang w:val="zh-CN" w:eastAsia="zh-CN"/>
          <w14:textFill>
            <w14:solidFill>
              <w14:schemeClr w14:val="tx1"/>
            </w14:solidFill>
          </w14:textFill>
        </w:rPr>
        <w:t>转炉生产期间脱硫设施同步运行率100%</w:t>
      </w:r>
      <w:r>
        <w:rPr>
          <w:rFonts w:hint="eastAsia" w:ascii="宋体" w:hAnsi="宋体" w:cs="宋体"/>
          <w:color w:val="000000" w:themeColor="text1"/>
          <w:lang w:val="en-US" w:eastAsia="zh-CN"/>
          <w14:textFill>
            <w14:solidFill>
              <w14:schemeClr w14:val="tx1"/>
            </w14:solidFill>
          </w14:textFill>
        </w:rPr>
        <w:t>。</w:t>
      </w:r>
    </w:p>
    <w:p>
      <w:pPr>
        <w:pStyle w:val="22"/>
        <w:spacing w:before="156" w:beforeLines="50" w:after="156" w:afterLines="50"/>
        <w:rPr>
          <w:rFonts w:hint="default" w:hAnsi="黑体" w:cs="黑体"/>
          <w:bCs/>
          <w:color w:val="000000" w:themeColor="text1"/>
          <w14:textFill>
            <w14:solidFill>
              <w14:schemeClr w14:val="tx1"/>
            </w14:solidFill>
          </w14:textFill>
        </w:rPr>
      </w:pPr>
      <w:bookmarkStart w:id="75" w:name="_Toc18433"/>
      <w:bookmarkStart w:id="76" w:name="_Toc16907"/>
      <w:bookmarkStart w:id="77" w:name="_Toc31835"/>
      <w:bookmarkStart w:id="78" w:name="_Toc2045"/>
      <w:bookmarkStart w:id="79" w:name="_Toc5416"/>
      <w:r>
        <w:rPr>
          <w:rFonts w:hint="eastAsia" w:hAnsi="黑体" w:cs="黑体"/>
          <w:bCs/>
          <w:color w:val="000000" w:themeColor="text1"/>
          <w:lang w:val="en-US" w:eastAsia="zh-CN"/>
          <w14:textFill>
            <w14:solidFill>
              <w14:schemeClr w14:val="tx1"/>
            </w14:solidFill>
          </w14:textFill>
        </w:rPr>
        <w:t>3.5.3 转炉吹炼无组织烟气治理</w:t>
      </w:r>
      <w:r>
        <w:rPr>
          <w:rFonts w:hAnsi="黑体" w:cs="黑体"/>
          <w:bCs/>
          <w:color w:val="000000" w:themeColor="text1"/>
          <w14:textFill>
            <w14:solidFill>
              <w14:schemeClr w14:val="tx1"/>
            </w14:solidFill>
          </w14:textFill>
        </w:rPr>
        <w:t>技术要求</w:t>
      </w:r>
      <w:bookmarkEnd w:id="75"/>
      <w:bookmarkEnd w:id="76"/>
      <w:bookmarkEnd w:id="77"/>
      <w:bookmarkEnd w:id="78"/>
      <w:bookmarkEnd w:id="79"/>
    </w:p>
    <w:p>
      <w:pPr>
        <w:spacing w:line="240" w:lineRule="auto"/>
        <w:ind w:left="630" w:leftChars="200" w:hanging="210" w:hangingChars="1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应采用封闭式主厂房，实现无组织烟气高效收集。</w:t>
      </w:r>
    </w:p>
    <w:p>
      <w:pPr>
        <w:spacing w:line="240" w:lineRule="auto"/>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封闭式厂房结构要求如下：</w:t>
      </w:r>
    </w:p>
    <w:p>
      <w:pPr>
        <w:spacing w:line="240" w:lineRule="auto"/>
        <w:ind w:left="630" w:leftChars="200" w:hanging="210" w:hangingChars="1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a）主厂房应采用封闭式结构，对</w:t>
      </w:r>
      <w:r>
        <w:t>转炉吹炼熔体吊运区</w:t>
      </w:r>
      <w:r>
        <w:rPr>
          <w:rFonts w:hint="eastAsia"/>
        </w:rPr>
        <w:t>范围内</w:t>
      </w:r>
      <w:r>
        <w:t>厂房</w:t>
      </w:r>
      <w:r>
        <w:rPr>
          <w:rFonts w:hint="eastAsia"/>
        </w:rPr>
        <w:t>的</w:t>
      </w:r>
      <w:r>
        <w:t>屋面、门窗、气窗等敞开口位进行整体封闭</w:t>
      </w:r>
      <w:r>
        <w:rPr>
          <w:rFonts w:hint="eastAsia" w:ascii="宋体" w:hAnsi="宋体" w:cs="宋体"/>
          <w:color w:val="000000" w:themeColor="text1"/>
          <w:lang w:val="en-US" w:eastAsia="zh-CN"/>
          <w14:textFill>
            <w14:solidFill>
              <w14:schemeClr w14:val="tx1"/>
            </w14:solidFill>
          </w14:textFill>
        </w:rPr>
        <w:t>。</w:t>
      </w:r>
    </w:p>
    <w:p>
      <w:pPr>
        <w:spacing w:line="240" w:lineRule="auto"/>
        <w:ind w:left="630" w:leftChars="200" w:hanging="210" w:hangingChars="100"/>
        <w:jc w:val="left"/>
        <w:outlineLvl w:val="2"/>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b）主厂房应该符合建筑设计防火规范GB+50016-2014（2018）相关要求。</w:t>
      </w:r>
    </w:p>
    <w:p>
      <w:pPr>
        <w:pStyle w:val="9"/>
        <w:keepNext w:val="0"/>
        <w:keepLines w:val="0"/>
        <w:widowControl/>
        <w:suppressLineNumbers w:val="0"/>
        <w:spacing w:before="0" w:beforeAutospacing="0" w:after="0" w:afterAutospacing="0"/>
        <w:ind w:left="0" w:right="0" w:firstLine="420" w:firstLineChars="20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d) 封闭主厂房环集系统负压要求为：全封闭主厂房环集系统负压不小于-30Pa，可高效捕集烟罩微量逃逸烟气。</w:t>
      </w:r>
    </w:p>
    <w:p>
      <w:pPr>
        <w:spacing w:line="240" w:lineRule="auto"/>
        <w:ind w:left="630" w:leftChars="200" w:hanging="210" w:hangingChars="100"/>
        <w:jc w:val="left"/>
        <w:outlineLvl w:val="2"/>
        <w:rPr>
          <w:rFonts w:hint="default"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e）主厂房经封闭后，厂房周界适当位置宜设置视频测控装置，无可见烟气溢散。厂房周界宜按照GB 16297要求进行监测，空气质量标准应符合GB 16297要求。</w:t>
      </w:r>
    </w:p>
    <w:p>
      <w:pPr>
        <w:pStyle w:val="22"/>
        <w:spacing w:before="312" w:after="312" w:line="240" w:lineRule="auto"/>
        <w:outlineLvl w:val="1"/>
        <w:rPr>
          <w:rFonts w:hint="default" w:hAnsi="黑体" w:cs="黑体"/>
          <w:bCs/>
          <w:color w:val="000000" w:themeColor="text1"/>
          <w14:textFill>
            <w14:solidFill>
              <w14:schemeClr w14:val="tx1"/>
            </w14:solidFill>
          </w14:textFill>
        </w:rPr>
      </w:pPr>
      <w:bookmarkStart w:id="80" w:name="_Toc32510"/>
      <w:bookmarkStart w:id="81" w:name="_Toc22691"/>
      <w:bookmarkStart w:id="82" w:name="_Toc16754"/>
      <w:bookmarkStart w:id="83" w:name="_Toc24674"/>
      <w:bookmarkStart w:id="84" w:name="_Toc2845"/>
      <w:r>
        <w:rPr>
          <w:rFonts w:hint="eastAsia" w:hAnsi="黑体" w:cs="黑体"/>
          <w:bCs/>
          <w:color w:val="000000" w:themeColor="text1"/>
          <w:lang w:val="en-US" w:eastAsia="zh-CN"/>
          <w14:textFill>
            <w14:solidFill>
              <w14:schemeClr w14:val="tx1"/>
            </w14:solidFill>
          </w14:textFill>
        </w:rPr>
        <w:t>3.6</w:t>
      </w:r>
      <w:r>
        <w:rPr>
          <w:rFonts w:hAnsi="黑体" w:cs="黑体"/>
          <w:bCs/>
          <w:color w:val="000000" w:themeColor="text1"/>
          <w14:textFill>
            <w14:solidFill>
              <w14:schemeClr w14:val="tx1"/>
            </w14:solidFill>
          </w14:textFill>
        </w:rPr>
        <w:t xml:space="preserve">  监测要求</w:t>
      </w:r>
      <w:bookmarkEnd w:id="80"/>
      <w:bookmarkEnd w:id="81"/>
      <w:bookmarkEnd w:id="82"/>
      <w:bookmarkEnd w:id="83"/>
      <w:bookmarkEnd w:id="84"/>
      <w:r>
        <w:rPr>
          <w:rFonts w:hAnsi="黑体" w:cs="黑体"/>
          <w:bCs/>
          <w:color w:val="000000" w:themeColor="text1"/>
          <w14:textFill>
            <w14:solidFill>
              <w14:schemeClr w14:val="tx1"/>
            </w14:solidFill>
          </w14:textFill>
        </w:rPr>
        <w:t xml:space="preserve"> </w:t>
      </w:r>
    </w:p>
    <w:p>
      <w:pPr>
        <w:pStyle w:val="23"/>
        <w:ind w:firstLine="0" w:firstLineChars="0"/>
        <w:rPr>
          <w:color w:val="000000" w:themeColor="text1"/>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3.6</w:t>
      </w:r>
      <w:r>
        <w:rPr>
          <w:rFonts w:hint="eastAsia" w:ascii="黑体" w:hAnsi="黑体" w:eastAsia="黑体" w:cs="黑体"/>
          <w:color w:val="000000" w:themeColor="text1"/>
          <w14:textFill>
            <w14:solidFill>
              <w14:schemeClr w14:val="tx1"/>
            </w14:solidFill>
          </w14:textFill>
        </w:rPr>
        <w:t xml:space="preserve">.1 </w:t>
      </w:r>
      <w:r>
        <w:rPr>
          <w:color w:val="000000" w:themeColor="text1"/>
          <w14:textFill>
            <w14:solidFill>
              <w14:schemeClr w14:val="tx1"/>
            </w14:solidFill>
          </w14:textFill>
        </w:rPr>
        <w:t>应按照有关法律</w:t>
      </w:r>
      <w:r>
        <w:rPr>
          <w:rFonts w:hint="eastAsia"/>
          <w:color w:val="000000" w:themeColor="text1"/>
          <w14:textFill>
            <w14:solidFill>
              <w14:schemeClr w14:val="tx1"/>
            </w14:solidFill>
          </w14:textFill>
        </w:rPr>
        <w:t>及</w:t>
      </w:r>
      <w:r>
        <w:rPr>
          <w:color w:val="000000" w:themeColor="text1"/>
          <w14:textFill>
            <w14:solidFill>
              <w14:schemeClr w14:val="tx1"/>
            </w14:solidFill>
          </w14:textFill>
        </w:rPr>
        <w:t>HJ</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989</w:t>
      </w:r>
      <w:r>
        <w:rPr>
          <w:color w:val="000000" w:themeColor="text1"/>
          <w14:textFill>
            <w14:solidFill>
              <w14:schemeClr w14:val="tx1"/>
            </w14:solidFill>
          </w14:textFill>
        </w:rPr>
        <w:t>等规定，建立自行监测制度，制订自行监测方案，对大气污染物排放状况开展自行监测，保存原始监测记录不少于5年，按照相关规定公开污染物自行监测数据。</w:t>
      </w:r>
    </w:p>
    <w:p>
      <w:pPr>
        <w:pStyle w:val="23"/>
        <w:ind w:firstLine="0" w:firstLineChars="0"/>
        <w:rPr>
          <w:color w:val="000000" w:themeColor="text1"/>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3.6</w:t>
      </w:r>
      <w:r>
        <w:rPr>
          <w:rFonts w:hint="eastAsia" w:ascii="黑体" w:hAnsi="黑体" w:eastAsia="黑体" w:cs="黑体"/>
          <w:color w:val="000000" w:themeColor="text1"/>
          <w14:textFill>
            <w14:solidFill>
              <w14:schemeClr w14:val="tx1"/>
            </w14:solidFill>
          </w14:textFill>
        </w:rPr>
        <w:t xml:space="preserve">.2 </w:t>
      </w:r>
      <w:r>
        <w:rPr>
          <w:color w:val="000000" w:themeColor="text1"/>
          <w14:textFill>
            <w14:solidFill>
              <w14:schemeClr w14:val="tx1"/>
            </w14:solidFill>
          </w14:textFill>
        </w:rPr>
        <w:t>环境集烟脱硫尾气排气筒排放的</w:t>
      </w:r>
      <w:r>
        <w:rPr>
          <w:rFonts w:hint="eastAsia"/>
          <w:color w:val="000000" w:themeColor="text1"/>
          <w14:textFill>
            <w14:solidFill>
              <w14:schemeClr w14:val="tx1"/>
            </w14:solidFill>
          </w14:textFill>
        </w:rPr>
        <w:t>尾气</w:t>
      </w:r>
      <w:r>
        <w:rPr>
          <w:color w:val="000000" w:themeColor="text1"/>
          <w14:textFill>
            <w14:solidFill>
              <w14:schemeClr w14:val="tx1"/>
            </w14:solidFill>
          </w14:textFill>
        </w:rPr>
        <w:t>监测采样按照HJ</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1405的规定执行</w:t>
      </w:r>
      <w:r>
        <w:rPr>
          <w:rFonts w:hint="eastAsia"/>
          <w:color w:val="000000" w:themeColor="text1"/>
          <w14:textFill>
            <w14:solidFill>
              <w14:schemeClr w14:val="tx1"/>
            </w14:solidFill>
          </w14:textFill>
        </w:rPr>
        <w:t>。</w:t>
      </w:r>
    </w:p>
    <w:p>
      <w:pPr>
        <w:pStyle w:val="23"/>
        <w:ind w:firstLine="0" w:firstLineChars="0"/>
        <w:rPr>
          <w:color w:val="000000" w:themeColor="text1"/>
          <w:lang w:val="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3.6</w:t>
      </w:r>
      <w:r>
        <w:rPr>
          <w:rFonts w:hint="eastAsia" w:ascii="黑体" w:hAnsi="黑体" w:eastAsia="黑体" w:cs="黑体"/>
          <w:color w:val="000000" w:themeColor="text1"/>
          <w:lang w:val="zh-CN"/>
          <w14:textFill>
            <w14:solidFill>
              <w14:schemeClr w14:val="tx1"/>
            </w14:solidFill>
          </w14:textFill>
        </w:rPr>
        <w:t>.</w:t>
      </w:r>
      <w:r>
        <w:rPr>
          <w:rFonts w:hint="eastAsia" w:ascii="黑体" w:hAnsi="黑体" w:eastAsia="黑体" w:cs="黑体"/>
          <w:color w:val="000000" w:themeColor="text1"/>
          <w14:textFill>
            <w14:solidFill>
              <w14:schemeClr w14:val="tx1"/>
            </w14:solidFill>
          </w14:textFill>
        </w:rPr>
        <w:t>3</w:t>
      </w:r>
      <w:r>
        <w:rPr>
          <w:rFonts w:hint="eastAsia" w:ascii="黑体" w:hAnsi="黑体" w:eastAsia="黑体" w:cs="黑体"/>
          <w:color w:val="000000" w:themeColor="text1"/>
          <w:lang w:val="zh-CN"/>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厂</w:t>
      </w:r>
      <w:r>
        <w:rPr>
          <w:color w:val="000000" w:themeColor="text1"/>
          <w:lang w:val="zh-CN"/>
          <w14:textFill>
            <w14:solidFill>
              <w14:schemeClr w14:val="tx1"/>
            </w14:solidFill>
          </w14:textFill>
        </w:rPr>
        <w:t>边界大气污染物监测按照HJ/T</w:t>
      </w:r>
      <w:r>
        <w:rPr>
          <w:rFonts w:hint="eastAsia"/>
          <w:color w:val="000000" w:themeColor="text1"/>
          <w14:textFill>
            <w14:solidFill>
              <w14:schemeClr w14:val="tx1"/>
            </w14:solidFill>
          </w14:textFill>
        </w:rPr>
        <w:t xml:space="preserve"> </w:t>
      </w:r>
      <w:r>
        <w:rPr>
          <w:color w:val="000000" w:themeColor="text1"/>
          <w:lang w:val="zh-CN"/>
          <w14:textFill>
            <w14:solidFill>
              <w14:schemeClr w14:val="tx1"/>
            </w14:solidFill>
          </w14:textFill>
        </w:rPr>
        <w:t>55</w:t>
      </w:r>
      <w:r>
        <w:rPr>
          <w:rFonts w:hint="eastAsia"/>
          <w:color w:val="000000" w:themeColor="text1"/>
          <w14:textFill>
            <w14:solidFill>
              <w14:schemeClr w14:val="tx1"/>
            </w14:solidFill>
          </w14:textFill>
        </w:rPr>
        <w:t>和</w:t>
      </w:r>
      <w:r>
        <w:rPr>
          <w:color w:val="000000" w:themeColor="text1"/>
          <w:lang w:val="zh-CN"/>
          <w14:textFill>
            <w14:solidFill>
              <w14:schemeClr w14:val="tx1"/>
            </w14:solidFill>
          </w14:textFill>
        </w:rPr>
        <w:t>GB</w:t>
      </w:r>
      <w:r>
        <w:rPr>
          <w:rFonts w:hint="eastAsia"/>
          <w:color w:val="000000" w:themeColor="text1"/>
          <w14:textFill>
            <w14:solidFill>
              <w14:schemeClr w14:val="tx1"/>
            </w14:solidFill>
          </w14:textFill>
        </w:rPr>
        <w:t xml:space="preserve"> </w:t>
      </w:r>
      <w:r>
        <w:rPr>
          <w:color w:val="000000" w:themeColor="text1"/>
          <w:lang w:val="zh-CN"/>
          <w14:textFill>
            <w14:solidFill>
              <w14:schemeClr w14:val="tx1"/>
            </w14:solidFill>
          </w14:textFill>
        </w:rPr>
        <w:t>16297</w:t>
      </w:r>
      <w:r>
        <w:rPr>
          <w:rFonts w:hint="eastAsia"/>
          <w:color w:val="000000" w:themeColor="text1"/>
          <w14:textFill>
            <w14:solidFill>
              <w14:schemeClr w14:val="tx1"/>
            </w14:solidFill>
          </w14:textFill>
        </w:rPr>
        <w:t>执行</w:t>
      </w:r>
      <w:r>
        <w:rPr>
          <w:rFonts w:hint="eastAsia"/>
          <w:color w:val="000000" w:themeColor="text1"/>
          <w:lang w:val="zh-CN"/>
          <w14:textFill>
            <w14:solidFill>
              <w14:schemeClr w14:val="tx1"/>
            </w14:solidFill>
          </w14:textFill>
        </w:rPr>
        <w:t>。</w:t>
      </w:r>
    </w:p>
    <w:p>
      <w:pPr>
        <w:pStyle w:val="22"/>
        <w:spacing w:before="312" w:after="312" w:line="240" w:lineRule="auto"/>
        <w:outlineLvl w:val="1"/>
        <w:rPr>
          <w:rFonts w:hint="default" w:hAnsi="黑体" w:cs="黑体"/>
          <w:bCs/>
          <w:color w:val="000000" w:themeColor="text1"/>
          <w14:textFill>
            <w14:solidFill>
              <w14:schemeClr w14:val="tx1"/>
            </w14:solidFill>
          </w14:textFill>
        </w:rPr>
      </w:pPr>
      <w:bookmarkStart w:id="85" w:name="_Toc23074"/>
      <w:bookmarkStart w:id="86" w:name="_Toc14195"/>
      <w:bookmarkStart w:id="87" w:name="_Toc1354"/>
      <w:bookmarkStart w:id="88" w:name="_Toc3766"/>
      <w:bookmarkStart w:id="89" w:name="_Toc17719"/>
      <w:bookmarkStart w:id="90" w:name="_Toc28984"/>
      <w:bookmarkStart w:id="91" w:name="_Toc3500"/>
      <w:bookmarkStart w:id="92" w:name="_Toc13495708"/>
      <w:bookmarkStart w:id="93" w:name="_Toc401932862"/>
      <w:bookmarkStart w:id="94" w:name="_Toc4253"/>
      <w:bookmarkStart w:id="95" w:name="_Toc401932728"/>
      <w:bookmarkStart w:id="96" w:name="_Toc401932676"/>
      <w:r>
        <w:rPr>
          <w:rFonts w:hint="eastAsia" w:hAnsi="黑体" w:cs="黑体"/>
          <w:bCs/>
          <w:color w:val="000000" w:themeColor="text1"/>
          <w:lang w:val="en-US" w:eastAsia="zh-CN"/>
          <w14:textFill>
            <w14:solidFill>
              <w14:schemeClr w14:val="tx1"/>
            </w14:solidFill>
          </w14:textFill>
        </w:rPr>
        <w:t>3.7</w:t>
      </w:r>
      <w:r>
        <w:rPr>
          <w:rFonts w:hAnsi="黑体" w:cs="黑体"/>
          <w:bCs/>
          <w:color w:val="000000" w:themeColor="text1"/>
          <w14:textFill>
            <w14:solidFill>
              <w14:schemeClr w14:val="tx1"/>
            </w14:solidFill>
          </w14:textFill>
        </w:rPr>
        <w:t xml:space="preserve">  运行管理</w:t>
      </w:r>
      <w:bookmarkEnd w:id="85"/>
      <w:bookmarkEnd w:id="86"/>
      <w:bookmarkEnd w:id="87"/>
      <w:bookmarkEnd w:id="88"/>
      <w:bookmarkEnd w:id="89"/>
    </w:p>
    <w:p>
      <w:pPr>
        <w:spacing w:line="240" w:lineRule="auto"/>
        <w:ind w:firstLine="0" w:firstLineChars="0"/>
        <w:jc w:val="left"/>
        <w:rPr>
          <w:rFonts w:ascii="宋体" w:hAnsi="Times New Roman"/>
          <w:color w:val="000000" w:themeColor="text1"/>
          <w:kern w:val="0"/>
          <w:szCs w:val="20"/>
          <w14:textFill>
            <w14:solidFill>
              <w14:schemeClr w14:val="tx1"/>
            </w14:solidFill>
          </w14:textFill>
        </w:rPr>
      </w:pPr>
      <w:bookmarkStart w:id="97" w:name="_Toc24550"/>
      <w:r>
        <w:rPr>
          <w:rFonts w:hint="eastAsia" w:ascii="黑体" w:hAnsi="黑体" w:eastAsia="黑体" w:cs="黑体"/>
          <w:color w:val="000000" w:themeColor="text1"/>
          <w:kern w:val="0"/>
          <w:szCs w:val="20"/>
          <w:lang w:val="en-US" w:eastAsia="zh-CN"/>
          <w14:textFill>
            <w14:solidFill>
              <w14:schemeClr w14:val="tx1"/>
            </w14:solidFill>
          </w14:textFill>
        </w:rPr>
        <w:t>3.7</w:t>
      </w:r>
      <w:r>
        <w:rPr>
          <w:rFonts w:hint="eastAsia" w:ascii="黑体" w:hAnsi="黑体" w:eastAsia="黑体" w:cs="黑体"/>
          <w:color w:val="000000" w:themeColor="text1"/>
          <w:kern w:val="0"/>
          <w:szCs w:val="20"/>
          <w14:textFill>
            <w14:solidFill>
              <w14:schemeClr w14:val="tx1"/>
            </w14:solidFill>
          </w14:textFill>
        </w:rPr>
        <w:t xml:space="preserve">.1 </w:t>
      </w:r>
      <w:r>
        <w:rPr>
          <w:rFonts w:hint="eastAsia" w:ascii="宋体" w:hAnsi="Times New Roman"/>
          <w:color w:val="000000" w:themeColor="text1"/>
          <w:kern w:val="0"/>
          <w:szCs w:val="20"/>
          <w14:textFill>
            <w14:solidFill>
              <w14:schemeClr w14:val="tx1"/>
            </w14:solidFill>
          </w14:textFill>
        </w:rPr>
        <w:t>应制定对应的操作规程并组织培训，操作员严格按照规程执行，对运行参数监控，工况变化时同步调整参数，规范记录。</w:t>
      </w:r>
    </w:p>
    <w:p>
      <w:pPr>
        <w:spacing w:line="240" w:lineRule="auto"/>
        <w:ind w:firstLine="0" w:firstLineChars="0"/>
        <w:jc w:val="left"/>
        <w:rPr>
          <w:rFonts w:ascii="宋体" w:hAnsi="Times New Roman"/>
          <w:color w:val="000000" w:themeColor="text1"/>
          <w:kern w:val="0"/>
          <w:szCs w:val="20"/>
          <w14:textFill>
            <w14:solidFill>
              <w14:schemeClr w14:val="tx1"/>
            </w14:solidFill>
          </w14:textFill>
        </w:rPr>
      </w:pPr>
      <w:r>
        <w:rPr>
          <w:rFonts w:hint="eastAsia" w:ascii="黑体" w:hAnsi="黑体" w:eastAsia="黑体" w:cs="黑体"/>
          <w:color w:val="000000" w:themeColor="text1"/>
          <w:kern w:val="0"/>
          <w:szCs w:val="20"/>
          <w:lang w:val="en-US" w:eastAsia="zh-CN"/>
          <w14:textFill>
            <w14:solidFill>
              <w14:schemeClr w14:val="tx1"/>
            </w14:solidFill>
          </w14:textFill>
        </w:rPr>
        <w:t>3.7</w:t>
      </w:r>
      <w:r>
        <w:rPr>
          <w:rFonts w:hint="eastAsia" w:ascii="黑体" w:hAnsi="黑体" w:eastAsia="黑体" w:cs="黑体"/>
          <w:color w:val="000000" w:themeColor="text1"/>
          <w:kern w:val="0"/>
          <w:szCs w:val="20"/>
          <w14:textFill>
            <w14:solidFill>
              <w14:schemeClr w14:val="tx1"/>
            </w14:solidFill>
          </w14:textFill>
        </w:rPr>
        <w:t>.2</w:t>
      </w:r>
      <w:r>
        <w:rPr>
          <w:rFonts w:hint="eastAsia" w:ascii="宋体" w:hAnsi="Times New Roman"/>
          <w:color w:val="000000" w:themeColor="text1"/>
          <w:kern w:val="0"/>
          <w:szCs w:val="20"/>
          <w14:textFill>
            <w14:solidFill>
              <w14:schemeClr w14:val="tx1"/>
            </w14:solidFill>
          </w14:textFill>
        </w:rPr>
        <w:t xml:space="preserve"> 应对相关设备设施定期检查，出现异常及时修复；应规范记录检查、维护、维修和更换信息。</w:t>
      </w:r>
    </w:p>
    <w:p>
      <w:pPr>
        <w:spacing w:line="240" w:lineRule="auto"/>
        <w:ind w:firstLine="0" w:firstLineChars="0"/>
        <w:jc w:val="left"/>
        <w:rPr>
          <w:rFonts w:hAnsi="黑体" w:cs="黑体"/>
          <w:bCs/>
          <w:color w:val="000000" w:themeColor="text1"/>
          <w14:textFill>
            <w14:solidFill>
              <w14:schemeClr w14:val="tx1"/>
            </w14:solidFill>
          </w14:textFill>
        </w:rPr>
      </w:pPr>
      <w:r>
        <w:rPr>
          <w:rFonts w:hint="eastAsia" w:ascii="黑体" w:hAnsi="黑体" w:eastAsia="黑体" w:cs="黑体"/>
          <w:color w:val="000000" w:themeColor="text1"/>
          <w:kern w:val="0"/>
          <w:szCs w:val="20"/>
          <w:lang w:val="en-US" w:eastAsia="zh-CN"/>
          <w14:textFill>
            <w14:solidFill>
              <w14:schemeClr w14:val="tx1"/>
            </w14:solidFill>
          </w14:textFill>
        </w:rPr>
        <w:t>3.7</w:t>
      </w:r>
      <w:r>
        <w:rPr>
          <w:rFonts w:hint="eastAsia" w:ascii="黑体" w:hAnsi="黑体" w:eastAsia="黑体" w:cs="黑体"/>
          <w:color w:val="000000" w:themeColor="text1"/>
          <w:kern w:val="0"/>
          <w:szCs w:val="20"/>
          <w14:textFill>
            <w14:solidFill>
              <w14:schemeClr w14:val="tx1"/>
            </w14:solidFill>
          </w14:textFill>
        </w:rPr>
        <w:t xml:space="preserve">.3 </w:t>
      </w:r>
      <w:r>
        <w:rPr>
          <w:rFonts w:hint="eastAsia" w:hAnsi="黑体" w:cs="黑体"/>
          <w:bCs/>
          <w:color w:val="000000" w:themeColor="text1"/>
          <w14:textFill>
            <w14:solidFill>
              <w14:schemeClr w14:val="tx1"/>
            </w14:solidFill>
          </w14:textFill>
        </w:rPr>
        <w:t>应对检测元件定期检查、校准，确保检测数据的稳定性和准确性。</w:t>
      </w:r>
    </w:p>
    <w:p>
      <w:pPr>
        <w:spacing w:line="240" w:lineRule="auto"/>
        <w:ind w:firstLine="0" w:firstLineChars="0"/>
        <w:jc w:val="left"/>
        <w:rPr>
          <w:rFonts w:hAnsi="黑体" w:cs="黑体"/>
          <w:bCs/>
          <w:color w:val="000000" w:themeColor="text1"/>
          <w14:textFill>
            <w14:solidFill>
              <w14:schemeClr w14:val="tx1"/>
            </w14:solidFill>
          </w14:textFill>
        </w:rPr>
      </w:pPr>
      <w:r>
        <w:rPr>
          <w:rFonts w:hint="eastAsia" w:ascii="黑体" w:hAnsi="黑体" w:eastAsia="黑体" w:cs="黑体"/>
          <w:color w:val="000000" w:themeColor="text1"/>
          <w:kern w:val="0"/>
          <w:szCs w:val="20"/>
          <w:lang w:val="en-US" w:eastAsia="zh-CN"/>
          <w14:textFill>
            <w14:solidFill>
              <w14:schemeClr w14:val="tx1"/>
            </w14:solidFill>
          </w14:textFill>
        </w:rPr>
        <w:t>3.7</w:t>
      </w:r>
      <w:r>
        <w:rPr>
          <w:rFonts w:hint="eastAsia" w:ascii="黑体" w:hAnsi="黑体" w:eastAsia="黑体" w:cs="黑体"/>
          <w:color w:val="000000" w:themeColor="text1"/>
          <w:kern w:val="0"/>
          <w:szCs w:val="20"/>
          <w14:textFill>
            <w14:solidFill>
              <w14:schemeClr w14:val="tx1"/>
            </w14:solidFill>
          </w14:textFill>
        </w:rPr>
        <w:t xml:space="preserve">.4 </w:t>
      </w:r>
      <w:r>
        <w:rPr>
          <w:rFonts w:hint="eastAsia" w:hAnsi="黑体" w:cs="黑体"/>
          <w:bCs/>
          <w:color w:val="000000" w:themeColor="text1"/>
          <w14:textFill>
            <w14:solidFill>
              <w14:schemeClr w14:val="tx1"/>
            </w14:solidFill>
          </w14:textFill>
        </w:rPr>
        <w:t>应常备易损件，出现故障时及时更换。</w:t>
      </w:r>
    </w:p>
    <w:p>
      <w:pPr>
        <w:pStyle w:val="22"/>
        <w:spacing w:before="312" w:after="312" w:line="240" w:lineRule="auto"/>
        <w:outlineLvl w:val="1"/>
        <w:rPr>
          <w:rFonts w:hint="default" w:hAnsi="黑体" w:cs="黑体"/>
          <w:bCs/>
          <w:color w:val="000000" w:themeColor="text1"/>
          <w14:textFill>
            <w14:solidFill>
              <w14:schemeClr w14:val="tx1"/>
            </w14:solidFill>
          </w14:textFill>
        </w:rPr>
      </w:pPr>
      <w:bookmarkStart w:id="98" w:name="_Toc29282"/>
      <w:bookmarkStart w:id="99" w:name="_Toc27024"/>
      <w:bookmarkStart w:id="100" w:name="_Toc6449"/>
      <w:bookmarkStart w:id="101" w:name="_Toc15435"/>
      <w:r>
        <w:rPr>
          <w:rFonts w:hint="eastAsia" w:hAnsi="黑体" w:cs="黑体"/>
          <w:bCs/>
          <w:color w:val="000000" w:themeColor="text1"/>
          <w:lang w:val="en-US" w:eastAsia="zh-CN"/>
          <w14:textFill>
            <w14:solidFill>
              <w14:schemeClr w14:val="tx1"/>
            </w14:solidFill>
          </w14:textFill>
        </w:rPr>
        <w:t>3.8</w:t>
      </w:r>
      <w:r>
        <w:rPr>
          <w:rFonts w:hAnsi="黑体" w:cs="黑体"/>
          <w:bCs/>
          <w:color w:val="000000" w:themeColor="text1"/>
          <w14:textFill>
            <w14:solidFill>
              <w14:schemeClr w14:val="tx1"/>
            </w14:solidFill>
          </w14:textFill>
        </w:rPr>
        <w:t xml:space="preserve">  应急管控</w:t>
      </w:r>
      <w:bookmarkEnd w:id="97"/>
      <w:bookmarkEnd w:id="98"/>
      <w:bookmarkEnd w:id="99"/>
      <w:bookmarkEnd w:id="100"/>
      <w:bookmarkEnd w:id="101"/>
    </w:p>
    <w:bookmarkEnd w:id="90"/>
    <w:bookmarkEnd w:id="91"/>
    <w:p>
      <w:pPr>
        <w:spacing w:line="240" w:lineRule="auto"/>
        <w:ind w:firstLine="0" w:firstLineChars="0"/>
        <w:jc w:val="left"/>
        <w:rPr>
          <w:rFonts w:ascii="宋体" w:hAnsi="Times New Roman"/>
          <w:color w:val="000000" w:themeColor="text1"/>
          <w:kern w:val="0"/>
          <w:szCs w:val="20"/>
          <w14:textFill>
            <w14:solidFill>
              <w14:schemeClr w14:val="tx1"/>
            </w14:solidFill>
          </w14:textFill>
        </w:rPr>
      </w:pPr>
      <w:r>
        <w:rPr>
          <w:rFonts w:hint="eastAsia" w:ascii="黑体" w:hAnsi="黑体" w:eastAsia="黑体" w:cs="黑体"/>
          <w:color w:val="000000" w:themeColor="text1"/>
          <w:kern w:val="0"/>
          <w:szCs w:val="20"/>
          <w:lang w:val="en-US" w:eastAsia="zh-CN"/>
          <w14:textFill>
            <w14:solidFill>
              <w14:schemeClr w14:val="tx1"/>
            </w14:solidFill>
          </w14:textFill>
        </w:rPr>
        <w:t>3.8</w:t>
      </w:r>
      <w:r>
        <w:rPr>
          <w:rFonts w:hint="eastAsia" w:ascii="黑体" w:hAnsi="黑体" w:eastAsia="黑体" w:cs="黑体"/>
          <w:color w:val="000000" w:themeColor="text1"/>
          <w:kern w:val="0"/>
          <w:szCs w:val="20"/>
          <w14:textFill>
            <w14:solidFill>
              <w14:schemeClr w14:val="tx1"/>
            </w14:solidFill>
          </w14:textFill>
        </w:rPr>
        <w:t xml:space="preserve">.1 </w:t>
      </w:r>
      <w:r>
        <w:rPr>
          <w:rFonts w:hint="eastAsia" w:ascii="宋体" w:hAnsi="Times New Roman"/>
          <w:color w:val="000000" w:themeColor="text1"/>
          <w:kern w:val="0"/>
          <w:szCs w:val="20"/>
          <w14:textFill>
            <w14:solidFill>
              <w14:schemeClr w14:val="tx1"/>
            </w14:solidFill>
          </w14:textFill>
        </w:rPr>
        <w:t>制定异常工况应急处置流程，针对负压不足、烟罩密封失效等情况明确管控措施，烟罩密封失效时采用应急密封材料临时密闭，必要时暂停生产，杜绝烟气逸散；</w:t>
      </w:r>
    </w:p>
    <w:p>
      <w:pPr>
        <w:spacing w:line="240" w:lineRule="auto"/>
        <w:jc w:val="left"/>
        <w:rPr>
          <w:rFonts w:ascii="宋体" w:hAnsi="Times New Roman"/>
          <w:color w:val="000000" w:themeColor="text1"/>
          <w:kern w:val="0"/>
          <w:szCs w:val="20"/>
          <w14:textFill>
            <w14:solidFill>
              <w14:schemeClr w14:val="tx1"/>
            </w14:solidFill>
          </w14:textFill>
        </w:rPr>
      </w:pPr>
      <w:r>
        <w:rPr>
          <w:rFonts w:hint="eastAsia" w:ascii="黑体" w:hAnsi="黑体" w:eastAsia="黑体" w:cs="黑体"/>
          <w:color w:val="000000" w:themeColor="text1"/>
          <w:kern w:val="0"/>
          <w:szCs w:val="20"/>
          <w:lang w:val="en-US" w:eastAsia="zh-CN"/>
          <w14:textFill>
            <w14:solidFill>
              <w14:schemeClr w14:val="tx1"/>
            </w14:solidFill>
          </w14:textFill>
        </w:rPr>
        <w:t>3.8</w:t>
      </w:r>
      <w:r>
        <w:rPr>
          <w:rFonts w:hint="eastAsia" w:ascii="黑体" w:hAnsi="黑体" w:eastAsia="黑体" w:cs="黑体"/>
          <w:color w:val="000000" w:themeColor="text1"/>
          <w:kern w:val="0"/>
          <w:szCs w:val="20"/>
          <w14:textFill>
            <w14:solidFill>
              <w14:schemeClr w14:val="tx1"/>
            </w14:solidFill>
          </w14:textFill>
        </w:rPr>
        <w:t>.2</w:t>
      </w:r>
      <w:r>
        <w:rPr>
          <w:rFonts w:hint="eastAsia" w:ascii="宋体" w:hAnsi="Times New Roman"/>
          <w:color w:val="000000" w:themeColor="text1"/>
          <w:kern w:val="0"/>
          <w:szCs w:val="20"/>
          <w14:textFill>
            <w14:solidFill>
              <w14:schemeClr w14:val="tx1"/>
            </w14:solidFill>
          </w14:textFill>
        </w:rPr>
        <w:t xml:space="preserve"> 配备应急密封物资，定期开展应急演练提升处置能力；</w:t>
      </w:r>
    </w:p>
    <w:p>
      <w:pPr>
        <w:spacing w:line="240" w:lineRule="auto"/>
        <w:jc w:val="left"/>
        <w:rPr>
          <w:rFonts w:ascii="宋体" w:hAnsi="Times New Roman"/>
          <w:color w:val="000000" w:themeColor="text1"/>
          <w:kern w:val="0"/>
          <w:szCs w:val="20"/>
          <w14:textFill>
            <w14:solidFill>
              <w14:schemeClr w14:val="tx1"/>
            </w14:solidFill>
          </w14:textFill>
        </w:rPr>
      </w:pPr>
      <w:r>
        <w:rPr>
          <w:rFonts w:hint="eastAsia" w:ascii="黑体" w:hAnsi="黑体" w:eastAsia="黑体" w:cs="黑体"/>
          <w:color w:val="000000" w:themeColor="text1"/>
          <w:kern w:val="0"/>
          <w:szCs w:val="20"/>
          <w:lang w:val="en-US" w:eastAsia="zh-CN"/>
          <w14:textFill>
            <w14:solidFill>
              <w14:schemeClr w14:val="tx1"/>
            </w14:solidFill>
          </w14:textFill>
        </w:rPr>
        <w:t>3.8.</w:t>
      </w:r>
      <w:r>
        <w:rPr>
          <w:rFonts w:hint="eastAsia" w:ascii="黑体" w:hAnsi="黑体" w:eastAsia="黑体" w:cs="黑体"/>
          <w:color w:val="000000" w:themeColor="text1"/>
          <w:kern w:val="0"/>
          <w:szCs w:val="20"/>
          <w14:textFill>
            <w14:solidFill>
              <w14:schemeClr w14:val="tx1"/>
            </w14:solidFill>
          </w14:textFill>
        </w:rPr>
        <w:t xml:space="preserve">3 </w:t>
      </w:r>
      <w:r>
        <w:rPr>
          <w:rFonts w:hint="eastAsia" w:ascii="宋体" w:hAnsi="Times New Roman"/>
          <w:color w:val="000000" w:themeColor="text1"/>
          <w:kern w:val="0"/>
          <w:szCs w:val="20"/>
          <w14:textFill>
            <w14:solidFill>
              <w14:schemeClr w14:val="tx1"/>
            </w14:solidFill>
          </w14:textFill>
        </w:rPr>
        <w:t>建立应急处置全程记录机制，形成闭环管理； 明确各岗位应急响应职责，建立分级预警机制；</w:t>
      </w:r>
    </w:p>
    <w:p>
      <w:pPr>
        <w:spacing w:line="240" w:lineRule="auto"/>
        <w:jc w:val="left"/>
        <w:rPr>
          <w:rFonts w:ascii="宋体" w:hAnsi="Times New Roman"/>
          <w:color w:val="000000" w:themeColor="text1"/>
          <w:kern w:val="0"/>
          <w:szCs w:val="20"/>
          <w14:textFill>
            <w14:solidFill>
              <w14:schemeClr w14:val="tx1"/>
            </w14:solidFill>
          </w14:textFill>
        </w:rPr>
      </w:pPr>
      <w:r>
        <w:rPr>
          <w:rFonts w:hint="eastAsia" w:ascii="黑体" w:hAnsi="黑体" w:eastAsia="黑体" w:cs="黑体"/>
          <w:color w:val="000000" w:themeColor="text1"/>
          <w:kern w:val="0"/>
          <w:szCs w:val="20"/>
          <w:lang w:val="en-US" w:eastAsia="zh-CN"/>
          <w14:textFill>
            <w14:solidFill>
              <w14:schemeClr w14:val="tx1"/>
            </w14:solidFill>
          </w14:textFill>
        </w:rPr>
        <w:t>3.8</w:t>
      </w:r>
      <w:r>
        <w:rPr>
          <w:rFonts w:hint="eastAsia" w:ascii="黑体" w:hAnsi="黑体" w:eastAsia="黑体" w:cs="黑体"/>
          <w:color w:val="000000" w:themeColor="text1"/>
          <w:kern w:val="0"/>
          <w:szCs w:val="20"/>
          <w14:textFill>
            <w14:solidFill>
              <w14:schemeClr w14:val="tx1"/>
            </w14:solidFill>
          </w14:textFill>
        </w:rPr>
        <w:t xml:space="preserve">.4 </w:t>
      </w:r>
      <w:r>
        <w:rPr>
          <w:rFonts w:hint="eastAsia" w:ascii="宋体" w:hAnsi="Times New Roman"/>
          <w:color w:val="000000" w:themeColor="text1"/>
          <w:kern w:val="0"/>
          <w:szCs w:val="20"/>
          <w14:textFill>
            <w14:solidFill>
              <w14:schemeClr w14:val="tx1"/>
            </w14:solidFill>
          </w14:textFill>
        </w:rPr>
        <w:t>每日检查应急监测设备，每月试运行备用风机； 每季度组织综合应急演练，模拟叠加场景考核协同能力。</w:t>
      </w:r>
    </w:p>
    <w:p>
      <w:pPr>
        <w:spacing w:line="240" w:lineRule="auto"/>
        <w:jc w:val="left"/>
        <w:rPr>
          <w:rFonts w:ascii="Times New Roman" w:hAnsi="Times New Roman"/>
          <w:kern w:val="0"/>
          <w:szCs w:val="20"/>
          <w:highlight w:val="cyan"/>
        </w:rPr>
      </w:pPr>
      <w:r>
        <w:rPr>
          <w:rFonts w:hint="eastAsia" w:ascii="黑体" w:hAnsi="黑体" w:eastAsia="黑体" w:cs="黑体"/>
          <w:color w:val="000000" w:themeColor="text1"/>
          <w:kern w:val="0"/>
          <w:szCs w:val="20"/>
          <w:lang w:val="en-US" w:eastAsia="zh-CN"/>
          <w14:textFill>
            <w14:solidFill>
              <w14:schemeClr w14:val="tx1"/>
            </w14:solidFill>
          </w14:textFill>
        </w:rPr>
        <w:t>3.8</w:t>
      </w:r>
      <w:r>
        <w:rPr>
          <w:rFonts w:hint="eastAsia" w:ascii="黑体" w:hAnsi="黑体" w:eastAsia="黑体" w:cs="黑体"/>
          <w:color w:val="000000" w:themeColor="text1"/>
          <w:kern w:val="0"/>
          <w:szCs w:val="20"/>
          <w14:textFill>
            <w14:solidFill>
              <w14:schemeClr w14:val="tx1"/>
            </w14:solidFill>
          </w14:textFill>
        </w:rPr>
        <w:t xml:space="preserve">.5 </w:t>
      </w:r>
      <w:r>
        <w:rPr>
          <w:rFonts w:hint="eastAsia" w:ascii="宋体" w:hAnsi="Times New Roman"/>
          <w:color w:val="000000" w:themeColor="text1"/>
          <w:kern w:val="0"/>
          <w:szCs w:val="20"/>
          <w14:textFill>
            <w14:solidFill>
              <w14:schemeClr w14:val="tx1"/>
            </w14:solidFill>
          </w14:textFill>
        </w:rPr>
        <w:t>规范应急处置记录内容，按年度归档保存不少于</w:t>
      </w:r>
      <w:r>
        <w:rPr>
          <w:rFonts w:hint="eastAsia" w:ascii="宋体" w:hAnsi="Times New Roman"/>
          <w:color w:val="000000" w:themeColor="text1"/>
          <w:kern w:val="0"/>
          <w:szCs w:val="20"/>
          <w:lang w:val="en-US" w:eastAsia="zh-CN"/>
          <w14:textFill>
            <w14:solidFill>
              <w14:schemeClr w14:val="tx1"/>
            </w14:solidFill>
          </w14:textFill>
        </w:rPr>
        <w:t>5</w:t>
      </w:r>
      <w:r>
        <w:rPr>
          <w:rFonts w:hint="eastAsia" w:ascii="宋体" w:hAnsi="Times New Roman"/>
          <w:color w:val="000000" w:themeColor="text1"/>
          <w:kern w:val="0"/>
          <w:szCs w:val="20"/>
          <w14:textFill>
            <w14:solidFill>
              <w14:schemeClr w14:val="tx1"/>
            </w14:solidFill>
          </w14:textFill>
        </w:rPr>
        <w:t>年。</w:t>
      </w:r>
      <w:bookmarkEnd w:id="92"/>
      <w:bookmarkEnd w:id="93"/>
      <w:bookmarkEnd w:id="94"/>
      <w:bookmarkEnd w:id="95"/>
      <w:bookmarkEnd w:id="96"/>
    </w:p>
    <w:p>
      <w:pPr>
        <w:pStyle w:val="7"/>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黑体" w:eastAsia="黑体" w:cs="黑体"/>
          <w:b w:val="0"/>
          <w:bCs w:val="0"/>
          <w:color w:val="auto"/>
          <w:lang w:val="en-US" w:eastAsia="zh-CN"/>
        </w:rPr>
      </w:pPr>
      <w:bookmarkStart w:id="102" w:name="_Toc4055"/>
      <w:r>
        <w:rPr>
          <w:rFonts w:hint="eastAsia" w:ascii="黑体" w:hAnsi="黑体" w:eastAsia="黑体" w:cs="黑体"/>
          <w:b w:val="0"/>
          <w:bCs w:val="0"/>
          <w:color w:val="auto"/>
          <w:lang w:val="en-US" w:eastAsia="zh-CN"/>
        </w:rPr>
        <w:t>4 标准中涉及专利的情况</w:t>
      </w:r>
      <w:bookmarkEnd w:id="102"/>
    </w:p>
    <w:p>
      <w:pPr>
        <w:pStyle w:val="3"/>
        <w:keepNext w:val="0"/>
        <w:keepLines w:val="0"/>
        <w:pageBreakBefore w:val="0"/>
        <w:widowControl w:val="0"/>
        <w:kinsoku/>
        <w:wordWrap/>
        <w:overflowPunct/>
        <w:topLinePunct w:val="0"/>
        <w:autoSpaceDE/>
        <w:autoSpaceDN/>
        <w:bidi w:val="0"/>
        <w:adjustRightInd/>
        <w:snapToGrid/>
        <w:spacing w:after="0" w:line="240" w:lineRule="auto"/>
        <w:ind w:firstLine="420" w:firstLineChars="200"/>
        <w:textAlignment w:val="auto"/>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本标准不涉及专利问题。</w:t>
      </w:r>
    </w:p>
    <w:p>
      <w:pPr>
        <w:pStyle w:val="7"/>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黑体" w:eastAsia="黑体" w:cs="黑体"/>
          <w:b w:val="0"/>
          <w:bCs w:val="0"/>
          <w:color w:val="auto"/>
          <w:lang w:val="en-US" w:eastAsia="zh-CN"/>
        </w:rPr>
      </w:pPr>
      <w:bookmarkStart w:id="103" w:name="_Toc26278"/>
      <w:bookmarkStart w:id="104" w:name="_Toc25304"/>
      <w:r>
        <w:rPr>
          <w:rFonts w:hint="eastAsia" w:ascii="黑体" w:hAnsi="黑体" w:eastAsia="黑体" w:cs="黑体"/>
          <w:b w:val="0"/>
          <w:bCs w:val="0"/>
          <w:color w:val="auto"/>
          <w:lang w:val="en-US" w:eastAsia="zh-CN"/>
        </w:rPr>
        <w:t>5 预期达到的社会、经济效益等情况</w:t>
      </w:r>
      <w:bookmarkEnd w:id="103"/>
      <w:bookmarkEnd w:id="104"/>
    </w:p>
    <w:p>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outlineLvl w:val="1"/>
        <w:rPr>
          <w:rFonts w:hint="eastAsia" w:ascii="黑体" w:hAnsi="黑体" w:eastAsia="黑体" w:cs="黑体"/>
          <w:b w:val="0"/>
          <w:bCs w:val="0"/>
          <w:color w:val="auto"/>
          <w:lang w:val="en-US" w:eastAsia="zh-CN"/>
        </w:rPr>
      </w:pPr>
      <w:bookmarkStart w:id="105" w:name="_Toc22760"/>
      <w:r>
        <w:rPr>
          <w:rFonts w:hint="eastAsia" w:ascii="黑体" w:hAnsi="黑体" w:eastAsia="黑体" w:cs="黑体"/>
          <w:b w:val="0"/>
          <w:bCs w:val="0"/>
          <w:color w:val="auto"/>
          <w:lang w:val="en-US" w:eastAsia="zh-CN"/>
        </w:rPr>
        <w:t>5.1 社会效益</w:t>
      </w:r>
      <w:bookmarkEnd w:id="105"/>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auto"/>
          <w:sz w:val="21"/>
          <w:szCs w:val="21"/>
          <w:lang w:val="en-US" w:eastAsia="zh-CN"/>
        </w:rPr>
      </w:pPr>
      <w:r>
        <w:rPr>
          <w:rFonts w:hint="eastAsia" w:ascii="黑体" w:hAnsi="黑体" w:eastAsia="黑体" w:cs="黑体"/>
          <w:b w:val="0"/>
          <w:bCs w:val="0"/>
          <w:color w:val="auto"/>
          <w:kern w:val="2"/>
          <w:sz w:val="21"/>
          <w:szCs w:val="22"/>
          <w:lang w:val="en-US" w:eastAsia="zh-CN" w:bidi="ar-SA"/>
        </w:rPr>
        <w:t xml:space="preserve">5.1.1 </w:t>
      </w:r>
      <w:r>
        <w:rPr>
          <w:rFonts w:hint="eastAsia" w:ascii="宋体" w:hAnsi="宋体" w:eastAsia="宋体" w:cs="宋体"/>
          <w:color w:val="auto"/>
          <w:sz w:val="21"/>
          <w:szCs w:val="21"/>
          <w:lang w:val="en-US" w:eastAsia="zh-CN"/>
        </w:rPr>
        <w:t>保障周边环境：通过《铜冶炼PS转炉环保升级改造》标准的制定，将实现生产过程中无组织烟气的高效收集，厂边界大气污染物降低至低点。</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auto"/>
          <w:sz w:val="21"/>
          <w:szCs w:val="21"/>
          <w:lang w:val="en-US" w:eastAsia="zh-CN"/>
        </w:rPr>
      </w:pPr>
      <w:r>
        <w:rPr>
          <w:rFonts w:hint="eastAsia" w:ascii="黑体" w:hAnsi="黑体" w:eastAsia="黑体" w:cs="黑体"/>
          <w:b w:val="0"/>
          <w:bCs w:val="0"/>
          <w:color w:val="auto"/>
          <w:kern w:val="2"/>
          <w:sz w:val="21"/>
          <w:szCs w:val="22"/>
          <w:lang w:val="en-US" w:eastAsia="zh-CN" w:bidi="ar-SA"/>
        </w:rPr>
        <w:t>5.1.2</w:t>
      </w:r>
      <w:r>
        <w:rPr>
          <w:rFonts w:hint="eastAsia" w:ascii="宋体" w:hAnsi="宋体" w:eastAsia="宋体" w:cs="宋体"/>
          <w:color w:val="auto"/>
          <w:sz w:val="21"/>
          <w:szCs w:val="21"/>
          <w:lang w:val="en-US" w:eastAsia="zh-CN"/>
        </w:rPr>
        <w:t xml:space="preserve"> 规范PS转炉环保升级改造标准：标准的制定将提供统一的环保升级要求的方法，减少在改造和认定过程中的争议，促使转炉环保升级改造标准高效。</w:t>
      </w:r>
    </w:p>
    <w:p>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outlineLvl w:val="1"/>
        <w:rPr>
          <w:rFonts w:hint="eastAsia" w:ascii="黑体" w:hAnsi="黑体" w:eastAsia="黑体" w:cs="黑体"/>
          <w:b w:val="0"/>
          <w:bCs w:val="0"/>
          <w:color w:val="auto"/>
          <w:lang w:val="en-US" w:eastAsia="zh-CN"/>
        </w:rPr>
      </w:pPr>
      <w:bookmarkStart w:id="106" w:name="_Toc11695"/>
      <w:r>
        <w:rPr>
          <w:rFonts w:hint="eastAsia" w:ascii="黑体" w:hAnsi="黑体" w:eastAsia="黑体" w:cs="黑体"/>
          <w:b w:val="0"/>
          <w:bCs w:val="0"/>
          <w:color w:val="auto"/>
          <w:lang w:val="en-US" w:eastAsia="zh-CN"/>
        </w:rPr>
        <w:t>5.2 生态效益</w:t>
      </w:r>
      <w:bookmarkEnd w:id="106"/>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标准的制定将促使铜冶炼企业对未全部满足标准的转炉进行环保升级改造，促使铜冶炼过程中对环境的独眠影响大幅降低。</w:t>
      </w:r>
    </w:p>
    <w:p>
      <w:pPr>
        <w:pStyle w:val="7"/>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黑体" w:eastAsia="黑体" w:cs="黑体"/>
          <w:b w:val="0"/>
          <w:bCs w:val="0"/>
          <w:color w:val="auto"/>
          <w:lang w:val="en-US" w:eastAsia="zh-CN"/>
        </w:rPr>
      </w:pPr>
      <w:bookmarkStart w:id="107" w:name="_Toc14181"/>
      <w:bookmarkStart w:id="108" w:name="_Toc15847"/>
      <w:r>
        <w:rPr>
          <w:rFonts w:hint="eastAsia" w:ascii="黑体" w:hAnsi="黑体" w:eastAsia="黑体" w:cs="黑体"/>
          <w:b w:val="0"/>
          <w:bCs w:val="0"/>
          <w:color w:val="auto"/>
          <w:lang w:val="en-US" w:eastAsia="zh-CN"/>
        </w:rPr>
        <w:t>6 采用国际标准和国外先进标准的情况</w:t>
      </w:r>
      <w:bookmarkEnd w:id="107"/>
      <w:bookmarkEnd w:id="108"/>
    </w:p>
    <w:p>
      <w:pPr>
        <w:pStyle w:val="3"/>
        <w:keepNext w:val="0"/>
        <w:keepLines w:val="0"/>
        <w:pageBreakBefore w:val="0"/>
        <w:widowControl w:val="0"/>
        <w:kinsoku/>
        <w:wordWrap/>
        <w:overflowPunct/>
        <w:topLinePunct w:val="0"/>
        <w:autoSpaceDE/>
        <w:autoSpaceDN/>
        <w:bidi w:val="0"/>
        <w:adjustRightInd/>
        <w:snapToGrid/>
        <w:spacing w:after="0" w:line="240" w:lineRule="auto"/>
        <w:ind w:firstLine="420" w:firstLineChars="200"/>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无。</w:t>
      </w:r>
      <w:bookmarkStart w:id="109" w:name="_Toc6403"/>
    </w:p>
    <w:p>
      <w:pPr>
        <w:pStyle w:val="7"/>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黑体" w:eastAsia="黑体" w:cs="黑体"/>
          <w:b w:val="0"/>
          <w:bCs w:val="0"/>
          <w:color w:val="auto"/>
          <w:lang w:val="en-US" w:eastAsia="zh-CN"/>
        </w:rPr>
      </w:pPr>
      <w:bookmarkStart w:id="110" w:name="_Toc1861"/>
      <w:r>
        <w:rPr>
          <w:rFonts w:hint="eastAsia" w:ascii="黑体" w:hAnsi="黑体" w:eastAsia="黑体" w:cs="黑体"/>
          <w:b w:val="0"/>
          <w:bCs w:val="0"/>
          <w:color w:val="auto"/>
          <w:lang w:val="en-US" w:eastAsia="zh-CN"/>
        </w:rPr>
        <w:t>7 与现行法律、法规、强制性国家标准及相关标准协调配套情况</w:t>
      </w:r>
      <w:bookmarkEnd w:id="109"/>
      <w:bookmarkEnd w:id="110"/>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宋体" w:hAnsi="宋体"/>
          <w:color w:val="auto"/>
          <w:sz w:val="21"/>
          <w:szCs w:val="21"/>
        </w:rPr>
      </w:pPr>
      <w:r>
        <w:rPr>
          <w:rFonts w:hint="eastAsia" w:ascii="宋体" w:hAnsi="宋体"/>
          <w:color w:val="auto"/>
          <w:sz w:val="21"/>
          <w:szCs w:val="21"/>
        </w:rPr>
        <w:t>本标准符合现行法律、法规的要求，并与其他同类国家标准、国家J用标准、行业标准无冲突、重叠和不协调之处。</w:t>
      </w:r>
    </w:p>
    <w:p>
      <w:pPr>
        <w:pStyle w:val="7"/>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黑体" w:eastAsia="黑体" w:cs="黑体"/>
          <w:b w:val="0"/>
          <w:bCs w:val="0"/>
          <w:color w:val="auto"/>
          <w:lang w:val="en-US" w:eastAsia="zh-CN"/>
        </w:rPr>
      </w:pPr>
      <w:bookmarkStart w:id="111" w:name="_Toc3079"/>
      <w:bookmarkStart w:id="112" w:name="_Toc32100"/>
      <w:bookmarkStart w:id="113" w:name="_Toc6668"/>
      <w:r>
        <w:rPr>
          <w:rFonts w:hint="eastAsia" w:ascii="黑体" w:hAnsi="黑体" w:eastAsia="黑体" w:cs="黑体"/>
          <w:b w:val="0"/>
          <w:bCs w:val="0"/>
          <w:color w:val="auto"/>
          <w:lang w:val="en-US" w:eastAsia="zh-CN"/>
        </w:rPr>
        <w:t>8 重大分歧意见的处理经过和依据</w:t>
      </w:r>
      <w:bookmarkEnd w:id="111"/>
      <w:bookmarkEnd w:id="112"/>
      <w:bookmarkEnd w:id="113"/>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Theme="minorEastAsia"/>
          <w:color w:val="auto"/>
          <w:sz w:val="21"/>
          <w:szCs w:val="21"/>
          <w:lang w:eastAsia="zh-CN"/>
        </w:rPr>
      </w:pPr>
      <w:r>
        <w:rPr>
          <w:rFonts w:hint="eastAsia" w:ascii="宋体" w:hAnsi="宋体"/>
          <w:color w:val="auto"/>
          <w:sz w:val="21"/>
          <w:szCs w:val="21"/>
        </w:rPr>
        <w:t>暂无。</w:t>
      </w:r>
    </w:p>
    <w:p>
      <w:pPr>
        <w:pStyle w:val="7"/>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黑体" w:eastAsia="黑体" w:cs="黑体"/>
          <w:b w:val="0"/>
          <w:bCs w:val="0"/>
          <w:color w:val="auto"/>
          <w:lang w:val="en-US" w:eastAsia="zh-CN"/>
        </w:rPr>
      </w:pPr>
      <w:bookmarkStart w:id="114" w:name="_Toc246"/>
      <w:bookmarkStart w:id="115" w:name="_Toc11871"/>
      <w:bookmarkStart w:id="116" w:name="_Toc15989"/>
      <w:r>
        <w:rPr>
          <w:rFonts w:hint="eastAsia" w:ascii="黑体" w:hAnsi="黑体" w:eastAsia="黑体" w:cs="黑体"/>
          <w:b w:val="0"/>
          <w:bCs w:val="0"/>
          <w:color w:val="auto"/>
          <w:lang w:val="en-US" w:eastAsia="zh-CN"/>
        </w:rPr>
        <w:t>9 作为强制性或推荐性国家标准的建议</w:t>
      </w:r>
      <w:bookmarkEnd w:id="114"/>
      <w:bookmarkEnd w:id="115"/>
      <w:bookmarkEnd w:id="116"/>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宋体" w:hAnsi="宋体"/>
          <w:color w:val="auto"/>
          <w:sz w:val="21"/>
          <w:szCs w:val="21"/>
        </w:rPr>
      </w:pPr>
      <w:r>
        <w:rPr>
          <w:rFonts w:hint="eastAsia" w:ascii="宋体" w:hAnsi="宋体" w:eastAsia="宋体" w:cs="宋体"/>
          <w:color w:val="auto"/>
          <w:sz w:val="21"/>
          <w:szCs w:val="21"/>
        </w:rPr>
        <w:t>建议将本标准作为推荐性</w:t>
      </w:r>
      <w:r>
        <w:rPr>
          <w:rFonts w:hint="eastAsia" w:ascii="宋体" w:hAnsi="宋体" w:eastAsia="宋体" w:cs="宋体"/>
          <w:color w:val="auto"/>
          <w:sz w:val="21"/>
          <w:szCs w:val="21"/>
          <w:lang w:val="en-US" w:eastAsia="zh-CN"/>
        </w:rPr>
        <w:t>团体</w:t>
      </w:r>
      <w:r>
        <w:rPr>
          <w:rFonts w:hint="eastAsia" w:ascii="宋体" w:hAnsi="宋体" w:eastAsia="宋体" w:cs="宋体"/>
          <w:color w:val="auto"/>
          <w:sz w:val="21"/>
          <w:szCs w:val="21"/>
        </w:rPr>
        <w:t>标准发布。</w:t>
      </w:r>
    </w:p>
    <w:p>
      <w:pPr>
        <w:pStyle w:val="7"/>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黑体" w:eastAsia="黑体" w:cs="黑体"/>
          <w:b w:val="0"/>
          <w:bCs w:val="0"/>
          <w:color w:val="auto"/>
          <w:lang w:val="en-US" w:eastAsia="zh-CN"/>
        </w:rPr>
      </w:pPr>
      <w:bookmarkStart w:id="117" w:name="_Toc31724"/>
      <w:bookmarkStart w:id="118" w:name="_Toc15125"/>
      <w:bookmarkStart w:id="119" w:name="_Toc15588"/>
      <w:r>
        <w:rPr>
          <w:rFonts w:hint="eastAsia" w:ascii="黑体" w:hAnsi="黑体" w:eastAsia="黑体" w:cs="黑体"/>
          <w:b w:val="0"/>
          <w:bCs w:val="0"/>
          <w:color w:val="auto"/>
          <w:lang w:val="en-US" w:eastAsia="zh-CN"/>
        </w:rPr>
        <w:t>10 贯彻标准的要求和措施建议</w:t>
      </w:r>
      <w:bookmarkEnd w:id="117"/>
      <w:bookmarkEnd w:id="118"/>
      <w:bookmarkEnd w:id="119"/>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hAnsi="宋体" w:cs="宋体"/>
          <w:color w:val="auto"/>
          <w:sz w:val="21"/>
          <w:szCs w:val="21"/>
          <w:lang w:eastAsia="zh-CN"/>
        </w:rPr>
      </w:pPr>
      <w:bookmarkStart w:id="120" w:name="_Toc7802"/>
      <w:r>
        <w:rPr>
          <w:rFonts w:hint="eastAsia" w:hAnsi="宋体" w:cs="宋体"/>
          <w:color w:val="auto"/>
          <w:sz w:val="21"/>
          <w:szCs w:val="21"/>
          <w:lang w:eastAsia="zh-CN"/>
        </w:rPr>
        <w:t>本文件发布后，各企业应加强本文件的宣传力度，可以对各企业相关部门进行标准的培训和宣贯，以保证标准的贯彻实施。</w:t>
      </w:r>
    </w:p>
    <w:bookmarkEnd w:id="120"/>
    <w:p>
      <w:pPr>
        <w:pStyle w:val="7"/>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textAlignment w:val="auto"/>
        <w:outlineLvl w:val="0"/>
        <w:rPr>
          <w:rFonts w:hint="eastAsia" w:ascii="黑体" w:hAnsi="黑体" w:eastAsia="黑体" w:cs="黑体"/>
          <w:b w:val="0"/>
          <w:bCs w:val="0"/>
          <w:color w:val="auto"/>
          <w:lang w:val="en-US" w:eastAsia="zh-CN"/>
        </w:rPr>
      </w:pPr>
      <w:bookmarkStart w:id="121" w:name="_Toc22451"/>
      <w:bookmarkStart w:id="122" w:name="_Toc25146"/>
      <w:bookmarkStart w:id="123" w:name="_Toc3382"/>
      <w:r>
        <w:rPr>
          <w:rFonts w:hint="eastAsia" w:ascii="黑体" w:hAnsi="黑体" w:eastAsia="黑体" w:cs="黑体"/>
          <w:b w:val="0"/>
          <w:bCs w:val="0"/>
          <w:color w:val="auto"/>
          <w:lang w:val="en-US" w:eastAsia="zh-CN"/>
        </w:rPr>
        <w:t>11 其他主要内容的解释和其他需要说明的事项。</w:t>
      </w:r>
      <w:bookmarkEnd w:id="121"/>
      <w:bookmarkEnd w:id="122"/>
      <w:bookmarkEnd w:id="123"/>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ascii="宋体" w:hAnsi="宋体" w:cs="宋体"/>
          <w:color w:val="auto"/>
          <w:sz w:val="21"/>
          <w:szCs w:val="21"/>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3"/>
      </w:rPr>
    </w:pPr>
    <w:r>
      <w:fldChar w:fldCharType="begin"/>
    </w:r>
    <w:r>
      <w:rPr>
        <w:rStyle w:val="13"/>
      </w:rPr>
      <w:instrText xml:space="preserve">PAGE  </w:instrTex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8BD48"/>
    <w:multiLevelType w:val="singleLevel"/>
    <w:tmpl w:val="FF78BD48"/>
    <w:lvl w:ilvl="0" w:tentative="0">
      <w:start w:val="1"/>
      <w:numFmt w:val="lowerLetter"/>
      <w:lvlText w:val="%1)"/>
      <w:lvlJc w:val="left"/>
      <w:pPr>
        <w:tabs>
          <w:tab w:val="left" w:pos="312"/>
        </w:tabs>
      </w:pPr>
    </w:lvl>
  </w:abstractNum>
  <w:abstractNum w:abstractNumId="1">
    <w:nsid w:val="657D3FBC"/>
    <w:multiLevelType w:val="multilevel"/>
    <w:tmpl w:val="657D3FBC"/>
    <w:lvl w:ilvl="0" w:tentative="0">
      <w:start w:val="1"/>
      <w:numFmt w:val="upperLetter"/>
      <w:pStyle w:val="17"/>
      <w:suff w:val="nothing"/>
      <w:lvlText w:val="附　录　%1"/>
      <w:lvlJc w:val="left"/>
      <w:pPr>
        <w:tabs>
          <w:tab w:val="left" w:pos="4679"/>
        </w:tabs>
        <w:ind w:left="4679" w:firstLine="0"/>
      </w:pPr>
      <w:rPr>
        <w:rFonts w:hint="eastAsia" w:ascii="黑体" w:hAnsi="黑体" w:eastAsia="黑体"/>
        <w:b w:val="0"/>
        <w:bCs w:val="0"/>
        <w:i w:val="0"/>
        <w:iCs w:val="0"/>
        <w:sz w:val="21"/>
        <w:szCs w:val="21"/>
      </w:rPr>
    </w:lvl>
    <w:lvl w:ilvl="1" w:tentative="0">
      <w:start w:val="1"/>
      <w:numFmt w:val="decimal"/>
      <w:suff w:val="nothing"/>
      <w:lvlText w:val="%1.%2　"/>
      <w:lvlJc w:val="left"/>
      <w:pPr>
        <w:tabs>
          <w:tab w:val="left" w:pos="1277"/>
        </w:tabs>
        <w:ind w:left="1277" w:firstLine="0"/>
      </w:pPr>
      <w:rPr>
        <w:rFonts w:hint="eastAsia" w:ascii="黑体" w:hAnsi="黑体" w:eastAsia="黑体"/>
        <w:b w:val="0"/>
        <w:bCs w:val="0"/>
        <w:i w:val="0"/>
        <w:iCs w:val="0"/>
        <w:snapToGrid/>
        <w:spacing w:val="0"/>
        <w:w w:val="100"/>
        <w:kern w:val="21"/>
        <w:sz w:val="21"/>
        <w:szCs w:val="21"/>
      </w:rPr>
    </w:lvl>
    <w:lvl w:ilvl="2" w:tentative="0">
      <w:start w:val="1"/>
      <w:numFmt w:val="decimal"/>
      <w:suff w:val="nothing"/>
      <w:lvlText w:val="%1.%2.%3　"/>
      <w:lvlJc w:val="left"/>
      <w:pPr>
        <w:tabs>
          <w:tab w:val="left" w:pos="0"/>
        </w:tabs>
        <w:ind w:left="0" w:firstLine="0"/>
      </w:pPr>
      <w:rPr>
        <w:rFonts w:hint="eastAsia" w:ascii="黑体" w:hAnsi="黑体" w:eastAsia="黑体"/>
        <w:b w:val="0"/>
        <w:bCs w:val="0"/>
        <w:i w:val="0"/>
        <w:iCs w:val="0"/>
        <w:sz w:val="21"/>
        <w:szCs w:val="21"/>
      </w:rPr>
    </w:lvl>
    <w:lvl w:ilvl="3" w:tentative="0">
      <w:start w:val="1"/>
      <w:numFmt w:val="decimal"/>
      <w:suff w:val="nothing"/>
      <w:lvlText w:val="%1.%2.%3.%4　"/>
      <w:lvlJc w:val="left"/>
      <w:pPr>
        <w:tabs>
          <w:tab w:val="left" w:pos="0"/>
        </w:tabs>
        <w:ind w:left="0" w:firstLine="0"/>
      </w:pPr>
      <w:rPr>
        <w:rFonts w:hint="eastAsia" w:ascii="黑体" w:hAnsi="黑体" w:eastAsia="黑体"/>
        <w:b w:val="0"/>
        <w:bCs w:val="0"/>
        <w:i w:val="0"/>
        <w:iCs w:val="0"/>
        <w:sz w:val="21"/>
        <w:szCs w:val="21"/>
      </w:rPr>
    </w:lvl>
    <w:lvl w:ilvl="4" w:tentative="0">
      <w:start w:val="1"/>
      <w:numFmt w:val="decimal"/>
      <w:suff w:val="nothing"/>
      <w:lvlText w:val="%1.%2.%3.%4.%5　"/>
      <w:lvlJc w:val="left"/>
      <w:pPr>
        <w:tabs>
          <w:tab w:val="left" w:pos="0"/>
        </w:tabs>
        <w:ind w:left="0" w:firstLine="0"/>
      </w:pPr>
      <w:rPr>
        <w:rFonts w:hint="eastAsia" w:ascii="黑体" w:hAnsi="黑体" w:eastAsia="黑体"/>
        <w:b w:val="0"/>
        <w:bCs w:val="0"/>
        <w:i w:val="0"/>
        <w:iCs w:val="0"/>
        <w:sz w:val="21"/>
        <w:szCs w:val="21"/>
      </w:rPr>
    </w:lvl>
    <w:lvl w:ilvl="5" w:tentative="0">
      <w:start w:val="1"/>
      <w:numFmt w:val="decimal"/>
      <w:suff w:val="nothing"/>
      <w:lvlText w:val="%1.%2.%3.%4.%5.%6　"/>
      <w:lvlJc w:val="left"/>
      <w:pPr>
        <w:tabs>
          <w:tab w:val="left" w:pos="0"/>
        </w:tabs>
        <w:ind w:left="0" w:firstLine="0"/>
      </w:pPr>
      <w:rPr>
        <w:rFonts w:hint="eastAsia" w:ascii="黑体" w:hAnsi="黑体" w:eastAsia="黑体"/>
        <w:b w:val="0"/>
        <w:bCs w:val="0"/>
        <w:i w:val="0"/>
        <w:iCs w:val="0"/>
        <w:sz w:val="21"/>
        <w:szCs w:val="21"/>
      </w:rPr>
    </w:lvl>
    <w:lvl w:ilvl="6" w:tentative="0">
      <w:start w:val="1"/>
      <w:numFmt w:val="decimal"/>
      <w:suff w:val="nothing"/>
      <w:lvlText w:val="%1.%2.%3.%4.%5.%6.%7　"/>
      <w:lvlJc w:val="left"/>
      <w:pPr>
        <w:tabs>
          <w:tab w:val="left" w:pos="0"/>
        </w:tabs>
        <w:ind w:left="0" w:firstLine="0"/>
      </w:pPr>
      <w:rPr>
        <w:rFonts w:hint="eastAsia" w:ascii="黑体" w:hAnsi="黑体" w:eastAsia="黑体"/>
        <w:b w:val="0"/>
        <w:bCs w:val="0"/>
        <w:i w:val="0"/>
        <w:iCs w:val="0"/>
        <w:sz w:val="21"/>
        <w:szCs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mMzVkZGU0NjcxMDNjYzQ1MWE0YmZjNzAwY2I0MDYifQ=="/>
  </w:docVars>
  <w:rsids>
    <w:rsidRoot w:val="00000000"/>
    <w:rsid w:val="00C405A1"/>
    <w:rsid w:val="041256C6"/>
    <w:rsid w:val="042711AF"/>
    <w:rsid w:val="05E318CB"/>
    <w:rsid w:val="065E74D9"/>
    <w:rsid w:val="079528D4"/>
    <w:rsid w:val="07DD03B1"/>
    <w:rsid w:val="07E73158"/>
    <w:rsid w:val="08727E19"/>
    <w:rsid w:val="0A20501F"/>
    <w:rsid w:val="136B2C39"/>
    <w:rsid w:val="141674C2"/>
    <w:rsid w:val="14837BC3"/>
    <w:rsid w:val="15273705"/>
    <w:rsid w:val="153320AA"/>
    <w:rsid w:val="16C536FD"/>
    <w:rsid w:val="181F18DA"/>
    <w:rsid w:val="19DA4C9A"/>
    <w:rsid w:val="1BE05D06"/>
    <w:rsid w:val="1BE60810"/>
    <w:rsid w:val="1C146371"/>
    <w:rsid w:val="1C9D6767"/>
    <w:rsid w:val="1D1C37B9"/>
    <w:rsid w:val="25AC7D05"/>
    <w:rsid w:val="25F47692"/>
    <w:rsid w:val="25F829A3"/>
    <w:rsid w:val="261B3514"/>
    <w:rsid w:val="292C32CC"/>
    <w:rsid w:val="2A43629F"/>
    <w:rsid w:val="2B21387A"/>
    <w:rsid w:val="2BC96E6C"/>
    <w:rsid w:val="2C5B33B0"/>
    <w:rsid w:val="2CBE44D1"/>
    <w:rsid w:val="2CF73998"/>
    <w:rsid w:val="2D60221A"/>
    <w:rsid w:val="3090431A"/>
    <w:rsid w:val="31063FB9"/>
    <w:rsid w:val="320F2B2D"/>
    <w:rsid w:val="32CA72EF"/>
    <w:rsid w:val="33057003"/>
    <w:rsid w:val="343A0B52"/>
    <w:rsid w:val="366A07D6"/>
    <w:rsid w:val="36904BA9"/>
    <w:rsid w:val="37F67373"/>
    <w:rsid w:val="3E244DAE"/>
    <w:rsid w:val="3EBF6A7B"/>
    <w:rsid w:val="3F081602"/>
    <w:rsid w:val="3FA55765"/>
    <w:rsid w:val="41581B80"/>
    <w:rsid w:val="45A32084"/>
    <w:rsid w:val="46911BBB"/>
    <w:rsid w:val="4A3530CA"/>
    <w:rsid w:val="51CA5E89"/>
    <w:rsid w:val="52BB276C"/>
    <w:rsid w:val="52F356FE"/>
    <w:rsid w:val="533E5BCB"/>
    <w:rsid w:val="539A5940"/>
    <w:rsid w:val="57797544"/>
    <w:rsid w:val="580D79EC"/>
    <w:rsid w:val="5A5839FE"/>
    <w:rsid w:val="5ACC6881"/>
    <w:rsid w:val="61332F81"/>
    <w:rsid w:val="61C10C6E"/>
    <w:rsid w:val="62E26F93"/>
    <w:rsid w:val="6A575068"/>
    <w:rsid w:val="6EB40161"/>
    <w:rsid w:val="6EFF2CA9"/>
    <w:rsid w:val="72472917"/>
    <w:rsid w:val="744E0563"/>
    <w:rsid w:val="7ADA73D5"/>
    <w:rsid w:val="7D910439"/>
    <w:rsid w:val="7ED71E7C"/>
    <w:rsid w:val="7F2209CE"/>
    <w:rsid w:val="7FE01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99"/>
    <w:pPr>
      <w:spacing w:after="120"/>
    </w:pPr>
    <w:rPr>
      <w:rFonts w:eastAsia="仿宋_GB2312"/>
    </w:rPr>
  </w:style>
  <w:style w:type="paragraph" w:styleId="4">
    <w:name w:val="toc 3"/>
    <w:basedOn w:val="1"/>
    <w:next w:val="1"/>
    <w:unhideWhenUsed/>
    <w:qFormat/>
    <w:uiPriority w:val="39"/>
    <w:pPr>
      <w:ind w:left="840" w:leftChars="400"/>
    </w:pPr>
  </w:style>
  <w:style w:type="paragraph" w:styleId="5">
    <w:name w:val="footer"/>
    <w:basedOn w:val="1"/>
    <w:semiHidden/>
    <w:unhideWhenUsed/>
    <w:qFormat/>
    <w:uiPriority w:val="99"/>
    <w:pPr>
      <w:tabs>
        <w:tab w:val="center" w:pos="4153"/>
        <w:tab w:val="right" w:pos="8306"/>
      </w:tabs>
      <w:snapToGrid w:val="0"/>
      <w:jc w:val="left"/>
    </w:pPr>
    <w:rPr>
      <w:sz w:val="18"/>
      <w:szCs w:val="18"/>
    </w:rPr>
  </w:style>
  <w:style w:type="paragraph" w:styleId="6">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tabs>
        <w:tab w:val="right" w:leader="dot" w:pos="9174"/>
      </w:tabs>
      <w:spacing w:line="360" w:lineRule="auto"/>
    </w:pPr>
  </w:style>
  <w:style w:type="paragraph" w:styleId="8">
    <w:name w:val="toc 2"/>
    <w:basedOn w:val="1"/>
    <w:next w:val="1"/>
    <w:qFormat/>
    <w:uiPriority w:val="0"/>
    <w:pPr>
      <w:tabs>
        <w:tab w:val="right" w:leader="dot" w:pos="9174"/>
      </w:tabs>
      <w:spacing w:line="360" w:lineRule="exact"/>
      <w:ind w:left="420" w:leftChars="200"/>
      <w:jc w:val="left"/>
    </w:pPr>
    <w:rPr>
      <w:rFonts w:ascii="黑体" w:eastAsia="黑体"/>
    </w:rPr>
  </w:style>
  <w:style w:type="paragraph" w:styleId="9">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3">
    <w:name w:val="page number"/>
    <w:basedOn w:val="12"/>
    <w:qFormat/>
    <w:uiPriority w:val="0"/>
  </w:style>
  <w:style w:type="paragraph" w:customStyle="1" w:styleId="14">
    <w:name w:val="WPSOffice手动目录 1"/>
    <w:qFormat/>
    <w:uiPriority w:val="0"/>
    <w:pPr>
      <w:ind w:leftChars="0"/>
    </w:pPr>
    <w:rPr>
      <w:rFonts w:ascii="Times New Roman" w:hAnsi="Times New Roman" w:eastAsia="宋体" w:cs="Times New Roman"/>
      <w:sz w:val="20"/>
      <w:szCs w:val="20"/>
    </w:rPr>
  </w:style>
  <w:style w:type="paragraph" w:customStyle="1" w:styleId="15">
    <w:name w:val="WPSOffice手动目录 2"/>
    <w:qFormat/>
    <w:uiPriority w:val="0"/>
    <w:pPr>
      <w:ind w:leftChars="200"/>
    </w:pPr>
    <w:rPr>
      <w:rFonts w:ascii="Times New Roman" w:hAnsi="Times New Roman" w:eastAsia="宋体" w:cs="Times New Roman"/>
      <w:sz w:val="20"/>
      <w:szCs w:val="20"/>
    </w:rPr>
  </w:style>
  <w:style w:type="paragraph" w:customStyle="1" w:styleId="16">
    <w:name w:val="WPSOffice手动目录 3"/>
    <w:qFormat/>
    <w:uiPriority w:val="0"/>
    <w:pPr>
      <w:ind w:leftChars="400"/>
    </w:pPr>
    <w:rPr>
      <w:rFonts w:ascii="Times New Roman" w:hAnsi="Times New Roman" w:eastAsia="宋体" w:cs="Times New Roman"/>
      <w:sz w:val="20"/>
      <w:szCs w:val="20"/>
    </w:rPr>
  </w:style>
  <w:style w:type="paragraph" w:customStyle="1" w:styleId="17">
    <w:name w:val="附录标识"/>
    <w:basedOn w:val="1"/>
    <w:qFormat/>
    <w:uiPriority w:val="0"/>
    <w:pPr>
      <w:widowControl/>
      <w:numPr>
        <w:ilvl w:val="0"/>
        <w:numId w:val="1"/>
      </w:numPr>
      <w:shd w:val="clear" w:color="FFFFFF" w:fill="FFFFFF"/>
      <w:tabs>
        <w:tab w:val="left" w:pos="6405"/>
      </w:tabs>
      <w:spacing w:before="640" w:after="200"/>
      <w:jc w:val="center"/>
      <w:outlineLvl w:val="0"/>
    </w:pPr>
    <w:rPr>
      <w:rFonts w:ascii="黑体" w:eastAsia="黑体" w:cs="黑体"/>
      <w:kern w:val="0"/>
    </w:rPr>
  </w:style>
  <w:style w:type="paragraph" w:customStyle="1" w:styleId="18">
    <w:name w:val="封面编号"/>
    <w:qFormat/>
    <w:uiPriority w:val="0"/>
    <w:pPr>
      <w:ind w:right="284"/>
      <w:jc w:val="right"/>
    </w:pPr>
    <w:rPr>
      <w:rFonts w:ascii="Times New Roman" w:hAnsi="Times New Roman" w:eastAsia="黑体" w:cs="Times New Roman"/>
      <w:spacing w:val="20"/>
      <w:sz w:val="28"/>
      <w:lang w:val="en-US" w:eastAsia="zh-CN" w:bidi="ar-SA"/>
    </w:rPr>
  </w:style>
  <w:style w:type="character" w:customStyle="1" w:styleId="19">
    <w:name w:val="font31"/>
    <w:basedOn w:val="12"/>
    <w:qFormat/>
    <w:uiPriority w:val="0"/>
    <w:rPr>
      <w:rFonts w:hint="eastAsia" w:ascii="宋体" w:hAnsi="宋体" w:eastAsia="宋体" w:cs="宋体"/>
      <w:color w:val="000000"/>
      <w:sz w:val="24"/>
      <w:szCs w:val="24"/>
      <w:u w:val="none"/>
      <w:vertAlign w:val="subscript"/>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
    <w:name w:val="章标题"/>
    <w:basedOn w:val="1"/>
    <w:next w:val="23"/>
    <w:qFormat/>
    <w:uiPriority w:val="0"/>
    <w:pPr>
      <w:widowControl/>
      <w:spacing w:beforeLines="100" w:afterLines="100"/>
      <w:outlineLvl w:val="1"/>
    </w:pPr>
    <w:rPr>
      <w:rFonts w:hint="eastAsia" w:ascii="黑体" w:hAnsi="Times New Roman" w:eastAsia="黑体"/>
      <w:kern w:val="0"/>
      <w:szCs w:val="20"/>
    </w:rPr>
  </w:style>
  <w:style w:type="paragraph" w:customStyle="1" w:styleId="2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11561</Words>
  <Characters>14851</Characters>
  <Lines>0</Lines>
  <Paragraphs>0</Paragraphs>
  <TotalTime>4</TotalTime>
  <ScaleCrop>false</ScaleCrop>
  <LinksUpToDate>false</LinksUpToDate>
  <CharactersWithSpaces>15137</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2023-12-28T08:12:00Z</dcterms:created>
  <dc:creator>张德星</dc:creator>
  <cp:lastModifiedBy>辰</cp:lastModifiedBy>
  <dcterms:modified xsi:type="dcterms:W3CDTF">2026-08-13T07:51:04Z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72AA5540AF574C3D9E8BBFE086C6FF34</vt:lpwstr>
  </property>
</Properties>
</file>