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898"/>
        <w:gridCol w:w="4228"/>
        <w:gridCol w:w="1940"/>
        <w:gridCol w:w="1021"/>
        <w:gridCol w:w="1604"/>
      </w:tblGrid>
      <w:tr w14:paraId="76841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348" w:type="pct"/>
            <w:noWrap w:val="0"/>
            <w:vAlign w:val="center"/>
          </w:tcPr>
          <w:p w14:paraId="47D4673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序号</w:t>
            </w:r>
          </w:p>
        </w:tc>
        <w:tc>
          <w:tcPr>
            <w:tcW w:w="431" w:type="pct"/>
            <w:noWrap w:val="0"/>
            <w:vAlign w:val="center"/>
          </w:tcPr>
          <w:p w14:paraId="234FFB05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标准章条编号</w:t>
            </w:r>
          </w:p>
        </w:tc>
        <w:tc>
          <w:tcPr>
            <w:tcW w:w="2029" w:type="pct"/>
            <w:noWrap w:val="0"/>
            <w:vAlign w:val="center"/>
          </w:tcPr>
          <w:p w14:paraId="34960405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意见内容</w:t>
            </w:r>
          </w:p>
        </w:tc>
        <w:tc>
          <w:tcPr>
            <w:tcW w:w="931" w:type="pct"/>
            <w:noWrap w:val="0"/>
            <w:vAlign w:val="center"/>
          </w:tcPr>
          <w:p w14:paraId="0B984A4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提出单位</w:t>
            </w:r>
          </w:p>
        </w:tc>
        <w:tc>
          <w:tcPr>
            <w:tcW w:w="490" w:type="pct"/>
            <w:noWrap w:val="0"/>
            <w:vAlign w:val="center"/>
          </w:tcPr>
          <w:p w14:paraId="02ECAAE7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处理意见</w:t>
            </w:r>
          </w:p>
        </w:tc>
        <w:tc>
          <w:tcPr>
            <w:tcW w:w="769" w:type="pct"/>
            <w:noWrap w:val="0"/>
            <w:vAlign w:val="center"/>
          </w:tcPr>
          <w:p w14:paraId="520E2EF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备注</w:t>
            </w:r>
          </w:p>
        </w:tc>
      </w:tr>
      <w:tr w14:paraId="7224C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348" w:type="pct"/>
            <w:noWrap w:val="0"/>
            <w:vAlign w:val="center"/>
          </w:tcPr>
          <w:p w14:paraId="305D9A95">
            <w:pPr>
              <w:numPr>
                <w:ilvl w:val="0"/>
                <w:numId w:val="0"/>
              </w:numPr>
              <w:spacing w:line="240" w:lineRule="auto"/>
              <w:ind w:left="420" w:leftChars="0" w:hanging="42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431" w:type="pct"/>
            <w:noWrap w:val="0"/>
            <w:vAlign w:val="center"/>
          </w:tcPr>
          <w:p w14:paraId="69B8FAB1">
            <w:pPr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7.4.5</w:t>
            </w:r>
          </w:p>
        </w:tc>
        <w:tc>
          <w:tcPr>
            <w:tcW w:w="2029" w:type="pct"/>
            <w:noWrap w:val="0"/>
            <w:vAlign w:val="center"/>
          </w:tcPr>
          <w:p w14:paraId="745218B9">
            <w:pPr>
              <w:rPr>
                <w:rFonts w:hint="eastAsia" w:ascii="宋体" w:hAnsi="宋体" w:eastAsia="宋体" w:cs="宋体"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供方如对检验结果有异议时，应在仲裁保存期限内提出，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宋体" w:hAnsi="宋体" w:cs="宋体"/>
                <w:sz w:val="18"/>
                <w:szCs w:val="18"/>
              </w:rPr>
              <w:t>改为：供方如对检验结果有异议时，应在仲裁样品保存期限内提出。</w:t>
            </w:r>
          </w:p>
        </w:tc>
        <w:tc>
          <w:tcPr>
            <w:tcW w:w="931" w:type="pct"/>
            <w:noWrap w:val="0"/>
            <w:vAlign w:val="center"/>
          </w:tcPr>
          <w:p w14:paraId="24B3FEC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甘肃精普检测有限公司</w:t>
            </w:r>
          </w:p>
        </w:tc>
        <w:tc>
          <w:tcPr>
            <w:tcW w:w="490" w:type="pct"/>
            <w:noWrap w:val="0"/>
            <w:vAlign w:val="center"/>
          </w:tcPr>
          <w:p w14:paraId="659D17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采纳 </w:t>
            </w:r>
          </w:p>
        </w:tc>
        <w:tc>
          <w:tcPr>
            <w:tcW w:w="769" w:type="pct"/>
            <w:noWrap w:val="0"/>
            <w:vAlign w:val="center"/>
          </w:tcPr>
          <w:p w14:paraId="602300D8">
            <w:pPr>
              <w:spacing w:line="240" w:lineRule="auto"/>
              <w:jc w:val="left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描述无差别，采纳</w:t>
            </w:r>
          </w:p>
        </w:tc>
      </w:tr>
      <w:tr w14:paraId="407F1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348" w:type="pct"/>
            <w:noWrap w:val="0"/>
            <w:vAlign w:val="center"/>
          </w:tcPr>
          <w:p w14:paraId="210D110C">
            <w:pPr>
              <w:numPr>
                <w:ilvl w:val="0"/>
                <w:numId w:val="0"/>
              </w:numPr>
              <w:spacing w:line="240" w:lineRule="auto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 </w:t>
            </w:r>
          </w:p>
        </w:tc>
        <w:tc>
          <w:tcPr>
            <w:tcW w:w="431" w:type="pct"/>
            <w:noWrap w:val="0"/>
            <w:vAlign w:val="center"/>
          </w:tcPr>
          <w:p w14:paraId="65825B74">
            <w:pPr>
              <w:jc w:val="both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029" w:type="pct"/>
            <w:noWrap w:val="0"/>
            <w:vAlign w:val="center"/>
          </w:tcPr>
          <w:p w14:paraId="53C6ABC6">
            <w:pPr>
              <w:rPr>
                <w:rFonts w:hint="default" w:ascii="宋体" w:hAnsi="宋体" w:eastAsia="宋体" w:cs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无意见</w:t>
            </w:r>
          </w:p>
        </w:tc>
        <w:tc>
          <w:tcPr>
            <w:tcW w:w="931" w:type="pct"/>
            <w:noWrap w:val="0"/>
            <w:vAlign w:val="center"/>
          </w:tcPr>
          <w:p w14:paraId="099749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矿冶科技集团有限公司</w:t>
            </w:r>
          </w:p>
        </w:tc>
        <w:tc>
          <w:tcPr>
            <w:tcW w:w="490" w:type="pct"/>
            <w:noWrap w:val="0"/>
            <w:vAlign w:val="center"/>
          </w:tcPr>
          <w:p w14:paraId="538E6D3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采纳</w:t>
            </w:r>
          </w:p>
        </w:tc>
        <w:tc>
          <w:tcPr>
            <w:tcW w:w="769" w:type="pct"/>
            <w:noWrap w:val="0"/>
            <w:vAlign w:val="center"/>
          </w:tcPr>
          <w:p w14:paraId="31B949F4">
            <w:pPr>
              <w:spacing w:line="240" w:lineRule="auto"/>
              <w:jc w:val="left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797B9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348" w:type="pct"/>
            <w:noWrap w:val="0"/>
            <w:vAlign w:val="center"/>
          </w:tcPr>
          <w:p w14:paraId="5187E796">
            <w:pPr>
              <w:numPr>
                <w:ilvl w:val="0"/>
                <w:numId w:val="0"/>
              </w:numPr>
              <w:spacing w:line="240" w:lineRule="auto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3 </w:t>
            </w:r>
          </w:p>
        </w:tc>
        <w:tc>
          <w:tcPr>
            <w:tcW w:w="431" w:type="pct"/>
            <w:noWrap w:val="0"/>
            <w:vAlign w:val="center"/>
          </w:tcPr>
          <w:p w14:paraId="58666C09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6</w:t>
            </w:r>
            <w:r>
              <w:rPr>
                <w:rFonts w:ascii="宋体" w:hAnsi="宋体" w:cs="宋体"/>
                <w:sz w:val="18"/>
                <w:szCs w:val="18"/>
              </w:rPr>
              <w:t>.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029" w:type="pct"/>
            <w:noWrap w:val="0"/>
            <w:vAlign w:val="center"/>
          </w:tcPr>
          <w:p w14:paraId="330732DB">
            <w:pPr>
              <w:spacing w:line="360" w:lineRule="auto"/>
              <w:rPr>
                <w:rFonts w:hint="default" w:ascii="宋体" w:hAnsi="宋体" w:eastAsia="宋体" w:cs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请标准牵头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说明“6.2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镍精矿中水分的测定按GB/T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25952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的规定进行</w:t>
            </w:r>
            <w:r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  <w:t>”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的原因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。</w:t>
            </w:r>
          </w:p>
        </w:tc>
        <w:tc>
          <w:tcPr>
            <w:tcW w:w="931" w:type="pct"/>
            <w:noWrap w:val="0"/>
            <w:vAlign w:val="center"/>
          </w:tcPr>
          <w:p w14:paraId="26FE9A0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北矿检测技术股份有限公司</w:t>
            </w:r>
          </w:p>
        </w:tc>
        <w:tc>
          <w:tcPr>
            <w:tcW w:w="490" w:type="pct"/>
            <w:noWrap w:val="0"/>
            <w:vAlign w:val="center"/>
          </w:tcPr>
          <w:p w14:paraId="49314E8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采纳并在编制说明中进行了描述</w:t>
            </w:r>
          </w:p>
        </w:tc>
        <w:tc>
          <w:tcPr>
            <w:tcW w:w="769" w:type="pct"/>
            <w:noWrap w:val="0"/>
            <w:vAlign w:val="center"/>
          </w:tcPr>
          <w:p w14:paraId="1C34EC57">
            <w:pPr>
              <w:spacing w:line="240" w:lineRule="auto"/>
              <w:jc w:val="left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已在标准编制说明中阐述原因：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GB/T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25952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为最新版本标准。</w:t>
            </w:r>
          </w:p>
        </w:tc>
      </w:tr>
      <w:tr w14:paraId="457B9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348" w:type="pct"/>
            <w:noWrap w:val="0"/>
            <w:vAlign w:val="center"/>
          </w:tcPr>
          <w:p w14:paraId="16E1CAEA">
            <w:pPr>
              <w:numPr>
                <w:ilvl w:val="0"/>
                <w:numId w:val="0"/>
              </w:numPr>
              <w:spacing w:line="240" w:lineRule="auto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431" w:type="pct"/>
            <w:noWrap w:val="0"/>
            <w:vAlign w:val="center"/>
          </w:tcPr>
          <w:p w14:paraId="732E6E5C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29" w:type="pct"/>
            <w:noWrap w:val="0"/>
            <w:vAlign w:val="center"/>
          </w:tcPr>
          <w:p w14:paraId="169FD6A5">
            <w:pPr>
              <w:spacing w:line="240" w:lineRule="auto"/>
              <w:rPr>
                <w:rFonts w:hint="default" w:ascii="宋体" w:hAnsi="宋体" w:eastAsia="宋体" w:cs="宋体"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无意见</w:t>
            </w:r>
          </w:p>
        </w:tc>
        <w:tc>
          <w:tcPr>
            <w:tcW w:w="931" w:type="pct"/>
            <w:noWrap w:val="0"/>
            <w:vAlign w:val="center"/>
          </w:tcPr>
          <w:p w14:paraId="4FA1C3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u w:val="none"/>
                <w:lang w:val="en-US" w:eastAsia="zh-CN"/>
              </w:rPr>
              <w:t>中南大学</w:t>
            </w:r>
          </w:p>
        </w:tc>
        <w:tc>
          <w:tcPr>
            <w:tcW w:w="490" w:type="pct"/>
            <w:noWrap w:val="0"/>
            <w:vAlign w:val="center"/>
          </w:tcPr>
          <w:p w14:paraId="690851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采纳</w:t>
            </w:r>
          </w:p>
        </w:tc>
        <w:tc>
          <w:tcPr>
            <w:tcW w:w="769" w:type="pct"/>
            <w:noWrap w:val="0"/>
            <w:vAlign w:val="center"/>
          </w:tcPr>
          <w:p w14:paraId="4D171AAF">
            <w:pPr>
              <w:spacing w:line="240" w:lineRule="auto"/>
              <w:jc w:val="left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0C83C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8" w:type="pct"/>
            <w:noWrap w:val="0"/>
            <w:vAlign w:val="center"/>
          </w:tcPr>
          <w:p w14:paraId="1C995842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31" w:type="pct"/>
            <w:noWrap w:val="0"/>
            <w:vAlign w:val="center"/>
          </w:tcPr>
          <w:p w14:paraId="743B9BC9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表4  </w:t>
            </w:r>
          </w:p>
        </w:tc>
        <w:tc>
          <w:tcPr>
            <w:tcW w:w="2029" w:type="pct"/>
            <w:noWrap w:val="0"/>
            <w:vAlign w:val="center"/>
          </w:tcPr>
          <w:p w14:paraId="4F7E8735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无意见</w:t>
            </w:r>
          </w:p>
        </w:tc>
        <w:tc>
          <w:tcPr>
            <w:tcW w:w="931" w:type="pct"/>
            <w:noWrap w:val="0"/>
            <w:vAlign w:val="center"/>
          </w:tcPr>
          <w:p w14:paraId="21810D53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  <w:t>哈密天隆镍业有限责任公司</w:t>
            </w:r>
          </w:p>
        </w:tc>
        <w:tc>
          <w:tcPr>
            <w:tcW w:w="490" w:type="pct"/>
            <w:noWrap w:val="0"/>
            <w:vAlign w:val="center"/>
          </w:tcPr>
          <w:p w14:paraId="775A6B2F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不采纳</w:t>
            </w:r>
          </w:p>
        </w:tc>
        <w:tc>
          <w:tcPr>
            <w:tcW w:w="769" w:type="pct"/>
            <w:noWrap w:val="0"/>
            <w:vAlign w:val="center"/>
          </w:tcPr>
          <w:p w14:paraId="2E324564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0EC3F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348" w:type="pct"/>
            <w:noWrap w:val="0"/>
            <w:vAlign w:val="center"/>
          </w:tcPr>
          <w:p w14:paraId="26FE0960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431" w:type="pct"/>
            <w:noWrap w:val="0"/>
            <w:vAlign w:val="center"/>
          </w:tcPr>
          <w:p w14:paraId="27D4B97B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029" w:type="pct"/>
            <w:noWrap w:val="0"/>
            <w:vAlign w:val="center"/>
          </w:tcPr>
          <w:p w14:paraId="43031EF9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无意见</w:t>
            </w:r>
          </w:p>
        </w:tc>
        <w:tc>
          <w:tcPr>
            <w:tcW w:w="931" w:type="pct"/>
            <w:noWrap w:val="0"/>
            <w:vAlign w:val="center"/>
          </w:tcPr>
          <w:p w14:paraId="4B7391D9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  <w:t>广东邦普循环科技有限公司</w:t>
            </w:r>
          </w:p>
        </w:tc>
        <w:tc>
          <w:tcPr>
            <w:tcW w:w="490" w:type="pct"/>
            <w:noWrap w:val="0"/>
            <w:vAlign w:val="center"/>
          </w:tcPr>
          <w:p w14:paraId="06632D87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不采纳</w:t>
            </w:r>
          </w:p>
        </w:tc>
        <w:tc>
          <w:tcPr>
            <w:tcW w:w="769" w:type="pct"/>
            <w:noWrap w:val="0"/>
            <w:vAlign w:val="center"/>
          </w:tcPr>
          <w:p w14:paraId="4B5F030C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25FF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348" w:type="pct"/>
            <w:noWrap w:val="0"/>
            <w:vAlign w:val="center"/>
          </w:tcPr>
          <w:p w14:paraId="2BD06711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431" w:type="pct"/>
            <w:noWrap w:val="0"/>
            <w:vAlign w:val="center"/>
          </w:tcPr>
          <w:p w14:paraId="2AA77A1A">
            <w:pPr>
              <w:spacing w:line="240" w:lineRule="auto"/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7.1.3</w:t>
            </w:r>
          </w:p>
          <w:p w14:paraId="2A50ED2A">
            <w:pPr>
              <w:spacing w:line="240" w:lineRule="auto"/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7.4.4</w:t>
            </w:r>
          </w:p>
          <w:p w14:paraId="3D91C693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5.2</w:t>
            </w:r>
          </w:p>
        </w:tc>
        <w:tc>
          <w:tcPr>
            <w:tcW w:w="2029" w:type="pct"/>
            <w:noWrap w:val="0"/>
            <w:vAlign w:val="center"/>
          </w:tcPr>
          <w:p w14:paraId="42DA1C4B">
            <w:pPr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I页前言部分a)加几个“分别”和“对应”字样，建议如下：</w:t>
            </w:r>
          </w:p>
          <w:p w14:paraId="4213C493">
            <w:pPr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更改了镍精矿的品级和各品位对应的镍含量、氧化镁含量，将原五个等级更改为六个等级，一至三级品的镍含量分别更改为不小于10%、8.5%、7.5%，一至三级品的氧化镁含量分别更改为不大于6.5%、 7.0%、8.0%。四至六级品的镍含量分别更改为不小于6.5%、5.0%、4.0%，四至六级品的氧化镁含量更改为不大于13.0%（见表1，对应2014年版的表1）；五至六级品的砷含量分别更改为不小于0.2%、0.2%</w:t>
            </w:r>
          </w:p>
          <w:p w14:paraId="31A3DC54">
            <w:pPr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下同。</w:t>
            </w:r>
          </w:p>
          <w:p w14:paraId="330D9B1B">
            <w:pPr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(2) 7.1.3”其他异议，应在收到产品之日起30 天内向供方提出。”是否改为“15天内向供方提出”较好。</w:t>
            </w:r>
          </w:p>
          <w:p w14:paraId="0C4F57F7">
            <w:pPr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（3）7.4.4规定仲裁样品的留存期限前后有矛盾</w:t>
            </w:r>
          </w:p>
          <w:p w14:paraId="5F1A913F">
            <w:pPr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（4）“5.2 水分 一级品、二级品、三级品镍精矿中水分应不大于10.0%，冬季宜不大于9.5%；四级品、五级品、六 级品镍精矿中水分应不大于11.0%，冬季宜不大于10.0%”，建议去掉“宜”</w:t>
            </w:r>
          </w:p>
          <w:p w14:paraId="01D5CD9F">
            <w:pPr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（5）适当的地方提及双方在合同中约定仲裁方。</w:t>
            </w:r>
          </w:p>
          <w:p w14:paraId="149F1F2C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31" w:type="pct"/>
            <w:noWrap w:val="0"/>
            <w:vAlign w:val="center"/>
          </w:tcPr>
          <w:p w14:paraId="10DAE8D3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  <w:t>中国有研科技集团有限公司</w:t>
            </w:r>
          </w:p>
        </w:tc>
        <w:tc>
          <w:tcPr>
            <w:tcW w:w="490" w:type="pct"/>
            <w:noWrap w:val="0"/>
            <w:vAlign w:val="center"/>
          </w:tcPr>
          <w:p w14:paraId="69CB41D8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除第（4）外，其他均采纳</w:t>
            </w:r>
          </w:p>
        </w:tc>
        <w:tc>
          <w:tcPr>
            <w:tcW w:w="769" w:type="pct"/>
            <w:noWrap w:val="0"/>
            <w:vAlign w:val="center"/>
          </w:tcPr>
          <w:p w14:paraId="441CA132">
            <w:pPr>
              <w:numPr>
                <w:ilvl w:val="0"/>
                <w:numId w:val="3"/>
              </w:numPr>
              <w:spacing w:line="240" w:lineRule="auto"/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第4条意见在2026年4月21-23日重庆标准讨论会中，评委提出镍精矿水份统一要求不大于11%。</w:t>
            </w:r>
          </w:p>
          <w:p w14:paraId="25BBFC72">
            <w:pPr>
              <w:numPr>
                <w:ilvl w:val="0"/>
                <w:numId w:val="3"/>
              </w:numPr>
              <w:spacing w:line="240" w:lineRule="auto"/>
              <w:rPr>
                <w:rFonts w:hint="default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其他意见均在2026年3月17-19日标准讨论会中，评委提出同样的修改意见，并在编制说明中进行了阐述。</w:t>
            </w:r>
          </w:p>
        </w:tc>
      </w:tr>
      <w:tr w14:paraId="6EA23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48" w:type="pct"/>
            <w:noWrap w:val="0"/>
            <w:vAlign w:val="center"/>
          </w:tcPr>
          <w:p w14:paraId="25AB9A8E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431" w:type="pct"/>
            <w:noWrap w:val="0"/>
            <w:vAlign w:val="center"/>
          </w:tcPr>
          <w:p w14:paraId="7EDE91A5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029" w:type="pct"/>
            <w:noWrap w:val="0"/>
            <w:vAlign w:val="center"/>
          </w:tcPr>
          <w:p w14:paraId="7D757902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无意见</w:t>
            </w:r>
          </w:p>
        </w:tc>
        <w:tc>
          <w:tcPr>
            <w:tcW w:w="931" w:type="pct"/>
            <w:noWrap w:val="0"/>
            <w:vAlign w:val="center"/>
          </w:tcPr>
          <w:p w14:paraId="5D322FEB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中国地质科学院矿产综合利用研究所</w:t>
            </w:r>
          </w:p>
        </w:tc>
        <w:tc>
          <w:tcPr>
            <w:tcW w:w="490" w:type="pct"/>
            <w:noWrap w:val="0"/>
            <w:vAlign w:val="center"/>
          </w:tcPr>
          <w:p w14:paraId="136BBDDF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采纳</w:t>
            </w:r>
          </w:p>
        </w:tc>
        <w:tc>
          <w:tcPr>
            <w:tcW w:w="769" w:type="pct"/>
            <w:noWrap w:val="0"/>
            <w:vAlign w:val="center"/>
          </w:tcPr>
          <w:p w14:paraId="7031EA19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0331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348" w:type="pct"/>
            <w:noWrap w:val="0"/>
            <w:vAlign w:val="center"/>
          </w:tcPr>
          <w:p w14:paraId="11AEDE6D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431" w:type="pct"/>
            <w:noWrap w:val="0"/>
            <w:vAlign w:val="center"/>
          </w:tcPr>
          <w:p w14:paraId="7E1A5950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029" w:type="pct"/>
            <w:noWrap w:val="0"/>
            <w:vAlign w:val="center"/>
          </w:tcPr>
          <w:p w14:paraId="385EC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无意见</w:t>
            </w:r>
          </w:p>
        </w:tc>
        <w:tc>
          <w:tcPr>
            <w:tcW w:w="931" w:type="pct"/>
            <w:noWrap w:val="0"/>
            <w:vAlign w:val="center"/>
          </w:tcPr>
          <w:p w14:paraId="777EA2FF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  <w:t>成宗矿业有限公司</w:t>
            </w:r>
          </w:p>
        </w:tc>
        <w:tc>
          <w:tcPr>
            <w:tcW w:w="490" w:type="pct"/>
            <w:noWrap w:val="0"/>
            <w:vAlign w:val="center"/>
          </w:tcPr>
          <w:p w14:paraId="2AB81322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采纳</w:t>
            </w:r>
          </w:p>
        </w:tc>
        <w:tc>
          <w:tcPr>
            <w:tcW w:w="769" w:type="pct"/>
            <w:noWrap w:val="0"/>
            <w:vAlign w:val="center"/>
          </w:tcPr>
          <w:p w14:paraId="641FB5CD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03227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8" w:type="pct"/>
            <w:noWrap w:val="0"/>
            <w:vAlign w:val="center"/>
          </w:tcPr>
          <w:p w14:paraId="63155060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31" w:type="pct"/>
            <w:noWrap w:val="0"/>
            <w:vAlign w:val="center"/>
          </w:tcPr>
          <w:p w14:paraId="3E0A9CE7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5.1.1</w:t>
            </w:r>
          </w:p>
        </w:tc>
        <w:tc>
          <w:tcPr>
            <w:tcW w:w="2029" w:type="pct"/>
            <w:noWrap w:val="0"/>
            <w:vAlign w:val="center"/>
          </w:tcPr>
          <w:p w14:paraId="6E6E19F9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建议缩小氧化镁含量范围</w:t>
            </w:r>
          </w:p>
        </w:tc>
        <w:tc>
          <w:tcPr>
            <w:tcW w:w="931" w:type="pct"/>
            <w:noWrap w:val="0"/>
            <w:vAlign w:val="center"/>
          </w:tcPr>
          <w:p w14:paraId="62125E95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</w:rPr>
              <w:t>长沙矿冶研究院有限责任公司</w:t>
            </w:r>
          </w:p>
        </w:tc>
        <w:tc>
          <w:tcPr>
            <w:tcW w:w="490" w:type="pct"/>
            <w:noWrap w:val="0"/>
            <w:vAlign w:val="center"/>
          </w:tcPr>
          <w:p w14:paraId="722F4049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不采纳</w:t>
            </w:r>
          </w:p>
        </w:tc>
        <w:tc>
          <w:tcPr>
            <w:tcW w:w="769" w:type="pct"/>
            <w:noWrap w:val="0"/>
            <w:vAlign w:val="center"/>
          </w:tcPr>
          <w:p w14:paraId="1B3A672D">
            <w:pPr>
              <w:spacing w:line="240" w:lineRule="auto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目前国内镍精矿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以镍钴股份有限公司为主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，在原矿含氧化镁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逐年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>升高和满足镍品位的前提下，氧化镁实际控制范围已是历史最好水平。</w:t>
            </w:r>
          </w:p>
        </w:tc>
      </w:tr>
      <w:tr w14:paraId="1B230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348" w:type="pct"/>
            <w:noWrap w:val="0"/>
            <w:vAlign w:val="center"/>
          </w:tcPr>
          <w:p w14:paraId="4BF2BBE6">
            <w:pPr>
              <w:spacing w:line="240" w:lineRule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431" w:type="pct"/>
            <w:noWrap w:val="0"/>
            <w:vAlign w:val="center"/>
          </w:tcPr>
          <w:p w14:paraId="6CB20BC0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29" w:type="pct"/>
            <w:noWrap w:val="0"/>
            <w:vAlign w:val="center"/>
          </w:tcPr>
          <w:p w14:paraId="220DE7DC">
            <w:pPr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无意见</w:t>
            </w:r>
          </w:p>
        </w:tc>
        <w:tc>
          <w:tcPr>
            <w:tcW w:w="931" w:type="pct"/>
            <w:noWrap w:val="0"/>
            <w:vAlign w:val="center"/>
          </w:tcPr>
          <w:p w14:paraId="582D41A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hAnsi="宋体"/>
                <w:sz w:val="18"/>
                <w:szCs w:val="18"/>
                <w:lang w:val="en-US" w:eastAsia="zh-CN"/>
              </w:rPr>
              <w:t>中国地质科学院矿产</w:t>
            </w:r>
            <w:r>
              <w:rPr>
                <w:rFonts w:hint="eastAsia" w:hAnsi="宋体"/>
                <w:sz w:val="18"/>
                <w:szCs w:val="18"/>
              </w:rPr>
              <w:t>综合利用</w:t>
            </w:r>
            <w:r>
              <w:rPr>
                <w:rFonts w:hint="eastAsia" w:hAnsi="宋体"/>
                <w:sz w:val="18"/>
                <w:szCs w:val="18"/>
                <w:lang w:val="en-US" w:eastAsia="zh-CN"/>
              </w:rPr>
              <w:t>研究</w:t>
            </w:r>
            <w:r>
              <w:rPr>
                <w:rFonts w:hint="eastAsia" w:hAnsi="宋体"/>
                <w:sz w:val="18"/>
                <w:szCs w:val="18"/>
              </w:rPr>
              <w:t>所</w:t>
            </w:r>
          </w:p>
        </w:tc>
        <w:tc>
          <w:tcPr>
            <w:tcW w:w="490" w:type="pct"/>
            <w:noWrap w:val="0"/>
            <w:vAlign w:val="center"/>
          </w:tcPr>
          <w:p w14:paraId="764E299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采纳</w:t>
            </w:r>
          </w:p>
        </w:tc>
        <w:tc>
          <w:tcPr>
            <w:tcW w:w="769" w:type="pct"/>
            <w:noWrap w:val="0"/>
            <w:vAlign w:val="center"/>
          </w:tcPr>
          <w:p w14:paraId="6FFC4288">
            <w:pPr>
              <w:spacing w:line="240" w:lineRule="auto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1BFA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348" w:type="pct"/>
            <w:noWrap w:val="0"/>
            <w:vAlign w:val="center"/>
          </w:tcPr>
          <w:p w14:paraId="660715F0">
            <w:pPr>
              <w:spacing w:line="240" w:lineRule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431" w:type="pct"/>
            <w:noWrap w:val="0"/>
            <w:vAlign w:val="center"/>
          </w:tcPr>
          <w:p w14:paraId="0F00D41A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2、6</w:t>
            </w:r>
          </w:p>
        </w:tc>
        <w:tc>
          <w:tcPr>
            <w:tcW w:w="2029" w:type="pct"/>
            <w:noWrap w:val="0"/>
            <w:vAlign w:val="center"/>
          </w:tcPr>
          <w:p w14:paraId="7B964694">
            <w:pPr>
              <w:numPr>
                <w:ilvl w:val="0"/>
                <w:numId w:val="4"/>
              </w:num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正文中引用了GB/T 20424建议在规范性引用文件中注明。</w:t>
            </w:r>
          </w:p>
          <w:p w14:paraId="33F40A41">
            <w:pPr>
              <w:numPr>
                <w:ilvl w:val="0"/>
                <w:numId w:val="4"/>
              </w:num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  <w:lang w:val="en-US" w:eastAsia="zh-CN"/>
              </w:rPr>
              <w:t>建议在不合格判定中增加“化学成份”</w:t>
            </w:r>
          </w:p>
        </w:tc>
        <w:tc>
          <w:tcPr>
            <w:tcW w:w="931" w:type="pct"/>
            <w:noWrap w:val="0"/>
            <w:vAlign w:val="center"/>
          </w:tcPr>
          <w:p w14:paraId="24E947E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荆门市格林美新材料有限公司</w:t>
            </w:r>
          </w:p>
        </w:tc>
        <w:tc>
          <w:tcPr>
            <w:tcW w:w="490" w:type="pct"/>
            <w:noWrap w:val="0"/>
            <w:vAlign w:val="center"/>
          </w:tcPr>
          <w:p w14:paraId="1264A8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采纳</w:t>
            </w:r>
          </w:p>
        </w:tc>
        <w:tc>
          <w:tcPr>
            <w:tcW w:w="769" w:type="pct"/>
            <w:noWrap w:val="0"/>
            <w:vAlign w:val="center"/>
          </w:tcPr>
          <w:p w14:paraId="62D7D62E">
            <w:pPr>
              <w:numPr>
                <w:ilvl w:val="0"/>
                <w:numId w:val="5"/>
              </w:numPr>
              <w:spacing w:line="240" w:lineRule="auto"/>
              <w:jc w:val="left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修改标准过程中的疏漏，已在规范性引用文件中注明；</w:t>
            </w:r>
          </w:p>
          <w:p w14:paraId="4BB9B878">
            <w:pPr>
              <w:numPr>
                <w:ilvl w:val="0"/>
                <w:numId w:val="5"/>
              </w:numPr>
              <w:spacing w:line="240" w:lineRule="auto"/>
              <w:jc w:val="left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增出的建议补充了镍精矿不合格判定条件，已在标准中更正。</w:t>
            </w:r>
          </w:p>
        </w:tc>
      </w:tr>
      <w:tr w14:paraId="25D6D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348" w:type="pct"/>
            <w:noWrap w:val="0"/>
            <w:vAlign w:val="center"/>
          </w:tcPr>
          <w:p w14:paraId="1177A8A4">
            <w:pPr>
              <w:spacing w:line="240" w:lineRule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431" w:type="pct"/>
            <w:noWrap w:val="0"/>
            <w:vAlign w:val="center"/>
          </w:tcPr>
          <w:p w14:paraId="18BB078C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29" w:type="pct"/>
            <w:noWrap w:val="0"/>
            <w:vAlign w:val="center"/>
          </w:tcPr>
          <w:p w14:paraId="138DE2C1">
            <w:pPr>
              <w:jc w:val="center"/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  <w:lang w:val="en-US" w:eastAsia="zh-CN"/>
              </w:rPr>
              <w:t>无意见</w:t>
            </w:r>
          </w:p>
        </w:tc>
        <w:tc>
          <w:tcPr>
            <w:tcW w:w="931" w:type="pct"/>
            <w:noWrap w:val="0"/>
            <w:vAlign w:val="center"/>
          </w:tcPr>
          <w:p w14:paraId="6396121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中伟新材料股份有限公司</w:t>
            </w:r>
          </w:p>
        </w:tc>
        <w:tc>
          <w:tcPr>
            <w:tcW w:w="490" w:type="pct"/>
            <w:noWrap w:val="0"/>
            <w:vAlign w:val="center"/>
          </w:tcPr>
          <w:p w14:paraId="2B5051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采纳</w:t>
            </w:r>
          </w:p>
        </w:tc>
        <w:tc>
          <w:tcPr>
            <w:tcW w:w="769" w:type="pct"/>
            <w:noWrap w:val="0"/>
            <w:vAlign w:val="center"/>
          </w:tcPr>
          <w:p w14:paraId="110EAF2E">
            <w:pPr>
              <w:spacing w:line="240" w:lineRule="auto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554D1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348" w:type="pct"/>
            <w:noWrap w:val="0"/>
            <w:vAlign w:val="center"/>
          </w:tcPr>
          <w:p w14:paraId="7239451F">
            <w:pPr>
              <w:spacing w:line="240" w:lineRule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431" w:type="pct"/>
            <w:noWrap w:val="0"/>
            <w:vAlign w:val="center"/>
          </w:tcPr>
          <w:p w14:paraId="6D385EBE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29" w:type="pct"/>
            <w:noWrap w:val="0"/>
            <w:vAlign w:val="center"/>
          </w:tcPr>
          <w:p w14:paraId="32A1931A">
            <w:pPr>
              <w:jc w:val="center"/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  <w:lang w:val="en-US" w:eastAsia="zh-CN"/>
              </w:rPr>
              <w:t>无意见</w:t>
            </w:r>
          </w:p>
        </w:tc>
        <w:tc>
          <w:tcPr>
            <w:tcW w:w="931" w:type="pct"/>
            <w:noWrap w:val="0"/>
            <w:vAlign w:val="center"/>
          </w:tcPr>
          <w:p w14:paraId="37B554C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江西铜业集团股份有限公司</w:t>
            </w:r>
          </w:p>
        </w:tc>
        <w:tc>
          <w:tcPr>
            <w:tcW w:w="490" w:type="pct"/>
            <w:noWrap w:val="0"/>
            <w:vAlign w:val="center"/>
          </w:tcPr>
          <w:p w14:paraId="45641B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采纳</w:t>
            </w:r>
          </w:p>
        </w:tc>
        <w:tc>
          <w:tcPr>
            <w:tcW w:w="769" w:type="pct"/>
            <w:noWrap w:val="0"/>
            <w:vAlign w:val="center"/>
          </w:tcPr>
          <w:p w14:paraId="7F699E2F">
            <w:pPr>
              <w:spacing w:line="240" w:lineRule="auto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5AD65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348" w:type="pct"/>
            <w:noWrap w:val="0"/>
            <w:vAlign w:val="center"/>
          </w:tcPr>
          <w:p w14:paraId="6E4C11F4">
            <w:pPr>
              <w:spacing w:line="240" w:lineRule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431" w:type="pct"/>
            <w:noWrap w:val="0"/>
            <w:vAlign w:val="center"/>
          </w:tcPr>
          <w:p w14:paraId="3F158E18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029" w:type="pct"/>
            <w:noWrap w:val="0"/>
            <w:vAlign w:val="center"/>
          </w:tcPr>
          <w:p w14:paraId="5CEF803E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正文中引用了GB/T 20424建议在规范性引用文件中注明。</w:t>
            </w:r>
          </w:p>
        </w:tc>
        <w:tc>
          <w:tcPr>
            <w:tcW w:w="931" w:type="pct"/>
            <w:noWrap w:val="0"/>
            <w:vAlign w:val="center"/>
          </w:tcPr>
          <w:p w14:paraId="6611D8C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云南锡业集团（控股）有限责任公司</w:t>
            </w:r>
          </w:p>
        </w:tc>
        <w:tc>
          <w:tcPr>
            <w:tcW w:w="490" w:type="pct"/>
            <w:noWrap w:val="0"/>
            <w:vAlign w:val="center"/>
          </w:tcPr>
          <w:p w14:paraId="65B3D0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采纳</w:t>
            </w:r>
          </w:p>
        </w:tc>
        <w:tc>
          <w:tcPr>
            <w:tcW w:w="769" w:type="pct"/>
            <w:noWrap w:val="0"/>
            <w:vAlign w:val="center"/>
          </w:tcPr>
          <w:p w14:paraId="796EEDA6">
            <w:pPr>
              <w:spacing w:line="240" w:lineRule="auto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修改标准过程中的疏漏，已在规范性引用文件中注明</w:t>
            </w:r>
          </w:p>
        </w:tc>
      </w:tr>
      <w:tr w14:paraId="63AA8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348" w:type="pct"/>
            <w:noWrap w:val="0"/>
            <w:vAlign w:val="center"/>
          </w:tcPr>
          <w:p w14:paraId="34E28662">
            <w:pPr>
              <w:spacing w:line="240" w:lineRule="auto"/>
              <w:rPr>
                <w:rFonts w:hint="default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16</w:t>
            </w:r>
          </w:p>
        </w:tc>
        <w:tc>
          <w:tcPr>
            <w:tcW w:w="431" w:type="pct"/>
            <w:noWrap w:val="0"/>
            <w:vAlign w:val="center"/>
          </w:tcPr>
          <w:p w14:paraId="7E642A92">
            <w:pPr>
              <w:jc w:val="center"/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29" w:type="pct"/>
            <w:noWrap w:val="0"/>
            <w:vAlign w:val="center"/>
          </w:tcPr>
          <w:p w14:paraId="47EBB46C">
            <w:pPr>
              <w:jc w:val="center"/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  <w:lang w:val="en-US" w:eastAsia="zh-CN"/>
              </w:rPr>
              <w:t>无意见</w:t>
            </w:r>
          </w:p>
        </w:tc>
        <w:tc>
          <w:tcPr>
            <w:tcW w:w="931" w:type="pct"/>
            <w:noWrap w:val="0"/>
            <w:vAlign w:val="center"/>
          </w:tcPr>
          <w:p w14:paraId="5BF4342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西北矿冶研究院</w:t>
            </w:r>
          </w:p>
        </w:tc>
        <w:tc>
          <w:tcPr>
            <w:tcW w:w="490" w:type="pct"/>
            <w:noWrap w:val="0"/>
            <w:vAlign w:val="center"/>
          </w:tcPr>
          <w:p w14:paraId="2173EC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采纳</w:t>
            </w:r>
          </w:p>
        </w:tc>
        <w:tc>
          <w:tcPr>
            <w:tcW w:w="769" w:type="pct"/>
            <w:noWrap w:val="0"/>
            <w:vAlign w:val="center"/>
          </w:tcPr>
          <w:p w14:paraId="13EA07F6">
            <w:pPr>
              <w:spacing w:line="240" w:lineRule="auto"/>
              <w:jc w:val="left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DF29DB5">
      <w:pPr>
        <w:rPr>
          <w:szCs w:val="21"/>
        </w:rPr>
      </w:pPr>
    </w:p>
    <w:p w14:paraId="49D0F103">
      <w:pPr>
        <w:rPr>
          <w:rFonts w:hint="default" w:ascii="Times New Roman" w:hAnsi="Times New Roman" w:cs="Times New Roman"/>
          <w:szCs w:val="21"/>
        </w:rPr>
      </w:pPr>
    </w:p>
    <w:p w14:paraId="7D19D048">
      <w:pPr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说明（1）发送《征求意见稿》的单位数：</w:t>
      </w:r>
      <w:r>
        <w:rPr>
          <w:rFonts w:hint="eastAsia" w:cs="Times New Roman"/>
          <w:szCs w:val="21"/>
          <w:lang w:val="en-US" w:eastAsia="zh-CN"/>
        </w:rPr>
        <w:t>16</w:t>
      </w:r>
      <w:r>
        <w:rPr>
          <w:rFonts w:hint="default" w:ascii="Times New Roman" w:hAnsi="Times New Roman" w:cs="Times New Roman"/>
          <w:szCs w:val="21"/>
        </w:rPr>
        <w:t>个；</w:t>
      </w:r>
    </w:p>
    <w:p w14:paraId="1DDBA45D">
      <w:pPr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 xml:space="preserve">    （2）收到《征求意见稿》后，</w:t>
      </w:r>
      <w:r>
        <w:rPr>
          <w:rFonts w:hint="eastAsia" w:cs="Times New Roman"/>
          <w:szCs w:val="21"/>
          <w:lang w:val="en-US" w:eastAsia="zh-CN"/>
        </w:rPr>
        <w:t>电话和微信答复14家，</w:t>
      </w:r>
      <w:r>
        <w:rPr>
          <w:rFonts w:hint="default" w:ascii="Times New Roman" w:hAnsi="Times New Roman" w:cs="Times New Roman"/>
          <w:szCs w:val="21"/>
        </w:rPr>
        <w:t>回函的单位数：</w:t>
      </w:r>
      <w:r>
        <w:rPr>
          <w:rFonts w:hint="eastAsia" w:cs="Times New Roman"/>
          <w:szCs w:val="21"/>
          <w:lang w:val="en-US" w:eastAsia="zh-CN"/>
        </w:rPr>
        <w:t>2家</w:t>
      </w:r>
      <w:r>
        <w:rPr>
          <w:rFonts w:hint="default" w:ascii="Times New Roman" w:hAnsi="Times New Roman" w:cs="Times New Roman"/>
          <w:szCs w:val="21"/>
        </w:rPr>
        <w:t>；</w:t>
      </w:r>
    </w:p>
    <w:p w14:paraId="3A318F92">
      <w:pPr>
        <w:ind w:firstLine="435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（3）收到《征求意见稿》后，回函并有建议或意见的单位数：</w:t>
      </w:r>
      <w:r>
        <w:rPr>
          <w:rFonts w:hint="eastAsia" w:cs="Times New Roman"/>
          <w:szCs w:val="21"/>
          <w:lang w:val="en-US" w:eastAsia="zh-CN"/>
        </w:rPr>
        <w:t>6</w:t>
      </w:r>
      <w:bookmarkStart w:id="0" w:name="_GoBack"/>
      <w:bookmarkEnd w:id="0"/>
      <w:r>
        <w:rPr>
          <w:rFonts w:hint="eastAsia" w:cs="Times New Roman"/>
          <w:szCs w:val="21"/>
          <w:lang w:val="en-US" w:eastAsia="zh-CN"/>
        </w:rPr>
        <w:t>家</w:t>
      </w:r>
      <w:r>
        <w:rPr>
          <w:rFonts w:hint="default" w:ascii="Times New Roman" w:hAnsi="Times New Roman" w:cs="Times New Roman"/>
          <w:szCs w:val="21"/>
        </w:rPr>
        <w:t>；</w:t>
      </w:r>
    </w:p>
    <w:p w14:paraId="37D55552">
      <w:pPr>
        <w:tabs>
          <w:tab w:val="left" w:pos="3990"/>
        </w:tabs>
        <w:ind w:firstLine="420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（4）没有回函</w:t>
      </w:r>
      <w:r>
        <w:rPr>
          <w:rFonts w:hint="eastAsia" w:cs="Times New Roman"/>
          <w:szCs w:val="21"/>
          <w:lang w:val="en-US" w:eastAsia="zh-CN"/>
        </w:rPr>
        <w:t>或回复信息</w:t>
      </w:r>
      <w:r>
        <w:rPr>
          <w:rFonts w:hint="default" w:ascii="Times New Roman" w:hAnsi="Times New Roman" w:cs="Times New Roman"/>
          <w:szCs w:val="21"/>
        </w:rPr>
        <w:t>的单位数：</w:t>
      </w:r>
      <w:r>
        <w:rPr>
          <w:rFonts w:hint="eastAsia" w:cs="Times New Roman"/>
          <w:szCs w:val="21"/>
          <w:lang w:val="en-US" w:eastAsia="zh-CN"/>
        </w:rPr>
        <w:t>0</w:t>
      </w:r>
      <w:r>
        <w:rPr>
          <w:rFonts w:hint="default" w:ascii="Times New Roman" w:hAnsi="Times New Roman" w:cs="Times New Roman"/>
          <w:szCs w:val="21"/>
        </w:rPr>
        <w:t>个。</w:t>
      </w:r>
      <w:r>
        <w:rPr>
          <w:rFonts w:hint="default" w:ascii="Times New Roman" w:hAnsi="Times New Roman" w:cs="Times New Roman"/>
          <w:szCs w:val="21"/>
        </w:rPr>
        <w:tab/>
      </w:r>
    </w:p>
    <w:p w14:paraId="56324B8C">
      <w:pPr>
        <w:rPr>
          <w:rFonts w:hint="default" w:ascii="Times New Roman" w:hAnsi="Times New Roman" w:cs="Times New Roman"/>
          <w:szCs w:val="21"/>
        </w:rPr>
      </w:pPr>
    </w:p>
    <w:sectPr>
      <w:headerReference r:id="rId3" w:type="default"/>
      <w:footerReference r:id="rId4" w:type="default"/>
      <w:pgSz w:w="11906" w:h="16838"/>
      <w:pgMar w:top="1134" w:right="851" w:bottom="1134" w:left="851" w:header="851" w:footer="992" w:gutter="0"/>
      <w:pgNumType w:start="1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5A16D">
    <w:pPr>
      <w:pStyle w:val="4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75E33">
    <w:pPr>
      <w:pageBreakBefore/>
      <w:spacing w:before="240" w:beforeLines="100" w:after="120" w:afterLines="50"/>
      <w:jc w:val="center"/>
      <w:rPr>
        <w:rFonts w:eastAsia="黑体"/>
        <w:sz w:val="28"/>
      </w:rPr>
    </w:pPr>
    <w:r>
      <w:rPr>
        <w:rFonts w:hint="eastAsia" w:eastAsia="黑体"/>
        <w:sz w:val="28"/>
      </w:rPr>
      <w:t>标准征求意见稿意见汇总处理表</w:t>
    </w:r>
  </w:p>
  <w:p w14:paraId="5A781412">
    <w:pPr>
      <w:rPr>
        <w:szCs w:val="21"/>
      </w:rPr>
    </w:pPr>
    <w:r>
      <w:rPr>
        <w:rFonts w:hint="eastAsia"/>
        <w:szCs w:val="21"/>
      </w:rPr>
      <w:t>标准项目名称：</w:t>
    </w:r>
    <w:r>
      <w:rPr>
        <w:rFonts w:hint="eastAsia"/>
        <w:szCs w:val="21"/>
        <w:lang w:val="en-US" w:eastAsia="zh-CN"/>
      </w:rPr>
      <w:t xml:space="preserve">镍精矿                          </w:t>
    </w:r>
    <w:r>
      <w:rPr>
        <w:rFonts w:hint="eastAsia" w:ascii="宋体" w:hAnsi="宋体"/>
        <w:szCs w:val="21"/>
      </w:rPr>
      <w:t xml:space="preserve">  承办人：</w:t>
    </w:r>
    <w:r>
      <w:rPr>
        <w:rFonts w:hint="eastAsia" w:ascii="宋体" w:hAnsi="宋体"/>
        <w:szCs w:val="21"/>
        <w:lang w:val="en-US" w:eastAsia="zh-CN"/>
      </w:rPr>
      <w:t xml:space="preserve">江敏 </w:t>
    </w:r>
    <w:r>
      <w:rPr>
        <w:rFonts w:hint="eastAsia" w:ascii="宋体" w:hAnsi="宋体"/>
        <w:szCs w:val="21"/>
      </w:rPr>
      <w:t xml:space="preserve">        </w:t>
    </w:r>
    <w:r>
      <w:rPr>
        <w:rFonts w:hint="eastAsia" w:ascii="宋体" w:hAnsi="宋体"/>
        <w:szCs w:val="21"/>
        <w:lang w:val="en-US" w:eastAsia="zh-CN"/>
      </w:rPr>
      <w:t xml:space="preserve">            </w:t>
    </w:r>
    <w:r>
      <w:rPr>
        <w:rFonts w:hint="eastAsia" w:ascii="宋体" w:hAnsi="宋体"/>
        <w:color w:val="C00000"/>
        <w:szCs w:val="21"/>
        <w:lang w:val="en-US" w:eastAsia="zh-CN"/>
      </w:rPr>
      <w:t xml:space="preserve"> </w:t>
    </w:r>
    <w:r>
      <w:rPr>
        <w:rFonts w:hint="eastAsia" w:ascii="宋体" w:hAnsi="宋体"/>
        <w:color w:val="C00000"/>
        <w:szCs w:val="21"/>
      </w:rPr>
      <w:t xml:space="preserve"> 共</w:t>
    </w:r>
    <w:r>
      <w:rPr>
        <w:rFonts w:hint="eastAsia" w:ascii="宋体" w:hAnsi="宋体"/>
        <w:color w:val="C00000"/>
        <w:szCs w:val="21"/>
        <w:lang w:val="en-US" w:eastAsia="zh-CN"/>
      </w:rPr>
      <w:t>2</w:t>
    </w:r>
    <w:r>
      <w:rPr>
        <w:rFonts w:hint="eastAsia" w:ascii="宋体" w:hAnsi="宋体"/>
        <w:color w:val="C00000"/>
        <w:szCs w:val="21"/>
      </w:rPr>
      <w:t>页 第</w:t>
    </w:r>
    <w:r>
      <w:rPr>
        <w:rFonts w:ascii="宋体" w:hAnsi="宋体"/>
        <w:color w:val="C00000"/>
        <w:szCs w:val="21"/>
      </w:rPr>
      <w:fldChar w:fldCharType="begin"/>
    </w:r>
    <w:r>
      <w:rPr>
        <w:rFonts w:ascii="宋体" w:hAnsi="宋体"/>
        <w:color w:val="C00000"/>
        <w:szCs w:val="21"/>
      </w:rPr>
      <w:instrText xml:space="preserve"> PAGE   \* MERGEFORMAT </w:instrText>
    </w:r>
    <w:r>
      <w:rPr>
        <w:rFonts w:ascii="宋体" w:hAnsi="宋体"/>
        <w:color w:val="C00000"/>
        <w:szCs w:val="21"/>
      </w:rPr>
      <w:fldChar w:fldCharType="separate"/>
    </w:r>
    <w:r>
      <w:rPr>
        <w:rFonts w:ascii="宋体" w:hAnsi="宋体"/>
        <w:color w:val="C00000"/>
        <w:szCs w:val="21"/>
        <w:lang w:val="zh-CN"/>
      </w:rPr>
      <w:t>1</w:t>
    </w:r>
    <w:r>
      <w:rPr>
        <w:rFonts w:ascii="宋体" w:hAnsi="宋体"/>
        <w:color w:val="C00000"/>
        <w:szCs w:val="21"/>
      </w:rPr>
      <w:fldChar w:fldCharType="end"/>
    </w:r>
    <w:r>
      <w:rPr>
        <w:rFonts w:hint="eastAsia" w:ascii="宋体" w:hAnsi="宋体"/>
        <w:color w:val="C00000"/>
        <w:szCs w:val="21"/>
      </w:rPr>
      <w:t>页</w:t>
    </w:r>
  </w:p>
  <w:p w14:paraId="36A229FB">
    <w:pPr>
      <w:rPr>
        <w:szCs w:val="21"/>
      </w:rPr>
    </w:pPr>
    <w:r>
      <w:rPr>
        <w:rFonts w:hint="eastAsia"/>
        <w:szCs w:val="21"/>
      </w:rPr>
      <w:t>标准项目负责起草单位：</w:t>
    </w:r>
    <w:r>
      <w:rPr>
        <w:rFonts w:hint="eastAsia"/>
        <w:szCs w:val="21"/>
        <w:lang w:val="en-US" w:eastAsia="zh-CN"/>
      </w:rPr>
      <w:t>金川集团股份有限公司</w:t>
    </w:r>
    <w:r>
      <w:rPr>
        <w:rFonts w:hint="eastAsia" w:ascii="宋体" w:hAnsi="宋体"/>
        <w:szCs w:val="21"/>
      </w:rPr>
      <w:t xml:space="preserve"> </w:t>
    </w:r>
    <w:r>
      <w:rPr>
        <w:rFonts w:hint="eastAsia"/>
        <w:szCs w:val="21"/>
      </w:rPr>
      <w:t xml:space="preserve">     电  话：</w:t>
    </w:r>
    <w:r>
      <w:rPr>
        <w:rFonts w:hint="eastAsia"/>
        <w:szCs w:val="21"/>
        <w:lang w:val="en-US" w:eastAsia="zh-CN"/>
      </w:rPr>
      <w:t>18193592650</w:t>
    </w:r>
    <w:r>
      <w:rPr>
        <w:rFonts w:hint="eastAsia" w:ascii="宋体" w:hAnsi="宋体"/>
        <w:szCs w:val="21"/>
      </w:rPr>
      <w:t xml:space="preserve">     20</w:t>
    </w:r>
    <w:r>
      <w:rPr>
        <w:rFonts w:hint="eastAsia" w:ascii="宋体" w:hAnsi="宋体"/>
        <w:szCs w:val="21"/>
        <w:lang w:val="en-US" w:eastAsia="zh-CN"/>
      </w:rPr>
      <w:t>26</w:t>
    </w:r>
    <w:r>
      <w:rPr>
        <w:rFonts w:hint="eastAsia" w:ascii="宋体" w:hAnsi="宋体"/>
        <w:szCs w:val="21"/>
      </w:rPr>
      <w:t>年</w:t>
    </w:r>
    <w:r>
      <w:rPr>
        <w:rFonts w:hint="eastAsia" w:ascii="宋体" w:hAnsi="宋体"/>
        <w:szCs w:val="21"/>
        <w:lang w:val="en-US" w:eastAsia="zh-CN"/>
      </w:rPr>
      <w:t>8</w:t>
    </w:r>
    <w:r>
      <w:rPr>
        <w:rFonts w:hint="eastAsia" w:ascii="宋体" w:hAnsi="宋体"/>
        <w:szCs w:val="21"/>
      </w:rPr>
      <w:t>月</w:t>
    </w:r>
    <w:r>
      <w:rPr>
        <w:rFonts w:hint="eastAsia" w:ascii="宋体" w:hAnsi="宋体"/>
        <w:szCs w:val="21"/>
        <w:lang w:val="en-US" w:eastAsia="zh-CN"/>
      </w:rPr>
      <w:t xml:space="preserve">20 </w:t>
    </w:r>
    <w:r>
      <w:rPr>
        <w:rFonts w:hint="eastAsia" w:ascii="宋体" w:hAnsi="宋体"/>
        <w:szCs w:val="21"/>
      </w:rPr>
      <w:t>日</w:t>
    </w:r>
    <w:r>
      <w:rPr>
        <w:rFonts w:hint="eastAsia"/>
        <w:szCs w:val="21"/>
      </w:rPr>
      <w:t>填写</w:t>
    </w:r>
  </w:p>
  <w:p w14:paraId="728D2345">
    <w:pPr>
      <w:pStyle w:val="5"/>
      <w:pBdr>
        <w:bottom w:val="none" w:color="auto" w:sz="0" w:space="0"/>
      </w:pBd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19DCA0"/>
    <w:multiLevelType w:val="singleLevel"/>
    <w:tmpl w:val="8919DCA0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F6B2B77"/>
    <w:multiLevelType w:val="multilevel"/>
    <w:tmpl w:val="0F6B2B77"/>
    <w:lvl w:ilvl="0" w:tentative="0">
      <w:start w:val="1"/>
      <w:numFmt w:val="lowerLetter"/>
      <w:pStyle w:val="22"/>
      <w:lvlText w:val="%1)"/>
      <w:lvlJc w:val="left"/>
      <w:pPr>
        <w:tabs>
          <w:tab w:val="left" w:pos="945"/>
        </w:tabs>
        <w:ind w:left="944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27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pStyle w:val="26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2">
    <w:nsid w:val="1FC91163"/>
    <w:multiLevelType w:val="multilevel"/>
    <w:tmpl w:val="1FC91163"/>
    <w:lvl w:ilvl="0" w:tentative="0">
      <w:start w:val="1"/>
      <w:numFmt w:val="decimal"/>
      <w:pStyle w:val="28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21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20"/>
      <w:suff w:val="nothing"/>
      <w:lvlText w:val="%1.%2.%3　"/>
      <w:lvlJc w:val="left"/>
      <w:pPr>
        <w:ind w:left="568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4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3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5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3">
    <w:nsid w:val="6AF7148C"/>
    <w:multiLevelType w:val="singleLevel"/>
    <w:tmpl w:val="6AF7148C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77374466"/>
    <w:multiLevelType w:val="singleLevel"/>
    <w:tmpl w:val="7737446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165"/>
    <w:rsid w:val="000507E4"/>
    <w:rsid w:val="000573A2"/>
    <w:rsid w:val="00083A10"/>
    <w:rsid w:val="000B415A"/>
    <w:rsid w:val="00126210"/>
    <w:rsid w:val="00172D71"/>
    <w:rsid w:val="00193045"/>
    <w:rsid w:val="001F114A"/>
    <w:rsid w:val="001F6DCD"/>
    <w:rsid w:val="0021055F"/>
    <w:rsid w:val="00255C9F"/>
    <w:rsid w:val="00391BD1"/>
    <w:rsid w:val="003A2626"/>
    <w:rsid w:val="003C7011"/>
    <w:rsid w:val="00497246"/>
    <w:rsid w:val="004C7AAE"/>
    <w:rsid w:val="004D45D4"/>
    <w:rsid w:val="00500D03"/>
    <w:rsid w:val="00532F2F"/>
    <w:rsid w:val="00536652"/>
    <w:rsid w:val="005961B8"/>
    <w:rsid w:val="005C01AA"/>
    <w:rsid w:val="005C65AD"/>
    <w:rsid w:val="005E07EE"/>
    <w:rsid w:val="005F0165"/>
    <w:rsid w:val="005F37E1"/>
    <w:rsid w:val="005F3EBD"/>
    <w:rsid w:val="006536F2"/>
    <w:rsid w:val="006570A4"/>
    <w:rsid w:val="00657331"/>
    <w:rsid w:val="00660525"/>
    <w:rsid w:val="00674C56"/>
    <w:rsid w:val="006C0DB7"/>
    <w:rsid w:val="006C621C"/>
    <w:rsid w:val="006C79ED"/>
    <w:rsid w:val="007E19E4"/>
    <w:rsid w:val="007E353B"/>
    <w:rsid w:val="00805B6A"/>
    <w:rsid w:val="00813BC9"/>
    <w:rsid w:val="00883A07"/>
    <w:rsid w:val="00900195"/>
    <w:rsid w:val="00A15F88"/>
    <w:rsid w:val="00B02D46"/>
    <w:rsid w:val="00BE4B49"/>
    <w:rsid w:val="00BF3CEB"/>
    <w:rsid w:val="00C51D64"/>
    <w:rsid w:val="00C57F00"/>
    <w:rsid w:val="00C97C15"/>
    <w:rsid w:val="00CD5942"/>
    <w:rsid w:val="00CD770C"/>
    <w:rsid w:val="00D05662"/>
    <w:rsid w:val="00D42A73"/>
    <w:rsid w:val="00D93AE1"/>
    <w:rsid w:val="00DC3CAB"/>
    <w:rsid w:val="00DC6796"/>
    <w:rsid w:val="00DD6336"/>
    <w:rsid w:val="00E06E52"/>
    <w:rsid w:val="00E81486"/>
    <w:rsid w:val="00EA091F"/>
    <w:rsid w:val="00ED706D"/>
    <w:rsid w:val="00EF0494"/>
    <w:rsid w:val="00F0157C"/>
    <w:rsid w:val="03AA6FCE"/>
    <w:rsid w:val="04020397"/>
    <w:rsid w:val="05356682"/>
    <w:rsid w:val="055F0B87"/>
    <w:rsid w:val="07955749"/>
    <w:rsid w:val="07AD2313"/>
    <w:rsid w:val="085C1889"/>
    <w:rsid w:val="0A696084"/>
    <w:rsid w:val="0B073FB5"/>
    <w:rsid w:val="0C1D5F2C"/>
    <w:rsid w:val="0C580AA0"/>
    <w:rsid w:val="0DB2623F"/>
    <w:rsid w:val="0EE8762D"/>
    <w:rsid w:val="109975D6"/>
    <w:rsid w:val="11E42DD6"/>
    <w:rsid w:val="143F5FC4"/>
    <w:rsid w:val="14A12D99"/>
    <w:rsid w:val="16111CBF"/>
    <w:rsid w:val="1703785A"/>
    <w:rsid w:val="17457E73"/>
    <w:rsid w:val="1781684E"/>
    <w:rsid w:val="17DA4A5F"/>
    <w:rsid w:val="180445AB"/>
    <w:rsid w:val="1C0A3439"/>
    <w:rsid w:val="1D2A0352"/>
    <w:rsid w:val="1F0D35F2"/>
    <w:rsid w:val="20B437E1"/>
    <w:rsid w:val="211F34E2"/>
    <w:rsid w:val="2266421F"/>
    <w:rsid w:val="233B3DF9"/>
    <w:rsid w:val="237775E9"/>
    <w:rsid w:val="24860C2C"/>
    <w:rsid w:val="25DD10D1"/>
    <w:rsid w:val="2740697A"/>
    <w:rsid w:val="279664C8"/>
    <w:rsid w:val="29474CAF"/>
    <w:rsid w:val="2999739E"/>
    <w:rsid w:val="29A92F85"/>
    <w:rsid w:val="29F574D6"/>
    <w:rsid w:val="2B585740"/>
    <w:rsid w:val="2CCB451E"/>
    <w:rsid w:val="2D3002B7"/>
    <w:rsid w:val="2DF141AA"/>
    <w:rsid w:val="2E0C4019"/>
    <w:rsid w:val="2F0E5EC8"/>
    <w:rsid w:val="31543BC8"/>
    <w:rsid w:val="31DB5626"/>
    <w:rsid w:val="32C1089D"/>
    <w:rsid w:val="33F95E15"/>
    <w:rsid w:val="37F6521C"/>
    <w:rsid w:val="399F745E"/>
    <w:rsid w:val="3A0852BE"/>
    <w:rsid w:val="3A976388"/>
    <w:rsid w:val="3B430650"/>
    <w:rsid w:val="3B51756C"/>
    <w:rsid w:val="3BD23EA7"/>
    <w:rsid w:val="3C9708C1"/>
    <w:rsid w:val="3CD54581"/>
    <w:rsid w:val="3D0106C6"/>
    <w:rsid w:val="3FD75394"/>
    <w:rsid w:val="40172C17"/>
    <w:rsid w:val="40C024EF"/>
    <w:rsid w:val="40F07966"/>
    <w:rsid w:val="40F55BB6"/>
    <w:rsid w:val="433378D3"/>
    <w:rsid w:val="43785877"/>
    <w:rsid w:val="441D78FE"/>
    <w:rsid w:val="452C0D9A"/>
    <w:rsid w:val="466D4889"/>
    <w:rsid w:val="46A42944"/>
    <w:rsid w:val="483D4758"/>
    <w:rsid w:val="49853513"/>
    <w:rsid w:val="49C5732A"/>
    <w:rsid w:val="49D97340"/>
    <w:rsid w:val="4A7009E7"/>
    <w:rsid w:val="4AC66549"/>
    <w:rsid w:val="4D524512"/>
    <w:rsid w:val="4F6B3C13"/>
    <w:rsid w:val="4F6E54B1"/>
    <w:rsid w:val="5149499E"/>
    <w:rsid w:val="521A198D"/>
    <w:rsid w:val="545C3B2A"/>
    <w:rsid w:val="55B654BC"/>
    <w:rsid w:val="5A3A7F15"/>
    <w:rsid w:val="5B3B333C"/>
    <w:rsid w:val="5B961E3B"/>
    <w:rsid w:val="5BA54009"/>
    <w:rsid w:val="5CAE5388"/>
    <w:rsid w:val="5E145319"/>
    <w:rsid w:val="5EB56C59"/>
    <w:rsid w:val="603B38D0"/>
    <w:rsid w:val="626D426F"/>
    <w:rsid w:val="634725AF"/>
    <w:rsid w:val="636F0D32"/>
    <w:rsid w:val="66B42C14"/>
    <w:rsid w:val="67C11603"/>
    <w:rsid w:val="690A7BA1"/>
    <w:rsid w:val="6AD4360E"/>
    <w:rsid w:val="6AFD1B01"/>
    <w:rsid w:val="6B36615F"/>
    <w:rsid w:val="6CE247BF"/>
    <w:rsid w:val="6D647E7B"/>
    <w:rsid w:val="6F525DFE"/>
    <w:rsid w:val="70C07CAD"/>
    <w:rsid w:val="70F95502"/>
    <w:rsid w:val="73B11A25"/>
    <w:rsid w:val="74CF2921"/>
    <w:rsid w:val="77E44467"/>
    <w:rsid w:val="7B8732D3"/>
    <w:rsid w:val="7C742918"/>
    <w:rsid w:val="7CE502B1"/>
    <w:rsid w:val="7CED7166"/>
    <w:rsid w:val="7D9035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annotation subject"/>
    <w:basedOn w:val="2"/>
    <w:next w:val="2"/>
    <w:link w:val="15"/>
    <w:unhideWhenUsed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unhideWhenUsed/>
    <w:uiPriority w:val="99"/>
    <w:rPr>
      <w:sz w:val="21"/>
      <w:szCs w:val="21"/>
    </w:rPr>
  </w:style>
  <w:style w:type="character" w:customStyle="1" w:styleId="11">
    <w:name w:val="批注文字 Char"/>
    <w:link w:val="2"/>
    <w:semiHidden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2">
    <w:name w:val="批注框文本 Char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3">
    <w:name w:val="页脚 Char"/>
    <w:link w:val="4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Char"/>
    <w:link w:val="5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批注主题 Char"/>
    <w:link w:val="6"/>
    <w:semiHidden/>
    <w:uiPriority w:val="99"/>
    <w:rPr>
      <w:rFonts w:ascii="Times New Roman" w:hAnsi="Times New Roman"/>
      <w:b/>
      <w:bCs/>
      <w:kern w:val="2"/>
      <w:sz w:val="21"/>
      <w:szCs w:val="24"/>
    </w:rPr>
  </w:style>
  <w:style w:type="paragraph" w:customStyle="1" w:styleId="16">
    <w:name w:val="正文 首行缩进:  2 字符"/>
    <w:basedOn w:val="1"/>
    <w:qFormat/>
    <w:uiPriority w:val="0"/>
    <w:pPr>
      <w:spacing w:line="360" w:lineRule="auto"/>
      <w:ind w:firstLine="579" w:firstLineChars="200"/>
    </w:pPr>
    <w:rPr>
      <w:rFonts w:ascii="宋体" w:cs="宋体"/>
      <w:sz w:val="28"/>
      <w:szCs w:val="20"/>
    </w:rPr>
  </w:style>
  <w:style w:type="character" w:customStyle="1" w:styleId="17">
    <w:name w:val="段 Char"/>
    <w:link w:val="18"/>
    <w:uiPriority w:val="0"/>
    <w:rPr>
      <w:rFonts w:ascii="宋体" w:hAnsi="Times New Roman"/>
      <w:sz w:val="21"/>
      <w:lang w:val="en-US" w:eastAsia="zh-CN" w:bidi="ar-SA"/>
    </w:rPr>
  </w:style>
  <w:style w:type="paragraph" w:customStyle="1" w:styleId="18">
    <w:name w:val="段"/>
    <w:link w:val="17"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9">
    <w:name w:val="二级无"/>
    <w:basedOn w:val="20"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20">
    <w:name w:val="二级条标题"/>
    <w:basedOn w:val="21"/>
    <w:next w:val="18"/>
    <w:uiPriority w:val="0"/>
    <w:pPr>
      <w:numPr>
        <w:ilvl w:val="2"/>
        <w:numId w:val="1"/>
      </w:numPr>
      <w:spacing w:before="50" w:after="50"/>
      <w:ind w:left="0"/>
      <w:outlineLvl w:val="3"/>
    </w:pPr>
  </w:style>
  <w:style w:type="paragraph" w:customStyle="1" w:styleId="21">
    <w:name w:val="一级条标题"/>
    <w:next w:val="18"/>
    <w:uiPriority w:val="0"/>
    <w:pPr>
      <w:numPr>
        <w:ilvl w:val="1"/>
        <w:numId w:val="1"/>
      </w:numPr>
      <w:spacing w:before="156" w:beforeLines="50" w:after="156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2">
    <w:name w:val="字母编号列项（一级）"/>
    <w:uiPriority w:val="0"/>
    <w:pPr>
      <w:numPr>
        <w:ilvl w:val="0"/>
        <w:numId w:val="2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3">
    <w:name w:val="四级条标题"/>
    <w:basedOn w:val="24"/>
    <w:next w:val="18"/>
    <w:uiPriority w:val="0"/>
    <w:pPr>
      <w:numPr>
        <w:ilvl w:val="4"/>
        <w:numId w:val="1"/>
      </w:numPr>
      <w:outlineLvl w:val="5"/>
    </w:pPr>
  </w:style>
  <w:style w:type="paragraph" w:customStyle="1" w:styleId="24">
    <w:name w:val="三级条标题"/>
    <w:basedOn w:val="20"/>
    <w:next w:val="18"/>
    <w:qFormat/>
    <w:uiPriority w:val="0"/>
    <w:pPr>
      <w:numPr>
        <w:ilvl w:val="3"/>
        <w:numId w:val="1"/>
      </w:numPr>
      <w:outlineLvl w:val="4"/>
    </w:pPr>
  </w:style>
  <w:style w:type="paragraph" w:customStyle="1" w:styleId="25">
    <w:name w:val="五级条标题"/>
    <w:basedOn w:val="23"/>
    <w:next w:val="18"/>
    <w:uiPriority w:val="0"/>
    <w:pPr>
      <w:numPr>
        <w:ilvl w:val="5"/>
        <w:numId w:val="1"/>
      </w:numPr>
      <w:outlineLvl w:val="6"/>
    </w:pPr>
  </w:style>
  <w:style w:type="paragraph" w:customStyle="1" w:styleId="26">
    <w:name w:val="编号列项（三级）"/>
    <w:uiPriority w:val="0"/>
    <w:pPr>
      <w:numPr>
        <w:ilvl w:val="2"/>
        <w:numId w:val="2"/>
      </w:numPr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7">
    <w:name w:val="数字编号列项（二级）"/>
    <w:uiPriority w:val="0"/>
    <w:pPr>
      <w:numPr>
        <w:ilvl w:val="1"/>
        <w:numId w:val="2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">
    <w:name w:val="章标题"/>
    <w:next w:val="18"/>
    <w:uiPriority w:val="0"/>
    <w:pPr>
      <w:numPr>
        <w:ilvl w:val="0"/>
        <w:numId w:val="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character" w:customStyle="1" w:styleId="29">
    <w:name w:val="font01"/>
    <w:basedOn w:val="9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955</Words>
  <Characters>1079</Characters>
  <Lines>2</Lines>
  <Paragraphs>1</Paragraphs>
  <TotalTime>53</TotalTime>
  <ScaleCrop>false</ScaleCrop>
  <LinksUpToDate>false</LinksUpToDate>
  <CharactersWithSpaces>1098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2018-01-14T10:23:00Z</dcterms:created>
  <dc:creator>LENOVO</dc:creator>
  <cp:lastModifiedBy>生如夏花</cp:lastModifiedBy>
  <cp:lastPrinted>2025-08-18T07:14:00Z</cp:lastPrinted>
  <dcterms:modified xsi:type="dcterms:W3CDTF">2026-08-21T04:12:20Z</dcterms:modified>
  <dc:title>标准征求意见稿意见汇总处理表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eyJoZGlkIjoiOThkNjFiOGNlZDdhM2YzNzg0NjBkNjU0N2YxYWYwMzMiLCJ1c2VySWQiOiI1Njc5NzA0NjEifQ==</vt:lpwstr>
  </property>
  <property fmtid="{D5CDD505-2E9C-101B-9397-08002B2CF9AE}" pid="4" name="ICV">
    <vt:lpwstr>808CA25A45DA443BAA7E17EC9C32EC1B_13</vt:lpwstr>
  </property>
</Properties>
</file>