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75A2B">
      <w:pPr>
        <w:jc w:val="center"/>
        <w:rPr>
          <w:rFonts w:hint="eastAsia" w:eastAsia="黑体"/>
          <w:color w:val="auto"/>
          <w:sz w:val="32"/>
          <w:szCs w:val="32"/>
          <w:lang w:val="en-US" w:eastAsia="zh-CN"/>
        </w:rPr>
      </w:pPr>
    </w:p>
    <w:p w14:paraId="4BCC8B4E">
      <w:pPr>
        <w:jc w:val="center"/>
        <w:rPr>
          <w:rFonts w:hint="eastAsia" w:eastAsia="黑体"/>
          <w:color w:val="auto"/>
          <w:sz w:val="32"/>
          <w:szCs w:val="32"/>
          <w:lang w:val="en-US" w:eastAsia="zh-CN"/>
        </w:rPr>
      </w:pPr>
    </w:p>
    <w:p w14:paraId="1F14024A">
      <w:pPr>
        <w:jc w:val="center"/>
        <w:rPr>
          <w:rFonts w:hint="eastAsia" w:eastAsia="黑体"/>
          <w:color w:val="auto"/>
          <w:sz w:val="32"/>
          <w:szCs w:val="32"/>
          <w:lang w:val="en-US" w:eastAsia="zh-CN"/>
        </w:rPr>
      </w:pPr>
    </w:p>
    <w:p w14:paraId="7822BAA7">
      <w:pPr>
        <w:jc w:val="center"/>
        <w:rPr>
          <w:rFonts w:hint="eastAsia" w:eastAsia="黑体"/>
          <w:color w:val="auto"/>
          <w:sz w:val="32"/>
          <w:szCs w:val="32"/>
          <w:lang w:val="en-US" w:eastAsia="zh-CN"/>
        </w:rPr>
      </w:pPr>
    </w:p>
    <w:p w14:paraId="7800C3B0">
      <w:pPr>
        <w:jc w:val="center"/>
        <w:rPr>
          <w:rFonts w:hint="eastAsia" w:eastAsia="黑体"/>
          <w:color w:val="auto"/>
          <w:sz w:val="32"/>
          <w:szCs w:val="32"/>
          <w:lang w:val="en-US" w:eastAsia="zh-CN"/>
        </w:rPr>
      </w:pPr>
    </w:p>
    <w:p w14:paraId="527019E8">
      <w:pPr>
        <w:jc w:val="center"/>
        <w:rPr>
          <w:rFonts w:hint="eastAsia" w:eastAsia="黑体"/>
          <w:color w:val="auto"/>
          <w:sz w:val="44"/>
          <w:szCs w:val="44"/>
          <w:lang w:val="en-US" w:eastAsia="zh-CN"/>
        </w:rPr>
      </w:pPr>
    </w:p>
    <w:p w14:paraId="25EEC504">
      <w:pPr>
        <w:jc w:val="center"/>
        <w:rPr>
          <w:rFonts w:hint="eastAsia" w:eastAsia="黑体"/>
          <w:color w:val="auto"/>
          <w:sz w:val="44"/>
          <w:szCs w:val="44"/>
          <w:lang w:val="en-US" w:eastAsia="zh-CN"/>
        </w:rPr>
      </w:pPr>
      <w:r>
        <w:rPr>
          <w:rFonts w:hint="eastAsia" w:eastAsia="黑体"/>
          <w:color w:val="auto"/>
          <w:sz w:val="44"/>
          <w:szCs w:val="44"/>
          <w:lang w:val="en-US" w:eastAsia="zh-CN"/>
        </w:rPr>
        <w:t>国家标准《电池废料的标志、包装、运输和贮存》编制说明</w:t>
      </w:r>
    </w:p>
    <w:p w14:paraId="5C3EB243">
      <w:pPr>
        <w:pStyle w:val="5"/>
        <w:rPr>
          <w:rFonts w:hint="eastAsia"/>
          <w:color w:val="auto"/>
          <w:lang w:val="en-US" w:eastAsia="zh-CN"/>
        </w:rPr>
      </w:pPr>
    </w:p>
    <w:p w14:paraId="0024B774">
      <w:pPr>
        <w:jc w:val="center"/>
        <w:rPr>
          <w:rFonts w:hint="eastAsia" w:eastAsia="黑体"/>
          <w:color w:val="auto"/>
          <w:sz w:val="32"/>
          <w:szCs w:val="32"/>
          <w:lang w:val="en-US" w:eastAsia="zh-CN"/>
        </w:rPr>
      </w:pPr>
      <w:r>
        <w:rPr>
          <w:rFonts w:hint="eastAsia" w:eastAsia="黑体"/>
          <w:color w:val="auto"/>
          <w:sz w:val="32"/>
          <w:szCs w:val="32"/>
          <w:lang w:val="en-US" w:eastAsia="zh-CN"/>
        </w:rPr>
        <w:t>（征求意见稿）</w:t>
      </w:r>
    </w:p>
    <w:p w14:paraId="22C45728">
      <w:pPr>
        <w:jc w:val="center"/>
        <w:rPr>
          <w:rFonts w:hint="eastAsia" w:eastAsia="黑体"/>
          <w:color w:val="auto"/>
          <w:sz w:val="28"/>
          <w:szCs w:val="28"/>
          <w:lang w:val="en-US" w:eastAsia="zh-CN"/>
        </w:rPr>
      </w:pPr>
    </w:p>
    <w:p w14:paraId="793D602D">
      <w:pPr>
        <w:jc w:val="center"/>
        <w:rPr>
          <w:rFonts w:hint="eastAsia" w:eastAsia="黑体"/>
          <w:color w:val="auto"/>
          <w:sz w:val="28"/>
          <w:szCs w:val="28"/>
          <w:lang w:val="en-US" w:eastAsia="zh-CN"/>
        </w:rPr>
      </w:pPr>
    </w:p>
    <w:p w14:paraId="610F506A">
      <w:pPr>
        <w:jc w:val="center"/>
        <w:rPr>
          <w:rFonts w:hint="eastAsia" w:eastAsia="黑体"/>
          <w:color w:val="auto"/>
          <w:sz w:val="28"/>
          <w:szCs w:val="28"/>
          <w:lang w:val="en-US" w:eastAsia="zh-CN"/>
        </w:rPr>
      </w:pPr>
    </w:p>
    <w:p w14:paraId="122FDC7E">
      <w:pPr>
        <w:jc w:val="center"/>
        <w:rPr>
          <w:rFonts w:hint="eastAsia" w:eastAsia="黑体"/>
          <w:color w:val="auto"/>
          <w:sz w:val="28"/>
          <w:szCs w:val="28"/>
          <w:lang w:val="en-US" w:eastAsia="zh-CN"/>
        </w:rPr>
      </w:pPr>
    </w:p>
    <w:p w14:paraId="6FBA3F5D">
      <w:pPr>
        <w:jc w:val="center"/>
        <w:rPr>
          <w:rFonts w:hint="eastAsia" w:eastAsia="黑体"/>
          <w:color w:val="auto"/>
          <w:sz w:val="28"/>
          <w:szCs w:val="28"/>
          <w:lang w:val="en-US" w:eastAsia="zh-CN"/>
        </w:rPr>
      </w:pPr>
    </w:p>
    <w:p w14:paraId="16B32E60">
      <w:pPr>
        <w:jc w:val="center"/>
        <w:rPr>
          <w:rFonts w:hint="eastAsia" w:eastAsia="黑体"/>
          <w:color w:val="auto"/>
          <w:sz w:val="28"/>
          <w:szCs w:val="28"/>
          <w:lang w:val="en-US" w:eastAsia="zh-CN"/>
        </w:rPr>
      </w:pPr>
    </w:p>
    <w:p w14:paraId="031435F9">
      <w:pPr>
        <w:jc w:val="center"/>
        <w:rPr>
          <w:rFonts w:hint="eastAsia" w:eastAsia="黑体"/>
          <w:color w:val="auto"/>
          <w:sz w:val="28"/>
          <w:szCs w:val="28"/>
          <w:lang w:val="en-US" w:eastAsia="zh-CN"/>
        </w:rPr>
      </w:pPr>
    </w:p>
    <w:p w14:paraId="78CBE69F">
      <w:pPr>
        <w:jc w:val="center"/>
        <w:rPr>
          <w:rFonts w:hint="eastAsia" w:eastAsia="黑体"/>
          <w:color w:val="auto"/>
          <w:sz w:val="28"/>
          <w:szCs w:val="28"/>
          <w:lang w:val="en-US" w:eastAsia="zh-CN"/>
        </w:rPr>
      </w:pPr>
      <w:r>
        <w:rPr>
          <w:rFonts w:hint="eastAsia" w:eastAsia="黑体"/>
          <w:color w:val="auto"/>
          <w:sz w:val="28"/>
          <w:szCs w:val="28"/>
          <w:lang w:val="en-US" w:eastAsia="zh-CN"/>
        </w:rPr>
        <w:t>武汉动力电池再生技术有限公司</w:t>
      </w:r>
    </w:p>
    <w:p w14:paraId="0294D7CC">
      <w:pPr>
        <w:jc w:val="center"/>
        <w:rPr>
          <w:rFonts w:hint="default" w:eastAsia="黑体"/>
          <w:color w:val="auto"/>
          <w:sz w:val="28"/>
          <w:szCs w:val="28"/>
          <w:lang w:val="en-US" w:eastAsia="zh-CN"/>
        </w:rPr>
      </w:pPr>
      <w:r>
        <w:rPr>
          <w:rFonts w:hint="eastAsia" w:eastAsia="黑体"/>
          <w:color w:val="auto"/>
          <w:sz w:val="28"/>
          <w:szCs w:val="28"/>
          <w:lang w:val="en-US" w:eastAsia="zh-CN"/>
        </w:rPr>
        <w:t>2026年8月</w:t>
      </w:r>
      <w:r>
        <w:rPr>
          <w:rFonts w:hint="eastAsia" w:eastAsia="黑体"/>
          <w:color w:val="auto"/>
          <w:sz w:val="28"/>
          <w:szCs w:val="28"/>
          <w:lang w:val="en-US" w:eastAsia="zh-CN"/>
        </w:rPr>
        <w:br w:type="page"/>
      </w:r>
    </w:p>
    <w:p w14:paraId="6F2871BA">
      <w:pPr>
        <w:jc w:val="center"/>
        <w:rPr>
          <w:rFonts w:hint="eastAsia" w:eastAsia="黑体"/>
          <w:color w:val="auto"/>
          <w:sz w:val="44"/>
          <w:szCs w:val="44"/>
          <w:lang w:val="en-US" w:eastAsia="zh-CN"/>
        </w:rPr>
      </w:pPr>
      <w:r>
        <w:rPr>
          <w:rFonts w:hint="eastAsia" w:eastAsia="黑体"/>
          <w:color w:val="auto"/>
          <w:sz w:val="44"/>
          <w:szCs w:val="44"/>
          <w:lang w:val="en-US" w:eastAsia="zh-CN"/>
        </w:rPr>
        <w:t>国家标准《电池废料的标志、包装、运输和贮存》编制说明</w:t>
      </w:r>
    </w:p>
    <w:p w14:paraId="539AE871">
      <w:pPr>
        <w:jc w:val="center"/>
        <w:rPr>
          <w:rFonts w:hint="eastAsia" w:eastAsia="黑体"/>
          <w:color w:val="auto"/>
          <w:sz w:val="44"/>
          <w:szCs w:val="44"/>
          <w:lang w:val="en-US" w:eastAsia="zh-CN"/>
        </w:rPr>
      </w:pPr>
      <w:r>
        <w:rPr>
          <w:rFonts w:hint="eastAsia" w:eastAsia="黑体"/>
          <w:color w:val="auto"/>
          <w:sz w:val="44"/>
          <w:szCs w:val="44"/>
          <w:lang w:val="en-US" w:eastAsia="zh-CN"/>
        </w:rPr>
        <w:t>（征求意见稿）</w:t>
      </w:r>
    </w:p>
    <w:p w14:paraId="315D8933">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14:paraId="62BB6B12">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rPr>
      </w:pPr>
      <w:r>
        <w:rPr>
          <w:rFonts w:hint="eastAsia" w:ascii="黑体" w:eastAsia="黑体" w:cs="Arial"/>
          <w:color w:val="auto"/>
          <w:sz w:val="21"/>
          <w:szCs w:val="21"/>
        </w:rPr>
        <w:t>1.1任务来源</w:t>
      </w:r>
    </w:p>
    <w:p w14:paraId="36C5F53B">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国家标准GB/T 26493-2011</w:t>
      </w:r>
      <w:r>
        <w:rPr>
          <w:rFonts w:hint="eastAsia" w:cs="宋体"/>
          <w:color w:val="auto"/>
          <w:sz w:val="21"/>
          <w:szCs w:val="21"/>
          <w:lang w:eastAsia="zh-CN"/>
        </w:rPr>
        <w:t>《</w:t>
      </w:r>
      <w:r>
        <w:rPr>
          <w:rFonts w:hint="eastAsia" w:ascii="宋体" w:hAnsi="宋体" w:eastAsia="宋体" w:cs="宋体"/>
          <w:color w:val="auto"/>
          <w:sz w:val="21"/>
          <w:szCs w:val="21"/>
        </w:rPr>
        <w:t>电池废料贮运规范</w:t>
      </w:r>
      <w:r>
        <w:rPr>
          <w:rFonts w:hint="eastAsia" w:cs="宋体"/>
          <w:color w:val="auto"/>
          <w:sz w:val="21"/>
          <w:szCs w:val="21"/>
          <w:lang w:eastAsia="zh-CN"/>
        </w:rPr>
        <w:t>》</w:t>
      </w:r>
      <w:r>
        <w:rPr>
          <w:rFonts w:hint="eastAsia" w:ascii="宋体" w:hAnsi="宋体" w:eastAsia="宋体" w:cs="宋体"/>
          <w:color w:val="auto"/>
          <w:sz w:val="21"/>
          <w:szCs w:val="21"/>
        </w:rPr>
        <w:t>是201</w:t>
      </w:r>
      <w:r>
        <w:rPr>
          <w:rFonts w:hint="eastAsia" w:cs="宋体"/>
          <w:color w:val="auto"/>
          <w:sz w:val="21"/>
          <w:szCs w:val="21"/>
          <w:lang w:val="en-US" w:eastAsia="zh-CN"/>
        </w:rPr>
        <w:t>1</w:t>
      </w:r>
      <w:r>
        <w:rPr>
          <w:rFonts w:hint="eastAsia" w:ascii="宋体" w:hAnsi="宋体" w:eastAsia="宋体" w:cs="宋体"/>
          <w:color w:val="auto"/>
          <w:sz w:val="21"/>
          <w:szCs w:val="21"/>
        </w:rPr>
        <w:t>年</w:t>
      </w:r>
      <w:r>
        <w:rPr>
          <w:rFonts w:hint="eastAsia" w:cs="宋体"/>
          <w:color w:val="auto"/>
          <w:sz w:val="21"/>
          <w:szCs w:val="21"/>
          <w:lang w:val="en-US" w:eastAsia="zh-CN"/>
        </w:rPr>
        <w:t>5</w:t>
      </w:r>
      <w:r>
        <w:rPr>
          <w:rFonts w:hint="eastAsia" w:ascii="宋体" w:hAnsi="宋体" w:eastAsia="宋体" w:cs="宋体"/>
          <w:color w:val="auto"/>
          <w:sz w:val="21"/>
          <w:szCs w:val="21"/>
        </w:rPr>
        <w:t>月</w:t>
      </w:r>
      <w:r>
        <w:rPr>
          <w:rFonts w:hint="eastAsia" w:cs="宋体"/>
          <w:color w:val="auto"/>
          <w:sz w:val="21"/>
          <w:szCs w:val="21"/>
          <w:lang w:val="en-US" w:eastAsia="zh-CN"/>
        </w:rPr>
        <w:t>12</w:t>
      </w:r>
      <w:r>
        <w:rPr>
          <w:rFonts w:hint="eastAsia" w:ascii="宋体" w:hAnsi="宋体" w:eastAsia="宋体" w:cs="宋体"/>
          <w:color w:val="auto"/>
          <w:sz w:val="21"/>
          <w:szCs w:val="21"/>
        </w:rPr>
        <w:t>日发布、201</w:t>
      </w:r>
      <w:r>
        <w:rPr>
          <w:rFonts w:hint="eastAsia" w:cs="宋体"/>
          <w:color w:val="auto"/>
          <w:sz w:val="21"/>
          <w:szCs w:val="21"/>
          <w:lang w:val="en-US" w:eastAsia="zh-CN"/>
        </w:rPr>
        <w:t>2</w:t>
      </w:r>
      <w:r>
        <w:rPr>
          <w:rFonts w:hint="eastAsia" w:ascii="宋体" w:hAnsi="宋体" w:eastAsia="宋体" w:cs="宋体"/>
          <w:color w:val="auto"/>
          <w:sz w:val="21"/>
          <w:szCs w:val="21"/>
        </w:rPr>
        <w:t>年</w:t>
      </w:r>
      <w:r>
        <w:rPr>
          <w:rFonts w:hint="eastAsia" w:cs="宋体"/>
          <w:color w:val="auto"/>
          <w:sz w:val="21"/>
          <w:szCs w:val="21"/>
          <w:lang w:val="en-US" w:eastAsia="zh-CN"/>
        </w:rPr>
        <w:t>2</w:t>
      </w:r>
      <w:r>
        <w:rPr>
          <w:rFonts w:hint="eastAsia" w:ascii="宋体" w:hAnsi="宋体" w:eastAsia="宋体" w:cs="宋体"/>
          <w:color w:val="auto"/>
          <w:sz w:val="21"/>
          <w:szCs w:val="21"/>
        </w:rPr>
        <w:t>月1日实施的，之后一直沿用至今。202</w:t>
      </w:r>
      <w:r>
        <w:rPr>
          <w:rFonts w:hint="eastAsia" w:cs="宋体"/>
          <w:color w:val="auto"/>
          <w:sz w:val="21"/>
          <w:szCs w:val="21"/>
          <w:lang w:val="en-US" w:eastAsia="zh-CN"/>
        </w:rPr>
        <w:t>5</w:t>
      </w:r>
      <w:r>
        <w:rPr>
          <w:rFonts w:hint="eastAsia" w:ascii="宋体" w:hAnsi="宋体" w:eastAsia="宋体" w:cs="宋体"/>
          <w:color w:val="auto"/>
          <w:sz w:val="21"/>
          <w:szCs w:val="21"/>
        </w:rPr>
        <w:t>年对该标准进行复审后，认为标准的适用范围不能够覆盖当前新产品、新工艺、新技术或新服务，</w:t>
      </w:r>
      <w:r>
        <w:rPr>
          <w:rFonts w:hint="default" w:ascii="Times New Roman" w:hAnsi="Times New Roman" w:cs="Times New Roman"/>
          <w:color w:val="auto"/>
          <w:sz w:val="21"/>
          <w:szCs w:val="21"/>
          <w:lang w:val="en-US" w:eastAsia="zh-CN"/>
        </w:rPr>
        <w:t>需要更新修订，遂提交修订计划至全国有色金属标准化技术委员会，并开展修订研究工作。</w:t>
      </w:r>
      <w:r>
        <w:rPr>
          <w:rFonts w:hint="eastAsia" w:ascii="宋体" w:hAnsi="宋体" w:eastAsia="宋体" w:cs="宋体"/>
          <w:color w:val="auto"/>
          <w:sz w:val="21"/>
          <w:szCs w:val="21"/>
        </w:rPr>
        <w:t>本项目是根据国家标准化管理委员会关于下达</w:t>
      </w:r>
      <w:r>
        <w:rPr>
          <w:rFonts w:hint="default" w:ascii="Times New Roman" w:hAnsi="Times New Roman" w:eastAsia="宋体" w:cs="Times New Roman"/>
          <w:color w:val="auto"/>
          <w:sz w:val="21"/>
          <w:szCs w:val="21"/>
        </w:rPr>
        <w:t>2025</w:t>
      </w:r>
      <w:r>
        <w:rPr>
          <w:rFonts w:hint="default" w:ascii="宋体" w:hAnsi="宋体" w:eastAsia="宋体" w:cs="宋体"/>
          <w:color w:val="auto"/>
          <w:sz w:val="21"/>
          <w:szCs w:val="21"/>
        </w:rPr>
        <w:t>年第七批推荐性国家标准计划和相关推荐性国家标准外文版计划</w:t>
      </w:r>
      <w:r>
        <w:rPr>
          <w:rFonts w:hint="default" w:cs="宋体"/>
          <w:color w:val="auto"/>
          <w:sz w:val="21"/>
          <w:szCs w:val="21"/>
          <w:lang w:eastAsia="zh-CN"/>
        </w:rPr>
        <w:t>（</w:t>
      </w:r>
      <w:r>
        <w:rPr>
          <w:rFonts w:hint="default"/>
          <w:color w:val="auto"/>
          <w:sz w:val="21"/>
          <w:szCs w:val="21"/>
        </w:rPr>
        <w:t>国标委发</w:t>
      </w:r>
      <w:r>
        <w:rPr>
          <w:rFonts w:hint="default" w:ascii="Times New Roman" w:hAnsi="Times New Roman" w:cs="Times New Roman"/>
          <w:color w:val="auto"/>
          <w:sz w:val="21"/>
          <w:szCs w:val="21"/>
        </w:rPr>
        <w:t>〔2025〕43</w:t>
      </w:r>
      <w:r>
        <w:rPr>
          <w:rFonts w:hint="default"/>
          <w:color w:val="auto"/>
          <w:sz w:val="21"/>
          <w:szCs w:val="21"/>
        </w:rPr>
        <w:t>号</w:t>
      </w:r>
      <w:r>
        <w:rPr>
          <w:rFonts w:hint="default" w:cs="宋体"/>
          <w:color w:val="auto"/>
          <w:sz w:val="21"/>
          <w:szCs w:val="21"/>
          <w:lang w:eastAsia="zh-CN"/>
        </w:rPr>
        <w:t>）</w:t>
      </w:r>
      <w:r>
        <w:rPr>
          <w:rFonts w:hint="default" w:ascii="宋体" w:hAnsi="宋体" w:eastAsia="宋体" w:cs="宋体"/>
          <w:color w:val="auto"/>
          <w:sz w:val="21"/>
          <w:szCs w:val="21"/>
        </w:rPr>
        <w:t>，计划编号：</w:t>
      </w:r>
      <w:r>
        <w:rPr>
          <w:rFonts w:hint="default" w:ascii="Times New Roman" w:hAnsi="Times New Roman" w:eastAsia="宋体" w:cs="Times New Roman"/>
          <w:color w:val="auto"/>
          <w:sz w:val="21"/>
          <w:szCs w:val="21"/>
        </w:rPr>
        <w:t>20253768-T-610</w:t>
      </w:r>
      <w:r>
        <w:rPr>
          <w:rFonts w:hint="default" w:ascii="宋体" w:hAnsi="宋体" w:eastAsia="宋体" w:cs="宋体"/>
          <w:color w:val="auto"/>
          <w:sz w:val="21"/>
          <w:szCs w:val="21"/>
        </w:rPr>
        <w:t>，项目名称：</w:t>
      </w:r>
      <w:bookmarkStart w:id="6" w:name="_GoBack"/>
      <w:r>
        <w:rPr>
          <w:rFonts w:hint="default" w:ascii="宋体" w:hAnsi="宋体" w:eastAsia="宋体" w:cs="宋体"/>
          <w:color w:val="auto"/>
          <w:sz w:val="21"/>
          <w:szCs w:val="21"/>
        </w:rPr>
        <w:t>《电池废料的标志、包装、运输和贮存》</w:t>
      </w:r>
      <w:bookmarkEnd w:id="6"/>
      <w:r>
        <w:rPr>
          <w:rFonts w:hint="default" w:ascii="宋体" w:hAnsi="宋体" w:eastAsia="宋体" w:cs="宋体"/>
          <w:color w:val="auto"/>
          <w:sz w:val="21"/>
          <w:szCs w:val="21"/>
        </w:rPr>
        <w:t>。标准性质：推荐性国家标准；制修订：修订，项目周期：</w:t>
      </w:r>
      <w:r>
        <w:rPr>
          <w:rFonts w:hint="default" w:ascii="Times New Roman" w:hAnsi="Times New Roman" w:eastAsia="宋体" w:cs="Times New Roman"/>
          <w:color w:val="auto"/>
          <w:sz w:val="21"/>
          <w:szCs w:val="21"/>
        </w:rPr>
        <w:t>16</w:t>
      </w:r>
      <w:r>
        <w:rPr>
          <w:rFonts w:hint="default" w:ascii="宋体" w:hAnsi="宋体" w:eastAsia="宋体" w:cs="宋体"/>
          <w:color w:val="auto"/>
          <w:sz w:val="21"/>
          <w:szCs w:val="21"/>
        </w:rPr>
        <w:t>个月；</w:t>
      </w:r>
      <w:r>
        <w:rPr>
          <w:rFonts w:hint="eastAsia" w:ascii="宋体" w:hAnsi="宋体" w:eastAsia="宋体" w:cs="宋体"/>
          <w:color w:val="auto"/>
          <w:sz w:val="21"/>
          <w:szCs w:val="21"/>
        </w:rPr>
        <w:t>主要起草单位：武汉动力电池再生技术有限公司、广东邦普循环科技有限公司</w:t>
      </w:r>
      <w:r>
        <w:rPr>
          <w:rFonts w:hint="eastAsia" w:cs="宋体"/>
          <w:color w:val="auto"/>
          <w:sz w:val="21"/>
          <w:szCs w:val="21"/>
          <w:lang w:val="en-US" w:eastAsia="zh-CN"/>
        </w:rPr>
        <w:t>等</w:t>
      </w:r>
      <w:r>
        <w:rPr>
          <w:rFonts w:hint="eastAsia" w:ascii="宋体" w:hAnsi="宋体" w:eastAsia="宋体" w:cs="宋体"/>
          <w:color w:val="auto"/>
          <w:sz w:val="21"/>
          <w:szCs w:val="21"/>
        </w:rPr>
        <w:t>。计划应完成时间：</w:t>
      </w:r>
      <w:r>
        <w:rPr>
          <w:rFonts w:hint="default" w:ascii="Times New Roman" w:hAnsi="Times New Roman" w:eastAsia="宋体" w:cs="Times New Roman"/>
          <w:color w:val="auto"/>
          <w:sz w:val="21"/>
          <w:szCs w:val="21"/>
        </w:rPr>
        <w:t>2026年</w:t>
      </w:r>
      <w:r>
        <w:rPr>
          <w:rFonts w:hint="default" w:ascii="Times New Roman" w:hAnsi="Times New Roman" w:cs="Times New Roman"/>
          <w:color w:val="auto"/>
          <w:sz w:val="21"/>
          <w:szCs w:val="21"/>
          <w:lang w:val="en-US" w:eastAsia="zh-CN"/>
        </w:rPr>
        <w:t>12</w:t>
      </w:r>
      <w:r>
        <w:rPr>
          <w:rFonts w:hint="eastAsia" w:ascii="宋体" w:hAnsi="宋体" w:eastAsia="宋体" w:cs="宋体"/>
          <w:color w:val="auto"/>
          <w:sz w:val="21"/>
          <w:szCs w:val="21"/>
        </w:rPr>
        <w:t>月。</w:t>
      </w:r>
    </w:p>
    <w:p w14:paraId="5B9E4E7C">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rPr>
      </w:pPr>
      <w:r>
        <w:rPr>
          <w:rFonts w:hint="eastAsia" w:hAnsi="黑体" w:cs="黑体"/>
          <w:color w:val="auto"/>
          <w:sz w:val="21"/>
          <w:szCs w:val="21"/>
        </w:rPr>
        <w:t>1.2立项目的和意义</w:t>
      </w:r>
    </w:p>
    <w:p w14:paraId="189F6140">
      <w:pPr>
        <w:pStyle w:val="5"/>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cs="Times New Roman"/>
          <w:color w:val="auto"/>
        </w:rPr>
      </w:pPr>
      <w:r>
        <w:rPr>
          <w:rFonts w:hint="default" w:ascii="Times New Roman" w:hAnsi="Times New Roman" w:cs="Times New Roman"/>
          <w:color w:val="auto"/>
        </w:rPr>
        <w:t>GB/T 26493-2011《电池废料贮运规范》自2012年实施以来，为传统电池废料的贮存、运输环节提供了基础技术依据。但随着我国新能源产业高速发展，电池废料的品类结构、风险特性、产生规模均发生根本性变化，现行标准的覆盖范围、技术要求、管控力度已严重滞后于产业发展与监管需求，亟需修订完善，具体立项目的如下：</w:t>
      </w:r>
    </w:p>
    <w:p w14:paraId="11A19B8F">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color w:val="auto"/>
        </w:rPr>
      </w:pPr>
      <w:r>
        <w:rPr>
          <w:rFonts w:hint="eastAsia"/>
          <w:b/>
          <w:bCs/>
          <w:color w:val="auto"/>
          <w:lang w:val="en-US" w:eastAsia="zh-CN"/>
        </w:rPr>
        <w:t>1.2.1</w:t>
      </w:r>
      <w:r>
        <w:rPr>
          <w:rFonts w:hint="eastAsia"/>
          <w:b/>
          <w:bCs/>
          <w:color w:val="auto"/>
        </w:rPr>
        <w:t>拓展标准覆盖品类，适配新型电池废料贮运管理需求</w:t>
      </w:r>
    </w:p>
    <w:p w14:paraId="13C8D4EB">
      <w:pPr>
        <w:pStyle w:val="5"/>
        <w:bidi w:val="0"/>
        <w:rPr>
          <w:rFonts w:hint="eastAsia"/>
          <w:color w:val="auto"/>
        </w:rPr>
      </w:pPr>
      <w:r>
        <w:rPr>
          <w:rFonts w:hint="eastAsia"/>
          <w:color w:val="auto"/>
        </w:rPr>
        <w:t>现行标准制定于我国电池产业以铅酸蓄电池、镍镉、镍氢电池为主体的阶段，技术条款均围绕传统电池废料设置，未针对锂离子电池废料的残余电能、热失控、电解液腐蚀等特殊风险制定专项管控要求。</w:t>
      </w:r>
    </w:p>
    <w:p w14:paraId="5DA0452A">
      <w:pPr>
        <w:pStyle w:val="5"/>
        <w:bidi w:val="0"/>
        <w:rPr>
          <w:rFonts w:hint="eastAsia"/>
          <w:color w:val="auto"/>
        </w:rPr>
      </w:pPr>
      <w:r>
        <w:rPr>
          <w:rFonts w:hint="eastAsia"/>
          <w:color w:val="auto"/>
        </w:rPr>
        <w:t>当前锂离子电池已成为充电电池产业绝对主力，废旧动力电池、消费电子锂电池、储能电池的退役量与生产废料产生量呈爆发式增长，锂电废料已占电池废料总量的绝大多数。但贮运环节作为安全高风险环节，长期缺乏适配锂电特性的国家级规范，导致行业贮运操作无标可依、安全隐患突出。本次修订将锂离子电池新型充电电池废料全部纳入适用范围，补充对应专项贮运管控要求，全面适配我国电池产业结构升级的实际需求。</w:t>
      </w:r>
    </w:p>
    <w:p w14:paraId="5AC8B28D">
      <w:pPr>
        <w:pStyle w:val="5"/>
        <w:bidi w:val="0"/>
        <w:rPr>
          <w:rFonts w:hint="eastAsia"/>
          <w:color w:val="auto"/>
        </w:rPr>
      </w:pPr>
      <w:r>
        <w:rPr>
          <w:rFonts w:hint="eastAsia"/>
          <w:b/>
          <w:bCs/>
          <w:color w:val="auto"/>
          <w:lang w:val="en-US" w:eastAsia="zh-CN"/>
        </w:rPr>
        <w:t>1.2.2</w:t>
      </w:r>
      <w:r>
        <w:rPr>
          <w:rFonts w:hint="eastAsia"/>
          <w:b/>
          <w:bCs/>
          <w:color w:val="auto"/>
        </w:rPr>
        <w:t>衔接上位法规政策，落实全链条安全环保监管要求</w:t>
      </w:r>
    </w:p>
    <w:p w14:paraId="62818BA8">
      <w:pPr>
        <w:pStyle w:val="5"/>
        <w:bidi w:val="0"/>
        <w:rPr>
          <w:rFonts w:hint="eastAsia"/>
          <w:color w:val="auto"/>
        </w:rPr>
      </w:pPr>
      <w:r>
        <w:rPr>
          <w:rFonts w:hint="eastAsia"/>
          <w:color w:val="auto"/>
        </w:rPr>
        <w:t>近年来，我国相继修订《中华人民共和国固体废物污染环境防治法》《中华人民共和国安全生产法》，出台《危险货物道路运输安全管理办法》《新能源汽车动力蓄电池回收利用管理暂行办法》等一系列法规政策，对电池废料的贮存安全、运输管控、污染防控、应急处置、溯源管理等提出了明确的法定要求与监管部署。</w:t>
      </w:r>
    </w:p>
    <w:p w14:paraId="2DFD0192">
      <w:pPr>
        <w:pStyle w:val="5"/>
        <w:bidi w:val="0"/>
        <w:rPr>
          <w:rFonts w:hint="eastAsia"/>
          <w:color w:val="auto"/>
        </w:rPr>
      </w:pPr>
      <w:r>
        <w:rPr>
          <w:rFonts w:hint="eastAsia"/>
          <w:color w:val="auto"/>
        </w:rPr>
        <w:t>现行标准发布时间较早，相关技术内容未与现行法律法规、监管制度充分衔接，既导致企业合规运行缺乏清晰指引，也造成交通运输、应急管理、生态环境等部门开展监督执法时缺乏明确的技术判定依据。本次修订将上位法规与政策要求转化为可量化、可执行的技术条款，打通政策要求与产业实操的衔接通道，为行业合规与监管执法提供标准化支撑。</w:t>
      </w:r>
    </w:p>
    <w:p w14:paraId="3769A924">
      <w:pPr>
        <w:pStyle w:val="5"/>
        <w:bidi w:val="0"/>
        <w:rPr>
          <w:rFonts w:hint="eastAsia"/>
          <w:b/>
          <w:bCs/>
          <w:color w:val="auto"/>
        </w:rPr>
      </w:pPr>
      <w:r>
        <w:rPr>
          <w:rFonts w:hint="eastAsia"/>
          <w:b/>
          <w:bCs/>
          <w:color w:val="auto"/>
          <w:lang w:val="en-US" w:eastAsia="zh-CN"/>
        </w:rPr>
        <w:t>1.2.3</w:t>
      </w:r>
      <w:r>
        <w:rPr>
          <w:rFonts w:hint="eastAsia"/>
          <w:b/>
          <w:bCs/>
          <w:color w:val="auto"/>
        </w:rPr>
        <w:t>细化分类分级贮运规则，规范行业贮运流通秩序</w:t>
      </w:r>
    </w:p>
    <w:p w14:paraId="28C3F21B">
      <w:pPr>
        <w:pStyle w:val="5"/>
        <w:bidi w:val="0"/>
        <w:rPr>
          <w:rFonts w:hint="eastAsia"/>
          <w:color w:val="auto"/>
        </w:rPr>
      </w:pPr>
      <w:r>
        <w:rPr>
          <w:rFonts w:hint="eastAsia"/>
          <w:color w:val="auto"/>
        </w:rPr>
        <w:t>现行标准整体条款较为笼统，未按电池体系、风险等级、物理形态区分差异化贮运要求。当前行业内普遍存在不同品类、不同风险等级的废料混存混运、包装规格不统一、贮存条件不达标等问题，既大幅提升了安全事故风险，也导致物流周转效率低、交易成本高。</w:t>
      </w:r>
    </w:p>
    <w:p w14:paraId="423CA679">
      <w:pPr>
        <w:pStyle w:val="5"/>
        <w:bidi w:val="0"/>
        <w:rPr>
          <w:rFonts w:hint="eastAsia"/>
          <w:color w:val="auto"/>
        </w:rPr>
      </w:pPr>
      <w:r>
        <w:rPr>
          <w:rFonts w:hint="eastAsia"/>
          <w:color w:val="auto"/>
        </w:rPr>
        <w:t>本次修订将建立基于电池品类、风险等级、物理形态的分类分级贮运体系，明确不同类别废料的包装要求、贮存分区、运输条件与操作规范，统一全行业贮运操作口径，从标准层面规范电池废料贮运流通秩序，推动行业贮运管理走向专业化、规范化。</w:t>
      </w:r>
    </w:p>
    <w:p w14:paraId="15761B0C">
      <w:pPr>
        <w:pStyle w:val="5"/>
        <w:bidi w:val="0"/>
        <w:rPr>
          <w:rFonts w:hint="eastAsia"/>
          <w:b/>
          <w:bCs/>
          <w:color w:val="auto"/>
        </w:rPr>
      </w:pPr>
      <w:r>
        <w:rPr>
          <w:rFonts w:hint="eastAsia"/>
          <w:b/>
          <w:bCs/>
          <w:color w:val="auto"/>
          <w:lang w:val="en-US" w:eastAsia="zh-CN"/>
        </w:rPr>
        <w:t>1.2.4</w:t>
      </w:r>
      <w:r>
        <w:rPr>
          <w:rFonts w:hint="eastAsia"/>
          <w:b/>
          <w:bCs/>
          <w:color w:val="auto"/>
        </w:rPr>
        <w:t>补齐安全防控技术短板，防范贮运环节重大安全风险</w:t>
      </w:r>
    </w:p>
    <w:p w14:paraId="28E52354">
      <w:pPr>
        <w:pStyle w:val="5"/>
        <w:bidi w:val="0"/>
        <w:rPr>
          <w:rFonts w:hint="eastAsia"/>
          <w:color w:val="auto"/>
        </w:rPr>
      </w:pPr>
      <w:r>
        <w:rPr>
          <w:rFonts w:hint="eastAsia"/>
          <w:color w:val="auto"/>
        </w:rPr>
        <w:t>锂离子电池废料带有残余电能，电解液中含有机溶剂、氟化物等易燃易爆、腐蚀性组分，在贮存、运输过程中易因短路、碰撞、高温挤压等引发热失控起火、爆炸，电解液泄漏还会造成腐蚀与环境污染，是电池回收全链条的核心安全风险点。</w:t>
      </w:r>
    </w:p>
    <w:p w14:paraId="1030E5DF">
      <w:pPr>
        <w:pStyle w:val="5"/>
        <w:bidi w:val="0"/>
        <w:rPr>
          <w:rFonts w:hint="eastAsia"/>
          <w:color w:val="auto"/>
        </w:rPr>
      </w:pPr>
      <w:r>
        <w:rPr>
          <w:rFonts w:hint="eastAsia"/>
          <w:color w:val="auto"/>
        </w:rPr>
        <w:t>现行标准制定时锂电应用规模有限，未针对高风险电池废料设置防短路、隔热阻燃、防渗泄漏、防火防爆等专项安全技术要求，也未明确异常工况的应急处置要点，无法有效支撑行业安全风险管控。本次修订将补充不同风险等级废料的安全防护技术要求、贮存设施配置标准、运输安全规范与应急处置指引，从标准层面筑牢贮运环节的安全防线。</w:t>
      </w:r>
    </w:p>
    <w:p w14:paraId="29BE8CEE">
      <w:pPr>
        <w:pStyle w:val="5"/>
        <w:bidi w:val="0"/>
        <w:rPr>
          <w:rFonts w:hint="eastAsia"/>
          <w:b/>
          <w:bCs/>
          <w:color w:val="auto"/>
        </w:rPr>
      </w:pPr>
      <w:r>
        <w:rPr>
          <w:rFonts w:hint="eastAsia"/>
          <w:b/>
          <w:bCs/>
          <w:color w:val="auto"/>
          <w:lang w:val="en-US" w:eastAsia="zh-CN"/>
        </w:rPr>
        <w:t>1.2.5</w:t>
      </w:r>
      <w:r>
        <w:rPr>
          <w:rFonts w:hint="eastAsia"/>
          <w:b/>
          <w:bCs/>
          <w:color w:val="auto"/>
        </w:rPr>
        <w:t>强化上下游标准协同，完善废旧电池标准体系</w:t>
      </w:r>
    </w:p>
    <w:p w14:paraId="5A7F57D4">
      <w:pPr>
        <w:pStyle w:val="5"/>
        <w:bidi w:val="0"/>
        <w:rPr>
          <w:rFonts w:hint="eastAsia"/>
          <w:color w:val="auto"/>
        </w:rPr>
      </w:pPr>
      <w:r>
        <w:rPr>
          <w:rFonts w:hint="eastAsia"/>
          <w:color w:val="auto"/>
        </w:rPr>
        <w:t>目前我国已陆续发布《充电电池废料废件》《废旧电池回收技术规范》《车用动力电池回收利用 拆解规范》等多项上下游国家标准，覆盖了产生、回收、拆解、利用等多个环节，但作为流通核心节点的贮运标准长期滞后，与上下游标准在分类口径、安全要求、包装标志、溯源编码等方面衔接不足，影响了废旧电池标准体系的整体效能。</w:t>
      </w:r>
    </w:p>
    <w:p w14:paraId="575D512E">
      <w:pPr>
        <w:pStyle w:val="5"/>
        <w:bidi w:val="0"/>
        <w:rPr>
          <w:rFonts w:hint="default" w:ascii="Times New Roman" w:hAnsi="Times New Roman" w:cs="Times New Roman"/>
          <w:color w:val="auto"/>
        </w:rPr>
      </w:pPr>
      <w:r>
        <w:rPr>
          <w:rFonts w:hint="default" w:ascii="Times New Roman" w:hAnsi="Times New Roman" w:cs="Times New Roman"/>
          <w:color w:val="auto"/>
        </w:rPr>
        <w:t>本次修订将做好与GB/T 39224</w:t>
      </w:r>
      <w:r>
        <w:rPr>
          <w:rFonts w:hint="eastAsia" w:ascii="Times New Roman" w:hAnsi="Times New Roman" w:cs="Times New Roman"/>
          <w:color w:val="auto"/>
          <w:lang w:val="en-US" w:eastAsia="zh-CN"/>
        </w:rPr>
        <w:t>-2020</w:t>
      </w:r>
      <w:r>
        <w:rPr>
          <w:rFonts w:hint="default" w:ascii="Times New Roman" w:hAnsi="Times New Roman" w:cs="Times New Roman"/>
          <w:color w:val="auto"/>
        </w:rPr>
        <w:t>《废旧电池回收技术规范》、GB/T 33598系列</w:t>
      </w:r>
      <w:r>
        <w:rPr>
          <w:rFonts w:hint="eastAsia" w:ascii="Times New Roman" w:hAnsi="Times New Roman" w:cs="Times New Roman"/>
          <w:color w:val="auto"/>
          <w:lang w:eastAsia="zh-CN"/>
        </w:rPr>
        <w:t>《</w:t>
      </w:r>
      <w:r>
        <w:rPr>
          <w:rFonts w:hint="default" w:ascii="Times New Roman" w:hAnsi="Times New Roman" w:cs="Times New Roman"/>
          <w:color w:val="auto"/>
        </w:rPr>
        <w:t>车用动力电池回收利用</w:t>
      </w:r>
      <w:r>
        <w:rPr>
          <w:rFonts w:hint="eastAsia" w:ascii="Times New Roman" w:hAnsi="Times New Roman" w:cs="Times New Roman"/>
          <w:color w:val="auto"/>
          <w:lang w:eastAsia="zh-CN"/>
        </w:rPr>
        <w:t>》</w:t>
      </w:r>
      <w:r>
        <w:rPr>
          <w:rFonts w:hint="default" w:ascii="Times New Roman" w:hAnsi="Times New Roman" w:cs="Times New Roman"/>
          <w:color w:val="auto"/>
        </w:rPr>
        <w:t>标准的协调衔接，统一技术口径，构建</w:t>
      </w:r>
      <w:r>
        <w:rPr>
          <w:rFonts w:hint="eastAsia" w:ascii="宋体" w:hAnsi="宋体" w:eastAsia="宋体" w:cs="宋体"/>
          <w:color w:val="auto"/>
        </w:rPr>
        <w:t>“产生源头—回收归集—贮运流通—加工利用”</w:t>
      </w:r>
      <w:r>
        <w:rPr>
          <w:rFonts w:hint="default" w:ascii="Times New Roman" w:hAnsi="Times New Roman" w:cs="Times New Roman"/>
          <w:color w:val="auto"/>
        </w:rPr>
        <w:t>全链条协同的标准体系。</w:t>
      </w:r>
    </w:p>
    <w:p w14:paraId="385BA9C2">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lang w:val="en-US" w:eastAsia="zh-CN"/>
        </w:rPr>
      </w:pPr>
      <w:r>
        <w:rPr>
          <w:rFonts w:hint="eastAsia" w:hAnsi="黑体" w:cs="黑体"/>
          <w:color w:val="auto"/>
          <w:sz w:val="21"/>
          <w:szCs w:val="21"/>
        </w:rPr>
        <w:t>1.3</w:t>
      </w:r>
      <w:r>
        <w:rPr>
          <w:rFonts w:hint="eastAsia" w:hAnsi="黑体" w:cs="黑体"/>
          <w:color w:val="auto"/>
          <w:sz w:val="21"/>
          <w:szCs w:val="21"/>
          <w:lang w:val="en-US" w:eastAsia="zh-CN"/>
        </w:rPr>
        <w:t>主要参加单位和工作成员所作的工作</w:t>
      </w:r>
    </w:p>
    <w:p w14:paraId="5540B0EB">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0" w:firstLineChars="0"/>
        <w:textAlignment w:val="auto"/>
        <w:rPr>
          <w:rFonts w:hint="default" w:ascii="宋体" w:hAnsi="宋体" w:eastAsia="宋体" w:cs="宋体"/>
          <w:color w:val="auto"/>
          <w:sz w:val="21"/>
          <w:szCs w:val="21"/>
          <w:lang w:val="en-US" w:eastAsia="zh-CN"/>
        </w:rPr>
      </w:pPr>
      <w:r>
        <w:rPr>
          <w:rFonts w:hint="default" w:ascii="Times New Roman" w:hAnsi="Times New Roman" w:cs="Times New Roman"/>
          <w:color w:val="auto"/>
          <w:sz w:val="21"/>
          <w:szCs w:val="21"/>
          <w:lang w:val="en-US" w:eastAsia="zh-CN"/>
        </w:rPr>
        <w:t xml:space="preserve">1.3.1 </w:t>
      </w:r>
      <w:r>
        <w:rPr>
          <w:rFonts w:hint="eastAsia" w:ascii="宋体" w:hAnsi="宋体" w:cs="宋体"/>
          <w:color w:val="auto"/>
          <w:sz w:val="21"/>
          <w:szCs w:val="21"/>
          <w:lang w:val="en-US" w:eastAsia="zh-CN"/>
        </w:rPr>
        <w:t>主要参加单位情况</w:t>
      </w:r>
    </w:p>
    <w:p w14:paraId="66C28B66">
      <w:pPr>
        <w:pStyle w:val="5"/>
        <w:rPr>
          <w:rFonts w:hint="default" w:ascii="Times New Roman" w:hAnsi="Times New Roman" w:cs="Times New Roman"/>
          <w:color w:val="auto"/>
          <w:sz w:val="21"/>
          <w:szCs w:val="22"/>
          <w:lang w:val="en-US" w:eastAsia="zh-CN"/>
        </w:rPr>
      </w:pPr>
      <w:r>
        <w:rPr>
          <w:rFonts w:hint="default" w:ascii="Times New Roman" w:hAnsi="Times New Roman" w:eastAsia="宋体" w:cs="Times New Roman"/>
          <w:color w:val="auto"/>
          <w:lang w:val="en-US" w:eastAsia="zh-CN"/>
        </w:rPr>
        <w:t>武汉动力电池再生技术有限公司</w:t>
      </w:r>
      <w:r>
        <w:rPr>
          <w:rFonts w:hint="default" w:ascii="Times New Roman" w:hAnsi="Times New Roman" w:cs="Times New Roman"/>
          <w:color w:val="auto"/>
          <w:sz w:val="21"/>
          <w:szCs w:val="22"/>
          <w:lang w:val="en-US" w:eastAsia="zh-CN"/>
        </w:rPr>
        <w:t>作为标准的牵头单位，负责组织开展标准的修订工作，包括前期调研、文献查询、框架内容调整、技术分析等工作，同时积极组织标准的任务落实、讨论、预审、审查等会议，根据专家提出的意见，带领编制组成员单位认真细致修改标准文本，对标准的研制过程具有决定性贡献。</w:t>
      </w:r>
    </w:p>
    <w:p w14:paraId="1BB45643">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编制组成员还包括：浙江华友循环科技有限公司、宜昌邦普循环科技有限公司、杰瑞新能源再生循环科技有限公司、格林美股份有限公司、江西赣锋锂业集团股份有限公司、衢州华友资源再生科技有限公司、湖北睿勤新能源科技有限公司。</w:t>
      </w:r>
    </w:p>
    <w:p w14:paraId="62C4D7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0" w:firstLineChars="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1.3.2 单位简介</w:t>
      </w:r>
    </w:p>
    <w:p w14:paraId="605ABE73">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1.3.2.1 武汉动力电池再生技术有限公司</w:t>
      </w:r>
    </w:p>
    <w:p w14:paraId="5B1D068B">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武汉动力电池再生技术有限公司是格林美集团全资子公司</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成立于2020年11月，董事长为张宇平。公司专注于动力电池回收利用领域，业务涵盖动力电池回收、拆解利用、梯次利用和粉料分选，构建了从电池回收到梯级利用的完整价值链。武汉动力电池再生技术有限公司在2025年获得国家级高新技术企业和国家级潜在独角兽企业称号，并入选2025年国家级重大环保技术装备创新任务揭榜挂帅入围单位。作为动力电池回收利用领域的专业企业，该公司构建了从电池回收到梯级利用的完整价值链，在行业规范化发展背景下展现出较强的合规管理和质量控制能力。</w:t>
      </w:r>
    </w:p>
    <w:p w14:paraId="254CCA8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1.3.2.2 浙江华友循环科技有限公司</w:t>
      </w:r>
    </w:p>
    <w:p w14:paraId="3FB8B746">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华友循环是华友一体化产业结构的联轴器，是增强客户粘性、打造闭环产业链的关键环节。公司着眼新能源汽车后市场服务、锂电池综合利用、湿法冶金等领域，创新打造</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废料换材料</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的商业模式，构建覆盖海内外的退役动力电池循环利用网络，致力于为全球客户提供安全、环保、高效的退役动力电池综合利用解决方案，推动绿色价值持续创造。</w:t>
      </w:r>
    </w:p>
    <w:p w14:paraId="097CC656">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在全球资源约束趋紧与环境治理持续深化的背景下，构建绿色、安全、高效、可追溯的循环体系，已成为产业发展的必然选择。顺应这一趋势，华友循环依托华友钴业一体化产业链优势，打造覆盖回收网络、精细化拆解、预处理、湿法冶金及直接再生的全生命周期绿色价值链体系，实现退役动力电池从回收到高值化利用利用的高效衔接。针对CTP电池包拆解等行业痛点，公司联合德国Fraunhofer IPA开展技术攻关，持续开发绿色、安全、高效的先进拆解解决方案；同时，积极携手宝马、大众、奔驰等主流车企，探索整包储能应用场景。</w:t>
      </w:r>
    </w:p>
    <w:p w14:paraId="54B6F93B">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面向未来，华友循环加快推进全球化</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两步走</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发展战略：一方面，围绕海外客户及中国出海企业需求，构建</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属地预处理+印尼及中国冶金处理</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的跨区域协同模式；另一方面，逐步推动各区域实现</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废电池—材料</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本地闭环运行。</w:t>
      </w:r>
    </w:p>
    <w:p w14:paraId="257FEE0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目前，公司已在国内华东、西南、东北等重点区域建立完善的回收网络，并在亚太、欧洲及北美布局区域性回收与处理网络。通过持续打造“全球循环服务生态链”，华友循环正为全球客户提供兼具合规性与经济性的闭环解决方案，助力新能源产业高质量、可持续发展。</w:t>
      </w:r>
    </w:p>
    <w:p w14:paraId="7F6599D1">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1.3.2.3 </w:t>
      </w:r>
      <w:bookmarkStart w:id="0" w:name="OLE_LINK1"/>
      <w:r>
        <w:rPr>
          <w:rFonts w:hint="eastAsia" w:ascii="Times New Roman" w:hAnsi="Times New Roman" w:cs="Times New Roman"/>
          <w:color w:val="auto"/>
          <w:lang w:val="en-US" w:eastAsia="zh-CN"/>
        </w:rPr>
        <w:t>宜昌邦普循环科技有限公司</w:t>
      </w:r>
      <w:bookmarkEnd w:id="0"/>
    </w:p>
    <w:p w14:paraId="6B975F42">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宜昌邦普循环科技有限公司创立于2021年，聚焦回收、资源与材料三大业务板块。作为宁德时代新能源科技股份有限公司的控股子公司，邦普循环打造了上下游优势互补的电池全产业链循环体系，成为国际顶级汽车企业合作伙伴。通过独创的定向循环DRT核心技术体系，在全球废旧电池回收领域率先破解了“废料还原”的行业性难题。作为中国的国家标准制定单位，邦普已成为中国动力电池回收处理全流程的技术标杆。</w:t>
      </w:r>
    </w:p>
    <w:p w14:paraId="212B37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1.3.2.4 杰瑞新能源再生循环科技有限公司</w:t>
      </w:r>
    </w:p>
    <w:p w14:paraId="34E33D6A">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杰瑞新能源再生循环科技有限公</w:t>
      </w:r>
      <w:r>
        <w:rPr>
          <w:rFonts w:hint="eastAsia" w:ascii="宋体" w:hAnsi="宋体" w:eastAsia="宋体" w:cs="宋体"/>
          <w:color w:val="auto"/>
          <w:lang w:val="en-US" w:eastAsia="zh-CN"/>
        </w:rPr>
        <w:t>司（简称“杰瑞再生循环”）是</w:t>
      </w:r>
      <w:r>
        <w:rPr>
          <w:rFonts w:hint="default" w:ascii="Times New Roman" w:hAnsi="Times New Roman" w:cs="Times New Roman"/>
          <w:color w:val="auto"/>
          <w:lang w:val="en-US" w:eastAsia="zh-CN"/>
        </w:rPr>
        <w:t>上市公司杰瑞股份的全资子公司，注册成立于2015年10月，注册地为山东省烟台市莱山区杰瑞路9号，注册资本10亿元。杰瑞循环主营锂风光资源循环、油泥资源化、土壤修复、污泥减量化四大核心业务，坚持以技术创新和装备制造为企业发展的核心竞争优势及关键支撑，以技术服务、运营服务为引领，致力于成为国内领先、国际知名的再生循环一体化解决方案提供商。业务开展模式多样，可提供技术研发、设计咨询、装备制造及销售、设备服务运营、资源循环工程服务等多元化合作。2022年，杰瑞再生循环自主研发的系列化核心技术装</w:t>
      </w:r>
      <w:r>
        <w:rPr>
          <w:rFonts w:hint="eastAsia" w:ascii="宋体" w:hAnsi="宋体" w:eastAsia="宋体" w:cs="宋体"/>
          <w:color w:val="auto"/>
          <w:lang w:val="en-US" w:eastAsia="zh-CN"/>
        </w:rPr>
        <w:t>置，“退役锂电池模块化清洁高效分离关键技术与装备”通过</w:t>
      </w:r>
      <w:r>
        <w:rPr>
          <w:rFonts w:hint="default" w:ascii="Times New Roman" w:hAnsi="Times New Roman" w:cs="Times New Roman"/>
          <w:color w:val="auto"/>
          <w:lang w:val="en-US" w:eastAsia="zh-CN"/>
        </w:rPr>
        <w:t>中国环保机械行业协会科学技术成果鉴定，经由周全法院士领衔、行业7名专家联合组成的鉴定委员会评议，一致评定杰瑞循环的该项成果处</w:t>
      </w:r>
      <w:r>
        <w:rPr>
          <w:rFonts w:hint="eastAsia" w:ascii="宋体" w:hAnsi="宋体" w:eastAsia="宋体" w:cs="宋体"/>
          <w:color w:val="auto"/>
          <w:lang w:val="en-US" w:eastAsia="zh-CN"/>
        </w:rPr>
        <w:t>于“国际领先”水平。</w:t>
      </w:r>
    </w:p>
    <w:p w14:paraId="7CBB19D1">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该套设备可以处理包含磷酸铁锂、三元锂电池在内的方形、圆柱、软包等废旧锂电池。采用柔性脱粉+机械脱粉的方式，实现黑粉从极片上高效脱离，同时避免过度破碎，提升回收纯度，黑粉回收率及回收纯度达98%；铜铝粒径均一及复选工艺实现铜铝分选效率高，纯度可达95%；全程负压控制，强化密封，实现0泄漏。同时，根据项目情况可以实现0.5t/h、1t/h、1.5t/h、2.0t/h不同处理能力的废旧锂电池资源化循环利用智能生产线。</w:t>
      </w:r>
    </w:p>
    <w:p w14:paraId="6F5AAC5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2023年5月，锂电池资源化循环利用成套装备生产制造完成下线，同月，杰瑞循环在第四届新能源汽车及动力电池（CIBF2023 深圳）国际交流会展示了锂电池成套装备解决方案、以及自主研发的系列化核心技术。</w:t>
      </w:r>
    </w:p>
    <w:p w14:paraId="232E5FE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2023年11月，由</w:t>
      </w:r>
      <w:r>
        <w:rPr>
          <w:rFonts w:hint="eastAsia" w:ascii="宋体" w:hAnsi="宋体" w:eastAsia="宋体" w:cs="宋体"/>
          <w:color w:val="auto"/>
          <w:lang w:val="en-US" w:eastAsia="zh-CN"/>
        </w:rPr>
        <w:t>中国环保机械行业协会主办，杰瑞再生循环承办、上海有色网支持的“锂电池再生循环产业合作发展大会暨高端装备高峰论坛”召开，大会发布了杰瑞循环自主开发的锂电池资源化循环利用成套设备，以工程装备化，装备模块化，模块标准化，标准智能化的设计理念，推动工程项目从“工地建设”到“工厂智造”的跨越</w:t>
      </w:r>
      <w:r>
        <w:rPr>
          <w:rFonts w:hint="default" w:ascii="Times New Roman" w:hAnsi="Times New Roman" w:cs="Times New Roman"/>
          <w:color w:val="auto"/>
          <w:lang w:val="en-US" w:eastAsia="zh-CN"/>
        </w:rPr>
        <w:t>式发展。</w:t>
      </w:r>
    </w:p>
    <w:p w14:paraId="0EDCB1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宋体" w:hAnsi="宋体" w:cs="宋体"/>
          <w:color w:val="auto"/>
          <w:lang w:val="en-US" w:eastAsia="zh-CN"/>
        </w:rPr>
      </w:pPr>
      <w:r>
        <w:rPr>
          <w:rFonts w:hint="default" w:ascii="Times New Roman" w:hAnsi="Times New Roman" w:cs="Times New Roman"/>
          <w:color w:val="auto"/>
          <w:lang w:val="en-US" w:eastAsia="zh-CN"/>
        </w:rPr>
        <w:t>2024年9月26日，杰瑞再生循环的子公司杰瑞绿色资源再生（郑州）有限公司开工仪式在郑州航空港区成功举办，标志着杰瑞的第一个自营的锂电池资源化循环利用示范工厂正式投产，现场跟业内多家企业签署战略合作协议，收到国内外客户广泛关注。2025年建设了甘肃酒泉锂电回收基地，2026年建设重庆和广州基地。</w:t>
      </w:r>
    </w:p>
    <w:p w14:paraId="6659903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1.3.2.5格林美股份有限公司</w:t>
      </w:r>
    </w:p>
    <w:p w14:paraId="36BEE0D0">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格林美股份有限公司(下称“格林美”或“GEM”)是基于绿色生态制造(G-Green E-Eco M-Manufacture)的理想。由许开华教授于2001年12月28日在深圳注册成立，2010年1月登陆深圳证券交易所，股票代码 002340。截至 2020年末，公司总股本 47.84亿股，净资产136亿元，年产值 200余亿，在册员工近 5100 人。格林美是中国开采城市矿山资源第一股，位居深圳 100 强第 58 位、中国制造业企业 500 强、中国企业专利 500 强、中国环保上市企业5强等，是世界硬质合金材料产业链与新能源材料产业链的头部企业，是世界领先的废物循环企业与世界先进的绿色低碳产业代表。</w:t>
      </w:r>
    </w:p>
    <w:p w14:paraId="2A22DA4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格林美是“资源有限、循环无限”产业理念的提出者与中国城市矿山开采的先行者。20 年来，公司通过开采城市矿山与发展新能源材料，建立资源循环模式和清洁能源材料模式来践行推进碳达峰、碳中和目标。公司从攻克废旧电池回收技术开始，再到攻克电子废弃物绿色处理、报废汽车整体资源化回收技术以及动力电池材料的三元“核”技术等世界技术难题，突破性解决了中国在废旧电池、电子废弃物与报废汽车等典型废弃资源绿色处理与循环利用的关键技术难点，构建了世界先进的新能源全生命周期价值链、钴钨稀有金属资源循环再生价值链、电子废弃物与废塑料循环再生价值链等资源循环模式和新能源循环模式。十四五期间，格林美将以服务世界绿色低碳发展为使命，与全球上下游头部企业建立绿色供应链伙伴关系，让世界循环起来，履行全球绿色责任。坚守兑现习近平总书记对格林美指示的“把垃圾资源化，化腐朽为神奇”之嘱托，坚守“城市矿山+新能源材料”双轨驱动发展战略，开采城市矿山，发展新能源材料，全面推动碳达峰、碳中和，成为世界低碳产业中对中国国民经济发展与世界绿色发展产生积极影响的领袖级企业。</w:t>
      </w:r>
    </w:p>
    <w:p w14:paraId="4A24761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1.3.2.6 江西赣锋循环科技有限公司</w:t>
      </w:r>
    </w:p>
    <w:p w14:paraId="720940A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赣锋循环科技是赣锋锂业集团</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成立于2000年3月，是中国锂行业首家A+H上市公司（A股股票代码：002460；H股股票代码01772</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。目前注册资金14.37亿元，在职员工14724人，总部位于新余国家高新技术产业开发区。赣锋锂业过近二十四年的快速发展，已成为我国</w:t>
      </w:r>
      <w:r>
        <w:rPr>
          <w:rFonts w:hint="eastAsia" w:ascii="宋体" w:hAnsi="宋体" w:eastAsia="宋体" w:cs="宋体"/>
          <w:color w:val="auto"/>
          <w:lang w:val="en-US" w:eastAsia="zh-CN"/>
        </w:rPr>
        <w:t>“锂资源开发-锂盐材料深加工-金属锂冶炼-锂电池制造-退役锂电池循环回收”</w:t>
      </w:r>
      <w:r>
        <w:rPr>
          <w:rFonts w:hint="default" w:ascii="Times New Roman" w:hAnsi="Times New Roman" w:cs="Times New Roman"/>
          <w:color w:val="auto"/>
          <w:lang w:val="en-US" w:eastAsia="zh-CN"/>
        </w:rPr>
        <w:t>全链条布局的行业龙头企业，是中国最大的锂化合物生产商，世界最大的锂金属供应商。)全资子公司，成立于2016年1月，注册资本为10000万元，位于江西省新余市高新开发区南源大道608号，主要经营业务是新能源退役锂电池综合利用及金属废料综合回收，是国内最早建立退役锂电池回收体系的企业之一；工信部第二批符合《新能源汽车废旧动力蓄电池综合利用行业规范条件》名单企业；国内最大的磷酸铁锂电池回收企业，为电池生产商及电动汽车生产商提供了可持续的增值解决方案，推出新产品及新服务，形成了稳定、可持续的赣锋锂生态系统。</w:t>
      </w:r>
    </w:p>
    <w:p w14:paraId="6838313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在产能方面，公司目前已建成废旧锂电池拆解基地两个（江西赣州全南县，四川达州市），主要是废旧锂电池系统， 模组，电池单体为对象，经拆解，分选得到黑粉，产能分别为10万吨/年。建成湿法回收基地两个（江西新余市），城东工厂以磷酸铁锂黑粉，三元废料为原料经过酸浸，除杂萃取，沉淀，干燥得到三元前驱体和锂盐。目前已形成三元前驱体18000 t/a，锂盐（LCE当量）10000吨能力。火田工厂为解决磷酸铁锂电池提锂残渣问题，实现磷酸铁锂电池全组分高值化回收，在新余马洪建设2万吨碳酸锂和8万吨磷酸铁项目，在2025年3月试生产。2025年公司再生处置废旧电池463吨、电芯极片等电池废料6190吨、黑粉8540吨，全年生产碳酸锂13282.53吨，磷酸锂7801吨，磷酸铁6663吨，全年营业收入86232.4万元。</w:t>
      </w:r>
    </w:p>
    <w:p w14:paraId="7113371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lang w:val="en-US" w:eastAsia="zh-CN"/>
        </w:rPr>
        <w:t>在技术创新方面，企业高度重视科技创新活动，坚持高研发投入，2025年研发投入3309.329万元，荣获</w:t>
      </w:r>
      <w:r>
        <w:rPr>
          <w:rFonts w:hint="eastAsia" w:ascii="宋体" w:hAnsi="宋体" w:eastAsia="宋体" w:cs="宋体"/>
          <w:color w:val="auto"/>
          <w:lang w:val="en-US" w:eastAsia="zh-CN"/>
        </w:rPr>
        <w:t>“国家专精特新小巨人”企业称号。目前拥有“江西省新能源汽车动力电池综合回收利用工程研究中心”、“新余市废旧锂电池综合回收工程技术研究中心”</w:t>
      </w:r>
      <w:r>
        <w:rPr>
          <w:rFonts w:hint="default" w:ascii="Times New Roman" w:hAnsi="Times New Roman" w:cs="Times New Roman"/>
          <w:color w:val="auto"/>
          <w:lang w:val="en-US" w:eastAsia="zh-CN"/>
        </w:rPr>
        <w:t>等科研平台；主持国家重点研发项目3项，省市级项目10余项；申请国家专利68项，获授权33项；荣获江西省科学技术奖一等奖1项，三等奖1项，中国有色金属工业科技技术奖一等奖2项，中国循环经济协会科技进步奖一等奖1项。同时，与清华大学、中科院过程所，中国石油大学，南昌航空大学，江西省智能研究院等单位在电池拆解，金属提纯等方面开展产学研合作。在磷酸铁锂提锂渣回收方面，我们开发了磷酸铁锂优先提锂，从提锂残渣中回收林磷铁制备电池级磷酸铁技术，实现了铁磷渣高值化利用。例如，同江西省智研院共同开发</w:t>
      </w:r>
      <w:r>
        <w:rPr>
          <w:rFonts w:hint="eastAsia" w:ascii="宋体" w:hAnsi="宋体" w:eastAsia="宋体" w:cs="宋体"/>
          <w:color w:val="auto"/>
          <w:lang w:val="en-US" w:eastAsia="zh-CN"/>
        </w:rPr>
        <w:t>“废旧磷酸铁锂电池精深高值化利用技术”，规模化实现了废旧磷酸铁锂电池的精细拆分及再生利用。在废旧三元电池回收技术上，同清华大学，南昌航空大学开发了“无酸优先提锂”和“同萃同反”技</w:t>
      </w:r>
      <w:r>
        <w:rPr>
          <w:rFonts w:hint="default" w:ascii="Times New Roman" w:hAnsi="Times New Roman" w:cs="Times New Roman"/>
          <w:color w:val="auto"/>
          <w:lang w:val="en-US" w:eastAsia="zh-CN"/>
        </w:rPr>
        <w:t>术，现实了锂的优先浸出，镍钴金属同步分离。锂回收率达到90%，镍钴锰金属回收率98%以上。</w:t>
      </w:r>
    </w:p>
    <w:p w14:paraId="243FC1D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1.3.2.7 衢州华友资源再生科技有限公司</w:t>
      </w:r>
    </w:p>
    <w:p w14:paraId="578AD71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衢州华友资源再生科技有限公司成立于2017年4月，位于衢州高新园区，注册资本11.08亿元。公司聚焦废旧动力电池回收、再生资源加工及锂电材料再造核心业务，以</w:t>
      </w:r>
      <w:r>
        <w:rPr>
          <w:rFonts w:hint="eastAsia" w:ascii="宋体" w:hAnsi="宋体" w:eastAsia="宋体" w:cs="宋体"/>
          <w:color w:val="auto"/>
          <w:lang w:val="en-US" w:eastAsia="zh-CN"/>
        </w:rPr>
        <w:t>“柔性化自动拆解、绿色短流程化”冶炼技术对有价金属进行再生利用，具备危险废物经营资质，可规模化产出电池级碳酸锂、硫酸钴液、硫酸镍液、硫酸镍晶体等锂电核心原料。企业是工信部新能源汽车废旧动力蓄电池综合利用规范企业，是全球首个资源再生“零碳”工</w:t>
      </w:r>
      <w:r>
        <w:rPr>
          <w:rFonts w:hint="default" w:ascii="Times New Roman" w:hAnsi="Times New Roman" w:cs="Times New Roman"/>
          <w:color w:val="auto"/>
          <w:lang w:val="en-US" w:eastAsia="zh-CN"/>
        </w:rPr>
        <w:t>厂，是工业产品绿色设计示范企业、浙江省节水型企业、国家级绿色低碳工厂，打通废旧电池回收、资源化处理、材料再生全链条，是区域内新能源资源再生领域的核心骨干企业，助力新能源产业绿色低碳循环发展。</w:t>
      </w:r>
    </w:p>
    <w:p w14:paraId="4F74ABB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1.3.2.8 湖北睿勤新能源科技有限公司</w:t>
      </w:r>
    </w:p>
    <w:p w14:paraId="1CE8E1E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湖北睿勤新能源科技有限公司，是广东在勤集团重点布局锂电循环产业链的核心实体，专业从事废旧锂电池资源化回收与再生材料制备，深耕退役动力电</w:t>
      </w:r>
      <w:r>
        <w:rPr>
          <w:rFonts w:hint="eastAsia" w:ascii="宋体" w:hAnsi="宋体" w:eastAsia="宋体" w:cs="宋体"/>
          <w:color w:val="auto"/>
          <w:lang w:val="en-US" w:eastAsia="zh-CN"/>
        </w:rPr>
        <w:t>池“城市矿山”综合利用赛道。公司以各类废旧锂离子电池为核心原料，自主应用成熟现代湿法冶金分离技术，高效完成镍、钴、锰、锂、磷铁等战略有价金属的精细化分离提纯与定向材料再造，主营电池级硫酸镍、硫酸钴、硫酸锰等锂电正极核心原料，构建“废旧电池回收—有价金属提取—锂电材料再生”闭环</w:t>
      </w:r>
      <w:r>
        <w:rPr>
          <w:rFonts w:hint="default" w:ascii="Times New Roman" w:hAnsi="Times New Roman" w:cs="Times New Roman"/>
          <w:color w:val="auto"/>
          <w:lang w:val="en-US" w:eastAsia="zh-CN"/>
        </w:rPr>
        <w:t>循环体系。经营规模稳步攀升，企业盈利实现跨越式突破，2023年营业收入突破1亿元，2025年营收大幅增长至8亿元，经营质效持续向好。公司坚持创新驱动发展，近两年累计研发投入达0.36亿元；2026年计划新增研发投入0.68亿元，持续加码工艺迭代、新品开发与品质稳定性攻关，以技术创新夯实核心竞争壁垒。依托扎实研发积淀，公司斩获多项权威行业资质，25年获国家高新技术企业、湖北省绿色工厂、湖北省专精特新中小企业。知识产权布局持续完善，累计提交专利申请21件，其中发明专利6件，形成自主可控核心技术矩阵。企业全面落地标准化生产与环境管理体系，实现生产全流程安全、环保、合规运营；核心再生产品通过 UL 国际权威认证，品质对标原生矿产原料。</w:t>
      </w:r>
    </w:p>
    <w:p w14:paraId="052FAD5A">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公司全程采用全再生原料制备工艺，深度践行循环经济</w:t>
      </w:r>
      <w:r>
        <w:rPr>
          <w:rFonts w:hint="eastAsia" w:ascii="宋体" w:hAnsi="宋体" w:eastAsia="宋体" w:cs="宋体"/>
          <w:color w:val="auto"/>
          <w:lang w:val="en-US" w:eastAsia="zh-CN"/>
        </w:rPr>
        <w:t>与“双碳”发</w:t>
      </w:r>
      <w:r>
        <w:rPr>
          <w:rFonts w:hint="default" w:ascii="Times New Roman" w:hAnsi="Times New Roman" w:cs="Times New Roman"/>
          <w:color w:val="auto"/>
          <w:lang w:val="en-US" w:eastAsia="zh-CN"/>
        </w:rPr>
        <w:t>展理念，以低成本、低碳排、高资源利用率的再生材料供给，稳定赋能新能源汽车、储能、消费电子产业链绿色低碳升级，致力打造中部地区领先、具备全国辐射能力的锂电循环再生标杆企业。</w:t>
      </w:r>
    </w:p>
    <w:p w14:paraId="2C23A983">
      <w:pPr>
        <w:pStyle w:val="2"/>
        <w:spacing w:before="156" w:after="156"/>
        <w:rPr>
          <w:rFonts w:hint="default" w:ascii="Times New Roman" w:hAnsi="Times New Roman" w:cs="Times New Roman"/>
          <w:color w:val="auto"/>
          <w:highlight w:val="yellow"/>
        </w:rPr>
      </w:pPr>
      <w:r>
        <w:rPr>
          <w:rFonts w:hint="eastAsia" w:ascii="黑体" w:hAnsi="黑体" w:eastAsia="黑体" w:cs="黑体"/>
          <w:b w:val="0"/>
          <w:bCs w:val="0"/>
          <w:color w:val="auto"/>
          <w:kern w:val="2"/>
          <w:sz w:val="21"/>
          <w:szCs w:val="21"/>
          <w:lang w:val="en-US" w:eastAsia="zh-CN" w:bidi="ar-SA"/>
        </w:rPr>
        <w:t>1.3.3</w:t>
      </w:r>
      <w:r>
        <w:rPr>
          <w:rFonts w:hint="default" w:ascii="Times New Roman" w:hAnsi="Times New Roman" w:cs="Times New Roman" w:eastAsiaTheme="minorEastAsia"/>
          <w:b w:val="0"/>
          <w:bCs w:val="0"/>
          <w:color w:val="auto"/>
          <w:kern w:val="2"/>
          <w:sz w:val="21"/>
          <w:szCs w:val="21"/>
          <w:lang w:val="en-US" w:eastAsia="zh-CN" w:bidi="ar-SA"/>
        </w:rPr>
        <w:t>主要工作成员所负责的工作情况</w:t>
      </w:r>
    </w:p>
    <w:p w14:paraId="01885C01">
      <w:pPr>
        <w:spacing w:line="360" w:lineRule="auto"/>
        <w:ind w:firstLine="420" w:firstLineChars="200"/>
        <w:rPr>
          <w:rFonts w:hint="default" w:ascii="Times New Roman" w:hAnsi="Times New Roman" w:cs="Times New Roman"/>
          <w:color w:val="auto"/>
          <w:sz w:val="24"/>
        </w:rPr>
      </w:pPr>
      <w:r>
        <w:rPr>
          <w:rFonts w:hint="default" w:ascii="Times New Roman" w:hAnsi="Times New Roman" w:cs="Times New Roman"/>
          <w:color w:val="auto"/>
          <w:sz w:val="21"/>
          <w:szCs w:val="21"/>
          <w:lang w:val="en-US" w:eastAsia="zh-CN"/>
        </w:rPr>
        <w:t>本标准主要起草人及工作职责，见下表1。</w:t>
      </w:r>
    </w:p>
    <w:p w14:paraId="084C241D">
      <w:pPr>
        <w:pStyle w:val="23"/>
        <w:numPr>
          <w:ilvl w:val="0"/>
          <w:numId w:val="1"/>
        </w:numPr>
        <w:spacing w:line="360" w:lineRule="auto"/>
        <w:ind w:left="1470" w:firstLineChars="0"/>
        <w:jc w:val="center"/>
        <w:rPr>
          <w:rFonts w:hint="default" w:ascii="Times New Roman" w:hAnsi="Times New Roman" w:eastAsia="黑体" w:cs="Times New Roman"/>
          <w:b/>
          <w:bCs/>
          <w:color w:val="auto"/>
          <w:szCs w:val="21"/>
        </w:rPr>
      </w:pPr>
      <w:r>
        <w:rPr>
          <w:rFonts w:hint="default" w:ascii="Times New Roman" w:hAnsi="Times New Roman" w:eastAsia="黑体" w:cs="Times New Roman"/>
          <w:b/>
          <w:bCs/>
          <w:color w:val="auto"/>
          <w:szCs w:val="21"/>
        </w:rPr>
        <w:t>主要起草人及其工作职责</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0"/>
        <w:gridCol w:w="2465"/>
        <w:gridCol w:w="3286"/>
      </w:tblGrid>
      <w:tr w14:paraId="0170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0" w:type="dxa"/>
            <w:noWrap w:val="0"/>
            <w:vAlign w:val="center"/>
          </w:tcPr>
          <w:p w14:paraId="6EF8F9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起草人</w:t>
            </w:r>
          </w:p>
        </w:tc>
        <w:tc>
          <w:tcPr>
            <w:tcW w:w="2465" w:type="dxa"/>
            <w:noWrap w:val="0"/>
            <w:vAlign w:val="center"/>
          </w:tcPr>
          <w:p w14:paraId="08C975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起草单位</w:t>
            </w:r>
          </w:p>
        </w:tc>
        <w:tc>
          <w:tcPr>
            <w:tcW w:w="3286" w:type="dxa"/>
            <w:noWrap w:val="0"/>
            <w:vAlign w:val="center"/>
          </w:tcPr>
          <w:p w14:paraId="6066D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工作职责</w:t>
            </w:r>
          </w:p>
        </w:tc>
      </w:tr>
      <w:tr w14:paraId="5EDE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65A8B7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eastAsia" w:ascii="Times New Roman" w:hAnsi="Times New Roman" w:eastAsia="宋体" w:cs="Times New Roman"/>
                <w:color w:val="auto"/>
                <w:sz w:val="18"/>
                <w:szCs w:val="18"/>
                <w:lang w:val="en-US" w:eastAsia="zh-CN"/>
              </w:rPr>
              <w:t>许开华、别传玉、张宇平</w:t>
            </w:r>
          </w:p>
        </w:tc>
        <w:tc>
          <w:tcPr>
            <w:tcW w:w="2465" w:type="dxa"/>
            <w:noWrap w:val="0"/>
            <w:vAlign w:val="center"/>
          </w:tcPr>
          <w:p w14:paraId="7736F3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武汉动力电池再生技术有限公司</w:t>
            </w:r>
          </w:p>
        </w:tc>
        <w:tc>
          <w:tcPr>
            <w:tcW w:w="3286" w:type="dxa"/>
            <w:vMerge w:val="restart"/>
            <w:noWrap w:val="0"/>
            <w:vAlign w:val="center"/>
          </w:tcPr>
          <w:p w14:paraId="371CA2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r>
              <w:rPr>
                <w:rFonts w:hint="eastAsia" w:ascii="宋体" w:hAnsi="宋体" w:eastAsia="宋体" w:cs="宋体"/>
                <w:i w:val="0"/>
                <w:iCs w:val="0"/>
                <w:color w:val="auto"/>
                <w:kern w:val="0"/>
                <w:sz w:val="18"/>
                <w:szCs w:val="18"/>
                <w:u w:val="none"/>
                <w:lang w:val="en-US" w:eastAsia="zh-CN" w:bidi="ar"/>
              </w:rPr>
              <w:t>牵头统筹标准起草，产品各项性能指标的调研、总结；标准文本和编制说明的撰写及组织协调</w:t>
            </w:r>
          </w:p>
        </w:tc>
      </w:tr>
      <w:tr w14:paraId="1473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6DFF24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rPr>
              <w:t>鲍伟</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肖巍</w:t>
            </w:r>
          </w:p>
        </w:tc>
        <w:tc>
          <w:tcPr>
            <w:tcW w:w="2465" w:type="dxa"/>
            <w:noWrap w:val="0"/>
            <w:vAlign w:val="center"/>
          </w:tcPr>
          <w:p w14:paraId="5A5948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浙江华友循环科技有限公司</w:t>
            </w:r>
          </w:p>
        </w:tc>
        <w:tc>
          <w:tcPr>
            <w:tcW w:w="3286" w:type="dxa"/>
            <w:vMerge w:val="continue"/>
            <w:noWrap w:val="0"/>
            <w:vAlign w:val="center"/>
          </w:tcPr>
          <w:p w14:paraId="124ED8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p>
        </w:tc>
      </w:tr>
      <w:tr w14:paraId="08DC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810" w:type="dxa"/>
            <w:noWrap w:val="0"/>
            <w:vAlign w:val="center"/>
          </w:tcPr>
          <w:p w14:paraId="764AFD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18"/>
                <w:szCs w:val="18"/>
                <w:lang w:val="en-US" w:eastAsia="zh-CN"/>
              </w:rPr>
            </w:pPr>
            <w:r>
              <w:rPr>
                <w:rFonts w:hint="eastAsia" w:ascii="Times New Roman" w:hAnsi="Times New Roman" w:eastAsia="宋体" w:cs="Times New Roman"/>
                <w:color w:val="auto"/>
                <w:sz w:val="18"/>
                <w:szCs w:val="18"/>
                <w:lang w:val="en-US" w:eastAsia="zh-CN"/>
              </w:rPr>
              <w:t>王致富、崔璠</w:t>
            </w:r>
          </w:p>
        </w:tc>
        <w:tc>
          <w:tcPr>
            <w:tcW w:w="2465" w:type="dxa"/>
            <w:noWrap w:val="0"/>
            <w:vAlign w:val="center"/>
          </w:tcPr>
          <w:p w14:paraId="245633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宜昌邦普循环科技有限公司</w:t>
            </w:r>
          </w:p>
        </w:tc>
        <w:tc>
          <w:tcPr>
            <w:tcW w:w="3286" w:type="dxa"/>
            <w:vMerge w:val="restart"/>
            <w:noWrap w:val="0"/>
            <w:vAlign w:val="center"/>
          </w:tcPr>
          <w:p w14:paraId="6F5DF03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1、</w:t>
            </w:r>
            <w:r>
              <w:rPr>
                <w:rFonts w:hint="eastAsia" w:ascii="宋体" w:hAnsi="宋体" w:eastAsia="宋体" w:cs="宋体"/>
                <w:i w:val="0"/>
                <w:iCs w:val="0"/>
                <w:color w:val="auto"/>
                <w:kern w:val="0"/>
                <w:sz w:val="18"/>
                <w:szCs w:val="18"/>
                <w:u w:val="none"/>
                <w:lang w:val="en-US" w:eastAsia="zh-CN" w:bidi="ar"/>
              </w:rPr>
              <w:t>参与电池废料标志、包装、运输领域数据调研工作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2、提供电池废料种类等相关核心信息，保障标准制定的科学性与实用性</w:t>
            </w:r>
          </w:p>
        </w:tc>
      </w:tr>
      <w:tr w14:paraId="6512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3273A2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rPr>
            </w:pPr>
            <w:r>
              <w:rPr>
                <w:rFonts w:hint="eastAsia" w:ascii="Arial" w:hAnsi="Arial" w:eastAsia="宋体" w:cs="Arial"/>
                <w:color w:val="auto"/>
                <w:sz w:val="18"/>
                <w:szCs w:val="18"/>
                <w:lang w:val="en-US" w:eastAsia="zh-CN"/>
              </w:rPr>
              <w:t>王奉刚、于群</w:t>
            </w:r>
          </w:p>
        </w:tc>
        <w:tc>
          <w:tcPr>
            <w:tcW w:w="2465" w:type="dxa"/>
            <w:noWrap w:val="0"/>
            <w:vAlign w:val="center"/>
          </w:tcPr>
          <w:p w14:paraId="4E1569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杰瑞新能源再生循环科技有限公司</w:t>
            </w:r>
          </w:p>
        </w:tc>
        <w:tc>
          <w:tcPr>
            <w:tcW w:w="3286" w:type="dxa"/>
            <w:vMerge w:val="continue"/>
            <w:noWrap w:val="0"/>
            <w:vAlign w:val="center"/>
          </w:tcPr>
          <w:p w14:paraId="0381F0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p>
        </w:tc>
      </w:tr>
      <w:tr w14:paraId="250B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5820ED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张坤、魏琼</w:t>
            </w:r>
          </w:p>
        </w:tc>
        <w:tc>
          <w:tcPr>
            <w:tcW w:w="2465" w:type="dxa"/>
            <w:noWrap w:val="0"/>
            <w:vAlign w:val="center"/>
          </w:tcPr>
          <w:p w14:paraId="0E4E6B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格林美股份有限公司</w:t>
            </w:r>
          </w:p>
        </w:tc>
        <w:tc>
          <w:tcPr>
            <w:tcW w:w="3286" w:type="dxa"/>
            <w:vMerge w:val="continue"/>
            <w:noWrap w:val="0"/>
            <w:vAlign w:val="center"/>
          </w:tcPr>
          <w:p w14:paraId="02E177A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p>
        </w:tc>
      </w:tr>
      <w:tr w14:paraId="3213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2F579E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李强、曾飞强</w:t>
            </w:r>
          </w:p>
        </w:tc>
        <w:tc>
          <w:tcPr>
            <w:tcW w:w="2465" w:type="dxa"/>
            <w:noWrap w:val="0"/>
            <w:vAlign w:val="center"/>
          </w:tcPr>
          <w:p w14:paraId="63EBAD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江西赣锋锂业集团股份有限公司</w:t>
            </w:r>
          </w:p>
        </w:tc>
        <w:tc>
          <w:tcPr>
            <w:tcW w:w="3286" w:type="dxa"/>
            <w:vMerge w:val="continue"/>
            <w:noWrap w:val="0"/>
            <w:vAlign w:val="center"/>
          </w:tcPr>
          <w:p w14:paraId="37E526A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p>
        </w:tc>
      </w:tr>
      <w:tr w14:paraId="20B0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51CEA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Arial" w:hAnsi="Arial" w:eastAsia="宋体" w:cs="Arial"/>
                <w:color w:val="auto"/>
                <w:sz w:val="18"/>
                <w:szCs w:val="18"/>
                <w:lang w:val="en-US" w:eastAsia="zh-CN"/>
              </w:rPr>
            </w:pPr>
            <w:r>
              <w:rPr>
                <w:rFonts w:hint="eastAsia" w:ascii="Times New Roman" w:hAnsi="Times New Roman" w:eastAsia="宋体" w:cs="Times New Roman"/>
                <w:color w:val="auto"/>
                <w:sz w:val="18"/>
                <w:szCs w:val="18"/>
                <w:lang w:val="en-US" w:eastAsia="zh-CN"/>
              </w:rPr>
              <w:t>刘凤梅、肇巍</w:t>
            </w:r>
          </w:p>
        </w:tc>
        <w:tc>
          <w:tcPr>
            <w:tcW w:w="2465" w:type="dxa"/>
            <w:noWrap w:val="0"/>
            <w:vAlign w:val="center"/>
          </w:tcPr>
          <w:p w14:paraId="4A0CA0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衢州华友资源再生科技有限公司</w:t>
            </w:r>
          </w:p>
        </w:tc>
        <w:tc>
          <w:tcPr>
            <w:tcW w:w="3286" w:type="dxa"/>
            <w:vMerge w:val="restart"/>
            <w:noWrap w:val="0"/>
            <w:vAlign w:val="center"/>
          </w:tcPr>
          <w:p w14:paraId="70C4E6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 w:val="18"/>
                <w:szCs w:val="18"/>
              </w:rPr>
            </w:pPr>
            <w:r>
              <w:rPr>
                <w:rFonts w:hint="eastAsia" w:ascii="宋体" w:hAnsi="宋体" w:eastAsia="宋体" w:cs="宋体"/>
                <w:i w:val="0"/>
                <w:iCs w:val="0"/>
                <w:color w:val="auto"/>
                <w:kern w:val="0"/>
                <w:sz w:val="18"/>
                <w:szCs w:val="18"/>
                <w:u w:val="none"/>
                <w:lang w:val="en-US" w:eastAsia="zh-CN" w:bidi="ar"/>
              </w:rPr>
              <w:t>参与标准相关内容研讨，针对内容提出建设性意见</w:t>
            </w:r>
          </w:p>
        </w:tc>
      </w:tr>
      <w:tr w14:paraId="4623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0" w:type="dxa"/>
            <w:noWrap w:val="0"/>
            <w:vAlign w:val="center"/>
          </w:tcPr>
          <w:p w14:paraId="0DA917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刘昆、耿才富</w:t>
            </w:r>
          </w:p>
        </w:tc>
        <w:tc>
          <w:tcPr>
            <w:tcW w:w="2465" w:type="dxa"/>
            <w:noWrap w:val="0"/>
            <w:vAlign w:val="center"/>
          </w:tcPr>
          <w:p w14:paraId="449DE5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湖北睿勤新能源科技有限公司</w:t>
            </w:r>
          </w:p>
        </w:tc>
        <w:tc>
          <w:tcPr>
            <w:tcW w:w="3286" w:type="dxa"/>
            <w:vMerge w:val="continue"/>
            <w:noWrap w:val="0"/>
            <w:vAlign w:val="center"/>
          </w:tcPr>
          <w:p w14:paraId="4C08C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p>
        </w:tc>
      </w:tr>
    </w:tbl>
    <w:p w14:paraId="1DC6227A">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color w:val="auto"/>
        </w:rPr>
      </w:pPr>
      <w:r>
        <w:rPr>
          <w:rFonts w:hint="eastAsia" w:hAnsi="黑体" w:cs="黑体"/>
          <w:color w:val="auto"/>
          <w:sz w:val="21"/>
          <w:szCs w:val="21"/>
        </w:rPr>
        <w:t>1.4 主要工作过程</w:t>
      </w:r>
    </w:p>
    <w:p w14:paraId="30AD1BE3">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1.4.1预研阶段</w:t>
      </w:r>
    </w:p>
    <w:p w14:paraId="64AD31F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color w:val="auto"/>
          <w:lang w:val="en-US" w:eastAsia="zh-CN"/>
        </w:rPr>
      </w:pPr>
      <w:r>
        <w:rPr>
          <w:rFonts w:hint="default" w:ascii="Times New Roman" w:hAnsi="Times New Roman" w:eastAsia="宋体" w:cs="Times New Roman"/>
          <w:color w:val="auto"/>
          <w:sz w:val="21"/>
          <w:szCs w:val="21"/>
          <w:lang w:val="en-US" w:eastAsia="zh-CN"/>
        </w:rPr>
        <w:t>武汉动力2024年2月份正式成立了由研发技术人员、标准研究人员等组成的标准编制工作组，确定了标准起草思路及任务分工，积极组织相关人员成立标准编制工作组，确认了各成员的工作任务和职责，制定了工作计划和进度安排，确定了编制原则。标准编制工作组通过查找、分析相关标准及文献，对充电电废料废件的实际情况进行了大量调研，对国内水平进行了充分论证。2024年3月，武汉动力电池再生技术有限公司向重金属分标准化委员会秘书处提交国家标准《电池废料的标志、包装、运输和贮存》立项申请书。分别于2024年5月、2025年1月接到立项申请书修改意见。</w:t>
      </w:r>
    </w:p>
    <w:p w14:paraId="3D648175">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1.4.2标准立项</w:t>
      </w:r>
    </w:p>
    <w:p w14:paraId="4A97AB7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eastAsia" w:hAnsi="黑体" w:cs="黑体"/>
          <w:color w:val="auto"/>
          <w:sz w:val="21"/>
          <w:szCs w:val="21"/>
          <w:lang w:val="en-US" w:eastAsia="zh-CN"/>
        </w:rPr>
        <w:t>全国</w:t>
      </w:r>
      <w:r>
        <w:rPr>
          <w:rFonts w:hint="default" w:ascii="Times New Roman" w:hAnsi="Times New Roman" w:cs="Times New Roman"/>
          <w:color w:val="auto"/>
          <w:sz w:val="21"/>
          <w:szCs w:val="21"/>
          <w:lang w:val="en-US" w:eastAsia="zh-CN"/>
        </w:rPr>
        <w:t>有色金属标准化技术委员会于2024年在长沙召开标准</w:t>
      </w:r>
      <w:r>
        <w:rPr>
          <w:rFonts w:hint="eastAsia" w:ascii="Times New Roman" w:hAnsi="Times New Roman" w:cs="Times New Roman"/>
          <w:color w:val="auto"/>
          <w:sz w:val="21"/>
          <w:szCs w:val="21"/>
          <w:lang w:val="en-US" w:eastAsia="zh-CN"/>
        </w:rPr>
        <w:t>论证</w:t>
      </w:r>
      <w:r>
        <w:rPr>
          <w:rFonts w:hint="default" w:ascii="Times New Roman" w:hAnsi="Times New Roman" w:cs="Times New Roman"/>
          <w:color w:val="auto"/>
          <w:sz w:val="21"/>
          <w:szCs w:val="21"/>
          <w:lang w:val="en-US" w:eastAsia="zh-CN"/>
        </w:rPr>
        <w:t>会，本项目由重金属分标委会秘书处于2024年3月20日进行申报。2025年8月15日计划正式予以下达。为了更好地开展标准的修订工作，工作组成员在标准</w:t>
      </w:r>
      <w:r>
        <w:rPr>
          <w:rFonts w:hint="eastAsia" w:ascii="Times New Roman" w:hAnsi="Times New Roman" w:cs="Times New Roman"/>
          <w:color w:val="auto"/>
          <w:sz w:val="21"/>
          <w:szCs w:val="21"/>
          <w:lang w:val="en-US" w:eastAsia="zh-CN"/>
        </w:rPr>
        <w:t>立项</w:t>
      </w:r>
      <w:r>
        <w:rPr>
          <w:rFonts w:hint="default" w:ascii="Times New Roman" w:hAnsi="Times New Roman" w:cs="Times New Roman"/>
          <w:color w:val="auto"/>
          <w:sz w:val="21"/>
          <w:szCs w:val="21"/>
          <w:lang w:val="en-US" w:eastAsia="zh-CN"/>
        </w:rPr>
        <w:t>草案的基础上，于2025年1月底完成了文稿的修订工作。</w:t>
      </w:r>
    </w:p>
    <w:p w14:paraId="3FAA6128">
      <w:pPr>
        <w:pStyle w:val="5"/>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1.4.3起草阶段</w:t>
      </w:r>
    </w:p>
    <w:p w14:paraId="1BA364A9">
      <w:pPr>
        <w:ind w:firstLine="420" w:firstLineChars="20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val="en-US" w:eastAsia="zh-CN"/>
        </w:rPr>
        <w:t>1.4.3.1第一次工作会议</w:t>
      </w:r>
    </w:p>
    <w:p w14:paraId="5A457F9D">
      <w:pPr>
        <w:pStyle w:val="5"/>
        <w:ind w:left="0" w:leftChars="0" w:firstLine="420" w:firstLineChars="200"/>
        <w:rPr>
          <w:rFonts w:hint="eastAsia" w:ascii="宋体" w:hAnsi="宋体" w:eastAsia="宋体" w:cs="宋体"/>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于2025年12月1-4日</w:t>
      </w:r>
      <w:r>
        <w:rPr>
          <w:rFonts w:hint="eastAsia" w:ascii="Times New Roman" w:hAnsi="Times New Roman" w:cs="Times New Roman"/>
          <w:color w:val="auto"/>
          <w:kern w:val="0"/>
          <w:sz w:val="21"/>
          <w:szCs w:val="21"/>
          <w:lang w:val="en-US" w:eastAsia="zh-CN" w:bidi="ar-SA"/>
        </w:rPr>
        <w:t>，全国有色金属标准化技术委员会</w:t>
      </w:r>
      <w:r>
        <w:rPr>
          <w:rFonts w:hint="default" w:ascii="Times New Roman" w:hAnsi="Times New Roman" w:eastAsia="宋体" w:cs="Times New Roman"/>
          <w:color w:val="auto"/>
          <w:kern w:val="0"/>
          <w:sz w:val="21"/>
          <w:szCs w:val="21"/>
          <w:lang w:val="en-US" w:eastAsia="zh-CN" w:bidi="ar-SA"/>
        </w:rPr>
        <w:t>在厦门召开</w:t>
      </w:r>
      <w:r>
        <w:rPr>
          <w:rFonts w:hint="eastAsia" w:ascii="宋体" w:hAnsi="宋体" w:eastAsia="宋体" w:cs="宋体"/>
          <w:color w:val="auto"/>
          <w:kern w:val="0"/>
          <w:sz w:val="21"/>
          <w:szCs w:val="21"/>
          <w:lang w:val="en-US" w:eastAsia="zh-CN" w:bidi="ar-SA"/>
        </w:rPr>
        <w:t>了第一次标准</w:t>
      </w:r>
      <w:r>
        <w:rPr>
          <w:rFonts w:hint="eastAsia" w:ascii="宋体" w:hAnsi="宋体" w:cs="宋体"/>
          <w:color w:val="auto"/>
          <w:kern w:val="0"/>
          <w:sz w:val="21"/>
          <w:szCs w:val="21"/>
          <w:lang w:val="en-US" w:eastAsia="zh-CN" w:bidi="ar-SA"/>
        </w:rPr>
        <w:t>工作会议</w:t>
      </w:r>
      <w:r>
        <w:rPr>
          <w:rFonts w:hint="eastAsia" w:ascii="宋体" w:hAnsi="宋体" w:eastAsia="宋体" w:cs="宋体"/>
          <w:color w:val="auto"/>
          <w:kern w:val="0"/>
          <w:sz w:val="21"/>
          <w:szCs w:val="21"/>
          <w:lang w:val="en-US" w:eastAsia="zh-CN" w:bidi="ar-SA"/>
        </w:rPr>
        <w:t>，会议中，标委会及现场专家主要讨论内容见表2。会后由标准主编单位根据会议内容进行修改。</w:t>
      </w:r>
    </w:p>
    <w:p w14:paraId="45F4D072">
      <w:pPr>
        <w:pStyle w:val="5"/>
        <w:ind w:left="0" w:leftChars="0" w:firstLine="420" w:firstLineChars="200"/>
        <w:jc w:val="center"/>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 xml:space="preserve">表2  </w:t>
      </w:r>
      <w:r>
        <w:rPr>
          <w:rFonts w:hint="default" w:ascii="Times New Roman" w:hAnsi="Times New Roman" w:cs="Times New Roman"/>
          <w:color w:val="auto"/>
          <w:sz w:val="21"/>
          <w:szCs w:val="21"/>
          <w:lang w:val="en-US" w:eastAsia="zh-CN"/>
        </w:rPr>
        <w:t>第一次工作会议</w:t>
      </w:r>
      <w:r>
        <w:rPr>
          <w:rFonts w:hint="eastAsia" w:ascii="Times New Roman" w:hAnsi="Times New Roman" w:cs="Times New Roman"/>
          <w:color w:val="auto"/>
          <w:sz w:val="21"/>
          <w:szCs w:val="21"/>
          <w:lang w:val="en-US" w:eastAsia="zh-CN"/>
        </w:rPr>
        <w:t>讨论内容</w:t>
      </w:r>
    </w:p>
    <w:tbl>
      <w:tblPr>
        <w:tblStyle w:val="12"/>
        <w:tblW w:w="8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2125"/>
        <w:gridCol w:w="5918"/>
      </w:tblGrid>
      <w:tr w14:paraId="22C4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7F2E0624">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序号</w:t>
            </w:r>
          </w:p>
        </w:tc>
        <w:tc>
          <w:tcPr>
            <w:tcW w:w="2125" w:type="dxa"/>
            <w:noWrap w:val="0"/>
            <w:vAlign w:val="center"/>
          </w:tcPr>
          <w:p w14:paraId="45CB4834">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条款</w:t>
            </w:r>
          </w:p>
        </w:tc>
        <w:tc>
          <w:tcPr>
            <w:tcW w:w="5918" w:type="dxa"/>
            <w:noWrap w:val="0"/>
            <w:vAlign w:val="center"/>
          </w:tcPr>
          <w:p w14:paraId="2A851665">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意见内容</w:t>
            </w:r>
          </w:p>
        </w:tc>
      </w:tr>
      <w:tr w14:paraId="0F79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63DE7528">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125" w:type="dxa"/>
            <w:noWrap w:val="0"/>
            <w:vAlign w:val="center"/>
          </w:tcPr>
          <w:p w14:paraId="291689DF">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标题</w:t>
            </w:r>
          </w:p>
        </w:tc>
        <w:tc>
          <w:tcPr>
            <w:tcW w:w="5918" w:type="dxa"/>
            <w:noWrap w:val="0"/>
            <w:vAlign w:val="top"/>
          </w:tcPr>
          <w:p w14:paraId="3F4665B6">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标题只包含废料，内容却包含废件，考虑是否一致</w:t>
            </w:r>
          </w:p>
        </w:tc>
      </w:tr>
      <w:tr w14:paraId="7D9C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13F24F27">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w:t>
            </w:r>
          </w:p>
        </w:tc>
        <w:tc>
          <w:tcPr>
            <w:tcW w:w="2125" w:type="dxa"/>
            <w:vMerge w:val="restart"/>
            <w:noWrap w:val="0"/>
            <w:vAlign w:val="center"/>
          </w:tcPr>
          <w:p w14:paraId="10277ECE">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3.1 术语和定义</w:t>
            </w:r>
          </w:p>
        </w:tc>
        <w:tc>
          <w:tcPr>
            <w:tcW w:w="5918" w:type="dxa"/>
            <w:noWrap w:val="0"/>
            <w:vAlign w:val="top"/>
          </w:tcPr>
          <w:p w14:paraId="068F59AE">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电池废料不包含废件</w:t>
            </w:r>
          </w:p>
        </w:tc>
      </w:tr>
      <w:tr w14:paraId="781C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743F7CBA">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3</w:t>
            </w:r>
          </w:p>
        </w:tc>
        <w:tc>
          <w:tcPr>
            <w:tcW w:w="2125" w:type="dxa"/>
            <w:vMerge w:val="continue"/>
            <w:noWrap w:val="0"/>
            <w:vAlign w:val="top"/>
          </w:tcPr>
          <w:p w14:paraId="32257107">
            <w:pPr>
              <w:rPr>
                <w:rFonts w:hint="eastAsia" w:ascii="宋体" w:hAnsi="宋体" w:eastAsia="宋体" w:cs="宋体"/>
                <w:b w:val="0"/>
                <w:bCs w:val="0"/>
                <w:color w:val="auto"/>
                <w:sz w:val="24"/>
                <w:szCs w:val="24"/>
                <w:vertAlign w:val="baseline"/>
                <w:lang w:val="en-US" w:eastAsia="zh-CN"/>
              </w:rPr>
            </w:pPr>
          </w:p>
        </w:tc>
        <w:tc>
          <w:tcPr>
            <w:tcW w:w="5918" w:type="dxa"/>
            <w:noWrap w:val="0"/>
            <w:vAlign w:val="center"/>
          </w:tcPr>
          <w:p w14:paraId="67A549C5">
            <w:pPr>
              <w:ind w:left="0" w:leftChars="0" w:firstLine="0" w:firstLineChars="0"/>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运输的术语意思显而易见，无需额外说明</w:t>
            </w:r>
          </w:p>
        </w:tc>
      </w:tr>
      <w:tr w14:paraId="3E3B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280F0246">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4</w:t>
            </w:r>
          </w:p>
        </w:tc>
        <w:tc>
          <w:tcPr>
            <w:tcW w:w="2125" w:type="dxa"/>
            <w:noWrap w:val="0"/>
            <w:vAlign w:val="center"/>
          </w:tcPr>
          <w:p w14:paraId="4303A90E">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4.3</w:t>
            </w:r>
          </w:p>
        </w:tc>
        <w:tc>
          <w:tcPr>
            <w:tcW w:w="5918" w:type="dxa"/>
            <w:noWrap w:val="0"/>
            <w:vAlign w:val="center"/>
          </w:tcPr>
          <w:p w14:paraId="6B32161B">
            <w:pPr>
              <w:ind w:left="0" w:leftChars="0" w:firstLine="0" w:firstLineChars="0"/>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C类电池的包装说明过于简单</w:t>
            </w:r>
          </w:p>
        </w:tc>
      </w:tr>
      <w:tr w14:paraId="67E8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0D1E25C9">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5</w:t>
            </w:r>
          </w:p>
        </w:tc>
        <w:tc>
          <w:tcPr>
            <w:tcW w:w="2125" w:type="dxa"/>
            <w:noWrap w:val="0"/>
            <w:vAlign w:val="center"/>
          </w:tcPr>
          <w:p w14:paraId="3819BABB">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5 标志</w:t>
            </w:r>
          </w:p>
        </w:tc>
        <w:tc>
          <w:tcPr>
            <w:tcW w:w="5918" w:type="dxa"/>
            <w:noWrap w:val="0"/>
            <w:vAlign w:val="top"/>
          </w:tcPr>
          <w:p w14:paraId="466051BE">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只有贮存标识，没有包装标识</w:t>
            </w:r>
          </w:p>
        </w:tc>
      </w:tr>
      <w:tr w14:paraId="31EC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0FB09C7F">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w:t>
            </w:r>
          </w:p>
        </w:tc>
        <w:tc>
          <w:tcPr>
            <w:tcW w:w="2125" w:type="dxa"/>
            <w:vMerge w:val="restart"/>
            <w:noWrap w:val="0"/>
            <w:vAlign w:val="center"/>
          </w:tcPr>
          <w:p w14:paraId="5BC03F5D">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 运输和贮存的要求</w:t>
            </w:r>
          </w:p>
          <w:p w14:paraId="5AF452F8">
            <w:pPr>
              <w:ind w:left="0" w:leftChars="0" w:firstLine="0" w:firstLineChars="0"/>
              <w:jc w:val="center"/>
              <w:rPr>
                <w:rFonts w:hint="eastAsia" w:ascii="宋体" w:hAnsi="宋体" w:eastAsia="宋体" w:cs="宋体"/>
                <w:b w:val="0"/>
                <w:bCs w:val="0"/>
                <w:color w:val="auto"/>
                <w:sz w:val="24"/>
                <w:szCs w:val="24"/>
                <w:vertAlign w:val="baseline"/>
                <w:lang w:val="en-US" w:eastAsia="zh-CN"/>
              </w:rPr>
            </w:pPr>
          </w:p>
        </w:tc>
        <w:tc>
          <w:tcPr>
            <w:tcW w:w="5918" w:type="dxa"/>
            <w:noWrap w:val="0"/>
            <w:vAlign w:val="top"/>
          </w:tcPr>
          <w:p w14:paraId="7F32162B">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6.1.2到6.1.6的内容顺序有问题，重新调整</w:t>
            </w:r>
          </w:p>
        </w:tc>
      </w:tr>
      <w:tr w14:paraId="42E0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1230DD37">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7</w:t>
            </w:r>
          </w:p>
        </w:tc>
        <w:tc>
          <w:tcPr>
            <w:tcW w:w="2125" w:type="dxa"/>
            <w:vMerge w:val="continue"/>
            <w:noWrap w:val="0"/>
            <w:vAlign w:val="center"/>
          </w:tcPr>
          <w:p w14:paraId="5AD2362F">
            <w:pPr>
              <w:ind w:left="0" w:leftChars="0" w:firstLine="0" w:firstLineChars="0"/>
              <w:jc w:val="center"/>
              <w:rPr>
                <w:rFonts w:hint="eastAsia" w:ascii="宋体" w:hAnsi="宋体" w:eastAsia="宋体" w:cs="宋体"/>
                <w:b w:val="0"/>
                <w:bCs w:val="0"/>
                <w:color w:val="auto"/>
                <w:sz w:val="24"/>
                <w:szCs w:val="24"/>
                <w:vertAlign w:val="baseline"/>
                <w:lang w:val="en-US" w:eastAsia="zh-CN"/>
              </w:rPr>
            </w:pPr>
          </w:p>
        </w:tc>
        <w:tc>
          <w:tcPr>
            <w:tcW w:w="5918" w:type="dxa"/>
            <w:noWrap w:val="0"/>
            <w:vAlign w:val="top"/>
          </w:tcPr>
          <w:p w14:paraId="061A2066">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6.1.7内容与表2重复</w:t>
            </w:r>
          </w:p>
        </w:tc>
      </w:tr>
      <w:tr w14:paraId="2790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6091EE3F">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8</w:t>
            </w:r>
          </w:p>
        </w:tc>
        <w:tc>
          <w:tcPr>
            <w:tcW w:w="2125" w:type="dxa"/>
            <w:vMerge w:val="continue"/>
            <w:noWrap w:val="0"/>
            <w:vAlign w:val="center"/>
          </w:tcPr>
          <w:p w14:paraId="536A8489">
            <w:pPr>
              <w:ind w:left="0" w:leftChars="0" w:firstLine="0" w:firstLineChars="0"/>
              <w:jc w:val="center"/>
              <w:rPr>
                <w:rFonts w:hint="eastAsia" w:ascii="宋体" w:hAnsi="宋体" w:eastAsia="宋体" w:cs="宋体"/>
                <w:b w:val="0"/>
                <w:bCs w:val="0"/>
                <w:color w:val="auto"/>
                <w:sz w:val="24"/>
                <w:szCs w:val="24"/>
                <w:vertAlign w:val="baseline"/>
                <w:lang w:val="en-US" w:eastAsia="zh-CN"/>
              </w:rPr>
            </w:pPr>
          </w:p>
        </w:tc>
        <w:tc>
          <w:tcPr>
            <w:tcW w:w="5918" w:type="dxa"/>
            <w:noWrap w:val="0"/>
            <w:vAlign w:val="top"/>
          </w:tcPr>
          <w:p w14:paraId="41392BA4">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6.2.3 运输方式里面除了锂电池和铅酸电池的运输方式要求，缺少其他类型电池运输方式</w:t>
            </w:r>
          </w:p>
        </w:tc>
      </w:tr>
      <w:tr w14:paraId="30FC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6D3EB876">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9</w:t>
            </w:r>
          </w:p>
        </w:tc>
        <w:tc>
          <w:tcPr>
            <w:tcW w:w="2125" w:type="dxa"/>
            <w:vMerge w:val="continue"/>
            <w:noWrap w:val="0"/>
            <w:vAlign w:val="center"/>
          </w:tcPr>
          <w:p w14:paraId="3A17868D">
            <w:pPr>
              <w:ind w:left="0" w:leftChars="0" w:firstLine="0" w:firstLineChars="0"/>
              <w:jc w:val="center"/>
              <w:rPr>
                <w:rFonts w:hint="eastAsia" w:ascii="宋体" w:hAnsi="宋体" w:eastAsia="宋体" w:cs="宋体"/>
                <w:b w:val="0"/>
                <w:bCs w:val="0"/>
                <w:color w:val="auto"/>
                <w:sz w:val="24"/>
                <w:szCs w:val="24"/>
                <w:vertAlign w:val="baseline"/>
                <w:lang w:val="en-US" w:eastAsia="zh-CN"/>
              </w:rPr>
            </w:pPr>
          </w:p>
        </w:tc>
        <w:tc>
          <w:tcPr>
            <w:tcW w:w="5918" w:type="dxa"/>
            <w:noWrap w:val="0"/>
            <w:vAlign w:val="top"/>
          </w:tcPr>
          <w:p w14:paraId="697FEB12">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6.3.3 贮存设施里面铅酸电池的要求删除没有依据</w:t>
            </w:r>
          </w:p>
        </w:tc>
      </w:tr>
      <w:tr w14:paraId="4659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4A5DDF6D">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10</w:t>
            </w:r>
          </w:p>
        </w:tc>
        <w:tc>
          <w:tcPr>
            <w:tcW w:w="2125" w:type="dxa"/>
            <w:noWrap w:val="0"/>
            <w:vAlign w:val="center"/>
          </w:tcPr>
          <w:p w14:paraId="2616D754">
            <w:pPr>
              <w:ind w:left="0" w:leftChars="0" w:firstLine="0" w:firstLineChars="0"/>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总篇</w:t>
            </w:r>
          </w:p>
        </w:tc>
        <w:tc>
          <w:tcPr>
            <w:tcW w:w="5918" w:type="dxa"/>
            <w:noWrap w:val="0"/>
            <w:vAlign w:val="top"/>
          </w:tcPr>
          <w:p w14:paraId="4CFB6701">
            <w:pPr>
              <w:ind w:left="0" w:leftChars="0" w:firstLine="0" w:firstLineChars="0"/>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除了锂电池是ABC类分类，其他电池的分类依据没有</w:t>
            </w:r>
          </w:p>
        </w:tc>
      </w:tr>
    </w:tbl>
    <w:p w14:paraId="57D153E1">
      <w:pPr>
        <w:ind w:firstLine="420" w:firstLineChars="20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1.4.3.2第二次工作会议</w:t>
      </w:r>
    </w:p>
    <w:p w14:paraId="61F8EA09">
      <w:pPr>
        <w:pStyle w:val="5"/>
        <w:ind w:left="0" w:leftChars="0" w:firstLine="0" w:firstLineChars="0"/>
        <w:rPr>
          <w:rFonts w:hint="eastAsia" w:ascii="宋体" w:hAnsi="宋体" w:eastAsia="宋体" w:cs="宋体"/>
          <w:color w:val="auto"/>
          <w:kern w:val="0"/>
          <w:sz w:val="21"/>
          <w:szCs w:val="21"/>
          <w:lang w:val="en-US" w:eastAsia="zh-CN" w:bidi="ar-SA"/>
        </w:rPr>
      </w:pPr>
    </w:p>
    <w:p w14:paraId="19FE4EA7">
      <w:pPr>
        <w:pStyle w:val="5"/>
        <w:rPr>
          <w:rFonts w:hint="default" w:ascii="Times New Roman" w:hAnsi="Times New Roman" w:eastAsia="黑体" w:cs="Times New Roman"/>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1.4.4</w:t>
      </w:r>
      <w:r>
        <w:rPr>
          <w:rFonts w:hint="default" w:ascii="Times New Roman" w:hAnsi="Times New Roman" w:eastAsia="黑体" w:cs="Times New Roman"/>
          <w:color w:val="auto"/>
          <w:kern w:val="0"/>
          <w:sz w:val="21"/>
          <w:szCs w:val="21"/>
          <w:lang w:val="en-US" w:eastAsia="zh-CN" w:bidi="ar-SA"/>
        </w:rPr>
        <w:t>征求意见阶段</w:t>
      </w:r>
    </w:p>
    <w:p w14:paraId="15BA4D34">
      <w:pPr>
        <w:pStyle w:val="5"/>
        <w:ind w:left="0" w:leftChars="0" w:firstLine="0" w:firstLineChars="0"/>
        <w:rPr>
          <w:rFonts w:hint="eastAsia" w:ascii="宋体" w:hAnsi="宋体" w:eastAsia="宋体" w:cs="宋体"/>
          <w:color w:val="auto"/>
          <w:kern w:val="0"/>
          <w:sz w:val="21"/>
          <w:szCs w:val="21"/>
          <w:lang w:val="en-US" w:eastAsia="zh-CN" w:bidi="ar-SA"/>
        </w:rPr>
      </w:pPr>
    </w:p>
    <w:p w14:paraId="7A37DEB6">
      <w:pPr>
        <w:pStyle w:val="5"/>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1.4.5审查阶段</w:t>
      </w:r>
    </w:p>
    <w:p w14:paraId="7F4778C2">
      <w:pPr>
        <w:pStyle w:val="5"/>
        <w:ind w:left="0" w:leftChars="0" w:firstLine="0" w:firstLineChars="0"/>
        <w:rPr>
          <w:rFonts w:hint="eastAsia" w:ascii="宋体" w:hAnsi="宋体" w:eastAsia="宋体" w:cs="宋体"/>
          <w:color w:val="auto"/>
          <w:kern w:val="0"/>
          <w:sz w:val="21"/>
          <w:szCs w:val="21"/>
          <w:lang w:val="en-US" w:eastAsia="zh-CN" w:bidi="ar-SA"/>
        </w:rPr>
      </w:pPr>
    </w:p>
    <w:p w14:paraId="2CE06201">
      <w:pPr>
        <w:pStyle w:val="5"/>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1.4.6报批阶段</w:t>
      </w:r>
    </w:p>
    <w:p w14:paraId="226DC9F4">
      <w:pPr>
        <w:pStyle w:val="5"/>
        <w:ind w:left="0" w:leftChars="0" w:firstLine="0" w:firstLineChars="0"/>
        <w:rPr>
          <w:rFonts w:hint="eastAsia" w:ascii="宋体" w:hAnsi="宋体" w:eastAsia="宋体" w:cs="宋体"/>
          <w:color w:val="auto"/>
          <w:kern w:val="0"/>
          <w:sz w:val="21"/>
          <w:szCs w:val="21"/>
          <w:lang w:val="en-US" w:eastAsia="zh-CN" w:bidi="ar-SA"/>
        </w:rPr>
      </w:pPr>
    </w:p>
    <w:p w14:paraId="48443F27">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rPr>
        <w:t>二、编制原则</w:t>
      </w:r>
      <w:r>
        <w:rPr>
          <w:rFonts w:hint="eastAsia" w:ascii="黑体" w:eastAsia="黑体" w:cs="Arial"/>
          <w:color w:val="auto"/>
          <w:sz w:val="21"/>
          <w:szCs w:val="21"/>
          <w:lang w:eastAsia="zh-CN"/>
        </w:rPr>
        <w:t>、</w:t>
      </w:r>
      <w:r>
        <w:rPr>
          <w:rFonts w:hint="eastAsia" w:ascii="黑体" w:eastAsia="黑体" w:cs="Arial"/>
          <w:color w:val="auto"/>
          <w:sz w:val="21"/>
          <w:szCs w:val="21"/>
          <w:lang w:val="en-US" w:eastAsia="zh-CN"/>
        </w:rPr>
        <w:t>主要内容及其确定依据、修订前后技术内容的对比</w:t>
      </w:r>
    </w:p>
    <w:p w14:paraId="21ADD288">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bookmarkStart w:id="1" w:name="OLE_LINK7"/>
      <w:r>
        <w:rPr>
          <w:rFonts w:hint="eastAsia" w:ascii="黑体" w:eastAsia="黑体" w:cs="Arial"/>
          <w:color w:val="auto"/>
          <w:sz w:val="21"/>
          <w:szCs w:val="21"/>
          <w:lang w:val="en-US" w:eastAsia="zh-CN"/>
        </w:rPr>
        <w:t>1、编制原则</w:t>
      </w:r>
    </w:p>
    <w:p w14:paraId="61966FC7">
      <w:pPr>
        <w:pStyle w:val="5"/>
        <w:bidi w:val="0"/>
        <w:rPr>
          <w:rFonts w:hint="eastAsia"/>
          <w:color w:val="auto"/>
          <w:lang w:val="en-US" w:eastAsia="zh-CN"/>
        </w:rPr>
      </w:pPr>
      <w:r>
        <w:rPr>
          <w:rFonts w:hint="eastAsia"/>
          <w:color w:val="auto"/>
          <w:lang w:val="en-US" w:eastAsia="zh-CN"/>
        </w:rPr>
        <w:t>本标准修订严格遵循《中华人民共和国标准化法》《国家标准管理办法》要求，按照</w:t>
      </w:r>
      <w:r>
        <w:rPr>
          <w:rFonts w:hint="default" w:ascii="Times New Roman" w:hAnsi="Times New Roman" w:eastAsia="宋体" w:cs="Times New Roman"/>
          <w:color w:val="auto"/>
          <w:lang w:val="en-US" w:eastAsia="zh-CN"/>
        </w:rPr>
        <w:t>GB/T 1.1-2020《标准化工作导则 第1</w:t>
      </w:r>
      <w:r>
        <w:rPr>
          <w:rFonts w:hint="eastAsia"/>
          <w:color w:val="auto"/>
          <w:lang w:val="en-US" w:eastAsia="zh-CN"/>
        </w:rPr>
        <w:t>部分：标准化文件的结构和起草规则》编制，紧扣电池废料贮运环节的安全风险属性与产业实操需求，坚持以下原则：</w:t>
      </w:r>
    </w:p>
    <w:p w14:paraId="556DEA37">
      <w:pPr>
        <w:pStyle w:val="5"/>
        <w:bidi w:val="0"/>
        <w:rPr>
          <w:rFonts w:hint="eastAsia"/>
          <w:b w:val="0"/>
          <w:bCs w:val="0"/>
          <w:color w:val="auto"/>
          <w:lang w:val="en-US" w:eastAsia="zh-CN"/>
        </w:rPr>
      </w:pPr>
      <w:r>
        <w:rPr>
          <w:rFonts w:hint="eastAsia"/>
          <w:b w:val="0"/>
          <w:bCs w:val="0"/>
          <w:color w:val="auto"/>
          <w:lang w:val="en-US" w:eastAsia="zh-CN"/>
        </w:rPr>
        <w:t>（一）安全优先，风险防控</w:t>
      </w:r>
    </w:p>
    <w:p w14:paraId="2C4FE52B">
      <w:pPr>
        <w:pStyle w:val="5"/>
        <w:bidi w:val="0"/>
        <w:rPr>
          <w:rFonts w:hint="eastAsia"/>
          <w:color w:val="auto"/>
          <w:lang w:val="en-US" w:eastAsia="zh-CN"/>
        </w:rPr>
      </w:pPr>
      <w:r>
        <w:rPr>
          <w:rFonts w:hint="eastAsia"/>
          <w:color w:val="auto"/>
          <w:lang w:val="en-US" w:eastAsia="zh-CN"/>
        </w:rPr>
        <w:t>将安全管控作为标准修订的核心底线，针对锂离子电池等新型废料的热失控、电解液腐蚀、短路起火等高风险特性，强化贮存、运输全流程的安全防护要求，建立风险分级管控机制，从标准层面防范重特大安全事故，保障从业人员与公共安全。</w:t>
      </w:r>
    </w:p>
    <w:p w14:paraId="3DBBD3BA">
      <w:pPr>
        <w:pStyle w:val="5"/>
        <w:bidi w:val="0"/>
        <w:rPr>
          <w:rFonts w:hint="eastAsia"/>
          <w:b w:val="0"/>
          <w:bCs w:val="0"/>
          <w:color w:val="auto"/>
          <w:lang w:val="en-US" w:eastAsia="zh-CN"/>
        </w:rPr>
      </w:pPr>
      <w:r>
        <w:rPr>
          <w:rFonts w:hint="eastAsia"/>
          <w:b w:val="0"/>
          <w:bCs w:val="0"/>
          <w:color w:val="auto"/>
          <w:lang w:val="en-US" w:eastAsia="zh-CN"/>
        </w:rPr>
        <w:t>（二）依法依规，政策衔接</w:t>
      </w:r>
    </w:p>
    <w:p w14:paraId="67513E53">
      <w:pPr>
        <w:pStyle w:val="5"/>
        <w:bidi w:val="0"/>
        <w:rPr>
          <w:rFonts w:hint="eastAsia"/>
          <w:color w:val="auto"/>
          <w:lang w:val="en-US" w:eastAsia="zh-CN"/>
        </w:rPr>
      </w:pPr>
      <w:r>
        <w:rPr>
          <w:rFonts w:hint="eastAsia"/>
          <w:color w:val="auto"/>
          <w:lang w:val="en-US" w:eastAsia="zh-CN"/>
        </w:rPr>
        <w:t>严格对接《中华人民共和国固体废物污染环境防治法》《中华人民共和国安全生产法》《危险货物道路运输安全管理办法》《新能源汽车动力蓄电池回收利用管理暂行办法》等法律法规与监管要求，将贮存场所建设、运输资质、污染防控、应急管理等法定要求转化为可落地的技术条款，支撑政策落地与监管执法。</w:t>
      </w:r>
    </w:p>
    <w:p w14:paraId="571A61AB">
      <w:pPr>
        <w:pStyle w:val="5"/>
        <w:bidi w:val="0"/>
        <w:rPr>
          <w:rFonts w:hint="eastAsia"/>
          <w:color w:val="auto"/>
          <w:lang w:val="en-US" w:eastAsia="zh-CN"/>
        </w:rPr>
      </w:pPr>
      <w:r>
        <w:rPr>
          <w:rFonts w:hint="eastAsia"/>
          <w:b w:val="0"/>
          <w:bCs w:val="0"/>
          <w:color w:val="auto"/>
          <w:lang w:val="en-US" w:eastAsia="zh-CN"/>
        </w:rPr>
        <w:t>（三）分类施策，精准管控</w:t>
      </w:r>
    </w:p>
    <w:p w14:paraId="16C46A0D">
      <w:pPr>
        <w:pStyle w:val="5"/>
        <w:bidi w:val="0"/>
        <w:rPr>
          <w:rFonts w:hint="eastAsia"/>
          <w:color w:val="auto"/>
          <w:lang w:val="en-US" w:eastAsia="zh-CN"/>
        </w:rPr>
      </w:pPr>
      <w:r>
        <w:rPr>
          <w:rFonts w:hint="eastAsia"/>
          <w:color w:val="auto"/>
          <w:lang w:val="en-US" w:eastAsia="zh-CN"/>
        </w:rPr>
        <w:t>摒弃“一刀切”的管控模式，按电池体系、风险等级、物理形态建立差异化贮运规则：对高风险的带电电芯、模组废料执行最严管控，对低风险的极片粉料、金属外壳废料适度简化要求，实现风险与管控强度相匹配，兼顾安全性与经济可行性。</w:t>
      </w:r>
    </w:p>
    <w:p w14:paraId="3E2AEF01">
      <w:pPr>
        <w:pStyle w:val="5"/>
        <w:bidi w:val="0"/>
        <w:rPr>
          <w:rFonts w:hint="eastAsia"/>
          <w:b w:val="0"/>
          <w:bCs w:val="0"/>
          <w:color w:val="auto"/>
          <w:lang w:val="en-US" w:eastAsia="zh-CN"/>
        </w:rPr>
      </w:pPr>
      <w:r>
        <w:rPr>
          <w:rFonts w:hint="eastAsia"/>
          <w:b w:val="0"/>
          <w:bCs w:val="0"/>
          <w:color w:val="auto"/>
          <w:lang w:val="en-US" w:eastAsia="zh-CN"/>
        </w:rPr>
        <w:t>（四）体系协同，口径统一</w:t>
      </w:r>
    </w:p>
    <w:p w14:paraId="5952D295">
      <w:pPr>
        <w:pStyle w:val="5"/>
        <w:bidi w:val="0"/>
        <w:rPr>
          <w:rFonts w:hint="eastAsia"/>
          <w:color w:val="auto"/>
          <w:lang w:val="en-US" w:eastAsia="zh-CN"/>
        </w:rPr>
      </w:pPr>
      <w:r>
        <w:rPr>
          <w:rFonts w:hint="eastAsia"/>
          <w:color w:val="auto"/>
          <w:lang w:val="en-US" w:eastAsia="zh-CN"/>
        </w:rPr>
        <w:t>充分衔接</w:t>
      </w:r>
      <w:r>
        <w:rPr>
          <w:rFonts w:hint="default" w:ascii="Times New Roman" w:hAnsi="Times New Roman" w:cs="Times New Roman"/>
          <w:color w:val="auto"/>
          <w:lang w:val="en-US" w:eastAsia="zh-CN"/>
        </w:rPr>
        <w:t>GB/T 26932</w:t>
      </w:r>
      <w:r>
        <w:rPr>
          <w:rFonts w:hint="eastAsia" w:ascii="Times New Roman" w:hAnsi="Times New Roman" w:cs="Times New Roman"/>
          <w:color w:val="auto"/>
          <w:lang w:val="en-US" w:eastAsia="zh-CN"/>
        </w:rPr>
        <w:t>-2011</w:t>
      </w:r>
      <w:r>
        <w:rPr>
          <w:rFonts w:hint="default" w:ascii="Times New Roman" w:hAnsi="Times New Roman" w:cs="Times New Roman"/>
          <w:color w:val="auto"/>
          <w:lang w:val="en-US" w:eastAsia="zh-CN"/>
        </w:rPr>
        <w:t>《充电电池废料废件》、GB/T 39224</w:t>
      </w:r>
      <w:r>
        <w:rPr>
          <w:rFonts w:hint="eastAsia" w:ascii="Times New Roman" w:hAnsi="Times New Roman" w:cs="Times New Roman"/>
          <w:color w:val="auto"/>
          <w:lang w:val="en-US" w:eastAsia="zh-CN"/>
        </w:rPr>
        <w:t>-2020</w:t>
      </w:r>
      <w:r>
        <w:rPr>
          <w:rFonts w:hint="default" w:ascii="Times New Roman" w:hAnsi="Times New Roman" w:cs="Times New Roman"/>
          <w:color w:val="auto"/>
          <w:lang w:val="en-US" w:eastAsia="zh-CN"/>
        </w:rPr>
        <w:t>《废旧电池回收技术规范》、GB/T 33598</w:t>
      </w:r>
      <w:r>
        <w:rPr>
          <w:rFonts w:hint="eastAsia"/>
          <w:color w:val="auto"/>
          <w:lang w:val="en-US" w:eastAsia="zh-CN"/>
        </w:rPr>
        <w:t>系列《车用动力电池回收利用》标准，在术语定义、分类口径、包装标志、溯源编码等方面保持一致，打通“产生—回收—贮运—利用”全链条标准衔接，避免标准交叉矛盾。</w:t>
      </w:r>
    </w:p>
    <w:p w14:paraId="0E71625A">
      <w:pPr>
        <w:pStyle w:val="5"/>
        <w:bidi w:val="0"/>
        <w:rPr>
          <w:rFonts w:hint="eastAsia"/>
          <w:b w:val="0"/>
          <w:bCs w:val="0"/>
          <w:color w:val="auto"/>
          <w:lang w:val="en-US" w:eastAsia="zh-CN"/>
        </w:rPr>
      </w:pPr>
      <w:r>
        <w:rPr>
          <w:rFonts w:hint="eastAsia"/>
          <w:b w:val="0"/>
          <w:bCs w:val="0"/>
          <w:color w:val="auto"/>
          <w:lang w:val="en-US" w:eastAsia="zh-CN"/>
        </w:rPr>
        <w:t>（五）立足产业，科学适用</w:t>
      </w:r>
    </w:p>
    <w:p w14:paraId="2E59A76E">
      <w:pPr>
        <w:pStyle w:val="5"/>
        <w:bidi w:val="0"/>
        <w:rPr>
          <w:rFonts w:hint="eastAsia"/>
          <w:color w:val="auto"/>
          <w:lang w:val="en-US" w:eastAsia="zh-CN"/>
        </w:rPr>
      </w:pPr>
      <w:r>
        <w:rPr>
          <w:rFonts w:hint="eastAsia"/>
          <w:color w:val="auto"/>
          <w:lang w:val="en-US" w:eastAsia="zh-CN"/>
        </w:rPr>
        <w:t>以我国电池废料回收物流产业的实际运营水平、设施条件、技术能力为基础，充分吸纳头部企业、专业物流仓储机构的成熟实操经验，确保各项条款可落地、易执行，不脱离产业现实设定过高门槛，同时引导行业规范化升级。</w:t>
      </w:r>
    </w:p>
    <w:p w14:paraId="52D41BC1">
      <w:pPr>
        <w:pStyle w:val="5"/>
        <w:bidi w:val="0"/>
        <w:rPr>
          <w:rFonts w:hint="eastAsia"/>
          <w:b w:val="0"/>
          <w:bCs w:val="0"/>
          <w:color w:val="auto"/>
          <w:lang w:val="en-US" w:eastAsia="zh-CN"/>
        </w:rPr>
      </w:pPr>
      <w:r>
        <w:rPr>
          <w:rFonts w:hint="eastAsia"/>
          <w:b w:val="0"/>
          <w:bCs w:val="0"/>
          <w:color w:val="auto"/>
          <w:lang w:val="en-US" w:eastAsia="zh-CN"/>
        </w:rPr>
        <w:t>（六）适度前瞻，兼容创新</w:t>
      </w:r>
    </w:p>
    <w:p w14:paraId="4D00174E">
      <w:pPr>
        <w:pStyle w:val="5"/>
        <w:bidi w:val="0"/>
        <w:rPr>
          <w:rFonts w:hint="eastAsia"/>
          <w:color w:val="auto"/>
          <w:lang w:val="en-US" w:eastAsia="zh-CN"/>
        </w:rPr>
      </w:pPr>
      <w:r>
        <w:rPr>
          <w:rFonts w:hint="eastAsia"/>
          <w:color w:val="auto"/>
          <w:lang w:val="en-US" w:eastAsia="zh-CN"/>
        </w:rPr>
        <w:t>在立足当前主流品类的基础上，为钠离子电池、半固态电池等新型电池废料预留管控接口，兼顾未来电池技术迭代带来的贮运新需求，延长标准生命周期，支撑产业技术创新与持续发展。</w:t>
      </w:r>
    </w:p>
    <w:bookmarkEnd w:id="1"/>
    <w:p w14:paraId="21AE4BB3">
      <w:pPr>
        <w:pStyle w:val="10"/>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14:paraId="201F4BF5">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标准名称：由电池废料贮运规范修改为电池废料的标志、包装、运输和贮存。</w:t>
      </w:r>
    </w:p>
    <w:p w14:paraId="20D3EB79">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范围：本文件规定了电池废料的分类与风险分级、贮存要求、运输要求。本文件适用于铅酸蓄电池、镍氢电池、锂离子电池、钠离子电池等充电电池及一次电池在生产、使用、报废过程中产生的废料废件的贮存与运输活动。</w:t>
      </w:r>
    </w:p>
    <w:p w14:paraId="59A1842B">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eastAsia" w:ascii="宋体" w:hAnsi="宋体" w:cs="宋体"/>
          <w:color w:val="auto"/>
          <w:sz w:val="21"/>
          <w:szCs w:val="21"/>
          <w:lang w:val="en-US" w:eastAsia="zh-CN"/>
        </w:rPr>
        <w:t>新增</w:t>
      </w:r>
      <w:r>
        <w:rPr>
          <w:rFonts w:hint="eastAsia" w:ascii="宋体" w:hAnsi="宋体" w:eastAsia="宋体" w:cs="宋体"/>
          <w:color w:val="auto"/>
          <w:sz w:val="21"/>
          <w:szCs w:val="21"/>
          <w:lang w:val="en-US" w:eastAsia="zh-CN"/>
        </w:rPr>
        <w:t>分类维度（电池体系、物理形态）</w:t>
      </w:r>
      <w:r>
        <w:rPr>
          <w:rFonts w:hint="eastAsia" w:ascii="宋体" w:hAnsi="宋体" w:cs="宋体"/>
          <w:color w:val="auto"/>
          <w:sz w:val="21"/>
          <w:szCs w:val="21"/>
          <w:lang w:val="en-US" w:eastAsia="zh-CN"/>
        </w:rPr>
        <w:t>：电池体系分类与</w:t>
      </w:r>
      <w:r>
        <w:rPr>
          <w:rFonts w:hint="default" w:ascii="Times New Roman" w:hAnsi="Times New Roman" w:cs="Times New Roman"/>
          <w:color w:val="auto"/>
          <w:sz w:val="21"/>
          <w:szCs w:val="21"/>
          <w:lang w:val="en-US" w:eastAsia="zh-CN"/>
        </w:rPr>
        <w:t>GB/T 39224-2020《废旧电池回收技术规范》的品类划分口径保持完全一致，实现上下游标准术语统一、分类协同；新增钠离子电池品类，契合我国新型储能电池产业化发展趋势，体现标准前瞻性。物理形态分类匹配 GB/T 33598-2017《车用动力电池回收利用 拆解规范》的产物形态划分，契合回收物流、仓储分拣的实操作业逻辑，对应不同形态的包装、堆码、防渗差异化管控需求。</w:t>
      </w:r>
    </w:p>
    <w:p w14:paraId="2B6DB4E8">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风险分级规则</w:t>
      </w:r>
      <w:r>
        <w:rPr>
          <w:rFonts w:hint="eastAsia" w:ascii="宋体" w:hAnsi="宋体" w:cs="宋体"/>
          <w:color w:val="auto"/>
          <w:sz w:val="21"/>
          <w:szCs w:val="21"/>
          <w:lang w:val="en-US" w:eastAsia="zh-CN"/>
        </w:rPr>
        <w:t>：分级制度核心依据《中华人民共和国安全生产法》中安全风险分级管控的法定要求，参照</w:t>
      </w:r>
      <w:r>
        <w:rPr>
          <w:rFonts w:hint="default" w:ascii="Times New Roman" w:hAnsi="Times New Roman" w:cs="Times New Roman"/>
          <w:color w:val="auto"/>
          <w:sz w:val="21"/>
          <w:szCs w:val="21"/>
          <w:lang w:val="en-US" w:eastAsia="zh-CN"/>
        </w:rPr>
        <w:t xml:space="preserve"> GB 6944-2012</w:t>
      </w:r>
      <w:r>
        <w:rPr>
          <w:rFonts w:hint="eastAsia" w:ascii="宋体" w:hAnsi="宋体" w:cs="宋体"/>
          <w:color w:val="auto"/>
          <w:sz w:val="21"/>
          <w:szCs w:val="21"/>
          <w:lang w:val="en-US" w:eastAsia="zh-CN"/>
        </w:rPr>
        <w:t xml:space="preserve">《危险货物分类和品名编号》的危险特性分类逻辑，结合电池废料燃爆、腐蚀、毒性的风险差异划分等级。三级风险划分理念参考 </w:t>
      </w:r>
      <w:r>
        <w:rPr>
          <w:rFonts w:hint="default" w:ascii="Times New Roman" w:hAnsi="Times New Roman" w:cs="Times New Roman"/>
          <w:color w:val="auto"/>
          <w:sz w:val="21"/>
          <w:szCs w:val="21"/>
          <w:lang w:val="en-US" w:eastAsia="zh-CN"/>
        </w:rPr>
        <w:t>AQ 7017-2025《锂离子电池生产安全规范》中电池存储风险分级思路，同时衔接HJ 2025-2012《危险废物收集 贮存 运输技术规范》的废物分级管控原则，实现管控强度与风险等级精准匹配</w:t>
      </w:r>
      <w:r>
        <w:rPr>
          <w:rFonts w:hint="eastAsia" w:ascii="宋体" w:hAnsi="宋体" w:cs="宋体"/>
          <w:color w:val="auto"/>
          <w:sz w:val="21"/>
          <w:szCs w:val="21"/>
          <w:lang w:val="en-US" w:eastAsia="zh-CN"/>
        </w:rPr>
        <w:t>，兼顾安全底线与产业经济可行性。</w:t>
      </w:r>
      <w:r>
        <w:rPr>
          <w:rFonts w:hint="default" w:ascii="Times New Roman" w:hAnsi="Times New Roman" w:cs="Times New Roman"/>
          <w:color w:val="auto"/>
          <w:sz w:val="21"/>
          <w:szCs w:val="21"/>
          <w:lang w:val="en-US" w:eastAsia="zh-CN"/>
        </w:rPr>
        <w:t>附录A风险等级对照表：结合《国家危险废物名录》的废物属性判定，参考 UN 3480/3481等国际危险货物分类规则，同时吸纳国内头部回收、物流企业的内部管控标准，确保分级结果符</w:t>
      </w:r>
      <w:r>
        <w:rPr>
          <w:rFonts w:hint="eastAsia" w:ascii="宋体" w:hAnsi="宋体" w:cs="宋体"/>
          <w:color w:val="auto"/>
          <w:sz w:val="21"/>
          <w:szCs w:val="21"/>
          <w:lang w:val="en-US" w:eastAsia="zh-CN"/>
        </w:rPr>
        <w:t>合行业普遍认知。</w:t>
      </w:r>
    </w:p>
    <w:p w14:paraId="4BA96CBA">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通用贮存要求</w:t>
      </w:r>
      <w:r>
        <w:rPr>
          <w:rFonts w:hint="eastAsia" w:ascii="宋体" w:hAnsi="宋体" w:cs="宋体"/>
          <w:color w:val="auto"/>
          <w:sz w:val="21"/>
          <w:szCs w:val="21"/>
          <w:lang w:val="en-US" w:eastAsia="zh-CN"/>
        </w:rPr>
        <w:t>：建筑防火与消防设施选址、耐火等级、防火分区、防火间距等强制遵</w:t>
      </w:r>
      <w:r>
        <w:rPr>
          <w:rFonts w:hint="default" w:ascii="Times New Roman" w:hAnsi="Times New Roman" w:cs="Times New Roman"/>
          <w:color w:val="auto"/>
          <w:sz w:val="21"/>
          <w:szCs w:val="21"/>
          <w:lang w:val="en-US" w:eastAsia="zh-CN"/>
        </w:rPr>
        <w:t xml:space="preserve">循 </w:t>
      </w:r>
      <w:r>
        <w:rPr>
          <w:rFonts w:hint="default" w:ascii="Times New Roman" w:hAnsi="Times New Roman" w:eastAsia="宋体" w:cs="Times New Roman"/>
          <w:color w:val="auto"/>
          <w:sz w:val="21"/>
          <w:szCs w:val="21"/>
          <w:lang w:val="en-US" w:eastAsia="zh-CN"/>
        </w:rPr>
        <w:t>GB 50016-2014（2018 年版）《建筑设计防火规范》，同时符合 GB 55037-2022《建筑防火通用规范》全文强制性底线要求；灭火器配置执行 GB 50140-2005《建筑灭火器配置设计规范》，是所有仓储建筑的通用强制依据。防渗与污染防控：高风险、中风险区域防渗与废液收集要求，依据 GB 18597-2023《危险废物贮存污染控制标准》；低风险一般工业废料执行 GB 18599-2020《一般工业固体废物贮存和填埋污染控制标准》，均为强制性国家标准。分区存放与禁混要求：依据《中华人民共和国固体废物污染环境防治法》中分类收集、分类贮存的法定要求，同时衔接 HJ 2025-2012《危险废物收集 贮存 运输技术规范》中危险废物分区隔离贮存规定。各类标志设置：安全标志执行GB 2894-2025《安全色和安全标志》，环保图形标志执行 GB 15562.2-1995《环境保护图形标志 固体废物贮存（处置）场》，消防安全标志执行GB 13495.3-2026《消防安全标志 第3部分：设置要求》 。</w:t>
      </w:r>
    </w:p>
    <w:p w14:paraId="2AA525FE">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分场景贮存要求</w:t>
      </w:r>
      <w:r>
        <w:rPr>
          <w:rFonts w:hint="eastAsia" w:ascii="宋体" w:hAnsi="宋体" w:cs="宋体"/>
          <w:color w:val="auto"/>
          <w:sz w:val="21"/>
          <w:szCs w:val="21"/>
          <w:lang w:val="en-US" w:eastAsia="zh-CN"/>
        </w:rPr>
        <w:t>：收集点暂存</w:t>
      </w:r>
      <w:r>
        <w:rPr>
          <w:rFonts w:hint="default" w:ascii="Times New Roman" w:hAnsi="Times New Roman" w:cs="Times New Roman"/>
          <w:color w:val="auto"/>
          <w:sz w:val="21"/>
          <w:szCs w:val="21"/>
          <w:lang w:val="en-US" w:eastAsia="zh-CN"/>
        </w:rPr>
        <w:t>（容量≤1m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、存放≤7 天）直接依据工信部《新能源汽车动力蓄电池回收服务网点建设和运营指南》及 GB/T 38698.2-2023《车用动力电池回收利用 管理规范 第 2 部分：回收服务网点》中的暂存规模与时限要求，匹配末端回收网点场地小、周转快的实际运营条件。中转仓库管控防火分隔、温湿度与可燃气体监测、日常巡检制度，参考 GB/T 38698.2-2023《车用动力电池回收利用 管理规范 第 2 部分：回收服务网点》 中集中贮存型网点的技术要求，同时衔接 AQ 7017-2025《锂离子电池生产安全规范》 中电池仓库的管控标准；堆码高度、垛间距、通道宽度依据 GB 50016-2006《建筑设计防火规范》 中仓库堆垛防火间距要求，并参考 DB4403/T 508-2024《生产经营单位锂离子电池存储使用安全规范》 等地方锂电仓储规范的实操参数。长期贮存要求贮存周期≤90 天参考危险废物贮存管理规范及再生行业原料周转惯例，避免高风险废料长期积压放大安全隐患；应急预案与演练要求依据《生产安全事故应急预案管理办法》相关规定</w:t>
      </w:r>
      <w:r>
        <w:rPr>
          <w:rFonts w:hint="eastAsia" w:ascii="宋体" w:hAnsi="宋体" w:cs="宋体"/>
          <w:color w:val="auto"/>
          <w:sz w:val="21"/>
          <w:szCs w:val="21"/>
          <w:lang w:val="en-US" w:eastAsia="zh-CN"/>
        </w:rPr>
        <w:t>。</w:t>
      </w:r>
    </w:p>
    <w:p w14:paraId="5F79CDAA">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锂</w:t>
      </w:r>
      <w:r>
        <w:rPr>
          <w:rFonts w:hint="default" w:ascii="Times New Roman" w:hAnsi="Times New Roman" w:eastAsia="宋体" w:cs="Times New Roman"/>
          <w:color w:val="auto"/>
          <w:sz w:val="21"/>
          <w:szCs w:val="21"/>
          <w:lang w:val="en-US" w:eastAsia="zh-CN"/>
        </w:rPr>
        <w:t>离子电池废料专项贮存要求</w:t>
      </w:r>
      <w:r>
        <w:rPr>
          <w:rFonts w:hint="default" w:ascii="Times New Roman" w:hAnsi="Times New Roman" w:cs="Times New Roman"/>
          <w:color w:val="auto"/>
          <w:sz w:val="21"/>
          <w:szCs w:val="21"/>
          <w:lang w:val="en-US" w:eastAsia="zh-CN"/>
        </w:rPr>
        <w:t>：外观异常物料隔离存放：参考 AQ 7017-2025《锂离子电池生产安全规范》中不合格电池管控要求，以及国家消防救援局锂离子电池消防安全管理指引。残余电压与放电要求衔接 GB/T 33598.3-2021《车用动力电池回收利用 再生利用 第 3 部分：放电规范》的安全阈值，与质量标准保持统一。贮存温度区间</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10℃～40℃参考 GB/T 38698.2-2023《车用动力电池回收利用 管理规范 第2部分：回收服务网点》中贮存温湿度管控要求，匹配锂电废料热失控触发温度阈值；禁止堆叠挤压、抛扔物料参考地方锂电存储规范与行业通用操作守则</w:t>
      </w:r>
      <w:r>
        <w:rPr>
          <w:rFonts w:hint="eastAsia" w:ascii="宋体" w:hAnsi="宋体" w:cs="宋体"/>
          <w:color w:val="auto"/>
          <w:sz w:val="21"/>
          <w:szCs w:val="21"/>
          <w:lang w:val="en-US" w:eastAsia="zh-CN"/>
        </w:rPr>
        <w:t>。</w:t>
      </w:r>
    </w:p>
    <w:p w14:paraId="2AAC2AB8">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通用运输要求</w:t>
      </w:r>
      <w:r>
        <w:rPr>
          <w:rFonts w:hint="default" w:ascii="Times New Roman" w:hAnsi="Times New Roman" w:cs="Times New Roman"/>
          <w:color w:val="auto"/>
          <w:sz w:val="21"/>
          <w:szCs w:val="21"/>
          <w:lang w:val="en-US" w:eastAsia="zh-CN"/>
        </w:rPr>
        <w:t>：危险货物运输管理核心依据《危险货物道路运输安全管理办法》及 JT/T 617《危险货物道路运输规则》系列标准，经鉴别属于危险货物的电池废料强制适用。分类运输、禁止混装要求依据《中华人民共和国道路交通安全法》《中华人民共和国固体废物污染环境防治法》的法定要求，同时衔接 HJ 2025-2012《危险废物收集 贮存 运输技术规范》中危险废物分类运输规定。</w:t>
      </w:r>
    </w:p>
    <w:p w14:paraId="2A9037D5">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车辆技术要求</w:t>
      </w:r>
      <w:r>
        <w:rPr>
          <w:rFonts w:hint="eastAsia" w:ascii="宋体" w:hAnsi="宋体" w:cs="宋体"/>
          <w:color w:val="auto"/>
          <w:sz w:val="21"/>
          <w:szCs w:val="21"/>
          <w:lang w:val="en-US" w:eastAsia="zh-CN"/>
        </w:rPr>
        <w:t>：</w:t>
      </w:r>
      <w:r>
        <w:rPr>
          <w:rFonts w:hint="default" w:ascii="Times New Roman" w:hAnsi="Times New Roman" w:cs="Times New Roman"/>
          <w:color w:val="auto"/>
          <w:sz w:val="21"/>
          <w:szCs w:val="21"/>
          <w:lang w:val="en-US" w:eastAsia="zh-CN"/>
        </w:rPr>
        <w:t>分级车辆配置依据JT/T 617《危险货物道路运输规则》 中不同危险等级的车辆技术条件，高风险锂电废料专用车辆要求参考 GB/T 38698.1-2020《车用动力电池回收利用 管理规范 第 1 部分：包装运输》的车辆防护规范。防渗、阻燃垫层要求遵循 GB 12463-2009《危险货物运输包装通用技术条件》的运输防护理念，防止泄漏污染与碰撞起火风险</w:t>
      </w:r>
      <w:r>
        <w:rPr>
          <w:rFonts w:hint="eastAsia" w:ascii="宋体" w:hAnsi="宋体" w:cs="宋体"/>
          <w:color w:val="auto"/>
          <w:sz w:val="21"/>
          <w:szCs w:val="21"/>
          <w:lang w:val="en-US" w:eastAsia="zh-CN"/>
        </w:rPr>
        <w:t>。</w:t>
      </w:r>
    </w:p>
    <w:p w14:paraId="31E4FC08">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装载与固定要求</w:t>
      </w:r>
      <w:r>
        <w:rPr>
          <w:rFonts w:hint="default" w:ascii="Times New Roman" w:hAnsi="Times New Roman" w:cs="Times New Roman"/>
          <w:color w:val="auto"/>
          <w:sz w:val="21"/>
          <w:szCs w:val="21"/>
          <w:lang w:val="en-US" w:eastAsia="zh-CN"/>
        </w:rPr>
        <w:t>：包装验收、轻装轻卸作业规则依据 JT/T 617.3-2018《危险货物道路运输规则 第 3 部分：品名及运输要求索引》的装卸作业规范。竖向放置、缓冲固定、限高限重要求，参考 GB/T 38698.1-2020《车用动力电池回收利用 管理规范 第1部分：包装运输》 中动力电池运输装载标准，防止运输过程中碰撞、挤压、短路触发热失控。</w:t>
      </w:r>
    </w:p>
    <w:p w14:paraId="4E0A2163">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运输过程管控</w:t>
      </w:r>
      <w:r>
        <w:rPr>
          <w:rFonts w:hint="default" w:ascii="Times New Roman" w:hAnsi="Times New Roman" w:cs="Times New Roman"/>
          <w:color w:val="auto"/>
          <w:sz w:val="21"/>
          <w:szCs w:val="21"/>
          <w:lang w:val="en-US" w:eastAsia="zh-CN"/>
        </w:rPr>
        <w:t>：路线选择、中途停放、人员值守要求依据《危险货物道路运输安全管理办法》第二十八条、第三十一条等法定条款。途中巡检、极端天气限制参考 JT/T 617.7-2018《危险货物道路运输规则 第 7 部分：运输条件及作业要求》的途中管控要求，结合锂电高温环境下热失控风险加剧的特性制定。</w:t>
      </w:r>
    </w:p>
    <w:p w14:paraId="43653777">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包装技术要求</w:t>
      </w:r>
      <w:r>
        <w:rPr>
          <w:rFonts w:hint="default" w:ascii="Times New Roman" w:hAnsi="Times New Roman" w:cs="Times New Roman"/>
          <w:color w:val="auto"/>
          <w:sz w:val="21"/>
          <w:szCs w:val="21"/>
          <w:lang w:val="en-US" w:eastAsia="zh-CN"/>
        </w:rPr>
        <w:t>：包装强度与分级原则执行 GB 12463-2009《危险货物运输包装通用技术条件》，根据风险等级匹配对应包装防护等级。带电电芯的绝缘、阻燃、防穿刺要求：针对锂电短路起火风险，参考 GB/T 38698.1-2020《车用动力电池回收利用 管理规范 第1部分：包装运输》 中动力电池包装技术要求，同时对接 UN 3480 国际危险货物包装规范。液料密封防渗、粉料防扬散要求：依据 GB 18597-2023《危险废物贮存污染控制标准》、HJ 2025-2012《</w:t>
      </w:r>
      <w:r>
        <w:rPr>
          <w:rFonts w:ascii="Times New Roman" w:hAnsi="Times New Roman" w:eastAsia="Helvetica" w:cs="Times New Roman"/>
          <w:i w:val="0"/>
          <w:iCs w:val="0"/>
          <w:caps w:val="0"/>
          <w:color w:val="auto"/>
          <w:spacing w:val="0"/>
          <w:sz w:val="21"/>
          <w:szCs w:val="21"/>
          <w:u w:val="none"/>
          <w:shd w:val="clear" w:fill="FFFFFF"/>
        </w:rPr>
        <w:fldChar w:fldCharType="begin"/>
      </w:r>
      <w:r>
        <w:rPr>
          <w:rFonts w:ascii="Times New Roman" w:hAnsi="Times New Roman" w:eastAsia="Helvetica" w:cs="Times New Roman"/>
          <w:i w:val="0"/>
          <w:iCs w:val="0"/>
          <w:caps w:val="0"/>
          <w:color w:val="auto"/>
          <w:spacing w:val="0"/>
          <w:sz w:val="21"/>
          <w:szCs w:val="21"/>
          <w:u w:val="none"/>
          <w:shd w:val="clear" w:fill="FFFFFF"/>
        </w:rPr>
        <w:instrText xml:space="preserve"> HYPERLINK "https://std.samr.gov.cn/hb/search/stdHBDetailed?id=A318C7E163A24B5BE05397BE0A0A3F39" \t "https://std.samr.gov.cn/search/_blank" </w:instrText>
      </w:r>
      <w:r>
        <w:rPr>
          <w:rFonts w:ascii="Times New Roman" w:hAnsi="Times New Roman" w:eastAsia="Helvetica" w:cs="Times New Roman"/>
          <w:i w:val="0"/>
          <w:iCs w:val="0"/>
          <w:caps w:val="0"/>
          <w:color w:val="auto"/>
          <w:spacing w:val="0"/>
          <w:sz w:val="21"/>
          <w:szCs w:val="21"/>
          <w:u w:val="none"/>
          <w:shd w:val="clear" w:fill="FFFFFF"/>
        </w:rPr>
        <w:fldChar w:fldCharType="separate"/>
      </w:r>
      <w:r>
        <w:rPr>
          <w:rStyle w:val="15"/>
          <w:rFonts w:hint="default" w:ascii="Times New Roman" w:hAnsi="Times New Roman" w:eastAsia="Helvetica" w:cs="Times New Roman"/>
          <w:i w:val="0"/>
          <w:iCs w:val="0"/>
          <w:caps w:val="0"/>
          <w:color w:val="auto"/>
          <w:spacing w:val="0"/>
          <w:sz w:val="21"/>
          <w:szCs w:val="21"/>
          <w:u w:val="none"/>
          <w:shd w:val="clear" w:fill="FFFFFF"/>
        </w:rPr>
        <w:t>危险废物收集 贮存 运输技术规范</w:t>
      </w:r>
      <w:r>
        <w:rPr>
          <w:rFonts w:hint="default" w:ascii="Times New Roman" w:hAnsi="Times New Roman" w:eastAsia="Helvetica" w:cs="Times New Roman"/>
          <w:i w:val="0"/>
          <w:iCs w:val="0"/>
          <w:caps w:val="0"/>
          <w:color w:val="auto"/>
          <w:spacing w:val="0"/>
          <w:sz w:val="21"/>
          <w:szCs w:val="21"/>
          <w:u w:val="none"/>
          <w:shd w:val="clear" w:fill="FFFFFF"/>
        </w:rPr>
        <w:fldChar w:fldCharType="end"/>
      </w:r>
      <w:r>
        <w:rPr>
          <w:rFonts w:hint="default" w:ascii="Times New Roman" w:hAnsi="Times New Roman" w:cs="Times New Roman"/>
          <w:color w:val="auto"/>
          <w:sz w:val="21"/>
          <w:szCs w:val="21"/>
          <w:lang w:val="en-US" w:eastAsia="zh-CN"/>
        </w:rPr>
        <w:t>》 中液态、粉状危险废物的包装管控强制要求。</w:t>
      </w:r>
    </w:p>
    <w:p w14:paraId="51DAE311">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标志要求</w:t>
      </w:r>
      <w:r>
        <w:rPr>
          <w:rFonts w:hint="default" w:ascii="Times New Roman" w:hAnsi="Times New Roman" w:cs="Times New Roman"/>
          <w:color w:val="auto"/>
          <w:sz w:val="21"/>
          <w:szCs w:val="21"/>
          <w:lang w:val="en-US" w:eastAsia="zh-CN"/>
        </w:rPr>
        <w:t>：危险货物包装标志强制执行 GB 190-2009《危险货物包装标志》，安全警示标志执行GB 2894-2025《安全色和安全标志》。溯源编码规则依据 GB/T 34014-2017《汽车动力蓄电池编码规则》，衔接《新能源汽车动力蓄电池回收利用溯源管理暂行规定》的监管要求，支撑国家溯源平台数据对接，与 GB/T 26932-2011《充电电池废料废件》 标志条款保持口径统一。</w:t>
      </w:r>
    </w:p>
    <w:p w14:paraId="16F817D4">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default" w:ascii="Times New Roman" w:hAnsi="Times New Roman" w:cs="Times New Roman"/>
          <w:color w:val="auto"/>
          <w:sz w:val="21"/>
          <w:szCs w:val="21"/>
          <w:lang w:val="en-US" w:eastAsia="zh-CN"/>
        </w:rPr>
        <w:t>根据调研信息修改了</w:t>
      </w:r>
      <w:r>
        <w:rPr>
          <w:rFonts w:hint="eastAsia" w:ascii="宋体" w:hAnsi="宋体" w:cs="宋体"/>
          <w:color w:val="auto"/>
          <w:sz w:val="21"/>
          <w:szCs w:val="21"/>
          <w:lang w:val="en-US" w:eastAsia="zh-CN"/>
        </w:rPr>
        <w:t>电池废料的运输容器形式。</w:t>
      </w:r>
    </w:p>
    <w:p w14:paraId="6E097ABA">
      <w:pPr>
        <w:pStyle w:val="5"/>
        <w:numPr>
          <w:ilvl w:val="0"/>
          <w:numId w:val="4"/>
        </w:numPr>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修订前后技术内容的对比</w:t>
      </w:r>
    </w:p>
    <w:p w14:paraId="60D4D28C">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更改了标准适用范围</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将锂离子电池、钠离子电池等充电电池废料纳入管控，覆盖生产废料与退役废件全品类；</w:t>
      </w:r>
      <w:r>
        <w:rPr>
          <w:rFonts w:hint="eastAsia" w:ascii="Times New Roman" w:hAnsi="Times New Roman" w:cs="Times New Roman"/>
          <w:color w:val="auto"/>
          <w:sz w:val="21"/>
          <w:szCs w:val="21"/>
          <w:lang w:val="en-US" w:eastAsia="zh-CN"/>
        </w:rPr>
        <w:t>新增了电池废料的分类与风险分级；限制了经检测评估后可直接再利用的完整电池、模组及电池系统产品；限制了属于危险废物的电池废料及其运输；具体修订情况见表1。</w:t>
      </w:r>
    </w:p>
    <w:p w14:paraId="654EEFFC">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2" w:firstLineChars="20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表3 修订前后的标准规定与适用范围</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3450"/>
        <w:gridCol w:w="4375"/>
      </w:tblGrid>
      <w:tr w14:paraId="2455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7" w:type="dxa"/>
          </w:tcPr>
          <w:p w14:paraId="2C830909">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p>
        </w:tc>
        <w:tc>
          <w:tcPr>
            <w:tcW w:w="3450" w:type="dxa"/>
          </w:tcPr>
          <w:p w14:paraId="6962C9A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2011版</w:t>
            </w:r>
          </w:p>
        </w:tc>
        <w:tc>
          <w:tcPr>
            <w:tcW w:w="4375" w:type="dxa"/>
          </w:tcPr>
          <w:p w14:paraId="465AC9CB">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修订草案</w:t>
            </w:r>
          </w:p>
        </w:tc>
      </w:tr>
      <w:tr w14:paraId="4FBC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tcPr>
          <w:p w14:paraId="5A7F67EF">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范围</w:t>
            </w:r>
          </w:p>
        </w:tc>
        <w:tc>
          <w:tcPr>
            <w:tcW w:w="3450" w:type="dxa"/>
          </w:tcPr>
          <w:p w14:paraId="15C13BE5">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both"/>
              <w:textAlignment w:val="auto"/>
              <w:rPr>
                <w:rFonts w:hint="eastAsia"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本标准规定了电池废料贮存的要求、贮存方式及设施、运输要求、运输方式及容器等。</w:t>
            </w:r>
          </w:p>
          <w:p w14:paraId="2AA02C55">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本标准适用于电池废料的贮存与运输</w:t>
            </w:r>
          </w:p>
        </w:tc>
        <w:tc>
          <w:tcPr>
            <w:tcW w:w="4375" w:type="dxa"/>
          </w:tcPr>
          <w:p w14:paraId="0D894A4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本文件规定了电池废料的分类与风险分级、贮存要求、运输要求。</w:t>
            </w:r>
          </w:p>
          <w:p w14:paraId="49D6B45D">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本文件适用于铅酸蓄电池、镍氢电池、锂离子电池、钠离子电池等充电电池及一次电池在生产、使用、报废过程中产生的废料废件的贮存与运输活动。</w:t>
            </w:r>
          </w:p>
          <w:p w14:paraId="44BE5CCC">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本文件不适用于经检测评估后可直接再利用的完整电池、模组及电池系统产品的贮运。</w:t>
            </w:r>
          </w:p>
          <w:p w14:paraId="202AE62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属于危险废物的电池废料，其贮运还应符合国家危险废物管理相关法规标准；属于危险货物的电池废料道路运输，应符合危险货物运输相关法规标准。</w:t>
            </w:r>
          </w:p>
        </w:tc>
      </w:tr>
    </w:tbl>
    <w:p w14:paraId="2BD2D504">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3.2、新增了规范性引用文件：在原版规范性引用文件的基础上新增了GB 2894-2025《安全色和安全标志》、GB 19432《危险货物大包装检验安全规范》、GB 50140-2005《建筑灭火器配置设计规范》、GB 55037-2022《建筑防火通用规范》和JT/T 617.1-2018《危险货物道路运输规则 第1部分：通则》5项文件。</w:t>
      </w:r>
    </w:p>
    <w:p w14:paraId="26EFC4F0">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3.3</w:t>
      </w: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修订</w:t>
      </w:r>
      <w:r>
        <w:rPr>
          <w:rFonts w:hint="default" w:ascii="Times New Roman" w:hAnsi="Times New Roman" w:eastAsia="宋体" w:cs="Times New Roman"/>
          <w:color w:val="auto"/>
          <w:sz w:val="21"/>
          <w:szCs w:val="21"/>
          <w:lang w:val="en-US" w:eastAsia="zh-CN"/>
        </w:rPr>
        <w:t>了术语和定义条目</w:t>
      </w:r>
      <w:r>
        <w:rPr>
          <w:rFonts w:hint="eastAsia" w:ascii="Times New Roman" w:hAnsi="Times New Roman" w:cs="Times New Roman"/>
          <w:color w:val="auto"/>
          <w:sz w:val="21"/>
          <w:szCs w:val="21"/>
          <w:lang w:val="en-US" w:eastAsia="zh-CN"/>
        </w:rPr>
        <w:t>：删除了原版的“隔开贮存”、“隔离贮存”和“分离贮存”术语及其定义；新增了“暂存点”、“中转仓库”、“热失控”、“防渗层”和“运输”术语及其定义；修改了术语“电池废料”的定义。</w:t>
      </w:r>
    </w:p>
    <w:p w14:paraId="0EE141DF">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3.4</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新增分类与风险分级章节；</w:t>
      </w:r>
      <w:r>
        <w:rPr>
          <w:rFonts w:hint="eastAsia" w:ascii="Times New Roman" w:hAnsi="Times New Roman" w:cs="Times New Roman"/>
          <w:color w:val="auto"/>
          <w:sz w:val="21"/>
          <w:szCs w:val="21"/>
          <w:lang w:val="en-US" w:eastAsia="zh-CN"/>
        </w:rPr>
        <w:t>该章节具体分类和风险等级情况见表2和表3。</w:t>
      </w:r>
    </w:p>
    <w:p w14:paraId="20F91958">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2" w:firstLineChars="20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表4 电池分类</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2"/>
        <w:gridCol w:w="6450"/>
      </w:tblGrid>
      <w:tr w14:paraId="106C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dxa"/>
          </w:tcPr>
          <w:p w14:paraId="7CBB30C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p>
        </w:tc>
        <w:tc>
          <w:tcPr>
            <w:tcW w:w="6450" w:type="dxa"/>
          </w:tcPr>
          <w:p w14:paraId="0FCC15B0">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类别</w:t>
            </w:r>
          </w:p>
        </w:tc>
      </w:tr>
      <w:tr w14:paraId="3F98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dxa"/>
          </w:tcPr>
          <w:p w14:paraId="4CEC4967">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按电池化学体系</w:t>
            </w:r>
          </w:p>
        </w:tc>
        <w:tc>
          <w:tcPr>
            <w:tcW w:w="6450" w:type="dxa"/>
          </w:tcPr>
          <w:p w14:paraId="68FF22F7">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锂离子电池类：含钴酸锂、三元、磷酸铁锂、锰酸锂等体系的电池废料；</w:t>
            </w:r>
          </w:p>
          <w:p w14:paraId="6204E24E">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铅酸蓄电池类：各类铅酸蓄电池废料；</w:t>
            </w:r>
          </w:p>
          <w:p w14:paraId="4AC9240C">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镍氢/镍镉电池类：各类镍氢、镍镉电池废料；</w:t>
            </w:r>
          </w:p>
          <w:p w14:paraId="7F0CBC3F">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钠离子电池类：各类钠离子电池废料；</w:t>
            </w:r>
          </w:p>
          <w:p w14:paraId="5BD6CAAB">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一次电池类：各类锌锰、碱性等一次电池废料；</w:t>
            </w:r>
          </w:p>
          <w:p w14:paraId="77D41CED">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其他类：上述体系以外的电池废料。</w:t>
            </w:r>
          </w:p>
        </w:tc>
      </w:tr>
      <w:tr w14:paraId="13E0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dxa"/>
          </w:tcPr>
          <w:p w14:paraId="102DDAE4">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按电池外观形态</w:t>
            </w:r>
          </w:p>
        </w:tc>
        <w:tc>
          <w:tcPr>
            <w:tcW w:w="6450" w:type="dxa"/>
          </w:tcPr>
          <w:p w14:paraId="10D5127D">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整电芯/模组类：完整报废电芯、模组、电池包；</w:t>
            </w:r>
          </w:p>
          <w:p w14:paraId="0CDC02A5">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极片/破碎料类：极片边角料、拆解破碎料；</w:t>
            </w:r>
          </w:p>
          <w:p w14:paraId="3084486E">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粉料类：分选后正负极粉料、混合粉料；</w:t>
            </w:r>
          </w:p>
          <w:p w14:paraId="341F141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 液料类：废电解液、含液残渣。</w:t>
            </w:r>
          </w:p>
        </w:tc>
      </w:tr>
    </w:tbl>
    <w:p w14:paraId="547648D9">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2" w:firstLineChars="20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表3 风险等级（按电池废料的安全风险与环境风险程度）</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4"/>
        <w:gridCol w:w="6438"/>
      </w:tblGrid>
      <w:tr w14:paraId="5C1C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4" w:type="dxa"/>
          </w:tcPr>
          <w:p w14:paraId="092834D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高风险</w:t>
            </w:r>
          </w:p>
        </w:tc>
        <w:tc>
          <w:tcPr>
            <w:tcW w:w="6438" w:type="dxa"/>
          </w:tcPr>
          <w:p w14:paraId="36EF0B7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带残余电量的整电芯、模组、电池包；含游离电解液的液料与湿料；易燃易爆组分含量高的废料。</w:t>
            </w:r>
          </w:p>
        </w:tc>
      </w:tr>
      <w:tr w14:paraId="58BA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4" w:type="dxa"/>
          </w:tcPr>
          <w:p w14:paraId="60AA9C6F">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中风险</w:t>
            </w:r>
          </w:p>
        </w:tc>
        <w:tc>
          <w:tcPr>
            <w:tcW w:w="6438" w:type="dxa"/>
          </w:tcPr>
          <w:p w14:paraId="6B77A09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不含明显游离电解液的极片料、破碎料；已放电但未拆解的电芯废料。</w:t>
            </w:r>
          </w:p>
        </w:tc>
      </w:tr>
      <w:tr w14:paraId="58FB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4" w:type="dxa"/>
          </w:tcPr>
          <w:p w14:paraId="4E96C278">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低风险</w:t>
            </w:r>
          </w:p>
        </w:tc>
        <w:tc>
          <w:tcPr>
            <w:tcW w:w="6438" w:type="dxa"/>
          </w:tcPr>
          <w:p w14:paraId="7111DCD4">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分选后的干态粉料、金属外壳、结构件等无燃爆风险、低腐蚀风险的废料。</w:t>
            </w:r>
          </w:p>
        </w:tc>
      </w:tr>
    </w:tbl>
    <w:p w14:paraId="2074CB0E">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3.5</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细化了贮存要求</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按收集点暂存、中转仓库周转贮存、长期贮存三类场景分别明确技术要求，新增锂离子电池废料专项贮存安全规范；</w:t>
      </w:r>
      <w:r>
        <w:rPr>
          <w:rFonts w:hint="eastAsia" w:ascii="Times New Roman" w:hAnsi="Times New Roman" w:cs="Times New Roman"/>
          <w:color w:val="auto"/>
          <w:sz w:val="21"/>
          <w:szCs w:val="21"/>
          <w:lang w:val="en-US" w:eastAsia="zh-CN"/>
        </w:rPr>
        <w:t>具体修订内容如下：</w:t>
      </w:r>
    </w:p>
    <w:p w14:paraId="641768BF">
      <w:pPr>
        <w:pStyle w:val="10"/>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440" w:lineRule="exact"/>
        <w:ind w:left="0" w:leftChars="0"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通用/一般要求的更改情况：删除原版引用的《中华人民共和国固体废物污染环境防治法》《废电池污染防治技术政策》并新增引用 GB 55037《建筑防火通用规范》、GB 50140《建筑灭火器配置设计规范》、GB 2894《安全标志及其使用导则》、GB 15630《消防安全标志设置要求》等工程技术标准；新增了按电池体系和风险等级分区存放电池的要求；修改了贮存区域的环境要求；删除了原版废料电池在贮存运输过程中的状态要求。</w:t>
      </w:r>
    </w:p>
    <w:p w14:paraId="4D06A060">
      <w:pPr>
        <w:pStyle w:val="10"/>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440" w:lineRule="exact"/>
        <w:ind w:left="0" w:leftChars="0"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贮存的修订情况：新增了分场景贮存要求内容（细分为收集点暂存、中转仓库周转贮存和长期贮存三部分，具体内容见表4），并用其代替原版的“4.2 贮存”内容。</w:t>
      </w:r>
    </w:p>
    <w:p w14:paraId="2BA11763">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ind w:left="420" w:leftChars="20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表5 分场景贮存要求</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6896"/>
      </w:tblGrid>
      <w:tr w14:paraId="27F8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tcPr>
          <w:p w14:paraId="1C7E55C9">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p>
        </w:tc>
        <w:tc>
          <w:tcPr>
            <w:tcW w:w="6896" w:type="dxa"/>
          </w:tcPr>
          <w:p w14:paraId="73D12B7F">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贮存要求</w:t>
            </w:r>
          </w:p>
        </w:tc>
      </w:tr>
      <w:tr w14:paraId="7489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tcPr>
          <w:p w14:paraId="73F8BE3D">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lang w:val="en-US" w:eastAsia="zh-CN"/>
              </w:rPr>
              <w:t>收集点暂存</w:t>
            </w:r>
          </w:p>
        </w:tc>
        <w:tc>
          <w:tcPr>
            <w:tcW w:w="6896" w:type="dxa"/>
          </w:tcPr>
          <w:p w14:paraId="4EED0444">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暂存容量不宜超过1立方米，存放时长不宜超过7天；应配备灭火器材、防渗托盘与个人防护用品；带电电芯应采取绝缘分隔措施，避免短路；应设置在通风、避雨、防晒区域，避免阳光直射与高温环境</w:t>
            </w:r>
          </w:p>
        </w:tc>
      </w:tr>
      <w:tr w14:paraId="61BB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tcPr>
          <w:p w14:paraId="09DE3EF2">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lang w:val="en-US" w:eastAsia="zh-CN"/>
              </w:rPr>
              <w:t>中转仓库周转贮存</w:t>
            </w:r>
          </w:p>
        </w:tc>
        <w:tc>
          <w:tcPr>
            <w:tcW w:w="6896" w:type="dxa"/>
          </w:tcPr>
          <w:p w14:paraId="60144959">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应按风险等级划分独立贮存分区，分区之间设置防火分隔；高风险锂电废料贮存区应安装温湿度监测与可燃气体探测报警装置，配备专用灭火设备；物料堆码应稳固，电芯、模组类堆码高度不宜超过2米，粉料类堆码高度不宜超过3米；垛间距不小于0.5米，主通道宽度不小于1.5米；应建立日常巡检制度，每日至少巡检1次，记录温湿度、物料状态与异常情况</w:t>
            </w:r>
          </w:p>
        </w:tc>
      </w:tr>
      <w:tr w14:paraId="76E6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tcPr>
          <w:p w14:paraId="102FBD77">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lang w:val="en-US" w:eastAsia="zh-CN"/>
              </w:rPr>
              <w:t>长期贮存</w:t>
            </w:r>
          </w:p>
        </w:tc>
        <w:tc>
          <w:tcPr>
            <w:tcW w:w="6896" w:type="dxa"/>
          </w:tcPr>
          <w:p w14:paraId="2CD5AB13">
            <w:pPr>
              <w:pStyle w:val="10"/>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长期贮存场所应具备完善的防火、防爆、防渗、通风设施；高风险锂电废料不宜长期贮存，确需贮存的应采取完全放电、惰性气体保护等安全措施；应建立完整的库存台账，定期盘点，物料贮存周期不宜超过90天；应制定专项应急预案并定期开展应急演练。</w:t>
            </w:r>
          </w:p>
        </w:tc>
      </w:tr>
    </w:tbl>
    <w:p w14:paraId="5332698E">
      <w:pPr>
        <w:pStyle w:val="10"/>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440" w:lineRule="exact"/>
        <w:ind w:left="0" w:leftChars="0"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新增了锂离子电池废料专项要求：</w:t>
      </w:r>
    </w:p>
    <w:p w14:paraId="3B7EB323">
      <w:pPr>
        <w:pStyle w:val="10"/>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440" w:lineRule="exact"/>
        <w:ind w:leftChars="0" w:firstLine="42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入库前应检查电芯、模组外观，存在鼓胀、破损、漏液、发热异常的物料应单独隔离存放并及时处置；</w:t>
      </w:r>
    </w:p>
    <w:p w14:paraId="11163B4A">
      <w:pPr>
        <w:pStyle w:val="10"/>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440" w:lineRule="exact"/>
        <w:ind w:leftChars="0" w:firstLine="42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带电电芯贮存前宜进行放电处理，未完全放电的物料应做好绝缘防护，禁止金属裸露部位相互接触；</w:t>
      </w:r>
    </w:p>
    <w:p w14:paraId="4E442D35">
      <w:pPr>
        <w:pStyle w:val="10"/>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440" w:lineRule="exact"/>
        <w:ind w:leftChars="0" w:firstLine="42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贮存区域环境温度宜控制在-10℃～40℃，避免高温暴晒；</w:t>
      </w:r>
    </w:p>
    <w:p w14:paraId="194ADDD0">
      <w:pPr>
        <w:pStyle w:val="10"/>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440" w:lineRule="exact"/>
        <w:ind w:leftChars="0" w:firstLine="42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禁止堆叠挤压、抛扔物料，禁止在电芯、模组上放置重物。</w:t>
      </w:r>
    </w:p>
    <w:p w14:paraId="4829DD7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cs="宋体"/>
          <w:color w:val="auto"/>
          <w:sz w:val="21"/>
          <w:szCs w:val="21"/>
          <w:lang w:val="en-US" w:eastAsia="zh-CN"/>
        </w:rPr>
      </w:pPr>
      <w:r>
        <w:rPr>
          <w:rFonts w:hint="eastAsia" w:ascii="Times New Roman" w:hAnsi="Times New Roman" w:cs="Times New Roman"/>
          <w:color w:val="auto"/>
          <w:sz w:val="21"/>
          <w:szCs w:val="21"/>
          <w:lang w:val="en-US" w:eastAsia="zh-CN"/>
        </w:rPr>
        <w:t>3.6</w:t>
      </w: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升级了运输要求：修改了运输容器的材料（表6）；</w:t>
      </w:r>
      <w:r>
        <w:rPr>
          <w:rFonts w:hint="eastAsia" w:cs="宋体"/>
          <w:color w:val="auto"/>
          <w:sz w:val="21"/>
          <w:szCs w:val="21"/>
          <w:lang w:val="en-US" w:eastAsia="zh-CN"/>
        </w:rPr>
        <w:t>新增了</w:t>
      </w:r>
      <w:r>
        <w:rPr>
          <w:rFonts w:hint="eastAsia" w:ascii="宋体" w:hAnsi="宋体" w:eastAsia="宋体" w:cs="宋体"/>
          <w:color w:val="auto"/>
          <w:sz w:val="21"/>
          <w:szCs w:val="21"/>
          <w:lang w:val="en-US" w:eastAsia="zh-CN"/>
        </w:rPr>
        <w:t>不同风险等级废料</w:t>
      </w:r>
      <w:r>
        <w:rPr>
          <w:rFonts w:hint="eastAsia" w:cs="宋体"/>
          <w:color w:val="auto"/>
          <w:sz w:val="21"/>
          <w:szCs w:val="21"/>
          <w:lang w:val="en-US" w:eastAsia="zh-CN"/>
        </w:rPr>
        <w:t>公路运输</w:t>
      </w:r>
      <w:r>
        <w:rPr>
          <w:rFonts w:hint="eastAsia" w:ascii="宋体" w:hAnsi="宋体" w:eastAsia="宋体" w:cs="宋体"/>
          <w:color w:val="auto"/>
          <w:sz w:val="21"/>
          <w:szCs w:val="21"/>
          <w:lang w:val="en-US" w:eastAsia="zh-CN"/>
        </w:rPr>
        <w:t>的车辆资质、装载固定、行驶管控与装卸作业要求，衔接危险货物道路运输规则</w:t>
      </w:r>
      <w:r>
        <w:rPr>
          <w:rFonts w:hint="eastAsia" w:cs="宋体"/>
          <w:color w:val="auto"/>
          <w:sz w:val="21"/>
          <w:szCs w:val="21"/>
          <w:lang w:val="en-US" w:eastAsia="zh-CN"/>
        </w:rPr>
        <w:t>（表</w:t>
      </w:r>
      <w:r>
        <w:rPr>
          <w:rFonts w:hint="eastAsia" w:ascii="Times New Roman" w:hAnsi="Times New Roman" w:cs="Times New Roman"/>
          <w:color w:val="auto"/>
          <w:sz w:val="21"/>
          <w:szCs w:val="21"/>
          <w:lang w:val="en-US" w:eastAsia="zh-CN"/>
        </w:rPr>
        <w:t>7</w:t>
      </w:r>
      <w:r>
        <w:rPr>
          <w:rFonts w:hint="eastAsia" w:cs="宋体"/>
          <w:color w:val="auto"/>
          <w:sz w:val="21"/>
          <w:szCs w:val="21"/>
          <w:lang w:val="en-US" w:eastAsia="zh-CN"/>
        </w:rPr>
        <w:t>）；新增了装载与固定和运输过程管控内容（表</w:t>
      </w:r>
      <w:r>
        <w:rPr>
          <w:rFonts w:hint="eastAsia" w:ascii="Times New Roman" w:hAnsi="Times New Roman" w:cs="Times New Roman"/>
          <w:color w:val="auto"/>
          <w:sz w:val="21"/>
          <w:szCs w:val="21"/>
          <w:lang w:val="en-US" w:eastAsia="zh-CN"/>
        </w:rPr>
        <w:t>8</w:t>
      </w:r>
      <w:r>
        <w:rPr>
          <w:rFonts w:hint="eastAsia" w:cs="宋体"/>
          <w:color w:val="auto"/>
          <w:sz w:val="21"/>
          <w:szCs w:val="21"/>
          <w:lang w:val="en-US" w:eastAsia="zh-CN"/>
        </w:rPr>
        <w:t>）。具体修订内容如下：</w:t>
      </w:r>
    </w:p>
    <w:p w14:paraId="22C8B4F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center"/>
        <w:textAlignment w:val="auto"/>
        <w:rPr>
          <w:rFonts w:hint="default" w:cs="宋体"/>
          <w:color w:val="auto"/>
          <w:sz w:val="21"/>
          <w:szCs w:val="21"/>
          <w:lang w:val="en-US" w:eastAsia="zh-CN"/>
        </w:rPr>
      </w:pPr>
      <w:r>
        <w:rPr>
          <w:rFonts w:hint="eastAsia" w:cs="宋体"/>
          <w:color w:val="auto"/>
          <w:sz w:val="21"/>
          <w:szCs w:val="21"/>
          <w:lang w:val="en-US" w:eastAsia="zh-CN"/>
        </w:rPr>
        <w:t>表</w:t>
      </w:r>
      <w:r>
        <w:rPr>
          <w:rFonts w:hint="eastAsia" w:ascii="Times New Roman" w:hAnsi="Times New Roman" w:cs="Times New Roman"/>
          <w:color w:val="auto"/>
          <w:sz w:val="21"/>
          <w:szCs w:val="21"/>
          <w:lang w:val="en-US" w:eastAsia="zh-CN"/>
        </w:rPr>
        <w:t>6</w:t>
      </w:r>
      <w:r>
        <w:rPr>
          <w:rFonts w:hint="eastAsia" w:cs="宋体"/>
          <w:color w:val="auto"/>
          <w:sz w:val="21"/>
          <w:szCs w:val="21"/>
          <w:lang w:val="en-US" w:eastAsia="zh-CN"/>
        </w:rPr>
        <w:t xml:space="preserve"> 运输容器材料</w:t>
      </w:r>
    </w:p>
    <w:tbl>
      <w:tblPr>
        <w:tblStyle w:val="11"/>
        <w:tblW w:w="495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29"/>
        <w:gridCol w:w="4361"/>
      </w:tblGrid>
      <w:tr w14:paraId="276E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7A4155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废料形态</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462766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容 器</w:t>
            </w:r>
          </w:p>
        </w:tc>
      </w:tr>
      <w:tr w14:paraId="1CF8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572B00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块状</w:t>
            </w:r>
            <w:r>
              <w:rPr>
                <w:rFonts w:hint="eastAsia" w:ascii="Times New Roman" w:hAnsi="Times New Roman" w:eastAsia="宋体" w:cs="Times New Roman"/>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无腐蚀性</w:t>
            </w:r>
            <w:r>
              <w:rPr>
                <w:rFonts w:hint="eastAsia" w:ascii="Times New Roman" w:hAnsi="Times New Roman" w:eastAsia="宋体" w:cs="Times New Roman"/>
                <w:i w:val="0"/>
                <w:iCs w:val="0"/>
                <w:color w:val="auto"/>
                <w:kern w:val="0"/>
                <w:sz w:val="18"/>
                <w:szCs w:val="18"/>
                <w:u w:val="none"/>
                <w:lang w:val="en-US" w:eastAsia="zh-CN" w:bidi="ar"/>
              </w:rPr>
              <w:t>）</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63C1B5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kern w:val="0"/>
                <w:sz w:val="18"/>
                <w:szCs w:val="18"/>
                <w:lang w:bidi="ar"/>
              </w:rPr>
              <w:t>木板方桶，底部是托盘，侧面和上面是木板，外部以PVC或钢制绑扎带固定</w:t>
            </w:r>
          </w:p>
        </w:tc>
      </w:tr>
      <w:tr w14:paraId="3116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53265A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块状</w:t>
            </w:r>
            <w:r>
              <w:rPr>
                <w:rFonts w:hint="eastAsia" w:ascii="Times New Roman" w:hAnsi="Times New Roman" w:eastAsia="宋体" w:cs="Times New Roman"/>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有腐蚀性</w:t>
            </w:r>
            <w:r>
              <w:rPr>
                <w:rFonts w:hint="eastAsia" w:ascii="Times New Roman" w:hAnsi="Times New Roman" w:eastAsia="宋体" w:cs="Times New Roman"/>
                <w:i w:val="0"/>
                <w:iCs w:val="0"/>
                <w:color w:val="auto"/>
                <w:kern w:val="0"/>
                <w:sz w:val="18"/>
                <w:szCs w:val="18"/>
                <w:u w:val="none"/>
                <w:lang w:val="en-US" w:eastAsia="zh-CN" w:bidi="ar"/>
              </w:rPr>
              <w:t>）</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5C60E6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kern w:val="0"/>
                <w:sz w:val="18"/>
                <w:szCs w:val="18"/>
                <w:lang w:bidi="ar"/>
              </w:rPr>
              <w:t>木板方桶，底部是托盘，侧面和上面是木板，外部以PVC或钢制绑扎带固定</w:t>
            </w:r>
          </w:p>
        </w:tc>
      </w:tr>
      <w:tr w14:paraId="64DC0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58647D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片状</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463561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eastAsia" w:ascii="Times New Roman" w:hAnsi="Times New Roman" w:eastAsia="宋体" w:cs="Times New Roman"/>
                <w:i w:val="0"/>
                <w:iCs w:val="0"/>
                <w:color w:val="auto"/>
                <w:kern w:val="0"/>
                <w:sz w:val="18"/>
                <w:szCs w:val="18"/>
                <w:u w:val="none"/>
                <w:lang w:val="en-US" w:eastAsia="zh-CN" w:bidi="ar"/>
              </w:rPr>
              <w:t>塑料编织袋</w:t>
            </w:r>
            <w:r>
              <w:rPr>
                <w:rFonts w:hint="default" w:ascii="Times New Roman" w:hAnsi="Times New Roman" w:eastAsia="宋体" w:cs="Times New Roman"/>
                <w:i w:val="0"/>
                <w:iCs w:val="0"/>
                <w:color w:val="auto"/>
                <w:kern w:val="0"/>
                <w:sz w:val="18"/>
                <w:szCs w:val="18"/>
                <w:u w:val="none"/>
                <w:lang w:val="en-US" w:eastAsia="zh-CN" w:bidi="ar"/>
              </w:rPr>
              <w:t>或全开</w:t>
            </w:r>
            <w:r>
              <w:rPr>
                <w:rFonts w:hint="eastAsia" w:ascii="Times New Roman" w:hAnsi="Times New Roman" w:eastAsia="宋体" w:cs="Times New Roman"/>
                <w:i w:val="0"/>
                <w:iCs w:val="0"/>
                <w:color w:val="auto"/>
                <w:kern w:val="0"/>
                <w:sz w:val="18"/>
                <w:szCs w:val="18"/>
                <w:u w:val="none"/>
                <w:lang w:val="en-US" w:eastAsia="zh-CN" w:bidi="ar"/>
              </w:rPr>
              <w:t>口</w:t>
            </w:r>
            <w:r>
              <w:rPr>
                <w:rFonts w:hint="default" w:ascii="Times New Roman" w:hAnsi="Times New Roman" w:eastAsia="宋体" w:cs="Times New Roman"/>
                <w:i w:val="0"/>
                <w:iCs w:val="0"/>
                <w:color w:val="auto"/>
                <w:kern w:val="0"/>
                <w:sz w:val="18"/>
                <w:szCs w:val="18"/>
                <w:u w:val="none"/>
                <w:lang w:val="en-US" w:eastAsia="zh-CN" w:bidi="ar"/>
              </w:rPr>
              <w:t>铁桶</w:t>
            </w:r>
          </w:p>
        </w:tc>
      </w:tr>
      <w:tr w14:paraId="2C483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05C324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粉状</w:t>
            </w:r>
            <w:r>
              <w:rPr>
                <w:rFonts w:hint="eastAsia" w:ascii="Times New Roman" w:hAnsi="Times New Roman" w:eastAsia="宋体" w:cs="Times New Roman"/>
                <w:i w:val="0"/>
                <w:iCs w:val="0"/>
                <w:color w:val="auto"/>
                <w:kern w:val="0"/>
                <w:sz w:val="18"/>
                <w:szCs w:val="18"/>
                <w:u w:val="none"/>
                <w:lang w:val="en-US" w:eastAsia="zh-CN" w:bidi="ar"/>
              </w:rPr>
              <w:t>、渣</w:t>
            </w:r>
            <w:r>
              <w:rPr>
                <w:rFonts w:hint="default" w:ascii="Times New Roman" w:hAnsi="Times New Roman" w:eastAsia="宋体" w:cs="Times New Roman"/>
                <w:i w:val="0"/>
                <w:iCs w:val="0"/>
                <w:color w:val="auto"/>
                <w:kern w:val="0"/>
                <w:sz w:val="18"/>
                <w:szCs w:val="18"/>
                <w:u w:val="none"/>
                <w:lang w:val="en-US" w:eastAsia="zh-CN" w:bidi="ar"/>
              </w:rPr>
              <w:t>状</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40ED47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塑料</w:t>
            </w:r>
            <w:r>
              <w:rPr>
                <w:rFonts w:hint="eastAsia" w:ascii="Times New Roman" w:hAnsi="Times New Roman" w:eastAsia="宋体" w:cs="Times New Roman"/>
                <w:i w:val="0"/>
                <w:iCs w:val="0"/>
                <w:color w:val="auto"/>
                <w:kern w:val="0"/>
                <w:sz w:val="18"/>
                <w:szCs w:val="18"/>
                <w:u w:val="none"/>
                <w:lang w:val="en-US" w:eastAsia="zh-CN" w:bidi="ar"/>
              </w:rPr>
              <w:t>编织袋</w:t>
            </w:r>
          </w:p>
        </w:tc>
      </w:tr>
      <w:tr w14:paraId="1374A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229" w:type="pct"/>
            <w:tcBorders>
              <w:top w:val="single" w:color="000000" w:sz="4" w:space="0"/>
              <w:left w:val="single" w:color="000000" w:sz="4" w:space="0"/>
              <w:bottom w:val="single" w:color="000000" w:sz="4" w:space="0"/>
              <w:right w:val="single" w:color="000000" w:sz="4" w:space="0"/>
            </w:tcBorders>
            <w:noWrap w:val="0"/>
            <w:vAlign w:val="center"/>
          </w:tcPr>
          <w:p w14:paraId="12B6FE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液体状  </w:t>
            </w:r>
          </w:p>
        </w:tc>
        <w:tc>
          <w:tcPr>
            <w:tcW w:w="1298" w:type="pct"/>
            <w:tcBorders>
              <w:top w:val="single" w:color="000000" w:sz="4" w:space="0"/>
              <w:left w:val="single" w:color="000000" w:sz="4" w:space="0"/>
              <w:bottom w:val="single" w:color="000000" w:sz="4" w:space="0"/>
              <w:right w:val="single" w:color="000000" w:sz="4" w:space="0"/>
            </w:tcBorders>
            <w:noWrap w:val="0"/>
            <w:vAlign w:val="center"/>
          </w:tcPr>
          <w:p w14:paraId="6B6E64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小开口塑料桶</w:t>
            </w:r>
          </w:p>
        </w:tc>
      </w:tr>
    </w:tbl>
    <w:p w14:paraId="6ADB47F0">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表</w:t>
      </w:r>
      <w:r>
        <w:rPr>
          <w:rFonts w:hint="eastAsia" w:ascii="Times New Roman" w:hAnsi="Times New Roman" w:cs="Times New Roman"/>
          <w:color w:val="auto"/>
          <w:sz w:val="21"/>
          <w:szCs w:val="21"/>
          <w:lang w:val="en-US" w:eastAsia="zh-CN"/>
        </w:rPr>
        <w:t>7</w:t>
      </w:r>
      <w:r>
        <w:rPr>
          <w:rFonts w:hint="default" w:ascii="Times New Roman" w:hAnsi="Times New Roman" w:cs="Times New Roman"/>
          <w:color w:val="auto"/>
          <w:sz w:val="21"/>
          <w:szCs w:val="21"/>
          <w:lang w:val="en-US" w:eastAsia="zh-CN"/>
        </w:rPr>
        <w:t xml:space="preserve"> 电池废料运输方式</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7323"/>
      </w:tblGrid>
      <w:tr w14:paraId="7E68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9" w:type="dxa"/>
          </w:tcPr>
          <w:p w14:paraId="5A7E5ADF">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运输方式</w:t>
            </w:r>
          </w:p>
        </w:tc>
        <w:tc>
          <w:tcPr>
            <w:tcW w:w="7323" w:type="dxa"/>
          </w:tcPr>
          <w:p w14:paraId="42A81697">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说明</w:t>
            </w:r>
          </w:p>
        </w:tc>
      </w:tr>
      <w:tr w14:paraId="3ACD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tcPr>
          <w:p w14:paraId="5F1DD194">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公路运输</w:t>
            </w:r>
          </w:p>
        </w:tc>
        <w:tc>
          <w:tcPr>
            <w:tcW w:w="7323" w:type="dxa"/>
          </w:tcPr>
          <w:p w14:paraId="60658560">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both"/>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高风险废料应采用阻燃、防渗、隔热的封闭式专用车辆运输，车厢内应配备专用灭火器材与应急堵漏、吸附材料；中风险废料可采用封闭式厢式货车运输，车厢内应铺设防渗、阻燃垫层；低风险粉料类可采用普通密闭货车运输，应做好密封防扬散措施。</w:t>
            </w:r>
          </w:p>
        </w:tc>
      </w:tr>
      <w:tr w14:paraId="6612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tcPr>
          <w:p w14:paraId="236E7E15">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铁路运输</w:t>
            </w:r>
          </w:p>
        </w:tc>
        <w:tc>
          <w:tcPr>
            <w:tcW w:w="7323" w:type="dxa"/>
          </w:tcPr>
          <w:p w14:paraId="1F5BC23A">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p>
        </w:tc>
      </w:tr>
      <w:tr w14:paraId="66E0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tcPr>
          <w:p w14:paraId="64FE27C8">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水路运输</w:t>
            </w:r>
          </w:p>
        </w:tc>
        <w:tc>
          <w:tcPr>
            <w:tcW w:w="7323" w:type="dxa"/>
          </w:tcPr>
          <w:p w14:paraId="797C4F67">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p>
        </w:tc>
      </w:tr>
    </w:tbl>
    <w:p w14:paraId="6E67B528">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表8 装载固定和运输过程管控</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7335"/>
      </w:tblGrid>
      <w:tr w14:paraId="481E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7" w:type="dxa"/>
          </w:tcPr>
          <w:p w14:paraId="58D35288">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装载与固定</w:t>
            </w:r>
          </w:p>
        </w:tc>
        <w:tc>
          <w:tcPr>
            <w:tcW w:w="7335" w:type="dxa"/>
          </w:tcPr>
          <w:p w14:paraId="0039BAF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装载前应检查包装完好性，破损、渗漏包装不得装车；</w:t>
            </w:r>
          </w:p>
          <w:p w14:paraId="2F45B5A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电芯、模组类物料应竖向放置、排列整齐，采取缓冲与固定措施，防止运输过程中碰撞、倾倒、挤压；</w:t>
            </w:r>
          </w:p>
          <w:p w14:paraId="180848E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装载高度不得超过车辆限高，重量不得超过核定载质量；</w:t>
            </w:r>
          </w:p>
          <w:p w14:paraId="30C88AA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装卸作业应轻装轻卸，禁止抛扔、翻滚、踩踏物料。</w:t>
            </w:r>
          </w:p>
        </w:tc>
      </w:tr>
      <w:tr w14:paraId="19F7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7" w:type="dxa"/>
          </w:tcPr>
          <w:p w14:paraId="292768F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运输过程管控</w:t>
            </w:r>
          </w:p>
        </w:tc>
        <w:tc>
          <w:tcPr>
            <w:tcW w:w="7335" w:type="dxa"/>
          </w:tcPr>
          <w:p w14:paraId="51267F9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运输路线应避开人员密集区、学校、医院等敏感区域，尽量选择通行条件良好的路线；</w:t>
            </w:r>
          </w:p>
          <w:p w14:paraId="3C069B8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运输途中应定期停车检查物料状态，高温天气应增加检查频次；</w:t>
            </w:r>
          </w:p>
          <w:p w14:paraId="7D23BB7E">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中途停放应远离热源、火源与居民区，驾驶员与押运人员不得同时离开车辆；</w:t>
            </w:r>
          </w:p>
          <w:p w14:paraId="0F7FD85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360" w:firstLineChars="200"/>
              <w:jc w:val="left"/>
              <w:textAlignment w:val="auto"/>
              <w:rPr>
                <w:rFonts w:hint="default" w:ascii="Times New Roman" w:hAnsi="Times New Roman"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高温、暴雨、雷电等极端天气应避免运输高风险锂电废料。</w:t>
            </w:r>
          </w:p>
        </w:tc>
      </w:tr>
    </w:tbl>
    <w:p w14:paraId="046E7D86">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【条文说明】在标准编制过程中，对国内</w:t>
      </w:r>
      <w:r>
        <w:rPr>
          <w:rFonts w:hint="eastAsia" w:ascii="Times New Roman" w:hAnsi="Times New Roman" w:cs="Times New Roman"/>
          <w:color w:val="auto"/>
          <w:sz w:val="21"/>
          <w:szCs w:val="21"/>
          <w:lang w:val="en-US" w:eastAsia="zh-CN"/>
        </w:rPr>
        <w:t>电池产品的包装、运输、贮存</w:t>
      </w:r>
      <w:r>
        <w:rPr>
          <w:rFonts w:hint="default" w:ascii="Times New Roman" w:hAnsi="Times New Roman" w:cs="Times New Roman"/>
          <w:color w:val="auto"/>
          <w:sz w:val="21"/>
          <w:szCs w:val="21"/>
          <w:lang w:val="en-US" w:eastAsia="zh-CN"/>
        </w:rPr>
        <w:t>情况开展了调研，共收集到了杰瑞新能源再生循环科技有限公司、衢州华友资源再生科技有限公司、浙江华友循环科技有限公司、江西赣锋循环科技有限公司、广东邦普循环科技有限公司、湖北睿勤新能源科技有限公司共计6家单位的</w:t>
      </w:r>
      <w:r>
        <w:rPr>
          <w:rFonts w:hint="eastAsia" w:ascii="Times New Roman" w:hAnsi="Times New Roman" w:cs="Times New Roman"/>
          <w:color w:val="auto"/>
          <w:sz w:val="21"/>
          <w:szCs w:val="21"/>
          <w:lang w:val="en-US" w:eastAsia="zh-CN"/>
        </w:rPr>
        <w:t>信息</w:t>
      </w:r>
      <w:r>
        <w:rPr>
          <w:rFonts w:hint="default" w:ascii="Times New Roman" w:hAnsi="Times New Roman" w:cs="Times New Roman"/>
          <w:color w:val="auto"/>
          <w:sz w:val="21"/>
          <w:szCs w:val="21"/>
          <w:lang w:val="en-US" w:eastAsia="zh-CN"/>
        </w:rPr>
        <w:t>反馈</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。具体</w:t>
      </w:r>
      <w:r>
        <w:rPr>
          <w:rFonts w:hint="eastAsia" w:ascii="Times New Roman" w:hAnsi="Times New Roman" w:cs="Times New Roman"/>
          <w:color w:val="auto"/>
          <w:sz w:val="21"/>
          <w:szCs w:val="21"/>
          <w:lang w:val="en-US" w:eastAsia="zh-CN"/>
        </w:rPr>
        <w:t>调研情况</w:t>
      </w:r>
      <w:r>
        <w:rPr>
          <w:rFonts w:hint="default" w:ascii="Times New Roman" w:hAnsi="Times New Roman" w:cs="Times New Roman"/>
          <w:color w:val="auto"/>
          <w:sz w:val="21"/>
          <w:szCs w:val="21"/>
          <w:lang w:val="en-US" w:eastAsia="zh-CN"/>
        </w:rPr>
        <w:t>如下：</w:t>
      </w:r>
    </w:p>
    <w:p w14:paraId="3076A1B1">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表9 包装、运输、贮存要求情况调研</w:t>
      </w:r>
    </w:p>
    <w:tbl>
      <w:tblPr>
        <w:tblStyle w:val="11"/>
        <w:tblW w:w="84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0"/>
        <w:gridCol w:w="737"/>
        <w:gridCol w:w="1838"/>
        <w:gridCol w:w="1687"/>
        <w:gridCol w:w="3185"/>
      </w:tblGrid>
      <w:tr w14:paraId="1B8F5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970" w:type="dxa"/>
            <w:tcBorders>
              <w:top w:val="single" w:color="000000" w:sz="4" w:space="0"/>
              <w:left w:val="single" w:color="000000" w:sz="4" w:space="0"/>
              <w:bottom w:val="nil"/>
              <w:right w:val="single" w:color="000000" w:sz="4" w:space="0"/>
            </w:tcBorders>
            <w:shd w:val="clear" w:color="auto" w:fill="auto"/>
            <w:noWrap/>
            <w:vAlign w:val="center"/>
          </w:tcPr>
          <w:p w14:paraId="636959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Style w:val="25"/>
                <w:color w:val="auto"/>
                <w:sz w:val="18"/>
                <w:szCs w:val="18"/>
                <w:lang w:val="en-US" w:eastAsia="zh-CN" w:bidi="ar"/>
              </w:rPr>
              <w:t>公司</w:t>
            </w:r>
          </w:p>
        </w:tc>
        <w:tc>
          <w:tcPr>
            <w:tcW w:w="737" w:type="dxa"/>
            <w:tcBorders>
              <w:top w:val="single" w:color="000000" w:sz="4" w:space="0"/>
              <w:left w:val="single" w:color="000000" w:sz="4" w:space="0"/>
              <w:bottom w:val="nil"/>
              <w:right w:val="single" w:color="000000" w:sz="4" w:space="0"/>
            </w:tcBorders>
            <w:shd w:val="clear" w:color="auto" w:fill="auto"/>
            <w:noWrap/>
            <w:vAlign w:val="center"/>
          </w:tcPr>
          <w:p w14:paraId="62F632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产品</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DD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包装</w:t>
            </w:r>
            <w:r>
              <w:rPr>
                <w:rStyle w:val="25"/>
                <w:rFonts w:hint="eastAsia"/>
                <w:color w:val="auto"/>
                <w:sz w:val="18"/>
                <w:szCs w:val="18"/>
                <w:lang w:val="en-US" w:eastAsia="zh-CN" w:bidi="ar"/>
              </w:rPr>
              <w:t>要求</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C6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运输</w:t>
            </w:r>
            <w:r>
              <w:rPr>
                <w:rStyle w:val="25"/>
                <w:rFonts w:hint="eastAsia"/>
                <w:color w:val="auto"/>
                <w:sz w:val="18"/>
                <w:szCs w:val="18"/>
                <w:lang w:val="en-US" w:eastAsia="zh-CN" w:bidi="ar"/>
              </w:rPr>
              <w:t>要求</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62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贮存</w:t>
            </w:r>
            <w:r>
              <w:rPr>
                <w:rStyle w:val="25"/>
                <w:rFonts w:hint="eastAsia"/>
                <w:color w:val="auto"/>
                <w:sz w:val="18"/>
                <w:szCs w:val="18"/>
                <w:lang w:val="en-US" w:eastAsia="zh-CN" w:bidi="ar"/>
              </w:rPr>
              <w:t>要求</w:t>
            </w:r>
          </w:p>
        </w:tc>
      </w:tr>
      <w:tr w14:paraId="3F7A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1"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BE38">
            <w:pPr>
              <w:keepNext w:val="0"/>
              <w:keepLines w:val="0"/>
              <w:widowControl/>
              <w:suppressLineNumbers w:val="0"/>
              <w:jc w:val="left"/>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企业A</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CB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nil"/>
              <w:left w:val="nil"/>
              <w:bottom w:val="nil"/>
              <w:right w:val="nil"/>
            </w:tcBorders>
            <w:shd w:val="clear" w:color="auto" w:fill="auto"/>
            <w:vAlign w:val="center"/>
          </w:tcPr>
          <w:p w14:paraId="7D3DFF1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废电池：</w:t>
            </w:r>
            <w:r>
              <w:rPr>
                <w:rStyle w:val="27"/>
                <w:color w:val="auto"/>
                <w:sz w:val="18"/>
                <w:szCs w:val="18"/>
                <w:lang w:val="en-US" w:eastAsia="zh-CN" w:bidi="ar"/>
              </w:rPr>
              <w:t>托盘打底，木板或者泡沫隔离，绑扎带捆绑打包；极片等厂废：吨袋包装。</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19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废电池：</w:t>
            </w:r>
            <w:r>
              <w:rPr>
                <w:rStyle w:val="27"/>
                <w:color w:val="auto"/>
                <w:sz w:val="18"/>
                <w:szCs w:val="18"/>
                <w:lang w:val="en-US" w:eastAsia="zh-CN" w:bidi="ar"/>
              </w:rPr>
              <w:t>托盘承载、按</w:t>
            </w:r>
            <w:r>
              <w:rPr>
                <w:rStyle w:val="28"/>
                <w:rFonts w:eastAsia="宋体"/>
                <w:color w:val="auto"/>
                <w:sz w:val="18"/>
                <w:szCs w:val="18"/>
                <w:lang w:val="en-US" w:eastAsia="zh-CN" w:bidi="ar"/>
              </w:rPr>
              <w:t>9</w:t>
            </w:r>
            <w:r>
              <w:rPr>
                <w:rStyle w:val="27"/>
                <w:color w:val="auto"/>
                <w:sz w:val="18"/>
                <w:szCs w:val="18"/>
                <w:lang w:val="en-US" w:eastAsia="zh-CN" w:bidi="ar"/>
              </w:rPr>
              <w:t>类危险货物汽车运输；极片等：吨包承载，按普通货物汽车运输。</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159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丙二类仓库</w:t>
            </w:r>
            <w:r>
              <w:rPr>
                <w:rStyle w:val="29"/>
                <w:rFonts w:eastAsia="宋体"/>
                <w:color w:val="auto"/>
                <w:sz w:val="18"/>
                <w:szCs w:val="18"/>
                <w:lang w:val="en-US" w:eastAsia="zh-CN" w:bidi="ar"/>
              </w:rPr>
              <w:t>10000</w:t>
            </w:r>
            <w:r>
              <w:rPr>
                <w:rStyle w:val="25"/>
                <w:color w:val="auto"/>
                <w:sz w:val="18"/>
                <w:szCs w:val="18"/>
                <w:lang w:val="en-US" w:eastAsia="zh-CN" w:bidi="ar"/>
              </w:rPr>
              <w:t>平方米，贮存最大量为废电池</w:t>
            </w:r>
            <w:r>
              <w:rPr>
                <w:rStyle w:val="29"/>
                <w:rFonts w:eastAsia="宋体"/>
                <w:color w:val="auto"/>
                <w:sz w:val="18"/>
                <w:szCs w:val="18"/>
                <w:lang w:val="en-US" w:eastAsia="zh-CN" w:bidi="ar"/>
              </w:rPr>
              <w:t>500</w:t>
            </w:r>
            <w:r>
              <w:rPr>
                <w:rStyle w:val="25"/>
                <w:color w:val="auto"/>
                <w:sz w:val="18"/>
                <w:szCs w:val="18"/>
                <w:lang w:val="en-US" w:eastAsia="zh-CN" w:bidi="ar"/>
              </w:rPr>
              <w:t>吨，分区分类贮存，按照</w:t>
            </w:r>
            <w:r>
              <w:rPr>
                <w:rStyle w:val="29"/>
                <w:rFonts w:eastAsia="宋体"/>
                <w:color w:val="auto"/>
                <w:sz w:val="18"/>
                <w:szCs w:val="18"/>
                <w:lang w:val="en-US" w:eastAsia="zh-CN" w:bidi="ar"/>
              </w:rPr>
              <w:t>GB/T 38698.2-2023</w:t>
            </w:r>
            <w:r>
              <w:rPr>
                <w:rStyle w:val="25"/>
                <w:color w:val="auto"/>
                <w:sz w:val="18"/>
                <w:szCs w:val="18"/>
                <w:lang w:val="en-US" w:eastAsia="zh-CN" w:bidi="ar"/>
              </w:rPr>
              <w:t>和</w:t>
            </w:r>
            <w:r>
              <w:rPr>
                <w:rStyle w:val="29"/>
                <w:rFonts w:eastAsia="宋体"/>
                <w:color w:val="auto"/>
                <w:sz w:val="18"/>
                <w:szCs w:val="18"/>
                <w:lang w:val="en-US" w:eastAsia="zh-CN" w:bidi="ar"/>
              </w:rPr>
              <w:t>GB/T 26493-2011</w:t>
            </w:r>
            <w:r>
              <w:rPr>
                <w:rStyle w:val="25"/>
                <w:color w:val="auto"/>
                <w:sz w:val="18"/>
                <w:szCs w:val="18"/>
                <w:lang w:val="en-US" w:eastAsia="zh-CN" w:bidi="ar"/>
              </w:rPr>
              <w:t>暂行，贮存周期约</w:t>
            </w:r>
            <w:r>
              <w:rPr>
                <w:rStyle w:val="29"/>
                <w:rFonts w:eastAsia="宋体"/>
                <w:color w:val="auto"/>
                <w:sz w:val="18"/>
                <w:szCs w:val="18"/>
                <w:lang w:val="en-US" w:eastAsia="zh-CN" w:bidi="ar"/>
              </w:rPr>
              <w:t>7-15</w:t>
            </w:r>
            <w:r>
              <w:rPr>
                <w:rStyle w:val="25"/>
                <w:color w:val="auto"/>
                <w:sz w:val="18"/>
                <w:szCs w:val="18"/>
                <w:lang w:val="en-US" w:eastAsia="zh-CN" w:bidi="ar"/>
              </w:rPr>
              <w:t>天。</w:t>
            </w:r>
          </w:p>
        </w:tc>
      </w:tr>
      <w:tr w14:paraId="198F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3"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EDB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企业B</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A8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E33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吨袋、木箱、水桶</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5C9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普通货车和</w:t>
            </w:r>
            <w:r>
              <w:rPr>
                <w:rStyle w:val="28"/>
                <w:rFonts w:eastAsia="宋体"/>
                <w:color w:val="auto"/>
                <w:sz w:val="18"/>
                <w:szCs w:val="18"/>
                <w:lang w:val="en-US" w:eastAsia="zh-CN" w:bidi="ar"/>
              </w:rPr>
              <w:t>9</w:t>
            </w:r>
            <w:r>
              <w:rPr>
                <w:rStyle w:val="27"/>
                <w:color w:val="auto"/>
                <w:sz w:val="18"/>
                <w:szCs w:val="18"/>
                <w:lang w:val="en-US" w:eastAsia="zh-CN" w:bidi="ar"/>
              </w:rPr>
              <w:t>类危险品车</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2DD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拥有</w:t>
            </w:r>
            <w:r>
              <w:rPr>
                <w:rStyle w:val="29"/>
                <w:rFonts w:eastAsia="宋体"/>
                <w:color w:val="auto"/>
                <w:sz w:val="18"/>
                <w:szCs w:val="18"/>
                <w:lang w:val="en-US" w:eastAsia="zh-CN" w:bidi="ar"/>
              </w:rPr>
              <w:t>1600</w:t>
            </w:r>
            <w:r>
              <w:rPr>
                <w:rStyle w:val="25"/>
                <w:color w:val="auto"/>
                <w:sz w:val="18"/>
                <w:szCs w:val="18"/>
                <w:lang w:val="en-US" w:eastAsia="zh-CN" w:bidi="ar"/>
              </w:rPr>
              <w:t>㎡的电池储存空间；</w:t>
            </w:r>
            <w:r>
              <w:rPr>
                <w:rStyle w:val="29"/>
                <w:rFonts w:eastAsia="宋体"/>
                <w:color w:val="auto"/>
                <w:sz w:val="18"/>
                <w:szCs w:val="18"/>
                <w:lang w:val="en-US" w:eastAsia="zh-CN" w:bidi="ar"/>
              </w:rPr>
              <w:br w:type="textWrapping"/>
            </w:r>
            <w:r>
              <w:rPr>
                <w:rStyle w:val="25"/>
                <w:color w:val="auto"/>
                <w:sz w:val="18"/>
                <w:szCs w:val="18"/>
                <w:lang w:val="en-US" w:eastAsia="zh-CN" w:bidi="ar"/>
              </w:rPr>
              <w:t>带电电池包采用轮式托盘平铺存放，存放量约</w:t>
            </w:r>
            <w:r>
              <w:rPr>
                <w:rStyle w:val="29"/>
                <w:rFonts w:eastAsia="宋体"/>
                <w:color w:val="auto"/>
                <w:sz w:val="18"/>
                <w:szCs w:val="18"/>
                <w:lang w:val="en-US" w:eastAsia="zh-CN" w:bidi="ar"/>
              </w:rPr>
              <w:t>0.1</w:t>
            </w:r>
            <w:r>
              <w:rPr>
                <w:rStyle w:val="25"/>
                <w:color w:val="auto"/>
                <w:sz w:val="18"/>
                <w:szCs w:val="18"/>
                <w:lang w:val="en-US" w:eastAsia="zh-CN" w:bidi="ar"/>
              </w:rPr>
              <w:t>个电池包</w:t>
            </w:r>
            <w:r>
              <w:rPr>
                <w:rStyle w:val="29"/>
                <w:rFonts w:eastAsia="宋体"/>
                <w:color w:val="auto"/>
                <w:sz w:val="18"/>
                <w:szCs w:val="18"/>
                <w:lang w:val="en-US" w:eastAsia="zh-CN" w:bidi="ar"/>
              </w:rPr>
              <w:t>/m</w:t>
            </w:r>
            <w:r>
              <w:rPr>
                <w:rStyle w:val="30"/>
                <w:rFonts w:eastAsia="宋体"/>
                <w:color w:val="auto"/>
                <w:sz w:val="18"/>
                <w:szCs w:val="18"/>
                <w:lang w:val="en-US" w:eastAsia="zh-CN" w:bidi="ar"/>
              </w:rPr>
              <w:t>2</w:t>
            </w:r>
            <w:r>
              <w:rPr>
                <w:rStyle w:val="25"/>
                <w:color w:val="auto"/>
                <w:sz w:val="18"/>
                <w:szCs w:val="18"/>
                <w:lang w:val="en-US" w:eastAsia="zh-CN" w:bidi="ar"/>
              </w:rPr>
              <w:t>；</w:t>
            </w:r>
            <w:r>
              <w:rPr>
                <w:rStyle w:val="29"/>
                <w:rFonts w:eastAsia="宋体"/>
                <w:color w:val="auto"/>
                <w:sz w:val="18"/>
                <w:szCs w:val="18"/>
                <w:lang w:val="en-US" w:eastAsia="zh-CN" w:bidi="ar"/>
              </w:rPr>
              <w:br w:type="textWrapping"/>
            </w:r>
            <w:r>
              <w:rPr>
                <w:rStyle w:val="25"/>
                <w:color w:val="auto"/>
                <w:sz w:val="18"/>
                <w:szCs w:val="18"/>
                <w:lang w:val="en-US" w:eastAsia="zh-CN" w:bidi="ar"/>
              </w:rPr>
              <w:t>不带电电池包采用轮式托盘堆叠存放，存放量约</w:t>
            </w:r>
            <w:r>
              <w:rPr>
                <w:rStyle w:val="29"/>
                <w:rFonts w:eastAsia="宋体"/>
                <w:color w:val="auto"/>
                <w:sz w:val="18"/>
                <w:szCs w:val="18"/>
                <w:lang w:val="en-US" w:eastAsia="zh-CN" w:bidi="ar"/>
              </w:rPr>
              <w:t>0.4</w:t>
            </w:r>
            <w:r>
              <w:rPr>
                <w:rStyle w:val="25"/>
                <w:color w:val="auto"/>
                <w:sz w:val="18"/>
                <w:szCs w:val="18"/>
                <w:lang w:val="en-US" w:eastAsia="zh-CN" w:bidi="ar"/>
              </w:rPr>
              <w:t>个电池包/</w:t>
            </w:r>
            <w:r>
              <w:rPr>
                <w:rStyle w:val="29"/>
                <w:rFonts w:eastAsia="宋体"/>
                <w:color w:val="auto"/>
                <w:sz w:val="18"/>
                <w:szCs w:val="18"/>
                <w:lang w:val="en-US" w:eastAsia="zh-CN" w:bidi="ar"/>
              </w:rPr>
              <w:t>m</w:t>
            </w:r>
            <w:r>
              <w:rPr>
                <w:rStyle w:val="30"/>
                <w:rFonts w:eastAsia="宋体"/>
                <w:color w:val="auto"/>
                <w:sz w:val="18"/>
                <w:szCs w:val="18"/>
                <w:lang w:val="en-US" w:eastAsia="zh-CN" w:bidi="ar"/>
              </w:rPr>
              <w:t>2</w:t>
            </w:r>
            <w:r>
              <w:rPr>
                <w:rStyle w:val="25"/>
                <w:color w:val="auto"/>
                <w:sz w:val="18"/>
                <w:szCs w:val="18"/>
                <w:lang w:val="en-US" w:eastAsia="zh-CN" w:bidi="ar"/>
              </w:rPr>
              <w:t>；</w:t>
            </w:r>
            <w:r>
              <w:rPr>
                <w:rStyle w:val="29"/>
                <w:rFonts w:eastAsia="宋体"/>
                <w:color w:val="auto"/>
                <w:sz w:val="18"/>
                <w:szCs w:val="18"/>
                <w:lang w:val="en-US" w:eastAsia="zh-CN" w:bidi="ar"/>
              </w:rPr>
              <w:br w:type="textWrapping"/>
            </w:r>
            <w:r>
              <w:rPr>
                <w:rStyle w:val="27"/>
                <w:color w:val="auto"/>
                <w:sz w:val="18"/>
                <w:szCs w:val="18"/>
                <w:lang w:val="en-US" w:eastAsia="zh-CN" w:bidi="ar"/>
              </w:rPr>
              <w:t>电池包存放间距</w:t>
            </w:r>
            <w:r>
              <w:rPr>
                <w:rStyle w:val="28"/>
                <w:rFonts w:eastAsia="宋体"/>
                <w:color w:val="auto"/>
                <w:sz w:val="18"/>
                <w:szCs w:val="18"/>
                <w:lang w:val="en-US" w:eastAsia="zh-CN" w:bidi="ar"/>
              </w:rPr>
              <w:t>≥0.5m</w:t>
            </w:r>
            <w:r>
              <w:rPr>
                <w:rStyle w:val="25"/>
                <w:color w:val="auto"/>
                <w:sz w:val="18"/>
                <w:szCs w:val="18"/>
                <w:lang w:val="en-US" w:eastAsia="zh-CN" w:bidi="ar"/>
              </w:rPr>
              <w:t>，具体按照</w:t>
            </w:r>
            <w:r>
              <w:rPr>
                <w:rStyle w:val="29"/>
                <w:rFonts w:eastAsia="宋体"/>
                <w:color w:val="auto"/>
                <w:sz w:val="18"/>
                <w:szCs w:val="18"/>
                <w:lang w:val="en-US" w:eastAsia="zh-CN" w:bidi="ar"/>
              </w:rPr>
              <w:t>GB/T38698.2-2023</w:t>
            </w:r>
            <w:r>
              <w:rPr>
                <w:rStyle w:val="25"/>
                <w:color w:val="auto"/>
                <w:sz w:val="18"/>
                <w:szCs w:val="18"/>
                <w:lang w:val="en-US" w:eastAsia="zh-CN" w:bidi="ar"/>
              </w:rPr>
              <w:t>执行；</w:t>
            </w:r>
            <w:r>
              <w:rPr>
                <w:rStyle w:val="29"/>
                <w:rFonts w:eastAsia="宋体"/>
                <w:color w:val="auto"/>
                <w:sz w:val="18"/>
                <w:szCs w:val="18"/>
                <w:lang w:val="en-US" w:eastAsia="zh-CN" w:bidi="ar"/>
              </w:rPr>
              <w:br w:type="textWrapping"/>
            </w:r>
            <w:r>
              <w:rPr>
                <w:rStyle w:val="27"/>
                <w:color w:val="auto"/>
                <w:sz w:val="18"/>
                <w:szCs w:val="18"/>
                <w:lang w:val="en-US" w:eastAsia="zh-CN" w:bidi="ar"/>
              </w:rPr>
              <w:t>模块和单体等其他材料采用分层货架存放</w:t>
            </w:r>
            <w:r>
              <w:rPr>
                <w:rStyle w:val="25"/>
                <w:color w:val="auto"/>
                <w:sz w:val="18"/>
                <w:szCs w:val="18"/>
                <w:lang w:val="en-US" w:eastAsia="zh-CN" w:bidi="ar"/>
              </w:rPr>
              <w:t>；</w:t>
            </w:r>
            <w:r>
              <w:rPr>
                <w:rStyle w:val="29"/>
                <w:rFonts w:eastAsia="宋体"/>
                <w:color w:val="auto"/>
                <w:sz w:val="18"/>
                <w:szCs w:val="18"/>
                <w:lang w:val="en-US" w:eastAsia="zh-CN" w:bidi="ar"/>
              </w:rPr>
              <w:br w:type="textWrapping"/>
            </w:r>
            <w:r>
              <w:rPr>
                <w:rStyle w:val="25"/>
                <w:color w:val="auto"/>
                <w:sz w:val="18"/>
                <w:szCs w:val="18"/>
                <w:lang w:val="en-US" w:eastAsia="zh-CN" w:bidi="ar"/>
              </w:rPr>
              <w:t>电池包、模块和单体等其他材料</w:t>
            </w:r>
            <w:r>
              <w:rPr>
                <w:rStyle w:val="27"/>
                <w:color w:val="auto"/>
                <w:sz w:val="18"/>
                <w:szCs w:val="18"/>
                <w:lang w:val="en-US" w:eastAsia="zh-CN" w:bidi="ar"/>
              </w:rPr>
              <w:t>存放时间＜</w:t>
            </w:r>
            <w:r>
              <w:rPr>
                <w:rStyle w:val="28"/>
                <w:rFonts w:eastAsia="宋体"/>
                <w:color w:val="auto"/>
                <w:sz w:val="18"/>
                <w:szCs w:val="18"/>
                <w:lang w:val="en-US" w:eastAsia="zh-CN" w:bidi="ar"/>
              </w:rPr>
              <w:t>7</w:t>
            </w:r>
            <w:r>
              <w:rPr>
                <w:rStyle w:val="27"/>
                <w:color w:val="auto"/>
                <w:sz w:val="18"/>
                <w:szCs w:val="18"/>
                <w:lang w:val="en-US" w:eastAsia="zh-CN" w:bidi="ar"/>
              </w:rPr>
              <w:t>天</w:t>
            </w:r>
            <w:r>
              <w:rPr>
                <w:rStyle w:val="25"/>
                <w:color w:val="auto"/>
                <w:sz w:val="18"/>
                <w:szCs w:val="18"/>
                <w:lang w:val="en-US" w:eastAsia="zh-CN" w:bidi="ar"/>
              </w:rPr>
              <w:t>；</w:t>
            </w:r>
            <w:r>
              <w:rPr>
                <w:rStyle w:val="29"/>
                <w:rFonts w:eastAsia="宋体"/>
                <w:color w:val="auto"/>
                <w:sz w:val="18"/>
                <w:szCs w:val="18"/>
                <w:lang w:val="en-US" w:eastAsia="zh-CN" w:bidi="ar"/>
              </w:rPr>
              <w:br w:type="textWrapping"/>
            </w:r>
            <w:r>
              <w:rPr>
                <w:rStyle w:val="27"/>
                <w:color w:val="auto"/>
                <w:sz w:val="18"/>
                <w:szCs w:val="18"/>
                <w:lang w:val="en-US" w:eastAsia="zh-CN" w:bidi="ar"/>
              </w:rPr>
              <w:t>电池放置区域布置烟感、红外测温监控、消防水炮、消防水池、异味吸收装置等设施；</w:t>
            </w:r>
          </w:p>
        </w:tc>
      </w:tr>
      <w:tr w14:paraId="301B4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30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企业C</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84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34E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参考《车用动力电池回收利用 管理规范 第1部分：包装运输》</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D0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第九类危险品运输</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9CA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参考《车用动力电池回收利用</w:t>
            </w:r>
            <w:r>
              <w:rPr>
                <w:rStyle w:val="29"/>
                <w:rFonts w:eastAsia="宋体"/>
                <w:color w:val="auto"/>
                <w:sz w:val="18"/>
                <w:szCs w:val="18"/>
                <w:lang w:val="en-US" w:eastAsia="zh-CN" w:bidi="ar"/>
              </w:rPr>
              <w:t xml:space="preserve"> </w:t>
            </w:r>
            <w:r>
              <w:rPr>
                <w:rStyle w:val="25"/>
                <w:color w:val="auto"/>
                <w:sz w:val="18"/>
                <w:szCs w:val="18"/>
                <w:lang w:val="en-US" w:eastAsia="zh-CN" w:bidi="ar"/>
              </w:rPr>
              <w:t>管理规范</w:t>
            </w:r>
            <w:r>
              <w:rPr>
                <w:rStyle w:val="29"/>
                <w:rFonts w:eastAsia="宋体"/>
                <w:color w:val="auto"/>
                <w:sz w:val="18"/>
                <w:szCs w:val="18"/>
                <w:lang w:val="en-US" w:eastAsia="zh-CN" w:bidi="ar"/>
              </w:rPr>
              <w:t xml:space="preserve"> </w:t>
            </w:r>
            <w:r>
              <w:rPr>
                <w:rStyle w:val="25"/>
                <w:color w:val="auto"/>
                <w:sz w:val="18"/>
                <w:szCs w:val="18"/>
                <w:lang w:val="en-US" w:eastAsia="zh-CN" w:bidi="ar"/>
              </w:rPr>
              <w:t>第</w:t>
            </w:r>
            <w:r>
              <w:rPr>
                <w:rStyle w:val="29"/>
                <w:rFonts w:eastAsia="宋体"/>
                <w:color w:val="auto"/>
                <w:sz w:val="18"/>
                <w:szCs w:val="18"/>
                <w:lang w:val="en-US" w:eastAsia="zh-CN" w:bidi="ar"/>
              </w:rPr>
              <w:t>2</w:t>
            </w:r>
            <w:r>
              <w:rPr>
                <w:rStyle w:val="25"/>
                <w:color w:val="auto"/>
                <w:sz w:val="18"/>
                <w:szCs w:val="18"/>
                <w:lang w:val="en-US" w:eastAsia="zh-CN" w:bidi="ar"/>
              </w:rPr>
              <w:t>部分：回收服务网点》</w:t>
            </w:r>
          </w:p>
        </w:tc>
      </w:tr>
      <w:tr w14:paraId="1C31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16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企业D</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BC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E96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塑料编织袋、塑料桶</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FFF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Style w:val="28"/>
                <w:rFonts w:eastAsia="宋体"/>
                <w:color w:val="auto"/>
                <w:sz w:val="18"/>
                <w:szCs w:val="18"/>
                <w:lang w:val="en-US" w:eastAsia="zh-CN" w:bidi="ar"/>
              </w:rPr>
              <w:t>1</w:t>
            </w:r>
            <w:r>
              <w:rPr>
                <w:rStyle w:val="27"/>
                <w:color w:val="auto"/>
                <w:sz w:val="18"/>
                <w:szCs w:val="18"/>
                <w:lang w:val="en-US" w:eastAsia="zh-CN" w:bidi="ar"/>
              </w:rPr>
              <w:t>、运输容器：塑料编织袋；运输方式：公路运输</w:t>
            </w:r>
            <w:r>
              <w:rPr>
                <w:rStyle w:val="28"/>
                <w:rFonts w:eastAsia="宋体"/>
                <w:color w:val="auto"/>
                <w:sz w:val="18"/>
                <w:szCs w:val="18"/>
                <w:lang w:val="en-US" w:eastAsia="zh-CN" w:bidi="ar"/>
              </w:rPr>
              <w:br w:type="textWrapping"/>
            </w:r>
            <w:r>
              <w:rPr>
                <w:rStyle w:val="28"/>
                <w:rFonts w:eastAsia="宋体"/>
                <w:color w:val="auto"/>
                <w:sz w:val="18"/>
                <w:szCs w:val="18"/>
                <w:lang w:val="en-US" w:eastAsia="zh-CN" w:bidi="ar"/>
              </w:rPr>
              <w:t>2</w:t>
            </w:r>
            <w:r>
              <w:rPr>
                <w:rStyle w:val="27"/>
                <w:color w:val="auto"/>
                <w:sz w:val="18"/>
                <w:szCs w:val="18"/>
                <w:lang w:val="en-US" w:eastAsia="zh-CN" w:bidi="ar"/>
              </w:rPr>
              <w:t>、运输容器：塑料桶；运输方式：公路运输</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717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Style w:val="29"/>
                <w:rFonts w:eastAsia="宋体"/>
                <w:color w:val="auto"/>
                <w:sz w:val="18"/>
                <w:szCs w:val="18"/>
                <w:lang w:val="en-US" w:eastAsia="zh-CN" w:bidi="ar"/>
              </w:rPr>
              <w:t>1</w:t>
            </w:r>
            <w:r>
              <w:rPr>
                <w:rStyle w:val="25"/>
                <w:color w:val="auto"/>
                <w:sz w:val="18"/>
                <w:szCs w:val="18"/>
                <w:lang w:val="en-US" w:eastAsia="zh-CN" w:bidi="ar"/>
              </w:rPr>
              <w:t>、贮存设施：塑料编织袋；贮存方式：电池废料贮存</w:t>
            </w:r>
            <w:r>
              <w:rPr>
                <w:rStyle w:val="29"/>
                <w:rFonts w:eastAsia="宋体"/>
                <w:color w:val="auto"/>
                <w:sz w:val="18"/>
                <w:szCs w:val="18"/>
                <w:lang w:val="en-US" w:eastAsia="zh-CN" w:bidi="ar"/>
              </w:rPr>
              <w:br w:type="textWrapping"/>
            </w:r>
            <w:r>
              <w:rPr>
                <w:rStyle w:val="29"/>
                <w:rFonts w:eastAsia="宋体"/>
                <w:color w:val="auto"/>
                <w:sz w:val="18"/>
                <w:szCs w:val="18"/>
                <w:lang w:val="en-US" w:eastAsia="zh-CN" w:bidi="ar"/>
              </w:rPr>
              <w:t>2</w:t>
            </w:r>
            <w:r>
              <w:rPr>
                <w:rStyle w:val="25"/>
                <w:color w:val="auto"/>
                <w:sz w:val="18"/>
                <w:szCs w:val="18"/>
                <w:lang w:val="en-US" w:eastAsia="zh-CN" w:bidi="ar"/>
              </w:rPr>
              <w:t>、贮存设施：塑料桶；贮存方式：电池、电池废料贮存</w:t>
            </w:r>
          </w:p>
        </w:tc>
      </w:tr>
      <w:tr w14:paraId="57777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8"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BBB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企业E</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E5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11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按废旧电池的的状态分为</w:t>
            </w:r>
            <w:r>
              <w:rPr>
                <w:rStyle w:val="28"/>
                <w:rFonts w:eastAsia="宋体"/>
                <w:color w:val="auto"/>
                <w:sz w:val="18"/>
                <w:szCs w:val="18"/>
                <w:lang w:val="en-US" w:eastAsia="zh-CN" w:bidi="ar"/>
              </w:rPr>
              <w:t>A</w:t>
            </w:r>
            <w:r>
              <w:rPr>
                <w:rStyle w:val="27"/>
                <w:color w:val="auto"/>
                <w:sz w:val="18"/>
                <w:szCs w:val="18"/>
                <w:lang w:val="en-US" w:eastAsia="zh-CN" w:bidi="ar"/>
              </w:rPr>
              <w:t>、</w:t>
            </w:r>
            <w:r>
              <w:rPr>
                <w:rStyle w:val="28"/>
                <w:rFonts w:eastAsia="宋体"/>
                <w:color w:val="auto"/>
                <w:sz w:val="18"/>
                <w:szCs w:val="18"/>
                <w:lang w:val="en-US" w:eastAsia="zh-CN" w:bidi="ar"/>
              </w:rPr>
              <w:t>B</w:t>
            </w:r>
            <w:r>
              <w:rPr>
                <w:rStyle w:val="27"/>
                <w:color w:val="auto"/>
                <w:sz w:val="18"/>
                <w:szCs w:val="18"/>
                <w:lang w:val="en-US" w:eastAsia="zh-CN" w:bidi="ar"/>
              </w:rPr>
              <w:t>和</w:t>
            </w:r>
            <w:r>
              <w:rPr>
                <w:rStyle w:val="28"/>
                <w:rFonts w:eastAsia="宋体"/>
                <w:color w:val="auto"/>
                <w:sz w:val="18"/>
                <w:szCs w:val="18"/>
                <w:lang w:val="en-US" w:eastAsia="zh-CN" w:bidi="ar"/>
              </w:rPr>
              <w:t>C</w:t>
            </w:r>
            <w:r>
              <w:rPr>
                <w:rStyle w:val="27"/>
                <w:color w:val="auto"/>
                <w:sz w:val="18"/>
                <w:szCs w:val="18"/>
                <w:lang w:val="en-US" w:eastAsia="zh-CN" w:bidi="ar"/>
              </w:rPr>
              <w:t>三类有不同的包装方式。</w:t>
            </w:r>
            <w:r>
              <w:rPr>
                <w:rStyle w:val="28"/>
                <w:rFonts w:eastAsia="宋体"/>
                <w:color w:val="auto"/>
                <w:sz w:val="18"/>
                <w:szCs w:val="18"/>
                <w:lang w:val="en-US" w:eastAsia="zh-CN" w:bidi="ar"/>
              </w:rPr>
              <w:br w:type="textWrapping"/>
            </w:r>
            <w:r>
              <w:rPr>
                <w:rStyle w:val="27"/>
                <w:color w:val="auto"/>
                <w:sz w:val="18"/>
                <w:szCs w:val="18"/>
                <w:lang w:val="en-US" w:eastAsia="zh-CN" w:bidi="ar"/>
              </w:rPr>
              <w:t>如</w:t>
            </w:r>
            <w:r>
              <w:rPr>
                <w:rStyle w:val="28"/>
                <w:rFonts w:eastAsia="宋体"/>
                <w:color w:val="auto"/>
                <w:sz w:val="18"/>
                <w:szCs w:val="18"/>
                <w:lang w:val="en-US" w:eastAsia="zh-CN" w:bidi="ar"/>
              </w:rPr>
              <w:t>A</w:t>
            </w:r>
            <w:r>
              <w:rPr>
                <w:rStyle w:val="27"/>
                <w:color w:val="auto"/>
                <w:sz w:val="18"/>
                <w:szCs w:val="18"/>
                <w:lang w:val="en-US" w:eastAsia="zh-CN" w:bidi="ar"/>
              </w:rPr>
              <w:t>类：纸箱、周转箱</w:t>
            </w:r>
            <w:r>
              <w:rPr>
                <w:rStyle w:val="28"/>
                <w:rFonts w:eastAsia="宋体"/>
                <w:color w:val="auto"/>
                <w:sz w:val="18"/>
                <w:szCs w:val="18"/>
                <w:lang w:val="en-US" w:eastAsia="zh-CN" w:bidi="ar"/>
              </w:rPr>
              <w:br w:type="textWrapping"/>
            </w:r>
            <w:r>
              <w:rPr>
                <w:rStyle w:val="28"/>
                <w:rFonts w:eastAsia="宋体"/>
                <w:color w:val="auto"/>
                <w:sz w:val="18"/>
                <w:szCs w:val="18"/>
                <w:lang w:val="en-US" w:eastAsia="zh-CN" w:bidi="ar"/>
              </w:rPr>
              <w:t>B</w:t>
            </w:r>
            <w:r>
              <w:rPr>
                <w:rStyle w:val="27"/>
                <w:color w:val="auto"/>
                <w:sz w:val="18"/>
                <w:szCs w:val="18"/>
                <w:lang w:val="en-US" w:eastAsia="zh-CN" w:bidi="ar"/>
              </w:rPr>
              <w:t>类和</w:t>
            </w:r>
            <w:r>
              <w:rPr>
                <w:rStyle w:val="28"/>
                <w:rFonts w:eastAsia="宋体"/>
                <w:color w:val="auto"/>
                <w:sz w:val="18"/>
                <w:szCs w:val="18"/>
                <w:lang w:val="en-US" w:eastAsia="zh-CN" w:bidi="ar"/>
              </w:rPr>
              <w:t>C</w:t>
            </w:r>
            <w:r>
              <w:rPr>
                <w:rStyle w:val="27"/>
                <w:color w:val="auto"/>
                <w:sz w:val="18"/>
                <w:szCs w:val="18"/>
                <w:lang w:val="en-US" w:eastAsia="zh-CN" w:bidi="ar"/>
              </w:rPr>
              <w:t>类：塑料桶、防爆箱等</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93B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可采用公路运输、针对公路运输的车辆和人员要求应符合</w:t>
            </w:r>
            <w:r>
              <w:rPr>
                <w:rStyle w:val="28"/>
                <w:rFonts w:eastAsia="宋体"/>
                <w:color w:val="auto"/>
                <w:sz w:val="18"/>
                <w:szCs w:val="18"/>
                <w:lang w:val="en-US" w:eastAsia="zh-CN" w:bidi="ar"/>
              </w:rPr>
              <w:t>JY/T 617</w:t>
            </w:r>
            <w:r>
              <w:rPr>
                <w:rStyle w:val="27"/>
                <w:color w:val="auto"/>
                <w:sz w:val="18"/>
                <w:szCs w:val="18"/>
                <w:lang w:val="en-US" w:eastAsia="zh-CN" w:bidi="ar"/>
              </w:rPr>
              <w:t>的相关规定；</w:t>
            </w:r>
            <w:r>
              <w:rPr>
                <w:rStyle w:val="28"/>
                <w:rFonts w:eastAsia="宋体"/>
                <w:color w:val="auto"/>
                <w:sz w:val="18"/>
                <w:szCs w:val="18"/>
                <w:lang w:val="en-US" w:eastAsia="zh-CN" w:bidi="ar"/>
              </w:rPr>
              <w:br w:type="textWrapping"/>
            </w:r>
            <w:r>
              <w:rPr>
                <w:rStyle w:val="27"/>
                <w:color w:val="auto"/>
                <w:sz w:val="18"/>
                <w:szCs w:val="18"/>
                <w:lang w:val="en-US" w:eastAsia="zh-CN" w:bidi="ar"/>
              </w:rPr>
              <w:t>运输时应备有封堵、吸附、人员防护等材料和收集容器、收集泄露物，防止运输过程中产生污染</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5C4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贮存不超过一年，暂存不超过三个月；</w:t>
            </w:r>
            <w:r>
              <w:rPr>
                <w:rStyle w:val="28"/>
                <w:rFonts w:eastAsia="宋体"/>
                <w:color w:val="auto"/>
                <w:sz w:val="18"/>
                <w:szCs w:val="18"/>
                <w:lang w:val="en-US" w:eastAsia="zh-CN" w:bidi="ar"/>
              </w:rPr>
              <w:br w:type="textWrapping"/>
            </w:r>
            <w:r>
              <w:rPr>
                <w:rStyle w:val="27"/>
                <w:color w:val="auto"/>
                <w:sz w:val="18"/>
                <w:szCs w:val="18"/>
                <w:lang w:val="en-US" w:eastAsia="zh-CN" w:bidi="ar"/>
              </w:rPr>
              <w:t>贮存和暂存应防雨淋和太阳直射</w:t>
            </w:r>
            <w:r>
              <w:rPr>
                <w:rStyle w:val="25"/>
                <w:color w:val="auto"/>
                <w:sz w:val="18"/>
                <w:szCs w:val="18"/>
                <w:lang w:val="en-US" w:eastAsia="zh-CN" w:bidi="ar"/>
              </w:rPr>
              <w:t>，储存在丙类仓库，耐火等级不低于二级；</w:t>
            </w:r>
            <w:r>
              <w:rPr>
                <w:rStyle w:val="29"/>
                <w:rFonts w:eastAsia="宋体"/>
                <w:color w:val="auto"/>
                <w:sz w:val="18"/>
                <w:szCs w:val="18"/>
                <w:lang w:val="en-US" w:eastAsia="zh-CN" w:bidi="ar"/>
              </w:rPr>
              <w:br w:type="textWrapping"/>
            </w:r>
            <w:r>
              <w:rPr>
                <w:rStyle w:val="27"/>
                <w:color w:val="auto"/>
                <w:sz w:val="18"/>
                <w:szCs w:val="18"/>
                <w:lang w:val="en-US" w:eastAsia="zh-CN" w:bidi="ar"/>
              </w:rPr>
              <w:t>贮存间距不小于</w:t>
            </w:r>
            <w:r>
              <w:rPr>
                <w:rStyle w:val="28"/>
                <w:rFonts w:eastAsia="宋体"/>
                <w:color w:val="auto"/>
                <w:sz w:val="18"/>
                <w:szCs w:val="18"/>
                <w:lang w:val="en-US" w:eastAsia="zh-CN" w:bidi="ar"/>
              </w:rPr>
              <w:t>0.5m;</w:t>
            </w:r>
            <w:r>
              <w:rPr>
                <w:rStyle w:val="29"/>
                <w:rFonts w:eastAsia="宋体"/>
                <w:color w:val="auto"/>
                <w:sz w:val="18"/>
                <w:szCs w:val="18"/>
                <w:lang w:val="en-US" w:eastAsia="zh-CN" w:bidi="ar"/>
              </w:rPr>
              <w:br w:type="textWrapping"/>
            </w:r>
            <w:r>
              <w:rPr>
                <w:rStyle w:val="25"/>
                <w:color w:val="auto"/>
                <w:sz w:val="18"/>
                <w:szCs w:val="18"/>
                <w:lang w:val="en-US" w:eastAsia="zh-CN" w:bidi="ar"/>
              </w:rPr>
              <w:t>单位面积储存量按照电池依安全性分类不同，为</w:t>
            </w:r>
            <w:r>
              <w:rPr>
                <w:rStyle w:val="29"/>
                <w:rFonts w:eastAsia="宋体"/>
                <w:color w:val="auto"/>
                <w:sz w:val="18"/>
                <w:szCs w:val="18"/>
                <w:lang w:val="en-US" w:eastAsia="zh-CN" w:bidi="ar"/>
              </w:rPr>
              <w:t>0.7~2.0t/m</w:t>
            </w:r>
            <w:r>
              <w:rPr>
                <w:rStyle w:val="30"/>
                <w:rFonts w:eastAsia="宋体"/>
                <w:color w:val="auto"/>
                <w:sz w:val="18"/>
                <w:szCs w:val="18"/>
                <w:lang w:val="en-US" w:eastAsia="zh-CN" w:bidi="ar"/>
              </w:rPr>
              <w:t>2</w:t>
            </w:r>
          </w:p>
        </w:tc>
      </w:tr>
      <w:tr w14:paraId="5EB3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1"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61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企业F</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6D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AA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硫酸镍：编织袋内衬</w:t>
            </w:r>
            <w:r>
              <w:rPr>
                <w:rStyle w:val="28"/>
                <w:rFonts w:eastAsia="宋体"/>
                <w:color w:val="auto"/>
                <w:sz w:val="18"/>
                <w:szCs w:val="18"/>
                <w:lang w:val="en-US" w:eastAsia="zh-CN" w:bidi="ar"/>
              </w:rPr>
              <w:t>PE</w:t>
            </w:r>
            <w:r>
              <w:rPr>
                <w:rStyle w:val="27"/>
                <w:color w:val="auto"/>
                <w:sz w:val="18"/>
                <w:szCs w:val="18"/>
                <w:lang w:val="en-US" w:eastAsia="zh-CN" w:bidi="ar"/>
              </w:rPr>
              <w:t>袋加外</w:t>
            </w:r>
            <w:r>
              <w:rPr>
                <w:rStyle w:val="28"/>
                <w:rFonts w:eastAsia="宋体"/>
                <w:color w:val="auto"/>
                <w:sz w:val="18"/>
                <w:szCs w:val="18"/>
                <w:lang w:val="en-US" w:eastAsia="zh-CN" w:bidi="ar"/>
              </w:rPr>
              <w:t>PE</w:t>
            </w:r>
            <w:r>
              <w:rPr>
                <w:rStyle w:val="27"/>
                <w:color w:val="auto"/>
                <w:sz w:val="18"/>
                <w:szCs w:val="18"/>
                <w:lang w:val="en-US" w:eastAsia="zh-CN" w:bidi="ar"/>
              </w:rPr>
              <w:t>袋</w:t>
            </w:r>
            <w:r>
              <w:rPr>
                <w:rStyle w:val="28"/>
                <w:rFonts w:eastAsia="宋体"/>
                <w:color w:val="auto"/>
                <w:sz w:val="18"/>
                <w:szCs w:val="18"/>
                <w:lang w:val="en-US" w:eastAsia="zh-CN" w:bidi="ar"/>
              </w:rPr>
              <w:br w:type="textWrapping"/>
            </w:r>
            <w:r>
              <w:rPr>
                <w:rStyle w:val="27"/>
                <w:color w:val="auto"/>
                <w:sz w:val="18"/>
                <w:szCs w:val="18"/>
                <w:lang w:val="en-US" w:eastAsia="zh-CN" w:bidi="ar"/>
              </w:rPr>
              <w:t>硫酸钴：编织袋内衬</w:t>
            </w:r>
            <w:r>
              <w:rPr>
                <w:rStyle w:val="28"/>
                <w:rFonts w:eastAsia="宋体"/>
                <w:color w:val="auto"/>
                <w:sz w:val="18"/>
                <w:szCs w:val="18"/>
                <w:lang w:val="en-US" w:eastAsia="zh-CN" w:bidi="ar"/>
              </w:rPr>
              <w:t>PE</w:t>
            </w:r>
            <w:r>
              <w:rPr>
                <w:rStyle w:val="27"/>
                <w:color w:val="auto"/>
                <w:sz w:val="18"/>
                <w:szCs w:val="18"/>
                <w:lang w:val="en-US" w:eastAsia="zh-CN" w:bidi="ar"/>
              </w:rPr>
              <w:t>袋加外</w:t>
            </w:r>
            <w:r>
              <w:rPr>
                <w:rStyle w:val="28"/>
                <w:rFonts w:eastAsia="宋体"/>
                <w:color w:val="auto"/>
                <w:sz w:val="18"/>
                <w:szCs w:val="18"/>
                <w:lang w:val="en-US" w:eastAsia="zh-CN" w:bidi="ar"/>
              </w:rPr>
              <w:t>PE</w:t>
            </w:r>
            <w:r>
              <w:rPr>
                <w:rStyle w:val="27"/>
                <w:color w:val="auto"/>
                <w:sz w:val="18"/>
                <w:szCs w:val="18"/>
                <w:lang w:val="en-US" w:eastAsia="zh-CN" w:bidi="ar"/>
              </w:rPr>
              <w:t>袋</w:t>
            </w:r>
            <w:r>
              <w:rPr>
                <w:rStyle w:val="28"/>
                <w:rFonts w:eastAsia="宋体"/>
                <w:color w:val="auto"/>
                <w:sz w:val="18"/>
                <w:szCs w:val="18"/>
                <w:lang w:val="en-US" w:eastAsia="zh-CN" w:bidi="ar"/>
              </w:rPr>
              <w:br w:type="textWrapping"/>
            </w:r>
            <w:r>
              <w:rPr>
                <w:rStyle w:val="27"/>
                <w:color w:val="auto"/>
                <w:sz w:val="18"/>
                <w:szCs w:val="18"/>
                <w:lang w:val="en-US" w:eastAsia="zh-CN" w:bidi="ar"/>
              </w:rPr>
              <w:t>硫酸锰：编织袋内衬</w:t>
            </w:r>
            <w:r>
              <w:rPr>
                <w:rStyle w:val="28"/>
                <w:rFonts w:eastAsia="宋体"/>
                <w:color w:val="auto"/>
                <w:sz w:val="18"/>
                <w:szCs w:val="18"/>
                <w:lang w:val="en-US" w:eastAsia="zh-CN" w:bidi="ar"/>
              </w:rPr>
              <w:t>PE</w:t>
            </w:r>
            <w:r>
              <w:rPr>
                <w:rStyle w:val="27"/>
                <w:color w:val="auto"/>
                <w:sz w:val="18"/>
                <w:szCs w:val="18"/>
                <w:lang w:val="en-US" w:eastAsia="zh-CN" w:bidi="ar"/>
              </w:rPr>
              <w:t>袋加外</w:t>
            </w:r>
            <w:r>
              <w:rPr>
                <w:rStyle w:val="28"/>
                <w:rFonts w:eastAsia="宋体"/>
                <w:color w:val="auto"/>
                <w:sz w:val="18"/>
                <w:szCs w:val="18"/>
                <w:lang w:val="en-US" w:eastAsia="zh-CN" w:bidi="ar"/>
              </w:rPr>
              <w:t>PE</w:t>
            </w:r>
            <w:r>
              <w:rPr>
                <w:rStyle w:val="27"/>
                <w:color w:val="auto"/>
                <w:sz w:val="18"/>
                <w:szCs w:val="18"/>
                <w:lang w:val="en-US" w:eastAsia="zh-CN" w:bidi="ar"/>
              </w:rPr>
              <w:t>袋</w:t>
            </w:r>
            <w:r>
              <w:rPr>
                <w:rStyle w:val="28"/>
                <w:rFonts w:eastAsia="宋体"/>
                <w:color w:val="auto"/>
                <w:sz w:val="18"/>
                <w:szCs w:val="18"/>
                <w:lang w:val="en-US" w:eastAsia="zh-CN" w:bidi="ar"/>
              </w:rPr>
              <w:br w:type="textWrapping"/>
            </w:r>
            <w:r>
              <w:rPr>
                <w:rStyle w:val="27"/>
                <w:color w:val="auto"/>
                <w:sz w:val="18"/>
                <w:szCs w:val="18"/>
                <w:lang w:val="en-US" w:eastAsia="zh-CN" w:bidi="ar"/>
              </w:rPr>
              <w:t>碳酸锂：编织袋内衬</w:t>
            </w:r>
            <w:r>
              <w:rPr>
                <w:rStyle w:val="28"/>
                <w:rFonts w:eastAsia="宋体"/>
                <w:color w:val="auto"/>
                <w:sz w:val="18"/>
                <w:szCs w:val="18"/>
                <w:lang w:val="en-US" w:eastAsia="zh-CN" w:bidi="ar"/>
              </w:rPr>
              <w:t>PE</w:t>
            </w:r>
            <w:r>
              <w:rPr>
                <w:rStyle w:val="27"/>
                <w:color w:val="auto"/>
                <w:sz w:val="18"/>
                <w:szCs w:val="18"/>
                <w:lang w:val="en-US" w:eastAsia="zh-CN" w:bidi="ar"/>
              </w:rPr>
              <w:t>袋加外</w:t>
            </w:r>
            <w:r>
              <w:rPr>
                <w:rStyle w:val="28"/>
                <w:rFonts w:eastAsia="宋体"/>
                <w:color w:val="auto"/>
                <w:sz w:val="18"/>
                <w:szCs w:val="18"/>
                <w:lang w:val="en-US" w:eastAsia="zh-CN" w:bidi="ar"/>
              </w:rPr>
              <w:t>PE</w:t>
            </w:r>
            <w:r>
              <w:rPr>
                <w:rStyle w:val="27"/>
                <w:color w:val="auto"/>
                <w:sz w:val="18"/>
                <w:szCs w:val="18"/>
                <w:lang w:val="en-US" w:eastAsia="zh-CN" w:bidi="ar"/>
              </w:rPr>
              <w:t>袋</w:t>
            </w:r>
            <w:r>
              <w:rPr>
                <w:rStyle w:val="28"/>
                <w:rFonts w:eastAsia="宋体"/>
                <w:color w:val="auto"/>
                <w:sz w:val="18"/>
                <w:szCs w:val="18"/>
                <w:lang w:val="en-US" w:eastAsia="zh-CN" w:bidi="ar"/>
              </w:rPr>
              <w:br w:type="textWrapping"/>
            </w:r>
            <w:r>
              <w:rPr>
                <w:rStyle w:val="27"/>
                <w:color w:val="auto"/>
                <w:sz w:val="18"/>
                <w:szCs w:val="18"/>
                <w:lang w:val="en-US" w:eastAsia="zh-CN" w:bidi="ar"/>
              </w:rPr>
              <w:t>氯化钴：编织袋内衬</w:t>
            </w:r>
            <w:r>
              <w:rPr>
                <w:rStyle w:val="28"/>
                <w:rFonts w:eastAsia="宋体"/>
                <w:color w:val="auto"/>
                <w:sz w:val="18"/>
                <w:szCs w:val="18"/>
                <w:lang w:val="en-US" w:eastAsia="zh-CN" w:bidi="ar"/>
              </w:rPr>
              <w:t>PE</w:t>
            </w:r>
            <w:r>
              <w:rPr>
                <w:rStyle w:val="27"/>
                <w:color w:val="auto"/>
                <w:sz w:val="18"/>
                <w:szCs w:val="18"/>
                <w:lang w:val="en-US" w:eastAsia="zh-CN" w:bidi="ar"/>
              </w:rPr>
              <w:t>袋加外</w:t>
            </w:r>
            <w:r>
              <w:rPr>
                <w:rStyle w:val="28"/>
                <w:rFonts w:eastAsia="宋体"/>
                <w:color w:val="auto"/>
                <w:sz w:val="18"/>
                <w:szCs w:val="18"/>
                <w:lang w:val="en-US" w:eastAsia="zh-CN" w:bidi="ar"/>
              </w:rPr>
              <w:t>PE</w:t>
            </w:r>
            <w:r>
              <w:rPr>
                <w:rStyle w:val="27"/>
                <w:color w:val="auto"/>
                <w:sz w:val="18"/>
                <w:szCs w:val="18"/>
                <w:lang w:val="en-US" w:eastAsia="zh-CN" w:bidi="ar"/>
              </w:rPr>
              <w:t>袋</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37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7"/>
                <w:color w:val="auto"/>
                <w:sz w:val="18"/>
                <w:szCs w:val="18"/>
                <w:lang w:val="en-US" w:eastAsia="zh-CN" w:bidi="ar"/>
              </w:rPr>
              <w:t>硫酸镍：</w:t>
            </w:r>
            <w:r>
              <w:rPr>
                <w:rStyle w:val="28"/>
                <w:rFonts w:eastAsia="宋体"/>
                <w:color w:val="auto"/>
                <w:sz w:val="18"/>
                <w:szCs w:val="18"/>
                <w:lang w:val="en-US" w:eastAsia="zh-CN" w:bidi="ar"/>
              </w:rPr>
              <w:t>9</w:t>
            </w:r>
            <w:r>
              <w:rPr>
                <w:rStyle w:val="27"/>
                <w:color w:val="auto"/>
                <w:sz w:val="18"/>
                <w:szCs w:val="18"/>
                <w:lang w:val="en-US" w:eastAsia="zh-CN" w:bidi="ar"/>
              </w:rPr>
              <w:t>类危化品货车，车厢上下垫</w:t>
            </w:r>
            <w:r>
              <w:rPr>
                <w:rStyle w:val="28"/>
                <w:rFonts w:eastAsia="宋体"/>
                <w:color w:val="auto"/>
                <w:sz w:val="18"/>
                <w:szCs w:val="18"/>
                <w:lang w:val="en-US" w:eastAsia="zh-CN" w:bidi="ar"/>
              </w:rPr>
              <w:t>PE</w:t>
            </w:r>
            <w:r>
              <w:rPr>
                <w:rStyle w:val="27"/>
                <w:color w:val="auto"/>
                <w:sz w:val="18"/>
                <w:szCs w:val="18"/>
                <w:lang w:val="en-US" w:eastAsia="zh-CN" w:bidi="ar"/>
              </w:rPr>
              <w:t>薄膜，车厢四周垫纸皮与车厢隔开；公路整车</w:t>
            </w:r>
            <w:r>
              <w:rPr>
                <w:rStyle w:val="28"/>
                <w:rFonts w:eastAsia="宋体"/>
                <w:color w:val="auto"/>
                <w:sz w:val="18"/>
                <w:szCs w:val="18"/>
                <w:lang w:val="en-US" w:eastAsia="zh-CN" w:bidi="ar"/>
              </w:rPr>
              <w:br w:type="textWrapping"/>
            </w:r>
            <w:r>
              <w:rPr>
                <w:rStyle w:val="27"/>
                <w:color w:val="auto"/>
                <w:sz w:val="18"/>
                <w:szCs w:val="18"/>
                <w:lang w:val="en-US" w:eastAsia="zh-CN" w:bidi="ar"/>
              </w:rPr>
              <w:t>硫酸钴：</w:t>
            </w:r>
            <w:r>
              <w:rPr>
                <w:rStyle w:val="28"/>
                <w:rFonts w:eastAsia="宋体"/>
                <w:color w:val="auto"/>
                <w:sz w:val="18"/>
                <w:szCs w:val="18"/>
                <w:lang w:val="en-US" w:eastAsia="zh-CN" w:bidi="ar"/>
              </w:rPr>
              <w:t>9</w:t>
            </w:r>
            <w:r>
              <w:rPr>
                <w:rStyle w:val="27"/>
                <w:color w:val="auto"/>
                <w:sz w:val="18"/>
                <w:szCs w:val="18"/>
                <w:lang w:val="en-US" w:eastAsia="zh-CN" w:bidi="ar"/>
              </w:rPr>
              <w:t>类危化品货车，车厢上下垫</w:t>
            </w:r>
            <w:r>
              <w:rPr>
                <w:rStyle w:val="28"/>
                <w:rFonts w:eastAsia="宋体"/>
                <w:color w:val="auto"/>
                <w:sz w:val="18"/>
                <w:szCs w:val="18"/>
                <w:lang w:val="en-US" w:eastAsia="zh-CN" w:bidi="ar"/>
              </w:rPr>
              <w:t>PE</w:t>
            </w:r>
            <w:r>
              <w:rPr>
                <w:rStyle w:val="27"/>
                <w:color w:val="auto"/>
                <w:sz w:val="18"/>
                <w:szCs w:val="18"/>
                <w:lang w:val="en-US" w:eastAsia="zh-CN" w:bidi="ar"/>
              </w:rPr>
              <w:t>薄膜，车厢四周垫纸皮与车厢隔开；公路整车</w:t>
            </w:r>
            <w:r>
              <w:rPr>
                <w:rStyle w:val="28"/>
                <w:rFonts w:eastAsia="宋体"/>
                <w:color w:val="auto"/>
                <w:sz w:val="18"/>
                <w:szCs w:val="18"/>
                <w:lang w:val="en-US" w:eastAsia="zh-CN" w:bidi="ar"/>
              </w:rPr>
              <w:br w:type="textWrapping"/>
            </w:r>
            <w:r>
              <w:rPr>
                <w:rStyle w:val="27"/>
                <w:color w:val="auto"/>
                <w:sz w:val="18"/>
                <w:szCs w:val="18"/>
                <w:lang w:val="en-US" w:eastAsia="zh-CN" w:bidi="ar"/>
              </w:rPr>
              <w:t>硫酸锰：普通货车，公路整车</w:t>
            </w:r>
            <w:r>
              <w:rPr>
                <w:rStyle w:val="28"/>
                <w:rFonts w:eastAsia="宋体"/>
                <w:color w:val="auto"/>
                <w:sz w:val="18"/>
                <w:szCs w:val="18"/>
                <w:lang w:val="en-US" w:eastAsia="zh-CN" w:bidi="ar"/>
              </w:rPr>
              <w:br w:type="textWrapping"/>
            </w:r>
            <w:r>
              <w:rPr>
                <w:rStyle w:val="27"/>
                <w:color w:val="auto"/>
                <w:sz w:val="18"/>
                <w:szCs w:val="18"/>
                <w:lang w:val="en-US" w:eastAsia="zh-CN" w:bidi="ar"/>
              </w:rPr>
              <w:t>碳酸锂：普通货车，车厢上下垫</w:t>
            </w:r>
            <w:r>
              <w:rPr>
                <w:rStyle w:val="28"/>
                <w:rFonts w:eastAsia="宋体"/>
                <w:color w:val="auto"/>
                <w:sz w:val="18"/>
                <w:szCs w:val="18"/>
                <w:lang w:val="en-US" w:eastAsia="zh-CN" w:bidi="ar"/>
              </w:rPr>
              <w:t>PE</w:t>
            </w:r>
            <w:r>
              <w:rPr>
                <w:rStyle w:val="27"/>
                <w:color w:val="auto"/>
                <w:sz w:val="18"/>
                <w:szCs w:val="18"/>
                <w:lang w:val="en-US" w:eastAsia="zh-CN" w:bidi="ar"/>
              </w:rPr>
              <w:t>薄膜，车厢四周垫纸皮与车厢隔开；公路整车</w:t>
            </w:r>
            <w:r>
              <w:rPr>
                <w:rStyle w:val="28"/>
                <w:rFonts w:eastAsia="宋体"/>
                <w:color w:val="auto"/>
                <w:sz w:val="18"/>
                <w:szCs w:val="18"/>
                <w:lang w:val="en-US" w:eastAsia="zh-CN" w:bidi="ar"/>
              </w:rPr>
              <w:br w:type="textWrapping"/>
            </w:r>
            <w:r>
              <w:rPr>
                <w:rStyle w:val="27"/>
                <w:color w:val="auto"/>
                <w:sz w:val="18"/>
                <w:szCs w:val="18"/>
                <w:lang w:val="en-US" w:eastAsia="zh-CN" w:bidi="ar"/>
              </w:rPr>
              <w:t>氯化钴：</w:t>
            </w:r>
            <w:r>
              <w:rPr>
                <w:rStyle w:val="28"/>
                <w:rFonts w:eastAsia="宋体"/>
                <w:color w:val="auto"/>
                <w:sz w:val="18"/>
                <w:szCs w:val="18"/>
                <w:lang w:val="en-US" w:eastAsia="zh-CN" w:bidi="ar"/>
              </w:rPr>
              <w:t>9</w:t>
            </w:r>
            <w:r>
              <w:rPr>
                <w:rStyle w:val="27"/>
                <w:color w:val="auto"/>
                <w:sz w:val="18"/>
                <w:szCs w:val="18"/>
                <w:lang w:val="en-US" w:eastAsia="zh-CN" w:bidi="ar"/>
              </w:rPr>
              <w:t>类危化品货车，车厢上下垫</w:t>
            </w:r>
            <w:r>
              <w:rPr>
                <w:rStyle w:val="28"/>
                <w:rFonts w:eastAsia="宋体"/>
                <w:color w:val="auto"/>
                <w:sz w:val="18"/>
                <w:szCs w:val="18"/>
                <w:lang w:val="en-US" w:eastAsia="zh-CN" w:bidi="ar"/>
              </w:rPr>
              <w:t>PE</w:t>
            </w:r>
            <w:r>
              <w:rPr>
                <w:rStyle w:val="27"/>
                <w:color w:val="auto"/>
                <w:sz w:val="18"/>
                <w:szCs w:val="18"/>
                <w:lang w:val="en-US" w:eastAsia="zh-CN" w:bidi="ar"/>
              </w:rPr>
              <w:t>薄膜，车厢四周垫纸皮与车厢隔开；公路整车</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593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5"/>
                <w:color w:val="auto"/>
                <w:sz w:val="18"/>
                <w:szCs w:val="18"/>
                <w:lang w:val="en-US" w:eastAsia="zh-CN" w:bidi="ar"/>
              </w:rPr>
              <w:t>贮存设施：</w:t>
            </w:r>
            <w:r>
              <w:rPr>
                <w:rStyle w:val="31"/>
                <w:color w:val="auto"/>
                <w:sz w:val="18"/>
                <w:szCs w:val="18"/>
                <w:lang w:val="en-US" w:eastAsia="zh-CN" w:bidi="ar"/>
              </w:rPr>
              <w:t>房屋耐火等级二级及以上</w:t>
            </w:r>
            <w:r>
              <w:rPr>
                <w:rStyle w:val="25"/>
                <w:color w:val="auto"/>
                <w:sz w:val="18"/>
                <w:szCs w:val="18"/>
                <w:lang w:val="en-US" w:eastAsia="zh-CN" w:bidi="ar"/>
              </w:rPr>
              <w:t>，地面采用金钢砂；</w:t>
            </w:r>
            <w:r>
              <w:rPr>
                <w:rStyle w:val="27"/>
                <w:color w:val="auto"/>
                <w:sz w:val="18"/>
                <w:szCs w:val="18"/>
                <w:lang w:val="en-US" w:eastAsia="zh-CN" w:bidi="ar"/>
              </w:rPr>
              <w:t>分区存放</w:t>
            </w:r>
            <w:r>
              <w:rPr>
                <w:rStyle w:val="25"/>
                <w:color w:val="auto"/>
                <w:sz w:val="18"/>
                <w:szCs w:val="18"/>
                <w:lang w:val="en-US" w:eastAsia="zh-CN" w:bidi="ar"/>
              </w:rPr>
              <w:t>；</w:t>
            </w:r>
            <w:r>
              <w:rPr>
                <w:rStyle w:val="29"/>
                <w:rFonts w:eastAsia="宋体"/>
                <w:color w:val="auto"/>
                <w:sz w:val="18"/>
                <w:szCs w:val="18"/>
                <w:lang w:val="en-US" w:eastAsia="zh-CN" w:bidi="ar"/>
              </w:rPr>
              <w:br w:type="textWrapping"/>
            </w:r>
            <w:r>
              <w:rPr>
                <w:rStyle w:val="25"/>
                <w:color w:val="auto"/>
                <w:sz w:val="18"/>
                <w:szCs w:val="18"/>
                <w:lang w:val="en-US" w:eastAsia="zh-CN" w:bidi="ar"/>
              </w:rPr>
              <w:t>单位贮存量：</w:t>
            </w:r>
            <w:r>
              <w:rPr>
                <w:rStyle w:val="29"/>
                <w:rFonts w:eastAsia="宋体"/>
                <w:color w:val="auto"/>
                <w:sz w:val="18"/>
                <w:szCs w:val="18"/>
                <w:lang w:val="en-US" w:eastAsia="zh-CN" w:bidi="ar"/>
              </w:rPr>
              <w:t>0.8-1.6</w:t>
            </w:r>
            <w:r>
              <w:rPr>
                <w:rStyle w:val="25"/>
                <w:color w:val="auto"/>
                <w:sz w:val="18"/>
                <w:szCs w:val="18"/>
                <w:lang w:val="en-US" w:eastAsia="zh-CN" w:bidi="ar"/>
              </w:rPr>
              <w:t>吨</w:t>
            </w:r>
            <w:r>
              <w:rPr>
                <w:rStyle w:val="29"/>
                <w:rFonts w:eastAsia="宋体"/>
                <w:color w:val="auto"/>
                <w:sz w:val="18"/>
                <w:szCs w:val="18"/>
                <w:lang w:val="en-US" w:eastAsia="zh-CN" w:bidi="ar"/>
              </w:rPr>
              <w:t>/</w:t>
            </w:r>
            <w:r>
              <w:rPr>
                <w:rStyle w:val="25"/>
                <w:color w:val="auto"/>
                <w:sz w:val="18"/>
                <w:szCs w:val="18"/>
                <w:lang w:val="en-US" w:eastAsia="zh-CN" w:bidi="ar"/>
              </w:rPr>
              <w:t>平方米</w:t>
            </w:r>
            <w:r>
              <w:rPr>
                <w:rStyle w:val="29"/>
                <w:rFonts w:eastAsia="宋体"/>
                <w:color w:val="auto"/>
                <w:sz w:val="18"/>
                <w:szCs w:val="18"/>
                <w:lang w:val="en-US" w:eastAsia="zh-CN" w:bidi="ar"/>
              </w:rPr>
              <w:br w:type="textWrapping"/>
            </w:r>
            <w:r>
              <w:rPr>
                <w:rStyle w:val="25"/>
                <w:color w:val="auto"/>
                <w:sz w:val="18"/>
                <w:szCs w:val="18"/>
                <w:lang w:val="en-US" w:eastAsia="zh-CN" w:bidi="ar"/>
              </w:rPr>
              <w:t>间距：</w:t>
            </w:r>
            <w:r>
              <w:rPr>
                <w:rStyle w:val="27"/>
                <w:color w:val="auto"/>
                <w:sz w:val="18"/>
                <w:szCs w:val="18"/>
                <w:lang w:val="en-US" w:eastAsia="zh-CN" w:bidi="ar"/>
              </w:rPr>
              <w:t>堆垛与内墙</w:t>
            </w:r>
            <w:r>
              <w:rPr>
                <w:rStyle w:val="28"/>
                <w:rFonts w:eastAsia="宋体"/>
                <w:color w:val="auto"/>
                <w:sz w:val="18"/>
                <w:szCs w:val="18"/>
                <w:lang w:val="en-US" w:eastAsia="zh-CN" w:bidi="ar"/>
              </w:rPr>
              <w:t>≥0.5m</w:t>
            </w:r>
            <w:r>
              <w:rPr>
                <w:rStyle w:val="27"/>
                <w:color w:val="auto"/>
                <w:sz w:val="18"/>
                <w:szCs w:val="18"/>
                <w:lang w:val="en-US" w:eastAsia="zh-CN" w:bidi="ar"/>
              </w:rPr>
              <w:t>、与立柱</w:t>
            </w:r>
            <w:r>
              <w:rPr>
                <w:rStyle w:val="28"/>
                <w:rFonts w:eastAsia="宋体"/>
                <w:color w:val="auto"/>
                <w:sz w:val="18"/>
                <w:szCs w:val="18"/>
                <w:lang w:val="en-US" w:eastAsia="zh-CN" w:bidi="ar"/>
              </w:rPr>
              <w:t>≥0.5m</w:t>
            </w:r>
            <w:r>
              <w:rPr>
                <w:rStyle w:val="27"/>
                <w:color w:val="auto"/>
                <w:sz w:val="18"/>
                <w:szCs w:val="18"/>
                <w:lang w:val="en-US" w:eastAsia="zh-CN" w:bidi="ar"/>
              </w:rPr>
              <w:t>、与梁</w:t>
            </w:r>
            <w:r>
              <w:rPr>
                <w:rStyle w:val="28"/>
                <w:rFonts w:eastAsia="宋体"/>
                <w:color w:val="auto"/>
                <w:sz w:val="18"/>
                <w:szCs w:val="18"/>
                <w:lang w:val="en-US" w:eastAsia="zh-CN" w:bidi="ar"/>
              </w:rPr>
              <w:t>≥0.5m</w:t>
            </w:r>
            <w:r>
              <w:rPr>
                <w:rStyle w:val="27"/>
                <w:color w:val="auto"/>
                <w:sz w:val="18"/>
                <w:szCs w:val="18"/>
                <w:lang w:val="en-US" w:eastAsia="zh-CN" w:bidi="ar"/>
              </w:rPr>
              <w:t>、与灯具</w:t>
            </w:r>
            <w:r>
              <w:rPr>
                <w:rStyle w:val="28"/>
                <w:rFonts w:eastAsia="宋体"/>
                <w:color w:val="auto"/>
                <w:sz w:val="18"/>
                <w:szCs w:val="18"/>
                <w:lang w:val="en-US" w:eastAsia="zh-CN" w:bidi="ar"/>
              </w:rPr>
              <w:t>≥1m</w:t>
            </w:r>
            <w:r>
              <w:rPr>
                <w:rStyle w:val="27"/>
                <w:color w:val="auto"/>
                <w:sz w:val="18"/>
                <w:szCs w:val="18"/>
                <w:lang w:val="en-US" w:eastAsia="zh-CN" w:bidi="ar"/>
              </w:rPr>
              <w:t>，不同类</w:t>
            </w:r>
            <w:r>
              <w:rPr>
                <w:rStyle w:val="28"/>
                <w:rFonts w:eastAsia="宋体"/>
                <w:color w:val="auto"/>
                <w:sz w:val="18"/>
                <w:szCs w:val="18"/>
                <w:lang w:val="en-US" w:eastAsia="zh-CN" w:bidi="ar"/>
              </w:rPr>
              <w:t>≥1m</w:t>
            </w:r>
            <w:r>
              <w:rPr>
                <w:rStyle w:val="27"/>
                <w:color w:val="auto"/>
                <w:sz w:val="18"/>
                <w:szCs w:val="18"/>
                <w:lang w:val="en-US" w:eastAsia="zh-CN" w:bidi="ar"/>
              </w:rPr>
              <w:t>，主叉车通道</w:t>
            </w:r>
            <w:r>
              <w:rPr>
                <w:rStyle w:val="28"/>
                <w:rFonts w:eastAsia="宋体"/>
                <w:color w:val="auto"/>
                <w:sz w:val="18"/>
                <w:szCs w:val="18"/>
                <w:lang w:val="en-US" w:eastAsia="zh-CN" w:bidi="ar"/>
              </w:rPr>
              <w:t>≥4m</w:t>
            </w:r>
            <w:r>
              <w:rPr>
                <w:rStyle w:val="27"/>
                <w:color w:val="auto"/>
                <w:sz w:val="18"/>
                <w:szCs w:val="18"/>
                <w:lang w:val="en-US" w:eastAsia="zh-CN" w:bidi="ar"/>
              </w:rPr>
              <w:t>，人行通道</w:t>
            </w:r>
            <w:r>
              <w:rPr>
                <w:rStyle w:val="28"/>
                <w:rFonts w:eastAsia="宋体"/>
                <w:color w:val="auto"/>
                <w:sz w:val="18"/>
                <w:szCs w:val="18"/>
                <w:lang w:val="en-US" w:eastAsia="zh-CN" w:bidi="ar"/>
              </w:rPr>
              <w:t>≥1m</w:t>
            </w:r>
            <w:r>
              <w:rPr>
                <w:rStyle w:val="27"/>
                <w:color w:val="auto"/>
                <w:sz w:val="18"/>
                <w:szCs w:val="18"/>
                <w:lang w:val="en-US" w:eastAsia="zh-CN" w:bidi="ar"/>
              </w:rPr>
              <w:t>，与消防栓、灭火器、应急设备</w:t>
            </w:r>
            <w:r>
              <w:rPr>
                <w:rStyle w:val="28"/>
                <w:rFonts w:eastAsia="宋体"/>
                <w:color w:val="auto"/>
                <w:sz w:val="18"/>
                <w:szCs w:val="18"/>
                <w:lang w:val="en-US" w:eastAsia="zh-CN" w:bidi="ar"/>
              </w:rPr>
              <w:t>≥1m</w:t>
            </w:r>
            <w:r>
              <w:rPr>
                <w:rStyle w:val="28"/>
                <w:rFonts w:eastAsia="宋体"/>
                <w:color w:val="auto"/>
                <w:sz w:val="18"/>
                <w:szCs w:val="18"/>
                <w:lang w:val="en-US" w:eastAsia="zh-CN" w:bidi="ar"/>
              </w:rPr>
              <w:br w:type="textWrapping"/>
            </w:r>
            <w:r>
              <w:rPr>
                <w:rStyle w:val="27"/>
                <w:color w:val="auto"/>
                <w:sz w:val="18"/>
                <w:szCs w:val="18"/>
                <w:lang w:val="en-US" w:eastAsia="zh-CN" w:bidi="ar"/>
              </w:rPr>
              <w:t>高度：最高</w:t>
            </w:r>
            <w:r>
              <w:rPr>
                <w:rStyle w:val="28"/>
                <w:rFonts w:eastAsia="宋体"/>
                <w:color w:val="auto"/>
                <w:sz w:val="18"/>
                <w:szCs w:val="18"/>
                <w:lang w:val="en-US" w:eastAsia="zh-CN" w:bidi="ar"/>
              </w:rPr>
              <w:t>2.5M</w:t>
            </w:r>
            <w:r>
              <w:rPr>
                <w:rStyle w:val="29"/>
                <w:rFonts w:eastAsia="宋体"/>
                <w:color w:val="auto"/>
                <w:sz w:val="18"/>
                <w:szCs w:val="18"/>
                <w:lang w:val="en-US" w:eastAsia="zh-CN" w:bidi="ar"/>
              </w:rPr>
              <w:br w:type="textWrapping"/>
            </w:r>
            <w:r>
              <w:rPr>
                <w:rStyle w:val="25"/>
                <w:color w:val="auto"/>
                <w:sz w:val="18"/>
                <w:szCs w:val="18"/>
                <w:lang w:val="en-US" w:eastAsia="zh-CN" w:bidi="ar"/>
              </w:rPr>
              <w:t>时间：硫酸镍、硫酸钴、硫酸锰、氯化钴</w:t>
            </w:r>
            <w:r>
              <w:rPr>
                <w:rStyle w:val="29"/>
                <w:rFonts w:eastAsia="宋体"/>
                <w:color w:val="auto"/>
                <w:sz w:val="18"/>
                <w:szCs w:val="18"/>
                <w:lang w:val="en-US" w:eastAsia="zh-CN" w:bidi="ar"/>
              </w:rPr>
              <w:t>12</w:t>
            </w:r>
            <w:r>
              <w:rPr>
                <w:rStyle w:val="25"/>
                <w:color w:val="auto"/>
                <w:sz w:val="18"/>
                <w:szCs w:val="18"/>
                <w:lang w:val="en-US" w:eastAsia="zh-CN" w:bidi="ar"/>
              </w:rPr>
              <w:t>个月，电池级碳酸锂密封真空包装</w:t>
            </w:r>
            <w:r>
              <w:rPr>
                <w:rStyle w:val="29"/>
                <w:rFonts w:eastAsia="宋体"/>
                <w:color w:val="auto"/>
                <w:sz w:val="18"/>
                <w:szCs w:val="18"/>
                <w:lang w:val="en-US" w:eastAsia="zh-CN" w:bidi="ar"/>
              </w:rPr>
              <w:t>12</w:t>
            </w:r>
            <w:r>
              <w:rPr>
                <w:rStyle w:val="25"/>
                <w:color w:val="auto"/>
                <w:sz w:val="18"/>
                <w:szCs w:val="18"/>
                <w:lang w:val="en-US" w:eastAsia="zh-CN" w:bidi="ar"/>
              </w:rPr>
              <w:t>个月</w:t>
            </w:r>
            <w:r>
              <w:rPr>
                <w:rStyle w:val="29"/>
                <w:rFonts w:eastAsia="宋体"/>
                <w:color w:val="auto"/>
                <w:sz w:val="18"/>
                <w:szCs w:val="18"/>
                <w:lang w:val="en-US" w:eastAsia="zh-CN" w:bidi="ar"/>
              </w:rPr>
              <w:br w:type="textWrapping"/>
            </w:r>
            <w:r>
              <w:rPr>
                <w:rStyle w:val="25"/>
                <w:color w:val="auto"/>
                <w:sz w:val="18"/>
                <w:szCs w:val="18"/>
                <w:lang w:val="en-US" w:eastAsia="zh-CN" w:bidi="ar"/>
              </w:rPr>
              <w:t>周转管理：先进先出，新旧料标识分开堆放</w:t>
            </w:r>
            <w:r>
              <w:rPr>
                <w:rStyle w:val="29"/>
                <w:rFonts w:eastAsia="宋体"/>
                <w:color w:val="auto"/>
                <w:sz w:val="18"/>
                <w:szCs w:val="18"/>
                <w:lang w:val="en-US" w:eastAsia="zh-CN" w:bidi="ar"/>
              </w:rPr>
              <w:br w:type="textWrapping"/>
            </w:r>
            <w:r>
              <w:rPr>
                <w:rStyle w:val="27"/>
                <w:color w:val="auto"/>
                <w:sz w:val="18"/>
                <w:szCs w:val="18"/>
                <w:lang w:val="en-US" w:eastAsia="zh-CN" w:bidi="ar"/>
              </w:rPr>
              <w:t>温度：</w:t>
            </w:r>
            <w:r>
              <w:rPr>
                <w:rStyle w:val="28"/>
                <w:rFonts w:eastAsia="宋体"/>
                <w:color w:val="auto"/>
                <w:sz w:val="18"/>
                <w:szCs w:val="18"/>
                <w:lang w:val="en-US" w:eastAsia="zh-CN" w:bidi="ar"/>
              </w:rPr>
              <w:t>≤40℃</w:t>
            </w:r>
          </w:p>
        </w:tc>
      </w:tr>
    </w:tbl>
    <w:p w14:paraId="21B96073">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结合现有政策法规和现行标准，考虑各企业实际操作，对标准进行以上修改。</w:t>
      </w:r>
    </w:p>
    <w:p w14:paraId="04E1888C">
      <w:pPr>
        <w:pStyle w:val="1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hAnsi="黑体" w:eastAsia="黑体" w:cs="黑体"/>
          <w:color w:val="auto"/>
          <w:sz w:val="21"/>
          <w:szCs w:val="21"/>
          <w:lang w:val="en-US" w:eastAsia="zh-CN"/>
        </w:rPr>
        <w:t>三</w:t>
      </w:r>
      <w:r>
        <w:rPr>
          <w:rFonts w:hint="eastAsia" w:cs="宋体"/>
          <w:color w:val="auto"/>
          <w:sz w:val="21"/>
          <w:szCs w:val="21"/>
          <w:lang w:val="en-US" w:eastAsia="zh-CN"/>
        </w:rPr>
        <w:t>、</w:t>
      </w:r>
      <w:r>
        <w:rPr>
          <w:rFonts w:hint="eastAsia" w:ascii="黑体" w:eastAsia="黑体" w:cs="Arial"/>
          <w:color w:val="auto"/>
          <w:sz w:val="21"/>
          <w:szCs w:val="21"/>
          <w:lang w:val="en-US" w:eastAsia="zh-CN"/>
        </w:rPr>
        <w:t>试验验证分析、综述报告、技术经济论证、预期达到的经济效益、社会效益和生态效益</w:t>
      </w:r>
    </w:p>
    <w:p w14:paraId="1A407C12">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1、试验验证分析和综述报告</w:t>
      </w:r>
    </w:p>
    <w:p w14:paraId="7C21AD11">
      <w:pPr>
        <w:pStyle w:val="5"/>
        <w:keepNext w:val="0"/>
        <w:keepLines w:val="0"/>
        <w:pageBreakBefore w:val="0"/>
        <w:widowControl w:val="0"/>
        <w:numPr>
          <w:ilvl w:val="0"/>
          <w:numId w:val="7"/>
        </w:numPr>
        <w:kinsoku/>
        <w:wordWrap/>
        <w:overflowPunct/>
        <w:topLinePunct w:val="0"/>
        <w:autoSpaceDE/>
        <w:autoSpaceDN/>
        <w:bidi w:val="0"/>
        <w:adjustRightInd/>
        <w:snapToGrid/>
        <w:spacing w:after="0"/>
        <w:textAlignment w:val="auto"/>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项目的必要性阐述</w:t>
      </w:r>
    </w:p>
    <w:p w14:paraId="2AAC6AD4">
      <w:pPr>
        <w:pStyle w:val="5"/>
        <w:bidi w:val="0"/>
        <w:rPr>
          <w:rFonts w:hint="eastAsia"/>
          <w:color w:val="auto"/>
          <w:lang w:val="en-US" w:eastAsia="zh-CN"/>
        </w:rPr>
      </w:pPr>
      <w:r>
        <w:rPr>
          <w:rFonts w:hint="eastAsia"/>
          <w:color w:val="auto"/>
          <w:lang w:val="en-US" w:eastAsia="zh-CN"/>
        </w:rPr>
        <w:t>本次修订</w:t>
      </w:r>
      <w:r>
        <w:rPr>
          <w:rFonts w:hint="default" w:ascii="Times New Roman" w:hAnsi="Times New Roman" w:cs="Times New Roman"/>
          <w:color w:val="auto"/>
          <w:lang w:val="en-US" w:eastAsia="zh-CN"/>
        </w:rPr>
        <w:t>GB/T 26493</w:t>
      </w:r>
      <w:r>
        <w:rPr>
          <w:rFonts w:hint="eastAsia" w:ascii="Times New Roman" w:hAnsi="Times New Roman" w:cs="Times New Roman"/>
          <w:color w:val="auto"/>
          <w:lang w:val="en-US" w:eastAsia="zh-CN"/>
        </w:rPr>
        <w:t>-2011</w:t>
      </w:r>
      <w:r>
        <w:rPr>
          <w:rFonts w:hint="eastAsia"/>
          <w:color w:val="auto"/>
          <w:lang w:val="en-US" w:eastAsia="zh-CN"/>
        </w:rPr>
        <w:t>《电池废料贮运规范》，是适配我国电池产业结构升级、落实安全生产与环保监管要求、化解贮运环节重大安全风险、完善废旧电池全链条标准体系的迫切需求，具有极强的现实紧迫性与客观必要性，具体体现在以下六个方面：</w:t>
      </w:r>
    </w:p>
    <w:p w14:paraId="3A5CC171">
      <w:pPr>
        <w:pStyle w:val="5"/>
        <w:bidi w:val="0"/>
        <w:rPr>
          <w:rFonts w:hint="eastAsia"/>
          <w:b/>
          <w:bCs/>
          <w:color w:val="auto"/>
          <w:lang w:val="en-US" w:eastAsia="zh-CN"/>
        </w:rPr>
      </w:pPr>
      <w:r>
        <w:rPr>
          <w:rFonts w:hint="default" w:ascii="Times New Roman" w:hAnsi="Times New Roman" w:cs="Times New Roman"/>
          <w:b/>
          <w:bCs/>
          <w:color w:val="auto"/>
          <w:lang w:val="en-US" w:eastAsia="zh-CN"/>
        </w:rPr>
        <w:t>1.1</w:t>
      </w:r>
      <w:r>
        <w:rPr>
          <w:rFonts w:hint="eastAsia"/>
          <w:b/>
          <w:bCs/>
          <w:color w:val="auto"/>
          <w:lang w:val="en-US" w:eastAsia="zh-CN"/>
        </w:rPr>
        <w:t>产业格局深刻变革，现行标准覆盖范围已严重脱节于产业实际</w:t>
      </w:r>
    </w:p>
    <w:p w14:paraId="71EDBF3B">
      <w:pPr>
        <w:pStyle w:val="5"/>
        <w:bidi w:val="0"/>
        <w:rPr>
          <w:rFonts w:hint="eastAsia"/>
          <w:color w:val="auto"/>
          <w:lang w:val="en-US" w:eastAsia="zh-CN"/>
        </w:rPr>
      </w:pPr>
      <w:r>
        <w:rPr>
          <w:rFonts w:hint="default" w:ascii="Times New Roman" w:hAnsi="Times New Roman" w:cs="Times New Roman"/>
          <w:color w:val="auto"/>
          <w:lang w:val="en-US" w:eastAsia="zh-CN"/>
        </w:rPr>
        <w:t>GB/T 26493-2011《电池废料贮运规范》</w:t>
      </w:r>
      <w:r>
        <w:rPr>
          <w:rFonts w:hint="eastAsia"/>
          <w:color w:val="auto"/>
          <w:lang w:val="en-US" w:eastAsia="zh-CN"/>
        </w:rPr>
        <w:t>发布于我国电池产业以铅酸蓄电池、镍镉、镍氢电池为主体的发展阶段，标准全部技术条款均围绕传统电池废料的低风险特性设置，未针对锂离子电池废料的残余电能、热失控、电解液腐蚀等特殊风险制定专项管控规则。</w:t>
      </w:r>
    </w:p>
    <w:p w14:paraId="65C8885D">
      <w:pPr>
        <w:pStyle w:val="5"/>
        <w:bidi w:val="0"/>
        <w:rPr>
          <w:rFonts w:hint="eastAsia"/>
          <w:color w:val="auto"/>
          <w:lang w:val="en-US" w:eastAsia="zh-CN"/>
        </w:rPr>
      </w:pPr>
      <w:r>
        <w:rPr>
          <w:rFonts w:hint="eastAsia"/>
          <w:color w:val="auto"/>
          <w:lang w:val="en-US" w:eastAsia="zh-CN"/>
        </w:rPr>
        <w:t>十余年来，我国新能源汽车、新型储能、消费电子产业爆发式增长，锂离子电池已成为充电电池产业绝对主力，废旧动力电池、储能电池与生产废料产生量持续攀升，锂电废料已占电池废料总量的绝大多数。贮运作为连接回收端与利用端的核心中间环节，同时也是安全风险最高的环节，却长期缺乏适配锂电特性的国家级技术规范，导致占市场主体的高风险电池废料贮运操作无标可依，标准的基础性支撑作用已严重弱化。因此，必须通过标准修订拓展覆盖范围，补齐主流品类贮运管控空白，匹配我国电池产业发展实际。</w:t>
      </w:r>
    </w:p>
    <w:p w14:paraId="5CE2A5F8">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1.2上位法规政策持续升级，贮运监管要求亟需标准承接落地</w:t>
      </w:r>
    </w:p>
    <w:p w14:paraId="67CF5778">
      <w:pPr>
        <w:pStyle w:val="5"/>
        <w:bidi w:val="0"/>
        <w:rPr>
          <w:rFonts w:hint="eastAsia"/>
          <w:color w:val="auto"/>
          <w:lang w:val="en-US" w:eastAsia="zh-CN"/>
        </w:rPr>
      </w:pPr>
      <w:r>
        <w:rPr>
          <w:rFonts w:hint="eastAsia"/>
          <w:color w:val="auto"/>
          <w:lang w:val="en-US" w:eastAsia="zh-CN"/>
        </w:rPr>
        <w:t>近年来，我国相继修订《中华人民共和国固体废物污染环境防治法》《中华人民共和国安全生产法》，出台《危险货物道路运输安全管理办法》《新能源汽车动力蓄电池回收利用管理暂行办法》《固体废物污染环境防治法》等一系列法律法规与监管文件，对电池废料的贮存场所建设、运输资质管理、污染防控、应急处置、溯源管理、从业人员能力等提出了明确的法定要求与监管部署。</w:t>
      </w:r>
    </w:p>
    <w:p w14:paraId="3E582861">
      <w:pPr>
        <w:pStyle w:val="5"/>
        <w:bidi w:val="0"/>
        <w:rPr>
          <w:rFonts w:hint="eastAsia"/>
          <w:color w:val="auto"/>
          <w:lang w:val="en-US" w:eastAsia="zh-CN"/>
        </w:rPr>
      </w:pPr>
      <w:r>
        <w:rPr>
          <w:rFonts w:hint="eastAsia"/>
          <w:color w:val="auto"/>
          <w:lang w:val="en-US" w:eastAsia="zh-CN"/>
        </w:rPr>
        <w:t>现行标准发布时间早，相关技术内容未与现行法律法规、监管制度形成有效衔接，既导致市场主体开展贮运业务时缺乏清晰的合规指引，也造成交通运输、应急管理、生态环境等部门开展监督执法时缺乏明确的技术判定依据，政策落地存在明显的技术断层。因此，必须通过标准修订将上位法规与政策要求转化为可量化、可执行的技术条款，为行业合规运行与监管执法提供标准化支撑，保障相关制度有效落地。</w:t>
      </w:r>
    </w:p>
    <w:p w14:paraId="0A25F31A">
      <w:pPr>
        <w:pStyle w:val="5"/>
        <w:bidi w:val="0"/>
        <w:rPr>
          <w:rFonts w:hint="eastAsia"/>
          <w:color w:val="auto"/>
          <w:lang w:val="en-US" w:eastAsia="zh-CN"/>
        </w:rPr>
      </w:pPr>
      <w:r>
        <w:rPr>
          <w:rFonts w:hint="default" w:ascii="Times New Roman" w:hAnsi="Times New Roman" w:cs="Times New Roman"/>
          <w:b/>
          <w:bCs/>
          <w:color w:val="auto"/>
          <w:lang w:val="en-US" w:eastAsia="zh-CN"/>
        </w:rPr>
        <w:t>1.3贮运环节安全风险凸显，亟需统一标准筑牢风险防控底线</w:t>
      </w:r>
    </w:p>
    <w:p w14:paraId="01E50D4F">
      <w:pPr>
        <w:pStyle w:val="5"/>
        <w:bidi w:val="0"/>
        <w:rPr>
          <w:rFonts w:hint="eastAsia"/>
          <w:color w:val="auto"/>
          <w:lang w:val="en-US" w:eastAsia="zh-CN"/>
        </w:rPr>
      </w:pPr>
      <w:r>
        <w:rPr>
          <w:rFonts w:hint="eastAsia"/>
          <w:color w:val="auto"/>
          <w:lang w:val="en-US" w:eastAsia="zh-CN"/>
        </w:rPr>
        <w:t>锂离子电池废料带有残余电能，电解液中含有机碳酸酯溶剂、锂盐等易燃易爆、腐蚀性组分，在贮存、运输过程中易因短路、碰撞、挤压、高温等引发热失控起火、爆炸事故，电解液泄漏还会造成腐蚀伤害与土壤、水体污染，是电池回收全链条中安全事故最高发的环节。近年来，国内已发生多起因废旧锂电池废料违规贮存、不当运输引发的火灾事故，直接威胁从业人员生命安全与公共安全。</w:t>
      </w:r>
    </w:p>
    <w:p w14:paraId="2370B71C">
      <w:pPr>
        <w:pStyle w:val="5"/>
        <w:bidi w:val="0"/>
        <w:rPr>
          <w:rFonts w:hint="eastAsia"/>
          <w:color w:val="auto"/>
          <w:lang w:val="en-US" w:eastAsia="zh-CN"/>
        </w:rPr>
      </w:pPr>
      <w:r>
        <w:rPr>
          <w:rFonts w:hint="eastAsia"/>
          <w:color w:val="auto"/>
          <w:lang w:val="en-US" w:eastAsia="zh-CN"/>
        </w:rPr>
        <w:t>现行标准制定时锂电应用规模有限，未针对高风险电池废料设置防短路、隔热阻燃、防火防爆、泄漏防控等专项安全技术要求，也未明确异常工况的应急处置规范，无法有效约束市场行为、管控行业重大风险。因此，必须通过标准修订建立全流程安全管控体系，从源头规范贮运操作，防范化解重特大安全与环境风险，保障公共安全与生态环境安全。</w:t>
      </w:r>
    </w:p>
    <w:p w14:paraId="29AA6405">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1.4行业贮运管理不规范，产业运行效率与成本亟需标准化优化</w:t>
      </w:r>
    </w:p>
    <w:p w14:paraId="4DFEA1FC">
      <w:pPr>
        <w:pStyle w:val="5"/>
        <w:bidi w:val="0"/>
        <w:rPr>
          <w:rFonts w:hint="eastAsia"/>
          <w:color w:val="auto"/>
          <w:lang w:val="en-US" w:eastAsia="zh-CN"/>
        </w:rPr>
      </w:pPr>
      <w:r>
        <w:rPr>
          <w:rFonts w:hint="eastAsia"/>
          <w:color w:val="auto"/>
          <w:lang w:val="en-US" w:eastAsia="zh-CN"/>
        </w:rPr>
        <w:t>当前电池废料贮运领域缺乏统一的操作规范与验收标准，不同企业包装规格杂乱、防护标准不一、贮存堆码规则各异，行业内普遍存在不同品类、不同风险等级废料混存混运、重复包装、无效防护等问题，既大幅提升了安全事故概率，也造成物流成本偏高、周转效率偏低，显著增加了全产业链运行成本。</w:t>
      </w:r>
    </w:p>
    <w:p w14:paraId="24206F6C">
      <w:pPr>
        <w:pStyle w:val="5"/>
        <w:bidi w:val="0"/>
        <w:rPr>
          <w:rFonts w:hint="eastAsia"/>
          <w:color w:val="auto"/>
          <w:lang w:val="en-US" w:eastAsia="zh-CN"/>
        </w:rPr>
      </w:pPr>
      <w:r>
        <w:rPr>
          <w:rFonts w:hint="eastAsia"/>
          <w:color w:val="auto"/>
          <w:lang w:val="en-US" w:eastAsia="zh-CN"/>
        </w:rPr>
        <w:t>同时，行业专业化第三方仓储物流企业发展滞后，难以形成规模效应，制约了电池回收利用产业的集约化升级。因此，必须通过标准化手段统一贮运操作口径、包装规格与验收规则，推动行业贮运管理走向专业化、规模化，降低全链条物流成本，提升产业整体运行效率。</w:t>
      </w:r>
    </w:p>
    <w:p w14:paraId="42C8F0FB">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1.5标准体系存在断层，全链条协同效能亟需补齐短板</w:t>
      </w:r>
    </w:p>
    <w:p w14:paraId="609D08DF">
      <w:pPr>
        <w:pStyle w:val="5"/>
        <w:bidi w:val="0"/>
        <w:rPr>
          <w:rFonts w:hint="eastAsia"/>
          <w:color w:val="auto"/>
          <w:lang w:val="en-US" w:eastAsia="zh-CN"/>
        </w:rPr>
      </w:pPr>
      <w:r>
        <w:rPr>
          <w:rFonts w:hint="eastAsia"/>
          <w:color w:val="auto"/>
          <w:lang w:val="en-US" w:eastAsia="zh-CN"/>
        </w:rPr>
        <w:t>目前我国已陆续发布废旧电池回收技术规范、充电电池废料废件、车用动力电池回收利用拆解、再生产品质量等</w:t>
      </w:r>
      <w:r>
        <w:rPr>
          <w:rFonts w:hint="default" w:ascii="Times New Roman" w:hAnsi="Times New Roman" w:cs="Times New Roman"/>
          <w:color w:val="auto"/>
          <w:lang w:val="en-US" w:eastAsia="zh-CN"/>
        </w:rPr>
        <w:t>20</w:t>
      </w:r>
      <w:r>
        <w:rPr>
          <w:rFonts w:hint="eastAsia"/>
          <w:color w:val="auto"/>
          <w:lang w:val="en-US" w:eastAsia="zh-CN"/>
        </w:rPr>
        <w:t>余项国家标准，覆盖了产生、回收、加工利用、污染防控等多个环节。但作为全链条流通核心节点的贮运标准长期滞后，与上下游标准在术语定义、分类口径、包装标志、溯源编码等方面衔接不畅，直接导致回收端产出规格与贮运验收要求不匹配、贮运交付与利用端入厂标准不一致，全链条协同效率低下，废旧电池标准体系的整体效能未能充分发挥。</w:t>
      </w:r>
    </w:p>
    <w:p w14:paraId="0879E0D6">
      <w:pPr>
        <w:pStyle w:val="5"/>
        <w:bidi w:val="0"/>
        <w:rPr>
          <w:rFonts w:hint="eastAsia"/>
          <w:color w:val="auto"/>
          <w:lang w:val="en-US" w:eastAsia="zh-CN"/>
        </w:rPr>
      </w:pPr>
      <w:r>
        <w:rPr>
          <w:rFonts w:hint="eastAsia"/>
          <w:color w:val="auto"/>
          <w:lang w:val="en-US" w:eastAsia="zh-CN"/>
        </w:rPr>
        <w:t>因此，必须通过修订本标准，统一全链条基础技术口径，打通 “产生源头 — 回收归集 — 贮运流通 — 加工利用” 全流程标准衔接，构建系统协调、衔接配套的废旧电池回收利用标准体系。</w:t>
      </w:r>
    </w:p>
    <w:p w14:paraId="6FD4DD1C">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1.6国际规则加速迭代，产业国际合规能力亟需标准支撑</w:t>
      </w:r>
    </w:p>
    <w:p w14:paraId="5B3A1CE9">
      <w:pPr>
        <w:pStyle w:val="5"/>
        <w:bidi w:val="0"/>
        <w:rPr>
          <w:rFonts w:hint="eastAsia"/>
          <w:color w:val="auto"/>
          <w:lang w:val="en-US" w:eastAsia="zh-CN"/>
        </w:rPr>
      </w:pPr>
      <w:r>
        <w:rPr>
          <w:rFonts w:hint="eastAsia"/>
          <w:color w:val="auto"/>
          <w:lang w:val="en-US" w:eastAsia="zh-CN"/>
        </w:rPr>
        <w:t>全球新能源产业竞争已延伸至全生命周期与循环利用环节，联合国《关于危险货物运输的建议书 规章范本》（</w:t>
      </w:r>
      <w:r>
        <w:rPr>
          <w:rFonts w:hint="default" w:ascii="Times New Roman" w:hAnsi="Times New Roman" w:cs="Times New Roman"/>
          <w:color w:val="auto"/>
          <w:lang w:val="en-US" w:eastAsia="zh-CN"/>
        </w:rPr>
        <w:t>TDG</w:t>
      </w:r>
      <w:r>
        <w:rPr>
          <w:rFonts w:hint="eastAsia"/>
          <w:color w:val="auto"/>
          <w:lang w:val="en-US" w:eastAsia="zh-CN"/>
        </w:rPr>
        <w:t>）持续更新，欧盟电池法规对废旧电池运输、环保管控、尽职调查等提出了严格的强制性要求，绿色贸易壁垒逐步形成。我国现行电池废料贮运标准与国际先进规则存在明显差距，既不利于我国电池回收产业参与全球循环供应链竞争，也制约了我国电池产品出海的全链条合规能力。</w:t>
      </w:r>
    </w:p>
    <w:p w14:paraId="438BB67E">
      <w:pPr>
        <w:pStyle w:val="5"/>
        <w:bidi w:val="0"/>
        <w:rPr>
          <w:rFonts w:hint="eastAsia"/>
          <w:color w:val="auto"/>
          <w:lang w:val="en-US" w:eastAsia="zh-CN"/>
        </w:rPr>
      </w:pPr>
      <w:r>
        <w:rPr>
          <w:rFonts w:hint="eastAsia"/>
          <w:color w:val="auto"/>
          <w:lang w:val="en-US" w:eastAsia="zh-CN"/>
        </w:rPr>
        <w:t>因此，必须通过修订本标准，对接国际先进技术要求与管理理念，提升我国电池回收贮运环节的规范化、国际化水平，支撑我国电池产业应对国际绿色贸易壁垒，增强全球市场竞争力。</w:t>
      </w:r>
    </w:p>
    <w:p w14:paraId="26055F28">
      <w:pPr>
        <w:pStyle w:val="5"/>
        <w:numPr>
          <w:ilvl w:val="0"/>
          <w:numId w:val="7"/>
        </w:numPr>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项目的可行性阐述</w:t>
      </w:r>
    </w:p>
    <w:p w14:paraId="589BC959">
      <w:pPr>
        <w:pStyle w:val="5"/>
        <w:keepNext w:val="0"/>
        <w:keepLines w:val="0"/>
        <w:pageBreakBefore w:val="0"/>
        <w:widowControl w:val="0"/>
        <w:numPr>
          <w:ilvl w:val="0"/>
          <w:numId w:val="0"/>
        </w:numPr>
        <w:kinsoku/>
        <w:wordWrap/>
        <w:overflowPunct/>
        <w:topLinePunct w:val="0"/>
        <w:autoSpaceDE/>
        <w:autoSpaceDN/>
        <w:bidi w:val="0"/>
        <w:adjustRightInd/>
        <w:snapToGrid/>
        <w:spacing w:after="0"/>
        <w:ind w:leftChars="0" w:firstLine="420" w:firstLineChars="200"/>
        <w:textAlignment w:val="auto"/>
        <w:rPr>
          <w:rFonts w:hint="default" w:ascii="黑体" w:hAnsi="宋体" w:eastAsia="黑体" w:cs="宋体"/>
          <w:bCs/>
          <w:color w:val="auto"/>
          <w:sz w:val="21"/>
          <w:szCs w:val="21"/>
          <w:lang w:val="en-US" w:eastAsia="zh-CN"/>
        </w:rPr>
      </w:pPr>
      <w:r>
        <w:rPr>
          <w:rFonts w:hint="default" w:ascii="黑体" w:hAnsi="宋体" w:eastAsia="黑体" w:cs="宋体"/>
          <w:bCs/>
          <w:color w:val="auto"/>
          <w:sz w:val="21"/>
          <w:szCs w:val="21"/>
          <w:lang w:val="en-US" w:eastAsia="zh-CN"/>
        </w:rPr>
        <w:t>1.产业发展情况</w:t>
      </w:r>
    </w:p>
    <w:p w14:paraId="113FB5E6">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黑体" w:hAnsi="宋体" w:eastAsia="黑体" w:cs="宋体"/>
          <w:bCs/>
          <w:color w:val="auto"/>
          <w:sz w:val="21"/>
          <w:szCs w:val="21"/>
          <w:lang w:val="en-US" w:eastAsia="zh-CN"/>
        </w:rPr>
      </w:pPr>
      <w:r>
        <w:rPr>
          <w:rFonts w:hint="default" w:ascii="Times New Roman" w:hAnsi="Times New Roman" w:eastAsia="宋体" w:cs="Times New Roman"/>
          <w:bCs/>
          <w:color w:val="auto"/>
          <w:sz w:val="21"/>
          <w:szCs w:val="21"/>
          <w:lang w:val="en-US" w:eastAsia="zh-CN"/>
        </w:rPr>
        <w:t>近年来，国内电池回收行业取得了显著的发展，主要由第三方回收企业和与车企合作开拓回收渠道的方式推动。从行业发展来看，预计到2025年，动力电池回收的数量将达到100万吨左右，目前来看，真正的动力电池回收高峰期还未正式到来，但每年的生产量在以30%～50%的速度在增长，所以退役的动力电池数量将会持续增加。预计2024年退役动力电池的数量将是去年的一倍，行业处于较好的战略布局期。我国新能源汽车产销量已连续多年保持全球第一。电池回收作为动力电池产业链的最后一环，也被视为是解决锂资源、锰与钴等金属资源短缺以及环保问题的有效方式，目前已经成为整车企业、动力电池企业和矿产资源企业等全产业链争相布局的领域。全球动力电池回收行业规模预计在2025年达到122亿美元，在2023年达到181亿美元。同时，磷酸铁锂电池作为市场主流逐渐崛起，其回收市场空间巨大。根据预测，2025年国内磷酸铁锂电池需求量将达到211.2万t，年均复合增速达44%。此外，预计2020~2030年，三元电池累计回收空间在现价情况下将达到1305亿元。</w:t>
      </w:r>
    </w:p>
    <w:p w14:paraId="75852A12">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黑体" w:hAnsi="宋体" w:eastAsia="黑体" w:cs="宋体"/>
          <w:bCs/>
          <w:color w:val="auto"/>
          <w:sz w:val="21"/>
          <w:szCs w:val="21"/>
          <w:lang w:val="en-US" w:eastAsia="zh-CN"/>
        </w:rPr>
      </w:pPr>
      <w:r>
        <w:rPr>
          <w:rFonts w:hint="default" w:ascii="黑体" w:hAnsi="宋体" w:eastAsia="黑体" w:cs="宋体"/>
          <w:bCs/>
          <w:color w:val="auto"/>
          <w:sz w:val="21"/>
          <w:szCs w:val="21"/>
          <w:lang w:val="en-US" w:eastAsia="zh-CN"/>
        </w:rPr>
        <w:t>2.技术成熟度</w:t>
      </w:r>
    </w:p>
    <w:p w14:paraId="7820E4EB">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如今，先进的检测设备和技术能够更精准地识别锂电池废料的成分、性能和潜在危险。例如，高精度的光谱分析仪可以快速准确地测定锂电池废料中锂、钴、镍等金属元素的含量，以及是否存在有害物质，为标准修订中对锂电池废料的分类和标识提供更科学的依据。新型包装材料和设计不断涌现，如高强度、防火、防潮、防静电的复合材料，以及具有智能监测和预警功能的包装容器。这些创新成果可以更好地满足锂电池废料在包装方面的安全要求，降低运输和贮存过程中的风险，为标准修订提供了技术支撑。全球定位系统（GPS）、物联网技术等的广泛应用，使得对锂电池废料运输过程的实时监控成为可能。运输企业可以通过安装在运输车辆上的设备，实时掌握车辆的位置、行驶速度、温度、湿度等信息，及时发现和处理潜在的安全隐患，确保运输安全，这为标准中运输环节的修订提供了有力保障。</w:t>
      </w:r>
    </w:p>
    <w:p w14:paraId="48E718FE">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黑体" w:hAnsi="宋体" w:eastAsia="黑体" w:cs="宋体"/>
          <w:bCs/>
          <w:color w:val="auto"/>
          <w:sz w:val="21"/>
          <w:szCs w:val="21"/>
          <w:lang w:val="en-US" w:eastAsia="zh-CN"/>
        </w:rPr>
      </w:pPr>
      <w:r>
        <w:rPr>
          <w:rFonts w:hint="default" w:ascii="黑体" w:hAnsi="宋体" w:eastAsia="黑体" w:cs="宋体"/>
          <w:bCs/>
          <w:color w:val="auto"/>
          <w:sz w:val="21"/>
          <w:szCs w:val="21"/>
          <w:lang w:val="en-US" w:eastAsia="zh-CN"/>
        </w:rPr>
        <w:t>3.已具备的研究基础和条件</w:t>
      </w:r>
    </w:p>
    <w:p w14:paraId="337CF98C">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在锂电池的生产、使用和回收等方面，已经出台了一系列标准和规范。例如，</w:t>
      </w:r>
      <w:r>
        <w:rPr>
          <w:rFonts w:hint="eastAsia" w:ascii="Times New Roman" w:hAnsi="Times New Roman" w:cs="Times New Roman"/>
          <w:bCs/>
          <w:color w:val="auto"/>
          <w:sz w:val="21"/>
          <w:szCs w:val="21"/>
          <w:lang w:val="en-US" w:eastAsia="zh-CN"/>
        </w:rPr>
        <w:t>GB 34330-2025《固体废物鉴别标准 通则》</w:t>
      </w:r>
      <w:r>
        <w:rPr>
          <w:rFonts w:hint="default" w:ascii="Times New Roman" w:hAnsi="Times New Roman" w:eastAsia="宋体" w:cs="Times New Roman"/>
          <w:bCs/>
          <w:color w:val="auto"/>
          <w:sz w:val="21"/>
          <w:szCs w:val="21"/>
          <w:lang w:val="en-US" w:eastAsia="zh-CN"/>
        </w:rPr>
        <w:t>为判断锂电池废料是否属于固体废物或危险废物提供了依据。针对锂电池废料在各个环节可能存在的风险，如火灾、爆炸、泄漏等，进行了大量的风险评估研究。通过实验模拟、数据分析等方法，确定了影响风险的关键因素，如电池的剩余电量、破损程度、贮存环境的温度和湿度等，为制定相应的安全措施和标准提供了科学依据。锂电池废料的管理涉及多个部门，如工业和信息化部、生态环境部、交通运输部等。各部门之间已经建立了一定的协调机制，能够在标准修订过程中充分发挥各自的专业优势，共同参与标准的制定和审核，确保标准的科学性、合理性和可操作性。</w:t>
      </w:r>
    </w:p>
    <w:p w14:paraId="3A792652">
      <w:pPr>
        <w:pStyle w:val="5"/>
        <w:numPr>
          <w:ilvl w:val="0"/>
          <w:numId w:val="0"/>
        </w:numPr>
        <w:ind w:leftChars="0"/>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（三）试验验证分析</w:t>
      </w:r>
    </w:p>
    <w:p w14:paraId="7537B679">
      <w:pPr>
        <w:pStyle w:val="5"/>
        <w:numPr>
          <w:ilvl w:val="0"/>
          <w:numId w:val="0"/>
        </w:numPr>
        <w:ind w:leftChars="0" w:firstLine="420" w:firstLineChars="200"/>
        <w:rPr>
          <w:rFonts w:hint="eastAsia" w:ascii="黑体" w:hAnsi="宋体" w:eastAsia="黑体" w:cs="宋体"/>
          <w:bCs/>
          <w:color w:val="auto"/>
          <w:sz w:val="21"/>
          <w:szCs w:val="21"/>
          <w:lang w:val="en-US" w:eastAsia="zh-CN"/>
        </w:rPr>
      </w:pPr>
      <w:r>
        <w:rPr>
          <w:rFonts w:hint="eastAsia" w:ascii="宋体" w:hAnsi="宋体" w:eastAsiaTheme="minorEastAsia" w:cstheme="minorBidi"/>
          <w:color w:val="auto"/>
          <w:kern w:val="2"/>
          <w:sz w:val="21"/>
          <w:szCs w:val="21"/>
          <w:lang w:val="en-US" w:eastAsia="zh-CN" w:bidi="ar-SA"/>
        </w:rPr>
        <w:t>本文件主要为废料运输贮存规范要求，不涉及试验验证。</w:t>
      </w:r>
    </w:p>
    <w:p w14:paraId="0B631EEA">
      <w:pPr>
        <w:pStyle w:val="5"/>
        <w:numPr>
          <w:ilvl w:val="0"/>
          <w:numId w:val="0"/>
        </w:numPr>
        <w:ind w:left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（四）标准的先进性、创新性、标准实施后预期产生的经济效益和社会效益</w:t>
      </w:r>
    </w:p>
    <w:p w14:paraId="079549D2">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4.1</w:t>
      </w:r>
      <w:r>
        <w:rPr>
          <w:rFonts w:hint="eastAsia" w:ascii="宋体" w:hAnsi="宋体" w:eastAsiaTheme="minorEastAsia" w:cstheme="minorBidi"/>
          <w:b/>
          <w:bCs/>
          <w:color w:val="auto"/>
          <w:kern w:val="2"/>
          <w:sz w:val="21"/>
          <w:szCs w:val="21"/>
          <w:lang w:val="en-US" w:eastAsia="zh-CN" w:bidi="ar-SA"/>
        </w:rPr>
        <w:t>先进性、创新性</w:t>
      </w:r>
    </w:p>
    <w:p w14:paraId="1DD2302B">
      <w:pPr>
        <w:pStyle w:val="5"/>
        <w:bidi w:val="0"/>
        <w:rPr>
          <w:rFonts w:hint="eastAsia"/>
          <w:color w:val="auto"/>
          <w:lang w:val="en-US" w:eastAsia="zh-CN"/>
        </w:rPr>
      </w:pPr>
      <w:r>
        <w:rPr>
          <w:rFonts w:hint="eastAsia"/>
          <w:color w:val="auto"/>
          <w:lang w:val="en-US" w:eastAsia="zh-CN"/>
        </w:rPr>
        <w:t>本标准在继承旧版合理内容的基础上，针对电池废料贮运的行业痛点与风险特性开展多维度制度创新，填补了多项国内标准空白，形成了兼具实操性与前瞻性的贮运管控新模式。</w:t>
      </w:r>
    </w:p>
    <w:p w14:paraId="56716602">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4.1.1首创三维风险分级管控模型，填补国标空白</w:t>
      </w:r>
    </w:p>
    <w:p w14:paraId="2858CAF9">
      <w:pPr>
        <w:pStyle w:val="5"/>
        <w:bidi w:val="0"/>
        <w:rPr>
          <w:rFonts w:hint="eastAsia"/>
          <w:color w:val="auto"/>
          <w:lang w:val="en-US" w:eastAsia="zh-CN"/>
        </w:rPr>
      </w:pPr>
      <w:r>
        <w:rPr>
          <w:rFonts w:hint="eastAsia"/>
          <w:color w:val="auto"/>
          <w:lang w:val="en-US" w:eastAsia="zh-CN"/>
        </w:rPr>
        <w:t>首次在国家标准层面构建 “电池体系—风险等级—物理形态”三维分类管控模型：按电池体系区分腐蚀、燃烧、毒性差异，按安全风险等级划分为高、中、低三级，按物理形态匹配包装、堆码、防渗要求。该模型实现了风险等级与管控强度的精准对应，解决了传统标准管控过度与管控不足并存的问题，填补了我国电池废料贮运领域风险分级管控的国家标准空白。</w:t>
      </w:r>
    </w:p>
    <w:p w14:paraId="0797FC19">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4.1.2场景化分层管控设计，大幅提升标准落地性</w:t>
      </w:r>
    </w:p>
    <w:p w14:paraId="65403A1D">
      <w:pPr>
        <w:pStyle w:val="5"/>
        <w:bidi w:val="0"/>
        <w:rPr>
          <w:rFonts w:hint="eastAsia"/>
          <w:color w:val="auto"/>
          <w:lang w:val="en-US" w:eastAsia="zh-CN"/>
        </w:rPr>
      </w:pPr>
      <w:r>
        <w:rPr>
          <w:rFonts w:hint="eastAsia"/>
          <w:color w:val="auto"/>
          <w:lang w:val="en-US" w:eastAsia="zh-CN"/>
        </w:rPr>
        <w:t>首次将电池废料贮运场景细分为收集点临时暂存、中转仓库周转贮存、干线长途运输三类，针对不同场景的场地规模、停留时长、风险暴露程度，分别制定差异化的设施标准、操作规范与管控要求。该设计兼顾了末端零散回收点与规模化中转仓的不同需求，避免了单一标准对小型回收主体门槛过高、对大型仓储主体管控不足的问题，显著提升了标准的普适性与落地性，是贮运类标准场景化设计的重要创新。</w:t>
      </w:r>
    </w:p>
    <w:p w14:paraId="20F04C89">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4.1.3包装</w:t>
      </w:r>
      <w:r>
        <w:rPr>
          <w:rFonts w:hint="eastAsia"/>
          <w:color w:val="auto"/>
          <w:lang w:val="en-US" w:eastAsia="zh-CN"/>
        </w:rPr>
        <w:t>—</w:t>
      </w:r>
      <w:r>
        <w:rPr>
          <w:rFonts w:hint="default" w:ascii="Times New Roman" w:hAnsi="Times New Roman" w:cs="Times New Roman"/>
          <w:b/>
          <w:bCs/>
          <w:color w:val="auto"/>
          <w:lang w:val="en-US" w:eastAsia="zh-CN"/>
        </w:rPr>
        <w:t>标志</w:t>
      </w:r>
      <w:r>
        <w:rPr>
          <w:rFonts w:hint="eastAsia"/>
          <w:color w:val="auto"/>
          <w:lang w:val="en-US" w:eastAsia="zh-CN"/>
        </w:rPr>
        <w:t>—</w:t>
      </w:r>
      <w:r>
        <w:rPr>
          <w:rFonts w:hint="default" w:ascii="Times New Roman" w:hAnsi="Times New Roman" w:cs="Times New Roman"/>
          <w:b/>
          <w:bCs/>
          <w:color w:val="auto"/>
          <w:lang w:val="en-US" w:eastAsia="zh-CN"/>
        </w:rPr>
        <w:t>溯源一体化联动，赋能数字化监管</w:t>
      </w:r>
    </w:p>
    <w:p w14:paraId="10E97524">
      <w:pPr>
        <w:pStyle w:val="5"/>
        <w:bidi w:val="0"/>
        <w:rPr>
          <w:rFonts w:hint="eastAsia"/>
          <w:color w:val="auto"/>
          <w:lang w:val="en-US" w:eastAsia="zh-CN"/>
        </w:rPr>
      </w:pPr>
      <w:r>
        <w:rPr>
          <w:rFonts w:hint="eastAsia"/>
          <w:color w:val="auto"/>
          <w:lang w:val="en-US" w:eastAsia="zh-CN"/>
        </w:rPr>
        <w:t>创新将包装防护、分类标志、溯源编码三者进行一体化设计：包装要求匹配风险等级防护需求，标志信息同步标注品类、风险等级与溯源编码，编码规则对接国家动力电池溯源管理系统。实现了贮运环节废料“身份可识别、风险可判断、流向可追溯”，将传统质量安全管控与数字化监管深度融合，支撑全链条闭环监管，推动贮运标准从“操作规范”向“治理支撑”升级。</w:t>
      </w:r>
    </w:p>
    <w:p w14:paraId="08CC3C44">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4.1.4动态运输全维度管控，覆盖移动场景风险</w:t>
      </w:r>
    </w:p>
    <w:p w14:paraId="502158D5">
      <w:pPr>
        <w:pStyle w:val="5"/>
        <w:bidi w:val="0"/>
        <w:rPr>
          <w:rFonts w:hint="eastAsia"/>
          <w:color w:val="auto"/>
          <w:lang w:val="en-US" w:eastAsia="zh-CN"/>
        </w:rPr>
      </w:pPr>
      <w:r>
        <w:rPr>
          <w:rFonts w:hint="eastAsia"/>
          <w:color w:val="auto"/>
          <w:lang w:val="en-US" w:eastAsia="zh-CN"/>
        </w:rPr>
        <w:t>突破传统贮运标准重静态贮存、轻动态运输的局限，针对运输环节移动性强、环境复杂、事故影响范围广的特点，新增运输路线选择、行驶规范、中途停放管控、极端天气限制等动态管控要求，覆盖装载、行驶、停放、卸载全运输流程。同时明确不同风险等级废料的车辆资质与防护配置要求，实现了静态贮存与动态运输的全维度风险管控，完善了电池废料流动环节的安全管控链条。</w:t>
      </w:r>
    </w:p>
    <w:p w14:paraId="00FD7E0D">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4.1.5场景化专项应急体系，提升处置实操性</w:t>
      </w:r>
    </w:p>
    <w:p w14:paraId="54B2F97D">
      <w:pPr>
        <w:pStyle w:val="5"/>
        <w:bidi w:val="0"/>
        <w:rPr>
          <w:rFonts w:hint="eastAsia"/>
          <w:color w:val="auto"/>
          <w:lang w:val="en-US" w:eastAsia="zh-CN"/>
        </w:rPr>
      </w:pPr>
      <w:r>
        <w:rPr>
          <w:rFonts w:hint="eastAsia"/>
          <w:color w:val="auto"/>
          <w:lang w:val="en-US" w:eastAsia="zh-CN"/>
        </w:rPr>
        <w:t>替代旧版笼统的应急提示，创新构建分场景、分事故类型的专项应急处置体系：区分贮存、运输两大场景，针对热失控起火、电解液泄漏、短路发热三类典型突发事件，分别明确处置流程、灭火剂选型、应急物资配置与人员防护要求。应急条款全部基于一线实操经验制定，可直接指导从业人员快速、规范处置初期事故，避免处置不当导致风险扩大，是废料类标准应急管理内容的重要创新。</w:t>
      </w:r>
    </w:p>
    <w:p w14:paraId="17DFC13D">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w:t>
      </w:r>
      <w:r>
        <w:rPr>
          <w:rFonts w:hint="eastAsia" w:ascii="宋体" w:hAnsi="宋体" w:eastAsiaTheme="minorEastAsia" w:cstheme="minorBidi"/>
          <w:b/>
          <w:bCs/>
          <w:color w:val="auto"/>
          <w:kern w:val="2"/>
          <w:sz w:val="21"/>
          <w:szCs w:val="21"/>
          <w:lang w:val="en-US" w:eastAsia="zh-CN" w:bidi="ar-SA"/>
        </w:rPr>
        <w:t>经济效益</w:t>
      </w:r>
    </w:p>
    <w:p w14:paraId="27644AE1">
      <w:pPr>
        <w:pStyle w:val="5"/>
        <w:numPr>
          <w:ilvl w:val="0"/>
          <w:numId w:val="0"/>
        </w:numPr>
        <w:ind w:firstLine="420" w:firstLineChars="20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按化学体系制定差异化回收路径，锂回收率由85% 提升至 90%，电极粉料回收率≥98%</w:t>
      </w:r>
      <w:r>
        <w:rPr>
          <w:rFonts w:hint="eastAsia" w:ascii="宋体" w:hAnsi="宋体" w:eastAsia="宋体" w:cs="宋体"/>
          <w:color w:val="auto"/>
          <w:kern w:val="2"/>
          <w:sz w:val="21"/>
          <w:szCs w:val="21"/>
          <w:lang w:val="en-US" w:eastAsia="zh-CN" w:bidi="ar-SA"/>
        </w:rPr>
        <w:t>“城市矿山”</w:t>
      </w:r>
      <w:r>
        <w:rPr>
          <w:rFonts w:hint="default" w:ascii="Times New Roman" w:hAnsi="Times New Roman" w:cs="Times New Roman" w:eastAsiaTheme="minorEastAsia"/>
          <w:color w:val="auto"/>
          <w:kern w:val="2"/>
          <w:sz w:val="21"/>
          <w:szCs w:val="21"/>
          <w:lang w:val="en-US" w:eastAsia="zh-CN" w:bidi="ar-SA"/>
        </w:rPr>
        <w:t>效益倍增：每处理1万吨废旧电池可回收约150吨锂、2000 吨镍、300吨钴，价值超5亿元；回收效率提升30%，成本降低40%；战略资源保障：预计2030 年回收锂占比达30%，减少120万吨锂矿开采，将锂对外依存度由 70% 降至40%。</w:t>
      </w:r>
    </w:p>
    <w:p w14:paraId="778F9A46">
      <w:pPr>
        <w:pStyle w:val="5"/>
        <w:numPr>
          <w:ilvl w:val="0"/>
          <w:numId w:val="0"/>
        </w:numPr>
        <w:ind w:firstLine="422" w:firstLineChars="200"/>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4.2.1降本提效，显著降低全链条贮运成本</w:t>
      </w:r>
    </w:p>
    <w:p w14:paraId="7C9F6EF4">
      <w:pPr>
        <w:pStyle w:val="5"/>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实施后，全行业将形成统一的包装规格、操作规范与验收标准，有效解决当前企业各自为政、重复包装、无效防护、重复检验的问题，大幅降低包装、仓储、运输环节的直接成本。同时，统一的验收口径将显著减少贸易双方的品质争议与沟通成本，缩短废料交割周期，提升全产业链流通效率，降低制度性交易成本。</w:t>
      </w:r>
    </w:p>
    <w:p w14:paraId="434F8541">
      <w:pPr>
        <w:pStyle w:val="5"/>
        <w:numPr>
          <w:ilvl w:val="0"/>
          <w:numId w:val="0"/>
        </w:numPr>
        <w:ind w:firstLine="422" w:firstLineChars="200"/>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4.2.2风险减量，大幅减少事故相关经济损失</w:t>
      </w:r>
    </w:p>
    <w:p w14:paraId="6318D76D">
      <w:pPr>
        <w:pStyle w:val="5"/>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化的安全管控体系将有效降低锂电池热失控、电解液泄漏、短路起火等安全事故发生率，直接减少事故造成的货物损失、设施损毁、停业停产、环境赔偿与行政处罚等经济损失，帮助企业规避重大经营风险。据行业估算，规范贮运管理可使电池废料贮运环节事故发生率下降显著，为全行业避免巨额的事故相关损失。</w:t>
      </w:r>
    </w:p>
    <w:p w14:paraId="632E1FB9">
      <w:pPr>
        <w:pStyle w:val="5"/>
        <w:numPr>
          <w:ilvl w:val="0"/>
          <w:numId w:val="0"/>
        </w:numPr>
        <w:ind w:firstLine="422" w:firstLineChars="200"/>
        <w:rPr>
          <w:rFonts w:hint="eastAsia" w:ascii="宋体" w:hAnsi="宋体" w:eastAsiaTheme="minorEastAsia" w:cstheme="minorBidi"/>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4.2.3集约升级，催生专业化贮运产业增量价值</w:t>
      </w:r>
    </w:p>
    <w:p w14:paraId="38CF289A">
      <w:pPr>
        <w:pStyle w:val="5"/>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统一的标准将推动电池废料贮运走向专业化、规模化，催生一批第三方专业仓储物流企业，通过集约化运营、标准化服务形成规模效应，进一步降低单位物流成本。同时将带动专用包装、智能监测、应急装备等配套产业发展，延伸电池回收产业链条，创造新的经济增长点与就业岗位，推动产业整体向高端化、专业化升级。</w:t>
      </w:r>
    </w:p>
    <w:p w14:paraId="3F62F9BD">
      <w:pPr>
        <w:pStyle w:val="5"/>
        <w:numPr>
          <w:ilvl w:val="0"/>
          <w:numId w:val="0"/>
        </w:numPr>
        <w:ind w:firstLine="422" w:firstLineChars="200"/>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4.2.4统一合规，降低企业跨区域经营成本</w:t>
      </w:r>
    </w:p>
    <w:p w14:paraId="37F8F812">
      <w:pPr>
        <w:pStyle w:val="5"/>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统一了全国范围内的电池废料贮运技术要求，消除了不同地区监管口径差异带来的额外合规成本，支撑企业开展跨区域回收网络布局与规模化运营，助力头部企业拓展全国市场，提升产业集中度与整体盈利水平。</w:t>
      </w:r>
    </w:p>
    <w:p w14:paraId="65FAC79B">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4.3</w:t>
      </w:r>
      <w:r>
        <w:rPr>
          <w:rFonts w:hint="eastAsia" w:ascii="宋体" w:hAnsi="宋体" w:eastAsiaTheme="minorEastAsia" w:cstheme="minorBidi"/>
          <w:b/>
          <w:bCs/>
          <w:color w:val="auto"/>
          <w:kern w:val="2"/>
          <w:sz w:val="21"/>
          <w:szCs w:val="21"/>
          <w:lang w:val="en-US" w:eastAsia="zh-CN" w:bidi="ar-SA"/>
        </w:rPr>
        <w:t>社会效益</w:t>
      </w:r>
    </w:p>
    <w:p w14:paraId="1B9CC526">
      <w:pPr>
        <w:pStyle w:val="5"/>
        <w:bidi w:val="0"/>
        <w:rPr>
          <w:rFonts w:hint="eastAsia"/>
          <w:b/>
          <w:bCs/>
          <w:color w:val="auto"/>
          <w:lang w:val="en-US" w:eastAsia="zh-CN"/>
        </w:rPr>
      </w:pPr>
      <w:r>
        <w:rPr>
          <w:rFonts w:hint="default" w:ascii="Times New Roman" w:hAnsi="Times New Roman" w:cs="Times New Roman"/>
          <w:b/>
          <w:bCs/>
          <w:color w:val="auto"/>
          <w:lang w:val="en-US" w:eastAsia="zh-CN"/>
        </w:rPr>
        <w:t>4.3.1防范重特大安全事故，保障公共安全</w:t>
      </w:r>
    </w:p>
    <w:p w14:paraId="218FB8A6">
      <w:pPr>
        <w:pStyle w:val="5"/>
        <w:bidi w:val="0"/>
        <w:rPr>
          <w:rFonts w:hint="eastAsia"/>
          <w:color w:val="auto"/>
          <w:lang w:val="en-US" w:eastAsia="zh-CN"/>
        </w:rPr>
      </w:pPr>
      <w:r>
        <w:rPr>
          <w:rFonts w:hint="eastAsia"/>
          <w:color w:val="auto"/>
          <w:lang w:val="en-US" w:eastAsia="zh-CN"/>
        </w:rPr>
        <w:t>本标准通过全流程、全场景的安全管控要求，从包装、贮存、运输多环节筑牢安全防线，大幅降低废旧锂电池贮运过程中起火、爆炸等事故风险，尤其是运输环节途经城市道路、人员密集区域的公共安全风险，有效保障从业人员与社会公众的生命财产安全，防范重特大安全事故发生，具有显著的公共安全效益。</w:t>
      </w:r>
    </w:p>
    <w:p w14:paraId="42C2751C">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4.3.2强化污染源头防控，守护生态环境</w:t>
      </w:r>
    </w:p>
    <w:p w14:paraId="562A20D1">
      <w:pPr>
        <w:pStyle w:val="5"/>
        <w:bidi w:val="0"/>
        <w:rPr>
          <w:rFonts w:hint="eastAsia"/>
          <w:color w:val="auto"/>
          <w:lang w:val="en-US" w:eastAsia="zh-CN"/>
        </w:rPr>
      </w:pPr>
      <w:r>
        <w:rPr>
          <w:rFonts w:hint="eastAsia"/>
          <w:color w:val="auto"/>
          <w:lang w:val="en-US" w:eastAsia="zh-CN"/>
        </w:rPr>
        <w:t>标准明确的防渗、防漏、防扬散要求与泄漏应急处置规范，将有效减少贮运过程中重金属、腐蚀性电解液、有毒氟化物等污染物的泄漏、扬散与排放，防范土壤、水体污染风险，保护生态环境与公众环境权益，助力固体废物污染防治攻坚战，提升我国固体废物环境管控水平。</w:t>
      </w:r>
    </w:p>
    <w:p w14:paraId="79E1E39A">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4.3.3支撑监管精准执法，提升治理效能</w:t>
      </w:r>
    </w:p>
    <w:p w14:paraId="0AFA3980">
      <w:pPr>
        <w:pStyle w:val="5"/>
        <w:bidi w:val="0"/>
        <w:rPr>
          <w:rFonts w:hint="eastAsia"/>
          <w:color w:val="auto"/>
          <w:lang w:val="en-US" w:eastAsia="zh-CN"/>
        </w:rPr>
      </w:pPr>
      <w:r>
        <w:rPr>
          <w:rFonts w:hint="eastAsia"/>
          <w:color w:val="auto"/>
          <w:lang w:val="en-US" w:eastAsia="zh-CN"/>
        </w:rPr>
        <w:t>本标准为应急管理、交通运输、生态环境、工业和信息化等部门提供了统一、明确的技术判定依据，解决了长期以来电池废料贮运环节监管标准缺失、执法口径不一的痛点，提升了监管精准度与执法效能，推动电池废料治理从粗放式管理向标准化、精细化治理升级，完善我国固体废物环境治理体系。</w:t>
      </w:r>
    </w:p>
    <w:p w14:paraId="3A06B598">
      <w:pPr>
        <w:pStyle w:val="5"/>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4.3.4助力循环经济发展，保障国家资源与产业安全</w:t>
      </w:r>
    </w:p>
    <w:p w14:paraId="31C3EE5F">
      <w:pPr>
        <w:pStyle w:val="5"/>
        <w:bidi w:val="0"/>
        <w:rPr>
          <w:rFonts w:hint="eastAsia"/>
          <w:color w:val="auto"/>
          <w:lang w:val="en-US" w:eastAsia="zh-CN"/>
        </w:rPr>
      </w:pPr>
      <w:r>
        <w:rPr>
          <w:rFonts w:hint="eastAsia"/>
          <w:color w:val="auto"/>
          <w:lang w:val="en-US" w:eastAsia="zh-CN"/>
        </w:rPr>
        <w:t>规范高效的贮运体系是废旧电池回收利用产业的重要基础支撑。本标准实施将保障废旧电池安全、高效流转，支撑电池回收利用产业规模化、规范化发展，提升锂、钴、镍等战略金属的再生供给能力，降低我国对原生矿产的对外依存度，保障新能源产业链供应链自主可控。同时，提升电池全生命周期循环效率，助力碳达峰碳中和目标实现，支撑我国绿色低碳循环经济体系建设。</w:t>
      </w:r>
    </w:p>
    <w:p w14:paraId="5F3632DC">
      <w:pPr>
        <w:pStyle w:val="5"/>
        <w:numPr>
          <w:ilvl w:val="0"/>
          <w:numId w:val="8"/>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与国际标准和国外先进标准技术内容的对比</w:t>
      </w:r>
    </w:p>
    <w:p w14:paraId="0F0E1902">
      <w:pPr>
        <w:pStyle w:val="5"/>
        <w:numPr>
          <w:ilvl w:val="0"/>
          <w:numId w:val="0"/>
        </w:numPr>
        <w:ind w:leftChars="0" w:firstLine="420" w:firstLineChars="20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目前国际上对于电池废料废件以法规和法案的形式管控，无相应的标准技术内容可对比。</w:t>
      </w:r>
    </w:p>
    <w:p w14:paraId="654B67B4">
      <w:pPr>
        <w:keepNext w:val="0"/>
        <w:keepLines w:val="0"/>
        <w:pageBreakBefore w:val="0"/>
        <w:numPr>
          <w:ilvl w:val="0"/>
          <w:numId w:val="9"/>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以国际标准为基础的起草情况以及是否合规采用国际国外标准、未采用国际标准的原因</w:t>
      </w:r>
    </w:p>
    <w:p w14:paraId="04352C04">
      <w:pPr>
        <w:pStyle w:val="5"/>
        <w:rPr>
          <w:rFonts w:hint="default"/>
          <w:color w:val="auto"/>
          <w:lang w:val="en-US"/>
        </w:rPr>
      </w:pPr>
      <w:r>
        <w:rPr>
          <w:rFonts w:hint="eastAsia" w:ascii="宋体" w:hAnsi="宋体" w:eastAsia="宋体" w:cs="宋体"/>
          <w:bCs/>
          <w:color w:val="auto"/>
          <w:sz w:val="21"/>
          <w:szCs w:val="21"/>
          <w:lang w:val="en-US" w:eastAsia="zh-CN"/>
        </w:rPr>
        <w:t>此标准以中国国情为基础修订，国际还未形成相应标准。</w:t>
      </w:r>
    </w:p>
    <w:p w14:paraId="78A08CF3">
      <w:pPr>
        <w:keepNext w:val="0"/>
        <w:keepLines w:val="0"/>
        <w:pageBreakBefore w:val="0"/>
        <w:numPr>
          <w:ilvl w:val="0"/>
          <w:numId w:val="9"/>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14:paraId="3E4F9FCF">
      <w:pPr>
        <w:keepNext w:val="0"/>
        <w:keepLines w:val="0"/>
        <w:pageBreakBefore w:val="0"/>
        <w:kinsoku/>
        <w:wordWrap/>
        <w:overflowPunct/>
        <w:topLinePunct w:val="0"/>
        <w:bidi w:val="0"/>
        <w:snapToGrid/>
        <w:spacing w:line="440" w:lineRule="exact"/>
        <w:ind w:firstLine="420" w:firstLineChars="200"/>
        <w:textAlignment w:val="auto"/>
        <w:rPr>
          <w:rFonts w:ascii="宋体" w:hAnsi="宋体"/>
          <w:color w:val="auto"/>
          <w:sz w:val="21"/>
          <w:szCs w:val="21"/>
        </w:rPr>
      </w:pPr>
      <w:r>
        <w:rPr>
          <w:rFonts w:hint="eastAsia" w:ascii="宋体" w:hAnsi="宋体"/>
          <w:color w:val="auto"/>
          <w:sz w:val="21"/>
          <w:szCs w:val="21"/>
        </w:rPr>
        <w:t>本标准符合现行法律、法规的要求，并与其他同类国家标准、行业标准无冲突、重叠和不协调之处。</w:t>
      </w:r>
    </w:p>
    <w:p w14:paraId="51AFEF99">
      <w:pPr>
        <w:keepNext w:val="0"/>
        <w:keepLines w:val="0"/>
        <w:pageBreakBefore w:val="0"/>
        <w:numPr>
          <w:ilvl w:val="0"/>
          <w:numId w:val="9"/>
        </w:numPr>
        <w:kinsoku/>
        <w:wordWrap/>
        <w:overflowPunct/>
        <w:topLinePunct w:val="0"/>
        <w:bidi w:val="0"/>
        <w:snapToGrid/>
        <w:spacing w:beforeLines="50" w:afterLines="50" w:line="440" w:lineRule="exact"/>
        <w:ind w:left="0" w:leftChars="0" w:firstLine="0" w:firstLineChars="0"/>
        <w:textAlignment w:val="auto"/>
        <w:rPr>
          <w:rFonts w:hint="eastAsia"/>
          <w:color w:val="auto"/>
          <w:lang w:val="en-US" w:eastAsia="zh-CN"/>
        </w:rPr>
      </w:pPr>
      <w:bookmarkStart w:id="2" w:name="_Toc32100"/>
      <w:r>
        <w:rPr>
          <w:rFonts w:hint="eastAsia" w:ascii="黑体" w:hAnsi="宋体" w:eastAsia="黑体" w:cs="宋体"/>
          <w:bCs/>
          <w:color w:val="auto"/>
          <w:sz w:val="21"/>
          <w:szCs w:val="21"/>
          <w:lang w:val="en-US" w:eastAsia="zh-CN"/>
        </w:rPr>
        <w:t>重大分歧意见的处理经过和依据</w:t>
      </w:r>
    </w:p>
    <w:p w14:paraId="0ECB0624">
      <w:pPr>
        <w:keepNext w:val="0"/>
        <w:keepLines w:val="0"/>
        <w:pageBreakBefore w:val="0"/>
        <w:kinsoku/>
        <w:wordWrap/>
        <w:overflowPunct/>
        <w:topLinePunct w:val="0"/>
        <w:bidi w:val="0"/>
        <w:snapToGrid/>
        <w:spacing w:line="440" w:lineRule="exact"/>
        <w:ind w:firstLine="420" w:firstLineChars="200"/>
        <w:textAlignment w:val="auto"/>
        <w:rPr>
          <w:rFonts w:hint="eastAsia"/>
          <w:color w:val="auto"/>
          <w:lang w:val="en-US" w:eastAsia="zh-CN"/>
        </w:rPr>
      </w:pPr>
      <w:r>
        <w:rPr>
          <w:rFonts w:hint="eastAsia" w:ascii="宋体" w:hAnsi="宋体"/>
          <w:color w:val="auto"/>
          <w:sz w:val="21"/>
          <w:szCs w:val="21"/>
        </w:rPr>
        <w:t>暂无。</w:t>
      </w:r>
    </w:p>
    <w:p w14:paraId="7BCC5600">
      <w:pPr>
        <w:keepNext w:val="0"/>
        <w:keepLines w:val="0"/>
        <w:pageBreakBefore w:val="0"/>
        <w:numPr>
          <w:ilvl w:val="0"/>
          <w:numId w:val="0"/>
        </w:numPr>
        <w:kinsoku/>
        <w:wordWrap/>
        <w:overflowPunct/>
        <w:topLinePunct w:val="0"/>
        <w:bidi w:val="0"/>
        <w:snapToGrid/>
        <w:spacing w:beforeLines="50" w:afterLines="50" w:line="440" w:lineRule="exact"/>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14:paraId="4E4E29EA">
      <w:pPr>
        <w:pStyle w:val="5"/>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bookmarkEnd w:id="2"/>
    <w:p w14:paraId="2C0CBC62">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3"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bookmarkEnd w:id="3"/>
    </w:p>
    <w:p w14:paraId="1BE1AA00">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本标准建议作为推荐性</w:t>
      </w:r>
      <w:r>
        <w:rPr>
          <w:rFonts w:hint="default" w:ascii="Times New Roman" w:hAnsi="Times New Roman" w:eastAsia="宋体" w:cs="Times New Roman"/>
          <w:color w:val="auto"/>
          <w:sz w:val="21"/>
          <w:szCs w:val="21"/>
          <w:lang w:val="en-US" w:eastAsia="zh-CN"/>
        </w:rPr>
        <w:t>国家标准</w:t>
      </w:r>
      <w:r>
        <w:rPr>
          <w:rFonts w:hint="default" w:ascii="Times New Roman" w:hAnsi="Times New Roman" w:eastAsia="宋体" w:cs="Times New Roman"/>
          <w:color w:val="auto"/>
          <w:sz w:val="21"/>
          <w:szCs w:val="21"/>
        </w:rPr>
        <w:t>。</w:t>
      </w:r>
      <w:bookmarkStart w:id="4" w:name="_Toc15588"/>
      <w:r>
        <w:rPr>
          <w:rFonts w:hint="default" w:ascii="Times New Roman" w:hAnsi="Times New Roman" w:eastAsia="宋体" w:cs="Times New Roman"/>
          <w:color w:val="auto"/>
          <w:sz w:val="21"/>
          <w:szCs w:val="21"/>
          <w:lang w:val="en-US" w:eastAsia="zh-CN"/>
        </w:rPr>
        <w:t>理由：国际经验与互认考量。美国采用</w:t>
      </w:r>
      <w:r>
        <w:rPr>
          <w:rFonts w:hint="eastAsia" w:ascii="宋体" w:hAnsi="宋体" w:eastAsia="宋体" w:cs="宋体"/>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通用废物（Universal Waste）</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 xml:space="preserve"> 管理框架，对电池废料实施相对宽松的监管，强调分类收集与安全运输，而非一刀切强制。欧盟《新电池法》虽有强制性要求，但对具体</w:t>
      </w:r>
      <w:r>
        <w:rPr>
          <w:rFonts w:hint="eastAsia" w:ascii="宋体" w:hAnsi="宋体" w:eastAsia="宋体" w:cs="宋体"/>
          <w:color w:val="auto"/>
          <w:sz w:val="21"/>
          <w:szCs w:val="21"/>
          <w:lang w:val="en-US" w:eastAsia="zh-CN"/>
        </w:rPr>
        <w:t xml:space="preserve"> “包装、运输、贮存”</w:t>
      </w:r>
      <w:r>
        <w:rPr>
          <w:rFonts w:hint="default" w:ascii="Times New Roman" w:hAnsi="Times New Roman" w:eastAsia="宋体" w:cs="Times New Roman"/>
          <w:color w:val="auto"/>
          <w:sz w:val="21"/>
          <w:szCs w:val="21"/>
          <w:lang w:val="en-US" w:eastAsia="zh-CN"/>
        </w:rPr>
        <w:t xml:space="preserve"> 技术细节仍以推荐性技术文档（如 CEN 标准）提供指导。推荐性标准与国际接轨，减少技术性贸易壁垒，助力中国企</w:t>
      </w:r>
      <w:r>
        <w:rPr>
          <w:rFonts w:hint="eastAsia" w:ascii="宋体" w:hAnsi="宋体" w:eastAsia="宋体" w:cs="宋体"/>
          <w:color w:val="auto"/>
          <w:sz w:val="21"/>
          <w:szCs w:val="21"/>
          <w:lang w:val="en-US" w:eastAsia="zh-CN"/>
        </w:rPr>
        <w:t>业 “走出去”。为 “电池护照” 等</w:t>
      </w:r>
      <w:r>
        <w:rPr>
          <w:rFonts w:hint="default" w:ascii="Times New Roman" w:hAnsi="Times New Roman" w:eastAsia="宋体" w:cs="Times New Roman"/>
          <w:color w:val="auto"/>
          <w:sz w:val="21"/>
          <w:szCs w:val="21"/>
          <w:lang w:val="en-US" w:eastAsia="zh-CN"/>
        </w:rPr>
        <w:t>国际新趋势提供技术基础，促进全球电池产业链绿色循环合作。</w:t>
      </w:r>
    </w:p>
    <w:bookmarkEnd w:id="4"/>
    <w:p w14:paraId="42490731">
      <w:pPr>
        <w:ind w:firstLine="420" w:firstLineChars="200"/>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color w:val="auto"/>
          <w:sz w:val="21"/>
          <w:szCs w:val="21"/>
          <w:lang w:val="en-US" w:eastAsia="zh-CN"/>
        </w:rPr>
        <w:t>本标准发布实施之日起，代替GB/T 26493-2011《电池废料贮运规范》</w:t>
      </w:r>
      <w:r>
        <w:rPr>
          <w:rFonts w:hint="eastAsia" w:asci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建议本文件在批准发布6个月后实施。</w:t>
      </w:r>
    </w:p>
    <w:p w14:paraId="0B616CAB">
      <w:pPr>
        <w:keepNext w:val="0"/>
        <w:keepLines w:val="0"/>
        <w:pageBreakBefore w:val="0"/>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lang w:val="en-US" w:eastAsia="zh-CN"/>
        </w:rPr>
      </w:pPr>
      <w:bookmarkStart w:id="5" w:name="_Toc22451"/>
      <w:r>
        <w:rPr>
          <w:rFonts w:hint="eastAsia" w:ascii="黑体" w:hAnsi="宋体" w:eastAsia="黑体" w:cs="宋体"/>
          <w:bCs/>
          <w:color w:val="auto"/>
          <w:sz w:val="21"/>
          <w:szCs w:val="21"/>
        </w:rPr>
        <w:t>十、</w:t>
      </w:r>
      <w:r>
        <w:rPr>
          <w:rFonts w:hint="default" w:ascii="Times New Roman" w:hAnsi="Times New Roman" w:eastAsia="黑体" w:cs="Times New Roman"/>
          <w:bCs/>
          <w:color w:val="auto"/>
          <w:sz w:val="21"/>
          <w:szCs w:val="21"/>
          <w:lang w:val="en-US" w:eastAsia="zh-CN"/>
        </w:rPr>
        <w:t>公平竞争审查条例</w:t>
      </w:r>
    </w:p>
    <w:p w14:paraId="27F1F7F6">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依照《公平竞争审查条例》规定开展公平竞争审查，本标准不存在“限制或者变相限制市场准入和退出”、“限制或者变相限制商品要素自由流动”、“影响经营者生产经营成本”、“影响经营者生产经营行为”等情况，也不适用《公平竞争审查条例》第十二条的规定。</w:t>
      </w:r>
    </w:p>
    <w:p w14:paraId="668B5E7B">
      <w:pPr>
        <w:keepNext w:val="0"/>
        <w:keepLines w:val="0"/>
        <w:pageBreakBefore w:val="0"/>
        <w:kinsoku/>
        <w:wordWrap/>
        <w:overflowPunct/>
        <w:topLinePunct w:val="0"/>
        <w:bidi w:val="0"/>
        <w:snapToGrid/>
        <w:spacing w:beforeLines="50" w:afterLines="50" w:line="440" w:lineRule="exact"/>
        <w:textAlignment w:val="auto"/>
        <w:rPr>
          <w:rFonts w:hint="eastAsia" w:ascii="黑体" w:hAnsi="宋体" w:eastAsia="黑体" w:cs="宋体"/>
          <w:bCs/>
          <w:color w:val="auto"/>
          <w:sz w:val="21"/>
          <w:szCs w:val="21"/>
        </w:rPr>
      </w:pPr>
      <w:r>
        <w:rPr>
          <w:rFonts w:hint="default" w:ascii="Times New Roman" w:hAnsi="Times New Roman" w:cs="Times New Roman"/>
          <w:color w:val="auto"/>
          <w:sz w:val="21"/>
          <w:szCs w:val="21"/>
          <w:lang w:val="en-US" w:eastAsia="zh-CN"/>
        </w:rPr>
        <w:t>本标准审查结论为“不影响”</w:t>
      </w:r>
    </w:p>
    <w:p w14:paraId="532B4DF2">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十</w:t>
      </w:r>
      <w:r>
        <w:rPr>
          <w:rFonts w:hint="eastAsia" w:ascii="黑体" w:hAnsi="宋体" w:eastAsia="黑体" w:cs="宋体"/>
          <w:bCs/>
          <w:color w:val="auto"/>
          <w:sz w:val="21"/>
          <w:szCs w:val="21"/>
          <w:lang w:val="en-US" w:eastAsia="zh-CN"/>
        </w:rPr>
        <w:t>一</w:t>
      </w:r>
      <w:r>
        <w:rPr>
          <w:rFonts w:hint="eastAsia" w:ascii="黑体" w:hAnsi="宋体" w:eastAsia="黑体" w:cs="宋体"/>
          <w:bCs/>
          <w:color w:val="auto"/>
          <w:sz w:val="21"/>
          <w:szCs w:val="21"/>
        </w:rPr>
        <w:t>、其他</w:t>
      </w:r>
      <w:r>
        <w:rPr>
          <w:rFonts w:hint="eastAsia" w:ascii="黑体" w:hAnsi="宋体" w:eastAsia="黑体" w:cs="宋体"/>
          <w:bCs/>
          <w:color w:val="auto"/>
          <w:sz w:val="21"/>
          <w:szCs w:val="21"/>
          <w:lang w:val="en-US" w:eastAsia="zh-CN"/>
        </w:rPr>
        <w:t>应当说明的事项</w:t>
      </w:r>
      <w:r>
        <w:rPr>
          <w:rFonts w:hint="eastAsia" w:ascii="黑体" w:hAnsi="宋体" w:eastAsia="黑体" w:cs="宋体"/>
          <w:bCs/>
          <w:color w:val="auto"/>
          <w:sz w:val="21"/>
          <w:szCs w:val="21"/>
        </w:rPr>
        <w:t>。</w:t>
      </w:r>
      <w:bookmarkEnd w:id="5"/>
    </w:p>
    <w:p w14:paraId="407DE7E8">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color w:val="auto"/>
          <w:sz w:val="21"/>
          <w:szCs w:val="21"/>
        </w:rPr>
        <w:t>无。</w:t>
      </w:r>
    </w:p>
    <w:p w14:paraId="60FC16ED">
      <w:pPr>
        <w:keepNext w:val="0"/>
        <w:keepLines w:val="0"/>
        <w:pageBreakBefore w:val="0"/>
        <w:kinsoku/>
        <w:wordWrap/>
        <w:overflowPunct/>
        <w:topLinePunct w:val="0"/>
        <w:bidi w:val="0"/>
        <w:snapToGrid/>
        <w:spacing w:line="440" w:lineRule="exact"/>
        <w:jc w:val="right"/>
        <w:textAlignment w:val="auto"/>
        <w:rPr>
          <w:rFonts w:ascii="宋体" w:hAnsi="宋体" w:eastAsia="宋体"/>
          <w:color w:val="auto"/>
          <w:sz w:val="21"/>
          <w:szCs w:val="21"/>
        </w:rPr>
      </w:pPr>
      <w:r>
        <w:rPr>
          <w:rFonts w:hint="eastAsia"/>
          <w:color w:val="auto"/>
          <w:sz w:val="21"/>
          <w:szCs w:val="21"/>
        </w:rPr>
        <w:t xml:space="preserve">                             《</w:t>
      </w:r>
      <w:r>
        <w:rPr>
          <w:rFonts w:hint="eastAsia" w:ascii="宋体" w:hAnsi="宋体" w:eastAsia="宋体"/>
          <w:color w:val="auto"/>
          <w:sz w:val="21"/>
          <w:szCs w:val="21"/>
          <w:lang w:val="en-US" w:eastAsia="zh-CN"/>
        </w:rPr>
        <w:t>电池废料的标志、包装、运输和贮存</w:t>
      </w:r>
      <w:r>
        <w:rPr>
          <w:rFonts w:hint="eastAsia"/>
          <w:color w:val="auto"/>
          <w:sz w:val="21"/>
          <w:szCs w:val="21"/>
        </w:rPr>
        <w:t>》</w:t>
      </w:r>
      <w:r>
        <w:rPr>
          <w:rFonts w:hint="eastAsia" w:ascii="宋体" w:hAnsi="宋体" w:eastAsia="宋体"/>
          <w:color w:val="auto"/>
          <w:sz w:val="21"/>
          <w:szCs w:val="21"/>
        </w:rPr>
        <w:t>编制组</w:t>
      </w:r>
    </w:p>
    <w:p w14:paraId="066E0993">
      <w:pPr>
        <w:keepNext w:val="0"/>
        <w:keepLines w:val="0"/>
        <w:pageBreakBefore w:val="0"/>
        <w:kinsoku/>
        <w:wordWrap/>
        <w:overflowPunct/>
        <w:topLinePunct w:val="0"/>
        <w:bidi w:val="0"/>
        <w:snapToGrid/>
        <w:spacing w:beforeLines="100" w:line="440" w:lineRule="exact"/>
        <w:jc w:val="right"/>
        <w:textAlignment w:val="auto"/>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1"/>
        </w:rPr>
        <w:t xml:space="preserve">                             </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年</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日</w:t>
      </w:r>
    </w:p>
    <w:p w14:paraId="212D4719">
      <w:pPr>
        <w:rPr>
          <w:color w:val="auto"/>
        </w:rPr>
      </w:pPr>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DF706"/>
    <w:multiLevelType w:val="singleLevel"/>
    <w:tmpl w:val="D0BDF706"/>
    <w:lvl w:ilvl="0" w:tentative="0">
      <w:start w:val="1"/>
      <w:numFmt w:val="decimal"/>
      <w:suff w:val="nothing"/>
      <w:lvlText w:val="（%1）"/>
      <w:lvlJc w:val="left"/>
      <w:rPr>
        <w:rFonts w:hint="default" w:ascii="Times New Roman" w:hAnsi="Times New Roman" w:cs="Times New Roman"/>
      </w:rPr>
    </w:lvl>
  </w:abstractNum>
  <w:abstractNum w:abstractNumId="1">
    <w:nsid w:val="DA9F0784"/>
    <w:multiLevelType w:val="singleLevel"/>
    <w:tmpl w:val="DA9F0784"/>
    <w:lvl w:ilvl="0" w:tentative="0">
      <w:start w:val="5"/>
      <w:numFmt w:val="chineseCounting"/>
      <w:suff w:val="nothing"/>
      <w:lvlText w:val="%1、"/>
      <w:lvlJc w:val="left"/>
      <w:rPr>
        <w:rFonts w:hint="eastAsia"/>
      </w:rPr>
    </w:lvl>
  </w:abstractNum>
  <w:abstractNum w:abstractNumId="2">
    <w:nsid w:val="E8556B88"/>
    <w:multiLevelType w:val="singleLevel"/>
    <w:tmpl w:val="E8556B88"/>
    <w:lvl w:ilvl="0" w:tentative="0">
      <w:start w:val="2"/>
      <w:numFmt w:val="decimal"/>
      <w:suff w:val="nothing"/>
      <w:lvlText w:val="%1、"/>
      <w:lvlJc w:val="left"/>
    </w:lvl>
  </w:abstractNum>
  <w:abstractNum w:abstractNumId="3">
    <w:nsid w:val="F116BB8D"/>
    <w:multiLevelType w:val="singleLevel"/>
    <w:tmpl w:val="F116BB8D"/>
    <w:lvl w:ilvl="0" w:tentative="0">
      <w:start w:val="1"/>
      <w:numFmt w:val="chineseCounting"/>
      <w:suff w:val="nothing"/>
      <w:lvlText w:val="（%1）"/>
      <w:lvlJc w:val="left"/>
      <w:rPr>
        <w:rFonts w:hint="eastAsia"/>
      </w:rPr>
    </w:lvl>
  </w:abstractNum>
  <w:abstractNum w:abstractNumId="4">
    <w:nsid w:val="11906E74"/>
    <w:multiLevelType w:val="singleLevel"/>
    <w:tmpl w:val="11906E74"/>
    <w:lvl w:ilvl="0" w:tentative="0">
      <w:start w:val="1"/>
      <w:numFmt w:val="decimalEnclosedCircleChinese"/>
      <w:suff w:val="nothing"/>
      <w:lvlText w:val="%1　"/>
      <w:lvlJc w:val="left"/>
      <w:pPr>
        <w:ind w:left="0" w:firstLine="400"/>
      </w:pPr>
      <w:rPr>
        <w:rFonts w:hint="eastAsia" w:ascii="Times New Roman" w:hAnsi="Times New Roman" w:cs="Times New Roman"/>
      </w:rPr>
    </w:lvl>
  </w:abstractNum>
  <w:abstractNum w:abstractNumId="5">
    <w:nsid w:val="4916F4FC"/>
    <w:multiLevelType w:val="singleLevel"/>
    <w:tmpl w:val="4916F4FC"/>
    <w:lvl w:ilvl="0" w:tentative="0">
      <w:start w:val="3"/>
      <w:numFmt w:val="chineseCounting"/>
      <w:suff w:val="nothing"/>
      <w:lvlText w:val="%1、"/>
      <w:lvlJc w:val="left"/>
      <w:rPr>
        <w:rFonts w:hint="eastAsia"/>
      </w:rPr>
    </w:lvl>
  </w:abstractNum>
  <w:abstractNum w:abstractNumId="6">
    <w:nsid w:val="62C86562"/>
    <w:multiLevelType w:val="multilevel"/>
    <w:tmpl w:val="62C86562"/>
    <w:lvl w:ilvl="0" w:tentative="0">
      <w:start w:val="1"/>
      <w:numFmt w:val="decimal"/>
      <w:lvlText w:val="表%1"/>
      <w:lvlJc w:val="left"/>
      <w:pPr>
        <w:ind w:left="147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5657C17"/>
    <w:multiLevelType w:val="singleLevel"/>
    <w:tmpl w:val="75657C17"/>
    <w:lvl w:ilvl="0" w:tentative="0">
      <w:start w:val="3"/>
      <w:numFmt w:val="decimal"/>
      <w:suff w:val="nothing"/>
      <w:lvlText w:val="%1、"/>
      <w:lvlJc w:val="left"/>
    </w:lvl>
  </w:abstractNum>
  <w:abstractNum w:abstractNumId="8">
    <w:nsid w:val="7DF008BD"/>
    <w:multiLevelType w:val="singleLevel"/>
    <w:tmpl w:val="7DF008BD"/>
    <w:lvl w:ilvl="0" w:tentative="0">
      <w:start w:val="1"/>
      <w:numFmt w:val="decimal"/>
      <w:lvlText w:val="(%1)"/>
      <w:lvlJc w:val="left"/>
      <w:pPr>
        <w:ind w:left="425" w:hanging="425"/>
      </w:pPr>
      <w:rPr>
        <w:rFonts w:hint="default"/>
      </w:rPr>
    </w:lvl>
  </w:abstractNum>
  <w:num w:numId="1">
    <w:abstractNumId w:val="6"/>
  </w:num>
  <w:num w:numId="2">
    <w:abstractNumId w:val="2"/>
  </w:num>
  <w:num w:numId="3">
    <w:abstractNumId w:val="0"/>
  </w:num>
  <w:num w:numId="4">
    <w:abstractNumId w:val="7"/>
  </w:num>
  <w:num w:numId="5">
    <w:abstractNumId w:val="8"/>
  </w:num>
  <w:num w:numId="6">
    <w:abstractNumId w:val="4"/>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yNmIwMmY3OTI2ZGY0NTE3MDNmODU2YWI2NjcxZDQ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23C"/>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2D7"/>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30B0"/>
    <w:rsid w:val="00AE433E"/>
    <w:rsid w:val="00AF1E7D"/>
    <w:rsid w:val="00AF26BD"/>
    <w:rsid w:val="00AF51F2"/>
    <w:rsid w:val="00B000EC"/>
    <w:rsid w:val="00B017D4"/>
    <w:rsid w:val="00B01EA1"/>
    <w:rsid w:val="00B03376"/>
    <w:rsid w:val="00B043A6"/>
    <w:rsid w:val="00B0560D"/>
    <w:rsid w:val="00B05895"/>
    <w:rsid w:val="00B05FC1"/>
    <w:rsid w:val="00B06E28"/>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1035"/>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357317"/>
    <w:rsid w:val="01626D58"/>
    <w:rsid w:val="016E044A"/>
    <w:rsid w:val="017460A8"/>
    <w:rsid w:val="01CF32DE"/>
    <w:rsid w:val="020134C5"/>
    <w:rsid w:val="03375BD8"/>
    <w:rsid w:val="03675EC4"/>
    <w:rsid w:val="0397607D"/>
    <w:rsid w:val="03F414C2"/>
    <w:rsid w:val="04812FB5"/>
    <w:rsid w:val="04CF728E"/>
    <w:rsid w:val="04F33787"/>
    <w:rsid w:val="06021ED4"/>
    <w:rsid w:val="070B5632"/>
    <w:rsid w:val="07724E37"/>
    <w:rsid w:val="07CC279A"/>
    <w:rsid w:val="07E07FF3"/>
    <w:rsid w:val="07E30570"/>
    <w:rsid w:val="083B347B"/>
    <w:rsid w:val="094E3D76"/>
    <w:rsid w:val="0A2B0805"/>
    <w:rsid w:val="0A3E54A5"/>
    <w:rsid w:val="0AF73FD1"/>
    <w:rsid w:val="0BC2486D"/>
    <w:rsid w:val="0C000C64"/>
    <w:rsid w:val="0C482343"/>
    <w:rsid w:val="0C673974"/>
    <w:rsid w:val="0D244E26"/>
    <w:rsid w:val="0DBC0C17"/>
    <w:rsid w:val="0DDF2AFB"/>
    <w:rsid w:val="0E0C52A6"/>
    <w:rsid w:val="0E604FEC"/>
    <w:rsid w:val="0E8C4A31"/>
    <w:rsid w:val="0EA33B28"/>
    <w:rsid w:val="0EBB70C4"/>
    <w:rsid w:val="0ECF4148"/>
    <w:rsid w:val="111F7DDE"/>
    <w:rsid w:val="11561326"/>
    <w:rsid w:val="11965BC6"/>
    <w:rsid w:val="119B31DD"/>
    <w:rsid w:val="12065420"/>
    <w:rsid w:val="1235718D"/>
    <w:rsid w:val="12802AFE"/>
    <w:rsid w:val="13AF2F6F"/>
    <w:rsid w:val="142179B0"/>
    <w:rsid w:val="142421F8"/>
    <w:rsid w:val="144C5FA9"/>
    <w:rsid w:val="14E80D6F"/>
    <w:rsid w:val="16B56AEF"/>
    <w:rsid w:val="16D05547"/>
    <w:rsid w:val="177B7D38"/>
    <w:rsid w:val="17E56F60"/>
    <w:rsid w:val="18704CB4"/>
    <w:rsid w:val="18AD1450"/>
    <w:rsid w:val="1924150F"/>
    <w:rsid w:val="192E28F8"/>
    <w:rsid w:val="19E82D37"/>
    <w:rsid w:val="1B0A65FE"/>
    <w:rsid w:val="1B334486"/>
    <w:rsid w:val="1B9E2247"/>
    <w:rsid w:val="1BA55AA7"/>
    <w:rsid w:val="1D9456B0"/>
    <w:rsid w:val="1E0F11DA"/>
    <w:rsid w:val="1E434DF1"/>
    <w:rsid w:val="1E885A3B"/>
    <w:rsid w:val="204008A5"/>
    <w:rsid w:val="208F03B0"/>
    <w:rsid w:val="21535882"/>
    <w:rsid w:val="21A63C04"/>
    <w:rsid w:val="223A40EF"/>
    <w:rsid w:val="22C80A1D"/>
    <w:rsid w:val="230230BC"/>
    <w:rsid w:val="234A45D7"/>
    <w:rsid w:val="235D65E3"/>
    <w:rsid w:val="23C12F77"/>
    <w:rsid w:val="249D3020"/>
    <w:rsid w:val="2565282D"/>
    <w:rsid w:val="266B0F78"/>
    <w:rsid w:val="27FF5E1C"/>
    <w:rsid w:val="28E92B74"/>
    <w:rsid w:val="29743B97"/>
    <w:rsid w:val="29F574D6"/>
    <w:rsid w:val="2A59450E"/>
    <w:rsid w:val="2AF42FD1"/>
    <w:rsid w:val="2BA80578"/>
    <w:rsid w:val="2BFC0FF0"/>
    <w:rsid w:val="2C412EA7"/>
    <w:rsid w:val="2C64684A"/>
    <w:rsid w:val="2CAA18B3"/>
    <w:rsid w:val="2CDE2007"/>
    <w:rsid w:val="2CF17ED9"/>
    <w:rsid w:val="2D32216E"/>
    <w:rsid w:val="2D491F9E"/>
    <w:rsid w:val="2D4B16D2"/>
    <w:rsid w:val="2D6F134E"/>
    <w:rsid w:val="2D6F6765"/>
    <w:rsid w:val="2D856899"/>
    <w:rsid w:val="2DD6396D"/>
    <w:rsid w:val="2DF3038D"/>
    <w:rsid w:val="2EE3075D"/>
    <w:rsid w:val="2F20599A"/>
    <w:rsid w:val="2F2443BA"/>
    <w:rsid w:val="2FCC1F87"/>
    <w:rsid w:val="2FE50BA9"/>
    <w:rsid w:val="303B7C0D"/>
    <w:rsid w:val="304C5976"/>
    <w:rsid w:val="30A734F4"/>
    <w:rsid w:val="30BA4747"/>
    <w:rsid w:val="312B5ED3"/>
    <w:rsid w:val="31427CF9"/>
    <w:rsid w:val="31692558"/>
    <w:rsid w:val="317F0BCA"/>
    <w:rsid w:val="32832A04"/>
    <w:rsid w:val="329F44B2"/>
    <w:rsid w:val="338D1CFC"/>
    <w:rsid w:val="33D66312"/>
    <w:rsid w:val="33F20F2A"/>
    <w:rsid w:val="36C931D3"/>
    <w:rsid w:val="36CE17DB"/>
    <w:rsid w:val="36D26C23"/>
    <w:rsid w:val="372B1E61"/>
    <w:rsid w:val="37310B23"/>
    <w:rsid w:val="389F0E7D"/>
    <w:rsid w:val="39081F86"/>
    <w:rsid w:val="391C28EE"/>
    <w:rsid w:val="39847C26"/>
    <w:rsid w:val="399E5E71"/>
    <w:rsid w:val="39DA0497"/>
    <w:rsid w:val="3A6366DE"/>
    <w:rsid w:val="3A6C3919"/>
    <w:rsid w:val="3AA35841"/>
    <w:rsid w:val="3B6F4C0F"/>
    <w:rsid w:val="3B7A0F58"/>
    <w:rsid w:val="3B974891"/>
    <w:rsid w:val="3C2F4E38"/>
    <w:rsid w:val="3C672EE2"/>
    <w:rsid w:val="3D6A4E95"/>
    <w:rsid w:val="3DE25B6C"/>
    <w:rsid w:val="3F800633"/>
    <w:rsid w:val="3F850EA5"/>
    <w:rsid w:val="403A3A3D"/>
    <w:rsid w:val="40681CC4"/>
    <w:rsid w:val="4095054D"/>
    <w:rsid w:val="40BE01CA"/>
    <w:rsid w:val="40CF687B"/>
    <w:rsid w:val="40EF15FC"/>
    <w:rsid w:val="417E3E23"/>
    <w:rsid w:val="42132798"/>
    <w:rsid w:val="429462BA"/>
    <w:rsid w:val="42C43A92"/>
    <w:rsid w:val="42DF08CC"/>
    <w:rsid w:val="436C03B1"/>
    <w:rsid w:val="43F9776B"/>
    <w:rsid w:val="44544A76"/>
    <w:rsid w:val="44705C7F"/>
    <w:rsid w:val="44FE1A1E"/>
    <w:rsid w:val="454E2F10"/>
    <w:rsid w:val="45A06EFF"/>
    <w:rsid w:val="46250CEB"/>
    <w:rsid w:val="46387A28"/>
    <w:rsid w:val="46E803BD"/>
    <w:rsid w:val="47553FD4"/>
    <w:rsid w:val="48960B41"/>
    <w:rsid w:val="493733B5"/>
    <w:rsid w:val="493A4AAE"/>
    <w:rsid w:val="495913D8"/>
    <w:rsid w:val="49EC224C"/>
    <w:rsid w:val="4AB06DDC"/>
    <w:rsid w:val="4C466FD5"/>
    <w:rsid w:val="4C4C62F7"/>
    <w:rsid w:val="4D20220D"/>
    <w:rsid w:val="4DA60964"/>
    <w:rsid w:val="4E347D1E"/>
    <w:rsid w:val="4E375A60"/>
    <w:rsid w:val="4E3F42A5"/>
    <w:rsid w:val="4F3860E4"/>
    <w:rsid w:val="4F766114"/>
    <w:rsid w:val="4FD37F56"/>
    <w:rsid w:val="4FDF63AF"/>
    <w:rsid w:val="50CE10DD"/>
    <w:rsid w:val="50EE47E2"/>
    <w:rsid w:val="51145BE4"/>
    <w:rsid w:val="51813F8E"/>
    <w:rsid w:val="51A11B6E"/>
    <w:rsid w:val="51D42E6E"/>
    <w:rsid w:val="54505185"/>
    <w:rsid w:val="5516017D"/>
    <w:rsid w:val="55E00330"/>
    <w:rsid w:val="5613290E"/>
    <w:rsid w:val="56A33C92"/>
    <w:rsid w:val="56E07A2A"/>
    <w:rsid w:val="57DB7DE8"/>
    <w:rsid w:val="58301761"/>
    <w:rsid w:val="593C217C"/>
    <w:rsid w:val="5A3718F9"/>
    <w:rsid w:val="5A921C7B"/>
    <w:rsid w:val="5ACD216B"/>
    <w:rsid w:val="5B946F2C"/>
    <w:rsid w:val="5E0E058B"/>
    <w:rsid w:val="5E23733E"/>
    <w:rsid w:val="5ECF6D3C"/>
    <w:rsid w:val="5F4955F3"/>
    <w:rsid w:val="5F4D50E3"/>
    <w:rsid w:val="5F952C60"/>
    <w:rsid w:val="5FE41836"/>
    <w:rsid w:val="607B1E49"/>
    <w:rsid w:val="61C3516F"/>
    <w:rsid w:val="61C4490B"/>
    <w:rsid w:val="61CA6EC6"/>
    <w:rsid w:val="6220388E"/>
    <w:rsid w:val="622639C9"/>
    <w:rsid w:val="63D44940"/>
    <w:rsid w:val="63EA73A4"/>
    <w:rsid w:val="64722EF6"/>
    <w:rsid w:val="64EE7AC2"/>
    <w:rsid w:val="6549634D"/>
    <w:rsid w:val="6580113E"/>
    <w:rsid w:val="65B25CA0"/>
    <w:rsid w:val="65B52597"/>
    <w:rsid w:val="65F31E15"/>
    <w:rsid w:val="65F43F54"/>
    <w:rsid w:val="6663343E"/>
    <w:rsid w:val="668274EA"/>
    <w:rsid w:val="68580655"/>
    <w:rsid w:val="69735746"/>
    <w:rsid w:val="6B182A49"/>
    <w:rsid w:val="6B3E697D"/>
    <w:rsid w:val="6C627CF4"/>
    <w:rsid w:val="6C8D4D71"/>
    <w:rsid w:val="6CA125CA"/>
    <w:rsid w:val="6CAA2781"/>
    <w:rsid w:val="6D284A9A"/>
    <w:rsid w:val="6D446585"/>
    <w:rsid w:val="6D837F22"/>
    <w:rsid w:val="6E3C6504"/>
    <w:rsid w:val="6E4A4966"/>
    <w:rsid w:val="6EBC36EB"/>
    <w:rsid w:val="6F3335BA"/>
    <w:rsid w:val="6F7D546A"/>
    <w:rsid w:val="705A3CDA"/>
    <w:rsid w:val="73542C4E"/>
    <w:rsid w:val="73B937C6"/>
    <w:rsid w:val="74341F76"/>
    <w:rsid w:val="74C4779E"/>
    <w:rsid w:val="74DE650A"/>
    <w:rsid w:val="750C4CA1"/>
    <w:rsid w:val="750E0C09"/>
    <w:rsid w:val="7569258E"/>
    <w:rsid w:val="75DF4163"/>
    <w:rsid w:val="76A76695"/>
    <w:rsid w:val="76CE0460"/>
    <w:rsid w:val="76E063E5"/>
    <w:rsid w:val="76E521D9"/>
    <w:rsid w:val="781E41BF"/>
    <w:rsid w:val="78481584"/>
    <w:rsid w:val="78A173C8"/>
    <w:rsid w:val="7A241826"/>
    <w:rsid w:val="7A330376"/>
    <w:rsid w:val="7A766F4A"/>
    <w:rsid w:val="7B4A02D1"/>
    <w:rsid w:val="7B6E0463"/>
    <w:rsid w:val="7B8239A1"/>
    <w:rsid w:val="7BA7604A"/>
    <w:rsid w:val="7BE1179D"/>
    <w:rsid w:val="7C885555"/>
    <w:rsid w:val="7DB10E82"/>
    <w:rsid w:val="7E2E7A36"/>
    <w:rsid w:val="7E5D031B"/>
    <w:rsid w:val="7EE418A1"/>
    <w:rsid w:val="7F0215EE"/>
    <w:rsid w:val="7F1C2A1F"/>
    <w:rsid w:val="7F5A10E0"/>
    <w:rsid w:val="7F802513"/>
    <w:rsid w:val="7FBA5A25"/>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50" w:beforeLines="50" w:after="50" w:afterLines="50" w:line="360" w:lineRule="auto"/>
      <w:outlineLvl w:val="2"/>
    </w:pPr>
    <w:rPr>
      <w:b/>
      <w:bCs/>
      <w:sz w:val="24"/>
      <w:szCs w:val="32"/>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spacing w:line="360" w:lineRule="auto"/>
      <w:jc w:val="left"/>
    </w:pPr>
    <w:rPr>
      <w:rFonts w:ascii="宋体" w:hAnsi="宋体" w:eastAsia="宋体" w:cs="Times New Roman"/>
      <w:szCs w:val="24"/>
    </w:rPr>
  </w:style>
  <w:style w:type="paragraph" w:styleId="5">
    <w:name w:val="Body Text"/>
    <w:basedOn w:val="1"/>
    <w:unhideWhenUsed/>
    <w:qFormat/>
    <w:uiPriority w:val="99"/>
    <w:pPr>
      <w:spacing w:line="440" w:lineRule="exact"/>
      <w:ind w:firstLine="640" w:firstLineChars="200"/>
    </w:pPr>
    <w:rPr>
      <w:rFonts w:eastAsia="宋体" w:asciiTheme="minorAscii" w:hAnsiTheme="minorAscii"/>
    </w:rPr>
  </w:style>
  <w:style w:type="paragraph" w:styleId="6">
    <w:name w:val="Body Text Indent"/>
    <w:basedOn w:val="1"/>
    <w:link w:val="20"/>
    <w:qFormat/>
    <w:uiPriority w:val="0"/>
    <w:pPr>
      <w:ind w:firstLine="420"/>
    </w:pPr>
    <w:rPr>
      <w:rFonts w:ascii="Times New Roman" w:hAnsi="Times New Roman" w:eastAsia="宋体" w:cs="Times New Roman"/>
      <w:sz w:val="24"/>
      <w:szCs w:val="24"/>
    </w:rPr>
  </w:style>
  <w:style w:type="paragraph" w:styleId="7">
    <w:name w:val="Balloon Text"/>
    <w:basedOn w:val="1"/>
    <w:link w:val="16"/>
    <w:semiHidden/>
    <w:unhideWhenUsed/>
    <w:qFormat/>
    <w:uiPriority w:val="99"/>
    <w:rPr>
      <w:sz w:val="18"/>
      <w:szCs w:val="18"/>
    </w:rPr>
  </w:style>
  <w:style w:type="paragraph" w:styleId="8">
    <w:name w:val="footer"/>
    <w:basedOn w:val="1"/>
    <w:link w:val="18"/>
    <w:semiHidden/>
    <w:unhideWhenUsed/>
    <w:qFormat/>
    <w:uiPriority w:val="99"/>
    <w:pPr>
      <w:tabs>
        <w:tab w:val="center" w:pos="4153"/>
        <w:tab w:val="right" w:pos="8306"/>
      </w:tabs>
      <w:snapToGrid w:val="0"/>
      <w:jc w:val="left"/>
    </w:pPr>
    <w:rPr>
      <w:sz w:val="18"/>
      <w:szCs w:val="18"/>
    </w:rPr>
  </w:style>
  <w:style w:type="paragraph" w:styleId="9">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Hyperlink"/>
    <w:basedOn w:val="13"/>
    <w:semiHidden/>
    <w:unhideWhenUsed/>
    <w:qFormat/>
    <w:uiPriority w:val="99"/>
    <w:rPr>
      <w:color w:val="0000FF"/>
      <w:u w:val="single"/>
    </w:rPr>
  </w:style>
  <w:style w:type="character" w:customStyle="1" w:styleId="16">
    <w:name w:val="批注框文本 Char"/>
    <w:basedOn w:val="13"/>
    <w:link w:val="7"/>
    <w:semiHidden/>
    <w:qFormat/>
    <w:uiPriority w:val="99"/>
    <w:rPr>
      <w:sz w:val="18"/>
      <w:szCs w:val="18"/>
    </w:rPr>
  </w:style>
  <w:style w:type="character" w:customStyle="1" w:styleId="17">
    <w:name w:val="页眉 Char"/>
    <w:basedOn w:val="13"/>
    <w:link w:val="9"/>
    <w:semiHidden/>
    <w:qFormat/>
    <w:uiPriority w:val="99"/>
    <w:rPr>
      <w:sz w:val="18"/>
      <w:szCs w:val="18"/>
    </w:rPr>
  </w:style>
  <w:style w:type="character" w:customStyle="1" w:styleId="18">
    <w:name w:val="页脚 Char"/>
    <w:basedOn w:val="13"/>
    <w:link w:val="8"/>
    <w:semiHidden/>
    <w:qFormat/>
    <w:uiPriority w:val="99"/>
    <w:rPr>
      <w:sz w:val="18"/>
      <w:szCs w:val="18"/>
    </w:rPr>
  </w:style>
  <w:style w:type="paragraph" w:customStyle="1" w:styleId="19">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20">
    <w:name w:val="正文文本缩进 Char"/>
    <w:basedOn w:val="13"/>
    <w:link w:val="6"/>
    <w:qFormat/>
    <w:uiPriority w:val="0"/>
    <w:rPr>
      <w:rFonts w:ascii="Times New Roman" w:hAnsi="Times New Roman" w:eastAsia="宋体" w:cs="Times New Roman"/>
      <w:sz w:val="24"/>
      <w:szCs w:val="24"/>
    </w:rPr>
  </w:style>
  <w:style w:type="character" w:customStyle="1" w:styleId="21">
    <w:name w:val="批注文字 Char"/>
    <w:basedOn w:val="13"/>
    <w:link w:val="4"/>
    <w:qFormat/>
    <w:uiPriority w:val="0"/>
    <w:rPr>
      <w:rFonts w:ascii="宋体" w:hAnsi="宋体" w:eastAsia="宋体" w:cs="Times New Roman"/>
      <w:szCs w:val="24"/>
    </w:rPr>
  </w:style>
  <w:style w:type="paragraph" w:styleId="22">
    <w:name w:val="List Paragraph"/>
    <w:basedOn w:val="1"/>
    <w:qFormat/>
    <w:uiPriority w:val="34"/>
    <w:pPr>
      <w:ind w:firstLine="420" w:firstLineChars="200"/>
    </w:pPr>
  </w:style>
  <w:style w:type="paragraph" w:customStyle="1" w:styleId="23">
    <w:name w:val="段"/>
    <w:link w:val="24"/>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4">
    <w:name w:val="段 Char"/>
    <w:link w:val="23"/>
    <w:qFormat/>
    <w:uiPriority w:val="0"/>
    <w:rPr>
      <w:rFonts w:ascii="宋体" w:hAnsi="Times New Roman" w:eastAsia="宋体" w:cs="Times New Roman"/>
      <w:kern w:val="0"/>
    </w:rPr>
  </w:style>
  <w:style w:type="character" w:customStyle="1" w:styleId="25">
    <w:name w:val="font01"/>
    <w:basedOn w:val="13"/>
    <w:qFormat/>
    <w:uiPriority w:val="0"/>
    <w:rPr>
      <w:rFonts w:hint="eastAsia" w:ascii="宋体" w:hAnsi="宋体" w:eastAsia="宋体" w:cs="宋体"/>
      <w:color w:val="000000"/>
      <w:sz w:val="22"/>
      <w:szCs w:val="22"/>
      <w:u w:val="none"/>
    </w:rPr>
  </w:style>
  <w:style w:type="character" w:customStyle="1" w:styleId="26">
    <w:name w:val="font51"/>
    <w:basedOn w:val="13"/>
    <w:qFormat/>
    <w:uiPriority w:val="0"/>
    <w:rPr>
      <w:rFonts w:hint="eastAsia" w:ascii="宋体" w:hAnsi="宋体" w:eastAsia="宋体" w:cs="宋体"/>
      <w:color w:val="FF0000"/>
      <w:sz w:val="22"/>
      <w:szCs w:val="22"/>
      <w:u w:val="none"/>
    </w:rPr>
  </w:style>
  <w:style w:type="character" w:customStyle="1" w:styleId="27">
    <w:name w:val="font31"/>
    <w:basedOn w:val="13"/>
    <w:qFormat/>
    <w:uiPriority w:val="0"/>
    <w:rPr>
      <w:rFonts w:hint="eastAsia" w:ascii="宋体" w:hAnsi="宋体" w:eastAsia="宋体" w:cs="宋体"/>
      <w:color w:val="C00000"/>
      <w:sz w:val="22"/>
      <w:szCs w:val="22"/>
      <w:u w:val="none"/>
    </w:rPr>
  </w:style>
  <w:style w:type="character" w:customStyle="1" w:styleId="28">
    <w:name w:val="font41"/>
    <w:basedOn w:val="13"/>
    <w:qFormat/>
    <w:uiPriority w:val="0"/>
    <w:rPr>
      <w:rFonts w:hint="default" w:ascii="Times New Roman" w:hAnsi="Times New Roman" w:cs="Times New Roman"/>
      <w:color w:val="C00000"/>
      <w:sz w:val="22"/>
      <w:szCs w:val="22"/>
      <w:u w:val="none"/>
    </w:rPr>
  </w:style>
  <w:style w:type="character" w:customStyle="1" w:styleId="29">
    <w:name w:val="font11"/>
    <w:basedOn w:val="13"/>
    <w:qFormat/>
    <w:uiPriority w:val="0"/>
    <w:rPr>
      <w:rFonts w:hint="default" w:ascii="Times New Roman" w:hAnsi="Times New Roman" w:cs="Times New Roman"/>
      <w:color w:val="000000"/>
      <w:sz w:val="22"/>
      <w:szCs w:val="22"/>
      <w:u w:val="none"/>
    </w:rPr>
  </w:style>
  <w:style w:type="character" w:customStyle="1" w:styleId="30">
    <w:name w:val="font71"/>
    <w:basedOn w:val="13"/>
    <w:qFormat/>
    <w:uiPriority w:val="0"/>
    <w:rPr>
      <w:rFonts w:hint="default" w:ascii="Times New Roman" w:hAnsi="Times New Roman" w:cs="Times New Roman"/>
      <w:color w:val="000000"/>
      <w:sz w:val="22"/>
      <w:szCs w:val="22"/>
      <w:u w:val="none"/>
      <w:vertAlign w:val="superscript"/>
    </w:rPr>
  </w:style>
  <w:style w:type="character" w:customStyle="1" w:styleId="31">
    <w:name w:val="font8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25</Pages>
  <Words>21711</Words>
  <Characters>23156</Characters>
  <Lines>68</Lines>
  <Paragraphs>19</Paragraphs>
  <TotalTime>5</TotalTime>
  <ScaleCrop>false</ScaleCrop>
  <LinksUpToDate>false</LinksUpToDate>
  <CharactersWithSpaces>23461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ss</cp:lastModifiedBy>
  <dcterms:modified xsi:type="dcterms:W3CDTF">2026-08-05T07:50:06Z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397F42223423400A9CE651A2A4FFC8B5_13</vt:lpwstr>
  </property>
  <property fmtid="{D5CDD505-2E9C-101B-9397-08002B2CF9AE}" pid="4" name="KSOTemplateDocerSaveRecord">
    <vt:lpwstr>eyJoZGlkIjoiNmJhNjFiYzEyMGYxNjdhN2I2ODlmY2E1MmZjYThkZWYiLCJ1c2VySWQiOiIzOTc1NTY5ODkifQ==</vt:lpwstr>
  </property>
</Properties>
</file>