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8A4E33">
      <w:pPr>
        <w:jc w:val="center"/>
        <w:rPr>
          <w:rFonts w:hint="eastAsia" w:eastAsia="黑体"/>
          <w:color w:val="auto"/>
          <w:sz w:val="32"/>
          <w:szCs w:val="32"/>
          <w:lang w:val="en-US" w:eastAsia="zh-CN"/>
        </w:rPr>
      </w:pPr>
    </w:p>
    <w:p w14:paraId="43B6A713">
      <w:pPr>
        <w:jc w:val="center"/>
        <w:rPr>
          <w:rFonts w:hint="eastAsia" w:eastAsia="黑体"/>
          <w:color w:val="auto"/>
          <w:sz w:val="32"/>
          <w:szCs w:val="32"/>
          <w:lang w:val="en-US" w:eastAsia="zh-CN"/>
        </w:rPr>
      </w:pPr>
    </w:p>
    <w:p w14:paraId="077F43BF">
      <w:pPr>
        <w:jc w:val="center"/>
        <w:rPr>
          <w:rFonts w:hint="eastAsia" w:eastAsia="黑体"/>
          <w:color w:val="auto"/>
          <w:sz w:val="32"/>
          <w:szCs w:val="32"/>
          <w:lang w:val="en-US" w:eastAsia="zh-CN"/>
        </w:rPr>
      </w:pPr>
    </w:p>
    <w:p w14:paraId="53969195">
      <w:pPr>
        <w:jc w:val="center"/>
        <w:rPr>
          <w:rFonts w:hint="eastAsia" w:eastAsia="黑体"/>
          <w:color w:val="auto"/>
          <w:sz w:val="32"/>
          <w:szCs w:val="32"/>
          <w:lang w:val="en-US" w:eastAsia="zh-CN"/>
        </w:rPr>
      </w:pPr>
    </w:p>
    <w:p w14:paraId="49B2B3D8">
      <w:pPr>
        <w:jc w:val="center"/>
        <w:rPr>
          <w:rFonts w:hint="eastAsia" w:eastAsia="黑体"/>
          <w:color w:val="auto"/>
          <w:sz w:val="32"/>
          <w:szCs w:val="32"/>
          <w:lang w:val="en-US" w:eastAsia="zh-CN"/>
        </w:rPr>
      </w:pPr>
    </w:p>
    <w:p w14:paraId="68A45F7A">
      <w:pPr>
        <w:jc w:val="center"/>
        <w:rPr>
          <w:rFonts w:hint="eastAsia" w:eastAsia="黑体"/>
          <w:color w:val="auto"/>
          <w:sz w:val="44"/>
          <w:szCs w:val="44"/>
          <w:lang w:val="en-US" w:eastAsia="zh-CN"/>
        </w:rPr>
      </w:pPr>
    </w:p>
    <w:p w14:paraId="00AE9882">
      <w:pPr>
        <w:jc w:val="center"/>
        <w:rPr>
          <w:rFonts w:hint="eastAsia" w:eastAsia="黑体"/>
          <w:color w:val="auto"/>
          <w:sz w:val="44"/>
          <w:szCs w:val="44"/>
          <w:lang w:val="en-US" w:eastAsia="zh-CN"/>
        </w:rPr>
      </w:pPr>
      <w:r>
        <w:rPr>
          <w:rFonts w:hint="eastAsia" w:eastAsia="黑体"/>
          <w:color w:val="auto"/>
          <w:sz w:val="44"/>
          <w:szCs w:val="44"/>
          <w:lang w:val="en-US" w:eastAsia="zh-CN"/>
        </w:rPr>
        <w:t>国家标准《充电电池废料废件》编制说明</w:t>
      </w:r>
    </w:p>
    <w:p w14:paraId="2B0E82A0">
      <w:pPr>
        <w:pStyle w:val="5"/>
        <w:rPr>
          <w:rFonts w:hint="eastAsia"/>
          <w:lang w:val="en-US" w:eastAsia="zh-CN"/>
        </w:rPr>
      </w:pPr>
    </w:p>
    <w:p w14:paraId="6FD979E8">
      <w:pPr>
        <w:jc w:val="center"/>
        <w:rPr>
          <w:rFonts w:hint="eastAsia" w:eastAsia="黑体"/>
          <w:color w:val="auto"/>
          <w:sz w:val="32"/>
          <w:szCs w:val="32"/>
          <w:lang w:val="en-US" w:eastAsia="zh-CN"/>
        </w:rPr>
      </w:pPr>
      <w:r>
        <w:rPr>
          <w:rFonts w:hint="eastAsia" w:eastAsia="黑体"/>
          <w:color w:val="auto"/>
          <w:sz w:val="32"/>
          <w:szCs w:val="32"/>
          <w:lang w:val="en-US" w:eastAsia="zh-CN"/>
        </w:rPr>
        <w:t>（征求意见稿）</w:t>
      </w:r>
    </w:p>
    <w:p w14:paraId="083AF3D4">
      <w:pPr>
        <w:jc w:val="center"/>
        <w:rPr>
          <w:rFonts w:hint="eastAsia" w:eastAsia="黑体"/>
          <w:color w:val="auto"/>
          <w:sz w:val="28"/>
          <w:szCs w:val="28"/>
          <w:lang w:val="en-US" w:eastAsia="zh-CN"/>
        </w:rPr>
      </w:pPr>
    </w:p>
    <w:p w14:paraId="67D435A6">
      <w:pPr>
        <w:jc w:val="center"/>
        <w:rPr>
          <w:rFonts w:hint="eastAsia" w:eastAsia="黑体"/>
          <w:color w:val="auto"/>
          <w:sz w:val="28"/>
          <w:szCs w:val="28"/>
          <w:lang w:val="en-US" w:eastAsia="zh-CN"/>
        </w:rPr>
      </w:pPr>
    </w:p>
    <w:p w14:paraId="4D5E62B0">
      <w:pPr>
        <w:jc w:val="center"/>
        <w:rPr>
          <w:rFonts w:hint="eastAsia" w:eastAsia="黑体"/>
          <w:color w:val="auto"/>
          <w:sz w:val="28"/>
          <w:szCs w:val="28"/>
          <w:lang w:val="en-US" w:eastAsia="zh-CN"/>
        </w:rPr>
      </w:pPr>
    </w:p>
    <w:p w14:paraId="15B73921">
      <w:pPr>
        <w:jc w:val="center"/>
        <w:rPr>
          <w:rFonts w:hint="eastAsia" w:eastAsia="黑体"/>
          <w:color w:val="auto"/>
          <w:sz w:val="28"/>
          <w:szCs w:val="28"/>
          <w:lang w:val="en-US" w:eastAsia="zh-CN"/>
        </w:rPr>
      </w:pPr>
    </w:p>
    <w:p w14:paraId="4AE6AF22">
      <w:pPr>
        <w:jc w:val="center"/>
        <w:rPr>
          <w:rFonts w:hint="eastAsia" w:eastAsia="黑体"/>
          <w:color w:val="auto"/>
          <w:sz w:val="28"/>
          <w:szCs w:val="28"/>
          <w:lang w:val="en-US" w:eastAsia="zh-CN"/>
        </w:rPr>
      </w:pPr>
    </w:p>
    <w:p w14:paraId="65CCCD6A">
      <w:pPr>
        <w:jc w:val="center"/>
        <w:rPr>
          <w:rFonts w:hint="eastAsia" w:eastAsia="黑体"/>
          <w:color w:val="auto"/>
          <w:sz w:val="28"/>
          <w:szCs w:val="28"/>
          <w:lang w:val="en-US" w:eastAsia="zh-CN"/>
        </w:rPr>
      </w:pPr>
    </w:p>
    <w:p w14:paraId="00909E4C">
      <w:pPr>
        <w:jc w:val="center"/>
        <w:rPr>
          <w:rFonts w:hint="eastAsia" w:eastAsia="黑体"/>
          <w:color w:val="auto"/>
          <w:sz w:val="28"/>
          <w:szCs w:val="28"/>
          <w:lang w:val="en-US" w:eastAsia="zh-CN"/>
        </w:rPr>
      </w:pPr>
    </w:p>
    <w:p w14:paraId="154E1BBE">
      <w:pPr>
        <w:jc w:val="center"/>
        <w:rPr>
          <w:rFonts w:hint="eastAsia" w:eastAsia="黑体"/>
          <w:color w:val="auto"/>
          <w:sz w:val="28"/>
          <w:szCs w:val="28"/>
          <w:lang w:val="en-US" w:eastAsia="zh-CN"/>
        </w:rPr>
      </w:pPr>
      <w:r>
        <w:rPr>
          <w:rFonts w:hint="eastAsia" w:eastAsia="黑体"/>
          <w:color w:val="auto"/>
          <w:sz w:val="28"/>
          <w:szCs w:val="28"/>
          <w:lang w:val="en-US" w:eastAsia="zh-CN"/>
        </w:rPr>
        <w:t>武汉动力电池再生技术有限公司</w:t>
      </w:r>
    </w:p>
    <w:p w14:paraId="23FDA1D1">
      <w:pPr>
        <w:jc w:val="center"/>
        <w:rPr>
          <w:rFonts w:hint="default" w:eastAsia="黑体"/>
          <w:color w:val="auto"/>
          <w:sz w:val="28"/>
          <w:szCs w:val="28"/>
          <w:lang w:val="en-US" w:eastAsia="zh-CN"/>
        </w:rPr>
      </w:pPr>
      <w:r>
        <w:rPr>
          <w:rFonts w:hint="eastAsia" w:eastAsia="黑体"/>
          <w:color w:val="auto"/>
          <w:sz w:val="28"/>
          <w:szCs w:val="28"/>
          <w:lang w:val="en-US" w:eastAsia="zh-CN"/>
        </w:rPr>
        <w:t>2026年8月</w:t>
      </w:r>
      <w:r>
        <w:rPr>
          <w:rFonts w:hint="eastAsia" w:eastAsia="黑体"/>
          <w:color w:val="auto"/>
          <w:sz w:val="28"/>
          <w:szCs w:val="28"/>
          <w:lang w:val="en-US" w:eastAsia="zh-CN"/>
        </w:rPr>
        <w:br w:type="page"/>
      </w:r>
    </w:p>
    <w:p w14:paraId="55EC04CC">
      <w:pPr>
        <w:jc w:val="center"/>
        <w:rPr>
          <w:rFonts w:hint="eastAsia" w:eastAsia="黑体"/>
          <w:color w:val="auto"/>
          <w:sz w:val="44"/>
          <w:szCs w:val="44"/>
          <w:lang w:val="en-US" w:eastAsia="zh-CN"/>
        </w:rPr>
      </w:pPr>
      <w:r>
        <w:rPr>
          <w:rFonts w:hint="eastAsia" w:eastAsia="黑体"/>
          <w:color w:val="auto"/>
          <w:sz w:val="44"/>
          <w:szCs w:val="44"/>
          <w:lang w:val="en-US" w:eastAsia="zh-CN"/>
        </w:rPr>
        <w:t>国家标准《充电电池废料废件》编制说明</w:t>
      </w:r>
    </w:p>
    <w:p w14:paraId="6E03AA90">
      <w:pPr>
        <w:jc w:val="center"/>
        <w:rPr>
          <w:rFonts w:hint="eastAsia" w:eastAsia="黑体"/>
          <w:color w:val="auto"/>
          <w:sz w:val="44"/>
          <w:szCs w:val="44"/>
          <w:lang w:val="en-US" w:eastAsia="zh-CN"/>
        </w:rPr>
      </w:pPr>
      <w:r>
        <w:rPr>
          <w:rFonts w:hint="eastAsia" w:eastAsia="黑体"/>
          <w:color w:val="auto"/>
          <w:sz w:val="44"/>
          <w:szCs w:val="44"/>
          <w:lang w:val="en-US" w:eastAsia="zh-CN"/>
        </w:rPr>
        <w:t>（征求意见稿）</w:t>
      </w:r>
    </w:p>
    <w:p w14:paraId="5229526A">
      <w:pPr>
        <w:pStyle w:val="10"/>
        <w:keepNext w:val="0"/>
        <w:keepLines w:val="0"/>
        <w:pageBreakBefore w:val="0"/>
        <w:kinsoku/>
        <w:wordWrap/>
        <w:overflowPunct/>
        <w:topLinePunct w:val="0"/>
        <w:autoSpaceDE/>
        <w:autoSpaceDN/>
        <w:bidi w:val="0"/>
        <w:adjustRightInd/>
        <w:snapToGrid/>
        <w:spacing w:before="0" w:beforeAutospacing="0" w:after="0" w:afterAutospacing="0" w:line="440" w:lineRule="exact"/>
        <w:jc w:val="both"/>
        <w:textAlignment w:val="auto"/>
        <w:rPr>
          <w:rFonts w:ascii="黑体" w:eastAsia="黑体" w:cs="Arial"/>
          <w:color w:val="auto"/>
          <w:sz w:val="21"/>
          <w:szCs w:val="21"/>
        </w:rPr>
      </w:pPr>
      <w:r>
        <w:rPr>
          <w:rFonts w:hint="eastAsia" w:ascii="黑体" w:eastAsia="黑体" w:cs="Arial"/>
          <w:color w:val="auto"/>
          <w:sz w:val="21"/>
          <w:szCs w:val="21"/>
        </w:rPr>
        <w:t>一、工作简况</w:t>
      </w:r>
    </w:p>
    <w:p w14:paraId="7889C107">
      <w:pPr>
        <w:pStyle w:val="10"/>
        <w:keepNext w:val="0"/>
        <w:keepLines w:val="0"/>
        <w:pageBreakBefore w:val="0"/>
        <w:kinsoku/>
        <w:wordWrap/>
        <w:overflowPunct/>
        <w:topLinePunct w:val="0"/>
        <w:autoSpaceDE/>
        <w:autoSpaceDN/>
        <w:bidi w:val="0"/>
        <w:adjustRightInd/>
        <w:snapToGrid/>
        <w:spacing w:before="0" w:beforeAutospacing="0" w:after="0" w:afterAutospacing="0" w:line="440" w:lineRule="exact"/>
        <w:jc w:val="both"/>
        <w:textAlignment w:val="auto"/>
        <w:rPr>
          <w:rFonts w:hint="eastAsia" w:ascii="黑体" w:eastAsia="黑体" w:cs="Arial"/>
          <w:color w:val="auto"/>
          <w:sz w:val="21"/>
          <w:szCs w:val="21"/>
        </w:rPr>
      </w:pPr>
      <w:r>
        <w:rPr>
          <w:rFonts w:hint="eastAsia" w:ascii="黑体" w:eastAsia="黑体" w:cs="Arial"/>
          <w:color w:val="auto"/>
          <w:sz w:val="21"/>
          <w:szCs w:val="21"/>
        </w:rPr>
        <w:t>1.1任务来源</w:t>
      </w:r>
    </w:p>
    <w:p w14:paraId="7B106C5C">
      <w:pPr>
        <w:pStyle w:val="10"/>
        <w:keepNext w:val="0"/>
        <w:keepLines w:val="0"/>
        <w:pageBreakBefore w:val="0"/>
        <w:widowControl/>
        <w:kinsoku/>
        <w:wordWrap/>
        <w:overflowPunct/>
        <w:topLinePunct w:val="0"/>
        <w:autoSpaceDE/>
        <w:autoSpaceDN/>
        <w:bidi w:val="0"/>
        <w:adjustRightInd/>
        <w:snapToGrid/>
        <w:spacing w:before="0" w:beforeAutospacing="0" w:after="0" w:afterAutospacing="0" w:line="440" w:lineRule="exact"/>
        <w:ind w:firstLine="420" w:firstLineChars="20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国家标准GB/T 26932-2011</w:t>
      </w:r>
      <w:r>
        <w:rPr>
          <w:rFonts w:hint="eastAsia" w:cs="宋体"/>
          <w:color w:val="auto"/>
          <w:sz w:val="21"/>
          <w:szCs w:val="21"/>
          <w:lang w:eastAsia="zh-CN"/>
        </w:rPr>
        <w:t>《充电电池废料废件》</w:t>
      </w:r>
      <w:r>
        <w:rPr>
          <w:rFonts w:hint="eastAsia" w:ascii="宋体" w:hAnsi="宋体" w:eastAsia="宋体" w:cs="宋体"/>
          <w:color w:val="auto"/>
          <w:sz w:val="21"/>
          <w:szCs w:val="21"/>
        </w:rPr>
        <w:t>是201</w:t>
      </w:r>
      <w:r>
        <w:rPr>
          <w:rFonts w:hint="eastAsia" w:cs="宋体"/>
          <w:color w:val="auto"/>
          <w:sz w:val="21"/>
          <w:szCs w:val="21"/>
          <w:lang w:val="en-US" w:eastAsia="zh-CN"/>
        </w:rPr>
        <w:t>1</w:t>
      </w:r>
      <w:r>
        <w:rPr>
          <w:rFonts w:hint="eastAsia" w:ascii="宋体" w:hAnsi="宋体" w:eastAsia="宋体" w:cs="宋体"/>
          <w:color w:val="auto"/>
          <w:sz w:val="21"/>
          <w:szCs w:val="21"/>
        </w:rPr>
        <w:t>年</w:t>
      </w:r>
      <w:r>
        <w:rPr>
          <w:rFonts w:hint="eastAsia" w:cs="宋体"/>
          <w:color w:val="auto"/>
          <w:sz w:val="21"/>
          <w:szCs w:val="21"/>
          <w:lang w:val="en-US" w:eastAsia="zh-CN"/>
        </w:rPr>
        <w:t>7</w:t>
      </w:r>
      <w:r>
        <w:rPr>
          <w:rFonts w:hint="eastAsia" w:ascii="宋体" w:hAnsi="宋体" w:eastAsia="宋体" w:cs="宋体"/>
          <w:color w:val="auto"/>
          <w:sz w:val="21"/>
          <w:szCs w:val="21"/>
        </w:rPr>
        <w:t>月</w:t>
      </w:r>
      <w:r>
        <w:rPr>
          <w:rFonts w:hint="eastAsia" w:cs="宋体"/>
          <w:color w:val="auto"/>
          <w:sz w:val="21"/>
          <w:szCs w:val="21"/>
          <w:lang w:val="en-US" w:eastAsia="zh-CN"/>
        </w:rPr>
        <w:t>19</w:t>
      </w:r>
      <w:r>
        <w:rPr>
          <w:rFonts w:hint="eastAsia" w:ascii="宋体" w:hAnsi="宋体" w:eastAsia="宋体" w:cs="宋体"/>
          <w:color w:val="auto"/>
          <w:sz w:val="21"/>
          <w:szCs w:val="21"/>
        </w:rPr>
        <w:t>日发布、201</w:t>
      </w:r>
      <w:r>
        <w:rPr>
          <w:rFonts w:hint="eastAsia" w:cs="宋体"/>
          <w:color w:val="auto"/>
          <w:sz w:val="21"/>
          <w:szCs w:val="21"/>
          <w:lang w:val="en-US" w:eastAsia="zh-CN"/>
        </w:rPr>
        <w:t>2</w:t>
      </w:r>
      <w:r>
        <w:rPr>
          <w:rFonts w:hint="eastAsia" w:ascii="宋体" w:hAnsi="宋体" w:eastAsia="宋体" w:cs="宋体"/>
          <w:color w:val="auto"/>
          <w:sz w:val="21"/>
          <w:szCs w:val="21"/>
        </w:rPr>
        <w:t>年</w:t>
      </w:r>
      <w:r>
        <w:rPr>
          <w:rFonts w:hint="eastAsia" w:cs="宋体"/>
          <w:color w:val="auto"/>
          <w:sz w:val="21"/>
          <w:szCs w:val="21"/>
          <w:lang w:val="en-US" w:eastAsia="zh-CN"/>
        </w:rPr>
        <w:t>5</w:t>
      </w:r>
      <w:r>
        <w:rPr>
          <w:rFonts w:hint="eastAsia" w:ascii="宋体" w:hAnsi="宋体" w:eastAsia="宋体" w:cs="宋体"/>
          <w:color w:val="auto"/>
          <w:sz w:val="21"/>
          <w:szCs w:val="21"/>
        </w:rPr>
        <w:t>月1日实施的，之后一直沿用至今。202</w:t>
      </w:r>
      <w:r>
        <w:rPr>
          <w:rFonts w:hint="eastAsia" w:cs="宋体"/>
          <w:color w:val="auto"/>
          <w:sz w:val="21"/>
          <w:szCs w:val="21"/>
          <w:lang w:val="en-US" w:eastAsia="zh-CN"/>
        </w:rPr>
        <w:t>5</w:t>
      </w:r>
      <w:r>
        <w:rPr>
          <w:rFonts w:hint="eastAsia" w:ascii="宋体" w:hAnsi="宋体" w:eastAsia="宋体" w:cs="宋体"/>
          <w:color w:val="auto"/>
          <w:sz w:val="21"/>
          <w:szCs w:val="21"/>
        </w:rPr>
        <w:t>年对该标准进行复审后，认为标准的适用范围不能够覆盖当前新产品、新工艺、新技术或新服务，</w:t>
      </w:r>
      <w:r>
        <w:rPr>
          <w:rFonts w:hint="default" w:ascii="Times New Roman" w:hAnsi="Times New Roman" w:cs="Times New Roman"/>
          <w:color w:val="auto"/>
          <w:sz w:val="21"/>
          <w:szCs w:val="21"/>
          <w:lang w:val="en-US" w:eastAsia="zh-CN"/>
        </w:rPr>
        <w:t>需要更新修订，遂提交修订计划至全国有色金属标准化技术委员会，并开展修订研究工作。</w:t>
      </w:r>
      <w:r>
        <w:rPr>
          <w:rFonts w:hint="eastAsia" w:ascii="宋体" w:hAnsi="宋体" w:eastAsia="宋体" w:cs="宋体"/>
          <w:color w:val="auto"/>
          <w:sz w:val="21"/>
          <w:szCs w:val="21"/>
        </w:rPr>
        <w:t>本项目是根据国家标准化管理委员会关于下达2025年第七批推荐性国家标准计划和相关推荐性国家标准外文版计划</w:t>
      </w:r>
      <w:r>
        <w:rPr>
          <w:rFonts w:hint="eastAsia" w:cs="宋体"/>
          <w:color w:val="auto"/>
          <w:sz w:val="21"/>
          <w:szCs w:val="21"/>
          <w:lang w:eastAsia="zh-CN"/>
        </w:rPr>
        <w:t>（</w:t>
      </w:r>
      <w:r>
        <w:rPr>
          <w:rFonts w:hint="eastAsia"/>
          <w:color w:val="auto"/>
          <w:sz w:val="21"/>
          <w:szCs w:val="21"/>
        </w:rPr>
        <w:t>国标委发〔2025〕43号</w:t>
      </w:r>
      <w:r>
        <w:rPr>
          <w:rFonts w:hint="eastAsia" w:cs="宋体"/>
          <w:color w:val="auto"/>
          <w:sz w:val="21"/>
          <w:szCs w:val="21"/>
          <w:lang w:eastAsia="zh-CN"/>
        </w:rPr>
        <w:t>）</w:t>
      </w:r>
      <w:r>
        <w:rPr>
          <w:rFonts w:hint="eastAsia" w:ascii="宋体" w:hAnsi="宋体" w:eastAsia="宋体" w:cs="宋体"/>
          <w:color w:val="auto"/>
          <w:sz w:val="21"/>
          <w:szCs w:val="21"/>
        </w:rPr>
        <w:t>，计划编号：20253769-T-610，项目名称：《充电电池废料废件》。标准性质：推荐性国家标准；制修订：修订，项目周期：16 个月；主要起草单位：武汉动力电池再生技术有限公司、广东邦普循环科技有限公司</w:t>
      </w:r>
      <w:r>
        <w:rPr>
          <w:rFonts w:hint="eastAsia" w:cs="宋体"/>
          <w:color w:val="auto"/>
          <w:sz w:val="21"/>
          <w:szCs w:val="21"/>
          <w:lang w:val="en-US" w:eastAsia="zh-CN"/>
        </w:rPr>
        <w:t>等</w:t>
      </w:r>
      <w:r>
        <w:rPr>
          <w:rFonts w:hint="eastAsia" w:ascii="宋体" w:hAnsi="宋体" w:eastAsia="宋体" w:cs="宋体"/>
          <w:color w:val="auto"/>
          <w:sz w:val="21"/>
          <w:szCs w:val="21"/>
        </w:rPr>
        <w:t>。计划应完成时间：2026年</w:t>
      </w:r>
      <w:r>
        <w:rPr>
          <w:rFonts w:hint="eastAsia" w:cs="宋体"/>
          <w:color w:val="auto"/>
          <w:sz w:val="21"/>
          <w:szCs w:val="21"/>
          <w:lang w:val="en-US" w:eastAsia="zh-CN"/>
        </w:rPr>
        <w:t>12</w:t>
      </w:r>
      <w:r>
        <w:rPr>
          <w:rFonts w:hint="eastAsia" w:ascii="宋体" w:hAnsi="宋体" w:eastAsia="宋体" w:cs="宋体"/>
          <w:color w:val="auto"/>
          <w:sz w:val="21"/>
          <w:szCs w:val="21"/>
        </w:rPr>
        <w:t>月。</w:t>
      </w:r>
    </w:p>
    <w:p w14:paraId="78559F10">
      <w:pPr>
        <w:pStyle w:val="17"/>
        <w:keepNext w:val="0"/>
        <w:keepLines w:val="0"/>
        <w:pageBreakBefore w:val="0"/>
        <w:kinsoku/>
        <w:wordWrap/>
        <w:overflowPunct/>
        <w:topLinePunct w:val="0"/>
        <w:autoSpaceDE/>
        <w:autoSpaceDN/>
        <w:bidi w:val="0"/>
        <w:adjustRightInd/>
        <w:snapToGrid/>
        <w:spacing w:beforeLines="0" w:afterLines="0" w:line="440" w:lineRule="exact"/>
        <w:textAlignment w:val="auto"/>
        <w:outlineLvl w:val="9"/>
        <w:rPr>
          <w:rFonts w:hint="eastAsia" w:hAnsi="黑体" w:cs="黑体"/>
          <w:color w:val="auto"/>
          <w:sz w:val="21"/>
          <w:szCs w:val="21"/>
        </w:rPr>
      </w:pPr>
      <w:r>
        <w:rPr>
          <w:rFonts w:hint="eastAsia" w:hAnsi="黑体" w:cs="黑体"/>
          <w:color w:val="auto"/>
          <w:sz w:val="21"/>
          <w:szCs w:val="21"/>
        </w:rPr>
        <w:t>1.2立项目的和意义</w:t>
      </w:r>
    </w:p>
    <w:p w14:paraId="6EA79F1D">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宋体" w:hAnsi="宋体" w:eastAsia="宋体" w:cs="宋体"/>
          <w:b w:val="0"/>
          <w:bCs w:val="0"/>
          <w:lang w:val="en-US" w:eastAsia="zh-CN"/>
        </w:rPr>
      </w:pPr>
      <w:r>
        <w:rPr>
          <w:rFonts w:hint="eastAsia" w:ascii="黑体" w:hAnsi="黑体" w:eastAsia="黑体" w:cs="黑体"/>
          <w:b w:val="0"/>
          <w:bCs w:val="0"/>
          <w:lang w:val="en-US" w:eastAsia="zh-CN"/>
        </w:rPr>
        <w:t>1.2.1</w:t>
      </w:r>
      <w:r>
        <w:rPr>
          <w:rFonts w:hint="eastAsia" w:ascii="宋体" w:hAnsi="宋体" w:eastAsia="宋体" w:cs="宋体"/>
          <w:b w:val="0"/>
          <w:bCs w:val="0"/>
          <w:lang w:val="en-US" w:eastAsia="zh-CN"/>
        </w:rPr>
        <w:t xml:space="preserve"> </w:t>
      </w:r>
      <w:r>
        <w:rPr>
          <w:rFonts w:hint="eastAsia" w:ascii="黑体" w:hAnsi="黑体" w:eastAsia="黑体" w:cs="黑体"/>
          <w:b w:val="0"/>
          <w:bCs w:val="0"/>
          <w:lang w:val="en-US" w:eastAsia="zh-CN"/>
        </w:rPr>
        <w:t>立项目的</w:t>
      </w:r>
    </w:p>
    <w:p w14:paraId="0A5276F9">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rPr>
      </w:pPr>
      <w:r>
        <w:rPr>
          <w:rFonts w:hint="eastAsia" w:ascii="宋体" w:hAnsi="宋体" w:eastAsia="宋体" w:cs="宋体"/>
        </w:rPr>
        <w:t>GB/T 26932-2011《充电电池废料废件》自2012年实施以来，在规范早期充电电池废料废件的回收、贸易与利用方面发挥了基础性作用。但随着我国新能源产业爆发式发展，充电电池的品类结构、产生规模、应用场景均发生了根本性变化，现行标准已难以适配产业发展与行业监管需求，亟需通过修订完善技术内容，具体立项目的如下：</w:t>
      </w:r>
    </w:p>
    <w:p w14:paraId="6EABD41F">
      <w:pPr>
        <w:pStyle w:val="5"/>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
          <w:bCs/>
        </w:rPr>
      </w:pPr>
      <w:r>
        <w:rPr>
          <w:rFonts w:hint="eastAsia" w:ascii="宋体" w:hAnsi="宋体" w:eastAsia="宋体" w:cs="宋体"/>
          <w:b/>
          <w:bCs/>
        </w:rPr>
        <w:t>（一）拓展标准覆盖范围，适配产业结构升级</w:t>
      </w:r>
    </w:p>
    <w:p w14:paraId="7160E23D">
      <w:pPr>
        <w:pStyle w:val="5"/>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eastAsia="宋体" w:cs="宋体"/>
        </w:rPr>
      </w:pPr>
      <w:r>
        <w:rPr>
          <w:rFonts w:hint="eastAsia" w:ascii="宋体" w:hAnsi="宋体" w:eastAsia="宋体" w:cs="宋体"/>
        </w:rPr>
        <w:t>现行标准制定阶段，我国充电电池产业以铅酸蓄电池、镍镉、镍氢电池为主体，锂离子电池市场占比低、退役规模小。近年来，新能源汽车、新型储能、消费电子产业高速发展，锂离子动力电池、储能电池已成为充电电池核心品类，废旧电池产生量呈爆发式增长。据统计，2025年我国新能源汽车废旧动力电池综合利用量已超过40万吨，同比增长32.9%，预计2030年当年废旧动力电池产生量将突破100万吨。与此同时，钠离子电池、半固态电池等新型技术路线逐步产业化，废料品类持续拓展。</w:t>
      </w:r>
    </w:p>
    <w:p w14:paraId="6C735CFC">
      <w:pPr>
        <w:pStyle w:val="5"/>
        <w:rPr>
          <w:rFonts w:hint="eastAsia" w:ascii="宋体" w:hAnsi="宋体" w:eastAsia="宋体" w:cs="宋体"/>
        </w:rPr>
      </w:pPr>
      <w:r>
        <w:rPr>
          <w:rFonts w:hint="eastAsia" w:ascii="宋体" w:hAnsi="宋体" w:eastAsia="宋体" w:cs="宋体"/>
        </w:rPr>
        <w:t>现行标准未涵盖锂离子电池等主流新型充电电池的废料废件，分类体系、技术指标、检验方法均基于传统电池体系设置，与当前产业结构严重脱节。本次修订将拓展标准适用范围，补充锂离子电池、钠离子电池等新型充电电池废料废件的分类、技术要求与试验方法，全面覆盖当前主流充电电池品类，适配产业发展需求。</w:t>
      </w:r>
    </w:p>
    <w:p w14:paraId="7AD6EB40">
      <w:pPr>
        <w:pStyle w:val="5"/>
        <w:rPr>
          <w:rFonts w:hint="eastAsia" w:ascii="宋体" w:hAnsi="宋体" w:eastAsia="宋体" w:cs="宋体"/>
          <w:b/>
          <w:bCs/>
        </w:rPr>
      </w:pPr>
      <w:r>
        <w:rPr>
          <w:rFonts w:hint="eastAsia" w:ascii="宋体" w:hAnsi="宋体" w:cs="宋体"/>
          <w:b/>
          <w:bCs/>
          <w:lang w:eastAsia="zh-CN"/>
        </w:rPr>
        <w:t>（</w:t>
      </w:r>
      <w:r>
        <w:rPr>
          <w:rFonts w:hint="eastAsia" w:ascii="宋体" w:hAnsi="宋体" w:eastAsia="宋体" w:cs="宋体"/>
          <w:b/>
          <w:bCs/>
        </w:rPr>
        <w:t>二）衔接政策法规要求，落实全链条管理部署</w:t>
      </w:r>
    </w:p>
    <w:p w14:paraId="644CECDC">
      <w:pPr>
        <w:pStyle w:val="5"/>
        <w:rPr>
          <w:rFonts w:hint="eastAsia" w:ascii="宋体" w:hAnsi="宋体" w:eastAsia="宋体" w:cs="宋体"/>
        </w:rPr>
      </w:pPr>
      <w:r>
        <w:rPr>
          <w:rFonts w:hint="eastAsia" w:ascii="宋体" w:hAnsi="宋体" w:eastAsia="宋体" w:cs="宋体"/>
        </w:rPr>
        <w:t>近年来，我国相继修订《中华人民共和国固体废物污染环境防治法》，出台《新能源汽车废旧动力电池回收和综合利用管理暂行办法》《“十五五”碳达峰行动方案》《循环经济发展“十五五”规划》等一系列法律法规与政策文件，明确了废旧电池全生命周期管理、生产者责任延伸、溯源管理、污染防控、资源循环利用等一系列监管要求。</w:t>
      </w:r>
    </w:p>
    <w:p w14:paraId="1994FF9B">
      <w:pPr>
        <w:pStyle w:val="5"/>
        <w:rPr>
          <w:rFonts w:hint="eastAsia" w:ascii="宋体" w:hAnsi="宋体" w:eastAsia="宋体" w:cs="宋体"/>
        </w:rPr>
      </w:pPr>
      <w:r>
        <w:rPr>
          <w:rFonts w:hint="eastAsia" w:ascii="宋体" w:hAnsi="宋体" w:eastAsia="宋体" w:cs="宋体"/>
        </w:rPr>
        <w:t>现行标准发布时间较早，相关技术内容未与现行监管制度充分衔接，难以支撑政策落地实施。本次修订将把国家政策与监管要求转化为可量化、可执行的技术条款，打通政策要求与产业实践的衔接通道，为废旧充电电池全链条监管提供标准化技术支撑。</w:t>
      </w:r>
    </w:p>
    <w:p w14:paraId="3C2A90C9">
      <w:pPr>
        <w:pStyle w:val="5"/>
        <w:rPr>
          <w:rFonts w:hint="eastAsia" w:ascii="宋体" w:hAnsi="宋体" w:eastAsia="宋体" w:cs="宋体"/>
          <w:b/>
          <w:bCs/>
        </w:rPr>
      </w:pPr>
      <w:r>
        <w:rPr>
          <w:rFonts w:hint="eastAsia" w:ascii="宋体" w:hAnsi="宋体" w:cs="宋体"/>
          <w:b/>
          <w:bCs/>
          <w:lang w:eastAsia="zh-CN"/>
        </w:rPr>
        <w:t>（</w:t>
      </w:r>
      <w:r>
        <w:rPr>
          <w:rFonts w:hint="eastAsia" w:ascii="宋体" w:hAnsi="宋体" w:cs="宋体"/>
          <w:b/>
          <w:bCs/>
          <w:lang w:val="en-US" w:eastAsia="zh-CN"/>
        </w:rPr>
        <w:t>三</w:t>
      </w:r>
      <w:r>
        <w:rPr>
          <w:rFonts w:hint="eastAsia" w:ascii="宋体" w:hAnsi="宋体" w:cs="宋体"/>
          <w:b/>
          <w:bCs/>
          <w:lang w:eastAsia="zh-CN"/>
        </w:rPr>
        <w:t>）</w:t>
      </w:r>
      <w:r>
        <w:rPr>
          <w:rFonts w:hint="eastAsia" w:ascii="宋体" w:hAnsi="宋体" w:eastAsia="宋体" w:cs="宋体"/>
          <w:b/>
          <w:bCs/>
        </w:rPr>
        <w:t>统一分类分级规则，规范市场流通秩序</w:t>
      </w:r>
    </w:p>
    <w:p w14:paraId="695D650A">
      <w:pPr>
        <w:pStyle w:val="5"/>
        <w:rPr>
          <w:rFonts w:hint="eastAsia" w:ascii="宋体" w:hAnsi="宋体" w:eastAsia="宋体" w:cs="宋体"/>
        </w:rPr>
      </w:pPr>
      <w:r>
        <w:rPr>
          <w:rFonts w:hint="eastAsia" w:ascii="宋体" w:hAnsi="宋体" w:eastAsia="宋体" w:cs="宋体"/>
        </w:rPr>
        <w:t>当前充电电池废料废件回收与贸易环节缺乏统一的分类分级标准，不同主体对废料品类、品级的判定口径不一致，导致交易过程中品质争议频发、定价体系混乱，同时滋生了混装混运、以次充好、非法拆解等行业乱象，既增加了产业链交易成本，也带来了安全环保隐患。</w:t>
      </w:r>
    </w:p>
    <w:p w14:paraId="7E5B4201">
      <w:pPr>
        <w:pStyle w:val="5"/>
        <w:rPr>
          <w:rFonts w:hint="eastAsia" w:ascii="宋体" w:hAnsi="宋体" w:eastAsia="宋体" w:cs="宋体"/>
        </w:rPr>
      </w:pPr>
      <w:r>
        <w:rPr>
          <w:rFonts w:hint="eastAsia" w:ascii="宋体" w:hAnsi="宋体" w:eastAsia="宋体" w:cs="宋体"/>
        </w:rPr>
        <w:t>本次修订将细化充电电池废料废件的分类维度，按电池体系、产生来源、品质状态、杂质含量等建立分级体系，明确核心化学成分、有害杂质限值、外观状态等质量指标，统一检验方法与判定规则，规范包装、标志、运输、贮存要求，为回收、贸易、加工利用各环节提供统一的技术依据，营造公平规范的市场流通秩序。</w:t>
      </w:r>
    </w:p>
    <w:p w14:paraId="5B608E02">
      <w:pPr>
        <w:pStyle w:val="5"/>
        <w:rPr>
          <w:rFonts w:hint="eastAsia" w:ascii="宋体" w:hAnsi="宋体" w:eastAsia="宋体" w:cs="宋体"/>
          <w:b/>
          <w:bCs/>
        </w:rPr>
      </w:pPr>
      <w:r>
        <w:rPr>
          <w:rFonts w:hint="eastAsia" w:ascii="宋体" w:hAnsi="宋体" w:eastAsia="宋体" w:cs="宋体"/>
          <w:b/>
          <w:bCs/>
        </w:rPr>
        <w:t>（四）补齐安全环保短板，防范行业风险隐患</w:t>
      </w:r>
    </w:p>
    <w:p w14:paraId="67BCE105">
      <w:pPr>
        <w:pStyle w:val="5"/>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rPr>
      </w:pPr>
      <w:r>
        <w:rPr>
          <w:rFonts w:hint="eastAsia" w:ascii="宋体" w:hAnsi="宋体" w:eastAsia="宋体" w:cs="宋体"/>
        </w:rPr>
        <w:t>充电电池废料尤其是锂离子电池废料，具有电解液腐蚀性、残余电能易引发短路起火、热失控爆炸等安全风险，同时含有重金属、氟化物等有毒有害物质，环境风险突出。现行标准制定时锂电池应用规模有限，未针对高风险电池废料设置专项安全分类、污染防控、储运安全要求，已无法适应当前安全环保监管需求。</w:t>
      </w:r>
    </w:p>
    <w:p w14:paraId="0E900D88">
      <w:pPr>
        <w:pStyle w:val="5"/>
        <w:rPr>
          <w:rFonts w:hint="eastAsia" w:ascii="宋体" w:hAnsi="宋体" w:eastAsia="宋体" w:cs="宋体"/>
        </w:rPr>
      </w:pPr>
      <w:r>
        <w:rPr>
          <w:rFonts w:hint="eastAsia" w:ascii="宋体" w:hAnsi="宋体" w:eastAsia="宋体" w:cs="宋体"/>
        </w:rPr>
        <w:t>本次修订将补充不同品类废料的安全属性划分、有害物质限量、储运安全防护等技术要求，从源头规范废料废件的收集、暂存、转运环节的安全环保管理，防范安全事故与环境污染风险，保障从业人员职业健康与生态环境安全。</w:t>
      </w:r>
    </w:p>
    <w:p w14:paraId="2E4FC278">
      <w:pPr>
        <w:pStyle w:val="5"/>
        <w:rPr>
          <w:rFonts w:hint="eastAsia" w:ascii="宋体" w:hAnsi="宋体" w:eastAsia="宋体" w:cs="宋体"/>
          <w:b/>
          <w:bCs/>
        </w:rPr>
      </w:pPr>
      <w:r>
        <w:rPr>
          <w:rFonts w:hint="eastAsia" w:ascii="宋体" w:hAnsi="宋体" w:eastAsia="宋体" w:cs="宋体"/>
          <w:b/>
          <w:bCs/>
        </w:rPr>
        <w:t>（五）强化标准协同配套，完善标准体系建设</w:t>
      </w:r>
    </w:p>
    <w:p w14:paraId="67A62C9C">
      <w:pPr>
        <w:pStyle w:val="5"/>
        <w:rPr>
          <w:rFonts w:hint="eastAsia" w:ascii="宋体" w:hAnsi="宋体" w:eastAsia="宋体" w:cs="宋体"/>
        </w:rPr>
      </w:pPr>
      <w:r>
        <w:rPr>
          <w:rFonts w:hint="eastAsia" w:ascii="宋体" w:hAnsi="宋体" w:eastAsia="宋体" w:cs="宋体"/>
        </w:rPr>
        <w:t>目前我国已陆续发布废旧电池回收技术规范、动力电池拆解利用、再生产品质量、污染控制等 20 余项国家标准，覆盖了回收、拆解、再生、污染防控等多个环节中国。《充电电池废料废件》作为废旧电池产生源头与流通环节的基础通用标准，现行版本与后续发布的上下游标准在术语定义、分类口径、技术要求等方面衔接不足，影响了标准体系的整体效能。</w:t>
      </w:r>
    </w:p>
    <w:p w14:paraId="576B9FCC">
      <w:pPr>
        <w:pStyle w:val="5"/>
        <w:rPr>
          <w:rFonts w:hint="eastAsia" w:ascii="宋体" w:hAnsi="宋体" w:eastAsia="宋体" w:cs="宋体"/>
        </w:rPr>
      </w:pPr>
      <w:r>
        <w:rPr>
          <w:rFonts w:hint="eastAsia" w:ascii="宋体" w:hAnsi="宋体" w:eastAsia="宋体" w:cs="宋体"/>
        </w:rPr>
        <w:t>本次修订将做好与GB/T 39224《废旧电池回收技术规范》、GB/T 33598 系列车用动力电池回收利用标准、危险废物鉴别相关标准的协调衔接，统一技术口径，形成“产生源头- 回收流通-加工利用- 污染防控”全链条协同的标准体系，提升标准体系的系统性与适用性。</w:t>
      </w:r>
    </w:p>
    <w:p w14:paraId="715E3A18">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宋体" w:hAnsi="宋体" w:eastAsia="宋体" w:cs="宋体"/>
          <w:b w:val="0"/>
          <w:bCs w:val="0"/>
          <w:lang w:val="en-US" w:eastAsia="zh-CN"/>
        </w:rPr>
      </w:pPr>
      <w:r>
        <w:rPr>
          <w:rFonts w:hint="eastAsia" w:ascii="黑体" w:hAnsi="黑体" w:eastAsia="黑体" w:cs="黑体"/>
          <w:b w:val="0"/>
          <w:bCs w:val="0"/>
          <w:lang w:val="en-US" w:eastAsia="zh-CN"/>
        </w:rPr>
        <w:t>1.2.2</w:t>
      </w:r>
      <w:r>
        <w:rPr>
          <w:rFonts w:hint="eastAsia" w:ascii="宋体" w:hAnsi="宋体" w:eastAsia="宋体" w:cs="宋体"/>
          <w:b w:val="0"/>
          <w:bCs w:val="0"/>
          <w:lang w:val="en-US" w:eastAsia="zh-CN"/>
        </w:rPr>
        <w:t xml:space="preserve"> </w:t>
      </w:r>
      <w:r>
        <w:rPr>
          <w:rFonts w:hint="eastAsia" w:ascii="黑体" w:hAnsi="黑体" w:eastAsia="黑体" w:cs="黑体"/>
          <w:b w:val="0"/>
          <w:bCs w:val="0"/>
          <w:lang w:val="en-US" w:eastAsia="zh-CN"/>
        </w:rPr>
        <w:t>立项意义</w:t>
      </w:r>
    </w:p>
    <w:p w14:paraId="2CFAD532">
      <w:pPr>
        <w:pStyle w:val="5"/>
        <w:ind w:left="0" w:leftChars="0" w:firstLine="422" w:firstLineChars="200"/>
        <w:rPr>
          <w:rFonts w:hint="eastAsia" w:ascii="宋体" w:hAnsi="宋体" w:eastAsia="宋体" w:cs="宋体"/>
          <w:b/>
          <w:bCs/>
        </w:rPr>
      </w:pPr>
      <w:r>
        <w:rPr>
          <w:rFonts w:hint="eastAsia" w:ascii="宋体" w:hAnsi="宋体" w:cs="宋体"/>
          <w:b/>
          <w:bCs/>
          <w:lang w:eastAsia="zh-CN"/>
        </w:rPr>
        <w:t>（</w:t>
      </w:r>
      <w:r>
        <w:rPr>
          <w:rFonts w:hint="eastAsia" w:ascii="宋体" w:hAnsi="宋体" w:eastAsia="宋体" w:cs="宋体"/>
          <w:b/>
          <w:bCs/>
        </w:rPr>
        <w:t>一）保障战略资源供给，支撑双碳与循环经济发展</w:t>
      </w:r>
    </w:p>
    <w:p w14:paraId="497C7209">
      <w:pPr>
        <w:pStyle w:val="5"/>
        <w:bidi w:val="0"/>
        <w:rPr>
          <w:rFonts w:hint="eastAsia"/>
        </w:rPr>
      </w:pPr>
      <w:r>
        <w:rPr>
          <w:rFonts w:hint="eastAsia"/>
        </w:rPr>
        <w:t>充电电池废料中富集锂、钴、镍、铜等战略性关键金属，是“城市矿产”资源的重要组成部分。标准化、规范化的废料废件管理，能够显著提升回收利用效率与金属回收率，扩大再生资源供给规模，降低我国对原生矿产的对外依存度，保障新能源产业链供应链自主可控与安全稳定。同时，规范化的回收利用可大幅降低电池全生命周期碳排放，助力碳达峰碳中和目标实现，支撑我国绿色低碳循环经济体系建设。</w:t>
      </w:r>
    </w:p>
    <w:p w14:paraId="6321A51D">
      <w:pPr>
        <w:pStyle w:val="5"/>
        <w:bidi w:val="0"/>
        <w:rPr>
          <w:rFonts w:hint="eastAsia"/>
          <w:b/>
          <w:bCs/>
        </w:rPr>
      </w:pPr>
      <w:r>
        <w:rPr>
          <w:rFonts w:hint="eastAsia"/>
          <w:b/>
          <w:bCs/>
        </w:rPr>
        <w:t>（二）引导产业规范升级，推动行业高质量发展</w:t>
      </w:r>
    </w:p>
    <w:p w14:paraId="7DEEFD2C">
      <w:pPr>
        <w:pStyle w:val="5"/>
        <w:bidi w:val="0"/>
        <w:rPr>
          <w:rFonts w:hint="eastAsia"/>
        </w:rPr>
      </w:pPr>
      <w:r>
        <w:rPr>
          <w:rFonts w:hint="eastAsia"/>
        </w:rPr>
        <w:t>本标准的修订实施将明确充电电池废料废件的质量门槛与合规要求，引导回收利用企业加大技术改造与规范化投入，淘汰工艺落后、环保安全不达标的市场主体，推动行业集中度提升与技术进步，培育规模化、集约化的龙头企业。同时，统一的质量标准将稳定上下游贸易预期，降低交易成本，构建规范有序的产业生态，为新能源汽车、新型储能等下游战略性产业提供稳定、合规的再生原料保障，支撑我国新能源产业高质量可持续发展。</w:t>
      </w:r>
    </w:p>
    <w:p w14:paraId="294B1859">
      <w:pPr>
        <w:pStyle w:val="5"/>
        <w:bidi w:val="0"/>
        <w:rPr>
          <w:rFonts w:hint="eastAsia"/>
          <w:b/>
          <w:bCs/>
        </w:rPr>
      </w:pPr>
      <w:r>
        <w:rPr>
          <w:rFonts w:hint="eastAsia"/>
          <w:b/>
          <w:bCs/>
        </w:rPr>
        <w:t>（三）提升行业治理能力，强化安全环保管控</w:t>
      </w:r>
    </w:p>
    <w:p w14:paraId="077E5080">
      <w:pPr>
        <w:pStyle w:val="5"/>
        <w:bidi w:val="0"/>
        <w:rPr>
          <w:rFonts w:hint="eastAsia"/>
        </w:rPr>
      </w:pPr>
      <w:r>
        <w:rPr>
          <w:rFonts w:hint="eastAsia"/>
        </w:rPr>
        <w:t>本标准作为废旧充电电池领域的基础通用标准，将为生态环境、市场监管、应急管理等部门的监督执法、行业管理提供明确的技术判定依据，解决监管过程中标准依据不足、判定口径不一的问题，提升行业治理效能。同时，标准中安全、环保相关技术要求的落地，将从源头减少非法拆解、违规倾倒、不规范储运带来的环境与安全风险，有效防范锂电池热失控、重金属污染等突出问题，助力生态环境保护与安全生产治理。</w:t>
      </w:r>
    </w:p>
    <w:p w14:paraId="501139EB">
      <w:pPr>
        <w:pStyle w:val="5"/>
        <w:bidi w:val="0"/>
        <w:rPr>
          <w:rFonts w:hint="eastAsia"/>
        </w:rPr>
      </w:pPr>
      <w:r>
        <w:rPr>
          <w:rFonts w:hint="eastAsia"/>
          <w:b/>
          <w:bCs/>
        </w:rPr>
        <w:t>（四）完善标准体系布局，增强国际产业话语权</w:t>
      </w:r>
    </w:p>
    <w:p w14:paraId="15E163F8">
      <w:pPr>
        <w:pStyle w:val="5"/>
        <w:bidi w:val="0"/>
        <w:rPr>
          <w:rFonts w:hint="eastAsia"/>
        </w:rPr>
      </w:pPr>
      <w:r>
        <w:rPr>
          <w:rFonts w:hint="eastAsia"/>
        </w:rPr>
        <w:t>本次修订将填补我国新型充电电池废料基础标准空白，构建覆盖全品类、全流程的充电电池废料标准体系，完善我国废旧电池回收利用标准顶层设计。同时，标准技术指标将对接欧盟电池法规等国际先进规则，提升我国电池回收利用产业的规范化水平与国际竞争力，支撑我国电池产业深度参与全球循环供应链，推动中国标准走向国际，增强我国在全球电池回收利用领域的标准话语权与产业影响力。</w:t>
      </w:r>
    </w:p>
    <w:p w14:paraId="57437CB9">
      <w:pPr>
        <w:pStyle w:val="17"/>
        <w:keepNext w:val="0"/>
        <w:keepLines w:val="0"/>
        <w:pageBreakBefore w:val="0"/>
        <w:kinsoku/>
        <w:wordWrap/>
        <w:overflowPunct/>
        <w:topLinePunct w:val="0"/>
        <w:autoSpaceDE/>
        <w:autoSpaceDN/>
        <w:bidi w:val="0"/>
        <w:adjustRightInd/>
        <w:snapToGrid/>
        <w:spacing w:beforeLines="0" w:afterLines="0" w:line="440" w:lineRule="exact"/>
        <w:textAlignment w:val="auto"/>
        <w:outlineLvl w:val="9"/>
        <w:rPr>
          <w:rFonts w:hint="eastAsia" w:hAnsi="黑体" w:cs="黑体"/>
          <w:color w:val="auto"/>
          <w:sz w:val="21"/>
          <w:szCs w:val="21"/>
          <w:lang w:val="en-US" w:eastAsia="zh-CN"/>
        </w:rPr>
      </w:pPr>
      <w:r>
        <w:rPr>
          <w:rFonts w:hint="eastAsia" w:hAnsi="黑体" w:cs="黑体"/>
          <w:color w:val="auto"/>
          <w:sz w:val="21"/>
          <w:szCs w:val="21"/>
        </w:rPr>
        <w:t>1.3</w:t>
      </w:r>
      <w:r>
        <w:rPr>
          <w:rFonts w:hint="eastAsia" w:hAnsi="黑体" w:cs="黑体"/>
          <w:color w:val="auto"/>
          <w:sz w:val="21"/>
          <w:szCs w:val="21"/>
          <w:lang w:val="en-US" w:eastAsia="zh-CN"/>
        </w:rPr>
        <w:t>主要参加单位和工作成员所做的工作</w:t>
      </w:r>
    </w:p>
    <w:p w14:paraId="5540B0EB">
      <w:pPr>
        <w:pStyle w:val="5"/>
        <w:keepNext w:val="0"/>
        <w:keepLines w:val="0"/>
        <w:pageBreakBefore w:val="0"/>
        <w:widowControl w:val="0"/>
        <w:numPr>
          <w:ilvl w:val="0"/>
          <w:numId w:val="0"/>
        </w:numPr>
        <w:kinsoku/>
        <w:wordWrap/>
        <w:overflowPunct/>
        <w:topLinePunct w:val="0"/>
        <w:autoSpaceDE/>
        <w:autoSpaceDN/>
        <w:bidi w:val="0"/>
        <w:adjustRightInd/>
        <w:snapToGrid/>
        <w:spacing w:after="0" w:line="440" w:lineRule="exact"/>
        <w:ind w:leftChars="0" w:firstLine="0" w:firstLineChars="0"/>
        <w:textAlignment w:val="auto"/>
        <w:rPr>
          <w:rFonts w:hint="default" w:ascii="宋体" w:hAnsi="宋体" w:eastAsia="宋体" w:cs="宋体"/>
          <w:color w:val="auto"/>
          <w:sz w:val="21"/>
          <w:szCs w:val="21"/>
          <w:lang w:val="en-US" w:eastAsia="zh-CN"/>
        </w:rPr>
      </w:pPr>
      <w:r>
        <w:rPr>
          <w:rFonts w:hint="default" w:ascii="Times New Roman" w:hAnsi="Times New Roman" w:cs="Times New Roman"/>
          <w:color w:val="auto"/>
          <w:sz w:val="21"/>
          <w:szCs w:val="21"/>
          <w:lang w:val="en-US" w:eastAsia="zh-CN"/>
        </w:rPr>
        <w:t xml:space="preserve">1.3.1 </w:t>
      </w:r>
      <w:r>
        <w:rPr>
          <w:rFonts w:hint="eastAsia" w:ascii="宋体" w:hAnsi="宋体" w:cs="宋体"/>
          <w:color w:val="auto"/>
          <w:sz w:val="21"/>
          <w:szCs w:val="21"/>
          <w:lang w:val="en-US" w:eastAsia="zh-CN"/>
        </w:rPr>
        <w:t>主要参加单位情况</w:t>
      </w:r>
    </w:p>
    <w:p w14:paraId="66C28B66">
      <w:pPr>
        <w:pStyle w:val="5"/>
        <w:rPr>
          <w:rFonts w:hint="default" w:ascii="Times New Roman" w:hAnsi="Times New Roman" w:cs="Times New Roman"/>
          <w:color w:val="auto"/>
          <w:sz w:val="21"/>
          <w:szCs w:val="22"/>
          <w:lang w:val="en-US" w:eastAsia="zh-CN"/>
        </w:rPr>
      </w:pPr>
      <w:r>
        <w:rPr>
          <w:rFonts w:hint="default" w:ascii="Times New Roman" w:hAnsi="Times New Roman" w:eastAsia="宋体" w:cs="Times New Roman"/>
          <w:color w:val="auto"/>
          <w:lang w:val="en-US" w:eastAsia="zh-CN"/>
        </w:rPr>
        <w:t>武汉动力电池再生技术有限公司</w:t>
      </w:r>
      <w:r>
        <w:rPr>
          <w:rFonts w:hint="default" w:ascii="Times New Roman" w:hAnsi="Times New Roman" w:cs="Times New Roman"/>
          <w:color w:val="auto"/>
          <w:sz w:val="21"/>
          <w:szCs w:val="22"/>
          <w:lang w:val="en-US" w:eastAsia="zh-CN"/>
        </w:rPr>
        <w:t>作为标准的牵头单位，负责组织开展标准的修订工作，包括前期调研、文献查询、框架内容调整、技术分析等工作，同时积极组织标准的任务落实、讨论、预审、审查等会议，根据专家提出的意见，带领编制组成员单位认真细致修改标准文本，对标准的研制过程具有决定性贡献。</w:t>
      </w:r>
    </w:p>
    <w:p w14:paraId="1BB45643">
      <w:pPr>
        <w:pStyle w:val="5"/>
        <w:keepNext w:val="0"/>
        <w:keepLines w:val="0"/>
        <w:pageBreakBefore w:val="0"/>
        <w:widowControl w:val="0"/>
        <w:numPr>
          <w:ilvl w:val="0"/>
          <w:numId w:val="0"/>
        </w:numPr>
        <w:kinsoku/>
        <w:wordWrap/>
        <w:overflowPunct/>
        <w:topLinePunct w:val="0"/>
        <w:autoSpaceDE/>
        <w:autoSpaceDN/>
        <w:bidi w:val="0"/>
        <w:adjustRightInd/>
        <w:snapToGrid/>
        <w:spacing w:after="0" w:line="440" w:lineRule="exact"/>
        <w:ind w:leftChars="0" w:firstLine="420" w:firstLineChars="200"/>
        <w:textAlignment w:val="auto"/>
        <w:rPr>
          <w:rFonts w:hint="default" w:ascii="宋体" w:hAnsi="宋体" w:eastAsia="宋体" w:cs="宋体"/>
          <w:color w:val="auto"/>
          <w:sz w:val="21"/>
          <w:szCs w:val="21"/>
          <w:lang w:val="en-US" w:eastAsia="zh-CN"/>
        </w:rPr>
      </w:pPr>
      <w:r>
        <w:rPr>
          <w:rFonts w:hint="eastAsia" w:ascii="宋体" w:hAnsi="宋体" w:cs="宋体"/>
          <w:color w:val="auto"/>
          <w:sz w:val="21"/>
          <w:szCs w:val="21"/>
          <w:lang w:val="en-US" w:eastAsia="zh-CN"/>
        </w:rPr>
        <w:t>编制组成员还包括：浙江华友循环科技有限公司、宜昌邦普循环科技有限公司、杰瑞新能源再生循环科技有限公司、格林美股份有限公司、江西赣锋锂业集团股份有限公司、衢州华友资源再生科技有限公司、湖北睿勤新能源科技有限公司。</w:t>
      </w:r>
    </w:p>
    <w:p w14:paraId="62C4D7A9">
      <w:pPr>
        <w:pStyle w:val="5"/>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firstLine="0" w:firstLineChars="0"/>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1.3.2 单位简介</w:t>
      </w:r>
    </w:p>
    <w:p w14:paraId="605ABE73">
      <w:pPr>
        <w:pStyle w:val="5"/>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firstLine="420" w:firstLineChars="200"/>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1.3.2.1 武汉动力电池再生技术有限公司</w:t>
      </w:r>
    </w:p>
    <w:p w14:paraId="5B1D068B">
      <w:pPr>
        <w:pStyle w:val="5"/>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firstLine="420" w:firstLineChars="200"/>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武汉动力电池再生技术有限公司是格林美集团全资子公司</w:t>
      </w:r>
      <w:r>
        <w:rPr>
          <w:rFonts w:hint="eastAsia" w:ascii="Times New Roman" w:hAnsi="Times New Roman" w:cs="Times New Roman"/>
          <w:color w:val="auto"/>
          <w:lang w:val="en-US" w:eastAsia="zh-CN"/>
        </w:rPr>
        <w:t>，</w:t>
      </w:r>
      <w:r>
        <w:rPr>
          <w:rFonts w:hint="default" w:ascii="Times New Roman" w:hAnsi="Times New Roman" w:cs="Times New Roman"/>
          <w:color w:val="auto"/>
          <w:lang w:val="en-US" w:eastAsia="zh-CN"/>
        </w:rPr>
        <w:t>成立于2020年11月，董事长为张宇平。公司专注于动力电池回收利用领域，业务涵盖动力电池回收、拆解利用、梯次利用和粉料分选，构建了从电池回收到梯级利用的完整价值链。武汉动力电池再生技术有限公司在2025年获得国家级高新技术企业和国家级潜在独角兽企业称号，并入选2025年国家级重大环保技术装备创新任务揭榜挂帅入围单位。作为动力电池回收利用领域的专业企业，该公司构建了从电池回收到梯级利用的完整价值链，在行业规范化发展背景下展现出较强的合规管理和质量控制能力。</w:t>
      </w:r>
    </w:p>
    <w:p w14:paraId="254CCA84">
      <w:pPr>
        <w:pStyle w:val="5"/>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firstLine="420" w:firstLineChars="200"/>
        <w:textAlignment w:val="auto"/>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1.3.2.2 浙江华友循环科技有限公司</w:t>
      </w:r>
    </w:p>
    <w:p w14:paraId="3FB8B746">
      <w:pPr>
        <w:pStyle w:val="5"/>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firstLine="420" w:firstLineChars="200"/>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华友循环是华友一体化产业结构的联轴器，是增强客户粘性、打造闭环产业链的关键环节。公司着眼新能源汽车后市场服务、锂电池综合利用、湿法冶金等领域，创新打造</w:t>
      </w:r>
      <w:r>
        <w:rPr>
          <w:rFonts w:hint="eastAsia" w:ascii="宋体" w:hAnsi="宋体" w:eastAsia="宋体" w:cs="宋体"/>
          <w:color w:val="auto"/>
          <w:lang w:val="en-US" w:eastAsia="zh-CN"/>
        </w:rPr>
        <w:t>“</w:t>
      </w:r>
      <w:r>
        <w:rPr>
          <w:rFonts w:hint="default" w:ascii="Times New Roman" w:hAnsi="Times New Roman" w:cs="Times New Roman"/>
          <w:color w:val="auto"/>
          <w:lang w:val="en-US" w:eastAsia="zh-CN"/>
        </w:rPr>
        <w:t>废料换材料</w:t>
      </w:r>
      <w:r>
        <w:rPr>
          <w:rFonts w:hint="eastAsia" w:ascii="宋体" w:hAnsi="宋体" w:eastAsia="宋体" w:cs="宋体"/>
          <w:color w:val="auto"/>
          <w:lang w:val="en-US" w:eastAsia="zh-CN"/>
        </w:rPr>
        <w:t>”</w:t>
      </w:r>
      <w:r>
        <w:rPr>
          <w:rFonts w:hint="default" w:ascii="Times New Roman" w:hAnsi="Times New Roman" w:cs="Times New Roman"/>
          <w:color w:val="auto"/>
          <w:lang w:val="en-US" w:eastAsia="zh-CN"/>
        </w:rPr>
        <w:t>的商业模式，构建覆盖海内外的退役动力电池循环利用网络，致力于为全球客户提供安全、环保、高效的退役动力电池综合利用解决方案，推动绿色价值持续创造。</w:t>
      </w:r>
    </w:p>
    <w:p w14:paraId="097CC656">
      <w:pPr>
        <w:pStyle w:val="5"/>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firstLine="420" w:firstLineChars="200"/>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在全球资源约束趋紧与环境治理持续深化的背景下，构建绿色、安全、高效、可追溯的循环体系，已成为产业发展的必然选择。顺应这一趋势，华友循环依托华友钴业一体化产业链优势，打造覆盖回收网络、精细化拆解、预处理、湿法冶金及直接再生的全生命周期绿色价值链体系，实现退役动力电池从回收到高值化利用利用的高效衔接。针对CTP电池包拆解等行业痛点，公司联合德国Fraunhofer IPA开展技术攻关，持续开发绿色、安全、高效的先进拆解解决方案；同时，积极携手宝马、大众、奔驰等主流车企，探索整包储能应用场景。</w:t>
      </w:r>
    </w:p>
    <w:p w14:paraId="54B6F93B">
      <w:pPr>
        <w:pStyle w:val="5"/>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firstLine="420" w:firstLineChars="200"/>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面向未来，华友循环加快推进全球化</w:t>
      </w:r>
      <w:r>
        <w:rPr>
          <w:rFonts w:hint="eastAsia" w:ascii="宋体" w:hAnsi="宋体" w:eastAsia="宋体" w:cs="宋体"/>
          <w:color w:val="auto"/>
          <w:lang w:val="en-US" w:eastAsia="zh-CN"/>
        </w:rPr>
        <w:t>“</w:t>
      </w:r>
      <w:r>
        <w:rPr>
          <w:rFonts w:hint="default" w:ascii="Times New Roman" w:hAnsi="Times New Roman" w:cs="Times New Roman"/>
          <w:color w:val="auto"/>
          <w:lang w:val="en-US" w:eastAsia="zh-CN"/>
        </w:rPr>
        <w:t>两步走</w:t>
      </w:r>
      <w:r>
        <w:rPr>
          <w:rFonts w:hint="eastAsia" w:ascii="宋体" w:hAnsi="宋体" w:eastAsia="宋体" w:cs="宋体"/>
          <w:color w:val="auto"/>
          <w:lang w:val="en-US" w:eastAsia="zh-CN"/>
        </w:rPr>
        <w:t>”</w:t>
      </w:r>
      <w:r>
        <w:rPr>
          <w:rFonts w:hint="default" w:ascii="Times New Roman" w:hAnsi="Times New Roman" w:cs="Times New Roman"/>
          <w:color w:val="auto"/>
          <w:lang w:val="en-US" w:eastAsia="zh-CN"/>
        </w:rPr>
        <w:t>发展战略：一方面，围绕海外客户及中国出海企业需求，构建</w:t>
      </w:r>
      <w:r>
        <w:rPr>
          <w:rFonts w:hint="eastAsia" w:ascii="宋体" w:hAnsi="宋体" w:eastAsia="宋体" w:cs="宋体"/>
          <w:color w:val="auto"/>
          <w:lang w:val="en-US" w:eastAsia="zh-CN"/>
        </w:rPr>
        <w:t>“</w:t>
      </w:r>
      <w:r>
        <w:rPr>
          <w:rFonts w:hint="default" w:ascii="Times New Roman" w:hAnsi="Times New Roman" w:cs="Times New Roman"/>
          <w:color w:val="auto"/>
          <w:lang w:val="en-US" w:eastAsia="zh-CN"/>
        </w:rPr>
        <w:t>属地预处理+印尼及中国冶金处理</w:t>
      </w:r>
      <w:r>
        <w:rPr>
          <w:rFonts w:hint="eastAsia" w:ascii="宋体" w:hAnsi="宋体" w:eastAsia="宋体" w:cs="宋体"/>
          <w:color w:val="auto"/>
          <w:lang w:val="en-US" w:eastAsia="zh-CN"/>
        </w:rPr>
        <w:t>”</w:t>
      </w:r>
      <w:r>
        <w:rPr>
          <w:rFonts w:hint="default" w:ascii="Times New Roman" w:hAnsi="Times New Roman" w:cs="Times New Roman"/>
          <w:color w:val="auto"/>
          <w:lang w:val="en-US" w:eastAsia="zh-CN"/>
        </w:rPr>
        <w:t>的跨区域协同模式；另一方面，逐步推动各区域实现</w:t>
      </w:r>
      <w:r>
        <w:rPr>
          <w:rFonts w:hint="eastAsia" w:ascii="宋体" w:hAnsi="宋体" w:eastAsia="宋体" w:cs="宋体"/>
          <w:color w:val="auto"/>
          <w:lang w:val="en-US" w:eastAsia="zh-CN"/>
        </w:rPr>
        <w:t>“</w:t>
      </w:r>
      <w:r>
        <w:rPr>
          <w:rFonts w:hint="default" w:ascii="Times New Roman" w:hAnsi="Times New Roman" w:cs="Times New Roman"/>
          <w:color w:val="auto"/>
          <w:lang w:val="en-US" w:eastAsia="zh-CN"/>
        </w:rPr>
        <w:t>废电池—材料</w:t>
      </w:r>
      <w:r>
        <w:rPr>
          <w:rFonts w:hint="eastAsia" w:ascii="宋体" w:hAnsi="宋体" w:eastAsia="宋体" w:cs="宋体"/>
          <w:color w:val="auto"/>
          <w:lang w:val="en-US" w:eastAsia="zh-CN"/>
        </w:rPr>
        <w:t>”</w:t>
      </w:r>
      <w:r>
        <w:rPr>
          <w:rFonts w:hint="default" w:ascii="Times New Roman" w:hAnsi="Times New Roman" w:cs="Times New Roman"/>
          <w:color w:val="auto"/>
          <w:lang w:val="en-US" w:eastAsia="zh-CN"/>
        </w:rPr>
        <w:t>本地闭环运行。</w:t>
      </w:r>
    </w:p>
    <w:p w14:paraId="257FEE0C">
      <w:pPr>
        <w:pStyle w:val="5"/>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firstLine="420" w:firstLineChars="200"/>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目前，公司已在国内华东、西南、东北等重点区域建立完善的回收网络，并在亚太、欧洲及北美布局区域性回收与处理网络。通过持续打造“全球循环服务生态链”，华友循环正为全球客户提供兼具合规性与经济性的闭环解决方案，助力新能源产业高质量、可持续发展。</w:t>
      </w:r>
    </w:p>
    <w:p w14:paraId="7F6599D1">
      <w:pPr>
        <w:pStyle w:val="5"/>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firstLine="420" w:firstLineChars="200"/>
        <w:textAlignment w:val="auto"/>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 xml:space="preserve">1.3.2.3 </w:t>
      </w:r>
      <w:bookmarkStart w:id="0" w:name="OLE_LINK1"/>
      <w:r>
        <w:rPr>
          <w:rFonts w:hint="eastAsia" w:ascii="Times New Roman" w:hAnsi="Times New Roman" w:cs="Times New Roman"/>
          <w:color w:val="auto"/>
          <w:lang w:val="en-US" w:eastAsia="zh-CN"/>
        </w:rPr>
        <w:t>宜昌邦普循环科技有限公司</w:t>
      </w:r>
      <w:bookmarkEnd w:id="0"/>
    </w:p>
    <w:p w14:paraId="6B975F42">
      <w:pPr>
        <w:pStyle w:val="5"/>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firstLine="420" w:firstLineChars="200"/>
        <w:textAlignment w:val="auto"/>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宜昌邦普循环科技有限公司创立于2021年，聚焦回收、资源与材料三大业务板块。作为宁德时代新能源科技股份有限公司的控股子公司，邦普循环打造了上下游优势互补的电池全产业链循环体系，成为国际顶级汽车企业合作伙伴。通过独创的定向循环DRT核心技术体系，在全球废旧电池回收领域率先破解了“废料还原”的行业性难题。作为中国的国家标准制定单位，邦普已成为中国动力电池回收处理全流程的技术标杆。</w:t>
      </w:r>
    </w:p>
    <w:p w14:paraId="212B37A9">
      <w:pPr>
        <w:pStyle w:val="5"/>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firstLine="420" w:firstLineChars="200"/>
        <w:textAlignment w:val="auto"/>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1.3.2.4 杰瑞新能源再生循环科技有限公司</w:t>
      </w:r>
    </w:p>
    <w:p w14:paraId="34E33D6A">
      <w:pPr>
        <w:pStyle w:val="5"/>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firstLine="420" w:firstLineChars="200"/>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杰瑞新能源再生循环科技有限公</w:t>
      </w:r>
      <w:r>
        <w:rPr>
          <w:rFonts w:hint="eastAsia" w:ascii="宋体" w:hAnsi="宋体" w:eastAsia="宋体" w:cs="宋体"/>
          <w:color w:val="auto"/>
          <w:lang w:val="en-US" w:eastAsia="zh-CN"/>
        </w:rPr>
        <w:t>司（简称“杰瑞再生循环”）是</w:t>
      </w:r>
      <w:r>
        <w:rPr>
          <w:rFonts w:hint="default" w:ascii="Times New Roman" w:hAnsi="Times New Roman" w:cs="Times New Roman"/>
          <w:color w:val="auto"/>
          <w:lang w:val="en-US" w:eastAsia="zh-CN"/>
        </w:rPr>
        <w:t>上市公司杰瑞股份的全资子公司，注册成立于2015年10月，注册地为山东省烟台市莱山区杰瑞路9号，注册资本10亿元。杰瑞循环主营锂风光资源循环、油泥资源化、土壤修复、污泥减量化四大核心业务，坚持以技术创新和装备制造为企业发展的核心竞争优势及关键支撑，以技术服务、运营服务为引领，致力于成为国内领先、国际知名的再生循环一体化解决方案提供商。业务开展模式多样，可提供技术研发、设计咨询、装备制造及销售、设备服务运营、资源循环工程服务等多元化合作。2022年，杰瑞再生循环自主研发的系列化核心技术装</w:t>
      </w:r>
      <w:r>
        <w:rPr>
          <w:rFonts w:hint="eastAsia" w:ascii="宋体" w:hAnsi="宋体" w:eastAsia="宋体" w:cs="宋体"/>
          <w:color w:val="auto"/>
          <w:lang w:val="en-US" w:eastAsia="zh-CN"/>
        </w:rPr>
        <w:t>置，“退役锂电池模块化清洁高效分离关键技术与装备”通过</w:t>
      </w:r>
      <w:r>
        <w:rPr>
          <w:rFonts w:hint="default" w:ascii="Times New Roman" w:hAnsi="Times New Roman" w:cs="Times New Roman"/>
          <w:color w:val="auto"/>
          <w:lang w:val="en-US" w:eastAsia="zh-CN"/>
        </w:rPr>
        <w:t>中国环保机械行业协会科学技术成果鉴定，经由周全法院士领衔、行业7名专家联合组成的鉴定委员会评议，一致评定杰瑞循环的该项成果处</w:t>
      </w:r>
      <w:r>
        <w:rPr>
          <w:rFonts w:hint="eastAsia" w:ascii="宋体" w:hAnsi="宋体" w:eastAsia="宋体" w:cs="宋体"/>
          <w:color w:val="auto"/>
          <w:lang w:val="en-US" w:eastAsia="zh-CN"/>
        </w:rPr>
        <w:t>于“国际领先”水平。</w:t>
      </w:r>
    </w:p>
    <w:p w14:paraId="7CBB19D1">
      <w:pPr>
        <w:pStyle w:val="5"/>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firstLine="420" w:firstLineChars="200"/>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该套设备可以处理包含磷酸铁锂、三元锂电池在内的方形、圆柱、软包等废旧锂电池。采用柔性脱粉+机械脱粉的方式，实现黑粉从极片上高效脱离，同时避免过度破碎，提升回收纯度，黑粉回收率及回收纯度达98%；铜铝粒径均一及复选工艺实现铜铝分选效率高，纯度可达95%；全程负压控制，强化密封，实现0泄漏。同时，根据项目情况可以实现0.5t/h、1t/h、1.5t/h、2.0t/h不同处理能力的废旧锂电池资源化循环利用智能生产线。</w:t>
      </w:r>
    </w:p>
    <w:p w14:paraId="6F5AAC5D">
      <w:pPr>
        <w:pStyle w:val="5"/>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firstLine="420" w:firstLineChars="200"/>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2023年5月，锂电池资源化循环利用成套装备生产制造完成下线，同月，杰瑞循环在第四届新能源汽车及动力电池（CIBF2023 深圳）国际交流会展示了锂电池成套装备解决方案、以及自主研发的系列化核心技术。</w:t>
      </w:r>
    </w:p>
    <w:p w14:paraId="232E5FED">
      <w:pPr>
        <w:pStyle w:val="5"/>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firstLine="420" w:firstLineChars="200"/>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2023年11月，由</w:t>
      </w:r>
      <w:r>
        <w:rPr>
          <w:rFonts w:hint="eastAsia" w:ascii="宋体" w:hAnsi="宋体" w:eastAsia="宋体" w:cs="宋体"/>
          <w:color w:val="auto"/>
          <w:lang w:val="en-US" w:eastAsia="zh-CN"/>
        </w:rPr>
        <w:t>中国环保机械行业协会主办，杰瑞再生循环承办、上海有色网支持的“锂电池再生循环产业合作发展大会暨高端装备高峰论坛”召开，大会发布了杰瑞循环自主开发的锂电池资源化循环利用成套设备，以工程装备化，装备模块化，模块标准化，标准智能化的设计理念，推动工程项目从“工地建设”到“工厂智造”的跨越</w:t>
      </w:r>
      <w:r>
        <w:rPr>
          <w:rFonts w:hint="default" w:ascii="Times New Roman" w:hAnsi="Times New Roman" w:cs="Times New Roman"/>
          <w:color w:val="auto"/>
          <w:lang w:val="en-US" w:eastAsia="zh-CN"/>
        </w:rPr>
        <w:t>式发展。</w:t>
      </w:r>
    </w:p>
    <w:p w14:paraId="0EDCB1A9">
      <w:pPr>
        <w:pStyle w:val="5"/>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firstLine="420" w:firstLineChars="200"/>
        <w:textAlignment w:val="auto"/>
        <w:rPr>
          <w:rFonts w:hint="default" w:ascii="宋体" w:hAnsi="宋体" w:cs="宋体"/>
          <w:color w:val="auto"/>
          <w:lang w:val="en-US" w:eastAsia="zh-CN"/>
        </w:rPr>
      </w:pPr>
      <w:r>
        <w:rPr>
          <w:rFonts w:hint="default" w:ascii="Times New Roman" w:hAnsi="Times New Roman" w:cs="Times New Roman"/>
          <w:color w:val="auto"/>
          <w:lang w:val="en-US" w:eastAsia="zh-CN"/>
        </w:rPr>
        <w:t>2024年9月26日，杰瑞再生循环的子公司杰瑞绿色资源再生（郑州）有限公司开工仪式在郑州航空港区成功举办，标志着杰瑞的第一个自营的锂电池资源化循环利用示范工厂正式投产，现场跟业内多家企业签署战略合作协议，收到国内外客户广泛关注。2025年建设了甘肃酒泉锂电回收基地，2026年建设重庆和广州基地。</w:t>
      </w:r>
    </w:p>
    <w:p w14:paraId="6659903C">
      <w:pPr>
        <w:pStyle w:val="5"/>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firstLine="420" w:firstLineChars="200"/>
        <w:textAlignment w:val="auto"/>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1.3.2.5格林美股份有限公司</w:t>
      </w:r>
    </w:p>
    <w:p w14:paraId="36BEE0D0">
      <w:pPr>
        <w:pStyle w:val="5"/>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firstLine="420" w:firstLineChars="200"/>
        <w:textAlignment w:val="auto"/>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格林美股份有限公司(下称“格林美”或“GEM”)是基于绿色生态制造(G-Green E-Eco M-Manufacture)的理想。由许开华教授于2001年12月28日在深圳注册成立，2010年1月登陆深圳证券交易所，股票代码 002340。截至 2020年末，公司总股本 47.84亿股，净资产136亿元，年产值 200余亿，在册员工近 5100 人。格林美是中国开采城市矿山资源第一股，位居深圳 100 强第 58 位、中国制造业企业 500 强、中国企业专利 500 强、中国环保上市企业5强等，是世界硬质合金材料产业链与新能源材料产业链的头部企业，是世界领先的废物循环企业与世界先进的绿色低碳产业代表。</w:t>
      </w:r>
    </w:p>
    <w:p w14:paraId="2A22DA4C">
      <w:pPr>
        <w:pStyle w:val="5"/>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firstLine="420" w:firstLineChars="200"/>
        <w:textAlignment w:val="auto"/>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格林美是“资源有限、循环无限”产业理念的提出者与中国城市矿山开采的先行者。20 年来，公司通过开采城市矿山与发展新能源材料，建立资源循环模式和清洁能源材料模式来践行推进碳达峰、碳中和目标。公司从攻克废旧电池回收技术开始，再到攻克电子废弃物绿色处理、报废汽车整体资源化回收技术以及动力电池材料的三元“核”技术等世界技术难题，突破性解决了中国在废旧电池、电子废弃物与报废汽车等典型废弃资源绿色处理与循环利用的关键技术难点，构建了世界先进的新能源全生命周期价值链、钴钨稀有金属资源循环再生价值链、电子废弃物与废塑料循环再生价值链等资源循环模式和新能源循环模式。十四五期间，格林美将以服务世界绿色低碳发展为使命，与全球上下游头部企业建立绿色供应链伙伴关系，让世界循环起来，履行全球绿色责任。坚守兑现习近平总书记对格林美指示的“把垃圾资源化，化腐朽为神奇”之嘱托，坚守“城市矿山+新能源材料”双轨驱动发展战略，开采城市矿山，发展新能源材料，全面推动碳达峰、碳中和，成为世界低碳产业中对中国国民经济发展与世界绿色发展产生积极影响的领袖级企业。</w:t>
      </w:r>
    </w:p>
    <w:p w14:paraId="4A247617">
      <w:pPr>
        <w:pStyle w:val="5"/>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firstLine="420" w:firstLineChars="200"/>
        <w:textAlignment w:val="auto"/>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1.3.2.6 江西赣锋循环科技有限公司</w:t>
      </w:r>
    </w:p>
    <w:p w14:paraId="720940AE">
      <w:pPr>
        <w:pStyle w:val="5"/>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firstLine="420" w:firstLineChars="200"/>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赣锋循环科技是赣锋锂业集团</w:t>
      </w:r>
      <w:r>
        <w:rPr>
          <w:rFonts w:hint="eastAsia" w:ascii="宋体" w:hAnsi="宋体" w:eastAsia="宋体" w:cs="宋体"/>
          <w:color w:val="auto"/>
          <w:lang w:val="en-US" w:eastAsia="zh-CN"/>
        </w:rPr>
        <w:t>(</w:t>
      </w:r>
      <w:r>
        <w:rPr>
          <w:rFonts w:hint="default" w:ascii="Times New Roman" w:hAnsi="Times New Roman" w:cs="Times New Roman"/>
          <w:color w:val="auto"/>
          <w:lang w:val="en-US" w:eastAsia="zh-CN"/>
        </w:rPr>
        <w:t>成立于2000年3月，是中国锂行业首家A+H上市公司（A股股票代码：002460；H股股票代码01772</w:t>
      </w:r>
      <w:r>
        <w:rPr>
          <w:rFonts w:hint="eastAsia" w:ascii="宋体" w:hAnsi="宋体" w:eastAsia="宋体" w:cs="宋体"/>
          <w:color w:val="auto"/>
          <w:lang w:val="en-US" w:eastAsia="zh-CN"/>
        </w:rPr>
        <w:t>）</w:t>
      </w:r>
      <w:r>
        <w:rPr>
          <w:rFonts w:hint="default" w:ascii="Times New Roman" w:hAnsi="Times New Roman" w:cs="Times New Roman"/>
          <w:color w:val="auto"/>
          <w:lang w:val="en-US" w:eastAsia="zh-CN"/>
        </w:rPr>
        <w:t>。目前注册资金14.37亿元，在职员工14724人，总部位于新余国家高新技术产业开发区。赣锋锂业过近二十四年的快速发展，已成为我国</w:t>
      </w:r>
      <w:r>
        <w:rPr>
          <w:rFonts w:hint="eastAsia" w:ascii="宋体" w:hAnsi="宋体" w:eastAsia="宋体" w:cs="宋体"/>
          <w:color w:val="auto"/>
          <w:lang w:val="en-US" w:eastAsia="zh-CN"/>
        </w:rPr>
        <w:t>“锂资源开发-锂盐材料深加工-金属锂冶炼-锂电池制造-退役锂电池循环回收”</w:t>
      </w:r>
      <w:r>
        <w:rPr>
          <w:rFonts w:hint="default" w:ascii="Times New Roman" w:hAnsi="Times New Roman" w:cs="Times New Roman"/>
          <w:color w:val="auto"/>
          <w:lang w:val="en-US" w:eastAsia="zh-CN"/>
        </w:rPr>
        <w:t>全链条布局的行业龙头企业，是中国最大的锂化合物生产商，世界最大的锂金属供应商。)全资子公司，成立于2016年1月，注册资本为10000万元，位于江西省新余市高新开发区南源大道608号，主要经营业务是新能源退役锂电池综合利用及金属废料综合回收，是国内最早建立退役锂电池回收体系的企业之一；工信部第二批符合《新能源汽车废旧动力蓄电池综合利用行业规范条件》名单企业；国内最大的磷酸铁锂电池回收企业，为电池生产商及电动汽车生产商提供了可持续的增值解决方案，推出新产品及新服务，形成了稳定、可持续的赣锋锂生态系统。</w:t>
      </w:r>
    </w:p>
    <w:p w14:paraId="6838313E">
      <w:pPr>
        <w:pStyle w:val="5"/>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firstLine="420" w:firstLineChars="200"/>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在产能方面，公司目前已建成废旧锂电池拆解基地两个（江西赣州全南县，四川达州市），主要是废旧锂电池系统， 模组，电池单体为对象，经拆解，分选得到黑粉，产能分别为10万吨/年。建成湿法回收基地两个（江西新余市），城东工厂以磷酸铁锂黑粉，三元废料为原料经过酸浸，除杂萃取，沉淀，干燥得到三元前驱体和锂盐。目前已形成三元前驱体18000 t/a，锂盐（LCE当量）10000吨能力。火田工厂为解决磷酸铁锂电池提锂残渣问题，实现磷酸铁锂电池全组分高值化回收，在新余马洪建设2万吨碳酸锂和8万吨磷酸铁项目，在2025年3月试生产。2025年公司再生处置废旧电池463吨、电芯极片等电池废料6190吨、黑粉8540吨，全年生产碳酸锂13282.53吨，磷酸锂7801吨，磷酸铁6663吨，全年营业收入86232.4万元。</w:t>
      </w:r>
    </w:p>
    <w:p w14:paraId="7113371D">
      <w:pPr>
        <w:pStyle w:val="5"/>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firstLine="420" w:firstLineChars="200"/>
        <w:textAlignment w:val="auto"/>
        <w:rPr>
          <w:rFonts w:hint="eastAsia" w:ascii="Times New Roman" w:hAnsi="Times New Roman" w:cs="Times New Roman"/>
          <w:color w:val="auto"/>
          <w:lang w:val="en-US" w:eastAsia="zh-CN"/>
        </w:rPr>
      </w:pPr>
      <w:r>
        <w:rPr>
          <w:rFonts w:hint="default" w:ascii="Times New Roman" w:hAnsi="Times New Roman" w:cs="Times New Roman"/>
          <w:color w:val="auto"/>
          <w:lang w:val="en-US" w:eastAsia="zh-CN"/>
        </w:rPr>
        <w:t>在技术创新方面，企业高度重视科技创新活动，坚持高研发投入，2025年研发投入3309.329万元，荣获</w:t>
      </w:r>
      <w:r>
        <w:rPr>
          <w:rFonts w:hint="eastAsia" w:ascii="宋体" w:hAnsi="宋体" w:eastAsia="宋体" w:cs="宋体"/>
          <w:color w:val="auto"/>
          <w:lang w:val="en-US" w:eastAsia="zh-CN"/>
        </w:rPr>
        <w:t>“国家专精特新小巨人”企业称号。目前拥有“江西省新能源汽车动力电池综合回收利用工程研究中心”、“新余市废旧锂电池综合回收工程技术研究中心”</w:t>
      </w:r>
      <w:r>
        <w:rPr>
          <w:rFonts w:hint="default" w:ascii="Times New Roman" w:hAnsi="Times New Roman" w:cs="Times New Roman"/>
          <w:color w:val="auto"/>
          <w:lang w:val="en-US" w:eastAsia="zh-CN"/>
        </w:rPr>
        <w:t>等科研平台；主持国家重点研发项目3项，省市级项目10余项；申请国家专利68项，获授权33项；荣获江西省科学技术奖一等奖1项，三等奖1项，中国有色金属工业科技技术奖一等奖2项，中国循环经济协会科技进步奖一等奖1项。同时，与清华大学、中科院过程所，中国石油大学，南昌航空大学，江西省智能研究院等单位在电池拆解，金属提纯等方面开展产学研合作。在磷酸铁锂提锂渣回收方面，我们开发了磷酸铁锂优先提锂，从提锂残渣中回收林磷铁制备电池级磷酸铁技术，实现了铁磷渣高值化利用。例如，同江西省智研院共同开发</w:t>
      </w:r>
      <w:r>
        <w:rPr>
          <w:rFonts w:hint="eastAsia" w:ascii="宋体" w:hAnsi="宋体" w:eastAsia="宋体" w:cs="宋体"/>
          <w:color w:val="auto"/>
          <w:lang w:val="en-US" w:eastAsia="zh-CN"/>
        </w:rPr>
        <w:t>“废旧磷酸铁锂电池精深高值化利用技术”，规模化实现了废旧磷酸铁锂电池的精细拆分及再生利用。在废旧三元电池回收技术上，同清华大学，南昌航空大学开发了“无酸优先提锂”和“同萃同反”技</w:t>
      </w:r>
      <w:r>
        <w:rPr>
          <w:rFonts w:hint="default" w:ascii="Times New Roman" w:hAnsi="Times New Roman" w:cs="Times New Roman"/>
          <w:color w:val="auto"/>
          <w:lang w:val="en-US" w:eastAsia="zh-CN"/>
        </w:rPr>
        <w:t>术，现实了锂的优先浸出，镍钴金属同步分离。锂回收率达到90%，镍钴锰金属回收率98%以上。</w:t>
      </w:r>
    </w:p>
    <w:p w14:paraId="243FC1DE">
      <w:pPr>
        <w:pStyle w:val="5"/>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firstLine="420" w:firstLineChars="200"/>
        <w:textAlignment w:val="auto"/>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1.3.2.7 衢州华友资源再生科技有限公司</w:t>
      </w:r>
    </w:p>
    <w:p w14:paraId="578AD714">
      <w:pPr>
        <w:pStyle w:val="5"/>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firstLine="420" w:firstLineChars="200"/>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衢州华友资源再生科技有限公司成立于2017年4月，位于衢州高新园区，注册资本11.08亿元。公司聚焦废旧动力电池回收、再生资源加工及锂电材料再造核心业务，以</w:t>
      </w:r>
      <w:r>
        <w:rPr>
          <w:rFonts w:hint="eastAsia" w:ascii="宋体" w:hAnsi="宋体" w:eastAsia="宋体" w:cs="宋体"/>
          <w:color w:val="auto"/>
          <w:lang w:val="en-US" w:eastAsia="zh-CN"/>
        </w:rPr>
        <w:t>“柔性化自动拆解、绿色短流程化”冶炼技术对有价金属进行再生利用，具备危险废物经营资质，可规模化产出电池级碳酸锂、硫酸钴液、硫酸镍液、硫酸镍晶体等锂电核心原料。企业是工信部新能源汽车废旧动力蓄电池综合利用规范企业，是全球首个资源再生“零碳”工</w:t>
      </w:r>
      <w:r>
        <w:rPr>
          <w:rFonts w:hint="default" w:ascii="Times New Roman" w:hAnsi="Times New Roman" w:cs="Times New Roman"/>
          <w:color w:val="auto"/>
          <w:lang w:val="en-US" w:eastAsia="zh-CN"/>
        </w:rPr>
        <w:t>厂，是工业产品绿色设计示范企业、浙江省节水型企业、国家级绿色低碳工厂，打通废旧电池回收、资源化处理、材料再生全链条，是区域内新能源资源再生领域的核心骨干企业，助力新能源产业绿色低碳循环发展。</w:t>
      </w:r>
    </w:p>
    <w:p w14:paraId="4F74ABB7">
      <w:pPr>
        <w:pStyle w:val="5"/>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firstLine="420" w:firstLineChars="200"/>
        <w:textAlignment w:val="auto"/>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1.3.2.8 湖北睿勤新能源科技有限公司</w:t>
      </w:r>
    </w:p>
    <w:p w14:paraId="1CE8E1E4">
      <w:pPr>
        <w:pStyle w:val="5"/>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firstLine="420" w:firstLineChars="200"/>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湖北睿勤新能源科技有限公司，是广东在勤集团重点布局锂电循环产业链的核心实体，专业从事废旧锂电池资源化回收与再生材料制备，深耕退役动力电</w:t>
      </w:r>
      <w:r>
        <w:rPr>
          <w:rFonts w:hint="eastAsia" w:ascii="宋体" w:hAnsi="宋体" w:eastAsia="宋体" w:cs="宋体"/>
          <w:color w:val="auto"/>
          <w:lang w:val="en-US" w:eastAsia="zh-CN"/>
        </w:rPr>
        <w:t>池“城市矿山”综合利用赛道。公司以各类废旧锂离子电池为核心原料，自主应用成熟现代湿法冶金分离技术，高效完成镍、钴、锰、锂、磷铁等战略有价金属的精细化分离提纯与定向材料再造，主营电池级硫酸镍、硫酸钴、硫酸锰等锂电正极核心原料，构建“废旧电池回收—有价金属提取—锂电材料再生”闭环</w:t>
      </w:r>
      <w:r>
        <w:rPr>
          <w:rFonts w:hint="default" w:ascii="Times New Roman" w:hAnsi="Times New Roman" w:cs="Times New Roman"/>
          <w:color w:val="auto"/>
          <w:lang w:val="en-US" w:eastAsia="zh-CN"/>
        </w:rPr>
        <w:t>循环体系。经营规模稳步攀升，企业盈利实现跨越式突破，2023年营业收入突破1亿元，2025年营收大幅增长至8亿元，经营质效持续向好。公司坚持创新驱动发展，近两年累计研发投入达0.36亿元；2026年计划新增研发投入0.68亿元，持续加码工艺迭代、新品开发与品质稳定性攻关，以技术创新夯实核心竞争壁垒。依托扎实研发积淀，公司斩获多项权威行业资质，25年获国家高新技术企业、湖北省绿色工厂、湖北省专精特新中小企业。知识产权布局持续完善，累计提交专利申请21件，其中发明专利6件，形成自主可控核心技术矩阵。企业全面落地标准化生产与环境管理体系，实现生产全流程安全、环保、合规运营；核心再生产品通过 UL 国际权威认证，品质对标原生矿产原料。</w:t>
      </w:r>
    </w:p>
    <w:p w14:paraId="052FAD5A">
      <w:pPr>
        <w:pStyle w:val="5"/>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firstLine="420" w:firstLineChars="200"/>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公司全程采用全再生原料制备工艺，深度践行循环经济</w:t>
      </w:r>
      <w:r>
        <w:rPr>
          <w:rFonts w:hint="eastAsia" w:ascii="宋体" w:hAnsi="宋体" w:eastAsia="宋体" w:cs="宋体"/>
          <w:color w:val="auto"/>
          <w:lang w:val="en-US" w:eastAsia="zh-CN"/>
        </w:rPr>
        <w:t>与“双碳”发</w:t>
      </w:r>
      <w:r>
        <w:rPr>
          <w:rFonts w:hint="default" w:ascii="Times New Roman" w:hAnsi="Times New Roman" w:cs="Times New Roman"/>
          <w:color w:val="auto"/>
          <w:lang w:val="en-US" w:eastAsia="zh-CN"/>
        </w:rPr>
        <w:t>展理念，以低成本、低碳排、高资源利用率的再生材料供给，稳定赋能新能源汽车、储能、消费电子产业链绿色低碳升级，致力打造中部地区领先、具备全国辐射能力的锂电循环再生标杆企业。</w:t>
      </w:r>
    </w:p>
    <w:p w14:paraId="2C23A983">
      <w:pPr>
        <w:pStyle w:val="2"/>
        <w:spacing w:before="0" w:beforeLines="0" w:after="0" w:afterLines="0"/>
        <w:rPr>
          <w:rFonts w:hint="default" w:ascii="Times New Roman" w:hAnsi="Times New Roman" w:cs="Times New Roman"/>
          <w:color w:val="auto"/>
          <w:highlight w:val="yellow"/>
        </w:rPr>
      </w:pPr>
      <w:r>
        <w:rPr>
          <w:rFonts w:hint="eastAsia" w:ascii="黑体" w:hAnsi="黑体" w:eastAsia="黑体" w:cs="黑体"/>
          <w:b w:val="0"/>
          <w:bCs w:val="0"/>
          <w:color w:val="auto"/>
          <w:kern w:val="2"/>
          <w:sz w:val="21"/>
          <w:szCs w:val="21"/>
          <w:lang w:val="en-US" w:eastAsia="zh-CN" w:bidi="ar-SA"/>
        </w:rPr>
        <w:t>1.3.3</w:t>
      </w:r>
      <w:r>
        <w:rPr>
          <w:rFonts w:hint="default" w:ascii="Times New Roman" w:hAnsi="Times New Roman" w:cs="Times New Roman" w:eastAsiaTheme="minorEastAsia"/>
          <w:b w:val="0"/>
          <w:bCs w:val="0"/>
          <w:color w:val="auto"/>
          <w:kern w:val="2"/>
          <w:sz w:val="21"/>
          <w:szCs w:val="21"/>
          <w:lang w:val="en-US" w:eastAsia="zh-CN" w:bidi="ar-SA"/>
        </w:rPr>
        <w:t>主要工作成员所负责的工作情况</w:t>
      </w:r>
    </w:p>
    <w:p w14:paraId="01885C01">
      <w:pPr>
        <w:spacing w:line="360" w:lineRule="auto"/>
        <w:ind w:firstLine="420" w:firstLineChars="200"/>
        <w:rPr>
          <w:rFonts w:hint="default" w:ascii="Times New Roman" w:hAnsi="Times New Roman" w:cs="Times New Roman"/>
          <w:color w:val="auto"/>
          <w:sz w:val="24"/>
        </w:rPr>
      </w:pPr>
      <w:r>
        <w:rPr>
          <w:rFonts w:hint="default" w:ascii="Times New Roman" w:hAnsi="Times New Roman" w:cs="Times New Roman"/>
          <w:color w:val="auto"/>
          <w:sz w:val="21"/>
          <w:szCs w:val="21"/>
          <w:lang w:val="en-US" w:eastAsia="zh-CN"/>
        </w:rPr>
        <w:t>本标准主要起草人及工作职责，见下表1。</w:t>
      </w:r>
    </w:p>
    <w:p w14:paraId="084C241D">
      <w:pPr>
        <w:pStyle w:val="21"/>
        <w:numPr>
          <w:ilvl w:val="0"/>
          <w:numId w:val="1"/>
        </w:numPr>
        <w:spacing w:line="360" w:lineRule="auto"/>
        <w:ind w:left="1470" w:firstLineChars="0"/>
        <w:jc w:val="center"/>
        <w:rPr>
          <w:rFonts w:hint="default" w:ascii="Times New Roman" w:hAnsi="Times New Roman" w:eastAsia="黑体" w:cs="Times New Roman"/>
          <w:b/>
          <w:bCs/>
          <w:color w:val="auto"/>
          <w:szCs w:val="21"/>
        </w:rPr>
      </w:pPr>
      <w:r>
        <w:rPr>
          <w:rFonts w:hint="default" w:ascii="Times New Roman" w:hAnsi="Times New Roman" w:eastAsia="黑体" w:cs="Times New Roman"/>
          <w:b/>
          <w:bCs/>
          <w:color w:val="auto"/>
          <w:szCs w:val="21"/>
        </w:rPr>
        <w:t>主要起草人及其工作职责</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14"/>
        <w:gridCol w:w="5308"/>
      </w:tblGrid>
      <w:tr w14:paraId="0170D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214" w:type="dxa"/>
            <w:noWrap w:val="0"/>
            <w:vAlign w:val="center"/>
          </w:tcPr>
          <w:p w14:paraId="6EF8F95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起草人</w:t>
            </w:r>
          </w:p>
        </w:tc>
        <w:tc>
          <w:tcPr>
            <w:tcW w:w="5308" w:type="dxa"/>
            <w:noWrap w:val="0"/>
            <w:vAlign w:val="center"/>
          </w:tcPr>
          <w:p w14:paraId="6066DBA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工作职责</w:t>
            </w:r>
          </w:p>
        </w:tc>
      </w:tr>
      <w:tr w14:paraId="5EDEE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14" w:type="dxa"/>
            <w:noWrap w:val="0"/>
            <w:vAlign w:val="center"/>
          </w:tcPr>
          <w:p w14:paraId="65A8B7C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Cs w:val="21"/>
              </w:rPr>
            </w:pPr>
            <w:r>
              <w:rPr>
                <w:rFonts w:hint="eastAsia" w:ascii="Times New Roman" w:hAnsi="Times New Roman" w:eastAsia="宋体" w:cs="Times New Roman"/>
                <w:color w:val="auto"/>
                <w:szCs w:val="21"/>
                <w:lang w:val="en-US" w:eastAsia="zh-CN"/>
              </w:rPr>
              <w:t>许开华、别传玉、张宇平</w:t>
            </w:r>
          </w:p>
        </w:tc>
        <w:tc>
          <w:tcPr>
            <w:tcW w:w="5308" w:type="dxa"/>
            <w:vMerge w:val="restart"/>
            <w:noWrap w:val="0"/>
            <w:vAlign w:val="center"/>
          </w:tcPr>
          <w:p w14:paraId="371CA2A9">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cs="Times New Roman"/>
                <w:color w:val="auto"/>
                <w:szCs w:val="21"/>
              </w:rPr>
            </w:pPr>
            <w:r>
              <w:rPr>
                <w:rFonts w:hint="eastAsia" w:ascii="宋体" w:hAnsi="宋体" w:eastAsia="宋体" w:cs="宋体"/>
                <w:i w:val="0"/>
                <w:iCs w:val="0"/>
                <w:color w:val="auto"/>
                <w:kern w:val="0"/>
                <w:sz w:val="21"/>
                <w:szCs w:val="21"/>
                <w:u w:val="none"/>
                <w:lang w:val="en-US" w:eastAsia="zh-CN" w:bidi="ar"/>
              </w:rPr>
              <w:t>牵头统筹标准起草，产品各项性能指标的调研、总结；标准文本和编制说明的撰写及组织协调</w:t>
            </w:r>
          </w:p>
        </w:tc>
      </w:tr>
      <w:tr w14:paraId="14739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14" w:type="dxa"/>
            <w:noWrap w:val="0"/>
            <w:vAlign w:val="center"/>
          </w:tcPr>
          <w:p w14:paraId="6DFF24D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cs="Times New Roman" w:eastAsiaTheme="minorEastAsia"/>
                <w:color w:val="auto"/>
                <w:szCs w:val="21"/>
                <w:lang w:eastAsia="zh-CN"/>
              </w:rPr>
            </w:pPr>
            <w:r>
              <w:rPr>
                <w:rFonts w:hint="default" w:ascii="Times New Roman" w:hAnsi="Times New Roman" w:cs="Times New Roman"/>
                <w:color w:val="auto"/>
                <w:szCs w:val="21"/>
              </w:rPr>
              <w:t>鲍伟</w:t>
            </w:r>
            <w:r>
              <w:rPr>
                <w:rFonts w:hint="eastAsia" w:ascii="Times New Roman" w:hAnsi="Times New Roman" w:cs="Times New Roman"/>
                <w:color w:val="auto"/>
                <w:szCs w:val="21"/>
                <w:lang w:eastAsia="zh-CN"/>
              </w:rPr>
              <w:t>、</w:t>
            </w:r>
            <w:r>
              <w:rPr>
                <w:rFonts w:hint="default" w:ascii="Times New Roman" w:hAnsi="Times New Roman" w:cs="Times New Roman"/>
                <w:color w:val="auto"/>
                <w:szCs w:val="21"/>
              </w:rPr>
              <w:t>肖巍</w:t>
            </w:r>
          </w:p>
        </w:tc>
        <w:tc>
          <w:tcPr>
            <w:tcW w:w="5308" w:type="dxa"/>
            <w:vMerge w:val="continue"/>
            <w:noWrap w:val="0"/>
            <w:vAlign w:val="center"/>
          </w:tcPr>
          <w:p w14:paraId="090F1933">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cs="Times New Roman"/>
                <w:color w:val="auto"/>
                <w:szCs w:val="21"/>
              </w:rPr>
            </w:pPr>
          </w:p>
        </w:tc>
      </w:tr>
      <w:tr w14:paraId="08DC8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trPr>
        <w:tc>
          <w:tcPr>
            <w:tcW w:w="3214" w:type="dxa"/>
            <w:noWrap w:val="0"/>
            <w:vAlign w:val="center"/>
          </w:tcPr>
          <w:p w14:paraId="764AFD1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lang w:val="en-US" w:eastAsia="zh-CN"/>
              </w:rPr>
            </w:pPr>
            <w:r>
              <w:rPr>
                <w:rFonts w:hint="eastAsia" w:ascii="Times New Roman" w:hAnsi="Times New Roman" w:eastAsia="宋体" w:cs="Times New Roman"/>
                <w:color w:val="auto"/>
                <w:szCs w:val="21"/>
                <w:lang w:val="en-US" w:eastAsia="zh-CN"/>
              </w:rPr>
              <w:t>王皓、崔璠</w:t>
            </w:r>
          </w:p>
        </w:tc>
        <w:tc>
          <w:tcPr>
            <w:tcW w:w="5308" w:type="dxa"/>
            <w:vMerge w:val="restart"/>
            <w:noWrap w:val="0"/>
            <w:vAlign w:val="center"/>
          </w:tcPr>
          <w:p w14:paraId="6F5DF03A">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lang w:val="en-US" w:eastAsia="zh-CN" w:bidi="ar"/>
              </w:rPr>
              <w:t>1、</w:t>
            </w:r>
            <w:r>
              <w:rPr>
                <w:rFonts w:hint="eastAsia" w:ascii="宋体" w:hAnsi="宋体" w:eastAsia="宋体" w:cs="宋体"/>
                <w:i w:val="0"/>
                <w:iCs w:val="0"/>
                <w:color w:val="auto"/>
                <w:kern w:val="0"/>
                <w:sz w:val="21"/>
                <w:szCs w:val="21"/>
                <w:u w:val="none"/>
                <w:lang w:val="en-US" w:eastAsia="zh-CN" w:bidi="ar"/>
              </w:rPr>
              <w:t>参与电池废料标志、包装、运输领域数据调研工作</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2、提供电池废料种类等相关核心信息，保障标准制定的科学性与实用性</w:t>
            </w:r>
          </w:p>
        </w:tc>
      </w:tr>
      <w:tr w14:paraId="65120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14" w:type="dxa"/>
            <w:noWrap w:val="0"/>
            <w:vAlign w:val="center"/>
          </w:tcPr>
          <w:p w14:paraId="3273A2F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Cs w:val="21"/>
                <w:lang w:val="en-US" w:eastAsia="zh-CN"/>
              </w:rPr>
            </w:pPr>
            <w:r>
              <w:rPr>
                <w:rFonts w:hint="eastAsia" w:ascii="Arial" w:hAnsi="Arial" w:eastAsia="宋体" w:cs="Arial"/>
                <w:color w:val="auto"/>
                <w:szCs w:val="21"/>
                <w:lang w:val="en-US" w:eastAsia="zh-CN"/>
              </w:rPr>
              <w:t>王奉刚、于群</w:t>
            </w:r>
          </w:p>
        </w:tc>
        <w:tc>
          <w:tcPr>
            <w:tcW w:w="5308" w:type="dxa"/>
            <w:vMerge w:val="continue"/>
            <w:noWrap w:val="0"/>
            <w:vAlign w:val="center"/>
          </w:tcPr>
          <w:p w14:paraId="37ACA3D0">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cs="Times New Roman"/>
                <w:color w:val="auto"/>
                <w:szCs w:val="21"/>
              </w:rPr>
            </w:pPr>
          </w:p>
        </w:tc>
      </w:tr>
      <w:tr w14:paraId="250B7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14" w:type="dxa"/>
            <w:noWrap w:val="0"/>
            <w:vAlign w:val="center"/>
          </w:tcPr>
          <w:p w14:paraId="5820ED6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Arial" w:hAnsi="Arial" w:eastAsia="宋体" w:cs="Arial"/>
                <w:color w:val="auto"/>
                <w:szCs w:val="21"/>
                <w:lang w:val="en-US" w:eastAsia="zh-CN"/>
              </w:rPr>
            </w:pPr>
            <w:r>
              <w:rPr>
                <w:rFonts w:hint="eastAsia" w:ascii="Arial" w:hAnsi="Arial" w:eastAsia="宋体" w:cs="Arial"/>
                <w:color w:val="auto"/>
                <w:szCs w:val="21"/>
                <w:lang w:val="en-US" w:eastAsia="zh-CN"/>
              </w:rPr>
              <w:t>张坤、魏琼</w:t>
            </w:r>
          </w:p>
        </w:tc>
        <w:tc>
          <w:tcPr>
            <w:tcW w:w="5308" w:type="dxa"/>
            <w:vMerge w:val="continue"/>
            <w:noWrap w:val="0"/>
            <w:vAlign w:val="center"/>
          </w:tcPr>
          <w:p w14:paraId="7BE79068">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cs="Times New Roman"/>
                <w:color w:val="auto"/>
                <w:szCs w:val="21"/>
              </w:rPr>
            </w:pPr>
          </w:p>
        </w:tc>
      </w:tr>
      <w:tr w14:paraId="32132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14" w:type="dxa"/>
            <w:noWrap w:val="0"/>
            <w:vAlign w:val="center"/>
          </w:tcPr>
          <w:p w14:paraId="2F579EF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Arial" w:hAnsi="Arial" w:eastAsia="宋体" w:cs="Arial"/>
                <w:color w:val="auto"/>
                <w:szCs w:val="21"/>
                <w:lang w:val="en-US" w:eastAsia="zh-CN"/>
              </w:rPr>
            </w:pPr>
            <w:r>
              <w:rPr>
                <w:rFonts w:hint="eastAsia" w:ascii="Arial" w:hAnsi="Arial" w:eastAsia="宋体" w:cs="Arial"/>
                <w:color w:val="auto"/>
                <w:szCs w:val="21"/>
                <w:lang w:val="en-US" w:eastAsia="zh-CN"/>
              </w:rPr>
              <w:t>李强、杨慧琳</w:t>
            </w:r>
          </w:p>
        </w:tc>
        <w:tc>
          <w:tcPr>
            <w:tcW w:w="5308" w:type="dxa"/>
            <w:vMerge w:val="continue"/>
            <w:noWrap w:val="0"/>
            <w:vAlign w:val="center"/>
          </w:tcPr>
          <w:p w14:paraId="5322D818">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cs="Times New Roman"/>
                <w:color w:val="auto"/>
                <w:szCs w:val="21"/>
              </w:rPr>
            </w:pPr>
          </w:p>
        </w:tc>
      </w:tr>
      <w:tr w14:paraId="20B0D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14" w:type="dxa"/>
            <w:noWrap w:val="0"/>
            <w:vAlign w:val="center"/>
          </w:tcPr>
          <w:p w14:paraId="51CEA91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Arial" w:hAnsi="Arial" w:eastAsia="宋体" w:cs="Arial"/>
                <w:color w:val="auto"/>
                <w:szCs w:val="21"/>
                <w:lang w:val="en-US" w:eastAsia="zh-CN"/>
              </w:rPr>
            </w:pPr>
            <w:r>
              <w:rPr>
                <w:rFonts w:hint="eastAsia" w:ascii="Times New Roman" w:hAnsi="Times New Roman" w:eastAsia="宋体" w:cs="Times New Roman"/>
                <w:color w:val="auto"/>
                <w:szCs w:val="21"/>
                <w:lang w:val="en-US" w:eastAsia="zh-CN"/>
              </w:rPr>
              <w:t>章方灵、陈婷</w:t>
            </w:r>
          </w:p>
        </w:tc>
        <w:tc>
          <w:tcPr>
            <w:tcW w:w="5308" w:type="dxa"/>
            <w:vMerge w:val="restart"/>
            <w:noWrap w:val="0"/>
            <w:vAlign w:val="center"/>
          </w:tcPr>
          <w:p w14:paraId="70C4E698">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cs="Times New Roman"/>
                <w:color w:val="auto"/>
                <w:szCs w:val="21"/>
              </w:rPr>
            </w:pPr>
            <w:r>
              <w:rPr>
                <w:rFonts w:hint="eastAsia" w:ascii="宋体" w:hAnsi="宋体" w:eastAsia="宋体" w:cs="宋体"/>
                <w:i w:val="0"/>
                <w:iCs w:val="0"/>
                <w:color w:val="auto"/>
                <w:kern w:val="0"/>
                <w:sz w:val="21"/>
                <w:szCs w:val="21"/>
                <w:u w:val="none"/>
                <w:lang w:val="en-US" w:eastAsia="zh-CN" w:bidi="ar"/>
              </w:rPr>
              <w:t>参与标准相关内容研讨，针对内容提出建设性意见</w:t>
            </w:r>
          </w:p>
        </w:tc>
      </w:tr>
      <w:tr w14:paraId="4623C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14" w:type="dxa"/>
            <w:noWrap w:val="0"/>
            <w:vAlign w:val="center"/>
          </w:tcPr>
          <w:p w14:paraId="0DA917C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Arial" w:hAnsi="Arial" w:eastAsia="宋体" w:cs="Arial"/>
                <w:color w:val="auto"/>
                <w:szCs w:val="21"/>
                <w:lang w:val="en-US" w:eastAsia="zh-CN"/>
              </w:rPr>
            </w:pPr>
            <w:r>
              <w:rPr>
                <w:rFonts w:hint="eastAsia" w:ascii="Arial" w:hAnsi="Arial" w:eastAsia="宋体" w:cs="Arial"/>
                <w:color w:val="auto"/>
                <w:szCs w:val="21"/>
                <w:lang w:val="en-US" w:eastAsia="zh-CN"/>
              </w:rPr>
              <w:t>耿才富、刘昆</w:t>
            </w:r>
          </w:p>
        </w:tc>
        <w:tc>
          <w:tcPr>
            <w:tcW w:w="5308" w:type="dxa"/>
            <w:vMerge w:val="continue"/>
            <w:noWrap w:val="0"/>
            <w:vAlign w:val="center"/>
          </w:tcPr>
          <w:p w14:paraId="64B0848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Cs w:val="21"/>
              </w:rPr>
            </w:pPr>
          </w:p>
        </w:tc>
      </w:tr>
    </w:tbl>
    <w:p w14:paraId="263822CF">
      <w:pPr>
        <w:pStyle w:val="17"/>
        <w:spacing w:beforeLines="0" w:afterLines="0" w:line="440" w:lineRule="exact"/>
        <w:outlineLvl w:val="9"/>
        <w:rPr>
          <w:rFonts w:hint="eastAsia"/>
        </w:rPr>
      </w:pPr>
      <w:r>
        <w:rPr>
          <w:rFonts w:hint="eastAsia" w:hAnsi="黑体" w:cs="黑体"/>
          <w:color w:val="auto"/>
          <w:sz w:val="21"/>
          <w:szCs w:val="21"/>
        </w:rPr>
        <w:t>1.4 主要工作过程</w:t>
      </w:r>
    </w:p>
    <w:p w14:paraId="71E1FD77">
      <w:pPr>
        <w:rPr>
          <w:rFonts w:hint="eastAsia" w:ascii="黑体" w:hAnsi="黑体" w:eastAsia="黑体" w:cs="黑体"/>
          <w:color w:val="auto"/>
          <w:kern w:val="0"/>
          <w:sz w:val="21"/>
          <w:szCs w:val="21"/>
          <w:lang w:val="en-US" w:eastAsia="zh-CN" w:bidi="ar-SA"/>
        </w:rPr>
      </w:pPr>
      <w:r>
        <w:rPr>
          <w:rFonts w:hint="eastAsia" w:ascii="黑体" w:hAnsi="黑体" w:eastAsia="黑体" w:cs="黑体"/>
          <w:color w:val="auto"/>
          <w:kern w:val="0"/>
          <w:sz w:val="21"/>
          <w:szCs w:val="21"/>
          <w:lang w:val="en-US" w:eastAsia="zh-CN" w:bidi="ar-SA"/>
        </w:rPr>
        <w:t>1.4.1预研阶段</w:t>
      </w:r>
    </w:p>
    <w:p w14:paraId="172BF347">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武汉动力2024年2月份正式成立了由研发技术人员、标准研究人员等组成的标准编制工作组，确定了标准起草思路及任务分工，积极组织相关人员成立标准编制工作组，确认了各成员的工作任务和职责，制定了工作计划和进度安排，确定了编制原则。标准编制工作组通过查找、分析相关标准及文献，对充电电废料废件的实际情况进行了大量调研，对国内水平进行了充分论证。2024年3月，武汉动力电池再生技术有限公司向重金属分标准化委员会秘书处提交国家标准《充电电池废料废件》立项申请书。分别于2024年5月、2025年1月接到立项申请书修改意见。</w:t>
      </w:r>
    </w:p>
    <w:p w14:paraId="6F6A1AFA">
      <w:pPr>
        <w:rPr>
          <w:rFonts w:hint="eastAsia" w:ascii="黑体" w:hAnsi="黑体" w:eastAsia="黑体" w:cs="黑体"/>
          <w:color w:val="auto"/>
          <w:kern w:val="0"/>
          <w:sz w:val="21"/>
          <w:szCs w:val="21"/>
          <w:lang w:val="en-US" w:eastAsia="zh-CN" w:bidi="ar-SA"/>
        </w:rPr>
      </w:pPr>
      <w:r>
        <w:rPr>
          <w:rFonts w:hint="eastAsia" w:ascii="黑体" w:hAnsi="黑体" w:eastAsia="黑体" w:cs="黑体"/>
          <w:color w:val="auto"/>
          <w:kern w:val="0"/>
          <w:sz w:val="21"/>
          <w:szCs w:val="21"/>
          <w:lang w:val="en-US" w:eastAsia="zh-CN" w:bidi="ar-SA"/>
        </w:rPr>
        <w:t>1.4.2标准立项</w:t>
      </w:r>
    </w:p>
    <w:p w14:paraId="0E74E1E9">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default" w:ascii="Times New Roman" w:hAnsi="Times New Roman" w:cs="Times New Roman"/>
          <w:color w:val="auto"/>
          <w:sz w:val="21"/>
          <w:szCs w:val="21"/>
          <w:lang w:val="en-US" w:eastAsia="zh-CN"/>
        </w:rPr>
      </w:pPr>
      <w:r>
        <w:rPr>
          <w:rFonts w:hint="eastAsia" w:hAnsi="黑体" w:cs="黑体"/>
          <w:color w:val="auto"/>
          <w:sz w:val="21"/>
          <w:szCs w:val="21"/>
          <w:lang w:val="en-US" w:eastAsia="zh-CN"/>
        </w:rPr>
        <w:t>全国</w:t>
      </w:r>
      <w:r>
        <w:rPr>
          <w:rFonts w:hint="default" w:ascii="Times New Roman" w:hAnsi="Times New Roman" w:cs="Times New Roman"/>
          <w:color w:val="auto"/>
          <w:sz w:val="21"/>
          <w:szCs w:val="21"/>
          <w:lang w:val="en-US" w:eastAsia="zh-CN"/>
        </w:rPr>
        <w:t>有色金属标准化技术委员会于2024年在长沙召开标准</w:t>
      </w:r>
      <w:r>
        <w:rPr>
          <w:rFonts w:hint="eastAsia" w:ascii="Times New Roman" w:hAnsi="Times New Roman" w:cs="Times New Roman"/>
          <w:color w:val="auto"/>
          <w:sz w:val="21"/>
          <w:szCs w:val="21"/>
          <w:lang w:val="en-US" w:eastAsia="zh-CN"/>
        </w:rPr>
        <w:t>论证</w:t>
      </w:r>
      <w:r>
        <w:rPr>
          <w:rFonts w:hint="default" w:ascii="Times New Roman" w:hAnsi="Times New Roman" w:cs="Times New Roman"/>
          <w:color w:val="auto"/>
          <w:sz w:val="21"/>
          <w:szCs w:val="21"/>
          <w:lang w:val="en-US" w:eastAsia="zh-CN"/>
        </w:rPr>
        <w:t>会，本项目由重金属分标委会秘书处于2024年3月20日进行申报。2025年8月15日计划正式予以下达。为了更好地开展标准的修订工作，工作组成员在标准草案的基础上，于2025年1月底完成了文稿的修订工作。</w:t>
      </w:r>
    </w:p>
    <w:p w14:paraId="1AA890DC">
      <w:pPr>
        <w:pStyle w:val="5"/>
        <w:ind w:firstLine="0" w:firstLineChars="0"/>
        <w:rPr>
          <w:rFonts w:hint="eastAsia" w:ascii="黑体" w:hAnsi="黑体" w:eastAsia="黑体" w:cs="黑体"/>
          <w:color w:val="auto"/>
          <w:kern w:val="0"/>
          <w:sz w:val="21"/>
          <w:szCs w:val="21"/>
          <w:lang w:val="en-US" w:eastAsia="zh-CN" w:bidi="ar-SA"/>
        </w:rPr>
      </w:pPr>
      <w:r>
        <w:rPr>
          <w:rFonts w:hint="eastAsia" w:ascii="黑体" w:hAnsi="黑体" w:eastAsia="黑体" w:cs="黑体"/>
          <w:color w:val="auto"/>
          <w:kern w:val="0"/>
          <w:sz w:val="21"/>
          <w:szCs w:val="21"/>
          <w:lang w:val="en-US" w:eastAsia="zh-CN" w:bidi="ar-SA"/>
        </w:rPr>
        <w:t>1.4.3起草阶段</w:t>
      </w:r>
    </w:p>
    <w:p w14:paraId="1BA364A9">
      <w:pPr>
        <w:ind w:firstLine="420" w:firstLineChars="200"/>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cs="Times New Roman"/>
          <w:color w:val="auto"/>
          <w:sz w:val="21"/>
          <w:szCs w:val="21"/>
          <w:lang w:val="en-US" w:eastAsia="zh-CN"/>
        </w:rPr>
        <w:t>1.4.3.1第一次工作会议</w:t>
      </w:r>
    </w:p>
    <w:p w14:paraId="5A457F9D">
      <w:pPr>
        <w:pStyle w:val="5"/>
        <w:ind w:left="0" w:leftChars="0" w:firstLine="420" w:firstLineChars="200"/>
        <w:rPr>
          <w:rFonts w:hint="eastAsia" w:ascii="宋体" w:hAnsi="宋体" w:eastAsia="宋体" w:cs="宋体"/>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于2025年12月1-4日</w:t>
      </w:r>
      <w:r>
        <w:rPr>
          <w:rFonts w:hint="eastAsia" w:ascii="Times New Roman" w:hAnsi="Times New Roman" w:cs="Times New Roman"/>
          <w:color w:val="auto"/>
          <w:kern w:val="0"/>
          <w:sz w:val="21"/>
          <w:szCs w:val="21"/>
          <w:lang w:val="en-US" w:eastAsia="zh-CN" w:bidi="ar-SA"/>
        </w:rPr>
        <w:t>，全国有色金属标准化技术委员会</w:t>
      </w:r>
      <w:r>
        <w:rPr>
          <w:rFonts w:hint="default" w:ascii="Times New Roman" w:hAnsi="Times New Roman" w:eastAsia="宋体" w:cs="Times New Roman"/>
          <w:color w:val="auto"/>
          <w:kern w:val="0"/>
          <w:sz w:val="21"/>
          <w:szCs w:val="21"/>
          <w:lang w:val="en-US" w:eastAsia="zh-CN" w:bidi="ar-SA"/>
        </w:rPr>
        <w:t>在厦门召开</w:t>
      </w:r>
      <w:r>
        <w:rPr>
          <w:rFonts w:hint="eastAsia" w:ascii="宋体" w:hAnsi="宋体" w:eastAsia="宋体" w:cs="宋体"/>
          <w:color w:val="auto"/>
          <w:kern w:val="0"/>
          <w:sz w:val="21"/>
          <w:szCs w:val="21"/>
          <w:lang w:val="en-US" w:eastAsia="zh-CN" w:bidi="ar-SA"/>
        </w:rPr>
        <w:t>了第一次标准</w:t>
      </w:r>
      <w:r>
        <w:rPr>
          <w:rFonts w:hint="eastAsia" w:ascii="宋体" w:hAnsi="宋体" w:cs="宋体"/>
          <w:color w:val="auto"/>
          <w:kern w:val="0"/>
          <w:sz w:val="21"/>
          <w:szCs w:val="21"/>
          <w:lang w:val="en-US" w:eastAsia="zh-CN" w:bidi="ar-SA"/>
        </w:rPr>
        <w:t>工作会议</w:t>
      </w:r>
      <w:r>
        <w:rPr>
          <w:rFonts w:hint="eastAsia" w:ascii="宋体" w:hAnsi="宋体" w:eastAsia="宋体" w:cs="宋体"/>
          <w:color w:val="auto"/>
          <w:kern w:val="0"/>
          <w:sz w:val="21"/>
          <w:szCs w:val="21"/>
          <w:lang w:val="en-US" w:eastAsia="zh-CN" w:bidi="ar-SA"/>
        </w:rPr>
        <w:t>，会议中，标委会及现场专家主要讨论内容见表2。会后由标准主编单位根据会议内容进行修改。</w:t>
      </w:r>
    </w:p>
    <w:p w14:paraId="45F4D072">
      <w:pPr>
        <w:pStyle w:val="5"/>
        <w:ind w:left="0" w:leftChars="0" w:firstLine="420" w:firstLineChars="200"/>
        <w:jc w:val="center"/>
        <w:rPr>
          <w:rFonts w:hint="default" w:ascii="宋体" w:hAnsi="宋体" w:eastAsia="宋体" w:cs="宋体"/>
          <w:color w:val="auto"/>
          <w:kern w:val="0"/>
          <w:sz w:val="21"/>
          <w:szCs w:val="21"/>
          <w:lang w:val="en-US" w:eastAsia="zh-CN" w:bidi="ar-SA"/>
        </w:rPr>
      </w:pPr>
      <w:r>
        <w:rPr>
          <w:rFonts w:hint="eastAsia" w:ascii="宋体" w:hAnsi="宋体" w:cs="宋体"/>
          <w:color w:val="auto"/>
          <w:kern w:val="0"/>
          <w:sz w:val="21"/>
          <w:szCs w:val="21"/>
          <w:lang w:val="en-US" w:eastAsia="zh-CN" w:bidi="ar-SA"/>
        </w:rPr>
        <w:t xml:space="preserve">表2  </w:t>
      </w:r>
      <w:r>
        <w:rPr>
          <w:rFonts w:hint="default" w:ascii="Times New Roman" w:hAnsi="Times New Roman" w:cs="Times New Roman"/>
          <w:color w:val="auto"/>
          <w:sz w:val="21"/>
          <w:szCs w:val="21"/>
          <w:lang w:val="en-US" w:eastAsia="zh-CN"/>
        </w:rPr>
        <w:t>第一次工作会议</w:t>
      </w:r>
      <w:r>
        <w:rPr>
          <w:rFonts w:hint="eastAsia" w:ascii="Times New Roman" w:hAnsi="Times New Roman" w:cs="Times New Roman"/>
          <w:color w:val="auto"/>
          <w:sz w:val="21"/>
          <w:szCs w:val="21"/>
          <w:lang w:val="en-US" w:eastAsia="zh-CN"/>
        </w:rPr>
        <w:t>讨论内容</w:t>
      </w:r>
    </w:p>
    <w:tbl>
      <w:tblPr>
        <w:tblStyle w:val="12"/>
        <w:tblW w:w="864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8"/>
        <w:gridCol w:w="1653"/>
        <w:gridCol w:w="6073"/>
      </w:tblGrid>
      <w:tr w14:paraId="1262D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8" w:type="dxa"/>
            <w:noWrap w:val="0"/>
            <w:vAlign w:val="top"/>
          </w:tcPr>
          <w:p w14:paraId="5A9A4465">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宋体" w:hAnsi="宋体" w:eastAsia="宋体" w:cs="宋体"/>
                <w:b/>
                <w:bCs/>
                <w:color w:val="000000"/>
                <w:kern w:val="0"/>
                <w:sz w:val="21"/>
                <w:szCs w:val="21"/>
                <w:vertAlign w:val="baseline"/>
                <w:lang w:val="en-US" w:eastAsia="zh-CN" w:bidi="ar"/>
              </w:rPr>
            </w:pPr>
            <w:r>
              <w:rPr>
                <w:rFonts w:hint="eastAsia" w:ascii="宋体" w:hAnsi="宋体" w:eastAsia="宋体" w:cs="宋体"/>
                <w:b/>
                <w:bCs/>
                <w:color w:val="000000"/>
                <w:kern w:val="0"/>
                <w:sz w:val="21"/>
                <w:szCs w:val="21"/>
                <w:vertAlign w:val="baseline"/>
                <w:lang w:val="en-US" w:eastAsia="zh-CN" w:bidi="ar"/>
              </w:rPr>
              <w:t>序号</w:t>
            </w:r>
          </w:p>
        </w:tc>
        <w:tc>
          <w:tcPr>
            <w:tcW w:w="1653" w:type="dxa"/>
            <w:noWrap w:val="0"/>
            <w:vAlign w:val="top"/>
          </w:tcPr>
          <w:p w14:paraId="7F6CDA54">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宋体" w:hAnsi="宋体" w:eastAsia="宋体" w:cs="宋体"/>
                <w:b/>
                <w:bCs/>
                <w:color w:val="000000"/>
                <w:kern w:val="0"/>
                <w:sz w:val="21"/>
                <w:szCs w:val="21"/>
                <w:vertAlign w:val="baseline"/>
                <w:lang w:val="en-US" w:eastAsia="zh-CN" w:bidi="ar"/>
              </w:rPr>
            </w:pPr>
            <w:r>
              <w:rPr>
                <w:rFonts w:hint="eastAsia" w:ascii="宋体" w:hAnsi="宋体" w:eastAsia="宋体" w:cs="宋体"/>
                <w:b/>
                <w:bCs/>
                <w:color w:val="000000"/>
                <w:kern w:val="0"/>
                <w:sz w:val="21"/>
                <w:szCs w:val="21"/>
                <w:vertAlign w:val="baseline"/>
                <w:lang w:val="en-US" w:eastAsia="zh-CN" w:bidi="ar"/>
              </w:rPr>
              <w:t>条款</w:t>
            </w:r>
          </w:p>
        </w:tc>
        <w:tc>
          <w:tcPr>
            <w:tcW w:w="6073" w:type="dxa"/>
            <w:noWrap w:val="0"/>
            <w:vAlign w:val="top"/>
          </w:tcPr>
          <w:p w14:paraId="317FFA8D">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宋体" w:hAnsi="宋体" w:eastAsia="宋体" w:cs="宋体"/>
                <w:b/>
                <w:bCs/>
                <w:color w:val="000000"/>
                <w:kern w:val="0"/>
                <w:sz w:val="21"/>
                <w:szCs w:val="21"/>
                <w:vertAlign w:val="baseline"/>
                <w:lang w:val="en-US" w:eastAsia="zh-CN" w:bidi="ar"/>
              </w:rPr>
            </w:pPr>
            <w:r>
              <w:rPr>
                <w:rFonts w:hint="eastAsia" w:ascii="宋体" w:hAnsi="宋体" w:eastAsia="宋体" w:cs="宋体"/>
                <w:b/>
                <w:bCs/>
                <w:color w:val="000000"/>
                <w:kern w:val="0"/>
                <w:sz w:val="21"/>
                <w:szCs w:val="21"/>
                <w:vertAlign w:val="baseline"/>
                <w:lang w:val="en-US" w:eastAsia="zh-CN" w:bidi="ar"/>
              </w:rPr>
              <w:t>意见内容</w:t>
            </w:r>
          </w:p>
        </w:tc>
      </w:tr>
      <w:tr w14:paraId="489DD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8" w:type="dxa"/>
            <w:noWrap w:val="0"/>
            <w:vAlign w:val="center"/>
          </w:tcPr>
          <w:p w14:paraId="2029EE0F">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宋体" w:hAnsi="宋体" w:eastAsia="宋体" w:cs="宋体"/>
                <w:b w:val="0"/>
                <w:bCs w:val="0"/>
                <w:color w:val="000000"/>
                <w:kern w:val="0"/>
                <w:sz w:val="21"/>
                <w:szCs w:val="21"/>
                <w:vertAlign w:val="baseline"/>
                <w:lang w:val="en-US" w:eastAsia="zh-CN" w:bidi="ar"/>
              </w:rPr>
            </w:pPr>
            <w:r>
              <w:rPr>
                <w:rFonts w:hint="eastAsia" w:ascii="宋体" w:hAnsi="宋体" w:eastAsia="宋体" w:cs="宋体"/>
                <w:b w:val="0"/>
                <w:bCs w:val="0"/>
                <w:color w:val="000000"/>
                <w:kern w:val="0"/>
                <w:sz w:val="21"/>
                <w:szCs w:val="21"/>
                <w:vertAlign w:val="baseline"/>
                <w:lang w:val="en-US" w:eastAsia="zh-CN" w:bidi="ar"/>
              </w:rPr>
              <w:t>1</w:t>
            </w:r>
          </w:p>
        </w:tc>
        <w:tc>
          <w:tcPr>
            <w:tcW w:w="1653" w:type="dxa"/>
            <w:noWrap w:val="0"/>
            <w:vAlign w:val="center"/>
          </w:tcPr>
          <w:p w14:paraId="3335C4E7">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宋体" w:hAnsi="宋体" w:eastAsia="宋体" w:cs="宋体"/>
                <w:b w:val="0"/>
                <w:bCs w:val="0"/>
                <w:color w:val="000000"/>
                <w:kern w:val="0"/>
                <w:sz w:val="21"/>
                <w:szCs w:val="21"/>
                <w:vertAlign w:val="baseline"/>
                <w:lang w:val="en-US" w:eastAsia="zh-CN" w:bidi="ar"/>
              </w:rPr>
            </w:pPr>
            <w:r>
              <w:rPr>
                <w:rFonts w:hint="eastAsia" w:ascii="宋体" w:hAnsi="宋体" w:eastAsia="宋体" w:cs="宋体"/>
                <w:b w:val="0"/>
                <w:bCs w:val="0"/>
                <w:color w:val="000000"/>
                <w:kern w:val="0"/>
                <w:sz w:val="21"/>
                <w:szCs w:val="21"/>
                <w:vertAlign w:val="baseline"/>
                <w:lang w:val="en-US" w:eastAsia="zh-CN" w:bidi="ar"/>
              </w:rPr>
              <w:t>标题</w:t>
            </w:r>
          </w:p>
        </w:tc>
        <w:tc>
          <w:tcPr>
            <w:tcW w:w="6073" w:type="dxa"/>
            <w:noWrap w:val="0"/>
            <w:vAlign w:val="top"/>
          </w:tcPr>
          <w:p w14:paraId="5D92D279">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jc w:val="both"/>
              <w:textAlignment w:val="auto"/>
              <w:rPr>
                <w:rFonts w:hint="eastAsia" w:ascii="宋体" w:hAnsi="宋体" w:eastAsia="宋体" w:cs="宋体"/>
                <w:b w:val="0"/>
                <w:bCs w:val="0"/>
                <w:color w:val="000000"/>
                <w:kern w:val="0"/>
                <w:sz w:val="21"/>
                <w:szCs w:val="21"/>
                <w:vertAlign w:val="baseline"/>
                <w:lang w:val="en-US" w:eastAsia="zh-CN" w:bidi="ar"/>
              </w:rPr>
            </w:pPr>
            <w:r>
              <w:rPr>
                <w:rFonts w:hint="eastAsia" w:ascii="宋体" w:hAnsi="宋体" w:eastAsia="宋体" w:cs="宋体"/>
                <w:b w:val="0"/>
                <w:bCs w:val="0"/>
                <w:color w:val="000000"/>
                <w:kern w:val="0"/>
                <w:sz w:val="21"/>
                <w:szCs w:val="21"/>
                <w:vertAlign w:val="baseline"/>
                <w:lang w:val="en-US" w:eastAsia="zh-CN" w:bidi="ar"/>
              </w:rPr>
              <w:t>现在文本废料废件的英文翻译为scraps,未体现废件的翻译内容</w:t>
            </w:r>
          </w:p>
        </w:tc>
      </w:tr>
      <w:tr w14:paraId="00419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8" w:type="dxa"/>
            <w:noWrap w:val="0"/>
            <w:vAlign w:val="center"/>
          </w:tcPr>
          <w:p w14:paraId="4E3A61F7">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宋体" w:hAnsi="宋体" w:eastAsia="宋体" w:cs="宋体"/>
                <w:b w:val="0"/>
                <w:bCs w:val="0"/>
                <w:color w:val="000000"/>
                <w:kern w:val="0"/>
                <w:sz w:val="21"/>
                <w:szCs w:val="21"/>
                <w:vertAlign w:val="baseline"/>
                <w:lang w:val="en-US" w:eastAsia="zh-CN" w:bidi="ar"/>
              </w:rPr>
            </w:pPr>
            <w:r>
              <w:rPr>
                <w:rFonts w:hint="eastAsia" w:ascii="宋体" w:hAnsi="宋体" w:eastAsia="宋体" w:cs="宋体"/>
                <w:b w:val="0"/>
                <w:bCs w:val="0"/>
                <w:color w:val="000000"/>
                <w:kern w:val="0"/>
                <w:sz w:val="21"/>
                <w:szCs w:val="21"/>
                <w:vertAlign w:val="baseline"/>
                <w:lang w:val="en-US" w:eastAsia="zh-CN" w:bidi="ar"/>
              </w:rPr>
              <w:t>2</w:t>
            </w:r>
          </w:p>
        </w:tc>
        <w:tc>
          <w:tcPr>
            <w:tcW w:w="1653" w:type="dxa"/>
            <w:noWrap w:val="0"/>
            <w:vAlign w:val="center"/>
          </w:tcPr>
          <w:p w14:paraId="75C03257">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宋体" w:hAnsi="宋体" w:eastAsia="宋体" w:cs="宋体"/>
                <w:b w:val="0"/>
                <w:bCs w:val="0"/>
                <w:color w:val="000000"/>
                <w:kern w:val="0"/>
                <w:sz w:val="21"/>
                <w:szCs w:val="21"/>
                <w:vertAlign w:val="baseline"/>
                <w:lang w:val="en-US" w:eastAsia="zh-CN" w:bidi="ar"/>
              </w:rPr>
            </w:pPr>
            <w:r>
              <w:rPr>
                <w:rFonts w:hint="eastAsia" w:ascii="宋体" w:hAnsi="宋体" w:eastAsia="宋体" w:cs="宋体"/>
                <w:b w:val="0"/>
                <w:bCs w:val="0"/>
                <w:color w:val="000000"/>
                <w:kern w:val="0"/>
                <w:sz w:val="21"/>
                <w:szCs w:val="21"/>
                <w:vertAlign w:val="baseline"/>
                <w:lang w:val="en-US" w:eastAsia="zh-CN" w:bidi="ar"/>
              </w:rPr>
              <w:t>3 术语和定义</w:t>
            </w:r>
          </w:p>
        </w:tc>
        <w:tc>
          <w:tcPr>
            <w:tcW w:w="6073" w:type="dxa"/>
            <w:noWrap w:val="0"/>
            <w:vAlign w:val="top"/>
          </w:tcPr>
          <w:p w14:paraId="24C4DFD0">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jc w:val="both"/>
              <w:textAlignment w:val="auto"/>
              <w:rPr>
                <w:rFonts w:hint="eastAsia" w:ascii="宋体" w:hAnsi="宋体" w:eastAsia="宋体" w:cs="宋体"/>
                <w:b w:val="0"/>
                <w:bCs w:val="0"/>
                <w:color w:val="000000"/>
                <w:kern w:val="0"/>
                <w:sz w:val="21"/>
                <w:szCs w:val="21"/>
                <w:vertAlign w:val="baseline"/>
                <w:lang w:val="en-US" w:eastAsia="zh-CN" w:bidi="ar"/>
              </w:rPr>
            </w:pPr>
            <w:r>
              <w:rPr>
                <w:rFonts w:hint="eastAsia" w:ascii="宋体" w:hAnsi="宋体" w:eastAsia="宋体" w:cs="宋体"/>
                <w:b w:val="0"/>
                <w:bCs w:val="0"/>
                <w:color w:val="000000"/>
                <w:kern w:val="0"/>
                <w:sz w:val="21"/>
                <w:szCs w:val="21"/>
                <w:vertAlign w:val="baseline"/>
                <w:lang w:val="en-US" w:eastAsia="zh-CN" w:bidi="ar"/>
              </w:rPr>
              <w:t>充电电池废料废件的英文翻译scraps parts有明显机翻痕迹</w:t>
            </w:r>
          </w:p>
        </w:tc>
      </w:tr>
      <w:tr w14:paraId="66790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8" w:type="dxa"/>
            <w:noWrap w:val="0"/>
            <w:vAlign w:val="center"/>
          </w:tcPr>
          <w:p w14:paraId="6650158D">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eastAsia" w:ascii="宋体" w:hAnsi="宋体" w:eastAsia="宋体" w:cs="宋体"/>
                <w:b w:val="0"/>
                <w:bCs w:val="0"/>
                <w:color w:val="000000"/>
                <w:kern w:val="0"/>
                <w:sz w:val="21"/>
                <w:szCs w:val="21"/>
                <w:vertAlign w:val="baseline"/>
                <w:lang w:val="en-US" w:eastAsia="zh-CN" w:bidi="ar"/>
              </w:rPr>
            </w:pPr>
            <w:r>
              <w:rPr>
                <w:rFonts w:hint="eastAsia" w:ascii="宋体" w:hAnsi="宋体" w:eastAsia="宋体" w:cs="宋体"/>
                <w:b w:val="0"/>
                <w:bCs w:val="0"/>
                <w:color w:val="000000"/>
                <w:kern w:val="0"/>
                <w:sz w:val="21"/>
                <w:szCs w:val="21"/>
                <w:vertAlign w:val="baseline"/>
                <w:lang w:val="en-US" w:eastAsia="zh-CN" w:bidi="ar"/>
              </w:rPr>
              <w:t>3</w:t>
            </w:r>
          </w:p>
        </w:tc>
        <w:tc>
          <w:tcPr>
            <w:tcW w:w="1653" w:type="dxa"/>
            <w:vMerge w:val="restart"/>
            <w:noWrap w:val="0"/>
            <w:vAlign w:val="center"/>
          </w:tcPr>
          <w:p w14:paraId="7E49FC69">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宋体" w:hAnsi="宋体" w:eastAsia="宋体" w:cs="宋体"/>
                <w:b w:val="0"/>
                <w:bCs w:val="0"/>
                <w:color w:val="000000"/>
                <w:kern w:val="0"/>
                <w:sz w:val="21"/>
                <w:szCs w:val="21"/>
                <w:vertAlign w:val="baseline"/>
                <w:lang w:val="en-US" w:eastAsia="zh-CN" w:bidi="ar"/>
              </w:rPr>
            </w:pPr>
            <w:r>
              <w:rPr>
                <w:rFonts w:hint="eastAsia" w:ascii="宋体" w:hAnsi="宋体" w:eastAsia="宋体" w:cs="宋体"/>
                <w:b w:val="0"/>
                <w:bCs w:val="0"/>
                <w:color w:val="000000"/>
                <w:kern w:val="0"/>
                <w:sz w:val="21"/>
                <w:szCs w:val="21"/>
                <w:vertAlign w:val="baseline"/>
                <w:lang w:val="en-US" w:eastAsia="zh-CN" w:bidi="ar"/>
              </w:rPr>
              <w:t>表1 充电电池废料废件的分类</w:t>
            </w:r>
          </w:p>
        </w:tc>
        <w:tc>
          <w:tcPr>
            <w:tcW w:w="6073" w:type="dxa"/>
            <w:noWrap w:val="0"/>
            <w:vAlign w:val="top"/>
          </w:tcPr>
          <w:p w14:paraId="3DFED35D">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both"/>
              <w:textAlignment w:val="auto"/>
              <w:rPr>
                <w:rFonts w:hint="eastAsia" w:ascii="宋体" w:hAnsi="宋体" w:eastAsia="宋体" w:cs="宋体"/>
                <w:b w:val="0"/>
                <w:bCs w:val="0"/>
                <w:color w:val="000000"/>
                <w:kern w:val="0"/>
                <w:sz w:val="21"/>
                <w:szCs w:val="21"/>
                <w:vertAlign w:val="baseline"/>
                <w:lang w:val="en-US" w:eastAsia="zh-CN" w:bidi="ar"/>
              </w:rPr>
            </w:pPr>
            <w:r>
              <w:rPr>
                <w:rFonts w:hint="eastAsia" w:ascii="宋体" w:hAnsi="宋体" w:eastAsia="宋体" w:cs="宋体"/>
                <w:b w:val="0"/>
                <w:bCs w:val="0"/>
                <w:color w:val="000000"/>
                <w:kern w:val="0"/>
                <w:sz w:val="21"/>
                <w:szCs w:val="21"/>
                <w:vertAlign w:val="baseline"/>
                <w:lang w:val="en-US" w:eastAsia="zh-CN" w:bidi="ar"/>
              </w:rPr>
              <w:t>Ⅰ类废旧充电电池中的燃料电池、太阳能电池、储能式电池的回收数据需要做企业调研</w:t>
            </w:r>
          </w:p>
        </w:tc>
      </w:tr>
      <w:tr w14:paraId="4405B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8" w:type="dxa"/>
            <w:noWrap w:val="0"/>
            <w:vAlign w:val="top"/>
          </w:tcPr>
          <w:p w14:paraId="453C3E82">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eastAsia" w:ascii="宋体" w:hAnsi="宋体" w:eastAsia="宋体" w:cs="宋体"/>
                <w:b w:val="0"/>
                <w:bCs w:val="0"/>
                <w:color w:val="000000"/>
                <w:kern w:val="0"/>
                <w:sz w:val="21"/>
                <w:szCs w:val="21"/>
                <w:vertAlign w:val="baseline"/>
                <w:lang w:val="en-US" w:eastAsia="zh-CN" w:bidi="ar"/>
              </w:rPr>
            </w:pPr>
            <w:r>
              <w:rPr>
                <w:rFonts w:hint="eastAsia" w:ascii="宋体" w:hAnsi="宋体" w:eastAsia="宋体" w:cs="宋体"/>
                <w:b w:val="0"/>
                <w:bCs w:val="0"/>
                <w:color w:val="000000"/>
                <w:kern w:val="0"/>
                <w:sz w:val="21"/>
                <w:szCs w:val="21"/>
                <w:vertAlign w:val="baseline"/>
                <w:lang w:val="en-US" w:eastAsia="zh-CN" w:bidi="ar"/>
              </w:rPr>
              <w:t>4</w:t>
            </w:r>
          </w:p>
        </w:tc>
        <w:tc>
          <w:tcPr>
            <w:tcW w:w="1653" w:type="dxa"/>
            <w:vMerge w:val="continue"/>
            <w:noWrap w:val="0"/>
            <w:vAlign w:val="center"/>
          </w:tcPr>
          <w:p w14:paraId="2968C8CF">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宋体" w:hAnsi="宋体" w:eastAsia="宋体" w:cs="宋体"/>
                <w:b w:val="0"/>
                <w:bCs w:val="0"/>
                <w:color w:val="000000"/>
                <w:kern w:val="0"/>
                <w:sz w:val="21"/>
                <w:szCs w:val="21"/>
                <w:vertAlign w:val="baseline"/>
                <w:lang w:val="en-US" w:eastAsia="zh-CN" w:bidi="ar"/>
              </w:rPr>
            </w:pPr>
          </w:p>
        </w:tc>
        <w:tc>
          <w:tcPr>
            <w:tcW w:w="6073" w:type="dxa"/>
            <w:noWrap w:val="0"/>
            <w:vAlign w:val="top"/>
          </w:tcPr>
          <w:p w14:paraId="6B0A1373">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both"/>
              <w:textAlignment w:val="auto"/>
              <w:rPr>
                <w:rFonts w:hint="eastAsia" w:ascii="宋体" w:hAnsi="宋体" w:eastAsia="宋体" w:cs="宋体"/>
                <w:b w:val="0"/>
                <w:bCs w:val="0"/>
                <w:color w:val="000000"/>
                <w:kern w:val="0"/>
                <w:sz w:val="21"/>
                <w:szCs w:val="21"/>
                <w:vertAlign w:val="baseline"/>
                <w:lang w:val="en-US" w:eastAsia="zh-CN" w:bidi="ar"/>
              </w:rPr>
            </w:pPr>
            <w:r>
              <w:rPr>
                <w:rFonts w:hint="eastAsia" w:ascii="宋体" w:hAnsi="宋体" w:eastAsia="宋体" w:cs="宋体"/>
                <w:b w:val="0"/>
                <w:bCs w:val="0"/>
                <w:color w:val="000000"/>
                <w:kern w:val="0"/>
                <w:sz w:val="21"/>
                <w:szCs w:val="21"/>
                <w:vertAlign w:val="baseline"/>
                <w:lang w:val="en-US" w:eastAsia="zh-CN" w:bidi="ar"/>
              </w:rPr>
              <w:t>Ⅰ类废旧充电电池中前沿电池的组分要求得合乎实际技术现状</w:t>
            </w:r>
          </w:p>
        </w:tc>
      </w:tr>
      <w:tr w14:paraId="29406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8" w:type="dxa"/>
            <w:noWrap w:val="0"/>
            <w:vAlign w:val="top"/>
          </w:tcPr>
          <w:p w14:paraId="468AAA2D">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eastAsia" w:ascii="宋体" w:hAnsi="宋体" w:eastAsia="宋体" w:cs="宋体"/>
                <w:b w:val="0"/>
                <w:bCs w:val="0"/>
                <w:color w:val="000000"/>
                <w:kern w:val="0"/>
                <w:sz w:val="21"/>
                <w:szCs w:val="21"/>
                <w:vertAlign w:val="baseline"/>
                <w:lang w:val="en-US" w:eastAsia="zh-CN" w:bidi="ar"/>
              </w:rPr>
            </w:pPr>
            <w:r>
              <w:rPr>
                <w:rFonts w:hint="eastAsia" w:ascii="宋体" w:hAnsi="宋体" w:eastAsia="宋体" w:cs="宋体"/>
                <w:b w:val="0"/>
                <w:bCs w:val="0"/>
                <w:color w:val="000000"/>
                <w:kern w:val="0"/>
                <w:sz w:val="21"/>
                <w:szCs w:val="21"/>
                <w:vertAlign w:val="baseline"/>
                <w:lang w:val="en-US" w:eastAsia="zh-CN" w:bidi="ar"/>
              </w:rPr>
              <w:t>5</w:t>
            </w:r>
          </w:p>
        </w:tc>
        <w:tc>
          <w:tcPr>
            <w:tcW w:w="1653" w:type="dxa"/>
            <w:vMerge w:val="continue"/>
            <w:noWrap w:val="0"/>
            <w:vAlign w:val="center"/>
          </w:tcPr>
          <w:p w14:paraId="6C17C71D">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宋体" w:hAnsi="宋体" w:eastAsia="宋体" w:cs="宋体"/>
                <w:b w:val="0"/>
                <w:bCs w:val="0"/>
                <w:color w:val="000000"/>
                <w:kern w:val="0"/>
                <w:sz w:val="21"/>
                <w:szCs w:val="21"/>
                <w:vertAlign w:val="baseline"/>
                <w:lang w:val="en-US" w:eastAsia="zh-CN" w:bidi="ar"/>
              </w:rPr>
            </w:pPr>
          </w:p>
        </w:tc>
        <w:tc>
          <w:tcPr>
            <w:tcW w:w="6073" w:type="dxa"/>
            <w:noWrap w:val="0"/>
            <w:vAlign w:val="top"/>
          </w:tcPr>
          <w:p w14:paraId="47F49372">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both"/>
              <w:textAlignment w:val="auto"/>
              <w:rPr>
                <w:rFonts w:hint="eastAsia" w:ascii="宋体" w:hAnsi="宋体" w:eastAsia="宋体" w:cs="宋体"/>
                <w:b w:val="0"/>
                <w:bCs w:val="0"/>
                <w:color w:val="000000"/>
                <w:kern w:val="0"/>
                <w:sz w:val="21"/>
                <w:szCs w:val="21"/>
                <w:vertAlign w:val="baseline"/>
                <w:lang w:val="en-US" w:eastAsia="zh-CN" w:bidi="ar"/>
              </w:rPr>
            </w:pPr>
            <w:r>
              <w:rPr>
                <w:rFonts w:hint="eastAsia" w:ascii="宋体" w:hAnsi="宋体" w:eastAsia="宋体" w:cs="宋体"/>
                <w:b w:val="0"/>
                <w:bCs w:val="0"/>
                <w:color w:val="000000"/>
                <w:kern w:val="0"/>
                <w:sz w:val="21"/>
                <w:szCs w:val="21"/>
                <w:vertAlign w:val="baseline"/>
                <w:lang w:val="en-US" w:eastAsia="zh-CN" w:bidi="ar"/>
              </w:rPr>
              <w:t>Ⅱ类充电电池废料中废极片料分级漏失</w:t>
            </w:r>
          </w:p>
        </w:tc>
      </w:tr>
      <w:tr w14:paraId="6CF6A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8" w:type="dxa"/>
            <w:noWrap w:val="0"/>
            <w:vAlign w:val="top"/>
          </w:tcPr>
          <w:p w14:paraId="2B18C170">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eastAsia" w:ascii="宋体" w:hAnsi="宋体" w:eastAsia="宋体" w:cs="宋体"/>
                <w:b w:val="0"/>
                <w:bCs w:val="0"/>
                <w:color w:val="000000"/>
                <w:kern w:val="0"/>
                <w:sz w:val="21"/>
                <w:szCs w:val="21"/>
                <w:vertAlign w:val="baseline"/>
                <w:lang w:val="en-US" w:eastAsia="zh-CN" w:bidi="ar"/>
              </w:rPr>
            </w:pPr>
            <w:r>
              <w:rPr>
                <w:rFonts w:hint="eastAsia" w:ascii="宋体" w:hAnsi="宋体" w:eastAsia="宋体" w:cs="宋体"/>
                <w:b w:val="0"/>
                <w:bCs w:val="0"/>
                <w:color w:val="000000"/>
                <w:kern w:val="0"/>
                <w:sz w:val="21"/>
                <w:szCs w:val="21"/>
                <w:vertAlign w:val="baseline"/>
                <w:lang w:val="en-US" w:eastAsia="zh-CN" w:bidi="ar"/>
              </w:rPr>
              <w:t>6</w:t>
            </w:r>
          </w:p>
        </w:tc>
        <w:tc>
          <w:tcPr>
            <w:tcW w:w="1653" w:type="dxa"/>
            <w:vMerge w:val="continue"/>
            <w:noWrap w:val="0"/>
            <w:vAlign w:val="center"/>
          </w:tcPr>
          <w:p w14:paraId="242CEE35">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宋体" w:hAnsi="宋体" w:eastAsia="宋体" w:cs="宋体"/>
                <w:b w:val="0"/>
                <w:bCs w:val="0"/>
                <w:color w:val="000000"/>
                <w:kern w:val="0"/>
                <w:sz w:val="21"/>
                <w:szCs w:val="21"/>
                <w:vertAlign w:val="baseline"/>
                <w:lang w:val="en-US" w:eastAsia="zh-CN" w:bidi="ar"/>
              </w:rPr>
            </w:pPr>
          </w:p>
        </w:tc>
        <w:tc>
          <w:tcPr>
            <w:tcW w:w="6073" w:type="dxa"/>
            <w:noWrap w:val="0"/>
            <w:vAlign w:val="top"/>
          </w:tcPr>
          <w:p w14:paraId="19724E36">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both"/>
              <w:textAlignment w:val="auto"/>
              <w:rPr>
                <w:rFonts w:hint="eastAsia" w:ascii="宋体" w:hAnsi="宋体" w:eastAsia="宋体" w:cs="宋体"/>
                <w:b w:val="0"/>
                <w:bCs w:val="0"/>
                <w:color w:val="000000"/>
                <w:kern w:val="0"/>
                <w:sz w:val="21"/>
                <w:szCs w:val="21"/>
                <w:vertAlign w:val="baseline"/>
                <w:lang w:val="en-US" w:eastAsia="zh-CN" w:bidi="ar"/>
              </w:rPr>
            </w:pPr>
            <w:r>
              <w:rPr>
                <w:rFonts w:hint="eastAsia" w:ascii="宋体" w:hAnsi="宋体" w:eastAsia="宋体" w:cs="宋体"/>
                <w:b w:val="0"/>
                <w:bCs w:val="0"/>
                <w:color w:val="000000"/>
                <w:kern w:val="0"/>
                <w:sz w:val="21"/>
                <w:szCs w:val="21"/>
                <w:vertAlign w:val="baseline"/>
                <w:lang w:val="en-US" w:eastAsia="zh-CN" w:bidi="ar"/>
              </w:rPr>
              <w:t>Ⅱ类充电电池废料中废外壳包括的内容缺少铜片</w:t>
            </w:r>
          </w:p>
        </w:tc>
      </w:tr>
      <w:tr w14:paraId="78BEB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8" w:type="dxa"/>
            <w:noWrap w:val="0"/>
            <w:vAlign w:val="top"/>
          </w:tcPr>
          <w:p w14:paraId="10D79CE8">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eastAsia" w:ascii="宋体" w:hAnsi="宋体" w:eastAsia="宋体" w:cs="宋体"/>
                <w:b w:val="0"/>
                <w:bCs w:val="0"/>
                <w:color w:val="000000"/>
                <w:kern w:val="0"/>
                <w:sz w:val="21"/>
                <w:szCs w:val="21"/>
                <w:vertAlign w:val="baseline"/>
                <w:lang w:val="en-US" w:eastAsia="zh-CN" w:bidi="ar"/>
              </w:rPr>
            </w:pPr>
            <w:r>
              <w:rPr>
                <w:rFonts w:hint="eastAsia" w:ascii="宋体" w:hAnsi="宋体" w:eastAsia="宋体" w:cs="宋体"/>
                <w:b w:val="0"/>
                <w:bCs w:val="0"/>
                <w:color w:val="000000"/>
                <w:kern w:val="0"/>
                <w:sz w:val="21"/>
                <w:szCs w:val="21"/>
                <w:vertAlign w:val="baseline"/>
                <w:lang w:val="en-US" w:eastAsia="zh-CN" w:bidi="ar"/>
              </w:rPr>
              <w:t>7</w:t>
            </w:r>
          </w:p>
        </w:tc>
        <w:tc>
          <w:tcPr>
            <w:tcW w:w="1653" w:type="dxa"/>
            <w:vMerge w:val="continue"/>
            <w:noWrap w:val="0"/>
            <w:vAlign w:val="center"/>
          </w:tcPr>
          <w:p w14:paraId="5ED0E9AF">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宋体" w:hAnsi="宋体" w:eastAsia="宋体" w:cs="宋体"/>
                <w:b w:val="0"/>
                <w:bCs w:val="0"/>
                <w:color w:val="000000"/>
                <w:kern w:val="0"/>
                <w:sz w:val="21"/>
                <w:szCs w:val="21"/>
                <w:vertAlign w:val="baseline"/>
                <w:lang w:val="en-US" w:eastAsia="zh-CN" w:bidi="ar"/>
              </w:rPr>
            </w:pPr>
          </w:p>
        </w:tc>
        <w:tc>
          <w:tcPr>
            <w:tcW w:w="6073" w:type="dxa"/>
            <w:noWrap w:val="0"/>
            <w:vAlign w:val="top"/>
          </w:tcPr>
          <w:p w14:paraId="62B7AFD0">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both"/>
              <w:textAlignment w:val="auto"/>
              <w:rPr>
                <w:rFonts w:hint="eastAsia" w:ascii="宋体" w:hAnsi="宋体" w:eastAsia="宋体" w:cs="宋体"/>
                <w:b w:val="0"/>
                <w:bCs w:val="0"/>
                <w:color w:val="000000"/>
                <w:kern w:val="0"/>
                <w:sz w:val="21"/>
                <w:szCs w:val="21"/>
                <w:vertAlign w:val="baseline"/>
                <w:lang w:val="en-US" w:eastAsia="zh-CN" w:bidi="ar"/>
              </w:rPr>
            </w:pPr>
            <w:r>
              <w:rPr>
                <w:rFonts w:hint="eastAsia" w:ascii="宋体" w:hAnsi="宋体" w:eastAsia="宋体" w:cs="宋体"/>
                <w:b w:val="0"/>
                <w:bCs w:val="0"/>
                <w:color w:val="000000"/>
                <w:kern w:val="0"/>
                <w:sz w:val="21"/>
                <w:szCs w:val="21"/>
                <w:vertAlign w:val="baseline"/>
                <w:lang w:val="en-US" w:eastAsia="zh-CN" w:bidi="ar"/>
              </w:rPr>
              <w:t>Ⅲ类充电电池废原材料需要根据Ⅰ类废旧充电电池的拆解物来罗列</w:t>
            </w:r>
          </w:p>
        </w:tc>
      </w:tr>
      <w:tr w14:paraId="5739B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8" w:type="dxa"/>
            <w:noWrap w:val="0"/>
            <w:vAlign w:val="center"/>
          </w:tcPr>
          <w:p w14:paraId="2D13BA30">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eastAsia" w:ascii="宋体" w:hAnsi="宋体" w:eastAsia="宋体" w:cs="宋体"/>
                <w:b w:val="0"/>
                <w:bCs w:val="0"/>
                <w:color w:val="000000"/>
                <w:kern w:val="0"/>
                <w:sz w:val="21"/>
                <w:szCs w:val="21"/>
                <w:vertAlign w:val="baseline"/>
                <w:lang w:val="en-US" w:eastAsia="zh-CN" w:bidi="ar"/>
              </w:rPr>
            </w:pPr>
            <w:r>
              <w:rPr>
                <w:rFonts w:hint="eastAsia" w:ascii="宋体" w:hAnsi="宋体" w:eastAsia="宋体" w:cs="宋体"/>
                <w:b w:val="0"/>
                <w:bCs w:val="0"/>
                <w:color w:val="000000"/>
                <w:kern w:val="0"/>
                <w:sz w:val="21"/>
                <w:szCs w:val="21"/>
                <w:vertAlign w:val="baseline"/>
                <w:lang w:val="en-US" w:eastAsia="zh-CN" w:bidi="ar"/>
              </w:rPr>
              <w:t>8</w:t>
            </w:r>
          </w:p>
        </w:tc>
        <w:tc>
          <w:tcPr>
            <w:tcW w:w="1653" w:type="dxa"/>
            <w:noWrap w:val="0"/>
            <w:vAlign w:val="center"/>
          </w:tcPr>
          <w:p w14:paraId="74ED9C6F">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eastAsia" w:ascii="宋体" w:hAnsi="宋体" w:eastAsia="宋体" w:cs="宋体"/>
                <w:b w:val="0"/>
                <w:bCs w:val="0"/>
                <w:color w:val="000000"/>
                <w:kern w:val="0"/>
                <w:sz w:val="21"/>
                <w:szCs w:val="21"/>
                <w:vertAlign w:val="baseline"/>
                <w:lang w:val="en-US" w:eastAsia="zh-CN" w:bidi="ar"/>
              </w:rPr>
            </w:pPr>
            <w:r>
              <w:rPr>
                <w:rFonts w:hint="eastAsia" w:ascii="宋体" w:hAnsi="宋体" w:eastAsia="宋体" w:cs="宋体"/>
                <w:b w:val="0"/>
                <w:bCs w:val="0"/>
                <w:color w:val="000000"/>
                <w:kern w:val="0"/>
                <w:sz w:val="21"/>
                <w:szCs w:val="21"/>
                <w:vertAlign w:val="baseline"/>
                <w:lang w:val="en-US" w:eastAsia="zh-CN" w:bidi="ar"/>
              </w:rPr>
              <w:t>5 技术要求</w:t>
            </w:r>
          </w:p>
        </w:tc>
        <w:tc>
          <w:tcPr>
            <w:tcW w:w="6073" w:type="dxa"/>
            <w:noWrap w:val="0"/>
            <w:vAlign w:val="top"/>
          </w:tcPr>
          <w:p w14:paraId="1BF78A08">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both"/>
              <w:textAlignment w:val="auto"/>
              <w:rPr>
                <w:rFonts w:hint="eastAsia" w:ascii="宋体" w:hAnsi="宋体" w:eastAsia="宋体" w:cs="宋体"/>
                <w:b w:val="0"/>
                <w:bCs w:val="0"/>
                <w:color w:val="000000"/>
                <w:kern w:val="0"/>
                <w:sz w:val="21"/>
                <w:szCs w:val="21"/>
                <w:vertAlign w:val="baseline"/>
                <w:lang w:val="en-US" w:eastAsia="zh-CN" w:bidi="ar"/>
              </w:rPr>
            </w:pPr>
            <w:r>
              <w:rPr>
                <w:rFonts w:hint="eastAsia" w:ascii="宋体" w:hAnsi="宋体" w:eastAsia="宋体" w:cs="宋体"/>
                <w:b w:val="0"/>
                <w:bCs w:val="0"/>
                <w:color w:val="000000"/>
                <w:kern w:val="0"/>
                <w:sz w:val="21"/>
                <w:szCs w:val="21"/>
                <w:vertAlign w:val="baseline"/>
                <w:lang w:val="en-US" w:eastAsia="zh-CN" w:bidi="ar"/>
              </w:rPr>
              <w:t>5.2、5.3中成分检测、混入杂质要求、表面脏污等内容过于简单</w:t>
            </w:r>
          </w:p>
        </w:tc>
      </w:tr>
      <w:tr w14:paraId="7A600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8" w:type="dxa"/>
            <w:noWrap w:val="0"/>
            <w:vAlign w:val="center"/>
          </w:tcPr>
          <w:p w14:paraId="32C3114C">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eastAsia" w:ascii="宋体" w:hAnsi="宋体" w:eastAsia="宋体" w:cs="宋体"/>
                <w:b w:val="0"/>
                <w:bCs w:val="0"/>
                <w:color w:val="000000"/>
                <w:kern w:val="0"/>
                <w:sz w:val="21"/>
                <w:szCs w:val="21"/>
                <w:vertAlign w:val="baseline"/>
                <w:lang w:val="en-US" w:eastAsia="zh-CN" w:bidi="ar"/>
              </w:rPr>
            </w:pPr>
            <w:r>
              <w:rPr>
                <w:rFonts w:hint="eastAsia" w:ascii="宋体" w:hAnsi="宋体" w:eastAsia="宋体" w:cs="宋体"/>
                <w:b w:val="0"/>
                <w:bCs w:val="0"/>
                <w:color w:val="000000"/>
                <w:kern w:val="0"/>
                <w:sz w:val="21"/>
                <w:szCs w:val="21"/>
                <w:vertAlign w:val="baseline"/>
                <w:lang w:val="en-US" w:eastAsia="zh-CN" w:bidi="ar"/>
              </w:rPr>
              <w:t>9</w:t>
            </w:r>
          </w:p>
        </w:tc>
        <w:tc>
          <w:tcPr>
            <w:tcW w:w="1653" w:type="dxa"/>
            <w:noWrap w:val="0"/>
            <w:vAlign w:val="center"/>
          </w:tcPr>
          <w:p w14:paraId="3AC868C5">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eastAsia" w:ascii="宋体" w:hAnsi="宋体" w:eastAsia="宋体" w:cs="宋体"/>
                <w:b w:val="0"/>
                <w:bCs w:val="0"/>
                <w:color w:val="000000"/>
                <w:kern w:val="0"/>
                <w:sz w:val="21"/>
                <w:szCs w:val="21"/>
                <w:vertAlign w:val="baseline"/>
                <w:lang w:val="en-US" w:eastAsia="zh-CN" w:bidi="ar"/>
              </w:rPr>
            </w:pPr>
            <w:r>
              <w:rPr>
                <w:rFonts w:hint="eastAsia" w:ascii="宋体" w:hAnsi="宋体" w:eastAsia="宋体" w:cs="宋体"/>
                <w:b w:val="0"/>
                <w:bCs w:val="0"/>
                <w:color w:val="000000"/>
                <w:kern w:val="0"/>
                <w:sz w:val="21"/>
                <w:szCs w:val="21"/>
                <w:vertAlign w:val="baseline"/>
                <w:lang w:val="en-US" w:eastAsia="zh-CN" w:bidi="ar"/>
              </w:rPr>
              <w:t>6 试验方法</w:t>
            </w:r>
          </w:p>
        </w:tc>
        <w:tc>
          <w:tcPr>
            <w:tcW w:w="6073" w:type="dxa"/>
            <w:noWrap w:val="0"/>
            <w:vAlign w:val="top"/>
          </w:tcPr>
          <w:p w14:paraId="1448AB02">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both"/>
              <w:textAlignment w:val="auto"/>
              <w:rPr>
                <w:rFonts w:hint="eastAsia" w:ascii="宋体" w:hAnsi="宋体" w:eastAsia="宋体" w:cs="宋体"/>
                <w:b w:val="0"/>
                <w:bCs w:val="0"/>
                <w:color w:val="000000"/>
                <w:kern w:val="0"/>
                <w:sz w:val="21"/>
                <w:szCs w:val="21"/>
                <w:vertAlign w:val="baseline"/>
                <w:lang w:val="en-US" w:eastAsia="zh-CN" w:bidi="ar"/>
              </w:rPr>
            </w:pPr>
            <w:r>
              <w:rPr>
                <w:rFonts w:hint="eastAsia" w:ascii="宋体" w:hAnsi="宋体" w:eastAsia="宋体" w:cs="宋体"/>
                <w:b w:val="0"/>
                <w:bCs w:val="0"/>
                <w:color w:val="000000"/>
                <w:kern w:val="0"/>
                <w:sz w:val="21"/>
                <w:szCs w:val="21"/>
                <w:vertAlign w:val="baseline"/>
                <w:lang w:val="en-US" w:eastAsia="zh-CN" w:bidi="ar"/>
              </w:rPr>
              <w:t>充电电池成分分析方法按照的标准只有铝合金和硬质合金以及镍的内容</w:t>
            </w:r>
          </w:p>
        </w:tc>
      </w:tr>
      <w:tr w14:paraId="12776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8" w:type="dxa"/>
            <w:noWrap w:val="0"/>
            <w:vAlign w:val="center"/>
          </w:tcPr>
          <w:p w14:paraId="3CFCF78C">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eastAsia" w:ascii="宋体" w:hAnsi="宋体" w:eastAsia="宋体" w:cs="宋体"/>
                <w:b w:val="0"/>
                <w:bCs w:val="0"/>
                <w:color w:val="000000"/>
                <w:kern w:val="0"/>
                <w:sz w:val="21"/>
                <w:szCs w:val="21"/>
                <w:vertAlign w:val="baseline"/>
                <w:lang w:val="en-US" w:eastAsia="zh-CN" w:bidi="ar"/>
              </w:rPr>
            </w:pPr>
            <w:r>
              <w:rPr>
                <w:rFonts w:hint="eastAsia" w:ascii="宋体" w:hAnsi="宋体" w:eastAsia="宋体" w:cs="宋体"/>
                <w:b w:val="0"/>
                <w:bCs w:val="0"/>
                <w:color w:val="000000"/>
                <w:kern w:val="0"/>
                <w:sz w:val="21"/>
                <w:szCs w:val="21"/>
                <w:vertAlign w:val="baseline"/>
                <w:lang w:val="en-US" w:eastAsia="zh-CN" w:bidi="ar"/>
              </w:rPr>
              <w:t>10</w:t>
            </w:r>
          </w:p>
        </w:tc>
        <w:tc>
          <w:tcPr>
            <w:tcW w:w="1653" w:type="dxa"/>
            <w:noWrap w:val="0"/>
            <w:vAlign w:val="center"/>
          </w:tcPr>
          <w:p w14:paraId="5D032F18">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eastAsia" w:ascii="宋体" w:hAnsi="宋体" w:eastAsia="宋体" w:cs="宋体"/>
                <w:b w:val="0"/>
                <w:bCs w:val="0"/>
                <w:color w:val="000000"/>
                <w:kern w:val="0"/>
                <w:sz w:val="21"/>
                <w:szCs w:val="21"/>
                <w:vertAlign w:val="baseline"/>
                <w:lang w:val="en-US" w:eastAsia="zh-CN" w:bidi="ar"/>
              </w:rPr>
            </w:pPr>
            <w:r>
              <w:rPr>
                <w:rFonts w:hint="eastAsia" w:ascii="宋体" w:hAnsi="宋体" w:eastAsia="宋体" w:cs="宋体"/>
                <w:b w:val="0"/>
                <w:bCs w:val="0"/>
                <w:color w:val="000000"/>
                <w:kern w:val="0"/>
                <w:sz w:val="21"/>
                <w:szCs w:val="21"/>
                <w:vertAlign w:val="baseline"/>
                <w:lang w:val="en-US" w:eastAsia="zh-CN" w:bidi="ar"/>
              </w:rPr>
              <w:t>7.2 组批</w:t>
            </w:r>
          </w:p>
        </w:tc>
        <w:tc>
          <w:tcPr>
            <w:tcW w:w="6073" w:type="dxa"/>
            <w:noWrap w:val="0"/>
            <w:vAlign w:val="top"/>
          </w:tcPr>
          <w:p w14:paraId="6E45CC07">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both"/>
              <w:textAlignment w:val="auto"/>
              <w:rPr>
                <w:rFonts w:hint="eastAsia" w:ascii="宋体" w:hAnsi="宋体" w:eastAsia="宋体" w:cs="宋体"/>
                <w:b w:val="0"/>
                <w:bCs w:val="0"/>
                <w:color w:val="000000"/>
                <w:kern w:val="0"/>
                <w:sz w:val="21"/>
                <w:szCs w:val="21"/>
                <w:vertAlign w:val="baseline"/>
                <w:lang w:val="en-US" w:eastAsia="zh-CN" w:bidi="ar"/>
              </w:rPr>
            </w:pPr>
            <w:r>
              <w:rPr>
                <w:rFonts w:hint="eastAsia" w:ascii="宋体" w:hAnsi="宋体" w:eastAsia="宋体" w:cs="宋体"/>
                <w:b w:val="0"/>
                <w:bCs w:val="0"/>
                <w:color w:val="000000"/>
                <w:kern w:val="0"/>
                <w:sz w:val="21"/>
                <w:szCs w:val="21"/>
                <w:vertAlign w:val="baseline"/>
                <w:lang w:val="en-US" w:eastAsia="zh-CN" w:bidi="ar"/>
              </w:rPr>
              <w:t>充电电池废料废件成批提交检测不合理</w:t>
            </w:r>
          </w:p>
        </w:tc>
      </w:tr>
      <w:tr w14:paraId="36658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8" w:type="dxa"/>
            <w:noWrap w:val="0"/>
            <w:vAlign w:val="center"/>
          </w:tcPr>
          <w:p w14:paraId="21835560">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eastAsia" w:ascii="宋体" w:hAnsi="宋体" w:eastAsia="宋体" w:cs="宋体"/>
                <w:b w:val="0"/>
                <w:bCs w:val="0"/>
                <w:color w:val="000000"/>
                <w:kern w:val="0"/>
                <w:sz w:val="21"/>
                <w:szCs w:val="21"/>
                <w:vertAlign w:val="baseline"/>
                <w:lang w:val="en-US" w:eastAsia="zh-CN" w:bidi="ar"/>
              </w:rPr>
            </w:pPr>
            <w:r>
              <w:rPr>
                <w:rFonts w:hint="eastAsia" w:ascii="宋体" w:hAnsi="宋体" w:eastAsia="宋体" w:cs="宋体"/>
                <w:b w:val="0"/>
                <w:bCs w:val="0"/>
                <w:color w:val="000000"/>
                <w:kern w:val="0"/>
                <w:sz w:val="21"/>
                <w:szCs w:val="21"/>
                <w:vertAlign w:val="baseline"/>
                <w:lang w:val="en-US" w:eastAsia="zh-CN" w:bidi="ar"/>
              </w:rPr>
              <w:t>11</w:t>
            </w:r>
          </w:p>
        </w:tc>
        <w:tc>
          <w:tcPr>
            <w:tcW w:w="1653" w:type="dxa"/>
            <w:noWrap w:val="0"/>
            <w:vAlign w:val="center"/>
          </w:tcPr>
          <w:p w14:paraId="118BF1FF">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eastAsia" w:ascii="宋体" w:hAnsi="宋体" w:eastAsia="宋体" w:cs="宋体"/>
                <w:b w:val="0"/>
                <w:bCs w:val="0"/>
                <w:color w:val="000000"/>
                <w:kern w:val="0"/>
                <w:sz w:val="21"/>
                <w:szCs w:val="21"/>
                <w:vertAlign w:val="baseline"/>
                <w:lang w:val="en-US" w:eastAsia="zh-CN" w:bidi="ar"/>
              </w:rPr>
            </w:pPr>
            <w:r>
              <w:rPr>
                <w:rFonts w:hint="eastAsia" w:ascii="宋体" w:hAnsi="宋体" w:eastAsia="宋体" w:cs="宋体"/>
                <w:b w:val="0"/>
                <w:bCs w:val="0"/>
                <w:color w:val="000000"/>
                <w:kern w:val="0"/>
                <w:sz w:val="21"/>
                <w:szCs w:val="21"/>
                <w:vertAlign w:val="baseline"/>
                <w:lang w:val="en-US" w:eastAsia="zh-CN" w:bidi="ar"/>
              </w:rPr>
              <w:t>8.4 随行文件</w:t>
            </w:r>
          </w:p>
        </w:tc>
        <w:tc>
          <w:tcPr>
            <w:tcW w:w="6073" w:type="dxa"/>
            <w:noWrap w:val="0"/>
            <w:vAlign w:val="top"/>
          </w:tcPr>
          <w:p w14:paraId="2A5EE127">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both"/>
              <w:textAlignment w:val="auto"/>
              <w:rPr>
                <w:rFonts w:hint="eastAsia" w:ascii="宋体" w:hAnsi="宋体" w:eastAsia="宋体" w:cs="宋体"/>
                <w:b w:val="0"/>
                <w:bCs w:val="0"/>
                <w:color w:val="000000"/>
                <w:kern w:val="0"/>
                <w:sz w:val="21"/>
                <w:szCs w:val="21"/>
                <w:vertAlign w:val="baseline"/>
                <w:lang w:val="en-US" w:eastAsia="zh-CN" w:bidi="ar"/>
              </w:rPr>
            </w:pPr>
            <w:r>
              <w:rPr>
                <w:rFonts w:hint="eastAsia" w:ascii="宋体" w:hAnsi="宋体" w:eastAsia="宋体" w:cs="宋体"/>
                <w:b w:val="0"/>
                <w:bCs w:val="0"/>
                <w:color w:val="000000"/>
                <w:kern w:val="0"/>
                <w:sz w:val="21"/>
                <w:szCs w:val="21"/>
                <w:vertAlign w:val="baseline"/>
                <w:lang w:val="en-US" w:eastAsia="zh-CN" w:bidi="ar"/>
              </w:rPr>
              <w:t>质量保证书斟酌是否需要添加，废料理论上不需要</w:t>
            </w:r>
          </w:p>
        </w:tc>
      </w:tr>
    </w:tbl>
    <w:p w14:paraId="57D153E1">
      <w:pPr>
        <w:ind w:firstLine="420" w:firstLineChars="200"/>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1.4.3.2第二次工作会议</w:t>
      </w:r>
    </w:p>
    <w:p w14:paraId="61F8EA09">
      <w:pPr>
        <w:pStyle w:val="5"/>
        <w:ind w:left="0" w:leftChars="0" w:firstLine="0" w:firstLineChars="0"/>
        <w:rPr>
          <w:rFonts w:hint="eastAsia" w:ascii="宋体" w:hAnsi="宋体" w:eastAsia="宋体" w:cs="宋体"/>
          <w:color w:val="auto"/>
          <w:kern w:val="0"/>
          <w:sz w:val="21"/>
          <w:szCs w:val="21"/>
          <w:lang w:val="en-US" w:eastAsia="zh-CN" w:bidi="ar-SA"/>
        </w:rPr>
      </w:pPr>
    </w:p>
    <w:p w14:paraId="19FE4EA7">
      <w:pPr>
        <w:pStyle w:val="5"/>
        <w:rPr>
          <w:rFonts w:hint="default" w:ascii="Times New Roman" w:hAnsi="Times New Roman" w:eastAsia="黑体" w:cs="Times New Roman"/>
          <w:color w:val="auto"/>
          <w:kern w:val="0"/>
          <w:sz w:val="21"/>
          <w:szCs w:val="21"/>
          <w:lang w:val="en-US" w:eastAsia="zh-CN" w:bidi="ar-SA"/>
        </w:rPr>
      </w:pPr>
      <w:r>
        <w:rPr>
          <w:rFonts w:hint="eastAsia" w:ascii="黑体" w:hAnsi="黑体" w:eastAsia="黑体" w:cs="黑体"/>
          <w:color w:val="auto"/>
          <w:kern w:val="0"/>
          <w:sz w:val="21"/>
          <w:szCs w:val="21"/>
          <w:lang w:val="en-US" w:eastAsia="zh-CN" w:bidi="ar-SA"/>
        </w:rPr>
        <w:t>1.4.4</w:t>
      </w:r>
      <w:r>
        <w:rPr>
          <w:rFonts w:hint="default" w:ascii="Times New Roman" w:hAnsi="Times New Roman" w:eastAsia="黑体" w:cs="Times New Roman"/>
          <w:color w:val="auto"/>
          <w:kern w:val="0"/>
          <w:sz w:val="21"/>
          <w:szCs w:val="21"/>
          <w:lang w:val="en-US" w:eastAsia="zh-CN" w:bidi="ar-SA"/>
        </w:rPr>
        <w:t>征求意见阶段</w:t>
      </w:r>
    </w:p>
    <w:p w14:paraId="15BA4D34">
      <w:pPr>
        <w:pStyle w:val="5"/>
        <w:ind w:left="0" w:leftChars="0" w:firstLine="0" w:firstLineChars="0"/>
        <w:rPr>
          <w:rFonts w:hint="eastAsia" w:ascii="宋体" w:hAnsi="宋体" w:eastAsia="宋体" w:cs="宋体"/>
          <w:color w:val="auto"/>
          <w:kern w:val="0"/>
          <w:sz w:val="21"/>
          <w:szCs w:val="21"/>
          <w:lang w:val="en-US" w:eastAsia="zh-CN" w:bidi="ar-SA"/>
        </w:rPr>
      </w:pPr>
    </w:p>
    <w:p w14:paraId="7A37DEB6">
      <w:pPr>
        <w:pStyle w:val="5"/>
        <w:rPr>
          <w:rFonts w:hint="default" w:ascii="Times New Roman" w:hAnsi="Times New Roman" w:eastAsia="黑体" w:cs="Times New Roman"/>
          <w:color w:val="auto"/>
          <w:kern w:val="0"/>
          <w:sz w:val="21"/>
          <w:szCs w:val="21"/>
          <w:lang w:val="en-US" w:eastAsia="zh-CN" w:bidi="ar-SA"/>
        </w:rPr>
      </w:pPr>
      <w:r>
        <w:rPr>
          <w:rFonts w:hint="default" w:ascii="Times New Roman" w:hAnsi="Times New Roman" w:eastAsia="黑体" w:cs="Times New Roman"/>
          <w:color w:val="auto"/>
          <w:kern w:val="0"/>
          <w:sz w:val="21"/>
          <w:szCs w:val="21"/>
          <w:lang w:val="en-US" w:eastAsia="zh-CN" w:bidi="ar-SA"/>
        </w:rPr>
        <w:t>1.4.5审查阶段</w:t>
      </w:r>
    </w:p>
    <w:p w14:paraId="7F4778C2">
      <w:pPr>
        <w:pStyle w:val="5"/>
        <w:ind w:left="0" w:leftChars="0" w:firstLine="0" w:firstLineChars="0"/>
        <w:rPr>
          <w:rFonts w:hint="eastAsia" w:ascii="宋体" w:hAnsi="宋体" w:eastAsia="宋体" w:cs="宋体"/>
          <w:color w:val="auto"/>
          <w:kern w:val="0"/>
          <w:sz w:val="21"/>
          <w:szCs w:val="21"/>
          <w:lang w:val="en-US" w:eastAsia="zh-CN" w:bidi="ar-SA"/>
        </w:rPr>
      </w:pPr>
    </w:p>
    <w:p w14:paraId="2CE06201">
      <w:pPr>
        <w:pStyle w:val="5"/>
        <w:rPr>
          <w:rFonts w:hint="default" w:ascii="Times New Roman" w:hAnsi="Times New Roman" w:eastAsia="黑体" w:cs="Times New Roman"/>
          <w:color w:val="auto"/>
          <w:kern w:val="0"/>
          <w:sz w:val="21"/>
          <w:szCs w:val="21"/>
          <w:lang w:val="en-US" w:eastAsia="zh-CN" w:bidi="ar-SA"/>
        </w:rPr>
      </w:pPr>
      <w:r>
        <w:rPr>
          <w:rFonts w:hint="default" w:ascii="Times New Roman" w:hAnsi="Times New Roman" w:eastAsia="黑体" w:cs="Times New Roman"/>
          <w:color w:val="auto"/>
          <w:kern w:val="0"/>
          <w:sz w:val="21"/>
          <w:szCs w:val="21"/>
          <w:lang w:val="en-US" w:eastAsia="zh-CN" w:bidi="ar-SA"/>
        </w:rPr>
        <w:t>1.4.6报批阶段</w:t>
      </w:r>
    </w:p>
    <w:p w14:paraId="50A93FBD">
      <w:pPr>
        <w:pStyle w:val="10"/>
        <w:keepNext w:val="0"/>
        <w:keepLines w:val="0"/>
        <w:pageBreakBefore w:val="0"/>
        <w:kinsoku/>
        <w:wordWrap/>
        <w:overflowPunct/>
        <w:topLinePunct w:val="0"/>
        <w:autoSpaceDE/>
        <w:autoSpaceDN/>
        <w:bidi w:val="0"/>
        <w:adjustRightInd/>
        <w:snapToGrid/>
        <w:spacing w:before="0" w:beforeAutospacing="0" w:after="0" w:afterAutospacing="0" w:line="440" w:lineRule="exact"/>
        <w:jc w:val="both"/>
        <w:textAlignment w:val="auto"/>
        <w:rPr>
          <w:rFonts w:hint="eastAsia" w:ascii="黑体" w:eastAsia="黑体" w:cs="Arial"/>
          <w:color w:val="auto"/>
          <w:sz w:val="21"/>
          <w:szCs w:val="21"/>
        </w:rPr>
      </w:pPr>
    </w:p>
    <w:p w14:paraId="76E2D1DB">
      <w:pPr>
        <w:pStyle w:val="10"/>
        <w:keepNext w:val="0"/>
        <w:keepLines w:val="0"/>
        <w:pageBreakBefore w:val="0"/>
        <w:kinsoku/>
        <w:wordWrap/>
        <w:overflowPunct/>
        <w:topLinePunct w:val="0"/>
        <w:autoSpaceDE/>
        <w:autoSpaceDN/>
        <w:bidi w:val="0"/>
        <w:adjustRightInd/>
        <w:snapToGrid/>
        <w:spacing w:before="0" w:beforeAutospacing="0" w:after="0" w:afterAutospacing="0" w:line="440" w:lineRule="exact"/>
        <w:jc w:val="both"/>
        <w:textAlignment w:val="auto"/>
        <w:rPr>
          <w:rFonts w:hint="default" w:ascii="黑体" w:eastAsia="黑体" w:cs="Arial"/>
          <w:color w:val="auto"/>
          <w:sz w:val="21"/>
          <w:szCs w:val="21"/>
          <w:lang w:val="en-US" w:eastAsia="zh-CN"/>
        </w:rPr>
      </w:pPr>
      <w:r>
        <w:rPr>
          <w:rFonts w:hint="eastAsia" w:ascii="黑体" w:eastAsia="黑体" w:cs="Arial"/>
          <w:color w:val="auto"/>
          <w:sz w:val="21"/>
          <w:szCs w:val="21"/>
        </w:rPr>
        <w:t>二、编制原则</w:t>
      </w:r>
      <w:r>
        <w:rPr>
          <w:rFonts w:hint="eastAsia" w:ascii="黑体" w:eastAsia="黑体" w:cs="Arial"/>
          <w:color w:val="auto"/>
          <w:sz w:val="21"/>
          <w:szCs w:val="21"/>
          <w:lang w:eastAsia="zh-CN"/>
        </w:rPr>
        <w:t>、</w:t>
      </w:r>
      <w:r>
        <w:rPr>
          <w:rFonts w:hint="eastAsia" w:ascii="黑体" w:eastAsia="黑体" w:cs="Arial"/>
          <w:color w:val="auto"/>
          <w:sz w:val="21"/>
          <w:szCs w:val="21"/>
          <w:lang w:val="en-US" w:eastAsia="zh-CN"/>
        </w:rPr>
        <w:t>主要内容及其确定依据、修订前后技术内容的对比</w:t>
      </w:r>
    </w:p>
    <w:p w14:paraId="677447D3">
      <w:pPr>
        <w:pStyle w:val="10"/>
        <w:keepNext w:val="0"/>
        <w:keepLines w:val="0"/>
        <w:pageBreakBefore w:val="0"/>
        <w:kinsoku/>
        <w:wordWrap/>
        <w:overflowPunct/>
        <w:topLinePunct w:val="0"/>
        <w:autoSpaceDE/>
        <w:autoSpaceDN/>
        <w:bidi w:val="0"/>
        <w:adjustRightInd/>
        <w:snapToGrid/>
        <w:spacing w:before="0" w:beforeAutospacing="0" w:after="0" w:afterAutospacing="0" w:line="440" w:lineRule="exact"/>
        <w:jc w:val="both"/>
        <w:textAlignment w:val="auto"/>
        <w:rPr>
          <w:rFonts w:hint="eastAsia" w:ascii="黑体" w:eastAsia="黑体" w:cs="Arial"/>
          <w:color w:val="auto"/>
          <w:sz w:val="21"/>
          <w:szCs w:val="21"/>
          <w:lang w:val="en-US" w:eastAsia="zh-CN"/>
        </w:rPr>
      </w:pPr>
      <w:bookmarkStart w:id="1" w:name="OLE_LINK7"/>
      <w:r>
        <w:rPr>
          <w:rFonts w:hint="eastAsia" w:ascii="黑体" w:eastAsia="黑体" w:cs="Arial"/>
          <w:color w:val="auto"/>
          <w:sz w:val="21"/>
          <w:szCs w:val="21"/>
          <w:lang w:val="en-US" w:eastAsia="zh-CN"/>
        </w:rPr>
        <w:t>1、编制原则</w:t>
      </w:r>
    </w:p>
    <w:p w14:paraId="6B3CCA3C">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color w:val="auto"/>
          <w:sz w:val="21"/>
          <w:szCs w:val="21"/>
          <w:lang w:val="en-US" w:eastAsia="zh-CN"/>
        </w:rPr>
      </w:pPr>
      <w:r>
        <w:rPr>
          <w:rFonts w:hint="eastAsia"/>
          <w:color w:val="auto"/>
          <w:sz w:val="21"/>
          <w:szCs w:val="21"/>
          <w:lang w:val="en-US" w:eastAsia="zh-CN"/>
        </w:rPr>
        <w:t>本标准按照</w:t>
      </w:r>
      <w:r>
        <w:rPr>
          <w:rFonts w:hint="default" w:ascii="Times New Roman" w:hAnsi="Times New Roman" w:cs="Times New Roman"/>
          <w:color w:val="auto"/>
          <w:sz w:val="21"/>
          <w:szCs w:val="21"/>
          <w:lang w:val="en-US" w:eastAsia="zh-CN"/>
        </w:rPr>
        <w:t xml:space="preserve"> GB/T 1.1-2020《</w:t>
      </w:r>
      <w:r>
        <w:rPr>
          <w:rFonts w:hint="eastAsia"/>
          <w:color w:val="auto"/>
          <w:sz w:val="21"/>
          <w:szCs w:val="21"/>
          <w:lang w:val="en-US" w:eastAsia="zh-CN"/>
        </w:rPr>
        <w:t>标准化工作导则 第</w:t>
      </w:r>
      <w:r>
        <w:rPr>
          <w:rFonts w:hint="default" w:ascii="Times New Roman" w:hAnsi="Times New Roman" w:cs="Times New Roman"/>
          <w:color w:val="auto"/>
          <w:sz w:val="21"/>
          <w:szCs w:val="21"/>
          <w:lang w:val="en-US" w:eastAsia="zh-CN"/>
        </w:rPr>
        <w:t>1</w:t>
      </w:r>
      <w:r>
        <w:rPr>
          <w:rFonts w:hint="eastAsia"/>
          <w:color w:val="auto"/>
          <w:sz w:val="21"/>
          <w:szCs w:val="21"/>
          <w:lang w:val="en-US" w:eastAsia="zh-CN"/>
        </w:rPr>
        <w:t>部分：标准化文件的结构和起草规则》的规定编写，坚持以下原则。</w:t>
      </w:r>
    </w:p>
    <w:p w14:paraId="559091BB">
      <w:pPr>
        <w:pStyle w:val="5"/>
        <w:rPr>
          <w:rFonts w:hint="default"/>
          <w:b/>
          <w:bCs/>
          <w:lang w:val="en-US" w:eastAsia="zh-CN"/>
        </w:rPr>
      </w:pPr>
      <w:r>
        <w:rPr>
          <w:rFonts w:hint="default"/>
          <w:b/>
          <w:bCs/>
          <w:lang w:val="en-US" w:eastAsia="zh-CN"/>
        </w:rPr>
        <w:t>（一）政策衔接，依法依规</w:t>
      </w:r>
    </w:p>
    <w:p w14:paraId="2212A188">
      <w:pPr>
        <w:pStyle w:val="5"/>
        <w:rPr>
          <w:rFonts w:hint="default"/>
          <w:lang w:val="en-US" w:eastAsia="zh-CN"/>
        </w:rPr>
      </w:pPr>
      <w:r>
        <w:rPr>
          <w:rFonts w:hint="default"/>
          <w:lang w:val="en-US" w:eastAsia="zh-CN"/>
        </w:rPr>
        <w:t>严格对接《中华人民共和国固体废物污染环境防治法》《中华人民共和国循环经济促进法》《新能源汽车动力蓄电池回收利用管理暂行办法》等法律法规，以及碳达峰碳中和、循环经济发展相关产业政策，将全生命周期管理、生产者责任延伸、污染防控、溯源管理等监管要求转化为可落地的技术条款，为行业监管与政策落地提供标准化支撑。</w:t>
      </w:r>
    </w:p>
    <w:p w14:paraId="246D03AA">
      <w:pPr>
        <w:pStyle w:val="5"/>
        <w:rPr>
          <w:rFonts w:hint="default"/>
          <w:b/>
          <w:bCs/>
          <w:lang w:val="en-US" w:eastAsia="zh-CN"/>
        </w:rPr>
      </w:pPr>
      <w:r>
        <w:rPr>
          <w:rFonts w:hint="default"/>
          <w:b/>
          <w:bCs/>
          <w:lang w:val="en-US" w:eastAsia="zh-CN"/>
        </w:rPr>
        <w:t>（二）立足产业，科学适用</w:t>
      </w:r>
    </w:p>
    <w:p w14:paraId="511DDDB7">
      <w:pPr>
        <w:pStyle w:val="5"/>
        <w:rPr>
          <w:rFonts w:hint="default"/>
          <w:lang w:val="en-US" w:eastAsia="zh-CN"/>
        </w:rPr>
      </w:pPr>
      <w:r>
        <w:rPr>
          <w:rFonts w:hint="default"/>
          <w:lang w:val="en-US" w:eastAsia="zh-CN"/>
        </w:rPr>
        <w:t>以我国充电电池废料废件的产生规模、品类结构、回收利用技术水平的实际现状为基础，聚焦锂离子动力电池、储能电池等主流品类的核心需求，兼顾传统铅酸、镍氢电池品类，分类分级指标充分匹配回收、贸易、加工利用全链条的实操场景，确保标准科学合理、可落地、易执行。</w:t>
      </w:r>
    </w:p>
    <w:p w14:paraId="52DF1530">
      <w:pPr>
        <w:pStyle w:val="5"/>
        <w:rPr>
          <w:rFonts w:hint="default"/>
          <w:b/>
          <w:bCs/>
          <w:lang w:val="en-US" w:eastAsia="zh-CN"/>
        </w:rPr>
      </w:pPr>
      <w:r>
        <w:rPr>
          <w:rFonts w:hint="default"/>
          <w:b/>
          <w:bCs/>
          <w:lang w:val="en-US" w:eastAsia="zh-CN"/>
        </w:rPr>
        <w:t>（三）系统协调，体系协同</w:t>
      </w:r>
    </w:p>
    <w:p w14:paraId="4F15BC9E">
      <w:pPr>
        <w:pStyle w:val="5"/>
        <w:rPr>
          <w:rFonts w:hint="default"/>
          <w:lang w:val="en-US" w:eastAsia="zh-CN"/>
        </w:rPr>
      </w:pPr>
      <w:r>
        <w:rPr>
          <w:rFonts w:hint="default"/>
          <w:lang w:val="en-US" w:eastAsia="zh-CN"/>
        </w:rPr>
        <w:t>充分衔接我国废旧电池回收利用标准体系，与</w:t>
      </w:r>
      <w:r>
        <w:rPr>
          <w:rFonts w:hint="default" w:ascii="Times New Roman" w:hAnsi="Times New Roman" w:cs="Times New Roman"/>
          <w:lang w:val="en-US" w:eastAsia="zh-CN"/>
        </w:rPr>
        <w:t>GB/T 33598</w:t>
      </w:r>
      <w:r>
        <w:rPr>
          <w:rFonts w:hint="default"/>
          <w:lang w:val="en-US" w:eastAsia="zh-CN"/>
        </w:rPr>
        <w:t>《车用动力电池回收利用》系列标准、</w:t>
      </w:r>
      <w:r>
        <w:rPr>
          <w:rFonts w:hint="default" w:ascii="Times New Roman" w:hAnsi="Times New Roman" w:cs="Times New Roman"/>
          <w:lang w:val="en-US" w:eastAsia="zh-CN"/>
        </w:rPr>
        <w:t>GB/T 39224</w:t>
      </w:r>
      <w:r>
        <w:rPr>
          <w:rFonts w:hint="default"/>
          <w:lang w:val="en-US" w:eastAsia="zh-CN"/>
        </w:rPr>
        <w:t>《废旧电池回收技术规范》、</w:t>
      </w:r>
      <w:r>
        <w:rPr>
          <w:rFonts w:hint="default" w:ascii="Times New Roman" w:hAnsi="Times New Roman" w:cs="Times New Roman"/>
          <w:lang w:val="en-US" w:eastAsia="zh-CN"/>
        </w:rPr>
        <w:t>GB 34330</w:t>
      </w:r>
      <w:r>
        <w:rPr>
          <w:rFonts w:hint="default"/>
          <w:lang w:val="en-US" w:eastAsia="zh-CN"/>
        </w:rPr>
        <w:t>《固体废物鉴别标准 通则》等上下游标准，在术语定义、分类口径、检测方法、判定规则等方面保持统一，避免标准交叉矛盾，提升标准体系整体效能。</w:t>
      </w:r>
    </w:p>
    <w:p w14:paraId="56C9E7D5">
      <w:pPr>
        <w:pStyle w:val="5"/>
        <w:rPr>
          <w:rFonts w:hint="default"/>
          <w:b/>
          <w:bCs/>
          <w:lang w:val="en-US" w:eastAsia="zh-CN"/>
        </w:rPr>
      </w:pPr>
      <w:r>
        <w:rPr>
          <w:rFonts w:hint="default"/>
          <w:b/>
          <w:bCs/>
          <w:lang w:val="en-US" w:eastAsia="zh-CN"/>
        </w:rPr>
        <w:t>（四）安全优先，绿色低碳</w:t>
      </w:r>
    </w:p>
    <w:p w14:paraId="3A021F49">
      <w:pPr>
        <w:pStyle w:val="5"/>
        <w:rPr>
          <w:rFonts w:hint="default"/>
          <w:lang w:val="en-US" w:eastAsia="zh-CN"/>
        </w:rPr>
      </w:pPr>
      <w:r>
        <w:rPr>
          <w:rFonts w:hint="default"/>
          <w:lang w:val="en-US" w:eastAsia="zh-CN"/>
        </w:rPr>
        <w:t>将安全与环保要求贯穿标准全条款，针对锂离子电池等新型废料的热失控、电解液腐蚀等安全风险，设置专项安全指标与管控要求；明确有害物质限量与污染防控要求，防范环境风险；通过规范分类分级提升资源回收效率，降低电池全生命周期碳排放，支撑绿色低碳循环发展。</w:t>
      </w:r>
    </w:p>
    <w:p w14:paraId="58203A8E">
      <w:pPr>
        <w:pStyle w:val="5"/>
        <w:rPr>
          <w:rFonts w:hint="default"/>
          <w:b/>
          <w:bCs/>
          <w:lang w:val="en-US" w:eastAsia="zh-CN"/>
        </w:rPr>
      </w:pPr>
      <w:r>
        <w:rPr>
          <w:rFonts w:hint="default"/>
          <w:b/>
          <w:bCs/>
          <w:lang w:val="en-US" w:eastAsia="zh-CN"/>
        </w:rPr>
        <w:t>（五）适度前瞻，兼容创新</w:t>
      </w:r>
    </w:p>
    <w:p w14:paraId="1C31A102">
      <w:pPr>
        <w:pStyle w:val="5"/>
        <w:rPr>
          <w:rFonts w:hint="default"/>
          <w:lang w:val="en-US" w:eastAsia="zh-CN"/>
        </w:rPr>
      </w:pPr>
      <w:r>
        <w:rPr>
          <w:rFonts w:hint="default"/>
          <w:lang w:val="en-US" w:eastAsia="zh-CN"/>
        </w:rPr>
        <w:t>在立足当前产业实际的基础上，兼顾钠离子电池、半固态电池等新型储能电池的技术发展趋势，为未来新型电池废料的管理预留兼容空间，保障标准的时效性与适用性，支撑产业技术创新与升级。</w:t>
      </w:r>
    </w:p>
    <w:bookmarkEnd w:id="1"/>
    <w:p w14:paraId="4CBA8220">
      <w:pPr>
        <w:pStyle w:val="10"/>
        <w:keepNext w:val="0"/>
        <w:keepLines w:val="0"/>
        <w:pageBreakBefore w:val="0"/>
        <w:numPr>
          <w:ilvl w:val="0"/>
          <w:numId w:val="2"/>
        </w:numPr>
        <w:kinsoku/>
        <w:wordWrap/>
        <w:overflowPunct/>
        <w:topLinePunct w:val="0"/>
        <w:autoSpaceDE/>
        <w:autoSpaceDN/>
        <w:bidi w:val="0"/>
        <w:adjustRightInd/>
        <w:snapToGrid/>
        <w:spacing w:before="0" w:beforeAutospacing="0" w:after="0" w:afterAutospacing="0" w:line="440" w:lineRule="exact"/>
        <w:jc w:val="both"/>
        <w:textAlignment w:val="auto"/>
        <w:rPr>
          <w:rFonts w:hint="eastAsia" w:ascii="黑体" w:eastAsia="黑体" w:cs="Arial"/>
          <w:color w:val="auto"/>
          <w:sz w:val="21"/>
          <w:szCs w:val="21"/>
          <w:lang w:val="en-US" w:eastAsia="zh-CN"/>
        </w:rPr>
      </w:pPr>
      <w:r>
        <w:rPr>
          <w:rFonts w:hint="eastAsia" w:ascii="黑体" w:eastAsia="黑体" w:cs="Arial"/>
          <w:color w:val="auto"/>
          <w:sz w:val="21"/>
          <w:szCs w:val="21"/>
        </w:rPr>
        <w:t>标准主要技术内容</w:t>
      </w:r>
      <w:r>
        <w:rPr>
          <w:rFonts w:hint="eastAsia" w:ascii="黑体" w:eastAsia="黑体" w:cs="Arial"/>
          <w:color w:val="auto"/>
          <w:sz w:val="21"/>
          <w:szCs w:val="21"/>
          <w:lang w:val="en-US" w:eastAsia="zh-CN"/>
        </w:rPr>
        <w:t>的确定依据</w:t>
      </w:r>
    </w:p>
    <w:p w14:paraId="53A09BB4">
      <w:pPr>
        <w:pStyle w:val="5"/>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范围：本文件规定了充电电池废料废件的分类、技术要求、试验方法、检验规则、包装、标志、运输和贮存及随行文件和订货单内容等。本文件适用于各生产工序、使用过程及流通领域产生的充电电池废料废件。本文件适用于各生产工序、使用过程及流通领域产生的充电电池废料废件。</w:t>
      </w:r>
    </w:p>
    <w:p w14:paraId="5EE9F848">
      <w:pPr>
        <w:pStyle w:val="5"/>
        <w:keepNext w:val="0"/>
        <w:keepLines w:val="0"/>
        <w:pageBreakBefore w:val="0"/>
        <w:widowControl w:val="0"/>
        <w:numPr>
          <w:ilvl w:val="0"/>
          <w:numId w:val="3"/>
        </w:numPr>
        <w:kinsoku/>
        <w:wordWrap/>
        <w:overflowPunct/>
        <w:topLinePunct w:val="0"/>
        <w:autoSpaceDE/>
        <w:autoSpaceDN/>
        <w:bidi w:val="0"/>
        <w:adjustRightInd/>
        <w:snapToGrid/>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术语与定义，按照现阶段充电电池技术发展现状和可预见的新型电池产品技术，增加了充电电池的定义范围。</w:t>
      </w:r>
    </w:p>
    <w:p w14:paraId="79A9B1CD">
      <w:pPr>
        <w:pStyle w:val="5"/>
        <w:keepNext w:val="0"/>
        <w:keepLines w:val="0"/>
        <w:pageBreakBefore w:val="0"/>
        <w:widowControl w:val="0"/>
        <w:numPr>
          <w:ilvl w:val="0"/>
          <w:numId w:val="3"/>
        </w:numPr>
        <w:kinsoku/>
        <w:wordWrap/>
        <w:overflowPunct/>
        <w:topLinePunct w:val="0"/>
        <w:autoSpaceDE/>
        <w:autoSpaceDN/>
        <w:bidi w:val="0"/>
        <w:adjustRightInd/>
        <w:snapToGrid/>
        <w:ind w:firstLine="420" w:firstLineChars="200"/>
        <w:textAlignment w:val="auto"/>
        <w:rPr>
          <w:rFonts w:hint="default" w:ascii="宋体" w:hAnsi="宋体" w:eastAsia="宋体" w:cs="宋体"/>
          <w:color w:val="auto"/>
          <w:sz w:val="21"/>
          <w:szCs w:val="21"/>
          <w:lang w:val="en-US" w:eastAsia="zh-CN"/>
        </w:rPr>
      </w:pPr>
      <w:r>
        <w:rPr>
          <w:rFonts w:hint="eastAsia" w:ascii="宋体" w:hAnsi="宋体" w:cs="宋体"/>
          <w:color w:val="auto"/>
          <w:sz w:val="21"/>
          <w:szCs w:val="21"/>
          <w:lang w:val="en-US" w:eastAsia="zh-CN"/>
        </w:rPr>
        <w:t>电池体系分类：衔接 GB/T 39224-2020《废旧电池回收技术规范》、GB/T 44132-2024《车用动力电池回收利用 通用要求》中的品类划分口径，与汽车、有色行业现有标准术语保持统一；新增钠离子电池品类，契合我国新型储能电池产业化发展趋势，体现标准前瞻性。</w:t>
      </w:r>
    </w:p>
    <w:p w14:paraId="33FC3516">
      <w:pPr>
        <w:pStyle w:val="5"/>
        <w:keepNext w:val="0"/>
        <w:keepLines w:val="0"/>
        <w:pageBreakBefore w:val="0"/>
        <w:widowControl w:val="0"/>
        <w:numPr>
          <w:ilvl w:val="0"/>
          <w:numId w:val="3"/>
        </w:numPr>
        <w:kinsoku/>
        <w:wordWrap/>
        <w:overflowPunct/>
        <w:topLinePunct w:val="0"/>
        <w:autoSpaceDE/>
        <w:autoSpaceDN/>
        <w:bidi w:val="0"/>
        <w:adjustRightInd/>
        <w:snapToGrid/>
        <w:ind w:firstLine="420" w:firstLineChars="200"/>
        <w:textAlignment w:val="auto"/>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产生来源分类（生产废料 / 退役废件）：参考 GB/T 45203-2024《锂离子电池用再生黑粉》、T/ATCRR 33-2021《废锂离子电池回收制黑粉》的原料来源划分方式，匹配回收行业“工厂料/退役料”的通用贸易分类惯例。</w:t>
      </w:r>
    </w:p>
    <w:p w14:paraId="08F51219">
      <w:pPr>
        <w:pStyle w:val="5"/>
        <w:keepNext w:val="0"/>
        <w:keepLines w:val="0"/>
        <w:pageBreakBefore w:val="0"/>
        <w:widowControl w:val="0"/>
        <w:numPr>
          <w:ilvl w:val="0"/>
          <w:numId w:val="3"/>
        </w:numPr>
        <w:kinsoku/>
        <w:wordWrap/>
        <w:overflowPunct/>
        <w:topLinePunct w:val="0"/>
        <w:autoSpaceDE/>
        <w:autoSpaceDN/>
        <w:bidi w:val="0"/>
        <w:adjustRightInd/>
        <w:snapToGrid/>
        <w:ind w:firstLine="420" w:firstLineChars="200"/>
        <w:textAlignment w:val="auto"/>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物理形态分类：基于国内主流拆解、再生工艺的进料形态差异制定，与破碎分选、湿法冶金等主流工艺的原料预处理要求完全匹配，符合行业加工与贸易的实操逻辑。</w:t>
      </w:r>
    </w:p>
    <w:p w14:paraId="75982D38">
      <w:pPr>
        <w:pStyle w:val="5"/>
        <w:keepNext w:val="0"/>
        <w:keepLines w:val="0"/>
        <w:pageBreakBefore w:val="0"/>
        <w:widowControl w:val="0"/>
        <w:numPr>
          <w:ilvl w:val="0"/>
          <w:numId w:val="3"/>
        </w:numPr>
        <w:kinsoku/>
        <w:wordWrap/>
        <w:overflowPunct/>
        <w:topLinePunct w:val="0"/>
        <w:autoSpaceDE/>
        <w:autoSpaceDN/>
        <w:bidi w:val="0"/>
        <w:adjustRightInd/>
        <w:snapToGrid/>
        <w:ind w:firstLine="420" w:firstLineChars="200"/>
        <w:textAlignment w:val="auto"/>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锂离子电池正极废料分级指标</w:t>
      </w:r>
      <w:r>
        <w:rPr>
          <w:rFonts w:hint="eastAsia" w:ascii="宋体" w:hAnsi="宋体" w:cs="宋体"/>
          <w:color w:val="auto"/>
          <w:sz w:val="21"/>
          <w:szCs w:val="21"/>
          <w:lang w:val="en-US" w:eastAsia="zh-CN"/>
        </w:rPr>
        <w:t xml:space="preserve">：分级框架依据 GB/T 45203-2024《锂离子电池用再生黑粉》的分级技术体系，结合上游废料产出品位与下游再生工艺的经济处理阈值，确定三级分级区间；指标阈值参考国内头部再生企业（邦普循环、格林美、华友循环等）的生产实测数据与原料采购分级标准，以及 T/CPCIF 0169-2021《锂电池废料回收产物 电极材料粉》等团体标准的行业实践；品级划分匹配主流湿法冶金工艺的经济效益节点：Ⅰ级对应高镍三元/钴酸锂等高价值原料，Ⅱ级对应普通三元体系，Ⅲ 级对应磷酸铁锂等低锂含量体系，符合产业实际定价与加工规律。 </w:t>
      </w:r>
    </w:p>
    <w:p w14:paraId="6BC8937B">
      <w:pPr>
        <w:pStyle w:val="5"/>
        <w:keepNext w:val="0"/>
        <w:keepLines w:val="0"/>
        <w:pageBreakBefore w:val="0"/>
        <w:widowControl w:val="0"/>
        <w:numPr>
          <w:ilvl w:val="0"/>
          <w:numId w:val="3"/>
        </w:numPr>
        <w:kinsoku/>
        <w:wordWrap/>
        <w:overflowPunct/>
        <w:topLinePunct w:val="0"/>
        <w:autoSpaceDE/>
        <w:autoSpaceDN/>
        <w:bidi w:val="0"/>
        <w:adjustRightInd/>
        <w:snapToGrid/>
        <w:ind w:firstLine="420" w:firstLineChars="200"/>
        <w:textAlignment w:val="auto"/>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通用要求（品类区分、杂质占比、外观要求）</w:t>
      </w:r>
      <w:r>
        <w:rPr>
          <w:rFonts w:hint="eastAsia" w:ascii="宋体" w:hAnsi="宋体" w:cs="宋体"/>
          <w:color w:val="auto"/>
          <w:sz w:val="21"/>
          <w:szCs w:val="21"/>
          <w:lang w:val="en-US" w:eastAsia="zh-CN"/>
        </w:rPr>
        <w:t>：外来杂质总质量占比≤1%：参考有色金属废料贸易的通用杂质管控要求，衔接 GB/T 45203-2024 中异物杂质的限量规定，同时匹配再生工艺的预处理负荷能力；禁止混装混放要求：依据《中华人民共和国固体废物污染环境防治法》中分类收集、分类贮存的法定要求，同时契合不同电池体系再生工艺路线差异大、混料会大幅降低资源回收率的产业特性。</w:t>
      </w:r>
    </w:p>
    <w:p w14:paraId="27B49C75">
      <w:pPr>
        <w:pStyle w:val="5"/>
        <w:keepNext w:val="0"/>
        <w:keepLines w:val="0"/>
        <w:pageBreakBefore w:val="0"/>
        <w:widowControl w:val="0"/>
        <w:numPr>
          <w:ilvl w:val="0"/>
          <w:numId w:val="3"/>
        </w:numPr>
        <w:kinsoku/>
        <w:wordWrap/>
        <w:overflowPunct/>
        <w:topLinePunct w:val="0"/>
        <w:autoSpaceDE/>
        <w:autoSpaceDN/>
        <w:bidi w:val="0"/>
        <w:adjustRightInd/>
        <w:snapToGrid/>
        <w:ind w:firstLine="420" w:firstLineChars="200"/>
        <w:textAlignment w:val="auto"/>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有害杂质限量</w:t>
      </w:r>
      <w:r>
        <w:rPr>
          <w:rFonts w:hint="eastAsia" w:ascii="宋体" w:hAnsi="宋体" w:cs="宋体"/>
          <w:color w:val="auto"/>
          <w:sz w:val="21"/>
          <w:szCs w:val="21"/>
          <w:lang w:val="en-US" w:eastAsia="zh-CN"/>
        </w:rPr>
        <w:t>：核心依据 GB 5085.3-2007《危险废物鉴别标准 浸出毒性鉴别》、GB 5085.6-2007《危险废物鉴别标准 毒性物质含量鉴别》中的毒性物质限值；氟、氯等工艺杂质限值，匹配 GB 30484-2013《电池工业污染物排放标准》的末端排放管控要求，同时参考下游再生企业的工艺耐受阈值，避免过高杂质导致环保处理成本失控。</w:t>
      </w:r>
    </w:p>
    <w:p w14:paraId="67AF3799">
      <w:pPr>
        <w:pStyle w:val="5"/>
        <w:keepNext w:val="0"/>
        <w:keepLines w:val="0"/>
        <w:pageBreakBefore w:val="0"/>
        <w:widowControl w:val="0"/>
        <w:numPr>
          <w:ilvl w:val="0"/>
          <w:numId w:val="3"/>
        </w:numPr>
        <w:kinsoku/>
        <w:wordWrap/>
        <w:overflowPunct/>
        <w:topLinePunct w:val="0"/>
        <w:autoSpaceDE/>
        <w:autoSpaceDN/>
        <w:bidi w:val="0"/>
        <w:adjustRightInd/>
        <w:snapToGrid/>
        <w:ind w:firstLine="420" w:firstLineChars="200"/>
        <w:textAlignment w:val="auto"/>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外观与杂质检验</w:t>
      </w:r>
      <w:r>
        <w:rPr>
          <w:rFonts w:hint="eastAsia" w:ascii="宋体" w:hAnsi="宋体" w:cs="宋体"/>
          <w:color w:val="auto"/>
          <w:sz w:val="21"/>
          <w:szCs w:val="21"/>
          <w:lang w:val="en-US" w:eastAsia="zh-CN"/>
        </w:rPr>
        <w:t>：采用目视法结合筛分法，参考有色金属废料检验的通用方法，符合行业贸易现场验收的实操惯例，方法简单易行、成本可控，适配大宗废料的快速验收场景。</w:t>
      </w:r>
    </w:p>
    <w:p w14:paraId="29530066">
      <w:pPr>
        <w:pStyle w:val="5"/>
        <w:keepNext w:val="0"/>
        <w:keepLines w:val="0"/>
        <w:pageBreakBefore w:val="0"/>
        <w:widowControl w:val="0"/>
        <w:numPr>
          <w:ilvl w:val="0"/>
          <w:numId w:val="3"/>
        </w:numPr>
        <w:kinsoku/>
        <w:wordWrap/>
        <w:overflowPunct/>
        <w:topLinePunct w:val="0"/>
        <w:autoSpaceDE/>
        <w:autoSpaceDN/>
        <w:bidi w:val="0"/>
        <w:adjustRightInd/>
        <w:snapToGrid/>
        <w:ind w:firstLine="420" w:firstLineChars="200"/>
        <w:textAlignment w:val="auto"/>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化学成分分析</w:t>
      </w:r>
      <w:r>
        <w:rPr>
          <w:rFonts w:hint="eastAsia" w:ascii="宋体" w:hAnsi="宋体" w:cs="宋体"/>
          <w:color w:val="auto"/>
          <w:sz w:val="21"/>
          <w:szCs w:val="21"/>
          <w:lang w:val="en-US" w:eastAsia="zh-CN"/>
        </w:rPr>
        <w:t>：锂离子电池废料核心元素检测优先引用 YS/T 1006《镍钴锰酸锂化学分析方法》系列、GB/T 23367《钴酸锂化学分析方法》系列等现行有色行业标准。上述方法经过长期工业验证，精密度与准确度满足贸易检验需求，同时与 GB/T 45203-2024《锂离子电池用再生黑粉》的检测方法体系保持口径统一；铅酸、镍氢等传统电池废料分别引用 GB/T 4103《铅及铅合金化学分析方法》、镍氢电池相关检测标准，沿用旧版标准成熟的检测路径；无对应国标方法的项目，明确供需双方确认机制，符合 GB/T 1.1-2020 中试验方法的选取原则。</w:t>
      </w:r>
    </w:p>
    <w:p w14:paraId="19912C21">
      <w:pPr>
        <w:pStyle w:val="5"/>
        <w:keepNext w:val="0"/>
        <w:keepLines w:val="0"/>
        <w:pageBreakBefore w:val="0"/>
        <w:widowControl w:val="0"/>
        <w:numPr>
          <w:ilvl w:val="0"/>
          <w:numId w:val="3"/>
        </w:numPr>
        <w:kinsoku/>
        <w:wordWrap/>
        <w:overflowPunct/>
        <w:topLinePunct w:val="0"/>
        <w:autoSpaceDE/>
        <w:autoSpaceDN/>
        <w:bidi w:val="0"/>
        <w:adjustRightInd/>
        <w:snapToGrid/>
        <w:ind w:firstLine="420" w:firstLineChars="200"/>
        <w:textAlignment w:val="auto"/>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取样与制样</w:t>
      </w:r>
      <w:r>
        <w:rPr>
          <w:rFonts w:hint="eastAsia" w:ascii="宋体" w:hAnsi="宋体" w:cs="宋体"/>
          <w:color w:val="auto"/>
          <w:sz w:val="21"/>
          <w:szCs w:val="21"/>
          <w:lang w:val="en-US" w:eastAsia="zh-CN"/>
        </w:rPr>
        <w:t>：通用规则参考 GB/T 2007.1《散装矿产品取样、制样通则》的散装物料取样原则，保障样品代表性；针对粉料、极片、电芯等不同形态物料制定差异化取样方案，结合电池废料物理特性制定，同时参考 GB/T 45203-2024中的取样制样要求，与下游再生原料的检验规则保持协同。</w:t>
      </w:r>
    </w:p>
    <w:p w14:paraId="2FADBE90">
      <w:pPr>
        <w:pStyle w:val="5"/>
        <w:keepNext w:val="0"/>
        <w:keepLines w:val="0"/>
        <w:pageBreakBefore w:val="0"/>
        <w:widowControl w:val="0"/>
        <w:numPr>
          <w:ilvl w:val="0"/>
          <w:numId w:val="3"/>
        </w:numPr>
        <w:kinsoku/>
        <w:wordWrap/>
        <w:overflowPunct/>
        <w:topLinePunct w:val="0"/>
        <w:autoSpaceDE/>
        <w:autoSpaceDN/>
        <w:bidi w:val="0"/>
        <w:adjustRightInd/>
        <w:snapToGrid/>
        <w:ind w:firstLine="420" w:firstLineChars="200"/>
        <w:textAlignment w:val="auto"/>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检验规则条款</w:t>
      </w:r>
      <w:r>
        <w:rPr>
          <w:rFonts w:hint="eastAsia" w:ascii="宋体" w:hAnsi="宋体" w:cs="宋体"/>
          <w:color w:val="auto"/>
          <w:sz w:val="21"/>
          <w:szCs w:val="21"/>
          <w:lang w:val="en-US" w:eastAsia="zh-CN"/>
        </w:rPr>
        <w:t>：组批规则延续 GB/T 26932-2011 旧版标准的组批原则，结合有色金属废料贸易通用惯例，明确 “同来源、同体系、同品级” 组批要求，避免混批导致检验结果失真。检验分类依据 GB/T 1.1-2020 中产品标准检验规则的编写规范，区分出厂检验与型式检验，项目设置覆盖质量、安全、环保核心维度。判定规则安全指标一票否决依据《中华人民共和国安全生产法》中安全风险管控的强制要求，结合电池废料热失控风险的突发性与危害性，明确残余电压、电解液泄漏等安全指标不合格直接判定批不合格、不得复验，守住安全底线；一般指标复验规则参考工业产品检验通用规则，兼顾供需双方权益，符合大宗商品贸易通行惯例，与旧版标准复验逻辑保持延续性。</w:t>
      </w:r>
    </w:p>
    <w:p w14:paraId="259F4781">
      <w:pPr>
        <w:pStyle w:val="5"/>
        <w:keepNext w:val="0"/>
        <w:keepLines w:val="0"/>
        <w:pageBreakBefore w:val="0"/>
        <w:widowControl w:val="0"/>
        <w:numPr>
          <w:ilvl w:val="0"/>
          <w:numId w:val="3"/>
        </w:numPr>
        <w:kinsoku/>
        <w:wordWrap/>
        <w:overflowPunct/>
        <w:topLinePunct w:val="0"/>
        <w:autoSpaceDE/>
        <w:autoSpaceDN/>
        <w:bidi w:val="0"/>
        <w:adjustRightInd/>
        <w:snapToGrid/>
        <w:ind w:firstLine="420" w:firstLineChars="200"/>
        <w:textAlignment w:val="auto"/>
        <w:rPr>
          <w:rFonts w:hint="default" w:ascii="宋体" w:hAnsi="宋体" w:eastAsia="宋体" w:cs="宋体"/>
          <w:color w:val="auto"/>
          <w:sz w:val="21"/>
          <w:szCs w:val="21"/>
          <w:lang w:val="en-US" w:eastAsia="zh-CN"/>
        </w:rPr>
      </w:pPr>
      <w:r>
        <w:rPr>
          <w:rFonts w:hint="eastAsia" w:ascii="宋体" w:hAnsi="宋体" w:cs="宋体"/>
          <w:color w:val="auto"/>
          <w:sz w:val="21"/>
          <w:szCs w:val="21"/>
          <w:lang w:val="en-US" w:eastAsia="zh-CN"/>
        </w:rPr>
        <w:t>产品信息卡</w:t>
      </w:r>
      <w:r>
        <w:rPr>
          <w:rFonts w:hint="eastAsia" w:ascii="宋体" w:hAnsi="宋体" w:eastAsia="宋体" w:cs="宋体"/>
          <w:color w:val="auto"/>
          <w:sz w:val="21"/>
          <w:szCs w:val="21"/>
          <w:lang w:val="en-US" w:eastAsia="zh-CN"/>
        </w:rPr>
        <w:t>的增加：依据最新工艺水平，删除了质量文件的说明。</w:t>
      </w:r>
    </w:p>
    <w:p w14:paraId="4632FCD5">
      <w:pPr>
        <w:pStyle w:val="5"/>
        <w:keepNext w:val="0"/>
        <w:keepLines w:val="0"/>
        <w:pageBreakBefore w:val="0"/>
        <w:widowControl w:val="0"/>
        <w:numPr>
          <w:ilvl w:val="-1"/>
          <w:numId w:val="0"/>
        </w:numPr>
        <w:kinsoku/>
        <w:wordWrap/>
        <w:overflowPunct/>
        <w:topLinePunct w:val="0"/>
        <w:autoSpaceDE/>
        <w:autoSpaceDN/>
        <w:bidi w:val="0"/>
        <w:adjustRightInd/>
        <w:snapToGrid/>
        <w:ind w:firstLine="420" w:firstLineChars="200"/>
        <w:textAlignment w:val="auto"/>
        <w:rPr>
          <w:rFonts w:hint="default" w:ascii="宋体" w:hAnsi="宋体" w:eastAsia="宋体" w:cs="宋体"/>
          <w:color w:val="auto"/>
          <w:sz w:val="21"/>
          <w:szCs w:val="21"/>
          <w:lang w:val="en-US" w:eastAsia="zh-CN"/>
        </w:rPr>
      </w:pPr>
      <w:r>
        <w:rPr>
          <w:rFonts w:hint="default" w:ascii="宋体" w:hAnsi="宋体" w:eastAsia="宋体" w:cs="宋体"/>
          <w:color w:val="auto"/>
          <w:sz w:val="21"/>
          <w:szCs w:val="21"/>
          <w:lang w:val="en-US" w:eastAsia="zh-CN"/>
        </w:rPr>
        <w:t>在标准编制过程中，对国内电池产品的包装、运输、贮存情况开展了调研，共收集到了杰瑞新能源再生循环科技有限公司、衢州华友资源再生科技有限公司、浙江华友循环科技有限公司、江西赣锋循环科技有限公司、广东邦普循环科技有限公司、湖北睿勤新能源科技有限公司共计6家单位的信息反馈,</w:t>
      </w:r>
      <w:r>
        <w:rPr>
          <w:rFonts w:hint="eastAsia" w:ascii="宋体" w:hAnsi="宋体" w:cs="宋体"/>
          <w:color w:val="auto"/>
          <w:sz w:val="21"/>
          <w:szCs w:val="21"/>
          <w:lang w:val="en-US" w:eastAsia="zh-CN"/>
        </w:rPr>
        <w:t>反馈内容以锂电池为主</w:t>
      </w:r>
      <w:r>
        <w:rPr>
          <w:rFonts w:hint="default" w:ascii="宋体" w:hAnsi="宋体" w:eastAsia="宋体" w:cs="宋体"/>
          <w:color w:val="auto"/>
          <w:sz w:val="21"/>
          <w:szCs w:val="21"/>
          <w:lang w:val="en-US" w:eastAsia="zh-CN"/>
        </w:rPr>
        <w:t>。具体调研情况如下：</w:t>
      </w:r>
    </w:p>
    <w:tbl>
      <w:tblPr>
        <w:tblStyle w:val="11"/>
        <w:tblW w:w="835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70"/>
        <w:gridCol w:w="737"/>
        <w:gridCol w:w="2485"/>
        <w:gridCol w:w="4165"/>
      </w:tblGrid>
      <w:tr w14:paraId="1B8F5B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7" w:hRule="atLeast"/>
        </w:trPr>
        <w:tc>
          <w:tcPr>
            <w:tcW w:w="970" w:type="dxa"/>
            <w:tcBorders>
              <w:top w:val="single" w:color="000000" w:sz="4" w:space="0"/>
              <w:left w:val="single" w:color="000000" w:sz="4" w:space="0"/>
              <w:bottom w:val="nil"/>
              <w:right w:val="single" w:color="000000" w:sz="4" w:space="0"/>
            </w:tcBorders>
            <w:shd w:val="clear" w:color="auto" w:fill="auto"/>
            <w:noWrap/>
            <w:vAlign w:val="center"/>
          </w:tcPr>
          <w:p w14:paraId="6369597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Style w:val="23"/>
                <w:color w:val="auto"/>
                <w:sz w:val="18"/>
                <w:szCs w:val="18"/>
                <w:lang w:val="en-US" w:eastAsia="zh-CN" w:bidi="ar"/>
              </w:rPr>
              <w:t>公司</w:t>
            </w:r>
          </w:p>
        </w:tc>
        <w:tc>
          <w:tcPr>
            <w:tcW w:w="737" w:type="dxa"/>
            <w:tcBorders>
              <w:top w:val="single" w:color="000000" w:sz="4" w:space="0"/>
              <w:left w:val="single" w:color="000000" w:sz="4" w:space="0"/>
              <w:bottom w:val="nil"/>
              <w:right w:val="single" w:color="000000" w:sz="4" w:space="0"/>
            </w:tcBorders>
            <w:shd w:val="clear" w:color="auto" w:fill="auto"/>
            <w:noWrap/>
            <w:vAlign w:val="center"/>
          </w:tcPr>
          <w:p w14:paraId="62F6320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产品</w:t>
            </w:r>
          </w:p>
        </w:tc>
        <w:tc>
          <w:tcPr>
            <w:tcW w:w="2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5DDA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Style w:val="23"/>
                <w:rFonts w:hint="eastAsia"/>
                <w:color w:val="auto"/>
                <w:sz w:val="18"/>
                <w:szCs w:val="18"/>
                <w:lang w:val="en-US" w:eastAsia="zh-CN" w:bidi="ar"/>
              </w:rPr>
              <w:t>种类</w:t>
            </w:r>
          </w:p>
        </w:tc>
        <w:tc>
          <w:tcPr>
            <w:tcW w:w="4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4C69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Style w:val="23"/>
                <w:rFonts w:hint="eastAsia"/>
                <w:color w:val="auto"/>
                <w:sz w:val="18"/>
                <w:szCs w:val="18"/>
                <w:lang w:val="en-US" w:eastAsia="zh-CN" w:bidi="ar"/>
              </w:rPr>
              <w:t>拆解产物</w:t>
            </w:r>
          </w:p>
        </w:tc>
      </w:tr>
      <w:tr w14:paraId="3F7AA3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1" w:hRule="atLeast"/>
        </w:trPr>
        <w:tc>
          <w:tcPr>
            <w:tcW w:w="9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8BE38">
            <w:pPr>
              <w:keepNext w:val="0"/>
              <w:keepLines w:val="0"/>
              <w:widowControl/>
              <w:suppressLineNumbers w:val="0"/>
              <w:jc w:val="left"/>
              <w:textAlignment w:val="center"/>
              <w:rPr>
                <w:rFonts w:hint="default" w:ascii="宋体" w:hAnsi="宋体" w:eastAsia="宋体" w:cs="宋体"/>
                <w:i w:val="0"/>
                <w:iCs w:val="0"/>
                <w:color w:val="auto"/>
                <w:sz w:val="18"/>
                <w:szCs w:val="18"/>
                <w:u w:val="none"/>
                <w:lang w:val="en-US"/>
              </w:rPr>
            </w:pPr>
            <w:r>
              <w:rPr>
                <w:rFonts w:hint="eastAsia" w:ascii="宋体" w:hAnsi="宋体" w:eastAsia="宋体" w:cs="宋体"/>
                <w:i w:val="0"/>
                <w:iCs w:val="0"/>
                <w:color w:val="auto"/>
                <w:kern w:val="0"/>
                <w:sz w:val="18"/>
                <w:szCs w:val="18"/>
                <w:u w:val="none"/>
                <w:lang w:val="en-US" w:eastAsia="zh-CN" w:bidi="ar"/>
              </w:rPr>
              <w:t>企业A</w:t>
            </w:r>
          </w:p>
        </w:tc>
        <w:tc>
          <w:tcPr>
            <w:tcW w:w="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1CB6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锂离子电池</w:t>
            </w:r>
          </w:p>
        </w:tc>
        <w:tc>
          <w:tcPr>
            <w:tcW w:w="2485" w:type="dxa"/>
            <w:tcBorders>
              <w:top w:val="nil"/>
              <w:left w:val="nil"/>
              <w:bottom w:val="nil"/>
              <w:right w:val="nil"/>
            </w:tcBorders>
            <w:shd w:val="clear" w:color="auto" w:fill="auto"/>
            <w:vAlign w:val="center"/>
          </w:tcPr>
          <w:p w14:paraId="7D3DFF1A">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sz w:val="18"/>
                <w:szCs w:val="18"/>
                <w:u w:val="none"/>
              </w:rPr>
              <w:t>主要为废磷酸铁锂电池；少量废钴酸锂电池、废镍钴锰酸锂电池、废镍钴铝酸锂电池；废磷酸铁锂极片等厂废</w:t>
            </w:r>
          </w:p>
        </w:tc>
        <w:tc>
          <w:tcPr>
            <w:tcW w:w="4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E1911">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Style w:val="23"/>
                <w:rFonts w:hint="eastAsia"/>
                <w:color w:val="auto"/>
                <w:sz w:val="18"/>
                <w:szCs w:val="18"/>
                <w:lang w:val="en-US" w:eastAsia="zh-CN" w:bidi="ar"/>
              </w:rPr>
              <w:t>铝外壳和铝极柱、铝粒、铜粒、铜极柱、磷酸铁锂电池粉</w:t>
            </w:r>
          </w:p>
        </w:tc>
      </w:tr>
      <w:tr w14:paraId="198F2D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3" w:hRule="atLeast"/>
        </w:trPr>
        <w:tc>
          <w:tcPr>
            <w:tcW w:w="9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1EDB3">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企业B</w:t>
            </w:r>
          </w:p>
        </w:tc>
        <w:tc>
          <w:tcPr>
            <w:tcW w:w="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2A87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锂离子电池</w:t>
            </w:r>
          </w:p>
        </w:tc>
        <w:tc>
          <w:tcPr>
            <w:tcW w:w="2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6E336">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sz w:val="18"/>
                <w:szCs w:val="18"/>
                <w:u w:val="none"/>
              </w:rPr>
              <w:t>废旧锂电池包括废钴酸锂电池、废锰酸锂电池、废镍钴锰酸锂电池、废镍钴铝酸锂电池、废磷酸铁锂电池等</w:t>
            </w:r>
          </w:p>
        </w:tc>
        <w:tc>
          <w:tcPr>
            <w:tcW w:w="4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85C9A">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电芯、含铝废铜、带铜废PVC塑料、含胶废铝、包/模组拆解废铝壳、废镀锌铜排、废铜排电缆/线缆、线束、轻薄料（铁皮、铁丝）、电芯拆解铝壳、铝塑膜、含铝塑料屑</w:t>
            </w:r>
          </w:p>
        </w:tc>
      </w:tr>
      <w:tr w14:paraId="1C3116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5" w:hRule="atLeast"/>
        </w:trPr>
        <w:tc>
          <w:tcPr>
            <w:tcW w:w="9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216CE">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企业D</w:t>
            </w:r>
          </w:p>
        </w:tc>
        <w:tc>
          <w:tcPr>
            <w:tcW w:w="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2BC7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锂离子电池</w:t>
            </w:r>
          </w:p>
        </w:tc>
        <w:tc>
          <w:tcPr>
            <w:tcW w:w="2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6E968">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废钴酸锂电池、废镍钴锰酸锂电池、废镍钴铝酸锂电池、废磷酸铁锂电池</w:t>
            </w:r>
          </w:p>
        </w:tc>
        <w:tc>
          <w:tcPr>
            <w:tcW w:w="4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4FFFD">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sz w:val="18"/>
                <w:szCs w:val="18"/>
                <w:u w:val="none"/>
              </w:rPr>
              <w:t>线束、塑料件、金属物（铜、铝和铁）、正负极片</w:t>
            </w:r>
          </w:p>
        </w:tc>
      </w:tr>
      <w:tr w14:paraId="577777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35" w:hRule="atLeast"/>
        </w:trPr>
        <w:tc>
          <w:tcPr>
            <w:tcW w:w="9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9BBB2">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企业E</w:t>
            </w:r>
          </w:p>
        </w:tc>
        <w:tc>
          <w:tcPr>
            <w:tcW w:w="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2E5F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锂离子电池</w:t>
            </w:r>
          </w:p>
        </w:tc>
        <w:tc>
          <w:tcPr>
            <w:tcW w:w="2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8116F">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Style w:val="24"/>
                <w:rFonts w:hint="eastAsia"/>
                <w:color w:val="auto"/>
                <w:sz w:val="18"/>
                <w:szCs w:val="18"/>
                <w:lang w:val="en-US" w:eastAsia="zh-CN" w:bidi="ar"/>
              </w:rPr>
              <w:t>废镍钴锰酸锂电池、废镍钴铝酸锂电池、废磷酸铁锂电池</w:t>
            </w:r>
          </w:p>
        </w:tc>
        <w:tc>
          <w:tcPr>
            <w:tcW w:w="4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393B0">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sz w:val="18"/>
                <w:szCs w:val="18"/>
                <w:u w:val="none"/>
              </w:rPr>
              <w:t>电池包外壳、BMS、控制线缆、正负极粉、铜粉、铝粉、隔膜</w:t>
            </w:r>
          </w:p>
        </w:tc>
      </w:tr>
      <w:tr w14:paraId="5EB33D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99" w:hRule="atLeast"/>
        </w:trPr>
        <w:tc>
          <w:tcPr>
            <w:tcW w:w="9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E611E">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企业F</w:t>
            </w:r>
          </w:p>
        </w:tc>
        <w:tc>
          <w:tcPr>
            <w:tcW w:w="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B6D6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锂离子电池</w:t>
            </w:r>
          </w:p>
        </w:tc>
        <w:tc>
          <w:tcPr>
            <w:tcW w:w="2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EAA0D">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Style w:val="24"/>
                <w:rFonts w:hint="eastAsia"/>
                <w:color w:val="auto"/>
                <w:sz w:val="18"/>
                <w:szCs w:val="18"/>
                <w:lang w:val="en-US" w:eastAsia="zh-CN" w:bidi="ar"/>
              </w:rPr>
              <w:t>废镍钴锰酸锂电池、废镍钴铝酸锂电池、废磷酸铁锂电池</w:t>
            </w:r>
          </w:p>
        </w:tc>
        <w:tc>
          <w:tcPr>
            <w:tcW w:w="4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63700">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p>
        </w:tc>
      </w:tr>
    </w:tbl>
    <w:p w14:paraId="6FEE09B2">
      <w:pPr>
        <w:pStyle w:val="5"/>
        <w:keepNext w:val="0"/>
        <w:keepLines w:val="0"/>
        <w:pageBreakBefore w:val="0"/>
        <w:widowControl w:val="0"/>
        <w:numPr>
          <w:ilvl w:val="0"/>
          <w:numId w:val="4"/>
        </w:numPr>
        <w:kinsoku/>
        <w:wordWrap/>
        <w:overflowPunct/>
        <w:topLinePunct w:val="0"/>
        <w:autoSpaceDE/>
        <w:autoSpaceDN/>
        <w:bidi w:val="0"/>
        <w:adjustRightInd/>
        <w:snapToGrid/>
        <w:ind w:firstLine="0" w:firstLineChars="0"/>
        <w:textAlignment w:val="auto"/>
        <w:rPr>
          <w:rFonts w:hint="eastAsia" w:ascii="黑体" w:eastAsia="黑体" w:cs="Arial"/>
          <w:color w:val="auto"/>
          <w:sz w:val="21"/>
          <w:szCs w:val="21"/>
          <w:lang w:val="en-US" w:eastAsia="zh-CN"/>
        </w:rPr>
      </w:pPr>
      <w:r>
        <w:rPr>
          <w:rFonts w:hint="eastAsia" w:ascii="黑体" w:eastAsia="黑体" w:cs="Arial"/>
          <w:color w:val="auto"/>
          <w:sz w:val="21"/>
          <w:szCs w:val="21"/>
          <w:lang w:val="en-US" w:eastAsia="zh-CN"/>
        </w:rPr>
        <w:t>修订前后技术内容的对比</w:t>
      </w:r>
    </w:p>
    <w:p w14:paraId="6515144E">
      <w:pPr>
        <w:pStyle w:val="5"/>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主要技术内容：</w:t>
      </w:r>
    </w:p>
    <w:p w14:paraId="1205E061">
      <w:pPr>
        <w:pStyle w:val="21"/>
        <w:tabs>
          <w:tab w:val="left" w:pos="1890"/>
          <w:tab w:val="left" w:pos="2100"/>
        </w:tabs>
        <w:autoSpaceDE w:val="0"/>
        <w:autoSpaceDN w:val="0"/>
        <w:ind w:firstLine="420" w:firstLineChars="200"/>
        <w:rPr>
          <w:rFonts w:hint="eastAsia" w:ascii="Times New Roman" w:hAnsi="Times New Roman"/>
          <w:i w:val="0"/>
          <w:iCs w:val="0"/>
          <w:color w:val="auto"/>
        </w:rPr>
      </w:pPr>
      <w:r>
        <w:rPr>
          <w:rFonts w:hint="eastAsia" w:ascii="Times New Roman" w:hAnsi="Times New Roman"/>
          <w:i w:val="0"/>
          <w:iCs w:val="0"/>
          <w:color w:val="auto"/>
          <w:lang w:val="en-US" w:eastAsia="zh-CN"/>
        </w:rPr>
        <w:t>a）更改</w:t>
      </w:r>
      <w:r>
        <w:rPr>
          <w:rFonts w:hint="eastAsia" w:ascii="Times New Roman" w:hAnsi="Times New Roman"/>
          <w:i w:val="0"/>
          <w:iCs w:val="0"/>
          <w:color w:val="auto"/>
        </w:rPr>
        <w:t>了术语和定义</w:t>
      </w:r>
      <w:r>
        <w:rPr>
          <w:rFonts w:hint="eastAsia" w:ascii="Times New Roman" w:hAnsi="Times New Roman"/>
          <w:i w:val="0"/>
          <w:iCs w:val="0"/>
          <w:color w:val="auto"/>
          <w:lang w:val="en-US" w:eastAsia="zh-CN"/>
        </w:rPr>
        <w:t>内容</w:t>
      </w:r>
      <w:r>
        <w:rPr>
          <w:rFonts w:hint="eastAsia" w:ascii="Times New Roman" w:hAnsi="Times New Roman"/>
          <w:i w:val="0"/>
          <w:iCs w:val="0"/>
          <w:color w:val="auto"/>
        </w:rPr>
        <w:t>；</w:t>
      </w:r>
    </w:p>
    <w:p w14:paraId="230141A6">
      <w:pPr>
        <w:pStyle w:val="21"/>
        <w:tabs>
          <w:tab w:val="left" w:pos="1890"/>
          <w:tab w:val="left" w:pos="2100"/>
        </w:tabs>
        <w:autoSpaceDE w:val="0"/>
        <w:autoSpaceDN w:val="0"/>
        <w:ind w:firstLine="420" w:firstLineChars="200"/>
        <w:rPr>
          <w:rFonts w:hint="default" w:ascii="Times New Roman" w:hAnsi="Times New Roman"/>
          <w:i w:val="0"/>
          <w:iCs w:val="0"/>
          <w:color w:val="auto"/>
          <w:lang w:val="en-US" w:eastAsia="zh-CN"/>
        </w:rPr>
      </w:pPr>
      <w:r>
        <w:rPr>
          <w:rFonts w:hint="eastAsia" w:ascii="Times New Roman" w:hAnsi="Times New Roman"/>
          <w:i w:val="0"/>
          <w:iCs w:val="0"/>
          <w:color w:val="auto"/>
          <w:lang w:val="en-US" w:eastAsia="zh-CN"/>
        </w:rPr>
        <w:t>b）更改了分类要求；</w:t>
      </w:r>
    </w:p>
    <w:p w14:paraId="60301A74">
      <w:pPr>
        <w:pStyle w:val="21"/>
        <w:tabs>
          <w:tab w:val="left" w:pos="1890"/>
          <w:tab w:val="left" w:pos="2100"/>
        </w:tabs>
        <w:autoSpaceDE w:val="0"/>
        <w:autoSpaceDN w:val="0"/>
        <w:ind w:firstLine="420" w:firstLineChars="200"/>
        <w:rPr>
          <w:rFonts w:hint="eastAsia" w:ascii="Times New Roman" w:hAnsi="Times New Roman"/>
          <w:i w:val="0"/>
          <w:iCs w:val="0"/>
          <w:color w:val="auto"/>
        </w:rPr>
      </w:pPr>
      <w:r>
        <w:rPr>
          <w:rFonts w:hint="eastAsia" w:ascii="Times New Roman" w:hAnsi="Times New Roman"/>
          <w:i w:val="0"/>
          <w:iCs w:val="0"/>
          <w:color w:val="auto"/>
          <w:lang w:val="en-US" w:eastAsia="zh-CN"/>
        </w:rPr>
        <w:t>c）增加了分级要求</w:t>
      </w:r>
      <w:r>
        <w:rPr>
          <w:rFonts w:hint="eastAsia" w:ascii="Times New Roman" w:hAnsi="Times New Roman"/>
          <w:i w:val="0"/>
          <w:iCs w:val="0"/>
          <w:color w:val="auto"/>
        </w:rPr>
        <w:t>；</w:t>
      </w:r>
    </w:p>
    <w:p w14:paraId="5321609C">
      <w:pPr>
        <w:pStyle w:val="21"/>
        <w:tabs>
          <w:tab w:val="left" w:pos="1890"/>
          <w:tab w:val="left" w:pos="2100"/>
        </w:tabs>
        <w:autoSpaceDE w:val="0"/>
        <w:autoSpaceDN w:val="0"/>
        <w:ind w:firstLine="420" w:firstLineChars="200"/>
        <w:rPr>
          <w:rFonts w:hint="eastAsia" w:ascii="Times New Roman" w:hAnsi="Times New Roman"/>
          <w:i w:val="0"/>
          <w:iCs w:val="0"/>
          <w:color w:val="auto"/>
        </w:rPr>
      </w:pPr>
      <w:r>
        <w:rPr>
          <w:rFonts w:hint="eastAsia" w:ascii="Times New Roman" w:hAnsi="Times New Roman"/>
          <w:i w:val="0"/>
          <w:iCs w:val="0"/>
          <w:color w:val="auto"/>
          <w:lang w:val="en-US" w:eastAsia="zh-CN"/>
        </w:rPr>
        <w:t>d）更改了技术要求</w:t>
      </w:r>
      <w:r>
        <w:rPr>
          <w:rFonts w:hint="eastAsia" w:ascii="Times New Roman" w:hAnsi="Times New Roman"/>
          <w:i w:val="0"/>
          <w:iCs w:val="0"/>
          <w:color w:val="auto"/>
        </w:rPr>
        <w:t>；</w:t>
      </w:r>
    </w:p>
    <w:p w14:paraId="036C16BE">
      <w:pPr>
        <w:pStyle w:val="21"/>
        <w:tabs>
          <w:tab w:val="left" w:pos="1890"/>
          <w:tab w:val="left" w:pos="2100"/>
        </w:tabs>
        <w:autoSpaceDE w:val="0"/>
        <w:autoSpaceDN w:val="0"/>
        <w:ind w:firstLine="420" w:firstLineChars="200"/>
        <w:rPr>
          <w:rFonts w:hint="eastAsia" w:ascii="Times New Roman" w:hAnsi="Times New Roman"/>
          <w:i w:val="0"/>
          <w:iCs w:val="0"/>
          <w:color w:val="auto"/>
        </w:rPr>
      </w:pPr>
      <w:r>
        <w:rPr>
          <w:rFonts w:hint="eastAsia" w:ascii="Times New Roman" w:hAnsi="Times New Roman"/>
          <w:i w:val="0"/>
          <w:iCs w:val="0"/>
          <w:color w:val="auto"/>
          <w:lang w:val="en-US" w:eastAsia="zh-CN"/>
        </w:rPr>
        <w:t>e）更改了试验方法</w:t>
      </w:r>
      <w:r>
        <w:rPr>
          <w:rFonts w:hint="eastAsia" w:ascii="Times New Roman" w:hAnsi="Times New Roman"/>
          <w:i w:val="0"/>
          <w:iCs w:val="0"/>
          <w:color w:val="auto"/>
        </w:rPr>
        <w:t>；</w:t>
      </w:r>
    </w:p>
    <w:p w14:paraId="550A6880">
      <w:pPr>
        <w:pStyle w:val="21"/>
        <w:tabs>
          <w:tab w:val="left" w:pos="1890"/>
          <w:tab w:val="left" w:pos="2100"/>
        </w:tabs>
        <w:autoSpaceDE w:val="0"/>
        <w:autoSpaceDN w:val="0"/>
        <w:ind w:firstLine="420" w:firstLineChars="200"/>
        <w:rPr>
          <w:rFonts w:hint="eastAsia" w:ascii="Times New Roman" w:hAnsi="Times New Roman"/>
          <w:i w:val="0"/>
          <w:iCs w:val="0"/>
          <w:color w:val="auto"/>
        </w:rPr>
      </w:pPr>
      <w:r>
        <w:rPr>
          <w:rFonts w:hint="eastAsia" w:ascii="Times New Roman" w:hAnsi="Times New Roman"/>
          <w:i w:val="0"/>
          <w:iCs w:val="0"/>
          <w:color w:val="auto"/>
          <w:lang w:val="en-US" w:eastAsia="zh-CN"/>
        </w:rPr>
        <w:t>f）更改了取样与制样方法</w:t>
      </w:r>
      <w:r>
        <w:rPr>
          <w:rFonts w:hint="eastAsia" w:ascii="Times New Roman" w:hAnsi="Times New Roman"/>
          <w:i w:val="0"/>
          <w:iCs w:val="0"/>
          <w:color w:val="auto"/>
        </w:rPr>
        <w:t>；</w:t>
      </w:r>
    </w:p>
    <w:p w14:paraId="3E29B833">
      <w:pPr>
        <w:pStyle w:val="21"/>
        <w:tabs>
          <w:tab w:val="left" w:pos="1890"/>
          <w:tab w:val="left" w:pos="2100"/>
        </w:tabs>
        <w:autoSpaceDE w:val="0"/>
        <w:autoSpaceDN w:val="0"/>
        <w:ind w:firstLine="420" w:firstLineChars="200"/>
        <w:rPr>
          <w:rFonts w:hint="eastAsia" w:ascii="Times New Roman" w:hAnsi="Times New Roman"/>
          <w:i w:val="0"/>
          <w:iCs w:val="0"/>
          <w:color w:val="auto"/>
        </w:rPr>
      </w:pPr>
      <w:r>
        <w:rPr>
          <w:rFonts w:hint="eastAsia" w:ascii="Times New Roman" w:hAnsi="Times New Roman"/>
          <w:i w:val="0"/>
          <w:iCs w:val="0"/>
          <w:color w:val="auto"/>
          <w:lang w:val="en-US" w:eastAsia="zh-CN"/>
        </w:rPr>
        <w:t>g）增加了判定</w:t>
      </w:r>
      <w:r>
        <w:rPr>
          <w:rFonts w:hint="eastAsia" w:ascii="Times New Roman" w:hAnsi="Times New Roman"/>
          <w:i w:val="0"/>
          <w:iCs w:val="0"/>
          <w:color w:val="auto"/>
        </w:rPr>
        <w:t>规则；</w:t>
      </w:r>
    </w:p>
    <w:p w14:paraId="3D1F577B">
      <w:pPr>
        <w:pStyle w:val="21"/>
        <w:tabs>
          <w:tab w:val="left" w:pos="1890"/>
          <w:tab w:val="left" w:pos="2100"/>
        </w:tabs>
        <w:autoSpaceDE w:val="0"/>
        <w:autoSpaceDN w:val="0"/>
        <w:ind w:firstLine="420" w:firstLineChars="200"/>
        <w:rPr>
          <w:rFonts w:hint="eastAsia" w:ascii="Times New Roman" w:hAnsi="Times New Roman"/>
          <w:i w:val="0"/>
          <w:iCs w:val="0"/>
          <w:color w:val="auto"/>
        </w:rPr>
      </w:pPr>
      <w:r>
        <w:rPr>
          <w:rFonts w:hint="eastAsia" w:ascii="Times New Roman" w:hAnsi="Times New Roman"/>
          <w:i w:val="0"/>
          <w:iCs w:val="0"/>
          <w:color w:val="auto"/>
          <w:lang w:val="en-US" w:eastAsia="zh-CN"/>
        </w:rPr>
        <w:t>h）更改了包装、标志、运输和贮存和随行文件要求</w:t>
      </w:r>
      <w:r>
        <w:rPr>
          <w:rFonts w:hint="eastAsia" w:ascii="Times New Roman" w:hAnsi="Times New Roman"/>
          <w:i w:val="0"/>
          <w:iCs w:val="0"/>
          <w:color w:val="auto"/>
        </w:rPr>
        <w:t>；</w:t>
      </w:r>
    </w:p>
    <w:p w14:paraId="5B077FB8">
      <w:pPr>
        <w:pStyle w:val="21"/>
        <w:tabs>
          <w:tab w:val="left" w:pos="1890"/>
          <w:tab w:val="left" w:pos="2100"/>
        </w:tabs>
        <w:autoSpaceDE w:val="0"/>
        <w:autoSpaceDN w:val="0"/>
        <w:ind w:firstLine="420" w:firstLineChars="200"/>
        <w:rPr>
          <w:rFonts w:hint="eastAsia" w:ascii="Times New Roman" w:hAnsi="Times New Roman"/>
          <w:i w:val="0"/>
          <w:iCs w:val="0"/>
          <w:color w:val="auto"/>
        </w:rPr>
      </w:pPr>
      <w:r>
        <w:rPr>
          <w:rFonts w:hint="eastAsia" w:ascii="Times New Roman" w:hAnsi="Times New Roman"/>
          <w:i w:val="0"/>
          <w:iCs w:val="0"/>
          <w:color w:val="auto"/>
          <w:lang w:val="en-US" w:eastAsia="zh-CN"/>
        </w:rPr>
        <w:t>i）</w:t>
      </w:r>
      <w:r>
        <w:rPr>
          <w:rFonts w:hint="eastAsia" w:ascii="Times New Roman" w:hAnsi="Times New Roman"/>
          <w:i w:val="0"/>
          <w:iCs w:val="0"/>
          <w:color w:val="auto"/>
        </w:rPr>
        <w:t>增加了安全与环保要求。</w:t>
      </w:r>
    </w:p>
    <w:p w14:paraId="075EFE8C">
      <w:pPr>
        <w:pStyle w:val="10"/>
        <w:keepNext w:val="0"/>
        <w:keepLines w:val="0"/>
        <w:pageBreakBefore w:val="0"/>
        <w:numPr>
          <w:ilvl w:val="0"/>
          <w:numId w:val="5"/>
        </w:numPr>
        <w:kinsoku/>
        <w:wordWrap/>
        <w:overflowPunct/>
        <w:topLinePunct w:val="0"/>
        <w:autoSpaceDE/>
        <w:autoSpaceDN/>
        <w:bidi w:val="0"/>
        <w:adjustRightInd/>
        <w:snapToGrid/>
        <w:spacing w:before="0" w:beforeAutospacing="0" w:after="0" w:afterAutospacing="0" w:line="440" w:lineRule="exact"/>
        <w:jc w:val="both"/>
        <w:textAlignment w:val="auto"/>
        <w:rPr>
          <w:rFonts w:hint="eastAsia" w:ascii="黑体" w:eastAsia="黑体" w:cs="Arial"/>
          <w:color w:val="auto"/>
          <w:sz w:val="21"/>
          <w:szCs w:val="21"/>
          <w:lang w:val="en-US" w:eastAsia="zh-CN"/>
        </w:rPr>
      </w:pPr>
      <w:r>
        <w:rPr>
          <w:rFonts w:hint="eastAsia" w:ascii="黑体" w:eastAsia="黑体" w:cs="Arial"/>
          <w:color w:val="auto"/>
          <w:sz w:val="21"/>
          <w:szCs w:val="21"/>
          <w:lang w:val="en-US" w:eastAsia="zh-CN"/>
        </w:rPr>
        <w:t>试验验证分析、综述报告、技术经济论证、预期达到的经济效益、社会效益和生态效益</w:t>
      </w:r>
    </w:p>
    <w:p w14:paraId="178BE281">
      <w:pPr>
        <w:pStyle w:val="10"/>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440" w:lineRule="exact"/>
        <w:jc w:val="both"/>
        <w:textAlignment w:val="auto"/>
        <w:rPr>
          <w:rFonts w:hint="default" w:ascii="黑体" w:eastAsia="黑体" w:cs="Arial"/>
          <w:color w:val="auto"/>
          <w:sz w:val="21"/>
          <w:szCs w:val="21"/>
          <w:lang w:val="en-US" w:eastAsia="zh-CN"/>
        </w:rPr>
      </w:pPr>
      <w:r>
        <w:rPr>
          <w:rFonts w:hint="eastAsia" w:ascii="黑体" w:eastAsia="黑体" w:cs="Arial"/>
          <w:color w:val="auto"/>
          <w:sz w:val="21"/>
          <w:szCs w:val="21"/>
          <w:lang w:val="en-US" w:eastAsia="zh-CN"/>
        </w:rPr>
        <w:t>1、试验验证分析和综述报告</w:t>
      </w:r>
    </w:p>
    <w:p w14:paraId="522A9624">
      <w:pPr>
        <w:pStyle w:val="5"/>
        <w:keepNext w:val="0"/>
        <w:keepLines w:val="0"/>
        <w:pageBreakBefore w:val="0"/>
        <w:widowControl w:val="0"/>
        <w:numPr>
          <w:ilvl w:val="0"/>
          <w:numId w:val="6"/>
        </w:numPr>
        <w:kinsoku/>
        <w:wordWrap/>
        <w:overflowPunct/>
        <w:topLinePunct w:val="0"/>
        <w:autoSpaceDE/>
        <w:autoSpaceDN/>
        <w:bidi w:val="0"/>
        <w:adjustRightInd/>
        <w:snapToGrid/>
        <w:ind w:firstLine="0" w:firstLineChars="0"/>
        <w:textAlignment w:val="auto"/>
        <w:rPr>
          <w:rFonts w:hint="eastAsia" w:ascii="黑体" w:hAnsi="宋体" w:eastAsia="黑体" w:cs="宋体"/>
          <w:bCs/>
          <w:color w:val="auto"/>
          <w:sz w:val="21"/>
          <w:szCs w:val="21"/>
          <w:lang w:val="en-US" w:eastAsia="zh-CN"/>
        </w:rPr>
      </w:pPr>
      <w:r>
        <w:rPr>
          <w:rFonts w:hint="eastAsia" w:ascii="黑体" w:hAnsi="宋体" w:eastAsia="黑体" w:cs="宋体"/>
          <w:bCs/>
          <w:color w:val="auto"/>
          <w:sz w:val="21"/>
          <w:szCs w:val="21"/>
          <w:lang w:val="en-US" w:eastAsia="zh-CN"/>
        </w:rPr>
        <w:t>项目的必要性阐述</w:t>
      </w:r>
    </w:p>
    <w:p w14:paraId="2B65FF69">
      <w:pPr>
        <w:pStyle w:val="5"/>
        <w:bidi w:val="0"/>
        <w:rPr>
          <w:rFonts w:hint="eastAsia"/>
          <w:lang w:val="en-US" w:eastAsia="zh-CN"/>
        </w:rPr>
      </w:pPr>
      <w:r>
        <w:rPr>
          <w:rFonts w:hint="eastAsia"/>
          <w:lang w:val="en-US" w:eastAsia="zh-CN"/>
        </w:rPr>
        <w:t>本次修订《充电电池废料废件》国家标准，是顺应我国新能源产业格局变革、落实上位法律法规要求、破解行业发展痛点、完善废旧电池标准体系的迫切需求，具有显著的现实紧迫性与客观必要性，具体体现在以下六个方面：</w:t>
      </w:r>
    </w:p>
    <w:p w14:paraId="4C2B7B8F">
      <w:pPr>
        <w:pStyle w:val="5"/>
        <w:bidi w:val="0"/>
        <w:rPr>
          <w:rFonts w:hint="eastAsia"/>
          <w:b/>
          <w:bCs/>
          <w:lang w:val="en-US" w:eastAsia="zh-CN"/>
        </w:rPr>
      </w:pPr>
      <w:r>
        <w:rPr>
          <w:rFonts w:hint="default" w:ascii="Times New Roman" w:hAnsi="Times New Roman" w:cs="Times New Roman"/>
          <w:b/>
          <w:bCs/>
          <w:lang w:val="en-US" w:eastAsia="zh-CN"/>
        </w:rPr>
        <w:t>1.1</w:t>
      </w:r>
      <w:r>
        <w:rPr>
          <w:rFonts w:hint="eastAsia"/>
          <w:b/>
          <w:bCs/>
          <w:lang w:val="en-US" w:eastAsia="zh-CN"/>
        </w:rPr>
        <w:t>产业格局深刻变革，现行标准适用范围已严重脱节于产业实际</w:t>
      </w:r>
    </w:p>
    <w:p w14:paraId="70A79806">
      <w:pPr>
        <w:pStyle w:val="5"/>
        <w:bidi w:val="0"/>
        <w:rPr>
          <w:rFonts w:hint="eastAsia"/>
          <w:lang w:val="en-US" w:eastAsia="zh-CN"/>
        </w:rPr>
      </w:pPr>
      <w:r>
        <w:rPr>
          <w:rFonts w:hint="default" w:ascii="Times New Roman" w:hAnsi="Times New Roman" w:cs="Times New Roman"/>
          <w:lang w:val="en-US" w:eastAsia="zh-CN"/>
        </w:rPr>
        <w:t>GB/T 26932-2011</w:t>
      </w:r>
      <w:r>
        <w:rPr>
          <w:rFonts w:hint="eastAsia"/>
          <w:lang w:val="en-US" w:eastAsia="zh-CN"/>
        </w:rPr>
        <w:t>发布于我国充电电池产业以铅酸、镍镉、镍氢电池为主体的发展阶段。十余年来，我国新能源汽车、新型储能、消费电子产业爆发式增长，锂离子电池已成为充电电池产业的绝对主力，退役动力电池与生产废料产生量持续攀升。</w:t>
      </w:r>
    </w:p>
    <w:p w14:paraId="123ADF89">
      <w:pPr>
        <w:pStyle w:val="5"/>
        <w:bidi w:val="0"/>
        <w:rPr>
          <w:rFonts w:hint="eastAsia"/>
          <w:lang w:val="en-US" w:eastAsia="zh-CN"/>
        </w:rPr>
      </w:pPr>
      <w:r>
        <w:rPr>
          <w:rFonts w:hint="eastAsia"/>
          <w:lang w:val="en-US" w:eastAsia="zh-CN"/>
        </w:rPr>
        <w:t>当前锂离子电池废料已占充电电池废料总量的绝大多数，是回收利用产业的核心处理对象，但现行国家标准对该主流品类基本处于空白状态，导致占市场主体的充电电池废料长期缺乏统一的基础质量规范，回收、贸易、加工利用各环节无标可依，标准的产业基础性支撑作用已严重弱化。因此，必须通过标准修订拓展覆盖范围，补齐主流品类标准缺口，匹配我国充电电池产业的发展实际。</w:t>
      </w:r>
    </w:p>
    <w:p w14:paraId="315809DF">
      <w:pPr>
        <w:pStyle w:val="5"/>
        <w:bidi w:val="0"/>
        <w:rPr>
          <w:rFonts w:hint="eastAsia"/>
          <w:b/>
          <w:bCs/>
          <w:lang w:val="en-US" w:eastAsia="zh-CN"/>
        </w:rPr>
      </w:pPr>
      <w:r>
        <w:rPr>
          <w:rFonts w:hint="default" w:ascii="Times New Roman" w:hAnsi="Times New Roman" w:cs="Times New Roman"/>
          <w:b/>
          <w:bCs/>
          <w:lang w:val="en-US" w:eastAsia="zh-CN"/>
        </w:rPr>
        <w:t>1.2</w:t>
      </w:r>
      <w:r>
        <w:rPr>
          <w:rFonts w:hint="eastAsia"/>
          <w:b/>
          <w:bCs/>
          <w:lang w:val="en-US" w:eastAsia="zh-CN"/>
        </w:rPr>
        <w:t>上位法规政策持续升级，现行标准无法承接政策落地的技术支撑需求</w:t>
      </w:r>
    </w:p>
    <w:p w14:paraId="12D80328">
      <w:pPr>
        <w:pStyle w:val="5"/>
        <w:bidi w:val="0"/>
        <w:rPr>
          <w:rFonts w:hint="eastAsia"/>
          <w:lang w:val="en-US" w:eastAsia="zh-CN"/>
        </w:rPr>
      </w:pPr>
      <w:r>
        <w:rPr>
          <w:rFonts w:hint="eastAsia"/>
          <w:lang w:val="en-US" w:eastAsia="zh-CN"/>
        </w:rPr>
        <w:t>近年来，我国相继修订《中华人民共和国固体废物污染环境防治法》《中华人民共和国循环经济促进法》，出台《新能源汽车动力蓄电池回收利用管理暂行办法》《工业固体废物资源综合利用评价管理暂行办法》以及碳达峰碳中和、循环经济发展等一系列国家级政策文件，对废旧电池全生命周期管理、生产者责任延伸、溯源管理、污染防控、再生资源利用等提出了明确的法定要求与监管部署。</w:t>
      </w:r>
    </w:p>
    <w:p w14:paraId="37826433">
      <w:pPr>
        <w:pStyle w:val="5"/>
        <w:bidi w:val="0"/>
        <w:rPr>
          <w:rFonts w:hint="eastAsia"/>
          <w:lang w:val="en-US" w:eastAsia="zh-CN"/>
        </w:rPr>
      </w:pPr>
      <w:r>
        <w:rPr>
          <w:rFonts w:hint="eastAsia"/>
          <w:lang w:val="en-US" w:eastAsia="zh-CN"/>
        </w:rPr>
        <w:t>现行标准发布时间早，相关技术内容未与现行法律法规、监管制度形成衔接，既导致生态环境、工信、市场监管等部门开展监督执法时缺乏明确的技术判定依据，也造成市场主体合规运行缺少清晰的标准指引，政策落地存在明显的技术断层。因此，必须通过标准修订将上位法规与政策要求转化为可量化、可执行的技术条款，为行业监管与企业合规提供标准化支撑，保障相关制度有效落地。</w:t>
      </w:r>
    </w:p>
    <w:p w14:paraId="7832D76F">
      <w:pPr>
        <w:pStyle w:val="5"/>
        <w:bidi w:val="0"/>
        <w:rPr>
          <w:rFonts w:hint="eastAsia"/>
          <w:b/>
          <w:bCs/>
          <w:lang w:val="en-US" w:eastAsia="zh-CN"/>
        </w:rPr>
      </w:pPr>
      <w:r>
        <w:rPr>
          <w:rFonts w:hint="default" w:ascii="Times New Roman" w:hAnsi="Times New Roman" w:cs="Times New Roman"/>
          <w:b/>
          <w:bCs/>
          <w:lang w:val="en-US" w:eastAsia="zh-CN"/>
        </w:rPr>
        <w:t>1.3</w:t>
      </w:r>
      <w:r>
        <w:rPr>
          <w:rFonts w:hint="eastAsia"/>
          <w:b/>
          <w:bCs/>
          <w:lang w:val="en-US" w:eastAsia="zh-CN"/>
        </w:rPr>
        <w:t>行业流通乱象与安全风险凸显，亟需统一标准规范市场、防控隐患</w:t>
      </w:r>
    </w:p>
    <w:p w14:paraId="22D87712">
      <w:pPr>
        <w:pStyle w:val="5"/>
        <w:bidi w:val="0"/>
        <w:rPr>
          <w:rFonts w:hint="eastAsia"/>
          <w:lang w:val="en-US" w:eastAsia="zh-CN"/>
        </w:rPr>
      </w:pPr>
      <w:r>
        <w:rPr>
          <w:rFonts w:hint="eastAsia"/>
          <w:lang w:val="en-US" w:eastAsia="zh-CN"/>
        </w:rPr>
        <w:t>当前充电电池废料废件流通领域缺乏统一的分类分级与质量判定标准，不同市场主体对废料品类、品级的判定口径差异较大，导致贸易环节品质争议频发、定价体系混乱，显著增加了产业链交易成本。同时，行业内混装混运、以次充好、非法拆解等不规范行为普遍存在，严重扰乱市场秩序。</w:t>
      </w:r>
    </w:p>
    <w:p w14:paraId="5D6F26CC">
      <w:pPr>
        <w:pStyle w:val="5"/>
        <w:bidi w:val="0"/>
        <w:rPr>
          <w:rFonts w:hint="eastAsia"/>
          <w:lang w:val="en-US" w:eastAsia="zh-CN"/>
        </w:rPr>
      </w:pPr>
      <w:r>
        <w:rPr>
          <w:rFonts w:hint="eastAsia"/>
          <w:lang w:val="en-US" w:eastAsia="zh-CN"/>
        </w:rPr>
        <w:t>尤其锂离子电池废料带有残余电能，且电解液具有腐蚀性与易燃易爆特性，不规范的收集、暂存、转运与拆解极易引发热失控起火、爆炸等安全事故，同时重金属、氟化物等有毒有害物质的泄漏还会造成环境污染。现行标准制定时锂电池应用规模有限，未设置针对性的安全分类、污染防控、储运防护要求，无法有效约束市场行为、管控行业风险。因此，必须通过标准修订建立统一的技术规则，从源头规范市场流通秩序，防范化解安全与环境重大风险，保障行业健康有序运行。</w:t>
      </w:r>
    </w:p>
    <w:p w14:paraId="19AF374C">
      <w:pPr>
        <w:pStyle w:val="5"/>
        <w:bidi w:val="0"/>
        <w:rPr>
          <w:rFonts w:hint="eastAsia"/>
          <w:b/>
          <w:bCs/>
          <w:lang w:val="en-US" w:eastAsia="zh-CN"/>
        </w:rPr>
      </w:pPr>
      <w:r>
        <w:rPr>
          <w:rFonts w:hint="default" w:ascii="Times New Roman" w:hAnsi="Times New Roman" w:cs="Times New Roman"/>
          <w:b/>
          <w:bCs/>
          <w:lang w:val="en-US" w:eastAsia="zh-CN"/>
        </w:rPr>
        <w:t>1.4</w:t>
      </w:r>
      <w:r>
        <w:rPr>
          <w:rFonts w:hint="eastAsia"/>
          <w:lang w:val="en-US" w:eastAsia="zh-CN"/>
        </w:rPr>
        <w:t xml:space="preserve"> </w:t>
      </w:r>
      <w:r>
        <w:rPr>
          <w:rFonts w:hint="eastAsia"/>
          <w:b/>
          <w:bCs/>
          <w:lang w:val="en-US" w:eastAsia="zh-CN"/>
        </w:rPr>
        <w:t>战略资源循环需求紧迫，标准缺失制约资源利用效率与产业链安全</w:t>
      </w:r>
    </w:p>
    <w:p w14:paraId="43C0C06A">
      <w:pPr>
        <w:pStyle w:val="5"/>
        <w:bidi w:val="0"/>
        <w:rPr>
          <w:rFonts w:hint="eastAsia"/>
          <w:lang w:val="en-US" w:eastAsia="zh-CN"/>
        </w:rPr>
      </w:pPr>
      <w:r>
        <w:rPr>
          <w:rFonts w:hint="eastAsia"/>
          <w:lang w:val="en-US" w:eastAsia="zh-CN"/>
        </w:rPr>
        <w:t>充电电池废料中富集锂、钴、镍、铜等战略性关键金属，是“城市矿产”的核心组成部分，也是保障我国新能源产业链供应链自主可控的重要再生资源。我国锂、钴等金属原生矿产对外依存度处于高位，资源安全供给压力持续加大，废旧电池再生利用已成为缓解资源约束的核心路径。</w:t>
      </w:r>
    </w:p>
    <w:p w14:paraId="6E18F5F3">
      <w:pPr>
        <w:pStyle w:val="5"/>
        <w:bidi w:val="0"/>
        <w:rPr>
          <w:rFonts w:hint="eastAsia"/>
          <w:lang w:val="en-US" w:eastAsia="zh-CN"/>
        </w:rPr>
      </w:pPr>
      <w:r>
        <w:rPr>
          <w:rFonts w:hint="eastAsia"/>
          <w:lang w:val="en-US" w:eastAsia="zh-CN"/>
        </w:rPr>
        <w:t>但由于缺乏统一的废料分级与质量标准，不同品质、不同体系的废料混同收集、混合处理，直接导致有价金属回收率偏低、资源浪费严重，同时再生原料品质波动大，难以稳定支撑下游再生利用产业规模化、精细化发展。因此，必须通过标准化手段实现废料分级分类管理，提升资源回收利用效率，扩大高品质再生资源供给规模，降低对原生矿产的依赖，支撑新能源产业链供应链安全稳定。</w:t>
      </w:r>
    </w:p>
    <w:p w14:paraId="489CA916">
      <w:pPr>
        <w:pStyle w:val="5"/>
        <w:bidi w:val="0"/>
        <w:rPr>
          <w:rFonts w:hint="eastAsia"/>
          <w:lang w:val="en-US" w:eastAsia="zh-CN"/>
        </w:rPr>
      </w:pPr>
      <w:r>
        <w:rPr>
          <w:rFonts w:hint="default" w:ascii="Times New Roman" w:hAnsi="Times New Roman" w:cs="Times New Roman"/>
          <w:b/>
          <w:bCs/>
          <w:lang w:val="en-US" w:eastAsia="zh-CN"/>
        </w:rPr>
        <w:t>1.5</w:t>
      </w:r>
      <w:r>
        <w:rPr>
          <w:rFonts w:hint="eastAsia"/>
          <w:b/>
          <w:bCs/>
          <w:lang w:val="en-US" w:eastAsia="zh-CN"/>
        </w:rPr>
        <w:t>标准体系存在断层，上下游协同不足，亟需夯实基础标准补齐体系短板</w:t>
      </w:r>
    </w:p>
    <w:p w14:paraId="3A4C8138">
      <w:pPr>
        <w:pStyle w:val="5"/>
        <w:bidi w:val="0"/>
        <w:rPr>
          <w:rFonts w:hint="eastAsia"/>
          <w:lang w:val="en-US" w:eastAsia="zh-CN"/>
        </w:rPr>
      </w:pPr>
      <w:r>
        <w:rPr>
          <w:rFonts w:hint="eastAsia"/>
          <w:lang w:val="en-US" w:eastAsia="zh-CN"/>
        </w:rPr>
        <w:t>目前我国已陆续发布废旧电池回收技术规范、车用动力电池回收利用、锂离子电池废料化学分析、再生产品质量、污染控制等</w:t>
      </w:r>
      <w:r>
        <w:rPr>
          <w:rFonts w:hint="default" w:ascii="Times New Roman" w:hAnsi="Times New Roman" w:cs="Times New Roman"/>
          <w:lang w:val="en-US" w:eastAsia="zh-CN"/>
        </w:rPr>
        <w:t>20</w:t>
      </w:r>
      <w:r>
        <w:rPr>
          <w:rFonts w:hint="eastAsia"/>
          <w:lang w:val="en-US" w:eastAsia="zh-CN"/>
        </w:rPr>
        <w:t>余项国家标准，覆盖了回收、拆解、再生、污染防控等多个环节。但作为产业链源头的《充电电池废料废件》基础标准长期滞后，与上下游标准在术语定义、分类口径、质量指标、检验规则等方面衔接不畅。</w:t>
      </w:r>
    </w:p>
    <w:p w14:paraId="16981BB4">
      <w:pPr>
        <w:pStyle w:val="5"/>
        <w:bidi w:val="0"/>
        <w:rPr>
          <w:rFonts w:hint="eastAsia"/>
          <w:lang w:val="en-US" w:eastAsia="zh-CN"/>
        </w:rPr>
      </w:pPr>
      <w:r>
        <w:rPr>
          <w:rFonts w:hint="eastAsia"/>
          <w:lang w:val="en-US" w:eastAsia="zh-CN"/>
        </w:rPr>
        <w:t>标准断层直接导致回收端产出规格与利用端验收要求不匹配，全链条协同效率低下，废旧电池标准体系的整体效能未能充分发挥。因此，必须通过修订本标准，统一全行业基础技术口径，打通“产生源头—回收流通—加工利用—污染防控”全链条标准衔接，构建系统协调、衔接配套的废旧电池回收利用标准体系。</w:t>
      </w:r>
    </w:p>
    <w:p w14:paraId="7AD42F33">
      <w:pPr>
        <w:pStyle w:val="5"/>
        <w:bidi w:val="0"/>
        <w:rPr>
          <w:rFonts w:hint="eastAsia"/>
          <w:lang w:val="en-US" w:eastAsia="zh-CN"/>
        </w:rPr>
      </w:pPr>
      <w:r>
        <w:rPr>
          <w:rFonts w:hint="default" w:ascii="Times New Roman" w:hAnsi="Times New Roman" w:cs="Times New Roman"/>
          <w:b/>
          <w:bCs/>
          <w:lang w:val="en-US" w:eastAsia="zh-CN"/>
        </w:rPr>
        <w:t>1.6</w:t>
      </w:r>
      <w:r>
        <w:rPr>
          <w:rFonts w:hint="eastAsia"/>
          <w:b/>
          <w:bCs/>
          <w:lang w:val="en-US" w:eastAsia="zh-CN"/>
        </w:rPr>
        <w:t>国际规则加速迭代，绿色贸易壁垒加剧，亟需对标先进提升国际竞争力</w:t>
      </w:r>
    </w:p>
    <w:p w14:paraId="79629ABD">
      <w:pPr>
        <w:pStyle w:val="5"/>
        <w:bidi w:val="0"/>
        <w:rPr>
          <w:rFonts w:hint="eastAsia"/>
          <w:lang w:val="en-US" w:eastAsia="zh-CN"/>
        </w:rPr>
      </w:pPr>
      <w:r>
        <w:rPr>
          <w:rFonts w:hint="eastAsia"/>
          <w:lang w:val="en-US" w:eastAsia="zh-CN"/>
        </w:rPr>
        <w:t>全球新能源产业竞争已延伸至全生命周期与循环利用环节，欧盟电池法规等国际规则对电池回收利用率、再生材料含量、碳足迹、尽职调查等提出了严格的强制性要求，绿色贸易壁垒逐步形成。我国现行电池废料基础标准与国际先进规则存在明显差距，既不利于我国电池产业参与全球循环供应链竞争，也制约了中国标准的国际影响力输出。</w:t>
      </w:r>
    </w:p>
    <w:p w14:paraId="74F6D4C1">
      <w:pPr>
        <w:pStyle w:val="5"/>
        <w:bidi w:val="0"/>
        <w:rPr>
          <w:rFonts w:hint="eastAsia"/>
          <w:lang w:val="en-US" w:eastAsia="zh-CN"/>
        </w:rPr>
      </w:pPr>
      <w:r>
        <w:rPr>
          <w:rFonts w:hint="eastAsia"/>
          <w:lang w:val="en-US" w:eastAsia="zh-CN"/>
        </w:rPr>
        <w:t>因此，必须通过修订本标准，对接国际先进技术要求与管理理念，提升我国电池回收利用产业的规范化、国际化水平，增强我国在全球电池回收利用领域的标准话语权，支撑我国新能源产业高质量参与全球竞争。</w:t>
      </w:r>
    </w:p>
    <w:p w14:paraId="33419AC2">
      <w:pPr>
        <w:pStyle w:val="5"/>
        <w:keepNext w:val="0"/>
        <w:keepLines w:val="0"/>
        <w:pageBreakBefore w:val="0"/>
        <w:widowControl w:val="0"/>
        <w:numPr>
          <w:ilvl w:val="0"/>
          <w:numId w:val="6"/>
        </w:numPr>
        <w:kinsoku/>
        <w:wordWrap/>
        <w:overflowPunct/>
        <w:topLinePunct w:val="0"/>
        <w:autoSpaceDE/>
        <w:autoSpaceDN/>
        <w:bidi w:val="0"/>
        <w:adjustRightInd/>
        <w:snapToGrid/>
        <w:ind w:firstLine="0" w:firstLineChars="0"/>
        <w:textAlignment w:val="auto"/>
        <w:rPr>
          <w:rFonts w:hint="default" w:ascii="黑体" w:hAnsi="宋体" w:eastAsia="黑体" w:cs="宋体"/>
          <w:bCs/>
          <w:color w:val="auto"/>
          <w:sz w:val="21"/>
          <w:szCs w:val="21"/>
          <w:lang w:val="en-US" w:eastAsia="zh-CN"/>
        </w:rPr>
      </w:pPr>
      <w:r>
        <w:rPr>
          <w:rFonts w:hint="eastAsia" w:ascii="黑体" w:hAnsi="宋体" w:eastAsia="黑体" w:cs="宋体"/>
          <w:bCs/>
          <w:color w:val="auto"/>
          <w:sz w:val="21"/>
          <w:szCs w:val="21"/>
          <w:lang w:val="en-US" w:eastAsia="zh-CN"/>
        </w:rPr>
        <w:t>项目的可行性阐述</w:t>
      </w:r>
    </w:p>
    <w:p w14:paraId="749B3E71">
      <w:pPr>
        <w:pStyle w:val="5"/>
        <w:bidi w:val="0"/>
        <w:rPr>
          <w:rFonts w:hint="default"/>
          <w:b/>
          <w:bCs/>
          <w:lang w:val="en-US" w:eastAsia="zh-CN"/>
        </w:rPr>
      </w:pPr>
      <w:r>
        <w:rPr>
          <w:rFonts w:hint="default" w:ascii="Times New Roman" w:hAnsi="Times New Roman" w:cs="Times New Roman"/>
          <w:b/>
          <w:bCs/>
          <w:lang w:val="en-US" w:eastAsia="zh-CN"/>
        </w:rPr>
        <w:t>2.1</w:t>
      </w:r>
      <w:r>
        <w:rPr>
          <w:rFonts w:hint="default"/>
          <w:b/>
          <w:bCs/>
          <w:lang w:val="en-US" w:eastAsia="zh-CN"/>
        </w:rPr>
        <w:t>政策法规体系健全，标准修订具备充分的制度保障</w:t>
      </w:r>
    </w:p>
    <w:p w14:paraId="598E22E9">
      <w:pPr>
        <w:pStyle w:val="5"/>
        <w:bidi w:val="0"/>
        <w:rPr>
          <w:rFonts w:hint="default"/>
          <w:lang w:val="en-US" w:eastAsia="zh-CN"/>
        </w:rPr>
      </w:pPr>
      <w:r>
        <w:rPr>
          <w:rFonts w:hint="default"/>
          <w:lang w:val="en-US" w:eastAsia="zh-CN"/>
        </w:rPr>
        <w:t>当前我国已构建起覆盖法律、行政法规、部门规章、产业规划的多层级废旧电池管理政策体系，为本标准的修订提供了清晰的上位依据与制度支撑。《中华人民共和国固体废物污染环境防治法》《中华人民共和国循环经济促进法》《中华人民共和国标准化法》等法律均对固体废物资源化利用、标准化建设提出明确要求，为本标准的修订方向与核心内容划定了法定框架。《新能源汽车动力蓄电池回收利用管理暂行办法》《工业固体废物资源综合利用评价管理暂行办法》《</w:t>
      </w:r>
      <w:r>
        <w:rPr>
          <w:rFonts w:hint="eastAsia" w:ascii="宋体" w:hAnsi="宋体" w:eastAsia="宋体" w:cs="宋体"/>
          <w:lang w:val="en-US" w:eastAsia="zh-CN"/>
        </w:rPr>
        <w:t>“十五五”</w:t>
      </w:r>
      <w:r>
        <w:rPr>
          <w:rFonts w:hint="default"/>
          <w:lang w:val="en-US" w:eastAsia="zh-CN"/>
        </w:rPr>
        <w:t>循环经济发展规划》等政策文件，明确要求完善废旧电池回收利用标准体系、规范废料流通管理、提升资源利用效率，标准修订与国家战略导向高度契合，立项与实施均具备充足的政策支撑。国家标准化发展纲要、工业领域标准化提升计划均将新能源与循环经济领域标准列为重点建设方向，本标准修订符合国家标准制修订工作的整体部署，立项流程与编制要求均有章可循。</w:t>
      </w:r>
    </w:p>
    <w:p w14:paraId="695BCFAB">
      <w:pPr>
        <w:pStyle w:val="5"/>
        <w:bidi w:val="0"/>
        <w:rPr>
          <w:rFonts w:hint="default"/>
          <w:b/>
          <w:bCs/>
          <w:lang w:val="en-US" w:eastAsia="zh-CN"/>
        </w:rPr>
      </w:pPr>
      <w:r>
        <w:rPr>
          <w:rFonts w:hint="default" w:ascii="Times New Roman" w:hAnsi="Times New Roman" w:cs="Times New Roman"/>
          <w:b/>
          <w:bCs/>
          <w:lang w:val="en-US" w:eastAsia="zh-CN"/>
        </w:rPr>
        <w:t>2.2</w:t>
      </w:r>
      <w:r>
        <w:rPr>
          <w:rFonts w:hint="default"/>
          <w:b/>
          <w:bCs/>
          <w:lang w:val="en-US" w:eastAsia="zh-CN"/>
        </w:rPr>
        <w:t>产业实践基础雄厚，标准落地具备广泛的市场内生动力</w:t>
      </w:r>
    </w:p>
    <w:p w14:paraId="20198897">
      <w:pPr>
        <w:pStyle w:val="5"/>
        <w:bidi w:val="0"/>
        <w:rPr>
          <w:rFonts w:hint="default"/>
          <w:lang w:val="en-US" w:eastAsia="zh-CN"/>
        </w:rPr>
      </w:pPr>
      <w:r>
        <w:rPr>
          <w:rFonts w:hint="default"/>
          <w:lang w:val="en-US" w:eastAsia="zh-CN"/>
        </w:rPr>
        <w:t>我国充电电池与回收利用产业已进入规模化、规范化发展阶段，产业体量与运营经验足以支撑新标准的落地实施。我国已成为全球最大的充电电池生产国与应用市场，锂离子电池产能、新能源汽车保有量、废旧电池退役量均居全球首位。截至</w:t>
      </w:r>
      <w:r>
        <w:rPr>
          <w:rFonts w:hint="default" w:ascii="Times New Roman" w:hAnsi="Times New Roman" w:cs="Times New Roman"/>
          <w:lang w:val="en-US" w:eastAsia="zh-CN"/>
        </w:rPr>
        <w:t>2025</w:t>
      </w:r>
      <w:r>
        <w:rPr>
          <w:rFonts w:hint="default"/>
          <w:lang w:val="en-US" w:eastAsia="zh-CN"/>
        </w:rPr>
        <w:t>年，我国动力电池回收利用企业已超万家，建成了覆盖全国的回收服务网点与规模化拆解、再生利用产能，产业链条完整，产业运行模式成熟，具备执行统一分类分级标准的产业基础。经过十余年发展，回收、贸易、加工利用各环节企业已形成大量实操经验，头部企业普遍建立了企业内部的废料分类、质量检验与储运管控体系；行业协会也已发布多项相关团体标准，为国家标准的修订积累了丰富的实践素材与验证基础。产业链上下游对统一的废料质量标准诉求强烈，贸易环节对分级定价、品质判定的标准化需求迫切，标准发布后可直接降低全链条交易成本，市场主体具备主动执行的内生动力，标准实施具备广泛的市场基础。</w:t>
      </w:r>
    </w:p>
    <w:p w14:paraId="41FEA819">
      <w:pPr>
        <w:pStyle w:val="5"/>
        <w:bidi w:val="0"/>
        <w:rPr>
          <w:rFonts w:hint="default"/>
          <w:b/>
          <w:bCs/>
          <w:lang w:val="en-US" w:eastAsia="zh-CN"/>
        </w:rPr>
      </w:pPr>
      <w:r>
        <w:rPr>
          <w:rFonts w:hint="default" w:ascii="Times New Roman" w:hAnsi="Times New Roman" w:cs="Times New Roman"/>
          <w:b/>
          <w:bCs/>
          <w:lang w:val="en-US" w:eastAsia="zh-CN"/>
        </w:rPr>
        <w:t>2.3</w:t>
      </w:r>
      <w:r>
        <w:rPr>
          <w:rFonts w:hint="default"/>
          <w:b/>
          <w:bCs/>
          <w:lang w:val="en-US" w:eastAsia="zh-CN"/>
        </w:rPr>
        <w:t>技术体系与检测能力成熟，标准内容具备科学落地的支撑条件</w:t>
      </w:r>
    </w:p>
    <w:p w14:paraId="79DBB233">
      <w:pPr>
        <w:pStyle w:val="5"/>
        <w:bidi w:val="0"/>
        <w:rPr>
          <w:rFonts w:hint="default"/>
          <w:lang w:val="en-US" w:eastAsia="zh-CN"/>
        </w:rPr>
      </w:pPr>
      <w:r>
        <w:rPr>
          <w:rFonts w:hint="default"/>
          <w:lang w:val="en-US" w:eastAsia="zh-CN"/>
        </w:rPr>
        <w:t>当前废旧电池回收利用领域的工艺技术、检测方法与数据积累已较为成熟，能够支撑标准技术指标的科学设定与可验证、可执行。物理分选、湿法冶金、火法冶金、定向修复等主流回收利用技术均已实现大规模工业化应用，行业对不同品类、不同品级废料的处理工艺、金属回收率、成本效益均有清晰认知，能够为分类分级指标的设定提供成熟的技术依据。</w:t>
      </w:r>
    </w:p>
    <w:p w14:paraId="777C0F49">
      <w:pPr>
        <w:pStyle w:val="5"/>
        <w:bidi w:val="0"/>
        <w:rPr>
          <w:rFonts w:hint="default"/>
          <w:lang w:val="en-US" w:eastAsia="zh-CN"/>
        </w:rPr>
      </w:pPr>
      <w:r>
        <w:rPr>
          <w:rFonts w:hint="default"/>
          <w:lang w:val="en-US" w:eastAsia="zh-CN"/>
        </w:rPr>
        <w:t>我国已发布系列检测标准，覆盖锂、钴、镍、铜、锰等有价金属及氟、氯、重金属等有害杂质的定量检测；残余电压、电解液泄漏、易燃易爆组分等安全指标也已形成成熟的测试方法，标准中所有技术指标均有对应的权威检测方法支撑，可量化、可检验、可判定。高校、科研院所与龙头企业已开展大量充电电池废料成分分析、安全特性、环境风险等研究，积累了海量的品类成分数据、安全阈值数据与污染防控参数，能够为标准中分级阈值、限量指标的科学设定提供充足的数据支撑，保障标准技术内容的科学性与合理性。针对锂离子电池废料的热失控防控、防短路包装、防渗储运、废气废液处置等安全环保技术已广泛应用，行业已形成成熟的管控方案与操作规范，可直接转化为标准中的安全环保条款，保障相关要求可落地执行。</w:t>
      </w:r>
    </w:p>
    <w:p w14:paraId="01E11BC8">
      <w:pPr>
        <w:pStyle w:val="5"/>
        <w:bidi w:val="0"/>
        <w:rPr>
          <w:rFonts w:hint="default"/>
          <w:b/>
          <w:bCs/>
          <w:lang w:val="en-US" w:eastAsia="zh-CN"/>
        </w:rPr>
      </w:pPr>
      <w:r>
        <w:rPr>
          <w:rFonts w:hint="default" w:ascii="Times New Roman" w:hAnsi="Times New Roman" w:cs="Times New Roman"/>
          <w:b/>
          <w:bCs/>
          <w:lang w:val="en-US" w:eastAsia="zh-CN"/>
        </w:rPr>
        <w:t>2.4</w:t>
      </w:r>
      <w:r>
        <w:rPr>
          <w:rFonts w:hint="default"/>
          <w:b/>
          <w:bCs/>
          <w:lang w:val="en-US" w:eastAsia="zh-CN"/>
        </w:rPr>
        <w:t>上下游标准体系逐步完善，标准协同衔接具备良好的体系基础</w:t>
      </w:r>
    </w:p>
    <w:p w14:paraId="7D3DBF24">
      <w:pPr>
        <w:pStyle w:val="5"/>
        <w:bidi w:val="0"/>
        <w:rPr>
          <w:rFonts w:hint="default"/>
          <w:lang w:val="en-US" w:eastAsia="zh-CN"/>
        </w:rPr>
      </w:pPr>
      <w:r>
        <w:rPr>
          <w:rFonts w:hint="default"/>
          <w:lang w:val="en-US" w:eastAsia="zh-CN"/>
        </w:rPr>
        <w:t>经过多年建设，我国废旧电池回收利用标准体系已初具规模，为本标准的修订与协同配套提供了坚实的体系支撑。目前我国已发布</w:t>
      </w:r>
      <w:r>
        <w:rPr>
          <w:rFonts w:hint="default" w:ascii="Times New Roman" w:hAnsi="Times New Roman" w:cs="Times New Roman"/>
          <w:lang w:val="en-US" w:eastAsia="zh-CN"/>
        </w:rPr>
        <w:t xml:space="preserve"> GB/T 33598《车用动力电池回收利用》系列标准、GB/T 39224《废旧电池回收技术规范》、GB 34330《固体废物鉴别标准 通则》、再生产品质量标准、污染控制标准等20余项</w:t>
      </w:r>
      <w:r>
        <w:rPr>
          <w:rFonts w:hint="default"/>
          <w:lang w:val="en-US" w:eastAsia="zh-CN"/>
        </w:rPr>
        <w:t>相关国家标准，覆盖回收、拆解、利用、检测、污染防控等全链条环节。本次修订可直接对接现有上下游标准，在术语定义、分类口径、检测方法、判定规则等方面保持统一，既避免标准交叉矛盾，也可直接引用成熟的技术条款与方法标准，大幅提升编制效率与标准体系的整体协调性，保障本标准与现行标准体系无缝衔接、协同发力。</w:t>
      </w:r>
    </w:p>
    <w:p w14:paraId="377517C9">
      <w:pPr>
        <w:pStyle w:val="5"/>
        <w:bidi w:val="0"/>
        <w:rPr>
          <w:rFonts w:hint="default" w:ascii="Times New Roman" w:hAnsi="Times New Roman" w:cs="Times New Roman"/>
          <w:b/>
          <w:bCs/>
          <w:lang w:val="en-US" w:eastAsia="zh-CN"/>
        </w:rPr>
      </w:pPr>
      <w:r>
        <w:rPr>
          <w:rFonts w:hint="default" w:ascii="Times New Roman" w:hAnsi="Times New Roman" w:cs="Times New Roman"/>
          <w:b/>
          <w:bCs/>
          <w:lang w:val="en-US" w:eastAsia="zh-CN"/>
        </w:rPr>
        <w:t>2.5编制团队与行业共识扎实，标准编制与实施具备组织保障</w:t>
      </w:r>
    </w:p>
    <w:p w14:paraId="15815022">
      <w:pPr>
        <w:pStyle w:val="5"/>
        <w:bidi w:val="0"/>
        <w:rPr>
          <w:rFonts w:hint="default"/>
          <w:lang w:val="en-US" w:eastAsia="zh-CN"/>
        </w:rPr>
      </w:pPr>
      <w:r>
        <w:rPr>
          <w:rFonts w:hint="default"/>
          <w:lang w:val="en-US" w:eastAsia="zh-CN"/>
        </w:rPr>
        <w:t xml:space="preserve">本标准修订由行业龙头企业、行业协会等单位共同组成编制工作组，覆盖电池生产、回收、拆解、再生利用、检测、监管等全产业链环节，参编单位均具备丰富的行业经验与标准编制能力，能够保障标准内容贴合产业实际、技术专业严谨。前期调研显示，监管部门、生产企业、回收企业、利用企业均对本标准修订高度认可、诉求一致，行业内已形成 </w:t>
      </w:r>
      <w:r>
        <w:rPr>
          <w:rFonts w:hint="eastAsia" w:ascii="宋体" w:hAnsi="宋体" w:eastAsia="宋体" w:cs="宋体"/>
          <w:lang w:val="en-US" w:eastAsia="zh-CN"/>
        </w:rPr>
        <w:t xml:space="preserve">“统一标准、规范流通、提升效率” </w:t>
      </w:r>
      <w:r>
        <w:rPr>
          <w:rFonts w:hint="default"/>
          <w:lang w:val="en-US" w:eastAsia="zh-CN"/>
        </w:rPr>
        <w:t>的普遍共识，标准编制过程中可充分吸纳各方意见，保障标准的普适性与可接受度。编制组已先期开展行业调研、数据收集、旧标准实施评估等预研工作，梳理了现行标准的核心问题与产业核心需求，明确了修订方向与重点内容，为标准正式编制奠定了扎实的工作基础。</w:t>
      </w:r>
    </w:p>
    <w:p w14:paraId="745C401D">
      <w:pPr>
        <w:pStyle w:val="5"/>
        <w:numPr>
          <w:ilvl w:val="0"/>
          <w:numId w:val="6"/>
        </w:numPr>
        <w:ind w:left="0" w:leftChars="0" w:firstLine="0" w:firstLineChars="0"/>
        <w:rPr>
          <w:rFonts w:hint="eastAsia" w:ascii="黑体" w:eastAsia="黑体" w:cs="Arial"/>
          <w:color w:val="auto"/>
          <w:sz w:val="21"/>
          <w:szCs w:val="21"/>
          <w:lang w:val="en-US" w:eastAsia="zh-CN"/>
        </w:rPr>
      </w:pPr>
      <w:r>
        <w:rPr>
          <w:rFonts w:hint="eastAsia" w:ascii="黑体" w:eastAsia="黑体" w:cs="Arial"/>
          <w:color w:val="auto"/>
          <w:sz w:val="21"/>
          <w:szCs w:val="21"/>
          <w:lang w:val="en-US" w:eastAsia="zh-CN"/>
        </w:rPr>
        <w:t>试验验证分析</w:t>
      </w:r>
    </w:p>
    <w:p w14:paraId="77A9AF71">
      <w:pPr>
        <w:pStyle w:val="5"/>
        <w:numPr>
          <w:ilvl w:val="0"/>
          <w:numId w:val="0"/>
        </w:numPr>
        <w:ind w:leftChars="0" w:firstLine="420" w:firstLineChars="200"/>
        <w:rPr>
          <w:rFonts w:hint="eastAsia" w:ascii="黑体" w:hAnsi="宋体" w:eastAsia="黑体" w:cs="宋体"/>
          <w:bCs/>
          <w:color w:val="auto"/>
          <w:sz w:val="21"/>
          <w:szCs w:val="21"/>
          <w:lang w:val="en-US" w:eastAsia="zh-CN"/>
        </w:rPr>
      </w:pPr>
      <w:r>
        <w:rPr>
          <w:rFonts w:hint="eastAsia" w:ascii="宋体" w:hAnsi="宋体" w:eastAsiaTheme="minorEastAsia" w:cstheme="minorBidi"/>
          <w:color w:val="auto"/>
          <w:kern w:val="2"/>
          <w:sz w:val="21"/>
          <w:szCs w:val="21"/>
          <w:lang w:val="en-US" w:eastAsia="zh-CN" w:bidi="ar-SA"/>
        </w:rPr>
        <w:t>本文件主要为产品要求，不涉及试验验证。</w:t>
      </w:r>
    </w:p>
    <w:p w14:paraId="7A8585F2">
      <w:pPr>
        <w:pStyle w:val="5"/>
        <w:numPr>
          <w:ilvl w:val="0"/>
          <w:numId w:val="6"/>
        </w:numPr>
        <w:ind w:left="0" w:leftChars="0" w:firstLine="0" w:firstLineChars="0"/>
        <w:rPr>
          <w:rFonts w:hint="eastAsia" w:ascii="黑体" w:hAnsi="宋体" w:eastAsia="黑体" w:cs="宋体"/>
          <w:bCs/>
          <w:color w:val="auto"/>
          <w:sz w:val="21"/>
          <w:szCs w:val="21"/>
          <w:lang w:val="en-US" w:eastAsia="zh-CN"/>
        </w:rPr>
      </w:pPr>
      <w:r>
        <w:rPr>
          <w:rFonts w:hint="eastAsia" w:ascii="黑体" w:hAnsi="宋体" w:eastAsia="黑体" w:cs="宋体"/>
          <w:bCs/>
          <w:color w:val="auto"/>
          <w:sz w:val="21"/>
          <w:szCs w:val="21"/>
          <w:lang w:val="en-US" w:eastAsia="zh-CN"/>
        </w:rPr>
        <w:t>标准的先进性、创新性、标准实施后预期产生的经济效益和社会效益</w:t>
      </w:r>
    </w:p>
    <w:p w14:paraId="1514DCBD">
      <w:pPr>
        <w:pStyle w:val="5"/>
        <w:numPr>
          <w:ilvl w:val="0"/>
          <w:numId w:val="0"/>
        </w:numPr>
        <w:ind w:firstLine="422" w:firstLineChars="200"/>
        <w:rPr>
          <w:rFonts w:hint="eastAsia" w:ascii="宋体" w:hAnsi="宋体" w:eastAsiaTheme="minorEastAsia" w:cstheme="minorBidi"/>
          <w:b/>
          <w:bCs/>
          <w:color w:val="auto"/>
          <w:kern w:val="2"/>
          <w:sz w:val="21"/>
          <w:szCs w:val="21"/>
          <w:lang w:val="en-US" w:eastAsia="zh-CN" w:bidi="ar-SA"/>
        </w:rPr>
      </w:pPr>
      <w:r>
        <w:rPr>
          <w:rFonts w:hint="eastAsia" w:ascii="宋体" w:hAnsi="宋体" w:eastAsiaTheme="minorEastAsia" w:cstheme="minorBidi"/>
          <w:b/>
          <w:bCs/>
          <w:color w:val="auto"/>
          <w:kern w:val="2"/>
          <w:sz w:val="21"/>
          <w:szCs w:val="21"/>
          <w:lang w:val="en-US" w:eastAsia="zh-CN" w:bidi="ar-SA"/>
        </w:rPr>
        <w:t>4.1先进性、创新性</w:t>
      </w:r>
    </w:p>
    <w:p w14:paraId="26F1A97A">
      <w:pPr>
        <w:pStyle w:val="5"/>
        <w:numPr>
          <w:ilvl w:val="0"/>
          <w:numId w:val="0"/>
        </w:numPr>
        <w:ind w:firstLine="420" w:firstLineChars="200"/>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本标准立足我国充电电池回收利用产业发展实际，对标国际先进规则与技术水平，聚焦行业核心痛点进行全面升级，在覆盖范围、技术指标、安全管控、体系协同等方面均体现出显著的先进性。本标准突破旧版仅覆盖铅酸、镍氢等传统电池的局限，将锂离子电池、钠离子电池等当前主流及新兴充电电池全部纳入适用范围，全面覆盖消费电子、新能源汽车、储能等全应用场景的生产废料与退役废件，精准匹配我国新能源产业结构升级的发展态势，解决了占行业绝对主流的锂电废料长期缺乏国家级基础质量标准的痛点，标准的产业适配性与适用性处于国内领先水平。标准建立了基于主金属含量、有害杂质限量、安全属性的多维度指标体系，各项阈值均基于行业海量实测数据与工业化应用经验科学设定，兼顾资源利用价值、环保管控要求与经济可行性。有价金属分级指标匹配当前主流再生利用工艺的效益阈值，有害杂质限值对接现行污染物控制标准，所有检测方法均引用成熟、权威的国家检测标准，确保指标可量化、可检验、可复现，技术指标体系的科学性与实操性达到行业先进水平。本标准突破传统废料标准仅关注成分质量的局限，将安全管控前置到废料质量分级与流通环节，针对锂离子电池等高风险品类，创新性纳入残余电压限值、电解液残留管控、易燃易爆组分约束等安全指标，并配套防短路、防渗、阻燃等包装储运要求，从源头防控热失控、腐蚀泄漏等安全风险。相关安全技术要求对标欧盟电池法规等国际先进管控规则，契合我国安全生产与生态环保的严监管趋势，安全环保管控理念与技术要求具有显著前瞻性。</w:t>
      </w:r>
    </w:p>
    <w:p w14:paraId="50AF659D">
      <w:pPr>
        <w:pStyle w:val="5"/>
        <w:numPr>
          <w:ilvl w:val="0"/>
          <w:numId w:val="0"/>
        </w:numPr>
        <w:ind w:firstLine="422" w:firstLineChars="200"/>
        <w:rPr>
          <w:rFonts w:hint="eastAsia" w:ascii="宋体" w:hAnsi="宋体" w:eastAsiaTheme="minorEastAsia" w:cstheme="minorBidi"/>
          <w:b/>
          <w:bCs/>
          <w:color w:val="auto"/>
          <w:kern w:val="2"/>
          <w:sz w:val="21"/>
          <w:szCs w:val="21"/>
          <w:lang w:val="en-US" w:eastAsia="zh-CN" w:bidi="ar-SA"/>
        </w:rPr>
      </w:pPr>
      <w:r>
        <w:rPr>
          <w:rFonts w:hint="default" w:ascii="Times New Roman" w:hAnsi="Times New Roman" w:cs="Times New Roman" w:eastAsiaTheme="minorEastAsia"/>
          <w:b/>
          <w:bCs/>
          <w:color w:val="auto"/>
          <w:kern w:val="2"/>
          <w:sz w:val="21"/>
          <w:szCs w:val="21"/>
          <w:lang w:val="en-US" w:eastAsia="zh-CN" w:bidi="ar-SA"/>
        </w:rPr>
        <w:t>4.2</w:t>
      </w:r>
      <w:r>
        <w:rPr>
          <w:rFonts w:hint="eastAsia" w:ascii="宋体" w:hAnsi="宋体" w:eastAsiaTheme="minorEastAsia" w:cstheme="minorBidi"/>
          <w:b/>
          <w:bCs/>
          <w:color w:val="auto"/>
          <w:kern w:val="2"/>
          <w:sz w:val="21"/>
          <w:szCs w:val="21"/>
          <w:lang w:val="en-US" w:eastAsia="zh-CN" w:bidi="ar-SA"/>
        </w:rPr>
        <w:t>经济效益</w:t>
      </w:r>
    </w:p>
    <w:p w14:paraId="23D9E732">
      <w:pPr>
        <w:pStyle w:val="5"/>
        <w:bidi w:val="0"/>
        <w:rPr>
          <w:rFonts w:hint="default" w:ascii="Times New Roman" w:hAnsi="Times New Roman" w:cs="Times New Roman"/>
          <w:b/>
          <w:bCs/>
          <w:lang w:val="en-US" w:eastAsia="zh-CN"/>
        </w:rPr>
      </w:pPr>
      <w:r>
        <w:rPr>
          <w:rFonts w:hint="default" w:ascii="Times New Roman" w:hAnsi="Times New Roman" w:cs="Times New Roman"/>
          <w:b/>
          <w:bCs/>
          <w:lang w:val="en-US" w:eastAsia="zh-CN"/>
        </w:rPr>
        <w:t>4.2.1 降低全链条交易成本，提升流通效率</w:t>
      </w:r>
    </w:p>
    <w:p w14:paraId="3A3E2BAC">
      <w:pPr>
        <w:pStyle w:val="5"/>
        <w:bidi w:val="0"/>
        <w:rPr>
          <w:rFonts w:hint="eastAsia"/>
          <w:lang w:val="en-US" w:eastAsia="zh-CN"/>
        </w:rPr>
      </w:pPr>
      <w:r>
        <w:rPr>
          <w:rFonts w:hint="eastAsia"/>
          <w:lang w:val="en-US" w:eastAsia="zh-CN"/>
        </w:rPr>
        <w:t>标准实施后，行业将形成统一的分类分级、质量判定与检验规则，有效解决贸易双方判定口径不一、品质争议频发的痛点，大幅减少协商成本、纠纷处理成本与重复检测成本。预计可显著缩短废料贸易的质检与议价周期，降低全行业流通交易成本，提升废料周转效率与产业链整体运行效率。</w:t>
      </w:r>
    </w:p>
    <w:p w14:paraId="002C2672">
      <w:pPr>
        <w:pStyle w:val="5"/>
        <w:bidi w:val="0"/>
        <w:rPr>
          <w:rFonts w:hint="eastAsia"/>
          <w:lang w:val="en-US" w:eastAsia="zh-CN"/>
        </w:rPr>
      </w:pPr>
      <w:r>
        <w:rPr>
          <w:rFonts w:hint="default" w:ascii="Times New Roman" w:hAnsi="Times New Roman" w:eastAsia="宋体" w:cs="Times New Roman"/>
          <w:b/>
          <w:bCs/>
          <w:lang w:val="en-US" w:eastAsia="zh-CN"/>
        </w:rPr>
        <w:t>4.2.2提升资源利用效益，扩大再生资源供给</w:t>
      </w:r>
    </w:p>
    <w:p w14:paraId="0CB26FB8">
      <w:pPr>
        <w:pStyle w:val="5"/>
        <w:bidi w:val="0"/>
        <w:rPr>
          <w:rFonts w:hint="eastAsia"/>
          <w:lang w:val="en-US" w:eastAsia="zh-CN"/>
        </w:rPr>
      </w:pPr>
      <w:r>
        <w:rPr>
          <w:rFonts w:hint="eastAsia"/>
          <w:lang w:val="en-US" w:eastAsia="zh-CN"/>
        </w:rPr>
        <w:t>通过分级分类管理，推动不同品级、不同品类的废料匹配对应工艺实现精细化利用，有效避免高价值废料低效处理、有价金属浪费的问题，显著提升锂、钴、镍、铜等关键金属的综合回收率，扩大高品质再生金属供给规模。既可以直接提升回收利用企业的资源产出效益，也能降低下游再生材料产业的原料成本，同时减少我国对原生矿产的进口依赖，对冲国际矿产价格波动风险，保障新能源产业链供应链的成本稳定与供应安全。</w:t>
      </w:r>
    </w:p>
    <w:p w14:paraId="2020350D">
      <w:pPr>
        <w:pStyle w:val="5"/>
        <w:bidi w:val="0"/>
        <w:rPr>
          <w:rFonts w:hint="eastAsia"/>
          <w:lang w:val="en-US" w:eastAsia="zh-CN"/>
        </w:rPr>
      </w:pPr>
      <w:r>
        <w:rPr>
          <w:rFonts w:hint="default" w:ascii="Times New Roman" w:hAnsi="Times New Roman" w:eastAsia="宋体" w:cs="Times New Roman"/>
          <w:b/>
          <w:bCs/>
          <w:lang w:val="en-US" w:eastAsia="zh-CN"/>
        </w:rPr>
        <w:t>4.2.3推动产业集约化升级，提升行业整体盈利水平</w:t>
      </w:r>
    </w:p>
    <w:p w14:paraId="68AB938B">
      <w:pPr>
        <w:pStyle w:val="5"/>
        <w:bidi w:val="0"/>
        <w:rPr>
          <w:rFonts w:hint="eastAsia"/>
          <w:lang w:val="en-US" w:eastAsia="zh-CN"/>
        </w:rPr>
      </w:pPr>
      <w:r>
        <w:rPr>
          <w:rFonts w:hint="eastAsia"/>
          <w:lang w:val="en-US" w:eastAsia="zh-CN"/>
        </w:rPr>
        <w:t>统一的质量门槛与合规要求将倒逼技术落后、安全环保不达标的小型散乱主体退出市场，引导行业资源向规模化、规范化龙头企业集中，提升行业集中度与规模效应。同时，标准化的原料供给可支撑再生利用企业实现稳定化、连续化生产，降低生产波动损耗，提升产能利用率与整体盈利水平，推动行业从 “散乱低效” 向 “集约高效” 升级。</w:t>
      </w:r>
    </w:p>
    <w:p w14:paraId="61191A10">
      <w:pPr>
        <w:pStyle w:val="5"/>
        <w:bidi w:val="0"/>
        <w:rPr>
          <w:rFonts w:hint="default" w:ascii="Times New Roman" w:hAnsi="Times New Roman" w:eastAsia="宋体" w:cs="Times New Roman"/>
          <w:b/>
          <w:bCs/>
          <w:lang w:val="en-US" w:eastAsia="zh-CN"/>
        </w:rPr>
      </w:pPr>
      <w:r>
        <w:rPr>
          <w:rFonts w:hint="default" w:ascii="Times New Roman" w:hAnsi="Times New Roman" w:eastAsia="宋体" w:cs="Times New Roman"/>
          <w:b/>
          <w:bCs/>
          <w:lang w:val="en-US" w:eastAsia="zh-CN"/>
        </w:rPr>
        <w:t>4.2.4带动配套产业协同发展，创造新增经济价值</w:t>
      </w:r>
    </w:p>
    <w:p w14:paraId="3D612BB5">
      <w:pPr>
        <w:pStyle w:val="5"/>
        <w:bidi w:val="0"/>
        <w:rPr>
          <w:rFonts w:hint="eastAsia"/>
          <w:lang w:val="en-US" w:eastAsia="zh-CN"/>
        </w:rPr>
      </w:pPr>
      <w:r>
        <w:rPr>
          <w:rFonts w:hint="eastAsia"/>
          <w:lang w:val="en-US" w:eastAsia="zh-CN"/>
        </w:rPr>
        <w:t>标准的实施将带动专业化废料分选、检测、包装、仓储、物流等配套产业的规范化发展，催生一批专业化第三方服务机构，延伸产业链条，创造新的经济增长点与就业岗位。同时，规范化的产业环境将吸引更多社会资本进入电池回收利用领域，助力产业规模化扩张与技术迭代。</w:t>
      </w:r>
    </w:p>
    <w:p w14:paraId="3C8228E5">
      <w:pPr>
        <w:pStyle w:val="5"/>
        <w:numPr>
          <w:ilvl w:val="0"/>
          <w:numId w:val="0"/>
        </w:numPr>
        <w:ind w:firstLine="422" w:firstLineChars="200"/>
        <w:rPr>
          <w:rFonts w:hint="eastAsia" w:ascii="宋体" w:hAnsi="宋体" w:eastAsiaTheme="minorEastAsia" w:cstheme="minorBidi"/>
          <w:b/>
          <w:bCs/>
          <w:color w:val="auto"/>
          <w:kern w:val="2"/>
          <w:sz w:val="21"/>
          <w:szCs w:val="21"/>
          <w:lang w:val="en-US" w:eastAsia="zh-CN" w:bidi="ar-SA"/>
        </w:rPr>
      </w:pPr>
      <w:r>
        <w:rPr>
          <w:rFonts w:hint="default" w:ascii="Times New Roman" w:hAnsi="Times New Roman" w:cs="Times New Roman" w:eastAsiaTheme="minorEastAsia"/>
          <w:b/>
          <w:bCs/>
          <w:color w:val="auto"/>
          <w:kern w:val="2"/>
          <w:sz w:val="21"/>
          <w:szCs w:val="21"/>
          <w:lang w:val="en-US" w:eastAsia="zh-CN" w:bidi="ar-SA"/>
        </w:rPr>
        <w:t>4.3</w:t>
      </w:r>
      <w:r>
        <w:rPr>
          <w:rFonts w:hint="eastAsia" w:ascii="宋体" w:hAnsi="宋体" w:eastAsiaTheme="minorEastAsia" w:cstheme="minorBidi"/>
          <w:b/>
          <w:bCs/>
          <w:color w:val="auto"/>
          <w:kern w:val="2"/>
          <w:sz w:val="21"/>
          <w:szCs w:val="21"/>
          <w:lang w:val="en-US" w:eastAsia="zh-CN" w:bidi="ar-SA"/>
        </w:rPr>
        <w:t>社会效益</w:t>
      </w:r>
    </w:p>
    <w:p w14:paraId="37036644">
      <w:pPr>
        <w:pStyle w:val="5"/>
        <w:bidi w:val="0"/>
        <w:rPr>
          <w:rFonts w:hint="eastAsia"/>
          <w:lang w:val="en-US" w:eastAsia="zh-CN"/>
        </w:rPr>
      </w:pPr>
      <w:r>
        <w:rPr>
          <w:rFonts w:hint="default" w:ascii="Times New Roman" w:hAnsi="Times New Roman" w:cs="Times New Roman" w:eastAsiaTheme="minorEastAsia"/>
          <w:b/>
          <w:bCs/>
          <w:color w:val="auto"/>
          <w:kern w:val="2"/>
          <w:sz w:val="21"/>
          <w:szCs w:val="21"/>
          <w:lang w:val="en-US" w:eastAsia="zh-CN" w:bidi="ar-SA"/>
        </w:rPr>
        <w:t>4.3.1</w:t>
      </w:r>
      <w:r>
        <w:rPr>
          <w:rFonts w:hint="eastAsia"/>
          <w:b/>
          <w:bCs/>
          <w:lang w:val="en-US" w:eastAsia="zh-CN"/>
        </w:rPr>
        <w:t>防范安全环保风险，保障公共利益</w:t>
      </w:r>
    </w:p>
    <w:p w14:paraId="6D76EFCB">
      <w:pPr>
        <w:pStyle w:val="5"/>
        <w:bidi w:val="0"/>
        <w:rPr>
          <w:rFonts w:hint="eastAsia"/>
          <w:lang w:val="en-US" w:eastAsia="zh-CN"/>
        </w:rPr>
      </w:pPr>
      <w:r>
        <w:rPr>
          <w:rFonts w:hint="eastAsia"/>
          <w:lang w:val="en-US" w:eastAsia="zh-CN"/>
        </w:rPr>
        <w:t>标准中安全指标与储运管控要求的落地，将从源头规范锂电池废料的收集、暂存、转运行为，大幅降低短路起火、热失控爆炸、电解液泄漏等安全事故风险，有效防范非法拆解、违规倾倒导致的土壤、水体污染，保护生态环境与从业人员职业健康，维护公共安全与环境权益，具有显著的公共安全与生态环保效益。</w:t>
      </w:r>
    </w:p>
    <w:p w14:paraId="71915E28">
      <w:pPr>
        <w:pStyle w:val="5"/>
        <w:bidi w:val="0"/>
        <w:rPr>
          <w:rFonts w:hint="eastAsia"/>
          <w:lang w:val="en-US" w:eastAsia="zh-CN"/>
        </w:rPr>
      </w:pPr>
      <w:r>
        <w:rPr>
          <w:rFonts w:hint="default" w:ascii="Times New Roman" w:hAnsi="Times New Roman" w:cs="Times New Roman"/>
          <w:b/>
          <w:bCs/>
          <w:lang w:val="en-US" w:eastAsia="zh-CN"/>
        </w:rPr>
        <w:t>4.3.2保障战略资源安全，支撑产业自主可控</w:t>
      </w:r>
    </w:p>
    <w:p w14:paraId="1ED3229C">
      <w:pPr>
        <w:pStyle w:val="5"/>
        <w:bidi w:val="0"/>
        <w:rPr>
          <w:rFonts w:hint="eastAsia"/>
          <w:lang w:val="en-US" w:eastAsia="zh-CN"/>
        </w:rPr>
      </w:pPr>
      <w:r>
        <w:rPr>
          <w:rFonts w:hint="eastAsia"/>
          <w:lang w:val="en-US" w:eastAsia="zh-CN"/>
        </w:rPr>
        <w:t>本标准实施将有效提升废旧电池的资源化利用水平，推动 “城市矿山” 资源高效开发，扩大锂、钴、镍等新能源产业关键战略金属的再生供给规模，降低我国对境外原生矿产的依存度，缓解资源约束压力，保障新能源产业链供应链自主可控，对维护国家资源安全与产业安全具有重要战略意义。</w:t>
      </w:r>
    </w:p>
    <w:p w14:paraId="0B31B577">
      <w:pPr>
        <w:pStyle w:val="5"/>
        <w:bidi w:val="0"/>
        <w:rPr>
          <w:rFonts w:hint="default" w:ascii="Times New Roman" w:hAnsi="Times New Roman" w:cs="Times New Roman"/>
          <w:b/>
          <w:bCs/>
          <w:lang w:val="en-US" w:eastAsia="zh-CN"/>
        </w:rPr>
      </w:pPr>
      <w:r>
        <w:rPr>
          <w:rFonts w:hint="default" w:ascii="Times New Roman" w:hAnsi="Times New Roman" w:cs="Times New Roman"/>
          <w:b/>
          <w:bCs/>
          <w:lang w:val="en-US" w:eastAsia="zh-CN"/>
        </w:rPr>
        <w:t>4.3.3提升行业治理效能，完善治理体系</w:t>
      </w:r>
    </w:p>
    <w:p w14:paraId="23123571">
      <w:pPr>
        <w:pStyle w:val="5"/>
        <w:bidi w:val="0"/>
        <w:rPr>
          <w:rFonts w:hint="eastAsia"/>
          <w:lang w:val="en-US" w:eastAsia="zh-CN"/>
        </w:rPr>
      </w:pPr>
      <w:r>
        <w:rPr>
          <w:rFonts w:hint="eastAsia"/>
          <w:lang w:val="en-US" w:eastAsia="zh-CN"/>
        </w:rPr>
        <w:t>本标准为生态环境、工信、市场监管、应急管理等部门提供了统一、明确的技术判定依据，有效解决监管执法中标准依据不足、判定口径不一的问题，提升监管精准度与执法效能，推动废旧电池行业治理从 “粗放管控” 向 “精细化、标准化治理” 升级，助力完善我国固体废物环境治理体系。</w:t>
      </w:r>
    </w:p>
    <w:p w14:paraId="32C4EB4D">
      <w:pPr>
        <w:pStyle w:val="5"/>
        <w:bidi w:val="0"/>
        <w:rPr>
          <w:rFonts w:hint="eastAsia"/>
          <w:lang w:val="en-US" w:eastAsia="zh-CN"/>
        </w:rPr>
      </w:pPr>
      <w:r>
        <w:rPr>
          <w:rFonts w:hint="default" w:ascii="Times New Roman" w:hAnsi="Times New Roman" w:cs="Times New Roman"/>
          <w:b/>
          <w:bCs/>
          <w:lang w:val="en-US" w:eastAsia="zh-CN"/>
        </w:rPr>
        <w:t>4.3.4助力双碳目标实现，推动循环经济发展</w:t>
      </w:r>
    </w:p>
    <w:p w14:paraId="3F7393B1">
      <w:pPr>
        <w:pStyle w:val="5"/>
        <w:bidi w:val="0"/>
        <w:rPr>
          <w:rFonts w:hint="eastAsia"/>
          <w:lang w:val="en-US" w:eastAsia="zh-CN"/>
        </w:rPr>
      </w:pPr>
      <w:r>
        <w:rPr>
          <w:rFonts w:hint="eastAsia"/>
          <w:lang w:val="en-US" w:eastAsia="zh-CN"/>
        </w:rPr>
        <w:t>标准化的回收利用体系将提升电池全生命周期资源循环效率，减少原生矿产开采、冶炼带来的能源消耗与碳排放，显著降低电池产业全生命周期碳足迹，助力碳达峰碳中和目标实现。同时，标准将推动循环经济发展模式在电池产业落地，引领绿色生产与绿色消费理念，助力我国绿色低碳循环发展经济体系建设。</w:t>
      </w:r>
    </w:p>
    <w:p w14:paraId="31CDEF6D">
      <w:pPr>
        <w:pStyle w:val="5"/>
        <w:bidi w:val="0"/>
        <w:rPr>
          <w:rFonts w:hint="eastAsia"/>
          <w:lang w:val="en-US" w:eastAsia="zh-CN"/>
        </w:rPr>
      </w:pPr>
      <w:r>
        <w:rPr>
          <w:rFonts w:hint="default" w:ascii="Times New Roman" w:hAnsi="Times New Roman" w:eastAsia="宋体" w:cs="Times New Roman"/>
          <w:b/>
          <w:bCs/>
          <w:lang w:val="en-US" w:eastAsia="zh-CN"/>
        </w:rPr>
        <w:t>4.3.5增强国际产业话语权，支撑产业出海</w:t>
      </w:r>
    </w:p>
    <w:p w14:paraId="0A823E92">
      <w:pPr>
        <w:pStyle w:val="5"/>
        <w:bidi w:val="0"/>
        <w:rPr>
          <w:rFonts w:hint="eastAsia"/>
          <w:lang w:val="en-US" w:eastAsia="zh-CN"/>
        </w:rPr>
      </w:pPr>
      <w:r>
        <w:rPr>
          <w:rFonts w:hint="eastAsia"/>
          <w:lang w:val="en-US" w:eastAsia="zh-CN"/>
        </w:rPr>
        <w:t>本标准技术要求对接国际先进规则，将显著提升我国电池回收利用产业的规范化水平，支撑我国电池产业应对欧盟电池法规等国际绿色贸易壁垒，提升全球市场竞争力。同时，标准的实施将为全球电池循环利用提供中国方案与中国经验，推动中国标准向国际标准转化，增强我国在全球电池回收利用领域的标准话语权与产业影响力。</w:t>
      </w:r>
    </w:p>
    <w:p w14:paraId="73918671">
      <w:pPr>
        <w:pStyle w:val="5"/>
        <w:numPr>
          <w:ilvl w:val="0"/>
          <w:numId w:val="5"/>
        </w:numPr>
        <w:ind w:left="0" w:leftChars="0" w:firstLine="0" w:firstLineChars="0"/>
        <w:rPr>
          <w:rFonts w:hint="eastAsia" w:ascii="黑体" w:hAnsi="宋体" w:eastAsia="黑体" w:cs="宋体"/>
          <w:bCs/>
          <w:color w:val="auto"/>
          <w:sz w:val="21"/>
          <w:szCs w:val="21"/>
          <w:lang w:val="en-US" w:eastAsia="zh-CN"/>
        </w:rPr>
      </w:pPr>
      <w:r>
        <w:rPr>
          <w:rFonts w:hint="eastAsia" w:ascii="黑体" w:hAnsi="宋体" w:eastAsia="黑体" w:cs="宋体"/>
          <w:bCs/>
          <w:color w:val="auto"/>
          <w:sz w:val="21"/>
          <w:szCs w:val="21"/>
          <w:lang w:val="en-US" w:eastAsia="zh-CN"/>
        </w:rPr>
        <w:t>与国际标准和国外先进标准技术内容的对比</w:t>
      </w:r>
    </w:p>
    <w:p w14:paraId="2473A27F">
      <w:pPr>
        <w:pStyle w:val="5"/>
        <w:numPr>
          <w:ilvl w:val="0"/>
          <w:numId w:val="0"/>
        </w:numPr>
        <w:ind w:leftChars="0" w:firstLine="420" w:firstLineChars="200"/>
        <w:rPr>
          <w:rFonts w:hint="eastAsia" w:ascii="宋体" w:hAnsi="宋体" w:eastAsia="宋体" w:cs="宋体"/>
          <w:bCs/>
          <w:color w:val="auto"/>
          <w:sz w:val="21"/>
          <w:szCs w:val="21"/>
          <w:lang w:val="en-US" w:eastAsia="zh-CN"/>
        </w:rPr>
      </w:pPr>
      <w:r>
        <w:rPr>
          <w:rFonts w:hint="eastAsia" w:ascii="宋体" w:hAnsi="宋体" w:eastAsia="宋体" w:cs="宋体"/>
          <w:bCs/>
          <w:color w:val="auto"/>
          <w:sz w:val="21"/>
          <w:szCs w:val="21"/>
          <w:lang w:val="en-US" w:eastAsia="zh-CN"/>
        </w:rPr>
        <w:t>目前国际上对于电池废料废件以法规和法案的形式管控，无相应的标准技术内容可对比。</w:t>
      </w:r>
    </w:p>
    <w:p w14:paraId="384A44B5">
      <w:pPr>
        <w:keepNext w:val="0"/>
        <w:keepLines w:val="0"/>
        <w:pageBreakBefore w:val="0"/>
        <w:numPr>
          <w:ilvl w:val="0"/>
          <w:numId w:val="7"/>
        </w:numPr>
        <w:kinsoku/>
        <w:wordWrap/>
        <w:overflowPunct/>
        <w:topLinePunct w:val="0"/>
        <w:bidi w:val="0"/>
        <w:snapToGrid/>
        <w:spacing w:beforeLines="50" w:afterLines="50" w:line="440" w:lineRule="exact"/>
        <w:textAlignment w:val="auto"/>
        <w:rPr>
          <w:rFonts w:ascii="黑体" w:hAnsi="宋体" w:eastAsia="黑体" w:cs="宋体"/>
          <w:bCs/>
          <w:color w:val="auto"/>
          <w:sz w:val="21"/>
          <w:szCs w:val="21"/>
        </w:rPr>
      </w:pPr>
      <w:r>
        <w:rPr>
          <w:rFonts w:hint="eastAsia" w:ascii="黑体" w:hAnsi="宋体" w:eastAsia="黑体" w:cs="宋体"/>
          <w:bCs/>
          <w:color w:val="auto"/>
          <w:sz w:val="21"/>
          <w:szCs w:val="21"/>
          <w:lang w:val="en-US" w:eastAsia="zh-CN"/>
        </w:rPr>
        <w:t>以国际标准为基础的起草情况以及是否合规采用国际国外标准、未采用国际标准的原因</w:t>
      </w:r>
    </w:p>
    <w:p w14:paraId="112C52D6">
      <w:pPr>
        <w:pStyle w:val="5"/>
        <w:bidi w:val="0"/>
        <w:rPr>
          <w:rFonts w:hint="default"/>
          <w:lang w:val="en-US"/>
        </w:rPr>
      </w:pPr>
      <w:r>
        <w:rPr>
          <w:rFonts w:hint="eastAsia"/>
          <w:lang w:val="en-US" w:eastAsia="zh-CN"/>
        </w:rPr>
        <w:t>此标准以中国国情为基础修订，国际充电电池回收规模分散，还未形成相应标准。</w:t>
      </w:r>
    </w:p>
    <w:p w14:paraId="5EDE5AA9">
      <w:pPr>
        <w:keepNext w:val="0"/>
        <w:keepLines w:val="0"/>
        <w:pageBreakBefore w:val="0"/>
        <w:numPr>
          <w:ilvl w:val="0"/>
          <w:numId w:val="7"/>
        </w:numPr>
        <w:kinsoku/>
        <w:wordWrap/>
        <w:overflowPunct/>
        <w:topLinePunct w:val="0"/>
        <w:bidi w:val="0"/>
        <w:snapToGrid/>
        <w:spacing w:beforeLines="50" w:afterLines="50" w:line="440" w:lineRule="exact"/>
        <w:textAlignment w:val="auto"/>
        <w:rPr>
          <w:rFonts w:ascii="黑体" w:hAnsi="宋体" w:eastAsia="黑体" w:cs="宋体"/>
          <w:bCs/>
          <w:color w:val="auto"/>
          <w:sz w:val="21"/>
          <w:szCs w:val="21"/>
        </w:rPr>
      </w:pPr>
      <w:r>
        <w:rPr>
          <w:rFonts w:hint="eastAsia" w:ascii="黑体" w:hAnsi="宋体" w:eastAsia="黑体" w:cs="宋体"/>
          <w:bCs/>
          <w:color w:val="auto"/>
          <w:sz w:val="21"/>
          <w:szCs w:val="21"/>
        </w:rPr>
        <w:t>与</w:t>
      </w:r>
      <w:r>
        <w:rPr>
          <w:rFonts w:hint="eastAsia" w:ascii="黑体" w:hAnsi="宋体" w:eastAsia="黑体" w:cs="宋体"/>
          <w:bCs/>
          <w:color w:val="auto"/>
          <w:sz w:val="21"/>
          <w:szCs w:val="21"/>
          <w:lang w:val="en-US" w:eastAsia="zh-CN"/>
        </w:rPr>
        <w:t>有关</w:t>
      </w:r>
      <w:r>
        <w:rPr>
          <w:rFonts w:hint="eastAsia" w:ascii="黑体" w:hAnsi="宋体" w:eastAsia="黑体" w:cs="宋体"/>
          <w:bCs/>
          <w:color w:val="auto"/>
          <w:sz w:val="21"/>
          <w:szCs w:val="21"/>
        </w:rPr>
        <w:t>法律、</w:t>
      </w:r>
      <w:r>
        <w:rPr>
          <w:rFonts w:hint="eastAsia" w:ascii="黑体" w:hAnsi="宋体" w:eastAsia="黑体" w:cs="宋体"/>
          <w:bCs/>
          <w:color w:val="auto"/>
          <w:sz w:val="21"/>
          <w:szCs w:val="21"/>
          <w:lang w:val="en-US" w:eastAsia="zh-CN"/>
        </w:rPr>
        <w:t>行政</w:t>
      </w:r>
      <w:r>
        <w:rPr>
          <w:rFonts w:hint="eastAsia" w:ascii="黑体" w:hAnsi="宋体" w:eastAsia="黑体" w:cs="宋体"/>
          <w:bCs/>
          <w:color w:val="auto"/>
          <w:sz w:val="21"/>
          <w:szCs w:val="21"/>
        </w:rPr>
        <w:t>法规及相关标准</w:t>
      </w:r>
      <w:r>
        <w:rPr>
          <w:rFonts w:hint="eastAsia" w:ascii="黑体" w:hAnsi="宋体" w:eastAsia="黑体" w:cs="宋体"/>
          <w:bCs/>
          <w:color w:val="auto"/>
          <w:sz w:val="21"/>
          <w:szCs w:val="21"/>
          <w:lang w:val="en-US" w:eastAsia="zh-CN"/>
        </w:rPr>
        <w:t>的关系</w:t>
      </w:r>
    </w:p>
    <w:p w14:paraId="6E528D9E">
      <w:pPr>
        <w:keepNext w:val="0"/>
        <w:keepLines w:val="0"/>
        <w:pageBreakBefore w:val="0"/>
        <w:kinsoku/>
        <w:wordWrap/>
        <w:overflowPunct/>
        <w:topLinePunct w:val="0"/>
        <w:bidi w:val="0"/>
        <w:snapToGrid/>
        <w:spacing w:line="440" w:lineRule="exact"/>
        <w:ind w:firstLine="420" w:firstLineChars="200"/>
        <w:textAlignment w:val="auto"/>
        <w:rPr>
          <w:rFonts w:ascii="宋体" w:hAnsi="宋体"/>
          <w:color w:val="auto"/>
          <w:sz w:val="21"/>
          <w:szCs w:val="21"/>
        </w:rPr>
      </w:pPr>
      <w:r>
        <w:rPr>
          <w:rFonts w:hint="eastAsia" w:ascii="宋体" w:hAnsi="宋体"/>
          <w:color w:val="auto"/>
          <w:sz w:val="21"/>
          <w:szCs w:val="21"/>
        </w:rPr>
        <w:t>本标准符合现行法律、法规的要求，并与其他同类国家标准、国家J用标准、行业标准无冲突、重叠和不协调之处。</w:t>
      </w:r>
    </w:p>
    <w:p w14:paraId="64DA2FDF">
      <w:pPr>
        <w:keepNext w:val="0"/>
        <w:keepLines w:val="0"/>
        <w:pageBreakBefore w:val="0"/>
        <w:numPr>
          <w:ilvl w:val="0"/>
          <w:numId w:val="7"/>
        </w:numPr>
        <w:kinsoku/>
        <w:wordWrap/>
        <w:overflowPunct/>
        <w:topLinePunct w:val="0"/>
        <w:bidi w:val="0"/>
        <w:snapToGrid/>
        <w:spacing w:beforeLines="50" w:afterLines="50" w:line="440" w:lineRule="exact"/>
        <w:ind w:left="0" w:leftChars="0" w:firstLine="0" w:firstLineChars="0"/>
        <w:textAlignment w:val="auto"/>
        <w:rPr>
          <w:rFonts w:hint="eastAsia"/>
          <w:lang w:val="en-US" w:eastAsia="zh-CN"/>
        </w:rPr>
      </w:pPr>
      <w:bookmarkStart w:id="2" w:name="_Toc32100"/>
      <w:r>
        <w:rPr>
          <w:rFonts w:hint="eastAsia" w:ascii="黑体" w:hAnsi="宋体" w:eastAsia="黑体" w:cs="宋体"/>
          <w:bCs/>
          <w:color w:val="auto"/>
          <w:sz w:val="21"/>
          <w:szCs w:val="21"/>
          <w:lang w:val="en-US" w:eastAsia="zh-CN"/>
        </w:rPr>
        <w:t>重大分歧意见的处理经过和依据</w:t>
      </w:r>
    </w:p>
    <w:p w14:paraId="6F080003">
      <w:pPr>
        <w:keepNext w:val="0"/>
        <w:keepLines w:val="0"/>
        <w:pageBreakBefore w:val="0"/>
        <w:kinsoku/>
        <w:wordWrap/>
        <w:overflowPunct/>
        <w:topLinePunct w:val="0"/>
        <w:bidi w:val="0"/>
        <w:snapToGrid/>
        <w:spacing w:line="440" w:lineRule="exact"/>
        <w:ind w:firstLine="420" w:firstLineChars="200"/>
        <w:textAlignment w:val="auto"/>
        <w:rPr>
          <w:rFonts w:hint="eastAsia"/>
          <w:lang w:val="en-US" w:eastAsia="zh-CN"/>
        </w:rPr>
      </w:pPr>
      <w:r>
        <w:rPr>
          <w:rFonts w:hint="eastAsia" w:ascii="宋体" w:hAnsi="宋体"/>
          <w:color w:val="auto"/>
          <w:sz w:val="21"/>
          <w:szCs w:val="21"/>
        </w:rPr>
        <w:t>暂无。</w:t>
      </w:r>
    </w:p>
    <w:p w14:paraId="71C50F35">
      <w:pPr>
        <w:keepNext w:val="0"/>
        <w:keepLines w:val="0"/>
        <w:pageBreakBefore w:val="0"/>
        <w:numPr>
          <w:ilvl w:val="0"/>
          <w:numId w:val="0"/>
        </w:numPr>
        <w:kinsoku/>
        <w:wordWrap/>
        <w:overflowPunct/>
        <w:topLinePunct w:val="0"/>
        <w:bidi w:val="0"/>
        <w:snapToGrid/>
        <w:spacing w:beforeLines="50" w:afterLines="50" w:line="440" w:lineRule="exact"/>
        <w:ind w:leftChars="0"/>
        <w:textAlignment w:val="auto"/>
        <w:rPr>
          <w:rFonts w:hint="default" w:ascii="黑体" w:hAnsi="宋体" w:eastAsia="黑体" w:cs="宋体"/>
          <w:bCs/>
          <w:color w:val="auto"/>
          <w:sz w:val="21"/>
          <w:szCs w:val="21"/>
          <w:lang w:val="en-US" w:eastAsia="zh-CN"/>
        </w:rPr>
      </w:pPr>
      <w:r>
        <w:rPr>
          <w:rFonts w:hint="eastAsia" w:ascii="黑体" w:hAnsi="宋体" w:eastAsia="黑体" w:cs="宋体"/>
          <w:bCs/>
          <w:color w:val="auto"/>
          <w:sz w:val="21"/>
          <w:szCs w:val="21"/>
          <w:lang w:val="en-US" w:eastAsia="zh-CN"/>
        </w:rPr>
        <w:t>八、涉及专利的有关说明</w:t>
      </w:r>
    </w:p>
    <w:p w14:paraId="5D347207">
      <w:pPr>
        <w:pStyle w:val="5"/>
        <w:ind w:firstLine="420" w:firstLineChars="200"/>
        <w:rPr>
          <w:rFonts w:hint="default"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本标准不涉及专利问题。</w:t>
      </w:r>
    </w:p>
    <w:bookmarkEnd w:id="2"/>
    <w:p w14:paraId="108A9374">
      <w:pPr>
        <w:keepNext w:val="0"/>
        <w:keepLines w:val="0"/>
        <w:pageBreakBefore w:val="0"/>
        <w:kinsoku/>
        <w:wordWrap/>
        <w:overflowPunct/>
        <w:topLinePunct w:val="0"/>
        <w:bidi w:val="0"/>
        <w:snapToGrid/>
        <w:spacing w:beforeLines="50" w:afterLines="50" w:line="440" w:lineRule="exact"/>
        <w:textAlignment w:val="auto"/>
        <w:rPr>
          <w:rFonts w:ascii="黑体" w:hAnsi="宋体" w:eastAsia="黑体" w:cs="宋体"/>
          <w:bCs/>
          <w:color w:val="auto"/>
          <w:sz w:val="21"/>
          <w:szCs w:val="21"/>
        </w:rPr>
      </w:pPr>
      <w:bookmarkStart w:id="3" w:name="_Toc15989"/>
      <w:r>
        <w:rPr>
          <w:rFonts w:hint="eastAsia" w:ascii="黑体" w:hAnsi="宋体" w:eastAsia="黑体" w:cs="宋体"/>
          <w:bCs/>
          <w:color w:val="auto"/>
          <w:sz w:val="21"/>
          <w:szCs w:val="21"/>
          <w:lang w:val="en-US" w:eastAsia="zh-CN"/>
        </w:rPr>
        <w:t>九</w:t>
      </w:r>
      <w:r>
        <w:rPr>
          <w:rFonts w:hint="eastAsia" w:ascii="黑体" w:hAnsi="宋体" w:eastAsia="黑体" w:cs="宋体"/>
          <w:bCs/>
          <w:color w:val="auto"/>
          <w:sz w:val="21"/>
          <w:szCs w:val="21"/>
        </w:rPr>
        <w:t>、</w:t>
      </w:r>
      <w:r>
        <w:rPr>
          <w:rFonts w:hint="eastAsia" w:ascii="黑体" w:hAnsi="宋体" w:eastAsia="黑体" w:cs="宋体"/>
          <w:bCs/>
          <w:color w:val="auto"/>
          <w:sz w:val="21"/>
          <w:szCs w:val="21"/>
          <w:lang w:val="en-US" w:eastAsia="zh-CN"/>
        </w:rPr>
        <w:t>实施国家标准的要求以及组织措施、技术措施、过渡期和实施日期的建议等措施建议</w:t>
      </w:r>
      <w:bookmarkEnd w:id="3"/>
    </w:p>
    <w:p w14:paraId="4555D66C">
      <w:pPr>
        <w:keepNext w:val="0"/>
        <w:keepLines w:val="0"/>
        <w:pageBreakBefore w:val="0"/>
        <w:kinsoku/>
        <w:wordWrap/>
        <w:overflowPunct/>
        <w:topLinePunct w:val="0"/>
        <w:bidi w:val="0"/>
        <w:snapToGrid/>
        <w:spacing w:line="440" w:lineRule="exact"/>
        <w:ind w:firstLine="420" w:firstLineChars="200"/>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rPr>
        <w:t>本标准建议作为推荐性</w:t>
      </w:r>
      <w:r>
        <w:rPr>
          <w:rFonts w:hint="eastAsia" w:ascii="宋体" w:hAnsi="宋体" w:eastAsia="宋体" w:cs="宋体"/>
          <w:color w:val="auto"/>
          <w:sz w:val="21"/>
          <w:szCs w:val="21"/>
          <w:lang w:val="en-US" w:eastAsia="zh-CN"/>
        </w:rPr>
        <w:t>国家标准</w:t>
      </w:r>
      <w:r>
        <w:rPr>
          <w:rFonts w:hint="eastAsia" w:ascii="宋体" w:hAnsi="宋体" w:eastAsia="宋体" w:cs="宋体"/>
          <w:color w:val="auto"/>
          <w:sz w:val="21"/>
          <w:szCs w:val="21"/>
        </w:rPr>
        <w:t>。</w:t>
      </w:r>
      <w:bookmarkStart w:id="4" w:name="_Toc15588"/>
      <w:r>
        <w:rPr>
          <w:rFonts w:hint="eastAsia" w:ascii="宋体" w:hAnsi="宋体" w:eastAsia="宋体" w:cs="宋体"/>
          <w:color w:val="auto"/>
          <w:sz w:val="21"/>
          <w:szCs w:val="21"/>
          <w:lang w:val="en-US" w:eastAsia="zh-CN"/>
        </w:rPr>
        <w:t>理由：1.电池废料废件管理属于资源循环利用的技术规范领域，非直接涉及人身健康、安全、环保底线的强制性范畴，更适合推荐性标准定位。2.技术路线多元，难以 “一刀切”。电池类型众多：铅酸、锂离子（三元、磷酸铁锂等）、镍氢等，废料特性差异大，处理方法各不相同。废件来源复杂：既有生产过程中的边角料、残次品，也有消费后废弃电池，处置要求差异明显。回收工艺路线多样：湿法、火法、物理分选等并行发展，推荐性标准可兼容多种技术路径。3.行业发展迅猛，标准需保持弹性。</w:t>
      </w:r>
    </w:p>
    <w:bookmarkEnd w:id="4"/>
    <w:p w14:paraId="7611A273">
      <w:pPr>
        <w:keepNext w:val="0"/>
        <w:keepLines w:val="0"/>
        <w:pageBreakBefore w:val="0"/>
        <w:kinsoku/>
        <w:wordWrap/>
        <w:overflowPunct/>
        <w:topLinePunct w:val="0"/>
        <w:bidi w:val="0"/>
        <w:snapToGrid/>
        <w:spacing w:line="440" w:lineRule="exact"/>
        <w:ind w:firstLine="420" w:firstLineChars="200"/>
        <w:textAlignment w:val="auto"/>
        <w:rPr>
          <w:rFonts w:hint="eastAsia" w:ascii="宋体" w:hAnsi="宋体" w:cs="宋体" w:eastAsiaTheme="minorEastAsia"/>
          <w:color w:val="auto"/>
          <w:sz w:val="21"/>
          <w:szCs w:val="21"/>
          <w:lang w:eastAsia="zh-CN"/>
        </w:rPr>
      </w:pPr>
      <w:r>
        <w:rPr>
          <w:rFonts w:hint="eastAsia" w:ascii="宋体" w:hAnsi="宋体" w:cs="宋体"/>
          <w:color w:val="auto"/>
          <w:sz w:val="21"/>
          <w:szCs w:val="21"/>
          <w:lang w:val="en-US" w:eastAsia="zh-CN"/>
        </w:rPr>
        <w:t xml:space="preserve">本标准发布实施之日起，代替GB/T 26932-2011《充电电池废料废件》 </w:t>
      </w:r>
    </w:p>
    <w:p w14:paraId="0B616CAB">
      <w:pPr>
        <w:keepNext w:val="0"/>
        <w:keepLines w:val="0"/>
        <w:pageBreakBefore w:val="0"/>
        <w:kinsoku/>
        <w:wordWrap/>
        <w:overflowPunct/>
        <w:topLinePunct w:val="0"/>
        <w:bidi w:val="0"/>
        <w:snapToGrid/>
        <w:spacing w:beforeLines="50" w:afterLines="50" w:line="440" w:lineRule="exact"/>
        <w:textAlignment w:val="auto"/>
        <w:rPr>
          <w:rFonts w:hint="default" w:ascii="Times New Roman" w:hAnsi="Times New Roman" w:eastAsia="黑体" w:cs="Times New Roman"/>
          <w:bCs/>
          <w:color w:val="auto"/>
          <w:sz w:val="21"/>
          <w:szCs w:val="21"/>
          <w:lang w:val="en-US" w:eastAsia="zh-CN"/>
        </w:rPr>
      </w:pPr>
      <w:bookmarkStart w:id="5" w:name="_Toc22451"/>
      <w:r>
        <w:rPr>
          <w:rFonts w:hint="eastAsia" w:ascii="黑体" w:hAnsi="宋体" w:eastAsia="黑体" w:cs="宋体"/>
          <w:bCs/>
          <w:color w:val="auto"/>
          <w:sz w:val="21"/>
          <w:szCs w:val="21"/>
        </w:rPr>
        <w:t>十、</w:t>
      </w:r>
      <w:r>
        <w:rPr>
          <w:rFonts w:hint="default" w:ascii="Times New Roman" w:hAnsi="Times New Roman" w:eastAsia="黑体" w:cs="Times New Roman"/>
          <w:bCs/>
          <w:color w:val="auto"/>
          <w:sz w:val="21"/>
          <w:szCs w:val="21"/>
          <w:lang w:val="en-US" w:eastAsia="zh-CN"/>
        </w:rPr>
        <w:t>公平竞争审查条例</w:t>
      </w:r>
    </w:p>
    <w:p w14:paraId="27F1F7F6">
      <w:pPr>
        <w:keepNext w:val="0"/>
        <w:keepLines w:val="0"/>
        <w:pageBreakBefore w:val="0"/>
        <w:kinsoku/>
        <w:wordWrap/>
        <w:overflowPunct/>
        <w:topLinePunct w:val="0"/>
        <w:bidi w:val="0"/>
        <w:snapToGrid/>
        <w:spacing w:line="440" w:lineRule="exact"/>
        <w:ind w:firstLine="420" w:firstLineChars="200"/>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依照《公平竞争审查条例》规定开展公平竞争审查，本标准不存在“限制或者变相限制市场准入和退出”、“限制或者变相限制商品要素自由流动”、“影响经营者生产经营成本”、“影响经营者生产经营行为”等情况，也不适用《公平竞争审查条例》第十二条的规定。</w:t>
      </w:r>
    </w:p>
    <w:p w14:paraId="668B5E7B">
      <w:pPr>
        <w:keepNext w:val="0"/>
        <w:keepLines w:val="0"/>
        <w:pageBreakBefore w:val="0"/>
        <w:kinsoku/>
        <w:wordWrap/>
        <w:overflowPunct/>
        <w:topLinePunct w:val="0"/>
        <w:bidi w:val="0"/>
        <w:snapToGrid/>
        <w:spacing w:beforeLines="50" w:afterLines="50" w:line="440" w:lineRule="exact"/>
        <w:textAlignment w:val="auto"/>
        <w:rPr>
          <w:rFonts w:hint="eastAsia" w:ascii="黑体" w:hAnsi="宋体" w:eastAsia="黑体" w:cs="宋体"/>
          <w:bCs/>
          <w:color w:val="auto"/>
          <w:sz w:val="21"/>
          <w:szCs w:val="21"/>
        </w:rPr>
      </w:pPr>
      <w:r>
        <w:rPr>
          <w:rFonts w:hint="default" w:ascii="Times New Roman" w:hAnsi="Times New Roman" w:cs="Times New Roman"/>
          <w:color w:val="auto"/>
          <w:sz w:val="21"/>
          <w:szCs w:val="21"/>
          <w:lang w:val="en-US" w:eastAsia="zh-CN"/>
        </w:rPr>
        <w:t>本标准审查结论为“不影响”</w:t>
      </w:r>
    </w:p>
    <w:p w14:paraId="532B4DF2">
      <w:pPr>
        <w:keepNext w:val="0"/>
        <w:keepLines w:val="0"/>
        <w:pageBreakBefore w:val="0"/>
        <w:kinsoku/>
        <w:wordWrap/>
        <w:overflowPunct/>
        <w:topLinePunct w:val="0"/>
        <w:bidi w:val="0"/>
        <w:snapToGrid/>
        <w:spacing w:beforeLines="50" w:afterLines="50" w:line="440" w:lineRule="exact"/>
        <w:textAlignment w:val="auto"/>
        <w:rPr>
          <w:rFonts w:ascii="黑体" w:hAnsi="宋体" w:eastAsia="黑体" w:cs="宋体"/>
          <w:bCs/>
          <w:color w:val="auto"/>
          <w:sz w:val="21"/>
          <w:szCs w:val="21"/>
        </w:rPr>
      </w:pPr>
      <w:r>
        <w:rPr>
          <w:rFonts w:hint="eastAsia" w:ascii="黑体" w:hAnsi="宋体" w:eastAsia="黑体" w:cs="宋体"/>
          <w:bCs/>
          <w:color w:val="auto"/>
          <w:sz w:val="21"/>
          <w:szCs w:val="21"/>
        </w:rPr>
        <w:t>十</w:t>
      </w:r>
      <w:r>
        <w:rPr>
          <w:rFonts w:hint="eastAsia" w:ascii="黑体" w:hAnsi="宋体" w:eastAsia="黑体" w:cs="宋体"/>
          <w:bCs/>
          <w:color w:val="auto"/>
          <w:sz w:val="21"/>
          <w:szCs w:val="21"/>
          <w:lang w:val="en-US" w:eastAsia="zh-CN"/>
        </w:rPr>
        <w:t>一</w:t>
      </w:r>
      <w:r>
        <w:rPr>
          <w:rFonts w:hint="eastAsia" w:ascii="黑体" w:hAnsi="宋体" w:eastAsia="黑体" w:cs="宋体"/>
          <w:bCs/>
          <w:color w:val="auto"/>
          <w:sz w:val="21"/>
          <w:szCs w:val="21"/>
        </w:rPr>
        <w:t>、其他</w:t>
      </w:r>
      <w:r>
        <w:rPr>
          <w:rFonts w:hint="eastAsia" w:ascii="黑体" w:hAnsi="宋体" w:eastAsia="黑体" w:cs="宋体"/>
          <w:bCs/>
          <w:color w:val="auto"/>
          <w:sz w:val="21"/>
          <w:szCs w:val="21"/>
          <w:lang w:val="en-US" w:eastAsia="zh-CN"/>
        </w:rPr>
        <w:t>应当说明的事项</w:t>
      </w:r>
      <w:r>
        <w:rPr>
          <w:rFonts w:hint="eastAsia" w:ascii="黑体" w:hAnsi="宋体" w:eastAsia="黑体" w:cs="宋体"/>
          <w:bCs/>
          <w:color w:val="auto"/>
          <w:sz w:val="21"/>
          <w:szCs w:val="21"/>
        </w:rPr>
        <w:t>。</w:t>
      </w:r>
    </w:p>
    <w:p w14:paraId="407DE7E8">
      <w:pPr>
        <w:keepNext w:val="0"/>
        <w:keepLines w:val="0"/>
        <w:pageBreakBefore w:val="0"/>
        <w:kinsoku/>
        <w:wordWrap/>
        <w:overflowPunct/>
        <w:topLinePunct w:val="0"/>
        <w:bidi w:val="0"/>
        <w:snapToGrid/>
        <w:spacing w:line="440" w:lineRule="exact"/>
        <w:ind w:firstLine="420" w:firstLineChars="200"/>
        <w:textAlignment w:val="auto"/>
        <w:rPr>
          <w:rFonts w:hint="eastAsia" w:ascii="宋体" w:hAnsi="宋体" w:cs="宋体" w:eastAsiaTheme="minorEastAsia"/>
          <w:color w:val="auto"/>
          <w:sz w:val="21"/>
          <w:szCs w:val="21"/>
          <w:lang w:eastAsia="zh-CN"/>
        </w:rPr>
      </w:pPr>
      <w:r>
        <w:rPr>
          <w:rFonts w:hint="eastAsia" w:ascii="宋体" w:hAnsi="宋体" w:cs="宋体"/>
          <w:color w:val="auto"/>
          <w:sz w:val="21"/>
          <w:szCs w:val="21"/>
        </w:rPr>
        <w:t>无。</w:t>
      </w:r>
    </w:p>
    <w:bookmarkEnd w:id="5"/>
    <w:p w14:paraId="55607B84">
      <w:pPr>
        <w:keepNext w:val="0"/>
        <w:keepLines w:val="0"/>
        <w:pageBreakBefore w:val="0"/>
        <w:kinsoku/>
        <w:wordWrap/>
        <w:overflowPunct/>
        <w:topLinePunct w:val="0"/>
        <w:bidi w:val="0"/>
        <w:snapToGrid/>
        <w:spacing w:line="440" w:lineRule="exact"/>
        <w:jc w:val="right"/>
        <w:textAlignment w:val="auto"/>
        <w:rPr>
          <w:rFonts w:ascii="宋体" w:hAnsi="宋体" w:eastAsia="宋体"/>
          <w:color w:val="auto"/>
          <w:sz w:val="21"/>
          <w:szCs w:val="21"/>
        </w:rPr>
      </w:pPr>
      <w:bookmarkStart w:id="6" w:name="_GoBack"/>
      <w:bookmarkEnd w:id="6"/>
      <w:r>
        <w:rPr>
          <w:rFonts w:hint="eastAsia"/>
          <w:color w:val="auto"/>
          <w:sz w:val="21"/>
          <w:szCs w:val="21"/>
        </w:rPr>
        <w:t xml:space="preserve">                             《</w:t>
      </w:r>
      <w:r>
        <w:rPr>
          <w:rFonts w:hint="eastAsia" w:ascii="宋体" w:hAnsi="宋体" w:eastAsia="宋体"/>
          <w:color w:val="auto"/>
          <w:sz w:val="21"/>
          <w:szCs w:val="21"/>
          <w:lang w:val="en-US" w:eastAsia="zh-CN"/>
        </w:rPr>
        <w:t>充电电池废料废件</w:t>
      </w:r>
      <w:r>
        <w:rPr>
          <w:rFonts w:hint="eastAsia"/>
          <w:color w:val="auto"/>
          <w:sz w:val="21"/>
          <w:szCs w:val="21"/>
        </w:rPr>
        <w:t>》</w:t>
      </w:r>
      <w:r>
        <w:rPr>
          <w:rFonts w:hint="eastAsia" w:ascii="宋体" w:hAnsi="宋体" w:eastAsia="宋体"/>
          <w:color w:val="auto"/>
          <w:sz w:val="21"/>
          <w:szCs w:val="21"/>
        </w:rPr>
        <w:t>编制组</w:t>
      </w:r>
    </w:p>
    <w:p w14:paraId="5EDE8193">
      <w:pPr>
        <w:keepNext w:val="0"/>
        <w:keepLines w:val="0"/>
        <w:pageBreakBefore w:val="0"/>
        <w:kinsoku/>
        <w:wordWrap/>
        <w:overflowPunct/>
        <w:topLinePunct w:val="0"/>
        <w:bidi w:val="0"/>
        <w:snapToGrid/>
        <w:spacing w:beforeLines="100" w:line="440" w:lineRule="exact"/>
        <w:jc w:val="right"/>
        <w:textAlignment w:val="auto"/>
        <w:rPr>
          <w:rFonts w:hint="default" w:ascii="宋体" w:hAnsi="宋体" w:eastAsia="宋体"/>
          <w:color w:val="auto"/>
          <w:sz w:val="21"/>
          <w:szCs w:val="21"/>
          <w:lang w:val="en-US" w:eastAsia="zh-CN"/>
        </w:rPr>
      </w:pPr>
      <w:r>
        <w:rPr>
          <w:rFonts w:hint="eastAsia" w:ascii="宋体" w:hAnsi="宋体" w:eastAsia="宋体"/>
          <w:color w:val="auto"/>
          <w:sz w:val="21"/>
          <w:szCs w:val="21"/>
        </w:rPr>
        <w:t xml:space="preserve">                             20</w:t>
      </w:r>
      <w:r>
        <w:rPr>
          <w:rFonts w:hint="eastAsia" w:ascii="宋体" w:hAnsi="宋体" w:eastAsia="宋体"/>
          <w:color w:val="auto"/>
          <w:sz w:val="21"/>
          <w:szCs w:val="21"/>
          <w:lang w:val="en-US" w:eastAsia="zh-CN"/>
        </w:rPr>
        <w:t>26</w:t>
      </w:r>
      <w:r>
        <w:rPr>
          <w:rFonts w:hint="eastAsia" w:ascii="宋体" w:hAnsi="宋体" w:eastAsia="宋体"/>
          <w:color w:val="auto"/>
          <w:sz w:val="21"/>
          <w:szCs w:val="21"/>
        </w:rPr>
        <w:t>年</w:t>
      </w:r>
      <w:r>
        <w:rPr>
          <w:rFonts w:hint="eastAsia" w:ascii="宋体" w:hAnsi="宋体" w:eastAsia="宋体"/>
          <w:color w:val="auto"/>
          <w:sz w:val="21"/>
          <w:szCs w:val="21"/>
          <w:lang w:val="en-US" w:eastAsia="zh-CN"/>
        </w:rPr>
        <w:t>8</w:t>
      </w:r>
      <w:r>
        <w:rPr>
          <w:rFonts w:hint="eastAsia" w:ascii="宋体" w:hAnsi="宋体" w:eastAsia="宋体"/>
          <w:color w:val="auto"/>
          <w:sz w:val="21"/>
          <w:szCs w:val="21"/>
        </w:rPr>
        <w:t>月</w:t>
      </w:r>
      <w:r>
        <w:rPr>
          <w:rFonts w:hint="eastAsia" w:ascii="宋体" w:hAnsi="宋体" w:eastAsia="宋体"/>
          <w:color w:val="auto"/>
          <w:sz w:val="21"/>
          <w:szCs w:val="21"/>
          <w:lang w:val="en-US" w:eastAsia="zh-CN"/>
        </w:rPr>
        <w:t>5</w:t>
      </w:r>
      <w:r>
        <w:rPr>
          <w:rFonts w:hint="eastAsia" w:ascii="宋体" w:hAnsi="宋体" w:eastAsia="宋体"/>
          <w:color w:val="auto"/>
          <w:sz w:val="21"/>
          <w:szCs w:val="21"/>
        </w:rPr>
        <w:t>日</w:t>
      </w:r>
    </w:p>
    <w:sectPr>
      <w:pgSz w:w="11906" w:h="16838"/>
      <w:pgMar w:top="1440" w:right="1780" w:bottom="1440" w:left="17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A9F0784"/>
    <w:multiLevelType w:val="singleLevel"/>
    <w:tmpl w:val="DA9F0784"/>
    <w:lvl w:ilvl="0" w:tentative="0">
      <w:start w:val="5"/>
      <w:numFmt w:val="chineseCounting"/>
      <w:suff w:val="nothing"/>
      <w:lvlText w:val="%1、"/>
      <w:lvlJc w:val="left"/>
      <w:rPr>
        <w:rFonts w:hint="eastAsia"/>
      </w:rPr>
    </w:lvl>
  </w:abstractNum>
  <w:abstractNum w:abstractNumId="1">
    <w:nsid w:val="E8556B88"/>
    <w:multiLevelType w:val="singleLevel"/>
    <w:tmpl w:val="E8556B88"/>
    <w:lvl w:ilvl="0" w:tentative="0">
      <w:start w:val="2"/>
      <w:numFmt w:val="decimal"/>
      <w:suff w:val="nothing"/>
      <w:lvlText w:val="%1、"/>
      <w:lvlJc w:val="left"/>
    </w:lvl>
  </w:abstractNum>
  <w:abstractNum w:abstractNumId="2">
    <w:nsid w:val="F116BB8D"/>
    <w:multiLevelType w:val="singleLevel"/>
    <w:tmpl w:val="F116BB8D"/>
    <w:lvl w:ilvl="0" w:tentative="0">
      <w:start w:val="1"/>
      <w:numFmt w:val="chineseCounting"/>
      <w:suff w:val="nothing"/>
      <w:lvlText w:val="（%1）"/>
      <w:lvlJc w:val="left"/>
      <w:rPr>
        <w:rFonts w:hint="eastAsia"/>
      </w:rPr>
    </w:lvl>
  </w:abstractNum>
  <w:abstractNum w:abstractNumId="3">
    <w:nsid w:val="071BF77B"/>
    <w:multiLevelType w:val="singleLevel"/>
    <w:tmpl w:val="071BF77B"/>
    <w:lvl w:ilvl="0" w:tentative="0">
      <w:start w:val="2"/>
      <w:numFmt w:val="decimal"/>
      <w:suff w:val="nothing"/>
      <w:lvlText w:val="（%1）"/>
      <w:lvlJc w:val="left"/>
    </w:lvl>
  </w:abstractNum>
  <w:abstractNum w:abstractNumId="4">
    <w:nsid w:val="4916F4FC"/>
    <w:multiLevelType w:val="singleLevel"/>
    <w:tmpl w:val="4916F4FC"/>
    <w:lvl w:ilvl="0" w:tentative="0">
      <w:start w:val="3"/>
      <w:numFmt w:val="chineseCounting"/>
      <w:suff w:val="nothing"/>
      <w:lvlText w:val="%1、"/>
      <w:lvlJc w:val="left"/>
      <w:rPr>
        <w:rFonts w:hint="eastAsia"/>
      </w:rPr>
    </w:lvl>
  </w:abstractNum>
  <w:abstractNum w:abstractNumId="5">
    <w:nsid w:val="62C86562"/>
    <w:multiLevelType w:val="multilevel"/>
    <w:tmpl w:val="62C86562"/>
    <w:lvl w:ilvl="0" w:tentative="0">
      <w:start w:val="1"/>
      <w:numFmt w:val="decimal"/>
      <w:lvlText w:val="表%1"/>
      <w:lvlJc w:val="left"/>
      <w:pPr>
        <w:ind w:left="1470" w:hanging="420"/>
      </w:pPr>
      <w:rPr>
        <w:rFonts w:hint="eastAsia"/>
        <w:b/>
        <w:bCs/>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75657C17"/>
    <w:multiLevelType w:val="singleLevel"/>
    <w:tmpl w:val="75657C17"/>
    <w:lvl w:ilvl="0" w:tentative="0">
      <w:start w:val="3"/>
      <w:numFmt w:val="decimal"/>
      <w:suff w:val="nothing"/>
      <w:lvlText w:val="%1、"/>
      <w:lvlJc w:val="left"/>
    </w:lvl>
  </w:abstractNum>
  <w:num w:numId="1">
    <w:abstractNumId w:val="5"/>
  </w:num>
  <w:num w:numId="2">
    <w:abstractNumId w:val="1"/>
  </w:num>
  <w:num w:numId="3">
    <w:abstractNumId w:val="3"/>
  </w:num>
  <w:num w:numId="4">
    <w:abstractNumId w:val="6"/>
  </w:num>
  <w:num w:numId="5">
    <w:abstractNumId w:val="4"/>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MxNGEzNDk1ZjY1ZDdlOWU3ZmFiZDlhOTM4NTZhMjEifQ=="/>
  </w:docVars>
  <w:rsids>
    <w:rsidRoot w:val="0049152D"/>
    <w:rsid w:val="00000899"/>
    <w:rsid w:val="00002C81"/>
    <w:rsid w:val="0000483E"/>
    <w:rsid w:val="0000533A"/>
    <w:rsid w:val="00006069"/>
    <w:rsid w:val="00007345"/>
    <w:rsid w:val="0000734E"/>
    <w:rsid w:val="000119A5"/>
    <w:rsid w:val="00011F52"/>
    <w:rsid w:val="0001287D"/>
    <w:rsid w:val="00013051"/>
    <w:rsid w:val="00013700"/>
    <w:rsid w:val="00014230"/>
    <w:rsid w:val="000142A3"/>
    <w:rsid w:val="0001434A"/>
    <w:rsid w:val="000146E1"/>
    <w:rsid w:val="00015683"/>
    <w:rsid w:val="00015B66"/>
    <w:rsid w:val="00016452"/>
    <w:rsid w:val="00016C1B"/>
    <w:rsid w:val="000174E9"/>
    <w:rsid w:val="00017703"/>
    <w:rsid w:val="00020B8D"/>
    <w:rsid w:val="00020E6C"/>
    <w:rsid w:val="0002350F"/>
    <w:rsid w:val="00025C36"/>
    <w:rsid w:val="00026B44"/>
    <w:rsid w:val="00026C0C"/>
    <w:rsid w:val="000312D7"/>
    <w:rsid w:val="00032958"/>
    <w:rsid w:val="00033C9E"/>
    <w:rsid w:val="00035A30"/>
    <w:rsid w:val="000362EA"/>
    <w:rsid w:val="0003648A"/>
    <w:rsid w:val="000370C9"/>
    <w:rsid w:val="000376FC"/>
    <w:rsid w:val="00041459"/>
    <w:rsid w:val="000425E5"/>
    <w:rsid w:val="00043943"/>
    <w:rsid w:val="00047256"/>
    <w:rsid w:val="00047897"/>
    <w:rsid w:val="00047C97"/>
    <w:rsid w:val="000538E0"/>
    <w:rsid w:val="00053978"/>
    <w:rsid w:val="000543AE"/>
    <w:rsid w:val="00056B2E"/>
    <w:rsid w:val="00057549"/>
    <w:rsid w:val="00060E9C"/>
    <w:rsid w:val="00061A95"/>
    <w:rsid w:val="00061BAC"/>
    <w:rsid w:val="00062BA9"/>
    <w:rsid w:val="000630E4"/>
    <w:rsid w:val="0006311A"/>
    <w:rsid w:val="000632D5"/>
    <w:rsid w:val="000634E4"/>
    <w:rsid w:val="00063E72"/>
    <w:rsid w:val="000647B0"/>
    <w:rsid w:val="000647D1"/>
    <w:rsid w:val="000648D5"/>
    <w:rsid w:val="00064F0E"/>
    <w:rsid w:val="0006509C"/>
    <w:rsid w:val="000661DC"/>
    <w:rsid w:val="0006634E"/>
    <w:rsid w:val="00067F99"/>
    <w:rsid w:val="0007025D"/>
    <w:rsid w:val="0007113B"/>
    <w:rsid w:val="00072938"/>
    <w:rsid w:val="00072B7E"/>
    <w:rsid w:val="00073823"/>
    <w:rsid w:val="000738A3"/>
    <w:rsid w:val="00073EA4"/>
    <w:rsid w:val="00074BD0"/>
    <w:rsid w:val="00075228"/>
    <w:rsid w:val="00076905"/>
    <w:rsid w:val="00083504"/>
    <w:rsid w:val="00083671"/>
    <w:rsid w:val="0008539E"/>
    <w:rsid w:val="0008748A"/>
    <w:rsid w:val="00087579"/>
    <w:rsid w:val="00090932"/>
    <w:rsid w:val="0009564E"/>
    <w:rsid w:val="000956AA"/>
    <w:rsid w:val="00095716"/>
    <w:rsid w:val="00095B00"/>
    <w:rsid w:val="000968E7"/>
    <w:rsid w:val="000A25DA"/>
    <w:rsid w:val="000A2674"/>
    <w:rsid w:val="000A46E3"/>
    <w:rsid w:val="000A68B0"/>
    <w:rsid w:val="000A68DC"/>
    <w:rsid w:val="000B0288"/>
    <w:rsid w:val="000B12AD"/>
    <w:rsid w:val="000B20BA"/>
    <w:rsid w:val="000C2E3D"/>
    <w:rsid w:val="000C4435"/>
    <w:rsid w:val="000C7BE6"/>
    <w:rsid w:val="000D004B"/>
    <w:rsid w:val="000D146E"/>
    <w:rsid w:val="000D255F"/>
    <w:rsid w:val="000D2968"/>
    <w:rsid w:val="000D3C54"/>
    <w:rsid w:val="000D419A"/>
    <w:rsid w:val="000D6C50"/>
    <w:rsid w:val="000E0E5D"/>
    <w:rsid w:val="000E12A2"/>
    <w:rsid w:val="000E2F2B"/>
    <w:rsid w:val="000E3BE4"/>
    <w:rsid w:val="000E5601"/>
    <w:rsid w:val="000E5B35"/>
    <w:rsid w:val="000E7291"/>
    <w:rsid w:val="000E7398"/>
    <w:rsid w:val="000E7492"/>
    <w:rsid w:val="000E75F6"/>
    <w:rsid w:val="000F0726"/>
    <w:rsid w:val="000F21CD"/>
    <w:rsid w:val="000F2931"/>
    <w:rsid w:val="000F60BA"/>
    <w:rsid w:val="000F7EE8"/>
    <w:rsid w:val="0010164F"/>
    <w:rsid w:val="00103B79"/>
    <w:rsid w:val="00103F5A"/>
    <w:rsid w:val="001043C6"/>
    <w:rsid w:val="0011080B"/>
    <w:rsid w:val="00112E27"/>
    <w:rsid w:val="001133B5"/>
    <w:rsid w:val="0011342C"/>
    <w:rsid w:val="00115E89"/>
    <w:rsid w:val="001169BC"/>
    <w:rsid w:val="001172DB"/>
    <w:rsid w:val="0011791C"/>
    <w:rsid w:val="0011799D"/>
    <w:rsid w:val="00117A27"/>
    <w:rsid w:val="00120FE8"/>
    <w:rsid w:val="001215B6"/>
    <w:rsid w:val="00122E35"/>
    <w:rsid w:val="00123CA5"/>
    <w:rsid w:val="00125817"/>
    <w:rsid w:val="00125CAC"/>
    <w:rsid w:val="00126111"/>
    <w:rsid w:val="001268D7"/>
    <w:rsid w:val="00130CC9"/>
    <w:rsid w:val="0013566C"/>
    <w:rsid w:val="001360C1"/>
    <w:rsid w:val="001421CF"/>
    <w:rsid w:val="00142C75"/>
    <w:rsid w:val="00143A39"/>
    <w:rsid w:val="00144F28"/>
    <w:rsid w:val="00145147"/>
    <w:rsid w:val="00145188"/>
    <w:rsid w:val="001455A0"/>
    <w:rsid w:val="00147858"/>
    <w:rsid w:val="001502D3"/>
    <w:rsid w:val="0015114D"/>
    <w:rsid w:val="001517E4"/>
    <w:rsid w:val="00151DFA"/>
    <w:rsid w:val="00152A50"/>
    <w:rsid w:val="00152CEE"/>
    <w:rsid w:val="00152F27"/>
    <w:rsid w:val="001531DA"/>
    <w:rsid w:val="0016143F"/>
    <w:rsid w:val="00161FB3"/>
    <w:rsid w:val="00162FCD"/>
    <w:rsid w:val="00164041"/>
    <w:rsid w:val="00164320"/>
    <w:rsid w:val="0016453D"/>
    <w:rsid w:val="00165B11"/>
    <w:rsid w:val="00167FF7"/>
    <w:rsid w:val="001710BE"/>
    <w:rsid w:val="001728AD"/>
    <w:rsid w:val="00173330"/>
    <w:rsid w:val="00175F20"/>
    <w:rsid w:val="0017788A"/>
    <w:rsid w:val="00180F34"/>
    <w:rsid w:val="00181FDF"/>
    <w:rsid w:val="00183DBE"/>
    <w:rsid w:val="00183F8C"/>
    <w:rsid w:val="00184A11"/>
    <w:rsid w:val="00185294"/>
    <w:rsid w:val="00186327"/>
    <w:rsid w:val="001866BE"/>
    <w:rsid w:val="001868B2"/>
    <w:rsid w:val="0019074F"/>
    <w:rsid w:val="001909E7"/>
    <w:rsid w:val="0019306C"/>
    <w:rsid w:val="001936E4"/>
    <w:rsid w:val="001945B5"/>
    <w:rsid w:val="00194AB3"/>
    <w:rsid w:val="00195204"/>
    <w:rsid w:val="0019675D"/>
    <w:rsid w:val="00196900"/>
    <w:rsid w:val="00196D91"/>
    <w:rsid w:val="0019747E"/>
    <w:rsid w:val="001976D2"/>
    <w:rsid w:val="00197920"/>
    <w:rsid w:val="001A0EA6"/>
    <w:rsid w:val="001A2F17"/>
    <w:rsid w:val="001A577D"/>
    <w:rsid w:val="001B1F37"/>
    <w:rsid w:val="001B2EA2"/>
    <w:rsid w:val="001B548E"/>
    <w:rsid w:val="001B6C1B"/>
    <w:rsid w:val="001B7E54"/>
    <w:rsid w:val="001C010F"/>
    <w:rsid w:val="001C1800"/>
    <w:rsid w:val="001C1A61"/>
    <w:rsid w:val="001C1C7F"/>
    <w:rsid w:val="001C3BD9"/>
    <w:rsid w:val="001C3C44"/>
    <w:rsid w:val="001C5F5B"/>
    <w:rsid w:val="001C63FA"/>
    <w:rsid w:val="001C6400"/>
    <w:rsid w:val="001C64E2"/>
    <w:rsid w:val="001D1CBF"/>
    <w:rsid w:val="001D29BF"/>
    <w:rsid w:val="001D2E17"/>
    <w:rsid w:val="001D3A88"/>
    <w:rsid w:val="001D4C7B"/>
    <w:rsid w:val="001D50AF"/>
    <w:rsid w:val="001E0750"/>
    <w:rsid w:val="001E1C8D"/>
    <w:rsid w:val="001E2613"/>
    <w:rsid w:val="001E35D2"/>
    <w:rsid w:val="001E5CB5"/>
    <w:rsid w:val="001E7143"/>
    <w:rsid w:val="001E77A0"/>
    <w:rsid w:val="001F0609"/>
    <w:rsid w:val="001F1028"/>
    <w:rsid w:val="001F18F7"/>
    <w:rsid w:val="001F21E5"/>
    <w:rsid w:val="001F3BE7"/>
    <w:rsid w:val="001F4570"/>
    <w:rsid w:val="001F64BD"/>
    <w:rsid w:val="001F7AA9"/>
    <w:rsid w:val="001F7D16"/>
    <w:rsid w:val="001F7D87"/>
    <w:rsid w:val="002007E1"/>
    <w:rsid w:val="00201957"/>
    <w:rsid w:val="002028F6"/>
    <w:rsid w:val="00202F21"/>
    <w:rsid w:val="00203916"/>
    <w:rsid w:val="00204E1B"/>
    <w:rsid w:val="00205696"/>
    <w:rsid w:val="00210806"/>
    <w:rsid w:val="00210D97"/>
    <w:rsid w:val="00211DAA"/>
    <w:rsid w:val="00212C2F"/>
    <w:rsid w:val="00213C05"/>
    <w:rsid w:val="00213CB8"/>
    <w:rsid w:val="002149D3"/>
    <w:rsid w:val="00215CF2"/>
    <w:rsid w:val="00217EB2"/>
    <w:rsid w:val="00221A02"/>
    <w:rsid w:val="00221D88"/>
    <w:rsid w:val="0022398D"/>
    <w:rsid w:val="002252C9"/>
    <w:rsid w:val="00230C35"/>
    <w:rsid w:val="00231422"/>
    <w:rsid w:val="00232045"/>
    <w:rsid w:val="002320C8"/>
    <w:rsid w:val="00233226"/>
    <w:rsid w:val="00233A1C"/>
    <w:rsid w:val="0023455B"/>
    <w:rsid w:val="00234F74"/>
    <w:rsid w:val="00234FE4"/>
    <w:rsid w:val="00235328"/>
    <w:rsid w:val="002356F0"/>
    <w:rsid w:val="00240E23"/>
    <w:rsid w:val="00246A1A"/>
    <w:rsid w:val="00251FCE"/>
    <w:rsid w:val="002531B1"/>
    <w:rsid w:val="0025380C"/>
    <w:rsid w:val="00254BF3"/>
    <w:rsid w:val="002601E8"/>
    <w:rsid w:val="00260A33"/>
    <w:rsid w:val="00260CFE"/>
    <w:rsid w:val="0026166B"/>
    <w:rsid w:val="0026175A"/>
    <w:rsid w:val="00262CCF"/>
    <w:rsid w:val="00262E37"/>
    <w:rsid w:val="0026368F"/>
    <w:rsid w:val="00263946"/>
    <w:rsid w:val="00264E80"/>
    <w:rsid w:val="002653CB"/>
    <w:rsid w:val="002662BE"/>
    <w:rsid w:val="00267B20"/>
    <w:rsid w:val="00271A24"/>
    <w:rsid w:val="002727E2"/>
    <w:rsid w:val="002727F2"/>
    <w:rsid w:val="00276418"/>
    <w:rsid w:val="002766E1"/>
    <w:rsid w:val="00277D55"/>
    <w:rsid w:val="00277DE9"/>
    <w:rsid w:val="00280742"/>
    <w:rsid w:val="00281A43"/>
    <w:rsid w:val="002870F4"/>
    <w:rsid w:val="002931B8"/>
    <w:rsid w:val="00293432"/>
    <w:rsid w:val="00293797"/>
    <w:rsid w:val="002A119B"/>
    <w:rsid w:val="002A1596"/>
    <w:rsid w:val="002A39FC"/>
    <w:rsid w:val="002A477A"/>
    <w:rsid w:val="002A52DB"/>
    <w:rsid w:val="002A5373"/>
    <w:rsid w:val="002A61D8"/>
    <w:rsid w:val="002A7451"/>
    <w:rsid w:val="002B0BEE"/>
    <w:rsid w:val="002B12B9"/>
    <w:rsid w:val="002B1C35"/>
    <w:rsid w:val="002B2BCB"/>
    <w:rsid w:val="002B33F4"/>
    <w:rsid w:val="002B351D"/>
    <w:rsid w:val="002B45E4"/>
    <w:rsid w:val="002B4A70"/>
    <w:rsid w:val="002B6C88"/>
    <w:rsid w:val="002C11C3"/>
    <w:rsid w:val="002C33FD"/>
    <w:rsid w:val="002C3F54"/>
    <w:rsid w:val="002C6308"/>
    <w:rsid w:val="002C7E20"/>
    <w:rsid w:val="002D16DB"/>
    <w:rsid w:val="002D29B7"/>
    <w:rsid w:val="002D6F42"/>
    <w:rsid w:val="002D75D7"/>
    <w:rsid w:val="002E22A3"/>
    <w:rsid w:val="002E34A8"/>
    <w:rsid w:val="002E3C9C"/>
    <w:rsid w:val="002E7402"/>
    <w:rsid w:val="002E743E"/>
    <w:rsid w:val="002F0868"/>
    <w:rsid w:val="002F0A63"/>
    <w:rsid w:val="002F18EC"/>
    <w:rsid w:val="002F3E1F"/>
    <w:rsid w:val="002F3FA9"/>
    <w:rsid w:val="002F4638"/>
    <w:rsid w:val="002F47B1"/>
    <w:rsid w:val="002F56D7"/>
    <w:rsid w:val="002F6351"/>
    <w:rsid w:val="002F6E9F"/>
    <w:rsid w:val="002F7378"/>
    <w:rsid w:val="00300AFD"/>
    <w:rsid w:val="00301047"/>
    <w:rsid w:val="00304AE0"/>
    <w:rsid w:val="003058A9"/>
    <w:rsid w:val="00306204"/>
    <w:rsid w:val="00310C92"/>
    <w:rsid w:val="00311726"/>
    <w:rsid w:val="00311A03"/>
    <w:rsid w:val="00311EF2"/>
    <w:rsid w:val="00311F46"/>
    <w:rsid w:val="00321BF3"/>
    <w:rsid w:val="003222DE"/>
    <w:rsid w:val="00323A14"/>
    <w:rsid w:val="00326E25"/>
    <w:rsid w:val="00327C26"/>
    <w:rsid w:val="0033114F"/>
    <w:rsid w:val="00332590"/>
    <w:rsid w:val="0033375D"/>
    <w:rsid w:val="003341F6"/>
    <w:rsid w:val="00334FD6"/>
    <w:rsid w:val="0033778F"/>
    <w:rsid w:val="00337C4B"/>
    <w:rsid w:val="00340915"/>
    <w:rsid w:val="00340C08"/>
    <w:rsid w:val="00340C89"/>
    <w:rsid w:val="0034101B"/>
    <w:rsid w:val="00341EAD"/>
    <w:rsid w:val="0034335F"/>
    <w:rsid w:val="0034452B"/>
    <w:rsid w:val="00344AA8"/>
    <w:rsid w:val="00345E08"/>
    <w:rsid w:val="00350386"/>
    <w:rsid w:val="003520BC"/>
    <w:rsid w:val="003530CC"/>
    <w:rsid w:val="00353342"/>
    <w:rsid w:val="00353EE8"/>
    <w:rsid w:val="0035503B"/>
    <w:rsid w:val="00357AB2"/>
    <w:rsid w:val="0036126F"/>
    <w:rsid w:val="0036236D"/>
    <w:rsid w:val="0036516E"/>
    <w:rsid w:val="0036648C"/>
    <w:rsid w:val="0036699F"/>
    <w:rsid w:val="00366FD6"/>
    <w:rsid w:val="00370D90"/>
    <w:rsid w:val="00371730"/>
    <w:rsid w:val="0037462A"/>
    <w:rsid w:val="00376214"/>
    <w:rsid w:val="003764C4"/>
    <w:rsid w:val="00376D7D"/>
    <w:rsid w:val="0038013C"/>
    <w:rsid w:val="0038064F"/>
    <w:rsid w:val="003807E6"/>
    <w:rsid w:val="003829D3"/>
    <w:rsid w:val="003854A7"/>
    <w:rsid w:val="003859E4"/>
    <w:rsid w:val="00387C73"/>
    <w:rsid w:val="00390678"/>
    <w:rsid w:val="003907CF"/>
    <w:rsid w:val="00395D8B"/>
    <w:rsid w:val="003966FD"/>
    <w:rsid w:val="003A004A"/>
    <w:rsid w:val="003A0A71"/>
    <w:rsid w:val="003A0D28"/>
    <w:rsid w:val="003A0E43"/>
    <w:rsid w:val="003A0F8D"/>
    <w:rsid w:val="003A226A"/>
    <w:rsid w:val="003A3735"/>
    <w:rsid w:val="003A3C95"/>
    <w:rsid w:val="003B0813"/>
    <w:rsid w:val="003B159B"/>
    <w:rsid w:val="003B1D01"/>
    <w:rsid w:val="003B2710"/>
    <w:rsid w:val="003B30B6"/>
    <w:rsid w:val="003B5DA9"/>
    <w:rsid w:val="003B6FED"/>
    <w:rsid w:val="003C0561"/>
    <w:rsid w:val="003C0C3F"/>
    <w:rsid w:val="003C1DF8"/>
    <w:rsid w:val="003C259D"/>
    <w:rsid w:val="003C4551"/>
    <w:rsid w:val="003C45CD"/>
    <w:rsid w:val="003C5329"/>
    <w:rsid w:val="003D00B3"/>
    <w:rsid w:val="003D078B"/>
    <w:rsid w:val="003D23D7"/>
    <w:rsid w:val="003D2D50"/>
    <w:rsid w:val="003D2E34"/>
    <w:rsid w:val="003D3021"/>
    <w:rsid w:val="003D3613"/>
    <w:rsid w:val="003D6715"/>
    <w:rsid w:val="003D697A"/>
    <w:rsid w:val="003D70CD"/>
    <w:rsid w:val="003D763B"/>
    <w:rsid w:val="003D77DA"/>
    <w:rsid w:val="003E0B81"/>
    <w:rsid w:val="003E1850"/>
    <w:rsid w:val="003E28B7"/>
    <w:rsid w:val="003E29D5"/>
    <w:rsid w:val="003E57D1"/>
    <w:rsid w:val="003E6ADF"/>
    <w:rsid w:val="003E6EF7"/>
    <w:rsid w:val="003F49C6"/>
    <w:rsid w:val="003F555E"/>
    <w:rsid w:val="003F614E"/>
    <w:rsid w:val="003F7502"/>
    <w:rsid w:val="003F7BA1"/>
    <w:rsid w:val="00406567"/>
    <w:rsid w:val="0040765C"/>
    <w:rsid w:val="004076E2"/>
    <w:rsid w:val="0040773D"/>
    <w:rsid w:val="00407C11"/>
    <w:rsid w:val="00410088"/>
    <w:rsid w:val="004116FB"/>
    <w:rsid w:val="00412931"/>
    <w:rsid w:val="00414A71"/>
    <w:rsid w:val="004153B6"/>
    <w:rsid w:val="00416FB1"/>
    <w:rsid w:val="00417CE4"/>
    <w:rsid w:val="00421809"/>
    <w:rsid w:val="00422048"/>
    <w:rsid w:val="00424370"/>
    <w:rsid w:val="00425776"/>
    <w:rsid w:val="00425D82"/>
    <w:rsid w:val="004261BD"/>
    <w:rsid w:val="00427873"/>
    <w:rsid w:val="00430126"/>
    <w:rsid w:val="004301D5"/>
    <w:rsid w:val="004304B8"/>
    <w:rsid w:val="00432144"/>
    <w:rsid w:val="00435E7B"/>
    <w:rsid w:val="0043627F"/>
    <w:rsid w:val="0043704E"/>
    <w:rsid w:val="00440278"/>
    <w:rsid w:val="004405DE"/>
    <w:rsid w:val="0044264F"/>
    <w:rsid w:val="00442AA5"/>
    <w:rsid w:val="0044332E"/>
    <w:rsid w:val="00444E84"/>
    <w:rsid w:val="0044667C"/>
    <w:rsid w:val="00446C4C"/>
    <w:rsid w:val="004514C8"/>
    <w:rsid w:val="00451F87"/>
    <w:rsid w:val="00452906"/>
    <w:rsid w:val="004529DD"/>
    <w:rsid w:val="00452DAC"/>
    <w:rsid w:val="00453850"/>
    <w:rsid w:val="00454EB1"/>
    <w:rsid w:val="004565BC"/>
    <w:rsid w:val="004576A5"/>
    <w:rsid w:val="00460FA1"/>
    <w:rsid w:val="00462143"/>
    <w:rsid w:val="0046322F"/>
    <w:rsid w:val="004666E1"/>
    <w:rsid w:val="0046734F"/>
    <w:rsid w:val="004720CB"/>
    <w:rsid w:val="004728DF"/>
    <w:rsid w:val="00473AA0"/>
    <w:rsid w:val="0047455F"/>
    <w:rsid w:val="00474C54"/>
    <w:rsid w:val="004765D1"/>
    <w:rsid w:val="004767A9"/>
    <w:rsid w:val="00476BD5"/>
    <w:rsid w:val="00480137"/>
    <w:rsid w:val="00480F80"/>
    <w:rsid w:val="00480FD3"/>
    <w:rsid w:val="00481581"/>
    <w:rsid w:val="0048184E"/>
    <w:rsid w:val="00482782"/>
    <w:rsid w:val="004840FC"/>
    <w:rsid w:val="00486195"/>
    <w:rsid w:val="004863ED"/>
    <w:rsid w:val="00486436"/>
    <w:rsid w:val="004869D0"/>
    <w:rsid w:val="00487974"/>
    <w:rsid w:val="004900F7"/>
    <w:rsid w:val="0049152D"/>
    <w:rsid w:val="00494307"/>
    <w:rsid w:val="004943AB"/>
    <w:rsid w:val="00495C7F"/>
    <w:rsid w:val="00496CFF"/>
    <w:rsid w:val="00497207"/>
    <w:rsid w:val="004A1953"/>
    <w:rsid w:val="004A28E4"/>
    <w:rsid w:val="004A2B95"/>
    <w:rsid w:val="004B0F1A"/>
    <w:rsid w:val="004B12D0"/>
    <w:rsid w:val="004C37E3"/>
    <w:rsid w:val="004C5DDC"/>
    <w:rsid w:val="004C639B"/>
    <w:rsid w:val="004C7324"/>
    <w:rsid w:val="004D0ACA"/>
    <w:rsid w:val="004D29DA"/>
    <w:rsid w:val="004D3777"/>
    <w:rsid w:val="004E166F"/>
    <w:rsid w:val="004E1E35"/>
    <w:rsid w:val="004E353D"/>
    <w:rsid w:val="004E4B54"/>
    <w:rsid w:val="004E5227"/>
    <w:rsid w:val="004E555F"/>
    <w:rsid w:val="004E6E7F"/>
    <w:rsid w:val="004F40C5"/>
    <w:rsid w:val="004F4C96"/>
    <w:rsid w:val="004F69A5"/>
    <w:rsid w:val="004F76C2"/>
    <w:rsid w:val="00500130"/>
    <w:rsid w:val="00504978"/>
    <w:rsid w:val="0050730B"/>
    <w:rsid w:val="00511BD6"/>
    <w:rsid w:val="0051428E"/>
    <w:rsid w:val="005147F3"/>
    <w:rsid w:val="00515D70"/>
    <w:rsid w:val="00517579"/>
    <w:rsid w:val="005176CE"/>
    <w:rsid w:val="005200E9"/>
    <w:rsid w:val="00522BD3"/>
    <w:rsid w:val="00523E5C"/>
    <w:rsid w:val="00524C16"/>
    <w:rsid w:val="005254B4"/>
    <w:rsid w:val="00525782"/>
    <w:rsid w:val="005267EB"/>
    <w:rsid w:val="00526A34"/>
    <w:rsid w:val="00526AAF"/>
    <w:rsid w:val="005276A6"/>
    <w:rsid w:val="00531DC8"/>
    <w:rsid w:val="00532265"/>
    <w:rsid w:val="00533A74"/>
    <w:rsid w:val="0053413C"/>
    <w:rsid w:val="00534433"/>
    <w:rsid w:val="00535449"/>
    <w:rsid w:val="00535487"/>
    <w:rsid w:val="00536839"/>
    <w:rsid w:val="00540BF2"/>
    <w:rsid w:val="0054112B"/>
    <w:rsid w:val="0054246B"/>
    <w:rsid w:val="005425CC"/>
    <w:rsid w:val="0054373A"/>
    <w:rsid w:val="005446B5"/>
    <w:rsid w:val="0054479D"/>
    <w:rsid w:val="00544E4C"/>
    <w:rsid w:val="005452B7"/>
    <w:rsid w:val="005464CA"/>
    <w:rsid w:val="00550C8A"/>
    <w:rsid w:val="00550D1E"/>
    <w:rsid w:val="00552199"/>
    <w:rsid w:val="0055331E"/>
    <w:rsid w:val="005562D8"/>
    <w:rsid w:val="00557088"/>
    <w:rsid w:val="00561B33"/>
    <w:rsid w:val="00563071"/>
    <w:rsid w:val="005652D7"/>
    <w:rsid w:val="00573390"/>
    <w:rsid w:val="005757B3"/>
    <w:rsid w:val="0057757C"/>
    <w:rsid w:val="0058145D"/>
    <w:rsid w:val="00582510"/>
    <w:rsid w:val="00582834"/>
    <w:rsid w:val="005829BF"/>
    <w:rsid w:val="00582FD9"/>
    <w:rsid w:val="00583048"/>
    <w:rsid w:val="00583845"/>
    <w:rsid w:val="00583960"/>
    <w:rsid w:val="005849A6"/>
    <w:rsid w:val="005859AF"/>
    <w:rsid w:val="00590E7B"/>
    <w:rsid w:val="00591422"/>
    <w:rsid w:val="005940E3"/>
    <w:rsid w:val="005946AF"/>
    <w:rsid w:val="005947B8"/>
    <w:rsid w:val="0059508E"/>
    <w:rsid w:val="00595137"/>
    <w:rsid w:val="00595729"/>
    <w:rsid w:val="00596591"/>
    <w:rsid w:val="005A0829"/>
    <w:rsid w:val="005A0EB2"/>
    <w:rsid w:val="005A1119"/>
    <w:rsid w:val="005A264C"/>
    <w:rsid w:val="005A3477"/>
    <w:rsid w:val="005A366C"/>
    <w:rsid w:val="005A3B0F"/>
    <w:rsid w:val="005A3B3F"/>
    <w:rsid w:val="005B1210"/>
    <w:rsid w:val="005B15F5"/>
    <w:rsid w:val="005B2378"/>
    <w:rsid w:val="005B58D2"/>
    <w:rsid w:val="005B6AD4"/>
    <w:rsid w:val="005B6B92"/>
    <w:rsid w:val="005B7284"/>
    <w:rsid w:val="005C0088"/>
    <w:rsid w:val="005C0357"/>
    <w:rsid w:val="005C0611"/>
    <w:rsid w:val="005C0980"/>
    <w:rsid w:val="005C0D65"/>
    <w:rsid w:val="005C0EE2"/>
    <w:rsid w:val="005C14A3"/>
    <w:rsid w:val="005C153A"/>
    <w:rsid w:val="005C1E43"/>
    <w:rsid w:val="005C40D0"/>
    <w:rsid w:val="005C566E"/>
    <w:rsid w:val="005D069C"/>
    <w:rsid w:val="005D179F"/>
    <w:rsid w:val="005D1EDE"/>
    <w:rsid w:val="005D489F"/>
    <w:rsid w:val="005D6DF8"/>
    <w:rsid w:val="005E200B"/>
    <w:rsid w:val="005E2355"/>
    <w:rsid w:val="005E3A3E"/>
    <w:rsid w:val="005E6CA1"/>
    <w:rsid w:val="005E702C"/>
    <w:rsid w:val="005E73C2"/>
    <w:rsid w:val="005E7C44"/>
    <w:rsid w:val="005F197A"/>
    <w:rsid w:val="005F2927"/>
    <w:rsid w:val="005F2DF7"/>
    <w:rsid w:val="005F3007"/>
    <w:rsid w:val="005F304B"/>
    <w:rsid w:val="005F5F6F"/>
    <w:rsid w:val="005F698A"/>
    <w:rsid w:val="00600538"/>
    <w:rsid w:val="00605CDD"/>
    <w:rsid w:val="00605EA7"/>
    <w:rsid w:val="0060674D"/>
    <w:rsid w:val="00606A00"/>
    <w:rsid w:val="00607A0D"/>
    <w:rsid w:val="006107CF"/>
    <w:rsid w:val="006110A4"/>
    <w:rsid w:val="0061333F"/>
    <w:rsid w:val="0061335C"/>
    <w:rsid w:val="00613FB1"/>
    <w:rsid w:val="006147B6"/>
    <w:rsid w:val="006155CA"/>
    <w:rsid w:val="0061668E"/>
    <w:rsid w:val="00616F62"/>
    <w:rsid w:val="006170F3"/>
    <w:rsid w:val="0061742C"/>
    <w:rsid w:val="006179B6"/>
    <w:rsid w:val="00621FD6"/>
    <w:rsid w:val="00624E56"/>
    <w:rsid w:val="00625A71"/>
    <w:rsid w:val="00627441"/>
    <w:rsid w:val="006316F9"/>
    <w:rsid w:val="006325B0"/>
    <w:rsid w:val="0063264C"/>
    <w:rsid w:val="006328AF"/>
    <w:rsid w:val="006331CE"/>
    <w:rsid w:val="00633980"/>
    <w:rsid w:val="00633EE8"/>
    <w:rsid w:val="006350C0"/>
    <w:rsid w:val="00636185"/>
    <w:rsid w:val="0063664A"/>
    <w:rsid w:val="0063792B"/>
    <w:rsid w:val="006425BC"/>
    <w:rsid w:val="00644904"/>
    <w:rsid w:val="00644F62"/>
    <w:rsid w:val="006451CB"/>
    <w:rsid w:val="00645383"/>
    <w:rsid w:val="00646E4E"/>
    <w:rsid w:val="0064758B"/>
    <w:rsid w:val="0064769A"/>
    <w:rsid w:val="00650546"/>
    <w:rsid w:val="006518DC"/>
    <w:rsid w:val="006519D0"/>
    <w:rsid w:val="00652836"/>
    <w:rsid w:val="0065321E"/>
    <w:rsid w:val="006533FD"/>
    <w:rsid w:val="00653D6B"/>
    <w:rsid w:val="006550B2"/>
    <w:rsid w:val="0065605D"/>
    <w:rsid w:val="006570C7"/>
    <w:rsid w:val="006577D8"/>
    <w:rsid w:val="00657B29"/>
    <w:rsid w:val="00657B50"/>
    <w:rsid w:val="006602A7"/>
    <w:rsid w:val="00660496"/>
    <w:rsid w:val="00660F14"/>
    <w:rsid w:val="0066162E"/>
    <w:rsid w:val="006617FA"/>
    <w:rsid w:val="00661B7A"/>
    <w:rsid w:val="00663325"/>
    <w:rsid w:val="006636FE"/>
    <w:rsid w:val="00664255"/>
    <w:rsid w:val="00664476"/>
    <w:rsid w:val="00664A10"/>
    <w:rsid w:val="0066541E"/>
    <w:rsid w:val="006654CA"/>
    <w:rsid w:val="00665C20"/>
    <w:rsid w:val="00673DCE"/>
    <w:rsid w:val="006749E5"/>
    <w:rsid w:val="00675C9D"/>
    <w:rsid w:val="00675DA5"/>
    <w:rsid w:val="00676165"/>
    <w:rsid w:val="00676CB1"/>
    <w:rsid w:val="00686291"/>
    <w:rsid w:val="00686FA4"/>
    <w:rsid w:val="00691E65"/>
    <w:rsid w:val="00691EA1"/>
    <w:rsid w:val="00693886"/>
    <w:rsid w:val="00694BE9"/>
    <w:rsid w:val="00696114"/>
    <w:rsid w:val="0069667F"/>
    <w:rsid w:val="00696D4A"/>
    <w:rsid w:val="006974AF"/>
    <w:rsid w:val="00697728"/>
    <w:rsid w:val="006A03C8"/>
    <w:rsid w:val="006A07EB"/>
    <w:rsid w:val="006A1279"/>
    <w:rsid w:val="006A1CD6"/>
    <w:rsid w:val="006A362D"/>
    <w:rsid w:val="006A5E39"/>
    <w:rsid w:val="006A615E"/>
    <w:rsid w:val="006A641C"/>
    <w:rsid w:val="006B048C"/>
    <w:rsid w:val="006B210C"/>
    <w:rsid w:val="006B2C4A"/>
    <w:rsid w:val="006B2D1C"/>
    <w:rsid w:val="006B35DA"/>
    <w:rsid w:val="006B53F6"/>
    <w:rsid w:val="006B655F"/>
    <w:rsid w:val="006C11BE"/>
    <w:rsid w:val="006C1F06"/>
    <w:rsid w:val="006C2DB2"/>
    <w:rsid w:val="006C43B5"/>
    <w:rsid w:val="006C5E78"/>
    <w:rsid w:val="006C615F"/>
    <w:rsid w:val="006C6E2E"/>
    <w:rsid w:val="006C773D"/>
    <w:rsid w:val="006D28A5"/>
    <w:rsid w:val="006D2F81"/>
    <w:rsid w:val="006D3518"/>
    <w:rsid w:val="006D3F0C"/>
    <w:rsid w:val="006D4494"/>
    <w:rsid w:val="006D4AFF"/>
    <w:rsid w:val="006D53EB"/>
    <w:rsid w:val="006D67E7"/>
    <w:rsid w:val="006D6A30"/>
    <w:rsid w:val="006D76DB"/>
    <w:rsid w:val="006E1599"/>
    <w:rsid w:val="006E3F66"/>
    <w:rsid w:val="006E58C8"/>
    <w:rsid w:val="006E669A"/>
    <w:rsid w:val="006E7C7B"/>
    <w:rsid w:val="006F1F44"/>
    <w:rsid w:val="006F2ADA"/>
    <w:rsid w:val="006F2AE7"/>
    <w:rsid w:val="006F2D52"/>
    <w:rsid w:val="006F3591"/>
    <w:rsid w:val="006F7B7C"/>
    <w:rsid w:val="0070002A"/>
    <w:rsid w:val="00700DAE"/>
    <w:rsid w:val="007015A1"/>
    <w:rsid w:val="0070297A"/>
    <w:rsid w:val="00704090"/>
    <w:rsid w:val="00706102"/>
    <w:rsid w:val="00711461"/>
    <w:rsid w:val="0071373D"/>
    <w:rsid w:val="00713758"/>
    <w:rsid w:val="00715907"/>
    <w:rsid w:val="00720307"/>
    <w:rsid w:val="00722D85"/>
    <w:rsid w:val="007236C0"/>
    <w:rsid w:val="00724361"/>
    <w:rsid w:val="00724564"/>
    <w:rsid w:val="007255E3"/>
    <w:rsid w:val="007265F0"/>
    <w:rsid w:val="007269E3"/>
    <w:rsid w:val="00732460"/>
    <w:rsid w:val="00733D7B"/>
    <w:rsid w:val="00735881"/>
    <w:rsid w:val="00735F13"/>
    <w:rsid w:val="007364A0"/>
    <w:rsid w:val="007408D5"/>
    <w:rsid w:val="0074154C"/>
    <w:rsid w:val="00741FDE"/>
    <w:rsid w:val="00742757"/>
    <w:rsid w:val="007430B3"/>
    <w:rsid w:val="007453E5"/>
    <w:rsid w:val="00746363"/>
    <w:rsid w:val="007464AF"/>
    <w:rsid w:val="00746C27"/>
    <w:rsid w:val="00750371"/>
    <w:rsid w:val="00750941"/>
    <w:rsid w:val="00750BF7"/>
    <w:rsid w:val="0075108D"/>
    <w:rsid w:val="007557DC"/>
    <w:rsid w:val="00760148"/>
    <w:rsid w:val="007611F3"/>
    <w:rsid w:val="00762451"/>
    <w:rsid w:val="007656EE"/>
    <w:rsid w:val="00766B87"/>
    <w:rsid w:val="00767F5A"/>
    <w:rsid w:val="00771493"/>
    <w:rsid w:val="00771A62"/>
    <w:rsid w:val="0077338A"/>
    <w:rsid w:val="00773A59"/>
    <w:rsid w:val="00774701"/>
    <w:rsid w:val="007771DC"/>
    <w:rsid w:val="00777F89"/>
    <w:rsid w:val="00782574"/>
    <w:rsid w:val="007831CE"/>
    <w:rsid w:val="0078347B"/>
    <w:rsid w:val="00784F06"/>
    <w:rsid w:val="00790B45"/>
    <w:rsid w:val="0079220D"/>
    <w:rsid w:val="00792719"/>
    <w:rsid w:val="00792749"/>
    <w:rsid w:val="007928CE"/>
    <w:rsid w:val="00792ADA"/>
    <w:rsid w:val="00793ECE"/>
    <w:rsid w:val="00796E22"/>
    <w:rsid w:val="0079778C"/>
    <w:rsid w:val="00797E1A"/>
    <w:rsid w:val="007A35C4"/>
    <w:rsid w:val="007A3CC4"/>
    <w:rsid w:val="007A4418"/>
    <w:rsid w:val="007A45F1"/>
    <w:rsid w:val="007A56FF"/>
    <w:rsid w:val="007A5B54"/>
    <w:rsid w:val="007A766F"/>
    <w:rsid w:val="007B1B31"/>
    <w:rsid w:val="007B2921"/>
    <w:rsid w:val="007B392C"/>
    <w:rsid w:val="007B4388"/>
    <w:rsid w:val="007B45BA"/>
    <w:rsid w:val="007B49CE"/>
    <w:rsid w:val="007B4E9A"/>
    <w:rsid w:val="007B5474"/>
    <w:rsid w:val="007B5E52"/>
    <w:rsid w:val="007B69A9"/>
    <w:rsid w:val="007B79BB"/>
    <w:rsid w:val="007C0298"/>
    <w:rsid w:val="007C08B0"/>
    <w:rsid w:val="007C1163"/>
    <w:rsid w:val="007C1847"/>
    <w:rsid w:val="007C2376"/>
    <w:rsid w:val="007C23F5"/>
    <w:rsid w:val="007C45B1"/>
    <w:rsid w:val="007C482F"/>
    <w:rsid w:val="007C6371"/>
    <w:rsid w:val="007C672B"/>
    <w:rsid w:val="007D2756"/>
    <w:rsid w:val="007D280C"/>
    <w:rsid w:val="007D3C02"/>
    <w:rsid w:val="007D4395"/>
    <w:rsid w:val="007D4964"/>
    <w:rsid w:val="007D49A6"/>
    <w:rsid w:val="007D4B36"/>
    <w:rsid w:val="007D70B2"/>
    <w:rsid w:val="007D7313"/>
    <w:rsid w:val="007E0FC8"/>
    <w:rsid w:val="007E12FA"/>
    <w:rsid w:val="007E1C58"/>
    <w:rsid w:val="007E1D94"/>
    <w:rsid w:val="007E29EB"/>
    <w:rsid w:val="007E2B9F"/>
    <w:rsid w:val="007E4197"/>
    <w:rsid w:val="007E59FE"/>
    <w:rsid w:val="007E5C58"/>
    <w:rsid w:val="007E6320"/>
    <w:rsid w:val="007E640E"/>
    <w:rsid w:val="007E72D7"/>
    <w:rsid w:val="007F11F4"/>
    <w:rsid w:val="007F2366"/>
    <w:rsid w:val="007F2A06"/>
    <w:rsid w:val="007F4F74"/>
    <w:rsid w:val="007F5A11"/>
    <w:rsid w:val="007F62FA"/>
    <w:rsid w:val="007F6887"/>
    <w:rsid w:val="00801520"/>
    <w:rsid w:val="008020B9"/>
    <w:rsid w:val="0080321B"/>
    <w:rsid w:val="008057DB"/>
    <w:rsid w:val="00807805"/>
    <w:rsid w:val="00810C47"/>
    <w:rsid w:val="00810DC1"/>
    <w:rsid w:val="008122E0"/>
    <w:rsid w:val="0081279E"/>
    <w:rsid w:val="008139A3"/>
    <w:rsid w:val="008139C1"/>
    <w:rsid w:val="00813A79"/>
    <w:rsid w:val="0081473C"/>
    <w:rsid w:val="0081684A"/>
    <w:rsid w:val="00816BB8"/>
    <w:rsid w:val="00817F38"/>
    <w:rsid w:val="00820E4E"/>
    <w:rsid w:val="0082207A"/>
    <w:rsid w:val="00823429"/>
    <w:rsid w:val="008309E3"/>
    <w:rsid w:val="008314BA"/>
    <w:rsid w:val="00832337"/>
    <w:rsid w:val="00832B7B"/>
    <w:rsid w:val="00832FFA"/>
    <w:rsid w:val="008347F7"/>
    <w:rsid w:val="008353FC"/>
    <w:rsid w:val="00837C2E"/>
    <w:rsid w:val="00837FDA"/>
    <w:rsid w:val="00841543"/>
    <w:rsid w:val="00841833"/>
    <w:rsid w:val="008418E3"/>
    <w:rsid w:val="00842E49"/>
    <w:rsid w:val="00843D2B"/>
    <w:rsid w:val="00843FE0"/>
    <w:rsid w:val="00844357"/>
    <w:rsid w:val="008443F9"/>
    <w:rsid w:val="00844C65"/>
    <w:rsid w:val="00845862"/>
    <w:rsid w:val="00846311"/>
    <w:rsid w:val="008470F0"/>
    <w:rsid w:val="008473F7"/>
    <w:rsid w:val="00847750"/>
    <w:rsid w:val="008478D1"/>
    <w:rsid w:val="00850C3C"/>
    <w:rsid w:val="00851A9C"/>
    <w:rsid w:val="0085300C"/>
    <w:rsid w:val="008608E6"/>
    <w:rsid w:val="00860B78"/>
    <w:rsid w:val="00860BCC"/>
    <w:rsid w:val="00861880"/>
    <w:rsid w:val="0086195A"/>
    <w:rsid w:val="00861B47"/>
    <w:rsid w:val="0086229E"/>
    <w:rsid w:val="00862CED"/>
    <w:rsid w:val="0086480A"/>
    <w:rsid w:val="00864CD8"/>
    <w:rsid w:val="00867F87"/>
    <w:rsid w:val="00870279"/>
    <w:rsid w:val="00870603"/>
    <w:rsid w:val="0087096F"/>
    <w:rsid w:val="008755BA"/>
    <w:rsid w:val="00881208"/>
    <w:rsid w:val="00884FC6"/>
    <w:rsid w:val="0089080C"/>
    <w:rsid w:val="00890C8E"/>
    <w:rsid w:val="00895D8D"/>
    <w:rsid w:val="008A172E"/>
    <w:rsid w:val="008A1F51"/>
    <w:rsid w:val="008A2695"/>
    <w:rsid w:val="008A33D5"/>
    <w:rsid w:val="008A45E8"/>
    <w:rsid w:val="008A5D75"/>
    <w:rsid w:val="008A7719"/>
    <w:rsid w:val="008A7A9A"/>
    <w:rsid w:val="008B0AFD"/>
    <w:rsid w:val="008B3B41"/>
    <w:rsid w:val="008B44DA"/>
    <w:rsid w:val="008B4D42"/>
    <w:rsid w:val="008B5CA8"/>
    <w:rsid w:val="008B6FB0"/>
    <w:rsid w:val="008C1AB9"/>
    <w:rsid w:val="008C32CD"/>
    <w:rsid w:val="008C4891"/>
    <w:rsid w:val="008C64BD"/>
    <w:rsid w:val="008C7A4C"/>
    <w:rsid w:val="008C7F9B"/>
    <w:rsid w:val="008D1583"/>
    <w:rsid w:val="008D38F1"/>
    <w:rsid w:val="008D509B"/>
    <w:rsid w:val="008D53A8"/>
    <w:rsid w:val="008D716B"/>
    <w:rsid w:val="008E047F"/>
    <w:rsid w:val="008E0678"/>
    <w:rsid w:val="008E110C"/>
    <w:rsid w:val="008E11F8"/>
    <w:rsid w:val="008E4D3C"/>
    <w:rsid w:val="008E4E14"/>
    <w:rsid w:val="008E7F39"/>
    <w:rsid w:val="008F0A69"/>
    <w:rsid w:val="008F102D"/>
    <w:rsid w:val="008F14A2"/>
    <w:rsid w:val="008F4D5D"/>
    <w:rsid w:val="008F7204"/>
    <w:rsid w:val="009047FC"/>
    <w:rsid w:val="0090530E"/>
    <w:rsid w:val="009058EC"/>
    <w:rsid w:val="00905CA5"/>
    <w:rsid w:val="009064C3"/>
    <w:rsid w:val="00906858"/>
    <w:rsid w:val="00906E4E"/>
    <w:rsid w:val="00907177"/>
    <w:rsid w:val="009071AD"/>
    <w:rsid w:val="00907A06"/>
    <w:rsid w:val="00907A43"/>
    <w:rsid w:val="009131C0"/>
    <w:rsid w:val="0091413D"/>
    <w:rsid w:val="009155A6"/>
    <w:rsid w:val="00916FAC"/>
    <w:rsid w:val="009175F1"/>
    <w:rsid w:val="00920DC1"/>
    <w:rsid w:val="00920F09"/>
    <w:rsid w:val="00922FA5"/>
    <w:rsid w:val="00923B5B"/>
    <w:rsid w:val="00923DD8"/>
    <w:rsid w:val="00924FEC"/>
    <w:rsid w:val="009250A2"/>
    <w:rsid w:val="00926375"/>
    <w:rsid w:val="00930551"/>
    <w:rsid w:val="00931EF1"/>
    <w:rsid w:val="00932C17"/>
    <w:rsid w:val="0093307B"/>
    <w:rsid w:val="009331B2"/>
    <w:rsid w:val="009351F3"/>
    <w:rsid w:val="00937229"/>
    <w:rsid w:val="00941C1D"/>
    <w:rsid w:val="00941EF0"/>
    <w:rsid w:val="009423AA"/>
    <w:rsid w:val="009423AC"/>
    <w:rsid w:val="00943218"/>
    <w:rsid w:val="009453A2"/>
    <w:rsid w:val="00946AB1"/>
    <w:rsid w:val="009504B8"/>
    <w:rsid w:val="009517F6"/>
    <w:rsid w:val="00953281"/>
    <w:rsid w:val="00953B8E"/>
    <w:rsid w:val="00956565"/>
    <w:rsid w:val="00957FDC"/>
    <w:rsid w:val="009601AB"/>
    <w:rsid w:val="00960D92"/>
    <w:rsid w:val="00961947"/>
    <w:rsid w:val="00962C7C"/>
    <w:rsid w:val="00962F2C"/>
    <w:rsid w:val="0096331D"/>
    <w:rsid w:val="00963579"/>
    <w:rsid w:val="00963C26"/>
    <w:rsid w:val="00963D08"/>
    <w:rsid w:val="00963E4F"/>
    <w:rsid w:val="00965CA7"/>
    <w:rsid w:val="00966160"/>
    <w:rsid w:val="009672AC"/>
    <w:rsid w:val="00967EDD"/>
    <w:rsid w:val="00971910"/>
    <w:rsid w:val="00972B8E"/>
    <w:rsid w:val="00973A55"/>
    <w:rsid w:val="00974C45"/>
    <w:rsid w:val="00975A1E"/>
    <w:rsid w:val="00975C75"/>
    <w:rsid w:val="00980B13"/>
    <w:rsid w:val="00980F6D"/>
    <w:rsid w:val="00982E2D"/>
    <w:rsid w:val="00982F94"/>
    <w:rsid w:val="00983EDA"/>
    <w:rsid w:val="00985422"/>
    <w:rsid w:val="009867CF"/>
    <w:rsid w:val="00986DCF"/>
    <w:rsid w:val="00991021"/>
    <w:rsid w:val="00992A6C"/>
    <w:rsid w:val="00992B39"/>
    <w:rsid w:val="00996DF4"/>
    <w:rsid w:val="009A02E4"/>
    <w:rsid w:val="009A0A3D"/>
    <w:rsid w:val="009A1442"/>
    <w:rsid w:val="009A1C7C"/>
    <w:rsid w:val="009A2D3A"/>
    <w:rsid w:val="009A3F87"/>
    <w:rsid w:val="009A4F82"/>
    <w:rsid w:val="009A5325"/>
    <w:rsid w:val="009A659A"/>
    <w:rsid w:val="009A67B4"/>
    <w:rsid w:val="009A7570"/>
    <w:rsid w:val="009B475F"/>
    <w:rsid w:val="009B4A1E"/>
    <w:rsid w:val="009C0E14"/>
    <w:rsid w:val="009C1DA6"/>
    <w:rsid w:val="009C32A2"/>
    <w:rsid w:val="009C3472"/>
    <w:rsid w:val="009C6B17"/>
    <w:rsid w:val="009D2013"/>
    <w:rsid w:val="009D203D"/>
    <w:rsid w:val="009D558F"/>
    <w:rsid w:val="009E0477"/>
    <w:rsid w:val="009E0E03"/>
    <w:rsid w:val="009E12AC"/>
    <w:rsid w:val="009E1533"/>
    <w:rsid w:val="009E196E"/>
    <w:rsid w:val="009E1CB5"/>
    <w:rsid w:val="009E32E0"/>
    <w:rsid w:val="009E40D0"/>
    <w:rsid w:val="009E4365"/>
    <w:rsid w:val="009E4C53"/>
    <w:rsid w:val="009E52D8"/>
    <w:rsid w:val="009E5AB1"/>
    <w:rsid w:val="009E5CBB"/>
    <w:rsid w:val="009F096D"/>
    <w:rsid w:val="009F394D"/>
    <w:rsid w:val="009F3CC4"/>
    <w:rsid w:val="009F43BE"/>
    <w:rsid w:val="009F44E0"/>
    <w:rsid w:val="009F571B"/>
    <w:rsid w:val="009F5B90"/>
    <w:rsid w:val="009F6357"/>
    <w:rsid w:val="009F6C02"/>
    <w:rsid w:val="009F74B2"/>
    <w:rsid w:val="009F7D94"/>
    <w:rsid w:val="00A0147C"/>
    <w:rsid w:val="00A01902"/>
    <w:rsid w:val="00A02DC2"/>
    <w:rsid w:val="00A03480"/>
    <w:rsid w:val="00A04AF7"/>
    <w:rsid w:val="00A070B7"/>
    <w:rsid w:val="00A11CA2"/>
    <w:rsid w:val="00A12756"/>
    <w:rsid w:val="00A13D77"/>
    <w:rsid w:val="00A1573B"/>
    <w:rsid w:val="00A15EFB"/>
    <w:rsid w:val="00A230A8"/>
    <w:rsid w:val="00A246A8"/>
    <w:rsid w:val="00A2660D"/>
    <w:rsid w:val="00A2730C"/>
    <w:rsid w:val="00A27CF3"/>
    <w:rsid w:val="00A30BC4"/>
    <w:rsid w:val="00A30C4E"/>
    <w:rsid w:val="00A32843"/>
    <w:rsid w:val="00A33131"/>
    <w:rsid w:val="00A40C00"/>
    <w:rsid w:val="00A4126E"/>
    <w:rsid w:val="00A42D32"/>
    <w:rsid w:val="00A43BE4"/>
    <w:rsid w:val="00A46A63"/>
    <w:rsid w:val="00A47F91"/>
    <w:rsid w:val="00A520A0"/>
    <w:rsid w:val="00A54547"/>
    <w:rsid w:val="00A547CF"/>
    <w:rsid w:val="00A54B05"/>
    <w:rsid w:val="00A55E9E"/>
    <w:rsid w:val="00A56B65"/>
    <w:rsid w:val="00A57154"/>
    <w:rsid w:val="00A574FC"/>
    <w:rsid w:val="00A60A2E"/>
    <w:rsid w:val="00A60D3C"/>
    <w:rsid w:val="00A60F66"/>
    <w:rsid w:val="00A628C6"/>
    <w:rsid w:val="00A62AB4"/>
    <w:rsid w:val="00A63BA4"/>
    <w:rsid w:val="00A653EC"/>
    <w:rsid w:val="00A6711F"/>
    <w:rsid w:val="00A67BD6"/>
    <w:rsid w:val="00A70051"/>
    <w:rsid w:val="00A72527"/>
    <w:rsid w:val="00A727F9"/>
    <w:rsid w:val="00A72AD6"/>
    <w:rsid w:val="00A72EDD"/>
    <w:rsid w:val="00A75BF2"/>
    <w:rsid w:val="00A824D5"/>
    <w:rsid w:val="00A8270A"/>
    <w:rsid w:val="00A86745"/>
    <w:rsid w:val="00A928A8"/>
    <w:rsid w:val="00A93F20"/>
    <w:rsid w:val="00A94AAE"/>
    <w:rsid w:val="00A94C7E"/>
    <w:rsid w:val="00A9692C"/>
    <w:rsid w:val="00A97F66"/>
    <w:rsid w:val="00AA324F"/>
    <w:rsid w:val="00AA539D"/>
    <w:rsid w:val="00AA56B6"/>
    <w:rsid w:val="00AA763A"/>
    <w:rsid w:val="00AA7A54"/>
    <w:rsid w:val="00AB046D"/>
    <w:rsid w:val="00AB074C"/>
    <w:rsid w:val="00AB1416"/>
    <w:rsid w:val="00AB29C1"/>
    <w:rsid w:val="00AB50CF"/>
    <w:rsid w:val="00AC0055"/>
    <w:rsid w:val="00AC007F"/>
    <w:rsid w:val="00AC0677"/>
    <w:rsid w:val="00AC2558"/>
    <w:rsid w:val="00AC2F81"/>
    <w:rsid w:val="00AC3B25"/>
    <w:rsid w:val="00AC4DB2"/>
    <w:rsid w:val="00AC5119"/>
    <w:rsid w:val="00AC59E2"/>
    <w:rsid w:val="00AC6BA8"/>
    <w:rsid w:val="00AC711A"/>
    <w:rsid w:val="00AD046A"/>
    <w:rsid w:val="00AD258F"/>
    <w:rsid w:val="00AD3BBA"/>
    <w:rsid w:val="00AD3C09"/>
    <w:rsid w:val="00AD3C7F"/>
    <w:rsid w:val="00AD48C6"/>
    <w:rsid w:val="00AD4B16"/>
    <w:rsid w:val="00AD528D"/>
    <w:rsid w:val="00AD6C53"/>
    <w:rsid w:val="00AE433E"/>
    <w:rsid w:val="00AF1E7D"/>
    <w:rsid w:val="00AF26BD"/>
    <w:rsid w:val="00AF51F2"/>
    <w:rsid w:val="00B000EC"/>
    <w:rsid w:val="00B017D4"/>
    <w:rsid w:val="00B01EA1"/>
    <w:rsid w:val="00B03376"/>
    <w:rsid w:val="00B043A6"/>
    <w:rsid w:val="00B0560D"/>
    <w:rsid w:val="00B05895"/>
    <w:rsid w:val="00B05FC1"/>
    <w:rsid w:val="00B101C3"/>
    <w:rsid w:val="00B1049D"/>
    <w:rsid w:val="00B112A3"/>
    <w:rsid w:val="00B11A4B"/>
    <w:rsid w:val="00B120FE"/>
    <w:rsid w:val="00B12BC6"/>
    <w:rsid w:val="00B17AF0"/>
    <w:rsid w:val="00B239A7"/>
    <w:rsid w:val="00B245DB"/>
    <w:rsid w:val="00B26620"/>
    <w:rsid w:val="00B27045"/>
    <w:rsid w:val="00B27C98"/>
    <w:rsid w:val="00B300F4"/>
    <w:rsid w:val="00B30765"/>
    <w:rsid w:val="00B31DD6"/>
    <w:rsid w:val="00B32630"/>
    <w:rsid w:val="00B34CAA"/>
    <w:rsid w:val="00B412DC"/>
    <w:rsid w:val="00B41CD9"/>
    <w:rsid w:val="00B41DD3"/>
    <w:rsid w:val="00B426B4"/>
    <w:rsid w:val="00B46CCD"/>
    <w:rsid w:val="00B5039F"/>
    <w:rsid w:val="00B51FC9"/>
    <w:rsid w:val="00B5314F"/>
    <w:rsid w:val="00B54DDA"/>
    <w:rsid w:val="00B54F3A"/>
    <w:rsid w:val="00B567B2"/>
    <w:rsid w:val="00B56A7D"/>
    <w:rsid w:val="00B571FF"/>
    <w:rsid w:val="00B60946"/>
    <w:rsid w:val="00B6558E"/>
    <w:rsid w:val="00B67193"/>
    <w:rsid w:val="00B67D35"/>
    <w:rsid w:val="00B67E9F"/>
    <w:rsid w:val="00B70F4B"/>
    <w:rsid w:val="00B718C4"/>
    <w:rsid w:val="00B71B75"/>
    <w:rsid w:val="00B74F18"/>
    <w:rsid w:val="00B77617"/>
    <w:rsid w:val="00B77CBF"/>
    <w:rsid w:val="00B80F2E"/>
    <w:rsid w:val="00B829AB"/>
    <w:rsid w:val="00B82F45"/>
    <w:rsid w:val="00B83405"/>
    <w:rsid w:val="00B83F20"/>
    <w:rsid w:val="00B84E6B"/>
    <w:rsid w:val="00B86A84"/>
    <w:rsid w:val="00B9018E"/>
    <w:rsid w:val="00B903A5"/>
    <w:rsid w:val="00B905C3"/>
    <w:rsid w:val="00B92054"/>
    <w:rsid w:val="00B920B7"/>
    <w:rsid w:val="00B9478E"/>
    <w:rsid w:val="00B9488C"/>
    <w:rsid w:val="00B95859"/>
    <w:rsid w:val="00B96A70"/>
    <w:rsid w:val="00B97FB6"/>
    <w:rsid w:val="00BA05ED"/>
    <w:rsid w:val="00BA062A"/>
    <w:rsid w:val="00BA46D7"/>
    <w:rsid w:val="00BA48AB"/>
    <w:rsid w:val="00BA5670"/>
    <w:rsid w:val="00BA66CE"/>
    <w:rsid w:val="00BA7712"/>
    <w:rsid w:val="00BA7B09"/>
    <w:rsid w:val="00BB2044"/>
    <w:rsid w:val="00BB432B"/>
    <w:rsid w:val="00BB4DA6"/>
    <w:rsid w:val="00BC02C5"/>
    <w:rsid w:val="00BC2CDB"/>
    <w:rsid w:val="00BC371D"/>
    <w:rsid w:val="00BC4A6E"/>
    <w:rsid w:val="00BC548D"/>
    <w:rsid w:val="00BC6356"/>
    <w:rsid w:val="00BC6621"/>
    <w:rsid w:val="00BC6D78"/>
    <w:rsid w:val="00BD0BA6"/>
    <w:rsid w:val="00BD1290"/>
    <w:rsid w:val="00BD1A8F"/>
    <w:rsid w:val="00BD24D4"/>
    <w:rsid w:val="00BD4E7A"/>
    <w:rsid w:val="00BD5E18"/>
    <w:rsid w:val="00BD6E7A"/>
    <w:rsid w:val="00BE01B3"/>
    <w:rsid w:val="00BE09B6"/>
    <w:rsid w:val="00BE3B1F"/>
    <w:rsid w:val="00BE4F7B"/>
    <w:rsid w:val="00BE5598"/>
    <w:rsid w:val="00BE5A42"/>
    <w:rsid w:val="00BE6C70"/>
    <w:rsid w:val="00BE6DA3"/>
    <w:rsid w:val="00BE7612"/>
    <w:rsid w:val="00BF109A"/>
    <w:rsid w:val="00BF3586"/>
    <w:rsid w:val="00C03BA0"/>
    <w:rsid w:val="00C078B4"/>
    <w:rsid w:val="00C07D37"/>
    <w:rsid w:val="00C1073D"/>
    <w:rsid w:val="00C123A9"/>
    <w:rsid w:val="00C131D6"/>
    <w:rsid w:val="00C13379"/>
    <w:rsid w:val="00C13F24"/>
    <w:rsid w:val="00C15DA6"/>
    <w:rsid w:val="00C165DE"/>
    <w:rsid w:val="00C214C2"/>
    <w:rsid w:val="00C25ED7"/>
    <w:rsid w:val="00C26002"/>
    <w:rsid w:val="00C26983"/>
    <w:rsid w:val="00C274C9"/>
    <w:rsid w:val="00C30622"/>
    <w:rsid w:val="00C31586"/>
    <w:rsid w:val="00C31ADD"/>
    <w:rsid w:val="00C3339F"/>
    <w:rsid w:val="00C34EA3"/>
    <w:rsid w:val="00C3551D"/>
    <w:rsid w:val="00C35FC9"/>
    <w:rsid w:val="00C3704C"/>
    <w:rsid w:val="00C377C5"/>
    <w:rsid w:val="00C43BE1"/>
    <w:rsid w:val="00C44DBD"/>
    <w:rsid w:val="00C461DC"/>
    <w:rsid w:val="00C46671"/>
    <w:rsid w:val="00C46E46"/>
    <w:rsid w:val="00C50BA4"/>
    <w:rsid w:val="00C52F3F"/>
    <w:rsid w:val="00C55615"/>
    <w:rsid w:val="00C57FA6"/>
    <w:rsid w:val="00C60DFE"/>
    <w:rsid w:val="00C611F1"/>
    <w:rsid w:val="00C616EE"/>
    <w:rsid w:val="00C63123"/>
    <w:rsid w:val="00C640E1"/>
    <w:rsid w:val="00C6449E"/>
    <w:rsid w:val="00C64727"/>
    <w:rsid w:val="00C655DD"/>
    <w:rsid w:val="00C668FA"/>
    <w:rsid w:val="00C72066"/>
    <w:rsid w:val="00C74A04"/>
    <w:rsid w:val="00C81BE8"/>
    <w:rsid w:val="00C825D1"/>
    <w:rsid w:val="00C82BDE"/>
    <w:rsid w:val="00C84386"/>
    <w:rsid w:val="00C84DA9"/>
    <w:rsid w:val="00C8690B"/>
    <w:rsid w:val="00C872CC"/>
    <w:rsid w:val="00C875A8"/>
    <w:rsid w:val="00C8771D"/>
    <w:rsid w:val="00C87997"/>
    <w:rsid w:val="00C9040C"/>
    <w:rsid w:val="00C904F3"/>
    <w:rsid w:val="00C91D12"/>
    <w:rsid w:val="00C9646E"/>
    <w:rsid w:val="00CA164D"/>
    <w:rsid w:val="00CA3BD2"/>
    <w:rsid w:val="00CA429B"/>
    <w:rsid w:val="00CA6B0F"/>
    <w:rsid w:val="00CA7768"/>
    <w:rsid w:val="00CA792E"/>
    <w:rsid w:val="00CA7EF2"/>
    <w:rsid w:val="00CB162D"/>
    <w:rsid w:val="00CB1736"/>
    <w:rsid w:val="00CB5EF9"/>
    <w:rsid w:val="00CB77E9"/>
    <w:rsid w:val="00CC0327"/>
    <w:rsid w:val="00CC1E9D"/>
    <w:rsid w:val="00CC3C57"/>
    <w:rsid w:val="00CC4EE1"/>
    <w:rsid w:val="00CC6124"/>
    <w:rsid w:val="00CC671A"/>
    <w:rsid w:val="00CC72F2"/>
    <w:rsid w:val="00CC76BC"/>
    <w:rsid w:val="00CD01B1"/>
    <w:rsid w:val="00CD07D4"/>
    <w:rsid w:val="00CD12BB"/>
    <w:rsid w:val="00CD6611"/>
    <w:rsid w:val="00CD6966"/>
    <w:rsid w:val="00CE11ED"/>
    <w:rsid w:val="00CE1291"/>
    <w:rsid w:val="00CE2583"/>
    <w:rsid w:val="00CE289E"/>
    <w:rsid w:val="00CE3A9F"/>
    <w:rsid w:val="00CE3C02"/>
    <w:rsid w:val="00CE587F"/>
    <w:rsid w:val="00CE5A82"/>
    <w:rsid w:val="00CE6ED1"/>
    <w:rsid w:val="00CE72FB"/>
    <w:rsid w:val="00CE7DF7"/>
    <w:rsid w:val="00CF16E4"/>
    <w:rsid w:val="00CF31CB"/>
    <w:rsid w:val="00CF44DA"/>
    <w:rsid w:val="00D003B0"/>
    <w:rsid w:val="00D029DE"/>
    <w:rsid w:val="00D03BD1"/>
    <w:rsid w:val="00D06D79"/>
    <w:rsid w:val="00D10277"/>
    <w:rsid w:val="00D107FE"/>
    <w:rsid w:val="00D10961"/>
    <w:rsid w:val="00D14AB0"/>
    <w:rsid w:val="00D1521D"/>
    <w:rsid w:val="00D169BB"/>
    <w:rsid w:val="00D212C5"/>
    <w:rsid w:val="00D2148D"/>
    <w:rsid w:val="00D22C7B"/>
    <w:rsid w:val="00D23904"/>
    <w:rsid w:val="00D23B55"/>
    <w:rsid w:val="00D24065"/>
    <w:rsid w:val="00D24DCE"/>
    <w:rsid w:val="00D256AC"/>
    <w:rsid w:val="00D26994"/>
    <w:rsid w:val="00D320AC"/>
    <w:rsid w:val="00D3304B"/>
    <w:rsid w:val="00D359BF"/>
    <w:rsid w:val="00D36DB4"/>
    <w:rsid w:val="00D371D3"/>
    <w:rsid w:val="00D37299"/>
    <w:rsid w:val="00D4083C"/>
    <w:rsid w:val="00D42141"/>
    <w:rsid w:val="00D42448"/>
    <w:rsid w:val="00D42D11"/>
    <w:rsid w:val="00D430A0"/>
    <w:rsid w:val="00D44EEB"/>
    <w:rsid w:val="00D45141"/>
    <w:rsid w:val="00D4564B"/>
    <w:rsid w:val="00D47251"/>
    <w:rsid w:val="00D50B05"/>
    <w:rsid w:val="00D513C2"/>
    <w:rsid w:val="00D51EB8"/>
    <w:rsid w:val="00D53469"/>
    <w:rsid w:val="00D53C4A"/>
    <w:rsid w:val="00D55B61"/>
    <w:rsid w:val="00D56420"/>
    <w:rsid w:val="00D578D6"/>
    <w:rsid w:val="00D60251"/>
    <w:rsid w:val="00D61BA1"/>
    <w:rsid w:val="00D61EC4"/>
    <w:rsid w:val="00D63B93"/>
    <w:rsid w:val="00D644F7"/>
    <w:rsid w:val="00D64D43"/>
    <w:rsid w:val="00D6533E"/>
    <w:rsid w:val="00D66304"/>
    <w:rsid w:val="00D66B6B"/>
    <w:rsid w:val="00D675A8"/>
    <w:rsid w:val="00D67794"/>
    <w:rsid w:val="00D7004B"/>
    <w:rsid w:val="00D7190C"/>
    <w:rsid w:val="00D7207F"/>
    <w:rsid w:val="00D72152"/>
    <w:rsid w:val="00D72F0A"/>
    <w:rsid w:val="00D75AFF"/>
    <w:rsid w:val="00D75EC4"/>
    <w:rsid w:val="00D7634D"/>
    <w:rsid w:val="00D830F3"/>
    <w:rsid w:val="00D84245"/>
    <w:rsid w:val="00D84264"/>
    <w:rsid w:val="00D85B2B"/>
    <w:rsid w:val="00D86727"/>
    <w:rsid w:val="00D941C7"/>
    <w:rsid w:val="00D94661"/>
    <w:rsid w:val="00D94930"/>
    <w:rsid w:val="00D95A89"/>
    <w:rsid w:val="00D95D4E"/>
    <w:rsid w:val="00D966A4"/>
    <w:rsid w:val="00D966F4"/>
    <w:rsid w:val="00D97FC7"/>
    <w:rsid w:val="00DA1558"/>
    <w:rsid w:val="00DA1891"/>
    <w:rsid w:val="00DA31A6"/>
    <w:rsid w:val="00DA3763"/>
    <w:rsid w:val="00DA6543"/>
    <w:rsid w:val="00DB0A43"/>
    <w:rsid w:val="00DB6BA8"/>
    <w:rsid w:val="00DB7F50"/>
    <w:rsid w:val="00DC0AFF"/>
    <w:rsid w:val="00DC0D5D"/>
    <w:rsid w:val="00DC0F59"/>
    <w:rsid w:val="00DC1118"/>
    <w:rsid w:val="00DC1B4D"/>
    <w:rsid w:val="00DC278C"/>
    <w:rsid w:val="00DC315C"/>
    <w:rsid w:val="00DC35F5"/>
    <w:rsid w:val="00DC3D99"/>
    <w:rsid w:val="00DC3E2F"/>
    <w:rsid w:val="00DC5106"/>
    <w:rsid w:val="00DC63B9"/>
    <w:rsid w:val="00DC7379"/>
    <w:rsid w:val="00DD08E9"/>
    <w:rsid w:val="00DD334E"/>
    <w:rsid w:val="00DD4B17"/>
    <w:rsid w:val="00DD53B0"/>
    <w:rsid w:val="00DD5B2C"/>
    <w:rsid w:val="00DD5CAA"/>
    <w:rsid w:val="00DE06BD"/>
    <w:rsid w:val="00DE1107"/>
    <w:rsid w:val="00DE2848"/>
    <w:rsid w:val="00DE3511"/>
    <w:rsid w:val="00DE3CCF"/>
    <w:rsid w:val="00DE403C"/>
    <w:rsid w:val="00DE459E"/>
    <w:rsid w:val="00DE5FE8"/>
    <w:rsid w:val="00DE66E7"/>
    <w:rsid w:val="00DE7104"/>
    <w:rsid w:val="00DF2795"/>
    <w:rsid w:val="00DF4176"/>
    <w:rsid w:val="00DF4C0F"/>
    <w:rsid w:val="00DF5045"/>
    <w:rsid w:val="00DF5BB3"/>
    <w:rsid w:val="00DF62F9"/>
    <w:rsid w:val="00DF7057"/>
    <w:rsid w:val="00DF7937"/>
    <w:rsid w:val="00E0023D"/>
    <w:rsid w:val="00E0111A"/>
    <w:rsid w:val="00E01169"/>
    <w:rsid w:val="00E02E01"/>
    <w:rsid w:val="00E04563"/>
    <w:rsid w:val="00E07309"/>
    <w:rsid w:val="00E07C98"/>
    <w:rsid w:val="00E1281A"/>
    <w:rsid w:val="00E14896"/>
    <w:rsid w:val="00E1628E"/>
    <w:rsid w:val="00E208B5"/>
    <w:rsid w:val="00E20BEE"/>
    <w:rsid w:val="00E21947"/>
    <w:rsid w:val="00E21C42"/>
    <w:rsid w:val="00E225FB"/>
    <w:rsid w:val="00E22E25"/>
    <w:rsid w:val="00E22F70"/>
    <w:rsid w:val="00E2655E"/>
    <w:rsid w:val="00E32CEB"/>
    <w:rsid w:val="00E337BC"/>
    <w:rsid w:val="00E34B24"/>
    <w:rsid w:val="00E35CAB"/>
    <w:rsid w:val="00E35CAD"/>
    <w:rsid w:val="00E37145"/>
    <w:rsid w:val="00E40019"/>
    <w:rsid w:val="00E40492"/>
    <w:rsid w:val="00E4058F"/>
    <w:rsid w:val="00E40F2A"/>
    <w:rsid w:val="00E42948"/>
    <w:rsid w:val="00E42DC1"/>
    <w:rsid w:val="00E44814"/>
    <w:rsid w:val="00E44FFF"/>
    <w:rsid w:val="00E4610E"/>
    <w:rsid w:val="00E4738F"/>
    <w:rsid w:val="00E51633"/>
    <w:rsid w:val="00E5245D"/>
    <w:rsid w:val="00E549AA"/>
    <w:rsid w:val="00E54B99"/>
    <w:rsid w:val="00E55819"/>
    <w:rsid w:val="00E560F1"/>
    <w:rsid w:val="00E6161B"/>
    <w:rsid w:val="00E61FCC"/>
    <w:rsid w:val="00E62057"/>
    <w:rsid w:val="00E6290C"/>
    <w:rsid w:val="00E62ED4"/>
    <w:rsid w:val="00E6334B"/>
    <w:rsid w:val="00E651D0"/>
    <w:rsid w:val="00E653C7"/>
    <w:rsid w:val="00E67634"/>
    <w:rsid w:val="00E701CD"/>
    <w:rsid w:val="00E731A1"/>
    <w:rsid w:val="00E81BCB"/>
    <w:rsid w:val="00E82AD6"/>
    <w:rsid w:val="00E82E2C"/>
    <w:rsid w:val="00E8477B"/>
    <w:rsid w:val="00E84C73"/>
    <w:rsid w:val="00E91F16"/>
    <w:rsid w:val="00EA0835"/>
    <w:rsid w:val="00EA12F8"/>
    <w:rsid w:val="00EA219D"/>
    <w:rsid w:val="00EA2B7E"/>
    <w:rsid w:val="00EA6CBC"/>
    <w:rsid w:val="00EB0229"/>
    <w:rsid w:val="00EB0BA2"/>
    <w:rsid w:val="00EB113C"/>
    <w:rsid w:val="00EB178D"/>
    <w:rsid w:val="00EB2177"/>
    <w:rsid w:val="00EB225D"/>
    <w:rsid w:val="00EB3C97"/>
    <w:rsid w:val="00EB497E"/>
    <w:rsid w:val="00EB658B"/>
    <w:rsid w:val="00EB69C2"/>
    <w:rsid w:val="00EB74C1"/>
    <w:rsid w:val="00EC18F1"/>
    <w:rsid w:val="00EC2B47"/>
    <w:rsid w:val="00EC2C8C"/>
    <w:rsid w:val="00EC3079"/>
    <w:rsid w:val="00EC44CD"/>
    <w:rsid w:val="00EC454B"/>
    <w:rsid w:val="00EC4D79"/>
    <w:rsid w:val="00EC511E"/>
    <w:rsid w:val="00EC5F37"/>
    <w:rsid w:val="00ED1496"/>
    <w:rsid w:val="00ED187D"/>
    <w:rsid w:val="00ED27CB"/>
    <w:rsid w:val="00ED3B99"/>
    <w:rsid w:val="00ED5530"/>
    <w:rsid w:val="00ED67F0"/>
    <w:rsid w:val="00ED7DAF"/>
    <w:rsid w:val="00ED7F88"/>
    <w:rsid w:val="00EE3498"/>
    <w:rsid w:val="00EE3BB1"/>
    <w:rsid w:val="00EE50B9"/>
    <w:rsid w:val="00EE5257"/>
    <w:rsid w:val="00EE7488"/>
    <w:rsid w:val="00EE7EA8"/>
    <w:rsid w:val="00EF04A1"/>
    <w:rsid w:val="00EF1488"/>
    <w:rsid w:val="00EF1E76"/>
    <w:rsid w:val="00EF3FF1"/>
    <w:rsid w:val="00EF4571"/>
    <w:rsid w:val="00EF564A"/>
    <w:rsid w:val="00EF778C"/>
    <w:rsid w:val="00F02D20"/>
    <w:rsid w:val="00F03EAC"/>
    <w:rsid w:val="00F0584C"/>
    <w:rsid w:val="00F05FB0"/>
    <w:rsid w:val="00F10080"/>
    <w:rsid w:val="00F113B0"/>
    <w:rsid w:val="00F1264C"/>
    <w:rsid w:val="00F1534B"/>
    <w:rsid w:val="00F16179"/>
    <w:rsid w:val="00F17F04"/>
    <w:rsid w:val="00F20246"/>
    <w:rsid w:val="00F22756"/>
    <w:rsid w:val="00F233D8"/>
    <w:rsid w:val="00F25618"/>
    <w:rsid w:val="00F2761F"/>
    <w:rsid w:val="00F312FC"/>
    <w:rsid w:val="00F31D7C"/>
    <w:rsid w:val="00F31EB6"/>
    <w:rsid w:val="00F34DC7"/>
    <w:rsid w:val="00F358A8"/>
    <w:rsid w:val="00F363B9"/>
    <w:rsid w:val="00F40BFC"/>
    <w:rsid w:val="00F41101"/>
    <w:rsid w:val="00F42C31"/>
    <w:rsid w:val="00F432B1"/>
    <w:rsid w:val="00F4350A"/>
    <w:rsid w:val="00F44A8B"/>
    <w:rsid w:val="00F45328"/>
    <w:rsid w:val="00F508A3"/>
    <w:rsid w:val="00F51096"/>
    <w:rsid w:val="00F517C3"/>
    <w:rsid w:val="00F51CD7"/>
    <w:rsid w:val="00F52075"/>
    <w:rsid w:val="00F52EEF"/>
    <w:rsid w:val="00F5330E"/>
    <w:rsid w:val="00F551D5"/>
    <w:rsid w:val="00F57548"/>
    <w:rsid w:val="00F605E4"/>
    <w:rsid w:val="00F606ED"/>
    <w:rsid w:val="00F60856"/>
    <w:rsid w:val="00F63CFD"/>
    <w:rsid w:val="00F63D21"/>
    <w:rsid w:val="00F64434"/>
    <w:rsid w:val="00F64482"/>
    <w:rsid w:val="00F64498"/>
    <w:rsid w:val="00F64579"/>
    <w:rsid w:val="00F65568"/>
    <w:rsid w:val="00F65623"/>
    <w:rsid w:val="00F65B8F"/>
    <w:rsid w:val="00F66B71"/>
    <w:rsid w:val="00F67A22"/>
    <w:rsid w:val="00F67D08"/>
    <w:rsid w:val="00F67EFB"/>
    <w:rsid w:val="00F7083B"/>
    <w:rsid w:val="00F70CBA"/>
    <w:rsid w:val="00F7168B"/>
    <w:rsid w:val="00F742F1"/>
    <w:rsid w:val="00F74832"/>
    <w:rsid w:val="00F759F4"/>
    <w:rsid w:val="00F7660E"/>
    <w:rsid w:val="00F77803"/>
    <w:rsid w:val="00F77947"/>
    <w:rsid w:val="00F805C2"/>
    <w:rsid w:val="00F810C0"/>
    <w:rsid w:val="00F81430"/>
    <w:rsid w:val="00F818E2"/>
    <w:rsid w:val="00F86DAF"/>
    <w:rsid w:val="00F90F78"/>
    <w:rsid w:val="00F92C1F"/>
    <w:rsid w:val="00F93877"/>
    <w:rsid w:val="00F93EB8"/>
    <w:rsid w:val="00F93EF3"/>
    <w:rsid w:val="00F945CD"/>
    <w:rsid w:val="00F96986"/>
    <w:rsid w:val="00FA27DF"/>
    <w:rsid w:val="00FA33A5"/>
    <w:rsid w:val="00FA4826"/>
    <w:rsid w:val="00FA4EE7"/>
    <w:rsid w:val="00FA74C7"/>
    <w:rsid w:val="00FA7CC4"/>
    <w:rsid w:val="00FB3C03"/>
    <w:rsid w:val="00FB65AE"/>
    <w:rsid w:val="00FC060E"/>
    <w:rsid w:val="00FC159E"/>
    <w:rsid w:val="00FC1EFA"/>
    <w:rsid w:val="00FC2CB8"/>
    <w:rsid w:val="00FC3698"/>
    <w:rsid w:val="00FC3E35"/>
    <w:rsid w:val="00FC429E"/>
    <w:rsid w:val="00FC42D5"/>
    <w:rsid w:val="00FC661B"/>
    <w:rsid w:val="00FC7C0C"/>
    <w:rsid w:val="00FC7FD0"/>
    <w:rsid w:val="00FD0408"/>
    <w:rsid w:val="00FD1841"/>
    <w:rsid w:val="00FD24FF"/>
    <w:rsid w:val="00FD39DE"/>
    <w:rsid w:val="00FD49D7"/>
    <w:rsid w:val="00FD6082"/>
    <w:rsid w:val="00FD69C9"/>
    <w:rsid w:val="00FD7D68"/>
    <w:rsid w:val="00FE0469"/>
    <w:rsid w:val="00FE0A11"/>
    <w:rsid w:val="00FE0D9F"/>
    <w:rsid w:val="00FE1194"/>
    <w:rsid w:val="00FE1381"/>
    <w:rsid w:val="00FE20C4"/>
    <w:rsid w:val="00FE2AF3"/>
    <w:rsid w:val="00FE3D79"/>
    <w:rsid w:val="00FE4718"/>
    <w:rsid w:val="00FE79C3"/>
    <w:rsid w:val="00FE7A1F"/>
    <w:rsid w:val="00FF1726"/>
    <w:rsid w:val="00FF34B2"/>
    <w:rsid w:val="00FF42EE"/>
    <w:rsid w:val="00FF5BB4"/>
    <w:rsid w:val="016E044A"/>
    <w:rsid w:val="04187F64"/>
    <w:rsid w:val="065F1993"/>
    <w:rsid w:val="06606E3A"/>
    <w:rsid w:val="070B5632"/>
    <w:rsid w:val="07724E37"/>
    <w:rsid w:val="08506633"/>
    <w:rsid w:val="0C482343"/>
    <w:rsid w:val="0FA84DA6"/>
    <w:rsid w:val="0FE339EB"/>
    <w:rsid w:val="16D05547"/>
    <w:rsid w:val="174A5489"/>
    <w:rsid w:val="176A1687"/>
    <w:rsid w:val="17E56F60"/>
    <w:rsid w:val="18704CB4"/>
    <w:rsid w:val="192E28F8"/>
    <w:rsid w:val="19FB5C71"/>
    <w:rsid w:val="1C821221"/>
    <w:rsid w:val="1E211CB5"/>
    <w:rsid w:val="1E952DCB"/>
    <w:rsid w:val="21763F48"/>
    <w:rsid w:val="22C80A1D"/>
    <w:rsid w:val="234A45D7"/>
    <w:rsid w:val="239F2BE0"/>
    <w:rsid w:val="24727DCD"/>
    <w:rsid w:val="25486330"/>
    <w:rsid w:val="28E92B74"/>
    <w:rsid w:val="2AF42FD1"/>
    <w:rsid w:val="2BA80578"/>
    <w:rsid w:val="2CF17ED9"/>
    <w:rsid w:val="2D491F9E"/>
    <w:rsid w:val="2D6F134E"/>
    <w:rsid w:val="2DD6396D"/>
    <w:rsid w:val="2EE3075D"/>
    <w:rsid w:val="2F20599A"/>
    <w:rsid w:val="2FE50BA9"/>
    <w:rsid w:val="30464233"/>
    <w:rsid w:val="307229AC"/>
    <w:rsid w:val="31692558"/>
    <w:rsid w:val="317F0BCA"/>
    <w:rsid w:val="32832A04"/>
    <w:rsid w:val="36CE17DB"/>
    <w:rsid w:val="37081F48"/>
    <w:rsid w:val="391C28EE"/>
    <w:rsid w:val="3A1D3807"/>
    <w:rsid w:val="3A6C3919"/>
    <w:rsid w:val="3B6F4C0F"/>
    <w:rsid w:val="3B730EE0"/>
    <w:rsid w:val="3B7A0F58"/>
    <w:rsid w:val="3C672EE2"/>
    <w:rsid w:val="3C7A4C03"/>
    <w:rsid w:val="448C7C04"/>
    <w:rsid w:val="44A144A7"/>
    <w:rsid w:val="45711D79"/>
    <w:rsid w:val="45CD7101"/>
    <w:rsid w:val="482D210C"/>
    <w:rsid w:val="48960B41"/>
    <w:rsid w:val="493733B5"/>
    <w:rsid w:val="49EC224C"/>
    <w:rsid w:val="4B591A31"/>
    <w:rsid w:val="4C4C62F7"/>
    <w:rsid w:val="4CE27B44"/>
    <w:rsid w:val="4FD37F56"/>
    <w:rsid w:val="50CE10DD"/>
    <w:rsid w:val="50EE47E2"/>
    <w:rsid w:val="51145BE4"/>
    <w:rsid w:val="517A568C"/>
    <w:rsid w:val="51A11B6E"/>
    <w:rsid w:val="5952598E"/>
    <w:rsid w:val="5F4D50E3"/>
    <w:rsid w:val="5F7F6E06"/>
    <w:rsid w:val="654B50E5"/>
    <w:rsid w:val="654E5A4F"/>
    <w:rsid w:val="65F53318"/>
    <w:rsid w:val="6B3E697D"/>
    <w:rsid w:val="6CA125CA"/>
    <w:rsid w:val="6D837F22"/>
    <w:rsid w:val="6E3C6504"/>
    <w:rsid w:val="6ED81442"/>
    <w:rsid w:val="6F3335BA"/>
    <w:rsid w:val="76A76695"/>
    <w:rsid w:val="76E521D9"/>
    <w:rsid w:val="7A241826"/>
    <w:rsid w:val="7B8239A1"/>
    <w:rsid w:val="7EC522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qFormat/>
    <w:uiPriority w:val="0"/>
    <w:pPr>
      <w:keepNext/>
      <w:keepLines/>
      <w:spacing w:before="50" w:beforeLines="50" w:after="50" w:afterLines="50" w:line="360" w:lineRule="auto"/>
      <w:outlineLvl w:val="2"/>
    </w:pPr>
    <w:rPr>
      <w:b/>
      <w:bCs/>
      <w:sz w:val="24"/>
      <w:szCs w:val="32"/>
    </w:rPr>
  </w:style>
  <w:style w:type="paragraph" w:styleId="3">
    <w:name w:val="heading 4"/>
    <w:basedOn w:val="1"/>
    <w:next w:val="1"/>
    <w:semiHidden/>
    <w:unhideWhenUsed/>
    <w:qFormat/>
    <w:uiPriority w:val="9"/>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19"/>
    <w:qFormat/>
    <w:uiPriority w:val="0"/>
    <w:pPr>
      <w:spacing w:line="360" w:lineRule="auto"/>
      <w:jc w:val="left"/>
    </w:pPr>
    <w:rPr>
      <w:rFonts w:ascii="宋体" w:hAnsi="宋体" w:eastAsia="宋体" w:cs="Times New Roman"/>
      <w:szCs w:val="24"/>
    </w:rPr>
  </w:style>
  <w:style w:type="paragraph" w:styleId="5">
    <w:name w:val="Body Text"/>
    <w:basedOn w:val="1"/>
    <w:unhideWhenUsed/>
    <w:qFormat/>
    <w:uiPriority w:val="99"/>
    <w:pPr>
      <w:spacing w:line="440" w:lineRule="exact"/>
      <w:ind w:firstLine="640" w:firstLineChars="200"/>
    </w:pPr>
    <w:rPr>
      <w:rFonts w:eastAsia="宋体" w:asciiTheme="minorAscii" w:hAnsiTheme="minorAscii"/>
    </w:rPr>
  </w:style>
  <w:style w:type="paragraph" w:styleId="6">
    <w:name w:val="Body Text Indent"/>
    <w:basedOn w:val="1"/>
    <w:link w:val="18"/>
    <w:qFormat/>
    <w:uiPriority w:val="0"/>
    <w:pPr>
      <w:ind w:firstLine="420"/>
    </w:pPr>
    <w:rPr>
      <w:rFonts w:ascii="Times New Roman" w:hAnsi="Times New Roman" w:eastAsia="宋体" w:cs="Times New Roman"/>
      <w:sz w:val="24"/>
      <w:szCs w:val="24"/>
    </w:rPr>
  </w:style>
  <w:style w:type="paragraph" w:styleId="7">
    <w:name w:val="Balloon Text"/>
    <w:basedOn w:val="1"/>
    <w:link w:val="14"/>
    <w:semiHidden/>
    <w:unhideWhenUsed/>
    <w:qFormat/>
    <w:uiPriority w:val="99"/>
    <w:rPr>
      <w:sz w:val="18"/>
      <w:szCs w:val="18"/>
    </w:rPr>
  </w:style>
  <w:style w:type="paragraph" w:styleId="8">
    <w:name w:val="footer"/>
    <w:basedOn w:val="1"/>
    <w:link w:val="16"/>
    <w:semiHidden/>
    <w:unhideWhenUsed/>
    <w:qFormat/>
    <w:uiPriority w:val="99"/>
    <w:pPr>
      <w:tabs>
        <w:tab w:val="center" w:pos="4153"/>
        <w:tab w:val="right" w:pos="8306"/>
      </w:tabs>
      <w:snapToGrid w:val="0"/>
      <w:jc w:val="left"/>
    </w:pPr>
    <w:rPr>
      <w:sz w:val="18"/>
      <w:szCs w:val="18"/>
    </w:rPr>
  </w:style>
  <w:style w:type="paragraph" w:styleId="9">
    <w:name w:val="header"/>
    <w:basedOn w:val="1"/>
    <w:link w:val="15"/>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table" w:styleId="12">
    <w:name w:val="Table Grid"/>
    <w:basedOn w:val="11"/>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14">
    <w:name w:val="批注框文本 Char"/>
    <w:basedOn w:val="13"/>
    <w:link w:val="7"/>
    <w:semiHidden/>
    <w:qFormat/>
    <w:uiPriority w:val="99"/>
    <w:rPr>
      <w:sz w:val="18"/>
      <w:szCs w:val="18"/>
    </w:rPr>
  </w:style>
  <w:style w:type="character" w:customStyle="1" w:styleId="15">
    <w:name w:val="页眉 Char"/>
    <w:basedOn w:val="13"/>
    <w:link w:val="9"/>
    <w:semiHidden/>
    <w:qFormat/>
    <w:uiPriority w:val="99"/>
    <w:rPr>
      <w:sz w:val="18"/>
      <w:szCs w:val="18"/>
    </w:rPr>
  </w:style>
  <w:style w:type="character" w:customStyle="1" w:styleId="16">
    <w:name w:val="页脚 Char"/>
    <w:basedOn w:val="13"/>
    <w:link w:val="8"/>
    <w:semiHidden/>
    <w:qFormat/>
    <w:uiPriority w:val="99"/>
    <w:rPr>
      <w:sz w:val="18"/>
      <w:szCs w:val="18"/>
    </w:rPr>
  </w:style>
  <w:style w:type="paragraph" w:customStyle="1" w:styleId="17">
    <w:name w:val="章标题"/>
    <w:next w:val="1"/>
    <w:qFormat/>
    <w:uiPriority w:val="0"/>
    <w:pPr>
      <w:spacing w:beforeLines="50" w:afterLines="50"/>
      <w:jc w:val="both"/>
      <w:outlineLvl w:val="1"/>
    </w:pPr>
    <w:rPr>
      <w:rFonts w:ascii="黑体" w:hAnsi="Times New Roman" w:eastAsia="黑体" w:cs="Times New Roman"/>
      <w:kern w:val="0"/>
      <w:sz w:val="21"/>
      <w:szCs w:val="20"/>
      <w:lang w:val="en-US" w:eastAsia="zh-CN" w:bidi="ar-SA"/>
    </w:rPr>
  </w:style>
  <w:style w:type="character" w:customStyle="1" w:styleId="18">
    <w:name w:val="正文文本缩进 Char"/>
    <w:basedOn w:val="13"/>
    <w:link w:val="6"/>
    <w:qFormat/>
    <w:uiPriority w:val="0"/>
    <w:rPr>
      <w:rFonts w:ascii="Times New Roman" w:hAnsi="Times New Roman" w:eastAsia="宋体" w:cs="Times New Roman"/>
      <w:sz w:val="24"/>
      <w:szCs w:val="24"/>
    </w:rPr>
  </w:style>
  <w:style w:type="character" w:customStyle="1" w:styleId="19">
    <w:name w:val="批注文字 Char"/>
    <w:basedOn w:val="13"/>
    <w:link w:val="4"/>
    <w:qFormat/>
    <w:uiPriority w:val="0"/>
    <w:rPr>
      <w:rFonts w:ascii="宋体" w:hAnsi="宋体" w:eastAsia="宋体" w:cs="Times New Roman"/>
      <w:szCs w:val="24"/>
    </w:rPr>
  </w:style>
  <w:style w:type="paragraph" w:styleId="20">
    <w:name w:val="List Paragraph"/>
    <w:basedOn w:val="1"/>
    <w:qFormat/>
    <w:uiPriority w:val="34"/>
    <w:pPr>
      <w:ind w:firstLine="420" w:firstLineChars="200"/>
    </w:pPr>
  </w:style>
  <w:style w:type="paragraph" w:customStyle="1" w:styleId="21">
    <w:name w:val="段"/>
    <w:link w:val="22"/>
    <w:qFormat/>
    <w:uiPriority w:val="0"/>
    <w:pPr>
      <w:autoSpaceDE w:val="0"/>
      <w:autoSpaceDN w:val="0"/>
      <w:ind w:firstLine="200" w:firstLineChars="200"/>
      <w:jc w:val="both"/>
    </w:pPr>
    <w:rPr>
      <w:rFonts w:ascii="宋体" w:hAnsi="Times New Roman" w:eastAsia="宋体" w:cs="Times New Roman"/>
      <w:kern w:val="0"/>
      <w:sz w:val="21"/>
      <w:szCs w:val="22"/>
      <w:lang w:val="en-US" w:eastAsia="zh-CN" w:bidi="ar-SA"/>
    </w:rPr>
  </w:style>
  <w:style w:type="character" w:customStyle="1" w:styleId="22">
    <w:name w:val="段 Char"/>
    <w:link w:val="21"/>
    <w:qFormat/>
    <w:uiPriority w:val="0"/>
    <w:rPr>
      <w:rFonts w:ascii="宋体" w:hAnsi="Times New Roman" w:eastAsia="宋体" w:cs="Times New Roman"/>
      <w:kern w:val="0"/>
    </w:rPr>
  </w:style>
  <w:style w:type="character" w:customStyle="1" w:styleId="23">
    <w:name w:val="font01"/>
    <w:basedOn w:val="13"/>
    <w:qFormat/>
    <w:uiPriority w:val="0"/>
    <w:rPr>
      <w:rFonts w:hint="eastAsia" w:ascii="宋体" w:hAnsi="宋体" w:eastAsia="宋体" w:cs="宋体"/>
      <w:color w:val="000000"/>
      <w:sz w:val="22"/>
      <w:szCs w:val="22"/>
      <w:u w:val="none"/>
    </w:rPr>
  </w:style>
  <w:style w:type="character" w:customStyle="1" w:styleId="24">
    <w:name w:val="font31"/>
    <w:basedOn w:val="13"/>
    <w:qFormat/>
    <w:uiPriority w:val="0"/>
    <w:rPr>
      <w:rFonts w:hint="eastAsia" w:ascii="宋体" w:hAnsi="宋体" w:eastAsia="宋体" w:cs="宋体"/>
      <w:color w:val="C00000"/>
      <w:sz w:val="22"/>
      <w:szCs w:val="22"/>
      <w:u w:val="none"/>
    </w:rPr>
  </w:style>
  <w:style w:type="character" w:customStyle="1" w:styleId="25">
    <w:name w:val="font41"/>
    <w:basedOn w:val="13"/>
    <w:qFormat/>
    <w:uiPriority w:val="0"/>
    <w:rPr>
      <w:rFonts w:hint="default" w:ascii="Times New Roman" w:hAnsi="Times New Roman" w:cs="Times New Roman"/>
      <w:color w:val="C00000"/>
      <w:sz w:val="22"/>
      <w:szCs w:val="22"/>
      <w:u w:val="none"/>
    </w:rPr>
  </w:style>
  <w:style w:type="character" w:customStyle="1" w:styleId="26">
    <w:name w:val="font11"/>
    <w:basedOn w:val="13"/>
    <w:qFormat/>
    <w:uiPriority w:val="0"/>
    <w:rPr>
      <w:rFonts w:hint="default" w:ascii="Times New Roman" w:hAnsi="Times New Roman" w:cs="Times New Roman"/>
      <w:color w:val="000000"/>
      <w:sz w:val="22"/>
      <w:szCs w:val="22"/>
      <w:u w:val="none"/>
    </w:rPr>
  </w:style>
  <w:style w:type="character" w:customStyle="1" w:styleId="27">
    <w:name w:val="font71"/>
    <w:basedOn w:val="13"/>
    <w:qFormat/>
    <w:uiPriority w:val="0"/>
    <w:rPr>
      <w:rFonts w:hint="default" w:ascii="Times New Roman" w:hAnsi="Times New Roman" w:cs="Times New Roman"/>
      <w:color w:val="000000"/>
      <w:sz w:val="22"/>
      <w:szCs w:val="22"/>
      <w:u w:val="none"/>
      <w:vertAlign w:val="superscript"/>
    </w:rPr>
  </w:style>
  <w:style w:type="character" w:customStyle="1" w:styleId="28">
    <w:name w:val="font81"/>
    <w:basedOn w:val="13"/>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32C55B-7085-467F-ABDB-CBEB33EA7829}">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21</Pages>
  <Words>15265</Words>
  <Characters>16063</Characters>
  <Lines>68</Lines>
  <Paragraphs>19</Paragraphs>
  <TotalTime>0</TotalTime>
  <ScaleCrop>false</ScaleCrop>
  <LinksUpToDate>false</LinksUpToDate>
  <CharactersWithSpaces>16178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2022-08-03T02:17:00Z</dcterms:created>
  <dc:creator>Sky123.Org</dc:creator>
  <cp:lastModifiedBy>WH</cp:lastModifiedBy>
  <dcterms:modified xsi:type="dcterms:W3CDTF">2026-08-05T06:48:35Z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C1D1332D0F304675BB5B1FE273BEEC0E_13</vt:lpwstr>
  </property>
  <property fmtid="{D5CDD505-2E9C-101B-9397-08002B2CF9AE}" pid="4" name="KSOTemplateDocerSaveRecord">
    <vt:lpwstr>eyJoZGlkIjoiZTMyMjZjNmZlYWU5ZjQzNmRkMGNiNDE5MDFkNjQ5ZTgiLCJ1c2VySWQiOiIzMDU2NzkyNTAifQ==</vt:lpwstr>
  </property>
</Properties>
</file>